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640" w:type="dxa"/>
        <w:tblInd w:w="250" w:type="dxa"/>
        <w:tblBorders>
          <w:top w:val="single" w:sz="12" w:space="0" w:color="00B0F0"/>
          <w:bottom w:val="single" w:sz="12" w:space="0" w:color="00B0F0"/>
          <w:insideH w:val="single" w:sz="12" w:space="0" w:color="00B050"/>
        </w:tblBorders>
        <w:tblLook w:val="00A0" w:firstRow="1" w:lastRow="0" w:firstColumn="1" w:lastColumn="0" w:noHBand="0" w:noVBand="0"/>
      </w:tblPr>
      <w:tblGrid>
        <w:gridCol w:w="8640"/>
      </w:tblGrid>
      <w:tr w:rsidR="004D7F0A" w:rsidRPr="00EE43C6" w14:paraId="280C0081" w14:textId="77777777" w:rsidTr="3A1F3090">
        <w:trPr>
          <w:trHeight w:val="10704"/>
        </w:trPr>
        <w:tc>
          <w:tcPr>
            <w:tcW w:w="8640" w:type="dxa"/>
            <w:tcBorders>
              <w:top w:val="single" w:sz="24" w:space="0" w:color="00B0F0"/>
              <w:bottom w:val="nil"/>
            </w:tcBorders>
          </w:tcPr>
          <w:p w14:paraId="017AC233" w14:textId="6B793B0E" w:rsidR="0083795F" w:rsidRPr="00EE43C6" w:rsidRDefault="0083795F" w:rsidP="00CE3B94">
            <w:pPr>
              <w:widowControl w:val="0"/>
              <w:adjustRightInd w:val="0"/>
              <w:spacing w:before="0" w:after="0" w:line="240" w:lineRule="auto"/>
              <w:jc w:val="right"/>
              <w:textAlignment w:val="baseline"/>
              <w:rPr>
                <w:b/>
                <w:bCs/>
                <w:caps/>
                <w:color w:val="00AEEC"/>
                <w:sz w:val="44"/>
                <w:szCs w:val="44"/>
              </w:rPr>
            </w:pPr>
            <w:r w:rsidRPr="00EE43C6">
              <w:rPr>
                <w:b/>
                <w:bCs/>
                <w:caps/>
                <w:color w:val="00AEEC"/>
                <w:sz w:val="44"/>
                <w:szCs w:val="44"/>
              </w:rPr>
              <w:t xml:space="preserve">Directorate of </w:t>
            </w:r>
            <w:r w:rsidR="00407C64" w:rsidRPr="00EE43C6">
              <w:rPr>
                <w:b/>
                <w:bCs/>
                <w:caps/>
                <w:color w:val="00AEEC"/>
                <w:sz w:val="44"/>
                <w:szCs w:val="44"/>
              </w:rPr>
              <w:t>MERSIN TARSUS AGRICULTURAL PRODUCT PROCESSING SPECIALIZED ORGANIZED INDUST</w:t>
            </w:r>
            <w:r w:rsidR="00962A52" w:rsidRPr="00EE43C6">
              <w:rPr>
                <w:b/>
                <w:bCs/>
                <w:caps/>
                <w:color w:val="00AEEC"/>
                <w:sz w:val="44"/>
                <w:szCs w:val="44"/>
              </w:rPr>
              <w:t>RIAL</w:t>
            </w:r>
            <w:r w:rsidR="00407C64" w:rsidRPr="00EE43C6">
              <w:rPr>
                <w:b/>
                <w:bCs/>
                <w:caps/>
                <w:color w:val="00AEEC"/>
                <w:sz w:val="44"/>
                <w:szCs w:val="44"/>
              </w:rPr>
              <w:t xml:space="preserve"> </w:t>
            </w:r>
            <w:r w:rsidR="00962A52" w:rsidRPr="00EE43C6">
              <w:rPr>
                <w:b/>
                <w:bCs/>
                <w:caps/>
                <w:color w:val="00AEEC"/>
                <w:sz w:val="44"/>
                <w:szCs w:val="44"/>
              </w:rPr>
              <w:t>ZONE</w:t>
            </w:r>
          </w:p>
          <w:p w14:paraId="24DB6B11" w14:textId="77777777" w:rsidR="00CE3B94" w:rsidRPr="00EE43C6" w:rsidRDefault="00CE3B94" w:rsidP="00CE3B94">
            <w:pPr>
              <w:widowControl w:val="0"/>
              <w:adjustRightInd w:val="0"/>
              <w:spacing w:before="0" w:after="0" w:line="240" w:lineRule="auto"/>
              <w:jc w:val="right"/>
              <w:textAlignment w:val="baseline"/>
              <w:rPr>
                <w:b/>
                <w:bCs/>
                <w:caps/>
                <w:color w:val="00AEEC"/>
                <w:sz w:val="44"/>
                <w:szCs w:val="44"/>
              </w:rPr>
            </w:pPr>
          </w:p>
          <w:p w14:paraId="6A1DDD36" w14:textId="77777777" w:rsidR="004423C9" w:rsidRPr="00EE43C6" w:rsidRDefault="00407C64" w:rsidP="00CE3B94">
            <w:pPr>
              <w:widowControl w:val="0"/>
              <w:adjustRightInd w:val="0"/>
              <w:spacing w:before="0" w:after="0" w:line="240" w:lineRule="auto"/>
              <w:jc w:val="right"/>
              <w:textAlignment w:val="baseline"/>
              <w:rPr>
                <w:caps/>
                <w:color w:val="41AD49"/>
                <w:sz w:val="44"/>
                <w:szCs w:val="44"/>
              </w:rPr>
            </w:pPr>
            <w:r w:rsidRPr="00EE43C6">
              <w:rPr>
                <w:caps/>
                <w:color w:val="41AD49"/>
                <w:sz w:val="44"/>
                <w:szCs w:val="44"/>
              </w:rPr>
              <w:t>MERSIN TARSUS AGRICULTURAL PRODUCT PROCESSING SPECIALIZED ORGANIZED INDUST</w:t>
            </w:r>
            <w:r w:rsidR="00962A52" w:rsidRPr="00EE43C6">
              <w:rPr>
                <w:caps/>
                <w:color w:val="41AD49"/>
                <w:sz w:val="44"/>
                <w:szCs w:val="44"/>
              </w:rPr>
              <w:t>RIAL</w:t>
            </w:r>
            <w:r w:rsidRPr="00EE43C6">
              <w:rPr>
                <w:caps/>
                <w:color w:val="41AD49"/>
                <w:sz w:val="44"/>
                <w:szCs w:val="44"/>
              </w:rPr>
              <w:t xml:space="preserve"> </w:t>
            </w:r>
            <w:r w:rsidR="00962A52" w:rsidRPr="00EE43C6">
              <w:rPr>
                <w:caps/>
                <w:color w:val="41AD49"/>
                <w:sz w:val="44"/>
                <w:szCs w:val="44"/>
              </w:rPr>
              <w:t>ZONE</w:t>
            </w:r>
          </w:p>
          <w:p w14:paraId="1B74A495" w14:textId="338989EF" w:rsidR="000A7ABE" w:rsidRPr="00EE43C6" w:rsidRDefault="004423C9" w:rsidP="00CE3B94">
            <w:pPr>
              <w:widowControl w:val="0"/>
              <w:adjustRightInd w:val="0"/>
              <w:spacing w:before="0" w:after="0" w:line="240" w:lineRule="auto"/>
              <w:jc w:val="right"/>
              <w:textAlignment w:val="baseline"/>
              <w:rPr>
                <w:caps/>
                <w:color w:val="41AD49"/>
                <w:sz w:val="44"/>
                <w:szCs w:val="44"/>
              </w:rPr>
            </w:pPr>
            <w:r w:rsidRPr="00EE43C6">
              <w:rPr>
                <w:caps/>
                <w:color w:val="41AD49"/>
                <w:sz w:val="44"/>
                <w:szCs w:val="44"/>
              </w:rPr>
              <w:t>BASIC INFRASTRUCTURE</w:t>
            </w:r>
            <w:r w:rsidR="00A56F87" w:rsidRPr="00EE43C6">
              <w:rPr>
                <w:caps/>
                <w:color w:val="41AD49"/>
                <w:sz w:val="44"/>
                <w:szCs w:val="44"/>
              </w:rPr>
              <w:t xml:space="preserve"> </w:t>
            </w:r>
            <w:r w:rsidRPr="00EE43C6">
              <w:rPr>
                <w:caps/>
                <w:color w:val="41AD49"/>
                <w:sz w:val="44"/>
                <w:szCs w:val="44"/>
              </w:rPr>
              <w:t>PROJECT</w:t>
            </w:r>
          </w:p>
          <w:p w14:paraId="3E7D7116" w14:textId="77777777" w:rsidR="00CE3B94" w:rsidRPr="00EE43C6" w:rsidRDefault="00CE3B94" w:rsidP="00CE3B94">
            <w:pPr>
              <w:widowControl w:val="0"/>
              <w:adjustRightInd w:val="0"/>
              <w:spacing w:before="0" w:after="0" w:line="240" w:lineRule="auto"/>
              <w:jc w:val="right"/>
              <w:textAlignment w:val="baseline"/>
              <w:rPr>
                <w:caps/>
                <w:color w:val="41AD49"/>
                <w:sz w:val="44"/>
                <w:szCs w:val="44"/>
              </w:rPr>
            </w:pPr>
          </w:p>
          <w:p w14:paraId="2A632A1E" w14:textId="51552F55" w:rsidR="004D7F0A" w:rsidRPr="00EE43C6" w:rsidRDefault="004D7F0A" w:rsidP="00CE3B94">
            <w:pPr>
              <w:widowControl w:val="0"/>
              <w:adjustRightInd w:val="0"/>
              <w:spacing w:before="0" w:after="0"/>
              <w:jc w:val="center"/>
              <w:textAlignment w:val="baseline"/>
              <w:rPr>
                <w:b/>
                <w:bCs/>
                <w:caps/>
                <w:color w:val="41AD49"/>
                <w:sz w:val="44"/>
                <w:szCs w:val="44"/>
              </w:rPr>
            </w:pPr>
            <w:r w:rsidRPr="00EE43C6">
              <w:rPr>
                <w:b/>
                <w:noProof/>
              </w:rPr>
              <w:drawing>
                <wp:inline distT="0" distB="0" distL="0" distR="0" wp14:anchorId="4ECD0337" wp14:editId="64CA7E69">
                  <wp:extent cx="4391448" cy="2466975"/>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391448"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4D509DBC" w14:textId="77777777" w:rsidR="004D7F0A" w:rsidRPr="00EE43C6" w:rsidRDefault="004D7F0A" w:rsidP="00962A52">
            <w:pPr>
              <w:widowControl w:val="0"/>
              <w:adjustRightInd w:val="0"/>
              <w:spacing w:before="0" w:after="0"/>
              <w:jc w:val="center"/>
              <w:textAlignment w:val="baseline"/>
              <w:rPr>
                <w:b/>
                <w:bCs/>
                <w:color w:val="41AD49"/>
                <w:sz w:val="40"/>
                <w:szCs w:val="40"/>
              </w:rPr>
            </w:pPr>
            <w:r w:rsidRPr="00EE43C6">
              <w:rPr>
                <w:b/>
                <w:bCs/>
                <w:color w:val="41AD49"/>
                <w:sz w:val="40"/>
                <w:szCs w:val="40"/>
              </w:rPr>
              <w:t xml:space="preserve">ENVIRONMENTAL AND SOCIAL </w:t>
            </w:r>
          </w:p>
          <w:p w14:paraId="7BC25303" w14:textId="77777777" w:rsidR="004D7F0A" w:rsidRPr="00EE43C6" w:rsidRDefault="004D7F0A" w:rsidP="00962A52">
            <w:pPr>
              <w:widowControl w:val="0"/>
              <w:adjustRightInd w:val="0"/>
              <w:spacing w:before="0" w:after="0"/>
              <w:jc w:val="center"/>
              <w:textAlignment w:val="baseline"/>
              <w:rPr>
                <w:b/>
                <w:bCs/>
                <w:color w:val="41AD49"/>
                <w:sz w:val="40"/>
                <w:szCs w:val="40"/>
              </w:rPr>
            </w:pPr>
            <w:r w:rsidRPr="00EE43C6">
              <w:rPr>
                <w:b/>
                <w:bCs/>
                <w:color w:val="41AD49"/>
                <w:sz w:val="40"/>
                <w:szCs w:val="40"/>
              </w:rPr>
              <w:t>MANAGEMENT PLAN</w:t>
            </w:r>
          </w:p>
          <w:p w14:paraId="4FAE3CC3" w14:textId="77777777" w:rsidR="004D7F0A" w:rsidRPr="00EE43C6" w:rsidRDefault="004D7F0A" w:rsidP="00962A52">
            <w:pPr>
              <w:widowControl w:val="0"/>
              <w:adjustRightInd w:val="0"/>
              <w:spacing w:before="0" w:after="0"/>
              <w:jc w:val="center"/>
              <w:textAlignment w:val="baseline"/>
              <w:rPr>
                <w:b/>
                <w:bCs/>
                <w:color w:val="41AD49"/>
                <w:sz w:val="40"/>
                <w:szCs w:val="40"/>
              </w:rPr>
            </w:pPr>
            <w:r w:rsidRPr="00EE43C6">
              <w:rPr>
                <w:b/>
                <w:bCs/>
                <w:color w:val="41AD49"/>
                <w:sz w:val="40"/>
                <w:szCs w:val="40"/>
              </w:rPr>
              <w:t>(ESMP)</w:t>
            </w:r>
          </w:p>
          <w:p w14:paraId="56C03DB4" w14:textId="53326735" w:rsidR="00CE3B94" w:rsidRPr="00EE43C6" w:rsidRDefault="00CE3B94" w:rsidP="00962A52">
            <w:pPr>
              <w:widowControl w:val="0"/>
              <w:adjustRightInd w:val="0"/>
              <w:spacing w:before="0" w:after="0"/>
              <w:jc w:val="center"/>
              <w:textAlignment w:val="baseline"/>
              <w:rPr>
                <w:b/>
                <w:bCs/>
                <w:color w:val="41AD49"/>
                <w:sz w:val="42"/>
                <w:szCs w:val="42"/>
              </w:rPr>
            </w:pPr>
          </w:p>
        </w:tc>
      </w:tr>
      <w:tr w:rsidR="004D7F0A" w:rsidRPr="00EE43C6" w14:paraId="241B8514" w14:textId="77777777" w:rsidTr="004C60B9">
        <w:trPr>
          <w:trHeight w:val="1919"/>
        </w:trPr>
        <w:tc>
          <w:tcPr>
            <w:tcW w:w="8640" w:type="dxa"/>
            <w:tcBorders>
              <w:top w:val="single" w:sz="24" w:space="0" w:color="00B050"/>
              <w:bottom w:val="single" w:sz="24" w:space="0" w:color="00B050"/>
            </w:tcBorders>
          </w:tcPr>
          <w:p w14:paraId="6F7C0DBB" w14:textId="3665CF25" w:rsidR="004D7F0A" w:rsidRPr="00EE43C6" w:rsidRDefault="00962A52" w:rsidP="003C297A">
            <w:pPr>
              <w:widowControl w:val="0"/>
              <w:adjustRightInd w:val="0"/>
              <w:spacing w:line="240" w:lineRule="auto"/>
              <w:textAlignment w:val="baseline"/>
              <w:rPr>
                <w:b/>
                <w:bCs/>
                <w:sz w:val="20"/>
                <w:szCs w:val="20"/>
                <w:highlight w:val="yellow"/>
              </w:rPr>
            </w:pPr>
            <w:r w:rsidRPr="00EE43C6">
              <w:rPr>
                <w:noProof/>
                <w:highlight w:val="yellow"/>
              </w:rPr>
              <w:drawing>
                <wp:anchor distT="0" distB="0" distL="114300" distR="114300" simplePos="0" relativeHeight="251658240" behindDoc="0" locked="0" layoutInCell="1" allowOverlap="1" wp14:anchorId="0D64DDD3" wp14:editId="2753FD0C">
                  <wp:simplePos x="0" y="0"/>
                  <wp:positionH relativeFrom="column">
                    <wp:posOffset>5079365</wp:posOffset>
                  </wp:positionH>
                  <wp:positionV relativeFrom="paragraph">
                    <wp:posOffset>5080</wp:posOffset>
                  </wp:positionV>
                  <wp:extent cx="425223" cy="119062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36831" t="3333" b="4667"/>
                          <a:stretch/>
                        </pic:blipFill>
                        <pic:spPr bwMode="auto">
                          <a:xfrm>
                            <a:off x="0" y="0"/>
                            <a:ext cx="425223"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7B9F8" w14:textId="4C30413F" w:rsidR="004D7F0A" w:rsidRPr="00EE43C6" w:rsidRDefault="00EC5974" w:rsidP="003C297A">
            <w:pPr>
              <w:widowControl w:val="0"/>
              <w:adjustRightInd w:val="0"/>
              <w:spacing w:line="240" w:lineRule="auto"/>
              <w:jc w:val="center"/>
              <w:textAlignment w:val="baseline"/>
              <w:rPr>
                <w:b/>
                <w:bCs/>
                <w:color w:val="00AEEC"/>
                <w:sz w:val="24"/>
              </w:rPr>
            </w:pPr>
            <w:r>
              <w:rPr>
                <w:b/>
                <w:bCs/>
                <w:color w:val="00AEEC"/>
                <w:sz w:val="24"/>
              </w:rPr>
              <w:t>JULY</w:t>
            </w:r>
            <w:r w:rsidRPr="00EE43C6">
              <w:rPr>
                <w:b/>
                <w:bCs/>
                <w:color w:val="00AEEC"/>
                <w:sz w:val="24"/>
              </w:rPr>
              <w:t xml:space="preserve"> </w:t>
            </w:r>
            <w:r w:rsidR="004D7F0A" w:rsidRPr="00EE43C6">
              <w:rPr>
                <w:b/>
                <w:bCs/>
                <w:color w:val="00AEEC"/>
                <w:sz w:val="24"/>
              </w:rPr>
              <w:t>202</w:t>
            </w:r>
            <w:r w:rsidR="00407C64" w:rsidRPr="00EE43C6">
              <w:rPr>
                <w:b/>
                <w:bCs/>
                <w:color w:val="00AEEC"/>
                <w:sz w:val="24"/>
              </w:rPr>
              <w:t>3</w:t>
            </w:r>
          </w:p>
          <w:p w14:paraId="60161C75" w14:textId="77777777" w:rsidR="004D7F0A" w:rsidRPr="00EE43C6" w:rsidRDefault="004D7F0A" w:rsidP="003C297A">
            <w:pPr>
              <w:widowControl w:val="0"/>
              <w:adjustRightInd w:val="0"/>
              <w:spacing w:line="240" w:lineRule="auto"/>
              <w:jc w:val="center"/>
              <w:textAlignment w:val="baseline"/>
              <w:rPr>
                <w:b/>
                <w:bCs/>
                <w:color w:val="41AD49"/>
                <w:sz w:val="24"/>
              </w:rPr>
            </w:pPr>
            <w:r w:rsidRPr="00EE43C6">
              <w:rPr>
                <w:b/>
                <w:bCs/>
                <w:color w:val="41AD49"/>
                <w:sz w:val="24"/>
              </w:rPr>
              <w:t>ANKARA</w:t>
            </w:r>
          </w:p>
          <w:p w14:paraId="4B4EABA4" w14:textId="77777777" w:rsidR="004D7F0A" w:rsidRPr="00EE43C6" w:rsidRDefault="004D7F0A" w:rsidP="003C297A">
            <w:pPr>
              <w:widowControl w:val="0"/>
              <w:adjustRightInd w:val="0"/>
              <w:spacing w:line="240" w:lineRule="auto"/>
              <w:textAlignment w:val="baseline"/>
              <w:rPr>
                <w:b/>
                <w:bCs/>
                <w:color w:val="41AD49"/>
                <w:sz w:val="20"/>
                <w:szCs w:val="20"/>
                <w:highlight w:val="yellow"/>
                <w:u w:val="single"/>
              </w:rPr>
            </w:pPr>
          </w:p>
        </w:tc>
      </w:tr>
    </w:tbl>
    <w:p w14:paraId="5F800B66" w14:textId="77777777" w:rsidR="004C60B9" w:rsidRDefault="004C60B9" w:rsidP="003C297A">
      <w:pPr>
        <w:widowControl w:val="0"/>
        <w:adjustRightInd w:val="0"/>
        <w:spacing w:line="240" w:lineRule="auto"/>
        <w:textAlignment w:val="baseline"/>
        <w:rPr>
          <w:noProof/>
          <w:highlight w:val="yellow"/>
        </w:rPr>
        <w:sectPr w:rsidR="004C60B9" w:rsidSect="00CF7699">
          <w:headerReference w:type="default" r:id="rId13"/>
          <w:pgSz w:w="11900" w:h="16840" w:code="9"/>
          <w:pgMar w:top="1418" w:right="1418" w:bottom="1276" w:left="1418" w:header="709" w:footer="425" w:gutter="0"/>
          <w:cols w:space="708"/>
          <w:docGrid w:linePitch="360"/>
        </w:sectPr>
      </w:pPr>
    </w:p>
    <w:p w14:paraId="329DDA01" w14:textId="452762DE" w:rsidR="004423C9" w:rsidRPr="00EE43C6" w:rsidRDefault="00407C64" w:rsidP="00CF7699">
      <w:pPr>
        <w:spacing w:before="0" w:after="0" w:line="240" w:lineRule="auto"/>
        <w:jc w:val="center"/>
        <w:rPr>
          <w:rFonts w:cs="MS Gothic"/>
          <w:b/>
          <w:color w:val="00AEEC"/>
          <w:sz w:val="36"/>
          <w:szCs w:val="36"/>
        </w:rPr>
      </w:pPr>
      <w:bookmarkStart w:id="0" w:name="_Toc58519530"/>
      <w:bookmarkStart w:id="1" w:name="_Toc58519537"/>
      <w:bookmarkStart w:id="2" w:name="_Toc58519539"/>
      <w:bookmarkStart w:id="3" w:name="_Toc58519551"/>
      <w:r w:rsidRPr="00EE43C6">
        <w:rPr>
          <w:rFonts w:cs="MS Gothic"/>
          <w:b/>
          <w:color w:val="00AEEC"/>
          <w:sz w:val="36"/>
          <w:szCs w:val="36"/>
        </w:rPr>
        <w:lastRenderedPageBreak/>
        <w:t>MERSIN TARSUS AGRICULTURAL PRODUCT PROCESSING SPECIALIZED</w:t>
      </w:r>
    </w:p>
    <w:p w14:paraId="034B8C3D" w14:textId="12CBE1B0" w:rsidR="004423C9" w:rsidRPr="00EE43C6" w:rsidRDefault="00407C64" w:rsidP="00CF7699">
      <w:pPr>
        <w:spacing w:before="0" w:after="0" w:line="240" w:lineRule="auto"/>
        <w:jc w:val="center"/>
        <w:rPr>
          <w:rFonts w:cs="MS Gothic"/>
          <w:b/>
          <w:color w:val="00AEEC"/>
          <w:sz w:val="36"/>
          <w:szCs w:val="36"/>
        </w:rPr>
      </w:pPr>
      <w:r w:rsidRPr="00EE43C6">
        <w:rPr>
          <w:rFonts w:cs="MS Gothic"/>
          <w:b/>
          <w:color w:val="00AEEC"/>
          <w:sz w:val="36"/>
          <w:szCs w:val="36"/>
        </w:rPr>
        <w:t>ORGANIZED INDUST</w:t>
      </w:r>
      <w:r w:rsidR="00962A52" w:rsidRPr="00EE43C6">
        <w:rPr>
          <w:rFonts w:cs="MS Gothic"/>
          <w:b/>
          <w:color w:val="00AEEC"/>
          <w:sz w:val="36"/>
          <w:szCs w:val="36"/>
        </w:rPr>
        <w:t>RIAL</w:t>
      </w:r>
      <w:r w:rsidRPr="00EE43C6">
        <w:rPr>
          <w:rFonts w:cs="MS Gothic"/>
          <w:b/>
          <w:color w:val="00AEEC"/>
          <w:sz w:val="36"/>
          <w:szCs w:val="36"/>
        </w:rPr>
        <w:t xml:space="preserve"> </w:t>
      </w:r>
      <w:r w:rsidR="00962A52" w:rsidRPr="00EE43C6">
        <w:rPr>
          <w:rFonts w:cs="MS Gothic"/>
          <w:b/>
          <w:color w:val="00AEEC"/>
          <w:sz w:val="36"/>
          <w:szCs w:val="36"/>
        </w:rPr>
        <w:t>ZONE</w:t>
      </w:r>
    </w:p>
    <w:p w14:paraId="5386DC91" w14:textId="363382D0" w:rsidR="00294000" w:rsidRPr="00EE43C6" w:rsidRDefault="004423C9" w:rsidP="00CF7699">
      <w:pPr>
        <w:spacing w:before="0" w:after="0" w:line="240" w:lineRule="auto"/>
        <w:jc w:val="center"/>
        <w:rPr>
          <w:rFonts w:eastAsia="Cambria" w:cs="MS Gothic"/>
          <w:b/>
          <w:color w:val="00AEEC"/>
          <w:sz w:val="28"/>
          <w:szCs w:val="28"/>
        </w:rPr>
      </w:pPr>
      <w:r w:rsidRPr="00EE43C6">
        <w:rPr>
          <w:rFonts w:cs="MS Gothic"/>
          <w:b/>
          <w:color w:val="00AEEC"/>
          <w:sz w:val="36"/>
          <w:szCs w:val="36"/>
        </w:rPr>
        <w:t>BASIC INFRASTRUCTURE</w:t>
      </w:r>
      <w:r w:rsidR="00A56F87" w:rsidRPr="00EE43C6">
        <w:rPr>
          <w:rFonts w:cs="MS Gothic"/>
          <w:b/>
          <w:color w:val="00AEEC"/>
          <w:sz w:val="36"/>
          <w:szCs w:val="36"/>
        </w:rPr>
        <w:t xml:space="preserve"> </w:t>
      </w:r>
      <w:r w:rsidRPr="00EE43C6">
        <w:rPr>
          <w:rFonts w:cs="MS Gothic"/>
          <w:b/>
          <w:color w:val="00AEEC"/>
          <w:sz w:val="36"/>
          <w:szCs w:val="36"/>
        </w:rPr>
        <w:t>PROJECT</w:t>
      </w:r>
    </w:p>
    <w:p w14:paraId="20783683" w14:textId="77777777" w:rsidR="004339AC" w:rsidRPr="00EE43C6" w:rsidRDefault="004339AC" w:rsidP="00CF7699">
      <w:pPr>
        <w:spacing w:before="0" w:after="0" w:line="240" w:lineRule="auto"/>
        <w:jc w:val="center"/>
        <w:rPr>
          <w:rFonts w:ascii="Times New Roman" w:eastAsiaTheme="minorHAnsi" w:hAnsi="Times New Roman"/>
          <w:b/>
          <w:sz w:val="36"/>
          <w:szCs w:val="36"/>
        </w:rPr>
      </w:pPr>
    </w:p>
    <w:p w14:paraId="397F3FC2" w14:textId="77777777" w:rsidR="00294000" w:rsidRPr="00EE43C6" w:rsidRDefault="00294000" w:rsidP="00CF7699">
      <w:pPr>
        <w:spacing w:before="0" w:after="0" w:line="240" w:lineRule="auto"/>
        <w:jc w:val="center"/>
        <w:rPr>
          <w:rFonts w:cs="MS Gothic"/>
          <w:color w:val="00B050"/>
          <w:sz w:val="36"/>
          <w:szCs w:val="36"/>
        </w:rPr>
      </w:pPr>
      <w:r w:rsidRPr="00EE43C6">
        <w:rPr>
          <w:rFonts w:cs="MS Gothic"/>
          <w:color w:val="00B050"/>
          <w:sz w:val="36"/>
          <w:szCs w:val="36"/>
        </w:rPr>
        <w:t xml:space="preserve">ENVIRONMENTAL AND SOCIAL </w:t>
      </w:r>
    </w:p>
    <w:p w14:paraId="703C7D56" w14:textId="7A26149C" w:rsidR="004339AC" w:rsidRPr="004C60B9" w:rsidRDefault="00294000" w:rsidP="004C60B9">
      <w:pPr>
        <w:spacing w:before="0" w:after="0" w:line="240" w:lineRule="auto"/>
        <w:jc w:val="center"/>
        <w:rPr>
          <w:rFonts w:cs="MS Gothic"/>
          <w:color w:val="00B050"/>
          <w:sz w:val="36"/>
          <w:szCs w:val="36"/>
        </w:rPr>
      </w:pPr>
      <w:r w:rsidRPr="00EE43C6">
        <w:rPr>
          <w:rFonts w:cs="MS Gothic"/>
          <w:color w:val="00B050"/>
          <w:sz w:val="36"/>
          <w:szCs w:val="36"/>
        </w:rPr>
        <w:t>MANAGEMENT PLAN (ESMP)</w:t>
      </w:r>
    </w:p>
    <w:tbl>
      <w:tblPr>
        <w:tblW w:w="5051"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3"/>
        <w:gridCol w:w="252"/>
        <w:gridCol w:w="322"/>
        <w:gridCol w:w="1291"/>
        <w:gridCol w:w="1269"/>
        <w:gridCol w:w="1118"/>
        <w:gridCol w:w="1542"/>
        <w:gridCol w:w="1469"/>
        <w:gridCol w:w="1590"/>
      </w:tblGrid>
      <w:tr w:rsidR="008822E4" w:rsidRPr="00EE43C6" w14:paraId="094622FE" w14:textId="77777777" w:rsidTr="00CF7699">
        <w:trPr>
          <w:cantSplit/>
          <w:trHeight w:val="633"/>
        </w:trPr>
        <w:tc>
          <w:tcPr>
            <w:tcW w:w="160" w:type="pct"/>
            <w:shd w:val="clear" w:color="auto" w:fill="4F81BD"/>
            <w:textDirection w:val="btLr"/>
            <w:vAlign w:val="center"/>
          </w:tcPr>
          <w:p w14:paraId="6A01CB57" w14:textId="77777777" w:rsidR="00064A07" w:rsidRPr="00EE43C6" w:rsidRDefault="00064A07" w:rsidP="003C297A">
            <w:pPr>
              <w:spacing w:before="0" w:after="0" w:line="240" w:lineRule="auto"/>
              <w:ind w:right="-239" w:hanging="289"/>
              <w:jc w:val="center"/>
              <w:rPr>
                <w:rFonts w:eastAsia="DengXian" w:cs="MS Gothic"/>
                <w:b/>
                <w:color w:val="FFFFFF"/>
                <w:sz w:val="16"/>
                <w:szCs w:val="16"/>
              </w:rPr>
            </w:pPr>
            <w:r w:rsidRPr="00EE43C6">
              <w:rPr>
                <w:rFonts w:eastAsia="DengXian" w:cs="MS Gothic"/>
                <w:b/>
                <w:color w:val="FFFFFF"/>
                <w:sz w:val="16"/>
                <w:szCs w:val="16"/>
              </w:rPr>
              <w:t>Version</w:t>
            </w:r>
          </w:p>
        </w:tc>
        <w:tc>
          <w:tcPr>
            <w:tcW w:w="138" w:type="pct"/>
            <w:shd w:val="clear" w:color="auto" w:fill="4F81BD"/>
            <w:textDirection w:val="btLr"/>
            <w:vAlign w:val="center"/>
          </w:tcPr>
          <w:p w14:paraId="61E2C6DC" w14:textId="77777777" w:rsidR="00064A07" w:rsidRPr="00EE43C6" w:rsidRDefault="00064A07" w:rsidP="003C297A">
            <w:pPr>
              <w:spacing w:before="0" w:after="0" w:line="240" w:lineRule="auto"/>
              <w:ind w:right="-239" w:hanging="289"/>
              <w:jc w:val="center"/>
              <w:rPr>
                <w:rFonts w:eastAsia="DengXian" w:cs="MS Gothic"/>
                <w:b/>
                <w:color w:val="FFFFFF"/>
                <w:sz w:val="16"/>
                <w:szCs w:val="16"/>
              </w:rPr>
            </w:pPr>
            <w:r w:rsidRPr="00EE43C6">
              <w:rPr>
                <w:rFonts w:eastAsia="DengXian" w:cs="MS Gothic"/>
                <w:b/>
                <w:color w:val="FFFFFF"/>
                <w:sz w:val="16"/>
                <w:szCs w:val="16"/>
              </w:rPr>
              <w:t>Revision</w:t>
            </w:r>
          </w:p>
        </w:tc>
        <w:tc>
          <w:tcPr>
            <w:tcW w:w="176" w:type="pct"/>
            <w:shd w:val="clear" w:color="auto" w:fill="4F81BD"/>
            <w:textDirection w:val="btLr"/>
            <w:vAlign w:val="center"/>
          </w:tcPr>
          <w:p w14:paraId="53F3CDB2" w14:textId="77777777" w:rsidR="00064A07" w:rsidRPr="00EE43C6" w:rsidRDefault="00064A07" w:rsidP="003C297A">
            <w:pPr>
              <w:spacing w:before="0" w:after="0" w:line="240" w:lineRule="auto"/>
              <w:ind w:right="-239" w:hanging="289"/>
              <w:jc w:val="center"/>
              <w:rPr>
                <w:rFonts w:eastAsia="DengXian" w:cs="MS Gothic"/>
                <w:b/>
                <w:color w:val="FFFFFF"/>
                <w:sz w:val="16"/>
                <w:szCs w:val="16"/>
              </w:rPr>
            </w:pPr>
            <w:r w:rsidRPr="00EE43C6">
              <w:rPr>
                <w:rFonts w:eastAsia="DengXian" w:cs="MS Gothic"/>
                <w:b/>
                <w:color w:val="FFFFFF"/>
                <w:sz w:val="16"/>
                <w:szCs w:val="16"/>
              </w:rPr>
              <w:t>Date</w:t>
            </w:r>
          </w:p>
        </w:tc>
        <w:tc>
          <w:tcPr>
            <w:tcW w:w="706" w:type="pct"/>
            <w:tcBorders>
              <w:bottom w:val="single" w:sz="4" w:space="0" w:color="000000"/>
            </w:tcBorders>
            <w:shd w:val="clear" w:color="auto" w:fill="4F81BD"/>
            <w:vAlign w:val="center"/>
          </w:tcPr>
          <w:p w14:paraId="4B271575" w14:textId="77777777" w:rsidR="00064A07" w:rsidRPr="00EE43C6" w:rsidRDefault="00064A07" w:rsidP="003C297A">
            <w:pPr>
              <w:spacing w:before="0" w:after="0" w:line="240" w:lineRule="auto"/>
              <w:ind w:right="-142"/>
              <w:jc w:val="center"/>
              <w:rPr>
                <w:rFonts w:eastAsia="DengXian" w:cs="MS Gothic"/>
                <w:b/>
                <w:color w:val="FFFFFF"/>
                <w:sz w:val="16"/>
                <w:szCs w:val="16"/>
              </w:rPr>
            </w:pPr>
            <w:r w:rsidRPr="00EE43C6">
              <w:rPr>
                <w:rFonts w:eastAsia="DengXian" w:cs="MS Gothic"/>
                <w:b/>
                <w:color w:val="FFFFFF"/>
                <w:sz w:val="16"/>
                <w:szCs w:val="16"/>
              </w:rPr>
              <w:t>Prepared by</w:t>
            </w:r>
          </w:p>
        </w:tc>
        <w:tc>
          <w:tcPr>
            <w:tcW w:w="694" w:type="pct"/>
            <w:shd w:val="clear" w:color="auto" w:fill="4F81BD"/>
            <w:vAlign w:val="center"/>
          </w:tcPr>
          <w:p w14:paraId="356F03A5" w14:textId="77777777" w:rsidR="00064A07" w:rsidRPr="00EE43C6" w:rsidRDefault="00064A07" w:rsidP="003C297A">
            <w:pPr>
              <w:spacing w:before="0" w:after="0" w:line="240" w:lineRule="auto"/>
              <w:jc w:val="center"/>
              <w:rPr>
                <w:rFonts w:eastAsia="DengXian" w:cs="MS Gothic"/>
                <w:b/>
                <w:color w:val="FFFFFF"/>
                <w:sz w:val="16"/>
                <w:szCs w:val="16"/>
              </w:rPr>
            </w:pPr>
            <w:r w:rsidRPr="00EE43C6">
              <w:rPr>
                <w:rFonts w:eastAsia="DengXian" w:cs="MS Gothic"/>
                <w:b/>
                <w:color w:val="FFFFFF"/>
                <w:sz w:val="16"/>
                <w:szCs w:val="16"/>
              </w:rPr>
              <w:t>Prepared by</w:t>
            </w:r>
          </w:p>
        </w:tc>
        <w:tc>
          <w:tcPr>
            <w:tcW w:w="611" w:type="pct"/>
            <w:shd w:val="clear" w:color="auto" w:fill="4F81BD"/>
            <w:vAlign w:val="center"/>
          </w:tcPr>
          <w:p w14:paraId="7EEB981F" w14:textId="77777777" w:rsidR="00064A07" w:rsidRPr="00EE43C6" w:rsidRDefault="00064A07" w:rsidP="003C297A">
            <w:pPr>
              <w:spacing w:before="0" w:after="0" w:line="240" w:lineRule="auto"/>
              <w:jc w:val="center"/>
              <w:rPr>
                <w:rFonts w:eastAsia="DengXian" w:cs="MS Gothic"/>
                <w:b/>
                <w:color w:val="FFFFFF"/>
                <w:sz w:val="16"/>
                <w:szCs w:val="16"/>
              </w:rPr>
            </w:pPr>
            <w:r w:rsidRPr="00EE43C6">
              <w:rPr>
                <w:rFonts w:eastAsia="DengXian" w:cs="MS Gothic"/>
                <w:b/>
                <w:color w:val="FFFFFF"/>
                <w:sz w:val="16"/>
                <w:szCs w:val="16"/>
              </w:rPr>
              <w:t>Prepared by</w:t>
            </w:r>
          </w:p>
        </w:tc>
        <w:tc>
          <w:tcPr>
            <w:tcW w:w="843" w:type="pct"/>
            <w:shd w:val="clear" w:color="auto" w:fill="4F81BD"/>
            <w:vAlign w:val="center"/>
          </w:tcPr>
          <w:p w14:paraId="2F37CC88" w14:textId="77777777" w:rsidR="00064A07" w:rsidRPr="00EE43C6" w:rsidRDefault="00064A07" w:rsidP="003C297A">
            <w:pPr>
              <w:spacing w:before="0" w:after="0" w:line="240" w:lineRule="auto"/>
              <w:jc w:val="center"/>
              <w:rPr>
                <w:rFonts w:eastAsia="DengXian" w:cs="MS Gothic"/>
                <w:b/>
                <w:color w:val="FFFFFF"/>
                <w:sz w:val="16"/>
                <w:szCs w:val="16"/>
              </w:rPr>
            </w:pPr>
            <w:r w:rsidRPr="00EE43C6">
              <w:rPr>
                <w:rFonts w:eastAsia="DengXian" w:cs="MS Gothic"/>
                <w:b/>
                <w:color w:val="FFFFFF"/>
                <w:sz w:val="16"/>
                <w:szCs w:val="16"/>
              </w:rPr>
              <w:t>Quality Management by</w:t>
            </w:r>
          </w:p>
        </w:tc>
        <w:tc>
          <w:tcPr>
            <w:tcW w:w="803" w:type="pct"/>
            <w:shd w:val="clear" w:color="auto" w:fill="4F81BD"/>
            <w:vAlign w:val="center"/>
          </w:tcPr>
          <w:p w14:paraId="0AAE4D35" w14:textId="77777777" w:rsidR="00064A07" w:rsidRPr="00EE43C6" w:rsidRDefault="00064A07" w:rsidP="003C297A">
            <w:pPr>
              <w:spacing w:before="0" w:after="0" w:line="240" w:lineRule="auto"/>
              <w:ind w:right="-142"/>
              <w:jc w:val="center"/>
              <w:rPr>
                <w:rFonts w:eastAsia="DengXian" w:cs="MS Gothic"/>
                <w:b/>
                <w:color w:val="FFFFFF"/>
                <w:sz w:val="16"/>
                <w:szCs w:val="16"/>
              </w:rPr>
            </w:pPr>
            <w:r w:rsidRPr="00EE43C6">
              <w:rPr>
                <w:rFonts w:eastAsia="DengXian" w:cs="MS Gothic"/>
                <w:b/>
                <w:color w:val="FFFFFF"/>
                <w:sz w:val="16"/>
                <w:szCs w:val="16"/>
              </w:rPr>
              <w:t>Controlled by</w:t>
            </w:r>
          </w:p>
        </w:tc>
        <w:tc>
          <w:tcPr>
            <w:tcW w:w="870" w:type="pct"/>
            <w:shd w:val="clear" w:color="auto" w:fill="4F81BD"/>
            <w:vAlign w:val="center"/>
          </w:tcPr>
          <w:p w14:paraId="5BD4AEE3" w14:textId="77777777" w:rsidR="00064A07" w:rsidRPr="00EE43C6" w:rsidRDefault="00064A07" w:rsidP="003C297A">
            <w:pPr>
              <w:spacing w:before="0" w:after="0" w:line="240" w:lineRule="auto"/>
              <w:ind w:right="-142"/>
              <w:jc w:val="center"/>
              <w:rPr>
                <w:rFonts w:eastAsia="DengXian" w:cs="MS Gothic"/>
                <w:b/>
                <w:color w:val="FFFFFF"/>
                <w:sz w:val="16"/>
                <w:szCs w:val="16"/>
              </w:rPr>
            </w:pPr>
            <w:r w:rsidRPr="00EE43C6">
              <w:rPr>
                <w:rFonts w:eastAsia="DengXian" w:cs="MS Gothic"/>
                <w:b/>
                <w:color w:val="FFFFFF"/>
                <w:sz w:val="16"/>
                <w:szCs w:val="16"/>
              </w:rPr>
              <w:t>Approved by</w:t>
            </w:r>
          </w:p>
        </w:tc>
      </w:tr>
      <w:tr w:rsidR="00C64E46" w:rsidRPr="00EE43C6" w14:paraId="0F719C32" w14:textId="77777777" w:rsidTr="00CF7699">
        <w:trPr>
          <w:trHeight w:val="293"/>
        </w:trPr>
        <w:tc>
          <w:tcPr>
            <w:tcW w:w="160" w:type="pct"/>
            <w:vMerge w:val="restart"/>
            <w:shd w:val="clear" w:color="auto" w:fill="auto"/>
            <w:textDirection w:val="btLr"/>
            <w:vAlign w:val="center"/>
          </w:tcPr>
          <w:p w14:paraId="2F5D3F80" w14:textId="77777777" w:rsidR="00C64E46" w:rsidRPr="00EE43C6" w:rsidRDefault="00C64E46" w:rsidP="00116000">
            <w:pPr>
              <w:spacing w:before="0" w:after="0" w:line="240" w:lineRule="auto"/>
              <w:jc w:val="center"/>
              <w:rPr>
                <w:rFonts w:eastAsia="DengXian" w:cs="MS Gothic"/>
                <w:color w:val="000000"/>
                <w:sz w:val="16"/>
                <w:szCs w:val="16"/>
              </w:rPr>
            </w:pPr>
            <w:bookmarkStart w:id="4" w:name="_Hlk111118769"/>
            <w:r w:rsidRPr="00EE43C6">
              <w:rPr>
                <w:rFonts w:eastAsia="DengXian" w:cs="MS Gothic"/>
                <w:color w:val="000000"/>
                <w:sz w:val="16"/>
                <w:szCs w:val="16"/>
              </w:rPr>
              <w:t>Draft</w:t>
            </w:r>
          </w:p>
          <w:p w14:paraId="62B92CA8" w14:textId="2E544A66" w:rsidR="00C64E46" w:rsidRPr="00EE43C6" w:rsidRDefault="00C64E46" w:rsidP="00506BCC">
            <w:pPr>
              <w:spacing w:before="0" w:after="0" w:line="240" w:lineRule="auto"/>
              <w:jc w:val="center"/>
              <w:rPr>
                <w:rFonts w:eastAsia="DengXian" w:cs="MS Gothic"/>
                <w:color w:val="000000"/>
                <w:sz w:val="16"/>
                <w:szCs w:val="16"/>
              </w:rPr>
            </w:pPr>
          </w:p>
        </w:tc>
        <w:tc>
          <w:tcPr>
            <w:tcW w:w="138" w:type="pct"/>
            <w:vMerge w:val="restart"/>
            <w:shd w:val="clear" w:color="auto" w:fill="auto"/>
            <w:textDirection w:val="btLr"/>
            <w:vAlign w:val="center"/>
          </w:tcPr>
          <w:p w14:paraId="74F326AF" w14:textId="77777777" w:rsidR="00C64E46" w:rsidRPr="00EE43C6" w:rsidRDefault="00C64E46" w:rsidP="00116000">
            <w:pPr>
              <w:spacing w:before="0" w:after="0" w:line="240" w:lineRule="auto"/>
              <w:jc w:val="center"/>
              <w:rPr>
                <w:rFonts w:eastAsia="DengXian" w:cs="MS Gothic"/>
                <w:color w:val="000000"/>
                <w:sz w:val="16"/>
                <w:szCs w:val="16"/>
              </w:rPr>
            </w:pPr>
            <w:r w:rsidRPr="00EE43C6">
              <w:rPr>
                <w:rFonts w:eastAsia="DengXian" w:cs="MS Gothic"/>
                <w:color w:val="000000"/>
                <w:sz w:val="16"/>
                <w:szCs w:val="16"/>
              </w:rPr>
              <w:t>A.0</w:t>
            </w:r>
          </w:p>
        </w:tc>
        <w:tc>
          <w:tcPr>
            <w:tcW w:w="176" w:type="pct"/>
            <w:vMerge w:val="restart"/>
            <w:shd w:val="clear" w:color="auto" w:fill="auto"/>
            <w:textDirection w:val="btLr"/>
            <w:vAlign w:val="center"/>
          </w:tcPr>
          <w:p w14:paraId="2F1FF8DE" w14:textId="1F7A2F1A" w:rsidR="00C64E46" w:rsidRPr="00EE43C6" w:rsidRDefault="00C64E46" w:rsidP="00116000">
            <w:pPr>
              <w:spacing w:before="0" w:after="0" w:line="240" w:lineRule="auto"/>
              <w:jc w:val="center"/>
              <w:rPr>
                <w:rFonts w:eastAsia="DengXian" w:cs="MS Gothic"/>
                <w:color w:val="000000"/>
                <w:sz w:val="16"/>
                <w:szCs w:val="16"/>
              </w:rPr>
            </w:pPr>
            <w:r w:rsidRPr="00EE43C6">
              <w:rPr>
                <w:rFonts w:eastAsia="DengXian" w:cs="MS Gothic"/>
                <w:color w:val="000000"/>
                <w:sz w:val="16"/>
                <w:szCs w:val="16"/>
              </w:rPr>
              <w:t xml:space="preserve"> February 2023</w:t>
            </w:r>
          </w:p>
        </w:tc>
        <w:tc>
          <w:tcPr>
            <w:tcW w:w="706" w:type="pct"/>
            <w:tcBorders>
              <w:bottom w:val="nil"/>
            </w:tcBorders>
            <w:shd w:val="clear" w:color="auto" w:fill="auto"/>
          </w:tcPr>
          <w:p w14:paraId="789B28B3" w14:textId="6C1C7EF5" w:rsidR="00C64E46" w:rsidRPr="00EE43C6" w:rsidRDefault="00C64E46" w:rsidP="00116000">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Eray Özen</w:t>
            </w:r>
          </w:p>
        </w:tc>
        <w:tc>
          <w:tcPr>
            <w:tcW w:w="694" w:type="pct"/>
            <w:tcBorders>
              <w:bottom w:val="nil"/>
            </w:tcBorders>
          </w:tcPr>
          <w:p w14:paraId="737542E0" w14:textId="1BE5C367" w:rsidR="00C64E46" w:rsidRPr="00EE43C6" w:rsidRDefault="00C64E46" w:rsidP="00116000">
            <w:pPr>
              <w:spacing w:before="0" w:after="0" w:line="240" w:lineRule="auto"/>
              <w:jc w:val="center"/>
              <w:rPr>
                <w:rFonts w:eastAsia="DengXian" w:cs="MS Gothic"/>
                <w:color w:val="000000"/>
                <w:sz w:val="16"/>
                <w:szCs w:val="16"/>
              </w:rPr>
            </w:pPr>
            <w:r w:rsidRPr="00EE43C6">
              <w:rPr>
                <w:rFonts w:eastAsia="DengXian" w:cs="MS Gothic"/>
                <w:color w:val="000000"/>
                <w:sz w:val="16"/>
                <w:szCs w:val="16"/>
              </w:rPr>
              <w:t>Onur Ali Taşkın</w:t>
            </w:r>
          </w:p>
        </w:tc>
        <w:tc>
          <w:tcPr>
            <w:tcW w:w="611" w:type="pct"/>
            <w:tcBorders>
              <w:bottom w:val="nil"/>
            </w:tcBorders>
          </w:tcPr>
          <w:p w14:paraId="74938249" w14:textId="77777777" w:rsidR="00C64E46" w:rsidRPr="00EE43C6" w:rsidRDefault="00C64E46" w:rsidP="00116000">
            <w:pPr>
              <w:spacing w:before="0" w:after="0" w:line="240" w:lineRule="auto"/>
              <w:jc w:val="center"/>
              <w:rPr>
                <w:rFonts w:eastAsia="DengXian" w:cs="MS Gothic"/>
                <w:color w:val="000000"/>
                <w:sz w:val="16"/>
                <w:szCs w:val="16"/>
              </w:rPr>
            </w:pPr>
            <w:r w:rsidRPr="00EE43C6">
              <w:rPr>
                <w:rFonts w:eastAsia="DengXian" w:cs="MS Gothic"/>
                <w:color w:val="000000"/>
                <w:sz w:val="16"/>
                <w:szCs w:val="16"/>
              </w:rPr>
              <w:t>Celal Denizli</w:t>
            </w:r>
          </w:p>
          <w:p w14:paraId="59FA0E8C" w14:textId="77777777" w:rsidR="00C64E46" w:rsidRPr="00EE43C6" w:rsidRDefault="00C64E46" w:rsidP="00116000">
            <w:pPr>
              <w:spacing w:before="0" w:after="0" w:line="240" w:lineRule="auto"/>
              <w:jc w:val="center"/>
              <w:rPr>
                <w:rFonts w:eastAsia="DengXian" w:cs="MS Gothic"/>
                <w:color w:val="000000"/>
                <w:sz w:val="16"/>
                <w:szCs w:val="16"/>
              </w:rPr>
            </w:pPr>
          </w:p>
        </w:tc>
        <w:tc>
          <w:tcPr>
            <w:tcW w:w="843" w:type="pct"/>
            <w:tcBorders>
              <w:bottom w:val="nil"/>
            </w:tcBorders>
          </w:tcPr>
          <w:p w14:paraId="690CFD94" w14:textId="669BAF75" w:rsidR="00C64E46" w:rsidRPr="00EE43C6" w:rsidRDefault="00C64E46" w:rsidP="00116000">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Esra Okumuşoğlu</w:t>
            </w:r>
          </w:p>
        </w:tc>
        <w:tc>
          <w:tcPr>
            <w:tcW w:w="803" w:type="pct"/>
            <w:tcBorders>
              <w:bottom w:val="nil"/>
            </w:tcBorders>
            <w:shd w:val="clear" w:color="auto" w:fill="auto"/>
          </w:tcPr>
          <w:p w14:paraId="3269061C" w14:textId="2A708C50" w:rsidR="00C64E46" w:rsidRPr="00EE43C6" w:rsidRDefault="00C64E46" w:rsidP="00116000">
            <w:pPr>
              <w:spacing w:before="0" w:after="0" w:line="240" w:lineRule="auto"/>
              <w:jc w:val="center"/>
              <w:rPr>
                <w:rFonts w:eastAsia="DengXian" w:cs="MS Gothic"/>
                <w:color w:val="000000"/>
                <w:sz w:val="16"/>
                <w:szCs w:val="16"/>
              </w:rPr>
            </w:pPr>
            <w:r w:rsidRPr="00EE43C6">
              <w:rPr>
                <w:sz w:val="16"/>
                <w:szCs w:val="18"/>
              </w:rPr>
              <w:t>D. Emre Kaya</w:t>
            </w:r>
          </w:p>
        </w:tc>
        <w:tc>
          <w:tcPr>
            <w:tcW w:w="870" w:type="pct"/>
            <w:tcBorders>
              <w:bottom w:val="nil"/>
            </w:tcBorders>
            <w:shd w:val="clear" w:color="auto" w:fill="auto"/>
          </w:tcPr>
          <w:p w14:paraId="021C36DE" w14:textId="5210811B" w:rsidR="00C64E46" w:rsidRPr="00EE43C6" w:rsidRDefault="00C64E46" w:rsidP="00116000">
            <w:pPr>
              <w:spacing w:before="0" w:after="0" w:line="240" w:lineRule="auto"/>
              <w:jc w:val="center"/>
              <w:rPr>
                <w:rFonts w:eastAsia="DengXian" w:cs="MS Gothic"/>
                <w:color w:val="000000"/>
                <w:sz w:val="16"/>
                <w:szCs w:val="16"/>
              </w:rPr>
            </w:pPr>
            <w:r w:rsidRPr="00EE43C6">
              <w:rPr>
                <w:rFonts w:eastAsia="DengXian" w:cs="MS Gothic"/>
                <w:color w:val="000000"/>
                <w:sz w:val="16"/>
                <w:szCs w:val="16"/>
              </w:rPr>
              <w:t>Turgay Eser</w:t>
            </w:r>
          </w:p>
        </w:tc>
      </w:tr>
      <w:tr w:rsidR="00C64E46" w:rsidRPr="00EE43C6" w14:paraId="2563DB44" w14:textId="77777777" w:rsidTr="00CF7699">
        <w:trPr>
          <w:trHeight w:val="190"/>
        </w:trPr>
        <w:tc>
          <w:tcPr>
            <w:tcW w:w="160" w:type="pct"/>
            <w:vMerge/>
            <w:shd w:val="clear" w:color="auto" w:fill="auto"/>
            <w:textDirection w:val="btLr"/>
            <w:vAlign w:val="center"/>
          </w:tcPr>
          <w:p w14:paraId="1481F0D4" w14:textId="5ED6A518" w:rsidR="00C64E46" w:rsidRPr="00EE43C6" w:rsidRDefault="00C64E46" w:rsidP="00506BCC">
            <w:pPr>
              <w:spacing w:before="0" w:after="0" w:line="240" w:lineRule="auto"/>
              <w:jc w:val="center"/>
              <w:rPr>
                <w:rFonts w:eastAsia="DengXian" w:cs="MS Gothic"/>
                <w:color w:val="000000"/>
                <w:sz w:val="16"/>
                <w:szCs w:val="16"/>
              </w:rPr>
            </w:pPr>
          </w:p>
        </w:tc>
        <w:tc>
          <w:tcPr>
            <w:tcW w:w="138" w:type="pct"/>
            <w:vMerge/>
            <w:shd w:val="clear" w:color="auto" w:fill="auto"/>
            <w:textDirection w:val="btLr"/>
            <w:vAlign w:val="center"/>
          </w:tcPr>
          <w:p w14:paraId="5800A425" w14:textId="77777777" w:rsidR="00C64E46" w:rsidRPr="00EE43C6" w:rsidRDefault="00C64E46" w:rsidP="00116000">
            <w:pPr>
              <w:spacing w:before="0" w:after="0" w:line="240" w:lineRule="auto"/>
              <w:jc w:val="center"/>
              <w:rPr>
                <w:rFonts w:eastAsia="DengXian" w:cs="MS Gothic"/>
                <w:color w:val="000000"/>
                <w:sz w:val="16"/>
                <w:szCs w:val="16"/>
              </w:rPr>
            </w:pPr>
          </w:p>
        </w:tc>
        <w:tc>
          <w:tcPr>
            <w:tcW w:w="176" w:type="pct"/>
            <w:vMerge/>
            <w:shd w:val="clear" w:color="auto" w:fill="auto"/>
            <w:textDirection w:val="btLr"/>
            <w:vAlign w:val="center"/>
          </w:tcPr>
          <w:p w14:paraId="2BA602F3" w14:textId="77777777" w:rsidR="00C64E46" w:rsidRPr="00EE43C6" w:rsidRDefault="00C64E46" w:rsidP="00116000">
            <w:pPr>
              <w:spacing w:before="0" w:after="0" w:line="240" w:lineRule="auto"/>
              <w:jc w:val="center"/>
              <w:rPr>
                <w:rFonts w:eastAsia="DengXian" w:cs="MS Gothic"/>
                <w:color w:val="000000"/>
                <w:sz w:val="16"/>
                <w:szCs w:val="16"/>
              </w:rPr>
            </w:pPr>
          </w:p>
        </w:tc>
        <w:tc>
          <w:tcPr>
            <w:tcW w:w="706" w:type="pct"/>
            <w:tcBorders>
              <w:top w:val="nil"/>
            </w:tcBorders>
            <w:shd w:val="clear" w:color="auto" w:fill="auto"/>
          </w:tcPr>
          <w:p w14:paraId="1ACBE026" w14:textId="77777777" w:rsidR="00C64E46" w:rsidRPr="00EE43C6" w:rsidRDefault="00C64E46" w:rsidP="00116000">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w:t>
            </w:r>
          </w:p>
        </w:tc>
        <w:tc>
          <w:tcPr>
            <w:tcW w:w="694" w:type="pct"/>
            <w:tcBorders>
              <w:top w:val="nil"/>
            </w:tcBorders>
          </w:tcPr>
          <w:p w14:paraId="1A62CA4E" w14:textId="77777777" w:rsidR="00C64E46" w:rsidRPr="00EE43C6" w:rsidRDefault="00C64E46" w:rsidP="00116000">
            <w:pPr>
              <w:spacing w:before="0" w:after="0" w:line="240" w:lineRule="auto"/>
              <w:jc w:val="center"/>
              <w:rPr>
                <w:rFonts w:eastAsia="DengXian" w:cs="MS Gothic"/>
                <w:color w:val="000000"/>
                <w:sz w:val="16"/>
                <w:szCs w:val="16"/>
              </w:rPr>
            </w:pPr>
            <w:r w:rsidRPr="00EE43C6">
              <w:rPr>
                <w:rFonts w:eastAsia="DengXian" w:cs="MS Gothic"/>
                <w:color w:val="000000"/>
                <w:sz w:val="16"/>
                <w:szCs w:val="16"/>
              </w:rPr>
              <w:t>Sociologist</w:t>
            </w:r>
          </w:p>
        </w:tc>
        <w:tc>
          <w:tcPr>
            <w:tcW w:w="611" w:type="pct"/>
            <w:tcBorders>
              <w:top w:val="nil"/>
            </w:tcBorders>
          </w:tcPr>
          <w:p w14:paraId="5AF7C429" w14:textId="77777777" w:rsidR="00C64E46" w:rsidRPr="00EE43C6" w:rsidRDefault="00C64E46" w:rsidP="00116000">
            <w:pPr>
              <w:spacing w:before="0" w:after="0" w:line="240" w:lineRule="auto"/>
              <w:jc w:val="center"/>
              <w:rPr>
                <w:rFonts w:eastAsia="DengXian" w:cs="MS Gothic"/>
                <w:color w:val="000000"/>
                <w:sz w:val="16"/>
                <w:szCs w:val="16"/>
              </w:rPr>
            </w:pPr>
            <w:r w:rsidRPr="00EE43C6">
              <w:rPr>
                <w:rFonts w:eastAsia="DengXian" w:cs="MS Gothic"/>
                <w:color w:val="000000"/>
                <w:sz w:val="16"/>
                <w:szCs w:val="16"/>
              </w:rPr>
              <w:t>Biologist</w:t>
            </w:r>
          </w:p>
        </w:tc>
        <w:tc>
          <w:tcPr>
            <w:tcW w:w="843" w:type="pct"/>
            <w:tcBorders>
              <w:top w:val="nil"/>
            </w:tcBorders>
          </w:tcPr>
          <w:p w14:paraId="6E2D5114" w14:textId="77777777" w:rsidR="00C64E46" w:rsidRPr="00EE43C6" w:rsidRDefault="00C64E46" w:rsidP="00116000">
            <w:pPr>
              <w:spacing w:before="0" w:after="0" w:line="240" w:lineRule="auto"/>
              <w:jc w:val="center"/>
              <w:rPr>
                <w:rFonts w:eastAsia="DengXian" w:cs="MS Gothic"/>
                <w:color w:val="000000"/>
                <w:sz w:val="16"/>
                <w:szCs w:val="16"/>
              </w:rPr>
            </w:pPr>
            <w:r w:rsidRPr="00EE43C6">
              <w:rPr>
                <w:rFonts w:eastAsia="DengXian" w:cs="MS Gothic"/>
                <w:color w:val="000000"/>
                <w:sz w:val="16"/>
                <w:szCs w:val="16"/>
              </w:rPr>
              <w:t>Geological Engineer</w:t>
            </w:r>
          </w:p>
        </w:tc>
        <w:tc>
          <w:tcPr>
            <w:tcW w:w="803" w:type="pct"/>
            <w:tcBorders>
              <w:top w:val="nil"/>
            </w:tcBorders>
            <w:shd w:val="clear" w:color="auto" w:fill="auto"/>
          </w:tcPr>
          <w:p w14:paraId="5B8C5397" w14:textId="472E15E4" w:rsidR="00C64E46" w:rsidRPr="00EE43C6" w:rsidRDefault="00C64E46" w:rsidP="00116000">
            <w:pPr>
              <w:spacing w:before="0" w:after="0" w:line="240" w:lineRule="auto"/>
              <w:jc w:val="center"/>
              <w:rPr>
                <w:rFonts w:eastAsia="DengXian" w:cs="MS Gothic"/>
                <w:color w:val="000000"/>
                <w:sz w:val="16"/>
                <w:szCs w:val="16"/>
              </w:rPr>
            </w:pPr>
            <w:r w:rsidRPr="00EE43C6">
              <w:rPr>
                <w:sz w:val="16"/>
                <w:szCs w:val="18"/>
              </w:rPr>
              <w:t>Environmental Engineer, B.Sc.</w:t>
            </w:r>
          </w:p>
        </w:tc>
        <w:tc>
          <w:tcPr>
            <w:tcW w:w="870" w:type="pct"/>
            <w:tcBorders>
              <w:top w:val="nil"/>
            </w:tcBorders>
            <w:shd w:val="clear" w:color="auto" w:fill="auto"/>
          </w:tcPr>
          <w:p w14:paraId="316FB447" w14:textId="4EB894A4" w:rsidR="00C64E46" w:rsidRPr="00EE43C6" w:rsidRDefault="00C64E46" w:rsidP="00116000">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w:t>
            </w:r>
          </w:p>
        </w:tc>
      </w:tr>
      <w:tr w:rsidR="00C64E46" w:rsidRPr="00EE43C6" w14:paraId="5DCD7E2D" w14:textId="77777777" w:rsidTr="00CF7699">
        <w:trPr>
          <w:trHeight w:val="316"/>
        </w:trPr>
        <w:tc>
          <w:tcPr>
            <w:tcW w:w="160" w:type="pct"/>
            <w:vMerge/>
            <w:shd w:val="clear" w:color="auto" w:fill="auto"/>
            <w:textDirection w:val="btLr"/>
            <w:vAlign w:val="center"/>
          </w:tcPr>
          <w:p w14:paraId="02DF8085" w14:textId="5223FB5A" w:rsidR="00C64E46" w:rsidRPr="00EE43C6" w:rsidRDefault="00C64E46" w:rsidP="00506BCC">
            <w:pPr>
              <w:spacing w:before="0" w:after="0" w:line="240" w:lineRule="auto"/>
              <w:jc w:val="center"/>
              <w:rPr>
                <w:rFonts w:eastAsia="DengXian" w:cs="MS Gothic"/>
                <w:color w:val="000000"/>
                <w:sz w:val="16"/>
                <w:szCs w:val="16"/>
              </w:rPr>
            </w:pPr>
          </w:p>
        </w:tc>
        <w:tc>
          <w:tcPr>
            <w:tcW w:w="138" w:type="pct"/>
            <w:vMerge/>
            <w:shd w:val="clear" w:color="auto" w:fill="auto"/>
            <w:textDirection w:val="btLr"/>
            <w:vAlign w:val="center"/>
          </w:tcPr>
          <w:p w14:paraId="5352265D" w14:textId="77777777" w:rsidR="00C64E46" w:rsidRPr="00EE43C6" w:rsidRDefault="00C64E46" w:rsidP="00693B0B">
            <w:pPr>
              <w:spacing w:before="0" w:after="0" w:line="240" w:lineRule="auto"/>
              <w:jc w:val="center"/>
              <w:rPr>
                <w:rFonts w:eastAsia="DengXian" w:cs="MS Gothic"/>
                <w:color w:val="000000"/>
                <w:sz w:val="16"/>
                <w:szCs w:val="16"/>
              </w:rPr>
            </w:pPr>
          </w:p>
        </w:tc>
        <w:tc>
          <w:tcPr>
            <w:tcW w:w="176" w:type="pct"/>
            <w:vMerge/>
            <w:shd w:val="clear" w:color="auto" w:fill="auto"/>
            <w:textDirection w:val="btLr"/>
            <w:vAlign w:val="center"/>
          </w:tcPr>
          <w:p w14:paraId="11969289" w14:textId="77777777" w:rsidR="00C64E46" w:rsidRPr="00EE43C6" w:rsidRDefault="00C64E46" w:rsidP="00693B0B">
            <w:pPr>
              <w:spacing w:before="0" w:after="0" w:line="240" w:lineRule="auto"/>
              <w:jc w:val="center"/>
              <w:rPr>
                <w:rFonts w:eastAsia="DengXian" w:cs="MS Gothic"/>
                <w:color w:val="000000"/>
                <w:sz w:val="16"/>
                <w:szCs w:val="16"/>
              </w:rPr>
            </w:pPr>
          </w:p>
        </w:tc>
        <w:tc>
          <w:tcPr>
            <w:tcW w:w="706" w:type="pct"/>
            <w:tcBorders>
              <w:bottom w:val="single" w:sz="4" w:space="0" w:color="000000"/>
            </w:tcBorders>
            <w:shd w:val="clear" w:color="auto" w:fill="auto"/>
            <w:vAlign w:val="center"/>
          </w:tcPr>
          <w:p w14:paraId="58804698" w14:textId="77777777" w:rsidR="00C64E46" w:rsidRPr="00EE43C6" w:rsidRDefault="00C64E46" w:rsidP="00693B0B">
            <w:pPr>
              <w:spacing w:before="0" w:after="0" w:line="240" w:lineRule="auto"/>
              <w:jc w:val="center"/>
              <w:rPr>
                <w:rFonts w:eastAsia="DengXian" w:cs="MS Gothic"/>
                <w:color w:val="000000"/>
                <w:sz w:val="16"/>
                <w:szCs w:val="16"/>
              </w:rPr>
            </w:pPr>
          </w:p>
        </w:tc>
        <w:tc>
          <w:tcPr>
            <w:tcW w:w="694" w:type="pct"/>
            <w:tcBorders>
              <w:bottom w:val="single" w:sz="4" w:space="0" w:color="000000"/>
            </w:tcBorders>
          </w:tcPr>
          <w:p w14:paraId="4C21113B" w14:textId="77777777" w:rsidR="00C64E46" w:rsidRPr="00EE43C6" w:rsidRDefault="00C64E46" w:rsidP="00693B0B">
            <w:pPr>
              <w:spacing w:before="0" w:after="0" w:line="240" w:lineRule="auto"/>
              <w:jc w:val="center"/>
              <w:rPr>
                <w:rFonts w:eastAsia="DengXian" w:cs="MS Gothic"/>
                <w:color w:val="000000"/>
                <w:sz w:val="16"/>
                <w:szCs w:val="16"/>
              </w:rPr>
            </w:pPr>
          </w:p>
        </w:tc>
        <w:tc>
          <w:tcPr>
            <w:tcW w:w="611" w:type="pct"/>
            <w:tcBorders>
              <w:bottom w:val="single" w:sz="4" w:space="0" w:color="000000"/>
            </w:tcBorders>
          </w:tcPr>
          <w:p w14:paraId="2B9EE05F" w14:textId="77777777" w:rsidR="00C64E46" w:rsidRPr="00EE43C6" w:rsidRDefault="00C64E46" w:rsidP="00693B0B">
            <w:pPr>
              <w:spacing w:before="0" w:after="0" w:line="240" w:lineRule="auto"/>
              <w:jc w:val="center"/>
              <w:rPr>
                <w:rFonts w:eastAsia="DengXian" w:cs="MS Gothic"/>
                <w:color w:val="000000"/>
                <w:sz w:val="16"/>
                <w:szCs w:val="16"/>
              </w:rPr>
            </w:pPr>
          </w:p>
        </w:tc>
        <w:tc>
          <w:tcPr>
            <w:tcW w:w="843" w:type="pct"/>
            <w:tcBorders>
              <w:bottom w:val="single" w:sz="4" w:space="0" w:color="000000"/>
            </w:tcBorders>
          </w:tcPr>
          <w:p w14:paraId="0912717C" w14:textId="77777777" w:rsidR="00C64E46" w:rsidRPr="00EE43C6" w:rsidRDefault="00C64E46" w:rsidP="00693B0B">
            <w:pPr>
              <w:spacing w:before="0" w:after="0" w:line="240" w:lineRule="auto"/>
              <w:jc w:val="center"/>
              <w:rPr>
                <w:rFonts w:eastAsia="DengXian" w:cs="MS Gothic"/>
                <w:color w:val="000000"/>
                <w:sz w:val="16"/>
                <w:szCs w:val="16"/>
              </w:rPr>
            </w:pPr>
          </w:p>
        </w:tc>
        <w:tc>
          <w:tcPr>
            <w:tcW w:w="803" w:type="pct"/>
            <w:tcBorders>
              <w:bottom w:val="single" w:sz="4" w:space="0" w:color="000000"/>
            </w:tcBorders>
            <w:shd w:val="clear" w:color="auto" w:fill="auto"/>
            <w:vAlign w:val="center"/>
          </w:tcPr>
          <w:p w14:paraId="239854C7" w14:textId="77777777" w:rsidR="00C64E46" w:rsidRPr="00EE43C6" w:rsidRDefault="00C64E46" w:rsidP="00693B0B">
            <w:pPr>
              <w:spacing w:before="0" w:after="0" w:line="240" w:lineRule="auto"/>
              <w:jc w:val="center"/>
              <w:rPr>
                <w:rFonts w:eastAsia="DengXian" w:cs="MS Gothic"/>
                <w:color w:val="000000"/>
                <w:sz w:val="16"/>
                <w:szCs w:val="16"/>
              </w:rPr>
            </w:pPr>
          </w:p>
        </w:tc>
        <w:tc>
          <w:tcPr>
            <w:tcW w:w="870" w:type="pct"/>
            <w:shd w:val="clear" w:color="auto" w:fill="auto"/>
            <w:vAlign w:val="center"/>
          </w:tcPr>
          <w:p w14:paraId="25F908A6" w14:textId="77777777" w:rsidR="00C64E46" w:rsidRPr="00EE43C6" w:rsidRDefault="00C64E46" w:rsidP="00693B0B">
            <w:pPr>
              <w:spacing w:before="0" w:after="0" w:line="240" w:lineRule="auto"/>
              <w:jc w:val="center"/>
              <w:rPr>
                <w:rFonts w:eastAsia="DengXian" w:cs="MS Gothic"/>
                <w:color w:val="000000"/>
                <w:sz w:val="16"/>
                <w:szCs w:val="16"/>
              </w:rPr>
            </w:pPr>
          </w:p>
        </w:tc>
      </w:tr>
      <w:bookmarkEnd w:id="4"/>
      <w:tr w:rsidR="00C64E46" w:rsidRPr="00EE43C6" w14:paraId="2B790092" w14:textId="77777777" w:rsidTr="00CF7699">
        <w:trPr>
          <w:trHeight w:val="316"/>
        </w:trPr>
        <w:tc>
          <w:tcPr>
            <w:tcW w:w="160" w:type="pct"/>
            <w:vMerge/>
            <w:shd w:val="clear" w:color="auto" w:fill="auto"/>
            <w:textDirection w:val="btLr"/>
            <w:vAlign w:val="center"/>
          </w:tcPr>
          <w:p w14:paraId="19228DE9" w14:textId="18744D70" w:rsidR="00C64E46" w:rsidRPr="00EE43C6" w:rsidRDefault="00C64E46">
            <w:pPr>
              <w:spacing w:before="0" w:after="0" w:line="240" w:lineRule="auto"/>
              <w:jc w:val="center"/>
              <w:rPr>
                <w:rFonts w:eastAsia="DengXian" w:cs="MS Gothic"/>
                <w:color w:val="000000"/>
                <w:sz w:val="16"/>
                <w:szCs w:val="16"/>
              </w:rPr>
            </w:pPr>
          </w:p>
        </w:tc>
        <w:tc>
          <w:tcPr>
            <w:tcW w:w="138" w:type="pct"/>
            <w:vMerge w:val="restart"/>
            <w:shd w:val="clear" w:color="auto" w:fill="auto"/>
            <w:textDirection w:val="btLr"/>
            <w:vAlign w:val="center"/>
          </w:tcPr>
          <w:p w14:paraId="5DAAF3BE" w14:textId="22B2989F" w:rsidR="00C64E46" w:rsidRPr="00EE43C6" w:rsidRDefault="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A.1</w:t>
            </w:r>
          </w:p>
        </w:tc>
        <w:tc>
          <w:tcPr>
            <w:tcW w:w="176" w:type="pct"/>
            <w:vMerge w:val="restart"/>
            <w:shd w:val="clear" w:color="auto" w:fill="auto"/>
            <w:textDirection w:val="btLr"/>
            <w:vAlign w:val="center"/>
          </w:tcPr>
          <w:p w14:paraId="0255A089" w14:textId="77777777" w:rsidR="00C64E46" w:rsidRPr="00EE43C6" w:rsidRDefault="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 xml:space="preserve"> February 2023</w:t>
            </w:r>
          </w:p>
        </w:tc>
        <w:tc>
          <w:tcPr>
            <w:tcW w:w="706" w:type="pct"/>
            <w:tcBorders>
              <w:top w:val="single" w:sz="4" w:space="0" w:color="000000"/>
              <w:left w:val="single" w:sz="4" w:space="0" w:color="000000"/>
              <w:bottom w:val="nil"/>
              <w:right w:val="single" w:sz="4" w:space="0" w:color="000000"/>
            </w:tcBorders>
            <w:shd w:val="clear" w:color="auto" w:fill="auto"/>
          </w:tcPr>
          <w:p w14:paraId="29FC5973" w14:textId="77777777" w:rsidR="00C64E46" w:rsidRPr="00EE43C6" w:rsidRDefault="00C64E46" w:rsidP="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Eray Özen</w:t>
            </w:r>
          </w:p>
        </w:tc>
        <w:tc>
          <w:tcPr>
            <w:tcW w:w="694" w:type="pct"/>
            <w:tcBorders>
              <w:top w:val="single" w:sz="4" w:space="0" w:color="000000"/>
              <w:left w:val="single" w:sz="4" w:space="0" w:color="000000"/>
              <w:bottom w:val="nil"/>
              <w:right w:val="single" w:sz="4" w:space="0" w:color="000000"/>
            </w:tcBorders>
          </w:tcPr>
          <w:p w14:paraId="510054AA" w14:textId="77777777" w:rsidR="00C64E46" w:rsidRPr="00EE43C6" w:rsidRDefault="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Onur Ali Taşkın</w:t>
            </w:r>
          </w:p>
        </w:tc>
        <w:tc>
          <w:tcPr>
            <w:tcW w:w="611" w:type="pct"/>
            <w:tcBorders>
              <w:top w:val="single" w:sz="4" w:space="0" w:color="000000"/>
              <w:left w:val="single" w:sz="4" w:space="0" w:color="000000"/>
              <w:bottom w:val="nil"/>
              <w:right w:val="single" w:sz="4" w:space="0" w:color="000000"/>
            </w:tcBorders>
          </w:tcPr>
          <w:p w14:paraId="14BCDDF8" w14:textId="77777777" w:rsidR="00C64E46" w:rsidRPr="00EE43C6" w:rsidRDefault="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Celal Denizli</w:t>
            </w:r>
          </w:p>
          <w:p w14:paraId="2C9C2F43" w14:textId="77777777" w:rsidR="00C64E46" w:rsidRPr="00EE43C6" w:rsidRDefault="00C64E46">
            <w:pPr>
              <w:spacing w:before="0" w:after="0" w:line="240" w:lineRule="auto"/>
              <w:jc w:val="center"/>
              <w:rPr>
                <w:rFonts w:eastAsia="DengXian" w:cs="MS Gothic"/>
                <w:color w:val="000000"/>
                <w:sz w:val="16"/>
                <w:szCs w:val="16"/>
              </w:rPr>
            </w:pPr>
          </w:p>
        </w:tc>
        <w:tc>
          <w:tcPr>
            <w:tcW w:w="843" w:type="pct"/>
            <w:tcBorders>
              <w:top w:val="single" w:sz="4" w:space="0" w:color="000000"/>
              <w:left w:val="single" w:sz="4" w:space="0" w:color="000000"/>
              <w:bottom w:val="nil"/>
              <w:right w:val="single" w:sz="4" w:space="0" w:color="000000"/>
            </w:tcBorders>
          </w:tcPr>
          <w:p w14:paraId="7ECDF1B5" w14:textId="77777777" w:rsidR="00C64E46" w:rsidRPr="00EE43C6" w:rsidRDefault="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Esra Okumuşoğlu</w:t>
            </w:r>
          </w:p>
        </w:tc>
        <w:tc>
          <w:tcPr>
            <w:tcW w:w="803" w:type="pct"/>
            <w:tcBorders>
              <w:top w:val="single" w:sz="4" w:space="0" w:color="000000"/>
              <w:left w:val="single" w:sz="4" w:space="0" w:color="000000"/>
              <w:bottom w:val="nil"/>
              <w:right w:val="single" w:sz="4" w:space="0" w:color="000000"/>
            </w:tcBorders>
            <w:shd w:val="clear" w:color="auto" w:fill="auto"/>
          </w:tcPr>
          <w:p w14:paraId="3DBE9AD3" w14:textId="77777777" w:rsidR="00C64E46" w:rsidRPr="00EE43C6" w:rsidRDefault="00C64E46" w:rsidP="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D. Emre Kaya</w:t>
            </w:r>
          </w:p>
        </w:tc>
        <w:tc>
          <w:tcPr>
            <w:tcW w:w="870" w:type="pct"/>
            <w:tcBorders>
              <w:top w:val="single" w:sz="4" w:space="0" w:color="000000"/>
              <w:left w:val="single" w:sz="4" w:space="0" w:color="000000"/>
              <w:bottom w:val="nil"/>
              <w:right w:val="single" w:sz="4" w:space="0" w:color="000000"/>
            </w:tcBorders>
            <w:shd w:val="clear" w:color="auto" w:fill="auto"/>
          </w:tcPr>
          <w:p w14:paraId="5446640C" w14:textId="77777777" w:rsidR="00C64E46" w:rsidRPr="00EE43C6" w:rsidRDefault="00C64E46" w:rsidP="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Turgay Eser</w:t>
            </w:r>
          </w:p>
        </w:tc>
      </w:tr>
      <w:tr w:rsidR="00C64E46" w:rsidRPr="00EE43C6" w14:paraId="14B3406D" w14:textId="77777777" w:rsidTr="00CF7699">
        <w:trPr>
          <w:trHeight w:val="316"/>
        </w:trPr>
        <w:tc>
          <w:tcPr>
            <w:tcW w:w="160" w:type="pct"/>
            <w:vMerge/>
            <w:shd w:val="clear" w:color="auto" w:fill="auto"/>
            <w:textDirection w:val="btLr"/>
            <w:vAlign w:val="center"/>
          </w:tcPr>
          <w:p w14:paraId="5C179D35" w14:textId="77777777" w:rsidR="00C64E46" w:rsidRPr="00EE43C6" w:rsidRDefault="00C64E46">
            <w:pPr>
              <w:spacing w:before="0" w:after="0" w:line="240" w:lineRule="auto"/>
              <w:jc w:val="center"/>
              <w:rPr>
                <w:rFonts w:eastAsia="DengXian" w:cs="MS Gothic"/>
                <w:color w:val="000000"/>
                <w:sz w:val="16"/>
                <w:szCs w:val="16"/>
              </w:rPr>
            </w:pPr>
          </w:p>
        </w:tc>
        <w:tc>
          <w:tcPr>
            <w:tcW w:w="138" w:type="pct"/>
            <w:vMerge/>
            <w:shd w:val="clear" w:color="auto" w:fill="auto"/>
            <w:textDirection w:val="btLr"/>
            <w:vAlign w:val="center"/>
          </w:tcPr>
          <w:p w14:paraId="10F6CEA0" w14:textId="77777777" w:rsidR="00C64E46" w:rsidRPr="00EE43C6" w:rsidRDefault="00C64E46">
            <w:pPr>
              <w:spacing w:before="0" w:after="0" w:line="240" w:lineRule="auto"/>
              <w:jc w:val="center"/>
              <w:rPr>
                <w:rFonts w:eastAsia="DengXian" w:cs="MS Gothic"/>
                <w:color w:val="000000"/>
                <w:sz w:val="16"/>
                <w:szCs w:val="16"/>
              </w:rPr>
            </w:pPr>
          </w:p>
        </w:tc>
        <w:tc>
          <w:tcPr>
            <w:tcW w:w="176" w:type="pct"/>
            <w:vMerge/>
            <w:shd w:val="clear" w:color="auto" w:fill="auto"/>
            <w:textDirection w:val="btLr"/>
            <w:vAlign w:val="center"/>
          </w:tcPr>
          <w:p w14:paraId="676197D4" w14:textId="77777777" w:rsidR="00C64E46" w:rsidRPr="00EE43C6" w:rsidRDefault="00C64E46">
            <w:pPr>
              <w:spacing w:before="0" w:after="0" w:line="240" w:lineRule="auto"/>
              <w:jc w:val="center"/>
              <w:rPr>
                <w:rFonts w:eastAsia="DengXian" w:cs="MS Gothic"/>
                <w:color w:val="000000"/>
                <w:sz w:val="16"/>
                <w:szCs w:val="16"/>
              </w:rPr>
            </w:pPr>
          </w:p>
        </w:tc>
        <w:tc>
          <w:tcPr>
            <w:tcW w:w="706" w:type="pct"/>
            <w:tcBorders>
              <w:top w:val="nil"/>
              <w:left w:val="single" w:sz="4" w:space="0" w:color="000000"/>
              <w:bottom w:val="single" w:sz="4" w:space="0" w:color="000000"/>
              <w:right w:val="single" w:sz="4" w:space="0" w:color="000000"/>
            </w:tcBorders>
            <w:shd w:val="clear" w:color="auto" w:fill="auto"/>
            <w:vAlign w:val="center"/>
          </w:tcPr>
          <w:p w14:paraId="260A99B3" w14:textId="77777777" w:rsidR="00C64E46" w:rsidRPr="00EE43C6" w:rsidRDefault="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w:t>
            </w:r>
          </w:p>
        </w:tc>
        <w:tc>
          <w:tcPr>
            <w:tcW w:w="694" w:type="pct"/>
            <w:tcBorders>
              <w:top w:val="nil"/>
              <w:left w:val="single" w:sz="4" w:space="0" w:color="000000"/>
              <w:bottom w:val="single" w:sz="4" w:space="0" w:color="000000"/>
              <w:right w:val="single" w:sz="4" w:space="0" w:color="000000"/>
            </w:tcBorders>
          </w:tcPr>
          <w:p w14:paraId="7FB74143" w14:textId="77777777" w:rsidR="00C64E46" w:rsidRPr="00EE43C6" w:rsidRDefault="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Sociologist</w:t>
            </w:r>
          </w:p>
        </w:tc>
        <w:tc>
          <w:tcPr>
            <w:tcW w:w="611" w:type="pct"/>
            <w:tcBorders>
              <w:top w:val="nil"/>
              <w:left w:val="single" w:sz="4" w:space="0" w:color="000000"/>
              <w:bottom w:val="single" w:sz="4" w:space="0" w:color="000000"/>
              <w:right w:val="single" w:sz="4" w:space="0" w:color="000000"/>
            </w:tcBorders>
          </w:tcPr>
          <w:p w14:paraId="344FB45B" w14:textId="77777777" w:rsidR="00C64E46" w:rsidRPr="00EE43C6" w:rsidRDefault="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Biologist</w:t>
            </w:r>
          </w:p>
        </w:tc>
        <w:tc>
          <w:tcPr>
            <w:tcW w:w="843" w:type="pct"/>
            <w:tcBorders>
              <w:top w:val="nil"/>
              <w:left w:val="single" w:sz="4" w:space="0" w:color="000000"/>
              <w:bottom w:val="single" w:sz="4" w:space="0" w:color="000000"/>
              <w:right w:val="single" w:sz="4" w:space="0" w:color="000000"/>
            </w:tcBorders>
          </w:tcPr>
          <w:p w14:paraId="70C6DB33" w14:textId="77777777" w:rsidR="00C64E46" w:rsidRPr="00EE43C6" w:rsidRDefault="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Geological Engineer</w:t>
            </w:r>
          </w:p>
        </w:tc>
        <w:tc>
          <w:tcPr>
            <w:tcW w:w="803" w:type="pct"/>
            <w:tcBorders>
              <w:top w:val="nil"/>
              <w:left w:val="single" w:sz="4" w:space="0" w:color="000000"/>
              <w:bottom w:val="single" w:sz="4" w:space="0" w:color="000000"/>
              <w:right w:val="single" w:sz="4" w:space="0" w:color="000000"/>
            </w:tcBorders>
            <w:shd w:val="clear" w:color="auto" w:fill="auto"/>
            <w:vAlign w:val="center"/>
          </w:tcPr>
          <w:p w14:paraId="17D4330F" w14:textId="77777777" w:rsidR="00C64E46" w:rsidRPr="00EE43C6" w:rsidRDefault="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 B.Sc.</w:t>
            </w:r>
          </w:p>
        </w:tc>
        <w:tc>
          <w:tcPr>
            <w:tcW w:w="870" w:type="pct"/>
            <w:tcBorders>
              <w:top w:val="nil"/>
              <w:left w:val="single" w:sz="4" w:space="0" w:color="000000"/>
              <w:bottom w:val="single" w:sz="4" w:space="0" w:color="000000"/>
              <w:right w:val="single" w:sz="4" w:space="0" w:color="000000"/>
            </w:tcBorders>
            <w:shd w:val="clear" w:color="auto" w:fill="auto"/>
            <w:vAlign w:val="center"/>
          </w:tcPr>
          <w:p w14:paraId="42B77FEB" w14:textId="77777777" w:rsidR="00C64E46" w:rsidRPr="00EE43C6" w:rsidRDefault="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w:t>
            </w:r>
          </w:p>
        </w:tc>
      </w:tr>
      <w:tr w:rsidR="00C64E46" w:rsidRPr="00EE43C6" w14:paraId="0474A2FD" w14:textId="77777777" w:rsidTr="00CF7699">
        <w:trPr>
          <w:trHeight w:val="316"/>
        </w:trPr>
        <w:tc>
          <w:tcPr>
            <w:tcW w:w="160" w:type="pct"/>
            <w:vMerge/>
            <w:shd w:val="clear" w:color="auto" w:fill="auto"/>
            <w:textDirection w:val="btLr"/>
            <w:vAlign w:val="center"/>
          </w:tcPr>
          <w:p w14:paraId="3BBB5836" w14:textId="77777777" w:rsidR="00C64E46" w:rsidRPr="00EE43C6" w:rsidRDefault="00C64E46">
            <w:pPr>
              <w:spacing w:before="0" w:after="0" w:line="240" w:lineRule="auto"/>
              <w:jc w:val="center"/>
              <w:rPr>
                <w:rFonts w:eastAsia="DengXian" w:cs="MS Gothic"/>
                <w:color w:val="000000"/>
                <w:sz w:val="16"/>
                <w:szCs w:val="16"/>
              </w:rPr>
            </w:pPr>
          </w:p>
        </w:tc>
        <w:tc>
          <w:tcPr>
            <w:tcW w:w="138" w:type="pct"/>
            <w:vMerge/>
            <w:shd w:val="clear" w:color="auto" w:fill="auto"/>
            <w:textDirection w:val="btLr"/>
            <w:vAlign w:val="center"/>
          </w:tcPr>
          <w:p w14:paraId="1D33D574" w14:textId="77777777" w:rsidR="00C64E46" w:rsidRPr="00EE43C6" w:rsidRDefault="00C64E46">
            <w:pPr>
              <w:spacing w:before="0" w:after="0" w:line="240" w:lineRule="auto"/>
              <w:jc w:val="center"/>
              <w:rPr>
                <w:rFonts w:eastAsia="DengXian" w:cs="MS Gothic"/>
                <w:color w:val="000000"/>
                <w:sz w:val="16"/>
                <w:szCs w:val="16"/>
              </w:rPr>
            </w:pPr>
          </w:p>
        </w:tc>
        <w:tc>
          <w:tcPr>
            <w:tcW w:w="176" w:type="pct"/>
            <w:vMerge/>
            <w:shd w:val="clear" w:color="auto" w:fill="auto"/>
            <w:textDirection w:val="btLr"/>
            <w:vAlign w:val="center"/>
          </w:tcPr>
          <w:p w14:paraId="689081B4" w14:textId="77777777" w:rsidR="00C64E46" w:rsidRPr="00EE43C6" w:rsidRDefault="00C64E46">
            <w:pPr>
              <w:spacing w:before="0" w:after="0" w:line="240" w:lineRule="auto"/>
              <w:jc w:val="center"/>
              <w:rPr>
                <w:rFonts w:eastAsia="DengXian" w:cs="MS Gothic"/>
                <w:color w:val="000000"/>
                <w:sz w:val="16"/>
                <w:szCs w:val="16"/>
              </w:rPr>
            </w:pPr>
          </w:p>
        </w:tc>
        <w:tc>
          <w:tcPr>
            <w:tcW w:w="7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CC9EF" w14:textId="77777777" w:rsidR="00C64E46" w:rsidRPr="00EE43C6" w:rsidRDefault="00C64E46">
            <w:pPr>
              <w:spacing w:before="0" w:after="0" w:line="240" w:lineRule="auto"/>
              <w:jc w:val="center"/>
              <w:rPr>
                <w:rFonts w:eastAsia="DengXian" w:cs="MS Gothic"/>
                <w:color w:val="000000"/>
                <w:sz w:val="16"/>
                <w:szCs w:val="16"/>
              </w:rPr>
            </w:pPr>
          </w:p>
        </w:tc>
        <w:tc>
          <w:tcPr>
            <w:tcW w:w="694" w:type="pct"/>
            <w:tcBorders>
              <w:top w:val="single" w:sz="4" w:space="0" w:color="000000"/>
              <w:left w:val="single" w:sz="4" w:space="0" w:color="000000"/>
              <w:bottom w:val="single" w:sz="4" w:space="0" w:color="000000"/>
              <w:right w:val="single" w:sz="4" w:space="0" w:color="000000"/>
            </w:tcBorders>
          </w:tcPr>
          <w:p w14:paraId="6D6B8CBF" w14:textId="77777777" w:rsidR="00C64E46" w:rsidRPr="00EE43C6" w:rsidRDefault="00C64E46">
            <w:pPr>
              <w:spacing w:before="0" w:after="0" w:line="240" w:lineRule="auto"/>
              <w:jc w:val="center"/>
              <w:rPr>
                <w:rFonts w:eastAsia="DengXian" w:cs="MS Gothic"/>
                <w:color w:val="000000"/>
                <w:sz w:val="16"/>
                <w:szCs w:val="16"/>
              </w:rPr>
            </w:pPr>
          </w:p>
        </w:tc>
        <w:tc>
          <w:tcPr>
            <w:tcW w:w="611" w:type="pct"/>
            <w:tcBorders>
              <w:top w:val="single" w:sz="4" w:space="0" w:color="000000"/>
              <w:left w:val="single" w:sz="4" w:space="0" w:color="000000"/>
              <w:bottom w:val="single" w:sz="4" w:space="0" w:color="000000"/>
              <w:right w:val="single" w:sz="4" w:space="0" w:color="000000"/>
            </w:tcBorders>
          </w:tcPr>
          <w:p w14:paraId="52035AB2" w14:textId="77777777" w:rsidR="00C64E46" w:rsidRPr="00EE43C6" w:rsidRDefault="00C64E46">
            <w:pPr>
              <w:spacing w:before="0" w:after="0" w:line="240" w:lineRule="auto"/>
              <w:jc w:val="center"/>
              <w:rPr>
                <w:rFonts w:eastAsia="DengXian" w:cs="MS Gothic"/>
                <w:color w:val="000000"/>
                <w:sz w:val="16"/>
                <w:szCs w:val="16"/>
              </w:rPr>
            </w:pPr>
          </w:p>
        </w:tc>
        <w:tc>
          <w:tcPr>
            <w:tcW w:w="843" w:type="pct"/>
            <w:tcBorders>
              <w:top w:val="single" w:sz="4" w:space="0" w:color="000000"/>
              <w:left w:val="single" w:sz="4" w:space="0" w:color="000000"/>
              <w:bottom w:val="single" w:sz="4" w:space="0" w:color="000000"/>
              <w:right w:val="single" w:sz="4" w:space="0" w:color="000000"/>
            </w:tcBorders>
          </w:tcPr>
          <w:p w14:paraId="65BB3A4D" w14:textId="77777777" w:rsidR="00C64E46" w:rsidRPr="00EE43C6" w:rsidRDefault="00C64E46">
            <w:pPr>
              <w:spacing w:before="0" w:after="0" w:line="240" w:lineRule="auto"/>
              <w:jc w:val="center"/>
              <w:rPr>
                <w:rFonts w:eastAsia="DengXian" w:cs="MS Gothic"/>
                <w:color w:val="000000"/>
                <w:sz w:val="16"/>
                <w:szCs w:val="16"/>
              </w:rPr>
            </w:pP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87B6E" w14:textId="77777777" w:rsidR="00C64E46" w:rsidRPr="00EE43C6" w:rsidRDefault="00C64E46">
            <w:pPr>
              <w:spacing w:before="0" w:after="0" w:line="240" w:lineRule="auto"/>
              <w:jc w:val="center"/>
              <w:rPr>
                <w:rFonts w:eastAsia="DengXian" w:cs="MS Gothic"/>
                <w:color w:val="000000"/>
                <w:sz w:val="16"/>
                <w:szCs w:val="16"/>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41488" w14:textId="77777777" w:rsidR="00C64E46" w:rsidRPr="00EE43C6" w:rsidRDefault="00C64E46">
            <w:pPr>
              <w:spacing w:before="0" w:after="0" w:line="240" w:lineRule="auto"/>
              <w:jc w:val="center"/>
              <w:rPr>
                <w:rFonts w:eastAsia="DengXian" w:cs="MS Gothic"/>
                <w:color w:val="000000"/>
                <w:sz w:val="16"/>
                <w:szCs w:val="16"/>
              </w:rPr>
            </w:pPr>
          </w:p>
        </w:tc>
      </w:tr>
      <w:tr w:rsidR="00C64E46" w:rsidRPr="00EE43C6" w14:paraId="06D75BB0" w14:textId="77777777" w:rsidTr="00CF7699">
        <w:trPr>
          <w:trHeight w:val="316"/>
        </w:trPr>
        <w:tc>
          <w:tcPr>
            <w:tcW w:w="160" w:type="pct"/>
            <w:vMerge/>
            <w:shd w:val="clear" w:color="auto" w:fill="auto"/>
            <w:textDirection w:val="btLr"/>
            <w:vAlign w:val="center"/>
          </w:tcPr>
          <w:p w14:paraId="0BFC5B57" w14:textId="77777777" w:rsidR="00C64E46" w:rsidRPr="00EE43C6" w:rsidRDefault="00C64E46" w:rsidP="00FA6FCA">
            <w:pPr>
              <w:spacing w:before="0" w:after="0" w:line="240" w:lineRule="auto"/>
              <w:jc w:val="center"/>
              <w:rPr>
                <w:rFonts w:eastAsia="DengXian" w:cs="MS Gothic"/>
                <w:color w:val="000000"/>
                <w:sz w:val="16"/>
                <w:szCs w:val="16"/>
              </w:rPr>
            </w:pPr>
          </w:p>
        </w:tc>
        <w:tc>
          <w:tcPr>
            <w:tcW w:w="138" w:type="pct"/>
            <w:vMerge w:val="restart"/>
            <w:shd w:val="clear" w:color="auto" w:fill="auto"/>
            <w:textDirection w:val="btLr"/>
            <w:vAlign w:val="center"/>
          </w:tcPr>
          <w:p w14:paraId="6B48D67E" w14:textId="1EAA8DF0" w:rsidR="00C64E46" w:rsidRPr="00EE43C6" w:rsidRDefault="00C64E46" w:rsidP="00FA6FC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A.2</w:t>
            </w:r>
          </w:p>
        </w:tc>
        <w:tc>
          <w:tcPr>
            <w:tcW w:w="176" w:type="pct"/>
            <w:vMerge w:val="restart"/>
            <w:shd w:val="clear" w:color="auto" w:fill="auto"/>
            <w:textDirection w:val="btLr"/>
            <w:vAlign w:val="center"/>
          </w:tcPr>
          <w:p w14:paraId="6459A153" w14:textId="547F3157" w:rsidR="00C64E46" w:rsidRPr="00EE43C6" w:rsidRDefault="00C64E46" w:rsidP="00FA6FC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March 2023</w:t>
            </w:r>
          </w:p>
        </w:tc>
        <w:tc>
          <w:tcPr>
            <w:tcW w:w="706" w:type="pct"/>
            <w:tcBorders>
              <w:top w:val="single" w:sz="4" w:space="0" w:color="000000"/>
              <w:left w:val="single" w:sz="4" w:space="0" w:color="000000"/>
              <w:bottom w:val="nil"/>
              <w:right w:val="single" w:sz="4" w:space="0" w:color="000000"/>
            </w:tcBorders>
            <w:shd w:val="clear" w:color="auto" w:fill="auto"/>
          </w:tcPr>
          <w:p w14:paraId="5D8EC93D" w14:textId="644C71C2" w:rsidR="00C64E46" w:rsidRPr="00EE43C6" w:rsidRDefault="00C64E46" w:rsidP="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Eray Özen</w:t>
            </w:r>
          </w:p>
        </w:tc>
        <w:tc>
          <w:tcPr>
            <w:tcW w:w="694" w:type="pct"/>
            <w:tcBorders>
              <w:top w:val="single" w:sz="4" w:space="0" w:color="000000"/>
              <w:left w:val="single" w:sz="4" w:space="0" w:color="000000"/>
              <w:bottom w:val="nil"/>
              <w:right w:val="single" w:sz="4" w:space="0" w:color="000000"/>
            </w:tcBorders>
          </w:tcPr>
          <w:p w14:paraId="49CB0C11" w14:textId="63B50873" w:rsidR="00C64E46" w:rsidRPr="00EE43C6" w:rsidRDefault="00C64E46" w:rsidP="00FA6FC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Onur Ali Taşkın</w:t>
            </w:r>
          </w:p>
        </w:tc>
        <w:tc>
          <w:tcPr>
            <w:tcW w:w="611" w:type="pct"/>
            <w:tcBorders>
              <w:top w:val="single" w:sz="4" w:space="0" w:color="000000"/>
              <w:left w:val="single" w:sz="4" w:space="0" w:color="000000"/>
              <w:bottom w:val="nil"/>
              <w:right w:val="single" w:sz="4" w:space="0" w:color="000000"/>
            </w:tcBorders>
          </w:tcPr>
          <w:p w14:paraId="33120FFA" w14:textId="77777777" w:rsidR="00C64E46" w:rsidRPr="00EE43C6" w:rsidRDefault="00C64E46" w:rsidP="00FA6FC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Celal Denizli</w:t>
            </w:r>
          </w:p>
          <w:p w14:paraId="0D9AB907" w14:textId="77777777" w:rsidR="00C64E46" w:rsidRPr="00EE43C6" w:rsidRDefault="00C64E46" w:rsidP="00FA6FCA">
            <w:pPr>
              <w:spacing w:before="0" w:after="0" w:line="240" w:lineRule="auto"/>
              <w:jc w:val="center"/>
              <w:rPr>
                <w:rFonts w:eastAsia="DengXian" w:cs="MS Gothic"/>
                <w:color w:val="000000"/>
                <w:sz w:val="16"/>
                <w:szCs w:val="16"/>
              </w:rPr>
            </w:pPr>
          </w:p>
        </w:tc>
        <w:tc>
          <w:tcPr>
            <w:tcW w:w="843" w:type="pct"/>
            <w:tcBorders>
              <w:top w:val="single" w:sz="4" w:space="0" w:color="000000"/>
              <w:left w:val="single" w:sz="4" w:space="0" w:color="000000"/>
              <w:bottom w:val="nil"/>
              <w:right w:val="single" w:sz="4" w:space="0" w:color="000000"/>
            </w:tcBorders>
          </w:tcPr>
          <w:p w14:paraId="03B8F4A6" w14:textId="56FBA862" w:rsidR="00C64E46" w:rsidRPr="00EE43C6" w:rsidRDefault="00C64E46" w:rsidP="00FA6FC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Esra Okumuşoğlu</w:t>
            </w:r>
          </w:p>
        </w:tc>
        <w:tc>
          <w:tcPr>
            <w:tcW w:w="803" w:type="pct"/>
            <w:tcBorders>
              <w:top w:val="single" w:sz="4" w:space="0" w:color="000000"/>
              <w:left w:val="single" w:sz="4" w:space="0" w:color="000000"/>
              <w:bottom w:val="nil"/>
              <w:right w:val="single" w:sz="4" w:space="0" w:color="000000"/>
            </w:tcBorders>
            <w:shd w:val="clear" w:color="auto" w:fill="auto"/>
          </w:tcPr>
          <w:p w14:paraId="698E3322" w14:textId="0F77AB25" w:rsidR="00C64E46" w:rsidRPr="00EE43C6" w:rsidRDefault="00C64E46" w:rsidP="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D. Emre Kaya</w:t>
            </w:r>
          </w:p>
        </w:tc>
        <w:tc>
          <w:tcPr>
            <w:tcW w:w="870" w:type="pct"/>
            <w:tcBorders>
              <w:top w:val="single" w:sz="4" w:space="0" w:color="000000"/>
              <w:left w:val="single" w:sz="4" w:space="0" w:color="000000"/>
              <w:bottom w:val="nil"/>
              <w:right w:val="single" w:sz="4" w:space="0" w:color="000000"/>
            </w:tcBorders>
            <w:shd w:val="clear" w:color="auto" w:fill="auto"/>
          </w:tcPr>
          <w:p w14:paraId="0F4C8D59" w14:textId="7CED615C" w:rsidR="00C64E46" w:rsidRPr="00EE43C6" w:rsidRDefault="00C64E46" w:rsidP="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Turgay Eser</w:t>
            </w:r>
          </w:p>
        </w:tc>
      </w:tr>
      <w:tr w:rsidR="00C64E46" w:rsidRPr="00EE43C6" w14:paraId="79D79CC6" w14:textId="77777777" w:rsidTr="00CF7699">
        <w:trPr>
          <w:trHeight w:val="316"/>
        </w:trPr>
        <w:tc>
          <w:tcPr>
            <w:tcW w:w="160" w:type="pct"/>
            <w:vMerge/>
            <w:shd w:val="clear" w:color="auto" w:fill="auto"/>
            <w:textDirection w:val="btLr"/>
            <w:vAlign w:val="center"/>
          </w:tcPr>
          <w:p w14:paraId="0EE525F0" w14:textId="77777777" w:rsidR="00C64E46" w:rsidRPr="00EE43C6" w:rsidRDefault="00C64E46" w:rsidP="00FA6FCA">
            <w:pPr>
              <w:spacing w:before="0" w:after="0" w:line="240" w:lineRule="auto"/>
              <w:jc w:val="center"/>
              <w:rPr>
                <w:rFonts w:eastAsia="DengXian" w:cs="MS Gothic"/>
                <w:color w:val="000000"/>
                <w:sz w:val="16"/>
                <w:szCs w:val="16"/>
              </w:rPr>
            </w:pPr>
          </w:p>
        </w:tc>
        <w:tc>
          <w:tcPr>
            <w:tcW w:w="138" w:type="pct"/>
            <w:vMerge/>
            <w:shd w:val="clear" w:color="auto" w:fill="auto"/>
            <w:textDirection w:val="btLr"/>
            <w:vAlign w:val="center"/>
          </w:tcPr>
          <w:p w14:paraId="07ED281B" w14:textId="77777777" w:rsidR="00C64E46" w:rsidRPr="00EE43C6" w:rsidRDefault="00C64E46" w:rsidP="00FA6FCA">
            <w:pPr>
              <w:spacing w:before="0" w:after="0" w:line="240" w:lineRule="auto"/>
              <w:jc w:val="center"/>
              <w:rPr>
                <w:rFonts w:eastAsia="DengXian" w:cs="MS Gothic"/>
                <w:color w:val="000000"/>
                <w:sz w:val="16"/>
                <w:szCs w:val="16"/>
              </w:rPr>
            </w:pPr>
          </w:p>
        </w:tc>
        <w:tc>
          <w:tcPr>
            <w:tcW w:w="176" w:type="pct"/>
            <w:vMerge/>
            <w:shd w:val="clear" w:color="auto" w:fill="auto"/>
            <w:textDirection w:val="btLr"/>
            <w:vAlign w:val="center"/>
          </w:tcPr>
          <w:p w14:paraId="302844F6" w14:textId="77777777" w:rsidR="00C64E46" w:rsidRPr="00EE43C6" w:rsidRDefault="00C64E46" w:rsidP="00FA6FCA">
            <w:pPr>
              <w:spacing w:before="0" w:after="0" w:line="240" w:lineRule="auto"/>
              <w:jc w:val="center"/>
              <w:rPr>
                <w:rFonts w:eastAsia="DengXian" w:cs="MS Gothic"/>
                <w:color w:val="000000"/>
                <w:sz w:val="16"/>
                <w:szCs w:val="16"/>
              </w:rPr>
            </w:pPr>
          </w:p>
        </w:tc>
        <w:tc>
          <w:tcPr>
            <w:tcW w:w="706" w:type="pct"/>
            <w:tcBorders>
              <w:top w:val="nil"/>
              <w:left w:val="single" w:sz="4" w:space="0" w:color="000000"/>
              <w:bottom w:val="single" w:sz="4" w:space="0" w:color="000000"/>
              <w:right w:val="single" w:sz="4" w:space="0" w:color="000000"/>
            </w:tcBorders>
            <w:shd w:val="clear" w:color="auto" w:fill="auto"/>
            <w:vAlign w:val="center"/>
          </w:tcPr>
          <w:p w14:paraId="13EA7134" w14:textId="39BD0C18" w:rsidR="00C64E46" w:rsidRPr="00EE43C6" w:rsidRDefault="00C64E46" w:rsidP="00FA6FC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w:t>
            </w:r>
          </w:p>
        </w:tc>
        <w:tc>
          <w:tcPr>
            <w:tcW w:w="694" w:type="pct"/>
            <w:tcBorders>
              <w:top w:val="nil"/>
              <w:left w:val="single" w:sz="4" w:space="0" w:color="000000"/>
              <w:bottom w:val="single" w:sz="4" w:space="0" w:color="000000"/>
              <w:right w:val="single" w:sz="4" w:space="0" w:color="000000"/>
            </w:tcBorders>
          </w:tcPr>
          <w:p w14:paraId="24059795" w14:textId="2485D05C" w:rsidR="00C64E46" w:rsidRPr="00EE43C6" w:rsidRDefault="00C64E46" w:rsidP="00FA6FC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Sociologist</w:t>
            </w:r>
          </w:p>
        </w:tc>
        <w:tc>
          <w:tcPr>
            <w:tcW w:w="611" w:type="pct"/>
            <w:tcBorders>
              <w:top w:val="nil"/>
              <w:left w:val="single" w:sz="4" w:space="0" w:color="000000"/>
              <w:bottom w:val="single" w:sz="4" w:space="0" w:color="000000"/>
              <w:right w:val="single" w:sz="4" w:space="0" w:color="000000"/>
            </w:tcBorders>
          </w:tcPr>
          <w:p w14:paraId="0594F1BE" w14:textId="3C971285" w:rsidR="00C64E46" w:rsidRPr="00EE43C6" w:rsidRDefault="00C64E46" w:rsidP="00FA6FC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Biologist</w:t>
            </w:r>
          </w:p>
        </w:tc>
        <w:tc>
          <w:tcPr>
            <w:tcW w:w="843" w:type="pct"/>
            <w:tcBorders>
              <w:top w:val="nil"/>
              <w:left w:val="single" w:sz="4" w:space="0" w:color="000000"/>
              <w:bottom w:val="single" w:sz="4" w:space="0" w:color="000000"/>
              <w:right w:val="single" w:sz="4" w:space="0" w:color="000000"/>
            </w:tcBorders>
          </w:tcPr>
          <w:p w14:paraId="3E0ACBDB" w14:textId="0AAE3B88" w:rsidR="00C64E46" w:rsidRPr="00EE43C6" w:rsidRDefault="00C64E46" w:rsidP="00FA6FC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Geological Engineer</w:t>
            </w:r>
          </w:p>
        </w:tc>
        <w:tc>
          <w:tcPr>
            <w:tcW w:w="803" w:type="pct"/>
            <w:tcBorders>
              <w:top w:val="nil"/>
              <w:left w:val="single" w:sz="4" w:space="0" w:color="000000"/>
              <w:bottom w:val="single" w:sz="4" w:space="0" w:color="000000"/>
              <w:right w:val="single" w:sz="4" w:space="0" w:color="000000"/>
            </w:tcBorders>
            <w:shd w:val="clear" w:color="auto" w:fill="auto"/>
            <w:vAlign w:val="center"/>
          </w:tcPr>
          <w:p w14:paraId="3F3B757D" w14:textId="592E8142" w:rsidR="00C64E46" w:rsidRPr="00EE43C6" w:rsidRDefault="00C64E46" w:rsidP="00FA6FC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 B.Sc.</w:t>
            </w:r>
          </w:p>
        </w:tc>
        <w:tc>
          <w:tcPr>
            <w:tcW w:w="870" w:type="pct"/>
            <w:tcBorders>
              <w:top w:val="nil"/>
              <w:left w:val="single" w:sz="4" w:space="0" w:color="000000"/>
              <w:bottom w:val="single" w:sz="4" w:space="0" w:color="000000"/>
              <w:right w:val="single" w:sz="4" w:space="0" w:color="000000"/>
            </w:tcBorders>
            <w:shd w:val="clear" w:color="auto" w:fill="auto"/>
            <w:vAlign w:val="center"/>
          </w:tcPr>
          <w:p w14:paraId="67170996" w14:textId="6821AB4C" w:rsidR="00C64E46" w:rsidRPr="00EE43C6" w:rsidRDefault="00C64E46" w:rsidP="00FA6FC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w:t>
            </w:r>
          </w:p>
        </w:tc>
      </w:tr>
      <w:tr w:rsidR="00C64E46" w:rsidRPr="00EE43C6" w14:paraId="554EDBFB" w14:textId="77777777" w:rsidTr="00CF7699">
        <w:trPr>
          <w:trHeight w:val="316"/>
        </w:trPr>
        <w:tc>
          <w:tcPr>
            <w:tcW w:w="160" w:type="pct"/>
            <w:vMerge/>
            <w:shd w:val="clear" w:color="auto" w:fill="auto"/>
            <w:textDirection w:val="btLr"/>
            <w:vAlign w:val="center"/>
          </w:tcPr>
          <w:p w14:paraId="5FA65D9A" w14:textId="77777777" w:rsidR="00C64E46" w:rsidRPr="00EE43C6" w:rsidRDefault="00C64E46" w:rsidP="00FA6FCA">
            <w:pPr>
              <w:spacing w:before="0" w:after="0" w:line="240" w:lineRule="auto"/>
              <w:jc w:val="center"/>
              <w:rPr>
                <w:rFonts w:eastAsia="DengXian" w:cs="MS Gothic"/>
                <w:color w:val="000000"/>
                <w:sz w:val="16"/>
                <w:szCs w:val="16"/>
              </w:rPr>
            </w:pPr>
          </w:p>
        </w:tc>
        <w:tc>
          <w:tcPr>
            <w:tcW w:w="138" w:type="pct"/>
            <w:vMerge/>
            <w:shd w:val="clear" w:color="auto" w:fill="auto"/>
            <w:textDirection w:val="btLr"/>
            <w:vAlign w:val="center"/>
          </w:tcPr>
          <w:p w14:paraId="0C61B896" w14:textId="77777777" w:rsidR="00C64E46" w:rsidRPr="00EE43C6" w:rsidRDefault="00C64E46" w:rsidP="00FA6FCA">
            <w:pPr>
              <w:spacing w:before="0" w:after="0" w:line="240" w:lineRule="auto"/>
              <w:jc w:val="center"/>
              <w:rPr>
                <w:rFonts w:eastAsia="DengXian" w:cs="MS Gothic"/>
                <w:color w:val="000000"/>
                <w:sz w:val="16"/>
                <w:szCs w:val="16"/>
              </w:rPr>
            </w:pPr>
          </w:p>
        </w:tc>
        <w:tc>
          <w:tcPr>
            <w:tcW w:w="176" w:type="pct"/>
            <w:vMerge/>
            <w:shd w:val="clear" w:color="auto" w:fill="auto"/>
            <w:textDirection w:val="btLr"/>
            <w:vAlign w:val="center"/>
          </w:tcPr>
          <w:p w14:paraId="1BF30B97" w14:textId="77777777" w:rsidR="00C64E46" w:rsidRPr="00EE43C6" w:rsidRDefault="00C64E46" w:rsidP="00FA6FCA">
            <w:pPr>
              <w:spacing w:before="0" w:after="0" w:line="240" w:lineRule="auto"/>
              <w:jc w:val="center"/>
              <w:rPr>
                <w:rFonts w:eastAsia="DengXian" w:cs="MS Gothic"/>
                <w:color w:val="000000"/>
                <w:sz w:val="16"/>
                <w:szCs w:val="16"/>
              </w:rPr>
            </w:pPr>
          </w:p>
        </w:tc>
        <w:tc>
          <w:tcPr>
            <w:tcW w:w="7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06311" w14:textId="77777777" w:rsidR="00C64E46" w:rsidRPr="00EE43C6" w:rsidRDefault="00C64E46" w:rsidP="00FA6FCA">
            <w:pPr>
              <w:spacing w:before="0" w:after="0" w:line="240" w:lineRule="auto"/>
              <w:jc w:val="center"/>
              <w:rPr>
                <w:rFonts w:eastAsia="DengXian" w:cs="MS Gothic"/>
                <w:color w:val="000000"/>
                <w:sz w:val="16"/>
                <w:szCs w:val="16"/>
              </w:rPr>
            </w:pPr>
          </w:p>
        </w:tc>
        <w:tc>
          <w:tcPr>
            <w:tcW w:w="694" w:type="pct"/>
            <w:tcBorders>
              <w:top w:val="single" w:sz="4" w:space="0" w:color="000000"/>
              <w:left w:val="single" w:sz="4" w:space="0" w:color="000000"/>
              <w:bottom w:val="single" w:sz="4" w:space="0" w:color="000000"/>
              <w:right w:val="single" w:sz="4" w:space="0" w:color="000000"/>
            </w:tcBorders>
          </w:tcPr>
          <w:p w14:paraId="4DB55A64" w14:textId="77777777" w:rsidR="00C64E46" w:rsidRPr="00EE43C6" w:rsidRDefault="00C64E46" w:rsidP="00FA6FCA">
            <w:pPr>
              <w:spacing w:before="0" w:after="0" w:line="240" w:lineRule="auto"/>
              <w:jc w:val="center"/>
              <w:rPr>
                <w:rFonts w:eastAsia="DengXian" w:cs="MS Gothic"/>
                <w:color w:val="000000"/>
                <w:sz w:val="16"/>
                <w:szCs w:val="16"/>
              </w:rPr>
            </w:pPr>
          </w:p>
        </w:tc>
        <w:tc>
          <w:tcPr>
            <w:tcW w:w="611" w:type="pct"/>
            <w:tcBorders>
              <w:top w:val="single" w:sz="4" w:space="0" w:color="000000"/>
              <w:left w:val="single" w:sz="4" w:space="0" w:color="000000"/>
              <w:bottom w:val="single" w:sz="4" w:space="0" w:color="000000"/>
              <w:right w:val="single" w:sz="4" w:space="0" w:color="000000"/>
            </w:tcBorders>
          </w:tcPr>
          <w:p w14:paraId="415998A7" w14:textId="77777777" w:rsidR="00C64E46" w:rsidRPr="00EE43C6" w:rsidRDefault="00C64E46" w:rsidP="00FA6FCA">
            <w:pPr>
              <w:spacing w:before="0" w:after="0" w:line="240" w:lineRule="auto"/>
              <w:jc w:val="center"/>
              <w:rPr>
                <w:rFonts w:eastAsia="DengXian" w:cs="MS Gothic"/>
                <w:color w:val="000000"/>
                <w:sz w:val="16"/>
                <w:szCs w:val="16"/>
              </w:rPr>
            </w:pPr>
          </w:p>
        </w:tc>
        <w:tc>
          <w:tcPr>
            <w:tcW w:w="843" w:type="pct"/>
            <w:tcBorders>
              <w:top w:val="single" w:sz="4" w:space="0" w:color="000000"/>
              <w:left w:val="single" w:sz="4" w:space="0" w:color="000000"/>
              <w:bottom w:val="single" w:sz="4" w:space="0" w:color="000000"/>
              <w:right w:val="single" w:sz="4" w:space="0" w:color="000000"/>
            </w:tcBorders>
          </w:tcPr>
          <w:p w14:paraId="25420ED8" w14:textId="77777777" w:rsidR="00C64E46" w:rsidRPr="00EE43C6" w:rsidRDefault="00C64E46" w:rsidP="00FA6FCA">
            <w:pPr>
              <w:spacing w:before="0" w:after="0" w:line="240" w:lineRule="auto"/>
              <w:jc w:val="center"/>
              <w:rPr>
                <w:rFonts w:eastAsia="DengXian" w:cs="MS Gothic"/>
                <w:color w:val="000000"/>
                <w:sz w:val="16"/>
                <w:szCs w:val="16"/>
              </w:rPr>
            </w:pP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03594" w14:textId="77777777" w:rsidR="00C64E46" w:rsidRPr="00EE43C6" w:rsidRDefault="00C64E46" w:rsidP="00FA6FCA">
            <w:pPr>
              <w:spacing w:before="0" w:after="0" w:line="240" w:lineRule="auto"/>
              <w:jc w:val="center"/>
              <w:rPr>
                <w:rFonts w:eastAsia="DengXian" w:cs="MS Gothic"/>
                <w:color w:val="000000"/>
                <w:sz w:val="16"/>
                <w:szCs w:val="16"/>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4690D" w14:textId="77777777" w:rsidR="00C64E46" w:rsidRPr="00EE43C6" w:rsidRDefault="00C64E46" w:rsidP="00FA6FCA">
            <w:pPr>
              <w:spacing w:before="0" w:after="0" w:line="240" w:lineRule="auto"/>
              <w:jc w:val="center"/>
              <w:rPr>
                <w:rFonts w:eastAsia="DengXian" w:cs="MS Gothic"/>
                <w:color w:val="000000"/>
                <w:sz w:val="16"/>
                <w:szCs w:val="16"/>
              </w:rPr>
            </w:pPr>
          </w:p>
        </w:tc>
      </w:tr>
      <w:tr w:rsidR="00C64E46" w:rsidRPr="00EE43C6" w14:paraId="046298BD" w14:textId="77777777" w:rsidTr="00CF7699">
        <w:trPr>
          <w:trHeight w:val="316"/>
        </w:trPr>
        <w:tc>
          <w:tcPr>
            <w:tcW w:w="160" w:type="pct"/>
            <w:vMerge/>
            <w:shd w:val="clear" w:color="auto" w:fill="auto"/>
            <w:textDirection w:val="btLr"/>
            <w:vAlign w:val="center"/>
          </w:tcPr>
          <w:p w14:paraId="63783CBA" w14:textId="77777777" w:rsidR="00C64E46" w:rsidRPr="00EE43C6" w:rsidRDefault="00C64E46" w:rsidP="00AA52D7">
            <w:pPr>
              <w:spacing w:before="0" w:after="0" w:line="240" w:lineRule="auto"/>
              <w:jc w:val="center"/>
              <w:rPr>
                <w:rFonts w:eastAsia="DengXian" w:cs="MS Gothic"/>
                <w:color w:val="000000"/>
                <w:sz w:val="16"/>
                <w:szCs w:val="16"/>
              </w:rPr>
            </w:pPr>
          </w:p>
        </w:tc>
        <w:tc>
          <w:tcPr>
            <w:tcW w:w="138" w:type="pct"/>
            <w:vMerge w:val="restart"/>
            <w:shd w:val="clear" w:color="auto" w:fill="auto"/>
            <w:textDirection w:val="btLr"/>
            <w:vAlign w:val="center"/>
          </w:tcPr>
          <w:p w14:paraId="16BE9778" w14:textId="37FB7DCB" w:rsidR="00C64E46" w:rsidRPr="00EE43C6" w:rsidRDefault="00C64E46" w:rsidP="00AA52D7">
            <w:pPr>
              <w:spacing w:before="0" w:after="0" w:line="240" w:lineRule="auto"/>
              <w:jc w:val="center"/>
              <w:rPr>
                <w:rFonts w:eastAsia="DengXian" w:cs="MS Gothic"/>
                <w:color w:val="000000"/>
                <w:sz w:val="16"/>
                <w:szCs w:val="16"/>
              </w:rPr>
            </w:pPr>
            <w:r>
              <w:rPr>
                <w:rFonts w:eastAsia="DengXian" w:cs="MS Gothic"/>
                <w:color w:val="000000"/>
                <w:sz w:val="16"/>
                <w:szCs w:val="16"/>
              </w:rPr>
              <w:t>A.3</w:t>
            </w:r>
          </w:p>
        </w:tc>
        <w:tc>
          <w:tcPr>
            <w:tcW w:w="176" w:type="pct"/>
            <w:vMerge w:val="restart"/>
            <w:shd w:val="clear" w:color="auto" w:fill="auto"/>
            <w:textDirection w:val="btLr"/>
            <w:vAlign w:val="center"/>
          </w:tcPr>
          <w:p w14:paraId="28C59FA7" w14:textId="084565BB" w:rsidR="00C64E46" w:rsidRPr="00EE43C6" w:rsidRDefault="00C64E46" w:rsidP="00AA52D7">
            <w:pPr>
              <w:spacing w:before="0" w:after="0" w:line="240" w:lineRule="auto"/>
              <w:jc w:val="center"/>
              <w:rPr>
                <w:rFonts w:eastAsia="DengXian" w:cs="MS Gothic"/>
                <w:color w:val="000000"/>
                <w:sz w:val="16"/>
                <w:szCs w:val="16"/>
              </w:rPr>
            </w:pPr>
            <w:r>
              <w:rPr>
                <w:rFonts w:eastAsia="DengXian" w:cs="MS Gothic"/>
                <w:color w:val="000000"/>
                <w:sz w:val="16"/>
                <w:szCs w:val="16"/>
              </w:rPr>
              <w:t>April 2023</w:t>
            </w:r>
          </w:p>
        </w:tc>
        <w:tc>
          <w:tcPr>
            <w:tcW w:w="706" w:type="pct"/>
            <w:tcBorders>
              <w:top w:val="single" w:sz="4" w:space="0" w:color="000000"/>
              <w:left w:val="single" w:sz="4" w:space="0" w:color="000000"/>
              <w:bottom w:val="nil"/>
              <w:right w:val="single" w:sz="4" w:space="0" w:color="000000"/>
            </w:tcBorders>
            <w:shd w:val="clear" w:color="auto" w:fill="auto"/>
          </w:tcPr>
          <w:p w14:paraId="408A80F7" w14:textId="311413D3" w:rsidR="00C64E46" w:rsidRPr="00EE43C6" w:rsidRDefault="00C64E46" w:rsidP="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Eray Özen</w:t>
            </w:r>
          </w:p>
        </w:tc>
        <w:tc>
          <w:tcPr>
            <w:tcW w:w="694" w:type="pct"/>
            <w:tcBorders>
              <w:top w:val="single" w:sz="4" w:space="0" w:color="000000"/>
              <w:left w:val="single" w:sz="4" w:space="0" w:color="000000"/>
              <w:bottom w:val="nil"/>
              <w:right w:val="single" w:sz="4" w:space="0" w:color="000000"/>
            </w:tcBorders>
          </w:tcPr>
          <w:p w14:paraId="1C825F85" w14:textId="6A494FE7" w:rsidR="00C64E46" w:rsidRPr="00EE43C6" w:rsidRDefault="00C64E46" w:rsidP="00AA52D7">
            <w:pPr>
              <w:spacing w:before="0" w:after="0" w:line="240" w:lineRule="auto"/>
              <w:jc w:val="center"/>
              <w:rPr>
                <w:rFonts w:eastAsia="DengXian" w:cs="MS Gothic"/>
                <w:color w:val="000000"/>
                <w:sz w:val="16"/>
                <w:szCs w:val="16"/>
              </w:rPr>
            </w:pPr>
            <w:r w:rsidRPr="00EE43C6">
              <w:rPr>
                <w:rFonts w:eastAsia="DengXian" w:cs="MS Gothic"/>
                <w:color w:val="000000"/>
                <w:sz w:val="16"/>
                <w:szCs w:val="16"/>
              </w:rPr>
              <w:t>Onur Ali Taşkın</w:t>
            </w:r>
          </w:p>
        </w:tc>
        <w:tc>
          <w:tcPr>
            <w:tcW w:w="611" w:type="pct"/>
            <w:tcBorders>
              <w:top w:val="single" w:sz="4" w:space="0" w:color="000000"/>
              <w:left w:val="single" w:sz="4" w:space="0" w:color="000000"/>
              <w:bottom w:val="nil"/>
              <w:right w:val="single" w:sz="4" w:space="0" w:color="000000"/>
            </w:tcBorders>
          </w:tcPr>
          <w:p w14:paraId="198B5159" w14:textId="77777777" w:rsidR="00C64E46" w:rsidRPr="00EE43C6" w:rsidRDefault="00C64E46" w:rsidP="00AA52D7">
            <w:pPr>
              <w:spacing w:before="0" w:after="0" w:line="240" w:lineRule="auto"/>
              <w:jc w:val="center"/>
              <w:rPr>
                <w:rFonts w:eastAsia="DengXian" w:cs="MS Gothic"/>
                <w:color w:val="000000"/>
                <w:sz w:val="16"/>
                <w:szCs w:val="16"/>
              </w:rPr>
            </w:pPr>
            <w:r w:rsidRPr="00EE43C6">
              <w:rPr>
                <w:rFonts w:eastAsia="DengXian" w:cs="MS Gothic"/>
                <w:color w:val="000000"/>
                <w:sz w:val="16"/>
                <w:szCs w:val="16"/>
              </w:rPr>
              <w:t>Celal Denizli</w:t>
            </w:r>
          </w:p>
          <w:p w14:paraId="50973859" w14:textId="77777777" w:rsidR="00C64E46" w:rsidRPr="00EE43C6" w:rsidRDefault="00C64E46" w:rsidP="00AA52D7">
            <w:pPr>
              <w:spacing w:before="0" w:after="0" w:line="240" w:lineRule="auto"/>
              <w:jc w:val="center"/>
              <w:rPr>
                <w:rFonts w:eastAsia="DengXian" w:cs="MS Gothic"/>
                <w:color w:val="000000"/>
                <w:sz w:val="16"/>
                <w:szCs w:val="16"/>
              </w:rPr>
            </w:pPr>
          </w:p>
        </w:tc>
        <w:tc>
          <w:tcPr>
            <w:tcW w:w="843" w:type="pct"/>
            <w:tcBorders>
              <w:top w:val="single" w:sz="4" w:space="0" w:color="000000"/>
              <w:left w:val="single" w:sz="4" w:space="0" w:color="000000"/>
              <w:bottom w:val="nil"/>
              <w:right w:val="single" w:sz="4" w:space="0" w:color="000000"/>
            </w:tcBorders>
          </w:tcPr>
          <w:p w14:paraId="54598FAA" w14:textId="10BC838C" w:rsidR="00C64E46" w:rsidRPr="00EE43C6" w:rsidRDefault="00C64E46" w:rsidP="00AA52D7">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Esra Okumuşoğlu</w:t>
            </w:r>
          </w:p>
        </w:tc>
        <w:tc>
          <w:tcPr>
            <w:tcW w:w="803" w:type="pct"/>
            <w:tcBorders>
              <w:top w:val="single" w:sz="4" w:space="0" w:color="000000"/>
              <w:left w:val="single" w:sz="4" w:space="0" w:color="000000"/>
              <w:bottom w:val="nil"/>
              <w:right w:val="single" w:sz="4" w:space="0" w:color="000000"/>
            </w:tcBorders>
            <w:shd w:val="clear" w:color="auto" w:fill="auto"/>
          </w:tcPr>
          <w:p w14:paraId="0AE944BA" w14:textId="2B0F5EE3" w:rsidR="00C64E46" w:rsidRPr="00EE43C6" w:rsidRDefault="00C64E46" w:rsidP="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D. Emre Kaya</w:t>
            </w:r>
          </w:p>
        </w:tc>
        <w:tc>
          <w:tcPr>
            <w:tcW w:w="870" w:type="pct"/>
            <w:tcBorders>
              <w:top w:val="single" w:sz="4" w:space="0" w:color="000000"/>
              <w:left w:val="single" w:sz="4" w:space="0" w:color="000000"/>
              <w:bottom w:val="nil"/>
              <w:right w:val="single" w:sz="4" w:space="0" w:color="000000"/>
            </w:tcBorders>
            <w:shd w:val="clear" w:color="auto" w:fill="auto"/>
          </w:tcPr>
          <w:p w14:paraId="31FE507D" w14:textId="07B7F9D1" w:rsidR="00C64E46" w:rsidRPr="00EE43C6" w:rsidRDefault="00C64E46" w:rsidP="00C64E46">
            <w:pPr>
              <w:spacing w:before="0" w:after="0" w:line="240" w:lineRule="auto"/>
              <w:jc w:val="center"/>
              <w:rPr>
                <w:rFonts w:eastAsia="DengXian" w:cs="MS Gothic"/>
                <w:color w:val="000000"/>
                <w:sz w:val="16"/>
                <w:szCs w:val="16"/>
              </w:rPr>
            </w:pPr>
            <w:r w:rsidRPr="00EE43C6">
              <w:rPr>
                <w:rFonts w:eastAsia="DengXian" w:cs="MS Gothic"/>
                <w:color w:val="000000"/>
                <w:sz w:val="16"/>
                <w:szCs w:val="16"/>
              </w:rPr>
              <w:t>Turgay Eser</w:t>
            </w:r>
          </w:p>
        </w:tc>
      </w:tr>
      <w:tr w:rsidR="00C64E46" w:rsidRPr="00EE43C6" w14:paraId="1775C210" w14:textId="77777777" w:rsidTr="00CF7699">
        <w:trPr>
          <w:trHeight w:val="316"/>
        </w:trPr>
        <w:tc>
          <w:tcPr>
            <w:tcW w:w="160" w:type="pct"/>
            <w:vMerge/>
            <w:shd w:val="clear" w:color="auto" w:fill="auto"/>
            <w:textDirection w:val="btLr"/>
            <w:vAlign w:val="center"/>
          </w:tcPr>
          <w:p w14:paraId="558A4F85" w14:textId="77777777" w:rsidR="00C64E46" w:rsidRPr="00EE43C6" w:rsidRDefault="00C64E46" w:rsidP="00AA52D7">
            <w:pPr>
              <w:spacing w:before="0" w:after="0" w:line="240" w:lineRule="auto"/>
              <w:jc w:val="center"/>
              <w:rPr>
                <w:rFonts w:eastAsia="DengXian" w:cs="MS Gothic"/>
                <w:color w:val="000000"/>
                <w:sz w:val="16"/>
                <w:szCs w:val="16"/>
              </w:rPr>
            </w:pPr>
          </w:p>
        </w:tc>
        <w:tc>
          <w:tcPr>
            <w:tcW w:w="138" w:type="pct"/>
            <w:vMerge/>
            <w:shd w:val="clear" w:color="auto" w:fill="auto"/>
            <w:textDirection w:val="btLr"/>
            <w:vAlign w:val="center"/>
          </w:tcPr>
          <w:p w14:paraId="36197862" w14:textId="77777777" w:rsidR="00C64E46" w:rsidRPr="00EE43C6" w:rsidRDefault="00C64E46" w:rsidP="00AA52D7">
            <w:pPr>
              <w:spacing w:before="0" w:after="0" w:line="240" w:lineRule="auto"/>
              <w:jc w:val="center"/>
              <w:rPr>
                <w:rFonts w:eastAsia="DengXian" w:cs="MS Gothic"/>
                <w:color w:val="000000"/>
                <w:sz w:val="16"/>
                <w:szCs w:val="16"/>
              </w:rPr>
            </w:pPr>
          </w:p>
        </w:tc>
        <w:tc>
          <w:tcPr>
            <w:tcW w:w="176" w:type="pct"/>
            <w:vMerge/>
            <w:shd w:val="clear" w:color="auto" w:fill="auto"/>
            <w:textDirection w:val="btLr"/>
            <w:vAlign w:val="center"/>
          </w:tcPr>
          <w:p w14:paraId="0A2C23FE" w14:textId="77777777" w:rsidR="00C64E46" w:rsidRPr="00EE43C6" w:rsidRDefault="00C64E46" w:rsidP="00AA52D7">
            <w:pPr>
              <w:spacing w:before="0" w:after="0" w:line="240" w:lineRule="auto"/>
              <w:jc w:val="center"/>
              <w:rPr>
                <w:rFonts w:eastAsia="DengXian" w:cs="MS Gothic"/>
                <w:color w:val="000000"/>
                <w:sz w:val="16"/>
                <w:szCs w:val="16"/>
              </w:rPr>
            </w:pPr>
          </w:p>
        </w:tc>
        <w:tc>
          <w:tcPr>
            <w:tcW w:w="706" w:type="pct"/>
            <w:tcBorders>
              <w:top w:val="nil"/>
              <w:left w:val="single" w:sz="4" w:space="0" w:color="000000"/>
              <w:bottom w:val="single" w:sz="4" w:space="0" w:color="000000"/>
              <w:right w:val="single" w:sz="4" w:space="0" w:color="000000"/>
            </w:tcBorders>
            <w:shd w:val="clear" w:color="auto" w:fill="auto"/>
            <w:vAlign w:val="center"/>
          </w:tcPr>
          <w:p w14:paraId="5A6D7953" w14:textId="28A02624" w:rsidR="00C64E46" w:rsidRPr="00EE43C6" w:rsidRDefault="00C64E46" w:rsidP="00AA52D7">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w:t>
            </w:r>
          </w:p>
        </w:tc>
        <w:tc>
          <w:tcPr>
            <w:tcW w:w="694" w:type="pct"/>
            <w:tcBorders>
              <w:top w:val="nil"/>
              <w:left w:val="single" w:sz="4" w:space="0" w:color="000000"/>
              <w:bottom w:val="single" w:sz="4" w:space="0" w:color="000000"/>
              <w:right w:val="single" w:sz="4" w:space="0" w:color="000000"/>
            </w:tcBorders>
          </w:tcPr>
          <w:p w14:paraId="34D44BE1" w14:textId="22E3FB50" w:rsidR="00C64E46" w:rsidRPr="00EE43C6" w:rsidRDefault="00C64E46" w:rsidP="00AA52D7">
            <w:pPr>
              <w:spacing w:before="0" w:after="0" w:line="240" w:lineRule="auto"/>
              <w:jc w:val="center"/>
              <w:rPr>
                <w:rFonts w:eastAsia="DengXian" w:cs="MS Gothic"/>
                <w:color w:val="000000"/>
                <w:sz w:val="16"/>
                <w:szCs w:val="16"/>
              </w:rPr>
            </w:pPr>
            <w:r w:rsidRPr="00EE43C6">
              <w:rPr>
                <w:rFonts w:eastAsia="DengXian" w:cs="MS Gothic"/>
                <w:color w:val="000000"/>
                <w:sz w:val="16"/>
                <w:szCs w:val="16"/>
              </w:rPr>
              <w:t>Sociologist</w:t>
            </w:r>
          </w:p>
        </w:tc>
        <w:tc>
          <w:tcPr>
            <w:tcW w:w="611" w:type="pct"/>
            <w:tcBorders>
              <w:top w:val="nil"/>
              <w:left w:val="single" w:sz="4" w:space="0" w:color="000000"/>
              <w:bottom w:val="single" w:sz="4" w:space="0" w:color="000000"/>
              <w:right w:val="single" w:sz="4" w:space="0" w:color="000000"/>
            </w:tcBorders>
          </w:tcPr>
          <w:p w14:paraId="4F6FD1B3" w14:textId="1F2CE370" w:rsidR="00C64E46" w:rsidRPr="00EE43C6" w:rsidRDefault="00C64E46" w:rsidP="00AA52D7">
            <w:pPr>
              <w:spacing w:before="0" w:after="0" w:line="240" w:lineRule="auto"/>
              <w:jc w:val="center"/>
              <w:rPr>
                <w:rFonts w:eastAsia="DengXian" w:cs="MS Gothic"/>
                <w:color w:val="000000"/>
                <w:sz w:val="16"/>
                <w:szCs w:val="16"/>
              </w:rPr>
            </w:pPr>
            <w:r w:rsidRPr="00EE43C6">
              <w:rPr>
                <w:rFonts w:eastAsia="DengXian" w:cs="MS Gothic"/>
                <w:color w:val="000000"/>
                <w:sz w:val="16"/>
                <w:szCs w:val="16"/>
              </w:rPr>
              <w:t>Biologist</w:t>
            </w:r>
          </w:p>
        </w:tc>
        <w:tc>
          <w:tcPr>
            <w:tcW w:w="843" w:type="pct"/>
            <w:tcBorders>
              <w:top w:val="nil"/>
              <w:left w:val="single" w:sz="4" w:space="0" w:color="000000"/>
              <w:bottom w:val="single" w:sz="4" w:space="0" w:color="000000"/>
              <w:right w:val="single" w:sz="4" w:space="0" w:color="000000"/>
            </w:tcBorders>
          </w:tcPr>
          <w:p w14:paraId="0FCCAD80" w14:textId="181DFC15" w:rsidR="00C64E46" w:rsidRPr="00EE43C6" w:rsidRDefault="00C64E46" w:rsidP="00AA52D7">
            <w:pPr>
              <w:spacing w:before="0" w:after="0" w:line="240" w:lineRule="auto"/>
              <w:jc w:val="center"/>
              <w:rPr>
                <w:rFonts w:eastAsia="DengXian" w:cs="MS Gothic"/>
                <w:color w:val="000000"/>
                <w:sz w:val="16"/>
                <w:szCs w:val="16"/>
              </w:rPr>
            </w:pPr>
            <w:r w:rsidRPr="00EE43C6">
              <w:rPr>
                <w:rFonts w:eastAsia="DengXian" w:cs="MS Gothic"/>
                <w:color w:val="000000"/>
                <w:sz w:val="16"/>
                <w:szCs w:val="16"/>
              </w:rPr>
              <w:t>Geological Engineer</w:t>
            </w:r>
          </w:p>
        </w:tc>
        <w:tc>
          <w:tcPr>
            <w:tcW w:w="803" w:type="pct"/>
            <w:tcBorders>
              <w:top w:val="nil"/>
              <w:left w:val="single" w:sz="4" w:space="0" w:color="000000"/>
              <w:bottom w:val="single" w:sz="4" w:space="0" w:color="000000"/>
              <w:right w:val="single" w:sz="4" w:space="0" w:color="000000"/>
            </w:tcBorders>
            <w:shd w:val="clear" w:color="auto" w:fill="auto"/>
            <w:vAlign w:val="center"/>
          </w:tcPr>
          <w:p w14:paraId="3A28C970" w14:textId="515C748A" w:rsidR="00C64E46" w:rsidRPr="00EE43C6" w:rsidRDefault="00C64E46" w:rsidP="00AA52D7">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 B.Sc.</w:t>
            </w:r>
          </w:p>
        </w:tc>
        <w:tc>
          <w:tcPr>
            <w:tcW w:w="870" w:type="pct"/>
            <w:tcBorders>
              <w:top w:val="nil"/>
              <w:left w:val="single" w:sz="4" w:space="0" w:color="000000"/>
              <w:bottom w:val="single" w:sz="4" w:space="0" w:color="000000"/>
              <w:right w:val="single" w:sz="4" w:space="0" w:color="000000"/>
            </w:tcBorders>
            <w:shd w:val="clear" w:color="auto" w:fill="auto"/>
            <w:vAlign w:val="center"/>
          </w:tcPr>
          <w:p w14:paraId="49C4A188" w14:textId="62EFB3D6" w:rsidR="00C64E46" w:rsidRPr="00EE43C6" w:rsidRDefault="00C64E46" w:rsidP="00AA52D7">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w:t>
            </w:r>
          </w:p>
        </w:tc>
      </w:tr>
      <w:tr w:rsidR="00C64E46" w:rsidRPr="00EE43C6" w14:paraId="377E357B" w14:textId="77777777" w:rsidTr="00CF7699">
        <w:trPr>
          <w:trHeight w:val="316"/>
        </w:trPr>
        <w:tc>
          <w:tcPr>
            <w:tcW w:w="160" w:type="pct"/>
            <w:vMerge/>
            <w:shd w:val="clear" w:color="auto" w:fill="auto"/>
            <w:textDirection w:val="btLr"/>
            <w:vAlign w:val="center"/>
          </w:tcPr>
          <w:p w14:paraId="1BA2A99F" w14:textId="77777777" w:rsidR="00C64E46" w:rsidRPr="00EE43C6" w:rsidRDefault="00C64E46" w:rsidP="00AA52D7">
            <w:pPr>
              <w:spacing w:before="0" w:after="0" w:line="240" w:lineRule="auto"/>
              <w:jc w:val="center"/>
              <w:rPr>
                <w:rFonts w:eastAsia="DengXian" w:cs="MS Gothic"/>
                <w:color w:val="000000"/>
                <w:sz w:val="16"/>
                <w:szCs w:val="16"/>
              </w:rPr>
            </w:pPr>
          </w:p>
        </w:tc>
        <w:tc>
          <w:tcPr>
            <w:tcW w:w="138" w:type="pct"/>
            <w:vMerge/>
            <w:shd w:val="clear" w:color="auto" w:fill="auto"/>
            <w:textDirection w:val="btLr"/>
            <w:vAlign w:val="center"/>
          </w:tcPr>
          <w:p w14:paraId="4A51E904" w14:textId="77777777" w:rsidR="00C64E46" w:rsidRPr="00EE43C6" w:rsidRDefault="00C64E46" w:rsidP="00AA52D7">
            <w:pPr>
              <w:spacing w:before="0" w:after="0" w:line="240" w:lineRule="auto"/>
              <w:jc w:val="center"/>
              <w:rPr>
                <w:rFonts w:eastAsia="DengXian" w:cs="MS Gothic"/>
                <w:color w:val="000000"/>
                <w:sz w:val="16"/>
                <w:szCs w:val="16"/>
              </w:rPr>
            </w:pPr>
          </w:p>
        </w:tc>
        <w:tc>
          <w:tcPr>
            <w:tcW w:w="176" w:type="pct"/>
            <w:vMerge/>
            <w:shd w:val="clear" w:color="auto" w:fill="auto"/>
            <w:textDirection w:val="btLr"/>
            <w:vAlign w:val="center"/>
          </w:tcPr>
          <w:p w14:paraId="43651765" w14:textId="77777777" w:rsidR="00C64E46" w:rsidRPr="00EE43C6" w:rsidRDefault="00C64E46" w:rsidP="00AA52D7">
            <w:pPr>
              <w:spacing w:before="0" w:after="0" w:line="240" w:lineRule="auto"/>
              <w:jc w:val="center"/>
              <w:rPr>
                <w:rFonts w:eastAsia="DengXian" w:cs="MS Gothic"/>
                <w:color w:val="000000"/>
                <w:sz w:val="16"/>
                <w:szCs w:val="16"/>
              </w:rPr>
            </w:pPr>
          </w:p>
        </w:tc>
        <w:tc>
          <w:tcPr>
            <w:tcW w:w="7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F4879" w14:textId="77777777" w:rsidR="00C64E46" w:rsidRPr="00EE43C6" w:rsidRDefault="00C64E46" w:rsidP="00AA52D7">
            <w:pPr>
              <w:spacing w:before="0" w:after="0" w:line="240" w:lineRule="auto"/>
              <w:jc w:val="center"/>
              <w:rPr>
                <w:rFonts w:eastAsia="DengXian" w:cs="MS Gothic"/>
                <w:color w:val="000000"/>
                <w:sz w:val="16"/>
                <w:szCs w:val="16"/>
              </w:rPr>
            </w:pPr>
          </w:p>
        </w:tc>
        <w:tc>
          <w:tcPr>
            <w:tcW w:w="694" w:type="pct"/>
            <w:tcBorders>
              <w:top w:val="single" w:sz="4" w:space="0" w:color="000000"/>
              <w:left w:val="single" w:sz="4" w:space="0" w:color="000000"/>
              <w:bottom w:val="single" w:sz="4" w:space="0" w:color="000000"/>
              <w:right w:val="single" w:sz="4" w:space="0" w:color="000000"/>
            </w:tcBorders>
          </w:tcPr>
          <w:p w14:paraId="4ECC0812" w14:textId="77777777" w:rsidR="00C64E46" w:rsidRPr="00EE43C6" w:rsidRDefault="00C64E46" w:rsidP="00AA52D7">
            <w:pPr>
              <w:spacing w:before="0" w:after="0" w:line="240" w:lineRule="auto"/>
              <w:jc w:val="center"/>
              <w:rPr>
                <w:rFonts w:eastAsia="DengXian" w:cs="MS Gothic"/>
                <w:color w:val="000000"/>
                <w:sz w:val="16"/>
                <w:szCs w:val="16"/>
              </w:rPr>
            </w:pPr>
          </w:p>
        </w:tc>
        <w:tc>
          <w:tcPr>
            <w:tcW w:w="611" w:type="pct"/>
            <w:tcBorders>
              <w:top w:val="single" w:sz="4" w:space="0" w:color="000000"/>
              <w:left w:val="single" w:sz="4" w:space="0" w:color="000000"/>
              <w:bottom w:val="single" w:sz="4" w:space="0" w:color="000000"/>
              <w:right w:val="single" w:sz="4" w:space="0" w:color="000000"/>
            </w:tcBorders>
          </w:tcPr>
          <w:p w14:paraId="045E8AA3" w14:textId="77777777" w:rsidR="00C64E46" w:rsidRPr="00EE43C6" w:rsidRDefault="00C64E46" w:rsidP="00AA52D7">
            <w:pPr>
              <w:spacing w:before="0" w:after="0" w:line="240" w:lineRule="auto"/>
              <w:jc w:val="center"/>
              <w:rPr>
                <w:rFonts w:eastAsia="DengXian" w:cs="MS Gothic"/>
                <w:color w:val="000000"/>
                <w:sz w:val="16"/>
                <w:szCs w:val="16"/>
              </w:rPr>
            </w:pPr>
          </w:p>
        </w:tc>
        <w:tc>
          <w:tcPr>
            <w:tcW w:w="843" w:type="pct"/>
            <w:tcBorders>
              <w:top w:val="single" w:sz="4" w:space="0" w:color="000000"/>
              <w:left w:val="single" w:sz="4" w:space="0" w:color="000000"/>
              <w:bottom w:val="single" w:sz="4" w:space="0" w:color="000000"/>
              <w:right w:val="single" w:sz="4" w:space="0" w:color="000000"/>
            </w:tcBorders>
          </w:tcPr>
          <w:p w14:paraId="39F93880" w14:textId="77777777" w:rsidR="00C64E46" w:rsidRPr="00EE43C6" w:rsidRDefault="00C64E46" w:rsidP="00AA52D7">
            <w:pPr>
              <w:spacing w:before="0" w:after="0" w:line="240" w:lineRule="auto"/>
              <w:jc w:val="center"/>
              <w:rPr>
                <w:rFonts w:eastAsia="DengXian" w:cs="MS Gothic"/>
                <w:color w:val="000000"/>
                <w:sz w:val="16"/>
                <w:szCs w:val="16"/>
              </w:rPr>
            </w:pP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96390" w14:textId="77777777" w:rsidR="00C64E46" w:rsidRPr="00EE43C6" w:rsidRDefault="00C64E46" w:rsidP="00AA52D7">
            <w:pPr>
              <w:spacing w:before="0" w:after="0" w:line="240" w:lineRule="auto"/>
              <w:jc w:val="center"/>
              <w:rPr>
                <w:rFonts w:eastAsia="DengXian" w:cs="MS Gothic"/>
                <w:color w:val="000000"/>
                <w:sz w:val="16"/>
                <w:szCs w:val="16"/>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D55B8" w14:textId="77777777" w:rsidR="00C64E46" w:rsidRPr="00EE43C6" w:rsidRDefault="00C64E46" w:rsidP="00AA52D7">
            <w:pPr>
              <w:spacing w:before="0" w:after="0" w:line="240" w:lineRule="auto"/>
              <w:jc w:val="center"/>
              <w:rPr>
                <w:rFonts w:eastAsia="DengXian" w:cs="MS Gothic"/>
                <w:color w:val="000000"/>
                <w:sz w:val="16"/>
                <w:szCs w:val="16"/>
              </w:rPr>
            </w:pPr>
          </w:p>
        </w:tc>
      </w:tr>
      <w:tr w:rsidR="00C64E46" w:rsidRPr="00EE43C6" w14:paraId="07D57D53" w14:textId="77777777" w:rsidTr="00CF7699">
        <w:trPr>
          <w:trHeight w:val="316"/>
        </w:trPr>
        <w:tc>
          <w:tcPr>
            <w:tcW w:w="160" w:type="pct"/>
            <w:vMerge w:val="restart"/>
            <w:shd w:val="clear" w:color="auto" w:fill="auto"/>
            <w:textDirection w:val="btLr"/>
            <w:vAlign w:val="center"/>
          </w:tcPr>
          <w:p w14:paraId="1E0BDA0C" w14:textId="68575A0A" w:rsidR="00C64E46" w:rsidRPr="00EE43C6" w:rsidRDefault="004C60B9" w:rsidP="00E2180A">
            <w:pPr>
              <w:spacing w:before="0" w:after="0" w:line="240" w:lineRule="auto"/>
              <w:jc w:val="center"/>
              <w:rPr>
                <w:rFonts w:eastAsia="DengXian" w:cs="MS Gothic"/>
                <w:color w:val="000000"/>
                <w:sz w:val="16"/>
                <w:szCs w:val="16"/>
              </w:rPr>
            </w:pPr>
            <w:r>
              <w:rPr>
                <w:rFonts w:eastAsia="DengXian" w:cs="MS Gothic"/>
                <w:color w:val="000000"/>
                <w:sz w:val="16"/>
                <w:szCs w:val="16"/>
              </w:rPr>
              <w:t>Final Draft</w:t>
            </w:r>
          </w:p>
        </w:tc>
        <w:tc>
          <w:tcPr>
            <w:tcW w:w="138" w:type="pct"/>
            <w:vMerge w:val="restart"/>
            <w:shd w:val="clear" w:color="auto" w:fill="auto"/>
            <w:textDirection w:val="btLr"/>
            <w:vAlign w:val="center"/>
          </w:tcPr>
          <w:p w14:paraId="47B8BC66" w14:textId="33C6A0EE" w:rsidR="00C64E46" w:rsidRPr="00EE43C6" w:rsidRDefault="004C60B9" w:rsidP="00E2180A">
            <w:pPr>
              <w:spacing w:before="0" w:after="0" w:line="240" w:lineRule="auto"/>
              <w:jc w:val="center"/>
              <w:rPr>
                <w:rFonts w:eastAsia="DengXian" w:cs="MS Gothic"/>
                <w:color w:val="000000"/>
                <w:sz w:val="16"/>
                <w:szCs w:val="16"/>
              </w:rPr>
            </w:pPr>
            <w:r>
              <w:rPr>
                <w:rFonts w:eastAsia="DengXian" w:cs="MS Gothic"/>
                <w:color w:val="000000"/>
                <w:sz w:val="16"/>
                <w:szCs w:val="16"/>
              </w:rPr>
              <w:t>B</w:t>
            </w:r>
            <w:r w:rsidR="00C64E46">
              <w:rPr>
                <w:rFonts w:eastAsia="DengXian" w:cs="MS Gothic"/>
                <w:color w:val="000000"/>
                <w:sz w:val="16"/>
                <w:szCs w:val="16"/>
              </w:rPr>
              <w:t>.</w:t>
            </w:r>
            <w:r>
              <w:rPr>
                <w:rFonts w:eastAsia="DengXian" w:cs="MS Gothic"/>
                <w:color w:val="000000"/>
                <w:sz w:val="16"/>
                <w:szCs w:val="16"/>
              </w:rPr>
              <w:t>0</w:t>
            </w:r>
          </w:p>
        </w:tc>
        <w:tc>
          <w:tcPr>
            <w:tcW w:w="176" w:type="pct"/>
            <w:vMerge w:val="restart"/>
            <w:shd w:val="clear" w:color="auto" w:fill="auto"/>
            <w:textDirection w:val="btLr"/>
            <w:vAlign w:val="center"/>
          </w:tcPr>
          <w:p w14:paraId="15207E2F" w14:textId="364CAC0D" w:rsidR="00C64E46" w:rsidRPr="00EE43C6" w:rsidRDefault="00427B94" w:rsidP="00E2180A">
            <w:pPr>
              <w:spacing w:before="0" w:after="0" w:line="240" w:lineRule="auto"/>
              <w:jc w:val="center"/>
              <w:rPr>
                <w:rFonts w:eastAsia="DengXian" w:cs="MS Gothic"/>
                <w:color w:val="000000"/>
                <w:sz w:val="16"/>
                <w:szCs w:val="16"/>
              </w:rPr>
            </w:pPr>
            <w:r>
              <w:rPr>
                <w:rFonts w:eastAsia="DengXian" w:cs="MS Gothic"/>
                <w:color w:val="000000"/>
                <w:sz w:val="16"/>
                <w:szCs w:val="16"/>
              </w:rPr>
              <w:t xml:space="preserve">July </w:t>
            </w:r>
            <w:r w:rsidR="00C64E46">
              <w:rPr>
                <w:rFonts w:eastAsia="DengXian" w:cs="MS Gothic"/>
                <w:color w:val="000000"/>
                <w:sz w:val="16"/>
                <w:szCs w:val="16"/>
              </w:rPr>
              <w:t>2023</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14:paraId="1A957E7C" w14:textId="015162C7" w:rsidR="00C64E46" w:rsidRPr="00EE43C6" w:rsidRDefault="00C64E46" w:rsidP="00E2180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Eray Özen</w:t>
            </w:r>
          </w:p>
        </w:tc>
        <w:tc>
          <w:tcPr>
            <w:tcW w:w="694" w:type="pct"/>
            <w:tcBorders>
              <w:top w:val="single" w:sz="4" w:space="0" w:color="000000"/>
              <w:left w:val="single" w:sz="4" w:space="0" w:color="000000"/>
              <w:bottom w:val="single" w:sz="4" w:space="0" w:color="000000"/>
              <w:right w:val="single" w:sz="4" w:space="0" w:color="000000"/>
            </w:tcBorders>
          </w:tcPr>
          <w:p w14:paraId="7422115E" w14:textId="2A472371" w:rsidR="00C64E46" w:rsidRPr="00EE43C6" w:rsidRDefault="00C64E46" w:rsidP="00E2180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Onur Ali Taşkın</w:t>
            </w:r>
          </w:p>
        </w:tc>
        <w:tc>
          <w:tcPr>
            <w:tcW w:w="611" w:type="pct"/>
            <w:tcBorders>
              <w:top w:val="single" w:sz="4" w:space="0" w:color="000000"/>
              <w:left w:val="single" w:sz="4" w:space="0" w:color="000000"/>
              <w:bottom w:val="single" w:sz="4" w:space="0" w:color="000000"/>
              <w:right w:val="single" w:sz="4" w:space="0" w:color="000000"/>
            </w:tcBorders>
          </w:tcPr>
          <w:p w14:paraId="062773E8" w14:textId="77777777" w:rsidR="00C64E46" w:rsidRPr="00EE43C6" w:rsidRDefault="00C64E46" w:rsidP="00E2180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Celal Denizli</w:t>
            </w:r>
          </w:p>
          <w:p w14:paraId="5A013770" w14:textId="77777777" w:rsidR="00C64E46" w:rsidRPr="00EE43C6" w:rsidRDefault="00C64E46" w:rsidP="00E2180A">
            <w:pPr>
              <w:spacing w:before="0" w:after="0" w:line="240" w:lineRule="auto"/>
              <w:jc w:val="center"/>
              <w:rPr>
                <w:rFonts w:eastAsia="DengXian" w:cs="MS Gothic"/>
                <w:color w:val="000000"/>
                <w:sz w:val="16"/>
                <w:szCs w:val="16"/>
              </w:rPr>
            </w:pPr>
          </w:p>
        </w:tc>
        <w:tc>
          <w:tcPr>
            <w:tcW w:w="843" w:type="pct"/>
            <w:tcBorders>
              <w:top w:val="single" w:sz="4" w:space="0" w:color="000000"/>
              <w:left w:val="single" w:sz="4" w:space="0" w:color="000000"/>
              <w:bottom w:val="single" w:sz="4" w:space="0" w:color="000000"/>
              <w:right w:val="single" w:sz="4" w:space="0" w:color="000000"/>
            </w:tcBorders>
          </w:tcPr>
          <w:p w14:paraId="7BB899ED" w14:textId="32963FB2" w:rsidR="00C64E46" w:rsidRPr="00EE43C6" w:rsidRDefault="00C64E46" w:rsidP="00E2180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Esra Okumuşoğlu</w:t>
            </w:r>
          </w:p>
        </w:tc>
        <w:tc>
          <w:tcPr>
            <w:tcW w:w="803" w:type="pct"/>
            <w:tcBorders>
              <w:top w:val="single" w:sz="4" w:space="0" w:color="000000"/>
              <w:left w:val="single" w:sz="4" w:space="0" w:color="000000"/>
              <w:bottom w:val="single" w:sz="4" w:space="0" w:color="000000"/>
              <w:right w:val="single" w:sz="4" w:space="0" w:color="000000"/>
            </w:tcBorders>
            <w:shd w:val="clear" w:color="auto" w:fill="auto"/>
          </w:tcPr>
          <w:p w14:paraId="73F61BEB" w14:textId="49165888" w:rsidR="00C64E46" w:rsidRPr="00EE43C6" w:rsidRDefault="00C64E46" w:rsidP="00E2180A">
            <w:pPr>
              <w:spacing w:before="0" w:after="0" w:line="240" w:lineRule="auto"/>
              <w:jc w:val="center"/>
              <w:rPr>
                <w:rFonts w:eastAsia="DengXian" w:cs="MS Gothic"/>
                <w:color w:val="000000"/>
                <w:sz w:val="16"/>
                <w:szCs w:val="16"/>
              </w:rPr>
            </w:pPr>
            <w:r w:rsidRPr="00EE43C6">
              <w:rPr>
                <w:sz w:val="16"/>
                <w:szCs w:val="18"/>
              </w:rPr>
              <w:t>D. Emre Kaya</w:t>
            </w: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14:paraId="439A0C45" w14:textId="794F38D3" w:rsidR="00C64E46" w:rsidRPr="00EE43C6" w:rsidRDefault="00C64E46" w:rsidP="00E2180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Turgay Eser</w:t>
            </w:r>
          </w:p>
        </w:tc>
      </w:tr>
      <w:tr w:rsidR="00C64E46" w:rsidRPr="00EE43C6" w14:paraId="7001FCB6" w14:textId="77777777" w:rsidTr="00CF7699">
        <w:trPr>
          <w:trHeight w:val="316"/>
        </w:trPr>
        <w:tc>
          <w:tcPr>
            <w:tcW w:w="160" w:type="pct"/>
            <w:vMerge/>
            <w:shd w:val="clear" w:color="auto" w:fill="auto"/>
            <w:textDirection w:val="btLr"/>
            <w:vAlign w:val="center"/>
          </w:tcPr>
          <w:p w14:paraId="24358CDB" w14:textId="77777777" w:rsidR="00C64E46" w:rsidRPr="00EE43C6" w:rsidRDefault="00C64E46" w:rsidP="00E2180A">
            <w:pPr>
              <w:spacing w:before="0" w:after="0" w:line="240" w:lineRule="auto"/>
              <w:jc w:val="center"/>
              <w:rPr>
                <w:rFonts w:eastAsia="DengXian" w:cs="MS Gothic"/>
                <w:color w:val="000000"/>
                <w:sz w:val="16"/>
                <w:szCs w:val="16"/>
              </w:rPr>
            </w:pPr>
          </w:p>
        </w:tc>
        <w:tc>
          <w:tcPr>
            <w:tcW w:w="138" w:type="pct"/>
            <w:vMerge/>
            <w:shd w:val="clear" w:color="auto" w:fill="auto"/>
            <w:textDirection w:val="btLr"/>
            <w:vAlign w:val="center"/>
          </w:tcPr>
          <w:p w14:paraId="35696DC6" w14:textId="77777777" w:rsidR="00C64E46" w:rsidRPr="00EE43C6" w:rsidRDefault="00C64E46" w:rsidP="00E2180A">
            <w:pPr>
              <w:spacing w:before="0" w:after="0" w:line="240" w:lineRule="auto"/>
              <w:jc w:val="center"/>
              <w:rPr>
                <w:rFonts w:eastAsia="DengXian" w:cs="MS Gothic"/>
                <w:color w:val="000000"/>
                <w:sz w:val="16"/>
                <w:szCs w:val="16"/>
              </w:rPr>
            </w:pPr>
          </w:p>
        </w:tc>
        <w:tc>
          <w:tcPr>
            <w:tcW w:w="176" w:type="pct"/>
            <w:vMerge/>
            <w:shd w:val="clear" w:color="auto" w:fill="auto"/>
            <w:textDirection w:val="btLr"/>
            <w:vAlign w:val="center"/>
          </w:tcPr>
          <w:p w14:paraId="28A511F5" w14:textId="77777777" w:rsidR="00C64E46" w:rsidRPr="00EE43C6" w:rsidRDefault="00C64E46" w:rsidP="00E2180A">
            <w:pPr>
              <w:spacing w:before="0" w:after="0" w:line="240" w:lineRule="auto"/>
              <w:jc w:val="center"/>
              <w:rPr>
                <w:rFonts w:eastAsia="DengXian" w:cs="MS Gothic"/>
                <w:color w:val="000000"/>
                <w:sz w:val="16"/>
                <w:szCs w:val="16"/>
              </w:rPr>
            </w:pP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14:paraId="5FAEB35A" w14:textId="6F43EFE2" w:rsidR="00C64E46" w:rsidRPr="00EE43C6" w:rsidRDefault="00C64E46" w:rsidP="00E2180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w:t>
            </w:r>
          </w:p>
        </w:tc>
        <w:tc>
          <w:tcPr>
            <w:tcW w:w="694" w:type="pct"/>
            <w:tcBorders>
              <w:top w:val="single" w:sz="4" w:space="0" w:color="000000"/>
              <w:left w:val="single" w:sz="4" w:space="0" w:color="000000"/>
              <w:bottom w:val="single" w:sz="4" w:space="0" w:color="000000"/>
              <w:right w:val="single" w:sz="4" w:space="0" w:color="000000"/>
            </w:tcBorders>
          </w:tcPr>
          <w:p w14:paraId="4C236B3F" w14:textId="1C56AD69" w:rsidR="00C64E46" w:rsidRPr="00EE43C6" w:rsidRDefault="00C64E46" w:rsidP="00E2180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Sociologist</w:t>
            </w:r>
          </w:p>
        </w:tc>
        <w:tc>
          <w:tcPr>
            <w:tcW w:w="611" w:type="pct"/>
            <w:tcBorders>
              <w:top w:val="single" w:sz="4" w:space="0" w:color="000000"/>
              <w:left w:val="single" w:sz="4" w:space="0" w:color="000000"/>
              <w:bottom w:val="single" w:sz="4" w:space="0" w:color="000000"/>
              <w:right w:val="single" w:sz="4" w:space="0" w:color="000000"/>
            </w:tcBorders>
          </w:tcPr>
          <w:p w14:paraId="05D62AC7" w14:textId="444755CF" w:rsidR="00C64E46" w:rsidRPr="00EE43C6" w:rsidRDefault="00C64E46" w:rsidP="00E2180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Biologist</w:t>
            </w:r>
          </w:p>
        </w:tc>
        <w:tc>
          <w:tcPr>
            <w:tcW w:w="843" w:type="pct"/>
            <w:tcBorders>
              <w:top w:val="single" w:sz="4" w:space="0" w:color="000000"/>
              <w:left w:val="single" w:sz="4" w:space="0" w:color="000000"/>
              <w:bottom w:val="single" w:sz="4" w:space="0" w:color="000000"/>
              <w:right w:val="single" w:sz="4" w:space="0" w:color="000000"/>
            </w:tcBorders>
          </w:tcPr>
          <w:p w14:paraId="0433D470" w14:textId="7FB3B6AB" w:rsidR="00C64E46" w:rsidRPr="00EE43C6" w:rsidRDefault="00C64E46" w:rsidP="00E2180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Geological Engineer</w:t>
            </w:r>
          </w:p>
        </w:tc>
        <w:tc>
          <w:tcPr>
            <w:tcW w:w="803" w:type="pct"/>
            <w:tcBorders>
              <w:top w:val="single" w:sz="4" w:space="0" w:color="000000"/>
              <w:left w:val="single" w:sz="4" w:space="0" w:color="000000"/>
              <w:bottom w:val="single" w:sz="4" w:space="0" w:color="000000"/>
              <w:right w:val="single" w:sz="4" w:space="0" w:color="000000"/>
            </w:tcBorders>
            <w:shd w:val="clear" w:color="auto" w:fill="auto"/>
          </w:tcPr>
          <w:p w14:paraId="53696C62" w14:textId="2C73C179" w:rsidR="00C64E46" w:rsidRPr="00EE43C6" w:rsidRDefault="00C64E46" w:rsidP="00E2180A">
            <w:pPr>
              <w:spacing w:before="0" w:after="0" w:line="240" w:lineRule="auto"/>
              <w:jc w:val="center"/>
              <w:rPr>
                <w:rFonts w:eastAsia="DengXian" w:cs="MS Gothic"/>
                <w:color w:val="000000"/>
                <w:sz w:val="16"/>
                <w:szCs w:val="16"/>
              </w:rPr>
            </w:pPr>
            <w:r w:rsidRPr="00EE43C6">
              <w:rPr>
                <w:sz w:val="16"/>
                <w:szCs w:val="18"/>
              </w:rPr>
              <w:t>Environmental Engineer, B.Sc.</w:t>
            </w: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14:paraId="0E6FBF13" w14:textId="6FD20277" w:rsidR="00C64E46" w:rsidRPr="00EE43C6" w:rsidRDefault="00C64E46" w:rsidP="00E2180A">
            <w:pPr>
              <w:spacing w:before="0" w:after="0" w:line="240" w:lineRule="auto"/>
              <w:jc w:val="center"/>
              <w:rPr>
                <w:rFonts w:eastAsia="DengXian" w:cs="MS Gothic"/>
                <w:color w:val="000000"/>
                <w:sz w:val="16"/>
                <w:szCs w:val="16"/>
              </w:rPr>
            </w:pPr>
            <w:r w:rsidRPr="00EE43C6">
              <w:rPr>
                <w:rFonts w:eastAsia="DengXian" w:cs="MS Gothic"/>
                <w:color w:val="000000"/>
                <w:sz w:val="16"/>
                <w:szCs w:val="16"/>
              </w:rPr>
              <w:t>Environmental Engineer</w:t>
            </w:r>
          </w:p>
        </w:tc>
      </w:tr>
      <w:tr w:rsidR="00C64E46" w:rsidRPr="00EE43C6" w14:paraId="3A80437F" w14:textId="77777777" w:rsidTr="00CF7699">
        <w:trPr>
          <w:trHeight w:val="316"/>
        </w:trPr>
        <w:tc>
          <w:tcPr>
            <w:tcW w:w="160" w:type="pct"/>
            <w:vMerge/>
            <w:shd w:val="clear" w:color="auto" w:fill="auto"/>
            <w:textDirection w:val="btLr"/>
            <w:vAlign w:val="center"/>
          </w:tcPr>
          <w:p w14:paraId="1748D6E5" w14:textId="77777777" w:rsidR="00C64E46" w:rsidRPr="00EE43C6" w:rsidRDefault="00C64E46" w:rsidP="00E2180A">
            <w:pPr>
              <w:spacing w:before="0" w:after="0" w:line="240" w:lineRule="auto"/>
              <w:jc w:val="center"/>
              <w:rPr>
                <w:rFonts w:eastAsia="DengXian" w:cs="MS Gothic"/>
                <w:color w:val="000000"/>
                <w:sz w:val="16"/>
                <w:szCs w:val="16"/>
              </w:rPr>
            </w:pPr>
          </w:p>
        </w:tc>
        <w:tc>
          <w:tcPr>
            <w:tcW w:w="138" w:type="pct"/>
            <w:vMerge/>
            <w:shd w:val="clear" w:color="auto" w:fill="auto"/>
            <w:textDirection w:val="btLr"/>
            <w:vAlign w:val="center"/>
          </w:tcPr>
          <w:p w14:paraId="6068BD92" w14:textId="77777777" w:rsidR="00C64E46" w:rsidRPr="00EE43C6" w:rsidRDefault="00C64E46" w:rsidP="00E2180A">
            <w:pPr>
              <w:spacing w:before="0" w:after="0" w:line="240" w:lineRule="auto"/>
              <w:jc w:val="center"/>
              <w:rPr>
                <w:rFonts w:eastAsia="DengXian" w:cs="MS Gothic"/>
                <w:color w:val="000000"/>
                <w:sz w:val="16"/>
                <w:szCs w:val="16"/>
              </w:rPr>
            </w:pPr>
          </w:p>
        </w:tc>
        <w:tc>
          <w:tcPr>
            <w:tcW w:w="176" w:type="pct"/>
            <w:vMerge/>
            <w:shd w:val="clear" w:color="auto" w:fill="auto"/>
            <w:textDirection w:val="btLr"/>
            <w:vAlign w:val="center"/>
          </w:tcPr>
          <w:p w14:paraId="2D3D7497" w14:textId="77777777" w:rsidR="00C64E46" w:rsidRPr="00EE43C6" w:rsidRDefault="00C64E46" w:rsidP="00E2180A">
            <w:pPr>
              <w:spacing w:before="0" w:after="0" w:line="240" w:lineRule="auto"/>
              <w:jc w:val="center"/>
              <w:rPr>
                <w:rFonts w:eastAsia="DengXian" w:cs="MS Gothic"/>
                <w:color w:val="000000"/>
                <w:sz w:val="16"/>
                <w:szCs w:val="16"/>
              </w:rPr>
            </w:pPr>
          </w:p>
        </w:tc>
        <w:tc>
          <w:tcPr>
            <w:tcW w:w="7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E8392" w14:textId="77777777" w:rsidR="00C64E46" w:rsidRPr="00EE43C6" w:rsidRDefault="00C64E46" w:rsidP="00E2180A">
            <w:pPr>
              <w:spacing w:before="0" w:after="0" w:line="240" w:lineRule="auto"/>
              <w:jc w:val="center"/>
              <w:rPr>
                <w:rFonts w:eastAsia="DengXian" w:cs="MS Gothic"/>
                <w:color w:val="000000"/>
                <w:sz w:val="16"/>
                <w:szCs w:val="16"/>
              </w:rPr>
            </w:pPr>
          </w:p>
        </w:tc>
        <w:tc>
          <w:tcPr>
            <w:tcW w:w="694" w:type="pct"/>
            <w:tcBorders>
              <w:top w:val="single" w:sz="4" w:space="0" w:color="000000"/>
              <w:left w:val="single" w:sz="4" w:space="0" w:color="000000"/>
              <w:bottom w:val="single" w:sz="4" w:space="0" w:color="000000"/>
              <w:right w:val="single" w:sz="4" w:space="0" w:color="000000"/>
            </w:tcBorders>
          </w:tcPr>
          <w:p w14:paraId="26FA5327" w14:textId="77777777" w:rsidR="00C64E46" w:rsidRPr="00EE43C6" w:rsidRDefault="00C64E46" w:rsidP="00E2180A">
            <w:pPr>
              <w:spacing w:before="0" w:after="0" w:line="240" w:lineRule="auto"/>
              <w:jc w:val="center"/>
              <w:rPr>
                <w:rFonts w:eastAsia="DengXian" w:cs="MS Gothic"/>
                <w:color w:val="000000"/>
                <w:sz w:val="16"/>
                <w:szCs w:val="16"/>
              </w:rPr>
            </w:pPr>
          </w:p>
        </w:tc>
        <w:tc>
          <w:tcPr>
            <w:tcW w:w="611" w:type="pct"/>
            <w:tcBorders>
              <w:top w:val="single" w:sz="4" w:space="0" w:color="000000"/>
              <w:left w:val="single" w:sz="4" w:space="0" w:color="000000"/>
              <w:bottom w:val="single" w:sz="4" w:space="0" w:color="000000"/>
              <w:right w:val="single" w:sz="4" w:space="0" w:color="000000"/>
            </w:tcBorders>
          </w:tcPr>
          <w:p w14:paraId="6C54D436" w14:textId="77777777" w:rsidR="00C64E46" w:rsidRPr="00EE43C6" w:rsidRDefault="00C64E46" w:rsidP="00E2180A">
            <w:pPr>
              <w:spacing w:before="0" w:after="0" w:line="240" w:lineRule="auto"/>
              <w:jc w:val="center"/>
              <w:rPr>
                <w:rFonts w:eastAsia="DengXian" w:cs="MS Gothic"/>
                <w:color w:val="000000"/>
                <w:sz w:val="16"/>
                <w:szCs w:val="16"/>
              </w:rPr>
            </w:pPr>
          </w:p>
        </w:tc>
        <w:tc>
          <w:tcPr>
            <w:tcW w:w="843" w:type="pct"/>
            <w:tcBorders>
              <w:top w:val="single" w:sz="4" w:space="0" w:color="000000"/>
              <w:left w:val="single" w:sz="4" w:space="0" w:color="000000"/>
              <w:bottom w:val="single" w:sz="4" w:space="0" w:color="000000"/>
              <w:right w:val="single" w:sz="4" w:space="0" w:color="000000"/>
            </w:tcBorders>
          </w:tcPr>
          <w:p w14:paraId="0D5DFBAE" w14:textId="77777777" w:rsidR="00C64E46" w:rsidRPr="00EE43C6" w:rsidRDefault="00C64E46" w:rsidP="00E2180A">
            <w:pPr>
              <w:spacing w:before="0" w:after="0" w:line="240" w:lineRule="auto"/>
              <w:jc w:val="center"/>
              <w:rPr>
                <w:rFonts w:eastAsia="DengXian" w:cs="MS Gothic"/>
                <w:color w:val="000000"/>
                <w:sz w:val="16"/>
                <w:szCs w:val="16"/>
              </w:rPr>
            </w:pP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CF097" w14:textId="77777777" w:rsidR="00C64E46" w:rsidRPr="00EE43C6" w:rsidRDefault="00C64E46" w:rsidP="00E2180A">
            <w:pPr>
              <w:spacing w:before="0" w:after="0" w:line="240" w:lineRule="auto"/>
              <w:jc w:val="center"/>
              <w:rPr>
                <w:rFonts w:eastAsia="DengXian" w:cs="MS Gothic"/>
                <w:color w:val="000000"/>
                <w:sz w:val="16"/>
                <w:szCs w:val="16"/>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6BB67" w14:textId="77777777" w:rsidR="00C64E46" w:rsidRPr="00EE43C6" w:rsidRDefault="00C64E46" w:rsidP="00E2180A">
            <w:pPr>
              <w:spacing w:before="0" w:after="0" w:line="240" w:lineRule="auto"/>
              <w:jc w:val="center"/>
              <w:rPr>
                <w:rFonts w:eastAsia="DengXian" w:cs="MS Gothic"/>
                <w:color w:val="000000"/>
                <w:sz w:val="16"/>
                <w:szCs w:val="16"/>
              </w:rPr>
            </w:pPr>
          </w:p>
        </w:tc>
      </w:tr>
    </w:tbl>
    <w:p w14:paraId="78C5E380" w14:textId="48A0B1F1" w:rsidR="004339AC" w:rsidRPr="00EE43C6" w:rsidRDefault="004339AC" w:rsidP="004339AC">
      <w:pPr>
        <w:spacing w:before="60" w:after="0" w:line="240" w:lineRule="auto"/>
        <w:jc w:val="left"/>
        <w:rPr>
          <w:rFonts w:cs="MS Gothic"/>
          <w:sz w:val="16"/>
          <w:szCs w:val="16"/>
        </w:rPr>
      </w:pPr>
      <w:r w:rsidRPr="00EE43C6">
        <w:rPr>
          <w:rFonts w:cs="MS Gothic"/>
          <w:sz w:val="16"/>
          <w:szCs w:val="16"/>
        </w:rPr>
        <w:t xml:space="preserve">REVISION CODES: A: DRAFT, B: FINAL DRAFT, C: FINAL </w:t>
      </w:r>
    </w:p>
    <w:p w14:paraId="051E8217" w14:textId="33937729" w:rsidR="004339AC" w:rsidRPr="00EE43C6" w:rsidRDefault="004339AC" w:rsidP="004423C9">
      <w:pPr>
        <w:spacing w:line="240" w:lineRule="auto"/>
        <w:jc w:val="center"/>
        <w:rPr>
          <w:rFonts w:cs="MS Gothic"/>
          <w:b/>
          <w:color w:val="00B050"/>
          <w:sz w:val="24"/>
        </w:rPr>
      </w:pPr>
      <w:bookmarkStart w:id="5" w:name="_Toc380052141"/>
      <w:bookmarkStart w:id="6" w:name="_Toc380052332"/>
      <w:r w:rsidRPr="00EE43C6">
        <w:rPr>
          <w:rFonts w:cs="MS Gothic"/>
          <w:b/>
          <w:color w:val="00B050"/>
          <w:sz w:val="24"/>
        </w:rPr>
        <w:t xml:space="preserve">PROJECT NO: </w:t>
      </w:r>
      <w:bookmarkEnd w:id="5"/>
      <w:bookmarkEnd w:id="6"/>
      <w:r w:rsidRPr="00EE43C6">
        <w:rPr>
          <w:rFonts w:cs="MS Gothic"/>
          <w:b/>
          <w:color w:val="00B050"/>
          <w:sz w:val="24"/>
        </w:rPr>
        <w:t>2</w:t>
      </w:r>
      <w:r w:rsidR="00693B0B" w:rsidRPr="00EE43C6">
        <w:rPr>
          <w:rFonts w:cs="MS Gothic"/>
          <w:b/>
          <w:color w:val="00B050"/>
          <w:sz w:val="24"/>
        </w:rPr>
        <w:t>2</w:t>
      </w:r>
      <w:r w:rsidRPr="00EE43C6">
        <w:rPr>
          <w:rFonts w:cs="MS Gothic"/>
          <w:b/>
          <w:color w:val="00B050"/>
          <w:sz w:val="24"/>
        </w:rPr>
        <w:t>/01</w:t>
      </w:r>
      <w:r w:rsidR="00962A52" w:rsidRPr="00EE43C6">
        <w:rPr>
          <w:rFonts w:cs="MS Gothic"/>
          <w:b/>
          <w:color w:val="00B050"/>
          <w:sz w:val="24"/>
        </w:rPr>
        <w:t>6</w:t>
      </w:r>
    </w:p>
    <w:p w14:paraId="5F1A18AD" w14:textId="31A93D1E" w:rsidR="004339AC" w:rsidRDefault="00427B94" w:rsidP="004423C9">
      <w:pPr>
        <w:spacing w:after="0"/>
        <w:jc w:val="center"/>
        <w:rPr>
          <w:b/>
          <w:bCs/>
          <w:color w:val="00AEEC"/>
        </w:rPr>
      </w:pPr>
      <w:r>
        <w:rPr>
          <w:b/>
          <w:bCs/>
          <w:color w:val="00AEEC"/>
        </w:rPr>
        <w:t>JULY</w:t>
      </w:r>
      <w:r w:rsidR="00E2180A" w:rsidRPr="00EE43C6">
        <w:rPr>
          <w:b/>
          <w:bCs/>
          <w:color w:val="00AEEC"/>
        </w:rPr>
        <w:t xml:space="preserve"> </w:t>
      </w:r>
      <w:r w:rsidR="001A4A2D" w:rsidRPr="00EE43C6">
        <w:rPr>
          <w:b/>
          <w:bCs/>
          <w:color w:val="00AEEC"/>
        </w:rPr>
        <w:t>202</w:t>
      </w:r>
      <w:r w:rsidR="00962A52" w:rsidRPr="00EE43C6">
        <w:rPr>
          <w:b/>
          <w:bCs/>
          <w:color w:val="00AEEC"/>
        </w:rPr>
        <w:t>3</w:t>
      </w:r>
    </w:p>
    <w:tbl>
      <w:tblPr>
        <w:tblW w:w="5204" w:type="pct"/>
        <w:tblLook w:val="04A0" w:firstRow="1" w:lastRow="0" w:firstColumn="1" w:lastColumn="0" w:noHBand="0" w:noVBand="1"/>
      </w:tblPr>
      <w:tblGrid>
        <w:gridCol w:w="4717"/>
        <w:gridCol w:w="4717"/>
      </w:tblGrid>
      <w:tr w:rsidR="00F733C6" w:rsidRPr="00EE43C6" w14:paraId="16AB1439" w14:textId="77777777" w:rsidTr="00F733C6">
        <w:trPr>
          <w:trHeight w:val="242"/>
        </w:trPr>
        <w:tc>
          <w:tcPr>
            <w:tcW w:w="2500" w:type="pct"/>
            <w:vAlign w:val="center"/>
          </w:tcPr>
          <w:p w14:paraId="07319FF5" w14:textId="01E01B64" w:rsidR="00F733C6" w:rsidRPr="00EE43C6" w:rsidRDefault="00F733C6" w:rsidP="007B7BF0">
            <w:pPr>
              <w:spacing w:before="0" w:after="0" w:line="240" w:lineRule="auto"/>
              <w:jc w:val="center"/>
              <w:rPr>
                <w:rFonts w:cs="MS Gothic"/>
                <w:b/>
                <w:color w:val="4F81BD"/>
                <w:sz w:val="24"/>
                <w:szCs w:val="20"/>
              </w:rPr>
            </w:pPr>
            <w:r w:rsidRPr="00EE43C6">
              <w:rPr>
                <w:rFonts w:cs="Arial"/>
                <w:b/>
                <w:bCs/>
                <w:color w:val="4F81BD"/>
                <w:sz w:val="24"/>
                <w:szCs w:val="20"/>
              </w:rPr>
              <w:t>CLIENT:</w:t>
            </w:r>
          </w:p>
        </w:tc>
        <w:tc>
          <w:tcPr>
            <w:tcW w:w="2500" w:type="pct"/>
            <w:vAlign w:val="center"/>
          </w:tcPr>
          <w:p w14:paraId="15D23E31" w14:textId="0D876EEC" w:rsidR="00F733C6" w:rsidRPr="00EE43C6" w:rsidRDefault="00F733C6" w:rsidP="007B7BF0">
            <w:pPr>
              <w:spacing w:before="0" w:after="0" w:line="240" w:lineRule="auto"/>
              <w:jc w:val="center"/>
              <w:rPr>
                <w:rFonts w:cs="MS Gothic"/>
                <w:b/>
                <w:color w:val="4F81BD"/>
                <w:sz w:val="24"/>
                <w:szCs w:val="20"/>
              </w:rPr>
            </w:pPr>
            <w:r w:rsidRPr="00EE43C6">
              <w:rPr>
                <w:rFonts w:cs="Arial"/>
                <w:b/>
                <w:bCs/>
                <w:color w:val="4F81BD"/>
                <w:sz w:val="24"/>
                <w:szCs w:val="20"/>
              </w:rPr>
              <w:t>CONSULTANT:</w:t>
            </w:r>
          </w:p>
        </w:tc>
      </w:tr>
      <w:tr w:rsidR="00F733C6" w:rsidRPr="00EE43C6" w14:paraId="6B4853C5" w14:textId="77777777" w:rsidTr="00F733C6">
        <w:trPr>
          <w:trHeight w:val="242"/>
        </w:trPr>
        <w:tc>
          <w:tcPr>
            <w:tcW w:w="2500" w:type="pct"/>
          </w:tcPr>
          <w:p w14:paraId="3C338867" w14:textId="704D88F8" w:rsidR="00F733C6" w:rsidRPr="00EE43C6" w:rsidRDefault="00F8261B" w:rsidP="00EF4827">
            <w:pPr>
              <w:spacing w:before="0" w:after="0" w:line="240" w:lineRule="auto"/>
              <w:jc w:val="center"/>
              <w:rPr>
                <w:rFonts w:cs="MS Gothic"/>
                <w:sz w:val="24"/>
                <w:szCs w:val="20"/>
              </w:rPr>
            </w:pPr>
            <w:r w:rsidRPr="00EE43C6">
              <w:rPr>
                <w:noProof/>
              </w:rPr>
              <w:drawing>
                <wp:inline distT="0" distB="0" distL="0" distR="0" wp14:anchorId="698C8675" wp14:editId="2707F5D3">
                  <wp:extent cx="1220099" cy="526642"/>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l="375" r="-1130"/>
                          <a:stretch/>
                        </pic:blipFill>
                        <pic:spPr bwMode="auto">
                          <a:xfrm>
                            <a:off x="0" y="0"/>
                            <a:ext cx="1226749" cy="529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2004AC04" w14:textId="77777777" w:rsidR="00F733C6" w:rsidRPr="00EE43C6" w:rsidRDefault="00F733C6" w:rsidP="007B7BF0">
            <w:pPr>
              <w:spacing w:before="0" w:after="0" w:line="240" w:lineRule="auto"/>
              <w:jc w:val="center"/>
              <w:rPr>
                <w:rFonts w:cs="MS Gothic"/>
                <w:b/>
                <w:color w:val="0070C0"/>
                <w:sz w:val="24"/>
                <w:szCs w:val="20"/>
              </w:rPr>
            </w:pPr>
            <w:r w:rsidRPr="00EE43C6">
              <w:rPr>
                <w:noProof/>
                <w:sz w:val="24"/>
              </w:rPr>
              <w:drawing>
                <wp:inline distT="0" distB="0" distL="0" distR="0" wp14:anchorId="0EE0EBAC" wp14:editId="5D5DA1BA">
                  <wp:extent cx="964356" cy="409955"/>
                  <wp:effectExtent l="0" t="0" r="7620" b="9525"/>
                  <wp:docPr id="13" name="Resim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4" descr="Icon&#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69698" cy="412226"/>
                          </a:xfrm>
                          <a:prstGeom prst="rect">
                            <a:avLst/>
                          </a:prstGeom>
                          <a:noFill/>
                          <a:ln>
                            <a:noFill/>
                          </a:ln>
                        </pic:spPr>
                      </pic:pic>
                    </a:graphicData>
                  </a:graphic>
                </wp:inline>
              </w:drawing>
            </w:r>
          </w:p>
        </w:tc>
      </w:tr>
      <w:tr w:rsidR="00F733C6" w:rsidRPr="00EE43C6" w14:paraId="263539BA" w14:textId="77777777" w:rsidTr="00F733C6">
        <w:trPr>
          <w:trHeight w:val="242"/>
        </w:trPr>
        <w:tc>
          <w:tcPr>
            <w:tcW w:w="2500" w:type="pct"/>
          </w:tcPr>
          <w:p w14:paraId="6D035DC4" w14:textId="77777777" w:rsidR="00685841" w:rsidRPr="00EE43C6" w:rsidRDefault="00685841" w:rsidP="00685841">
            <w:pPr>
              <w:spacing w:before="0" w:after="0" w:line="240" w:lineRule="auto"/>
              <w:contextualSpacing/>
              <w:jc w:val="center"/>
              <w:rPr>
                <w:sz w:val="18"/>
                <w:szCs w:val="18"/>
              </w:rPr>
            </w:pPr>
            <w:r w:rsidRPr="00EE43C6">
              <w:rPr>
                <w:sz w:val="18"/>
                <w:szCs w:val="18"/>
              </w:rPr>
              <w:t xml:space="preserve">Mersin Tarsus Tarımsal Ürün İşleme </w:t>
            </w:r>
          </w:p>
          <w:p w14:paraId="35310A49" w14:textId="77777777" w:rsidR="00685841" w:rsidRPr="00EE43C6" w:rsidRDefault="00685841" w:rsidP="00685841">
            <w:pPr>
              <w:spacing w:before="0" w:after="0" w:line="240" w:lineRule="auto"/>
              <w:contextualSpacing/>
              <w:jc w:val="center"/>
              <w:rPr>
                <w:sz w:val="18"/>
                <w:szCs w:val="18"/>
              </w:rPr>
            </w:pPr>
            <w:r w:rsidRPr="00EE43C6">
              <w:rPr>
                <w:sz w:val="18"/>
                <w:szCs w:val="18"/>
              </w:rPr>
              <w:t xml:space="preserve">İhtisas Organize Sanayi Bölgesi </w:t>
            </w:r>
          </w:p>
          <w:p w14:paraId="6A468443" w14:textId="77777777" w:rsidR="00685841" w:rsidRPr="00EE43C6" w:rsidRDefault="00685841" w:rsidP="00685841">
            <w:pPr>
              <w:spacing w:before="0" w:after="0" w:line="240" w:lineRule="auto"/>
              <w:contextualSpacing/>
              <w:jc w:val="center"/>
              <w:rPr>
                <w:sz w:val="18"/>
                <w:szCs w:val="18"/>
              </w:rPr>
            </w:pPr>
            <w:r w:rsidRPr="00EE43C6">
              <w:rPr>
                <w:sz w:val="18"/>
                <w:szCs w:val="18"/>
              </w:rPr>
              <w:t>Müdürlüğü</w:t>
            </w:r>
          </w:p>
          <w:p w14:paraId="1A711A85" w14:textId="70724178" w:rsidR="00685841" w:rsidRPr="00EE43C6" w:rsidRDefault="00685841" w:rsidP="00685841">
            <w:pPr>
              <w:spacing w:before="0" w:after="0" w:line="240" w:lineRule="auto"/>
              <w:contextualSpacing/>
              <w:jc w:val="center"/>
              <w:rPr>
                <w:rFonts w:cs="MS Gothic"/>
                <w:sz w:val="18"/>
                <w:szCs w:val="18"/>
              </w:rPr>
            </w:pPr>
            <w:r w:rsidRPr="00EE43C6">
              <w:rPr>
                <w:rFonts w:cs="MS Gothic"/>
                <w:sz w:val="18"/>
                <w:szCs w:val="18"/>
              </w:rPr>
              <w:t xml:space="preserve">Yeni Mah. 5302 Sokak Port Plus Large </w:t>
            </w:r>
          </w:p>
          <w:p w14:paraId="00132C99" w14:textId="77777777" w:rsidR="00685841" w:rsidRPr="00EE43C6" w:rsidRDefault="00685841" w:rsidP="00685841">
            <w:pPr>
              <w:spacing w:before="0" w:after="0" w:line="240" w:lineRule="auto"/>
              <w:contextualSpacing/>
              <w:jc w:val="center"/>
              <w:rPr>
                <w:rFonts w:cs="MS Gothic"/>
                <w:sz w:val="18"/>
                <w:szCs w:val="18"/>
              </w:rPr>
            </w:pPr>
            <w:r w:rsidRPr="00EE43C6">
              <w:rPr>
                <w:rFonts w:cs="MS Gothic"/>
                <w:sz w:val="18"/>
                <w:szCs w:val="18"/>
              </w:rPr>
              <w:t xml:space="preserve">No: 3/12 </w:t>
            </w:r>
          </w:p>
          <w:p w14:paraId="56015C43" w14:textId="03F12047" w:rsidR="00F8261B" w:rsidRPr="00EE43C6" w:rsidRDefault="00685841" w:rsidP="00685841">
            <w:pPr>
              <w:spacing w:before="0" w:after="0" w:line="240" w:lineRule="auto"/>
              <w:contextualSpacing/>
              <w:jc w:val="center"/>
              <w:rPr>
                <w:rFonts w:cs="MS Gothic"/>
                <w:sz w:val="18"/>
                <w:szCs w:val="18"/>
              </w:rPr>
            </w:pPr>
            <w:r w:rsidRPr="00EE43C6">
              <w:rPr>
                <w:rFonts w:cs="MS Gothic"/>
                <w:sz w:val="18"/>
                <w:szCs w:val="18"/>
              </w:rPr>
              <w:t>Akdeniz- Mersin</w:t>
            </w:r>
            <w:r w:rsidR="00F8261B" w:rsidRPr="00EE43C6">
              <w:rPr>
                <w:rFonts w:cs="MS Gothic"/>
                <w:sz w:val="18"/>
                <w:szCs w:val="18"/>
              </w:rPr>
              <w:t xml:space="preserve"> / </w:t>
            </w:r>
            <w:r w:rsidR="00117757">
              <w:rPr>
                <w:rFonts w:cs="MS Gothic"/>
                <w:sz w:val="18"/>
                <w:szCs w:val="18"/>
              </w:rPr>
              <w:t>Türkiye</w:t>
            </w:r>
          </w:p>
          <w:p w14:paraId="0D3D4924" w14:textId="3F34BEC9" w:rsidR="00F8261B" w:rsidRPr="00EE43C6" w:rsidRDefault="00F8261B" w:rsidP="00F8261B">
            <w:pPr>
              <w:spacing w:before="0" w:after="0" w:line="240" w:lineRule="auto"/>
              <w:contextualSpacing/>
              <w:jc w:val="center"/>
              <w:rPr>
                <w:rFonts w:cs="MS Gothic"/>
                <w:sz w:val="18"/>
                <w:szCs w:val="18"/>
              </w:rPr>
            </w:pPr>
            <w:r w:rsidRPr="00EE43C6">
              <w:rPr>
                <w:rFonts w:ascii="Wingdings" w:eastAsia="Wingdings" w:hAnsi="Wingdings" w:cs="Wingdings"/>
                <w:sz w:val="18"/>
                <w:szCs w:val="18"/>
              </w:rPr>
              <w:t></w:t>
            </w:r>
            <w:r w:rsidRPr="00EE43C6">
              <w:rPr>
                <w:rFonts w:cs="MS Gothic"/>
                <w:sz w:val="18"/>
                <w:szCs w:val="18"/>
              </w:rPr>
              <w:t xml:space="preserve">: +90 </w:t>
            </w:r>
            <w:r w:rsidR="00685841" w:rsidRPr="00EE43C6">
              <w:rPr>
                <w:rFonts w:cs="MS Gothic"/>
                <w:sz w:val="18"/>
                <w:szCs w:val="18"/>
              </w:rPr>
              <w:t>0 (324) 342 10 33</w:t>
            </w:r>
          </w:p>
          <w:p w14:paraId="4A17FC65" w14:textId="32A56A21" w:rsidR="00F8261B" w:rsidRPr="00EE43C6" w:rsidRDefault="00F8261B" w:rsidP="00F8261B">
            <w:pPr>
              <w:spacing w:before="0" w:after="0" w:line="240" w:lineRule="auto"/>
              <w:ind w:left="-105"/>
              <w:contextualSpacing/>
              <w:jc w:val="center"/>
              <w:rPr>
                <w:rFonts w:cs="MS Gothic"/>
                <w:color w:val="41AD49"/>
                <w:sz w:val="18"/>
                <w:szCs w:val="18"/>
              </w:rPr>
            </w:pPr>
            <w:r w:rsidRPr="00EE43C6">
              <w:rPr>
                <w:rFonts w:ascii="Wingdings 2" w:eastAsia="Wingdings 2" w:hAnsi="Wingdings 2" w:cs="Wingdings 2"/>
                <w:sz w:val="18"/>
                <w:szCs w:val="18"/>
              </w:rPr>
              <w:t></w:t>
            </w:r>
            <w:r w:rsidRPr="00EE43C6">
              <w:rPr>
                <w:rFonts w:cs="Arial"/>
                <w:sz w:val="18"/>
                <w:szCs w:val="18"/>
              </w:rPr>
              <w:t xml:space="preserve">: +90 </w:t>
            </w:r>
            <w:r w:rsidR="00685841" w:rsidRPr="00EE43C6">
              <w:rPr>
                <w:rFonts w:cs="Arial"/>
                <w:sz w:val="18"/>
                <w:szCs w:val="18"/>
              </w:rPr>
              <w:t>0 (324) 342 10 33</w:t>
            </w:r>
          </w:p>
        </w:tc>
        <w:tc>
          <w:tcPr>
            <w:tcW w:w="2500" w:type="pct"/>
          </w:tcPr>
          <w:p w14:paraId="153A9785" w14:textId="68B96F57" w:rsidR="00F733C6" w:rsidRPr="00EE43C6" w:rsidRDefault="00F733C6" w:rsidP="007B7BF0">
            <w:pPr>
              <w:spacing w:before="0" w:after="0" w:line="240" w:lineRule="auto"/>
              <w:contextualSpacing/>
              <w:jc w:val="center"/>
              <w:rPr>
                <w:rFonts w:cs="MS Gothic"/>
                <w:sz w:val="18"/>
                <w:szCs w:val="18"/>
              </w:rPr>
            </w:pPr>
            <w:r w:rsidRPr="00EE43C6">
              <w:rPr>
                <w:rFonts w:cs="MS Gothic"/>
                <w:sz w:val="18"/>
                <w:szCs w:val="18"/>
              </w:rPr>
              <w:t xml:space="preserve">Tepe Prime </w:t>
            </w:r>
            <w:r w:rsidR="00472E4E" w:rsidRPr="00EE43C6">
              <w:rPr>
                <w:rFonts w:cs="MS Gothic"/>
                <w:sz w:val="18"/>
                <w:szCs w:val="18"/>
              </w:rPr>
              <w:t>İş v</w:t>
            </w:r>
            <w:r w:rsidRPr="00EE43C6">
              <w:rPr>
                <w:rFonts w:cs="MS Gothic"/>
                <w:sz w:val="18"/>
                <w:szCs w:val="18"/>
              </w:rPr>
              <w:t>e Ya</w:t>
            </w:r>
            <w:r w:rsidR="00472E4E" w:rsidRPr="00EE43C6">
              <w:rPr>
                <w:rFonts w:cs="MS Gothic"/>
                <w:sz w:val="18"/>
                <w:szCs w:val="18"/>
              </w:rPr>
              <w:t>ş</w:t>
            </w:r>
            <w:r w:rsidRPr="00EE43C6">
              <w:rPr>
                <w:rFonts w:cs="MS Gothic"/>
                <w:sz w:val="18"/>
                <w:szCs w:val="18"/>
              </w:rPr>
              <w:t>am Merkezi</w:t>
            </w:r>
          </w:p>
          <w:p w14:paraId="03D38138" w14:textId="23CBAD6C" w:rsidR="00F733C6" w:rsidRPr="00EE43C6" w:rsidRDefault="00F733C6" w:rsidP="007B7BF0">
            <w:pPr>
              <w:spacing w:before="0" w:after="0" w:line="240" w:lineRule="auto"/>
              <w:contextualSpacing/>
              <w:jc w:val="center"/>
              <w:rPr>
                <w:rFonts w:cs="MS Gothic"/>
                <w:sz w:val="18"/>
                <w:szCs w:val="18"/>
              </w:rPr>
            </w:pPr>
            <w:r w:rsidRPr="00EE43C6">
              <w:rPr>
                <w:rFonts w:cs="MS Gothic"/>
                <w:sz w:val="18"/>
                <w:szCs w:val="18"/>
              </w:rPr>
              <w:t>Mustafa Kemal Mahallesi Dumlup</w:t>
            </w:r>
            <w:r w:rsidR="00472E4E" w:rsidRPr="00EE43C6">
              <w:rPr>
                <w:rFonts w:cs="MS Gothic"/>
                <w:sz w:val="18"/>
                <w:szCs w:val="18"/>
              </w:rPr>
              <w:t>ı</w:t>
            </w:r>
            <w:r w:rsidRPr="00EE43C6">
              <w:rPr>
                <w:rFonts w:cs="MS Gothic"/>
                <w:sz w:val="18"/>
                <w:szCs w:val="18"/>
              </w:rPr>
              <w:t>nar</w:t>
            </w:r>
          </w:p>
          <w:p w14:paraId="6410E1C9" w14:textId="109FD338" w:rsidR="00F733C6" w:rsidRPr="00EE43C6" w:rsidRDefault="00F733C6" w:rsidP="007B7BF0">
            <w:pPr>
              <w:spacing w:before="0" w:after="0" w:line="240" w:lineRule="auto"/>
              <w:contextualSpacing/>
              <w:jc w:val="center"/>
              <w:rPr>
                <w:rFonts w:cs="MS Gothic"/>
                <w:sz w:val="18"/>
                <w:szCs w:val="18"/>
              </w:rPr>
            </w:pPr>
            <w:r w:rsidRPr="00EE43C6">
              <w:rPr>
                <w:rFonts w:cs="MS Gothic"/>
                <w:sz w:val="18"/>
                <w:szCs w:val="18"/>
              </w:rPr>
              <w:t>Bulvar</w:t>
            </w:r>
            <w:r w:rsidR="00472E4E" w:rsidRPr="00EE43C6">
              <w:rPr>
                <w:rFonts w:cs="MS Gothic"/>
                <w:sz w:val="18"/>
                <w:szCs w:val="18"/>
              </w:rPr>
              <w:t>ı</w:t>
            </w:r>
            <w:r w:rsidRPr="00EE43C6">
              <w:rPr>
                <w:rFonts w:cs="MS Gothic"/>
                <w:sz w:val="18"/>
                <w:szCs w:val="18"/>
              </w:rPr>
              <w:t xml:space="preserve"> No: 266 B Blok Kat: 2 Daire: 38</w:t>
            </w:r>
          </w:p>
          <w:p w14:paraId="76B2CECF" w14:textId="3F9849D5" w:rsidR="00F733C6" w:rsidRPr="00EE43C6" w:rsidRDefault="00472E4E" w:rsidP="007B7BF0">
            <w:pPr>
              <w:spacing w:before="0" w:after="0" w:line="240" w:lineRule="auto"/>
              <w:contextualSpacing/>
              <w:jc w:val="center"/>
              <w:rPr>
                <w:rFonts w:cs="MS Gothic"/>
                <w:sz w:val="18"/>
                <w:szCs w:val="18"/>
              </w:rPr>
            </w:pPr>
            <w:r w:rsidRPr="00EE43C6">
              <w:rPr>
                <w:rFonts w:cs="MS Gothic"/>
                <w:sz w:val="18"/>
                <w:szCs w:val="18"/>
              </w:rPr>
              <w:t>Çankaya</w:t>
            </w:r>
            <w:r w:rsidR="00F733C6" w:rsidRPr="00EE43C6">
              <w:rPr>
                <w:rFonts w:cs="MS Gothic"/>
                <w:sz w:val="18"/>
                <w:szCs w:val="18"/>
              </w:rPr>
              <w:t xml:space="preserve"> - Ankara / </w:t>
            </w:r>
            <w:r w:rsidR="00117757">
              <w:rPr>
                <w:rFonts w:cs="MS Gothic"/>
                <w:sz w:val="18"/>
                <w:szCs w:val="18"/>
              </w:rPr>
              <w:t>Türkiye</w:t>
            </w:r>
          </w:p>
          <w:p w14:paraId="44B4BF87" w14:textId="77777777" w:rsidR="00F733C6" w:rsidRPr="00EE43C6" w:rsidRDefault="00F733C6" w:rsidP="007B7BF0">
            <w:pPr>
              <w:spacing w:before="0" w:after="0" w:line="240" w:lineRule="auto"/>
              <w:contextualSpacing/>
              <w:jc w:val="center"/>
              <w:rPr>
                <w:rFonts w:cs="MS Gothic"/>
                <w:sz w:val="18"/>
                <w:szCs w:val="18"/>
              </w:rPr>
            </w:pPr>
            <w:r w:rsidRPr="00EE43C6">
              <w:rPr>
                <w:rFonts w:ascii="Wingdings" w:eastAsia="Wingdings" w:hAnsi="Wingdings" w:cs="Wingdings"/>
                <w:sz w:val="18"/>
                <w:szCs w:val="18"/>
              </w:rPr>
              <w:t></w:t>
            </w:r>
            <w:r w:rsidRPr="00EE43C6">
              <w:rPr>
                <w:rFonts w:cs="MS Gothic"/>
                <w:sz w:val="18"/>
                <w:szCs w:val="18"/>
              </w:rPr>
              <w:t>: +90 (312) 295 62 48</w:t>
            </w:r>
          </w:p>
          <w:p w14:paraId="65248046" w14:textId="1FB711EE" w:rsidR="00F733C6" w:rsidRPr="00EE43C6" w:rsidRDefault="00F733C6" w:rsidP="00EF4827">
            <w:pPr>
              <w:spacing w:before="0" w:after="0" w:line="240" w:lineRule="auto"/>
              <w:contextualSpacing/>
              <w:jc w:val="center"/>
              <w:rPr>
                <w:rFonts w:cs="MS Gothic"/>
                <w:sz w:val="18"/>
                <w:szCs w:val="18"/>
              </w:rPr>
            </w:pPr>
            <w:r w:rsidRPr="00EE43C6">
              <w:rPr>
                <w:rFonts w:ascii="Wingdings 2" w:eastAsia="Wingdings 2" w:hAnsi="Wingdings 2" w:cs="Wingdings 2"/>
                <w:sz w:val="18"/>
                <w:szCs w:val="18"/>
              </w:rPr>
              <w:t></w:t>
            </w:r>
            <w:r w:rsidRPr="00EE43C6">
              <w:rPr>
                <w:rFonts w:cs="Arial"/>
                <w:sz w:val="18"/>
                <w:szCs w:val="18"/>
              </w:rPr>
              <w:t>: +90 (312) 295 62 00</w:t>
            </w:r>
          </w:p>
        </w:tc>
      </w:tr>
    </w:tbl>
    <w:p w14:paraId="62F45588" w14:textId="69213DB4" w:rsidR="00FC3C03" w:rsidRPr="00EE43C6" w:rsidRDefault="00FC3C03" w:rsidP="00F8294F">
      <w:pPr>
        <w:spacing w:line="240" w:lineRule="auto"/>
        <w:sectPr w:rsidR="00FC3C03" w:rsidRPr="00EE43C6" w:rsidSect="00CF7699">
          <w:footerReference w:type="default" r:id="rId16"/>
          <w:pgSz w:w="11900" w:h="16840" w:code="9"/>
          <w:pgMar w:top="1418" w:right="1418" w:bottom="1276" w:left="1418" w:header="709" w:footer="425" w:gutter="0"/>
          <w:cols w:space="708"/>
          <w:docGrid w:linePitch="360"/>
        </w:sectPr>
      </w:pPr>
      <w:r w:rsidRPr="00EE43C6">
        <w:rPr>
          <w:sz w:val="16"/>
          <w:szCs w:val="16"/>
        </w:rPr>
        <w:t>.</w:t>
      </w:r>
    </w:p>
    <w:p w14:paraId="52822EC0" w14:textId="77777777" w:rsidR="004339AC" w:rsidRPr="00EE43C6" w:rsidRDefault="004339AC" w:rsidP="009B7661">
      <w:pPr>
        <w:pStyle w:val="Heading1"/>
        <w:numPr>
          <w:ilvl w:val="0"/>
          <w:numId w:val="0"/>
        </w:numPr>
        <w:jc w:val="center"/>
        <w:rPr>
          <w:noProof w:val="0"/>
          <w:lang w:val="en-GB"/>
        </w:rPr>
      </w:pPr>
      <w:bookmarkStart w:id="7" w:name="_Toc120016876"/>
      <w:bookmarkStart w:id="8" w:name="_Toc120004654"/>
      <w:bookmarkStart w:id="9" w:name="_Toc141445382"/>
      <w:r w:rsidRPr="5F58EB95">
        <w:rPr>
          <w:noProof w:val="0"/>
          <w:lang w:val="en-GB"/>
        </w:rPr>
        <w:lastRenderedPageBreak/>
        <w:t>TABLE OF CONTENTS</w:t>
      </w:r>
      <w:bookmarkEnd w:id="7"/>
      <w:bookmarkEnd w:id="8"/>
      <w:bookmarkEnd w:id="9"/>
    </w:p>
    <w:p w14:paraId="67486E9D" w14:textId="77777777" w:rsidR="00702479" w:rsidRPr="00EE43C6" w:rsidRDefault="00702479" w:rsidP="00CE3B94">
      <w:pPr>
        <w:spacing w:before="0" w:after="120"/>
        <w:jc w:val="right"/>
        <w:rPr>
          <w:rFonts w:cs="MS Gothic"/>
          <w:b/>
          <w:color w:val="4F81BD"/>
          <w:u w:val="single"/>
        </w:rPr>
      </w:pPr>
      <w:r w:rsidRPr="00EE43C6">
        <w:rPr>
          <w:rFonts w:cs="MS Gothic"/>
          <w:b/>
          <w:color w:val="4F81BD"/>
          <w:u w:val="single"/>
        </w:rPr>
        <w:t>Page</w:t>
      </w:r>
    </w:p>
    <w:bookmarkStart w:id="10" w:name="_Hlt120018776"/>
    <w:bookmarkStart w:id="11" w:name="_Hlt120018777"/>
    <w:p w14:paraId="0C60F71A" w14:textId="34ABB781" w:rsidR="00270ACC" w:rsidRPr="00270ACC" w:rsidRDefault="004339AC">
      <w:pPr>
        <w:pStyle w:val="TOC1"/>
        <w:rPr>
          <w:rFonts w:asciiTheme="minorHAnsi" w:eastAsiaTheme="minorEastAsia" w:hAnsiTheme="minorHAnsi" w:cstheme="minorBidi"/>
          <w:b w:val="0"/>
          <w:bCs/>
          <w:i/>
          <w:iCs/>
          <w:noProof/>
          <w:kern w:val="2"/>
          <w:szCs w:val="22"/>
          <w:lang w:val="tr-TR" w:eastAsia="tr-TR"/>
          <w14:ligatures w14:val="standardContextual"/>
        </w:rPr>
      </w:pPr>
      <w:r w:rsidRPr="00EE43C6">
        <w:rPr>
          <w:rFonts w:cs="Arial"/>
          <w:bCs/>
          <w:color w:val="4F81BD"/>
          <w:szCs w:val="22"/>
          <w:u w:val="single"/>
        </w:rPr>
        <w:fldChar w:fldCharType="begin"/>
      </w:r>
      <w:bookmarkEnd w:id="10"/>
      <w:bookmarkEnd w:id="11"/>
      <w:r w:rsidRPr="00EE43C6">
        <w:rPr>
          <w:rFonts w:cs="Arial"/>
          <w:color w:val="4F81BD"/>
          <w:szCs w:val="22"/>
          <w:u w:val="single"/>
        </w:rPr>
        <w:instrText xml:space="preserve"> TOC \o "1-5" \h \z \u </w:instrText>
      </w:r>
      <w:r w:rsidRPr="00EE43C6">
        <w:rPr>
          <w:rFonts w:cs="Arial"/>
          <w:color w:val="4F81BD"/>
          <w:szCs w:val="22"/>
          <w:u w:val="single"/>
        </w:rPr>
        <w:fldChar w:fldCharType="separate"/>
      </w:r>
      <w:hyperlink w:anchor="_Toc141445382" w:history="1">
        <w:r w:rsidR="00270ACC">
          <w:rPr>
            <w:rStyle w:val="Hyperlink"/>
            <w:b w:val="0"/>
            <w:bCs/>
            <w:i/>
            <w:iCs/>
            <w:noProof/>
          </w:rPr>
          <w:t>T</w:t>
        </w:r>
        <w:r w:rsidR="00270ACC" w:rsidRPr="00270ACC">
          <w:rPr>
            <w:rStyle w:val="Hyperlink"/>
            <w:b w:val="0"/>
            <w:bCs/>
            <w:i/>
            <w:iCs/>
            <w:noProof/>
          </w:rPr>
          <w:t xml:space="preserve">able </w:t>
        </w:r>
        <w:r w:rsidR="00270ACC">
          <w:rPr>
            <w:rStyle w:val="Hyperlink"/>
            <w:b w:val="0"/>
            <w:bCs/>
            <w:i/>
            <w:iCs/>
            <w:noProof/>
          </w:rPr>
          <w:t>o</w:t>
        </w:r>
        <w:r w:rsidR="00270ACC" w:rsidRPr="00270ACC">
          <w:rPr>
            <w:rStyle w:val="Hyperlink"/>
            <w:b w:val="0"/>
            <w:bCs/>
            <w:i/>
            <w:iCs/>
            <w:noProof/>
          </w:rPr>
          <w:t>f Contents</w:t>
        </w:r>
        <w:r w:rsidR="00270ACC" w:rsidRPr="00270ACC">
          <w:rPr>
            <w:b w:val="0"/>
            <w:bCs/>
            <w:i/>
            <w:iCs/>
            <w:noProof/>
            <w:webHidden/>
          </w:rPr>
          <w:tab/>
        </w:r>
        <w:r w:rsidR="00270ACC" w:rsidRPr="00270ACC">
          <w:rPr>
            <w:b w:val="0"/>
            <w:bCs/>
            <w:i/>
            <w:iCs/>
            <w:noProof/>
            <w:webHidden/>
          </w:rPr>
          <w:fldChar w:fldCharType="begin"/>
        </w:r>
        <w:r w:rsidR="00270ACC" w:rsidRPr="00270ACC">
          <w:rPr>
            <w:b w:val="0"/>
            <w:bCs/>
            <w:i/>
            <w:iCs/>
            <w:noProof/>
            <w:webHidden/>
          </w:rPr>
          <w:instrText xml:space="preserve"> PAGEREF _Toc141445382 \h </w:instrText>
        </w:r>
        <w:r w:rsidR="00270ACC" w:rsidRPr="00270ACC">
          <w:rPr>
            <w:b w:val="0"/>
            <w:bCs/>
            <w:i/>
            <w:iCs/>
            <w:noProof/>
            <w:webHidden/>
          </w:rPr>
        </w:r>
        <w:r w:rsidR="00270ACC" w:rsidRPr="00270ACC">
          <w:rPr>
            <w:b w:val="0"/>
            <w:bCs/>
            <w:i/>
            <w:iCs/>
            <w:noProof/>
            <w:webHidden/>
          </w:rPr>
          <w:fldChar w:fldCharType="separate"/>
        </w:r>
        <w:r w:rsidR="00733598">
          <w:rPr>
            <w:b w:val="0"/>
            <w:bCs/>
            <w:i/>
            <w:iCs/>
            <w:noProof/>
            <w:webHidden/>
          </w:rPr>
          <w:t>i</w:t>
        </w:r>
        <w:r w:rsidR="00270ACC" w:rsidRPr="00270ACC">
          <w:rPr>
            <w:b w:val="0"/>
            <w:bCs/>
            <w:i/>
            <w:iCs/>
            <w:noProof/>
            <w:webHidden/>
          </w:rPr>
          <w:fldChar w:fldCharType="end"/>
        </w:r>
      </w:hyperlink>
    </w:p>
    <w:p w14:paraId="7EF46560" w14:textId="69AF452A" w:rsidR="00270ACC" w:rsidRPr="00270ACC" w:rsidRDefault="00EC509A">
      <w:pPr>
        <w:pStyle w:val="TOC1"/>
        <w:rPr>
          <w:rFonts w:asciiTheme="minorHAnsi" w:eastAsiaTheme="minorEastAsia" w:hAnsiTheme="minorHAnsi" w:cstheme="minorBidi"/>
          <w:b w:val="0"/>
          <w:bCs/>
          <w:i/>
          <w:iCs/>
          <w:noProof/>
          <w:kern w:val="2"/>
          <w:szCs w:val="22"/>
          <w:lang w:val="tr-TR" w:eastAsia="tr-TR"/>
          <w14:ligatures w14:val="standardContextual"/>
        </w:rPr>
      </w:pPr>
      <w:hyperlink w:anchor="_Toc141445383" w:history="1">
        <w:r w:rsidR="00270ACC" w:rsidRPr="00270ACC">
          <w:rPr>
            <w:rStyle w:val="Hyperlink"/>
            <w:b w:val="0"/>
            <w:bCs/>
            <w:i/>
            <w:iCs/>
            <w:noProof/>
          </w:rPr>
          <w:t xml:space="preserve">List </w:t>
        </w:r>
        <w:r w:rsidR="00270ACC">
          <w:rPr>
            <w:rStyle w:val="Hyperlink"/>
            <w:b w:val="0"/>
            <w:bCs/>
            <w:i/>
            <w:iCs/>
            <w:noProof/>
          </w:rPr>
          <w:t>o</w:t>
        </w:r>
        <w:r w:rsidR="00270ACC" w:rsidRPr="00270ACC">
          <w:rPr>
            <w:rStyle w:val="Hyperlink"/>
            <w:b w:val="0"/>
            <w:bCs/>
            <w:i/>
            <w:iCs/>
            <w:noProof/>
          </w:rPr>
          <w:t>f Tables</w:t>
        </w:r>
        <w:r w:rsidR="00270ACC" w:rsidRPr="00270ACC">
          <w:rPr>
            <w:b w:val="0"/>
            <w:bCs/>
            <w:i/>
            <w:iCs/>
            <w:noProof/>
            <w:webHidden/>
          </w:rPr>
          <w:tab/>
        </w:r>
        <w:r w:rsidR="00270ACC" w:rsidRPr="00270ACC">
          <w:rPr>
            <w:b w:val="0"/>
            <w:bCs/>
            <w:i/>
            <w:iCs/>
            <w:noProof/>
            <w:webHidden/>
          </w:rPr>
          <w:fldChar w:fldCharType="begin"/>
        </w:r>
        <w:r w:rsidR="00270ACC" w:rsidRPr="00270ACC">
          <w:rPr>
            <w:b w:val="0"/>
            <w:bCs/>
            <w:i/>
            <w:iCs/>
            <w:noProof/>
            <w:webHidden/>
          </w:rPr>
          <w:instrText xml:space="preserve"> PAGEREF _Toc141445383 \h </w:instrText>
        </w:r>
        <w:r w:rsidR="00270ACC" w:rsidRPr="00270ACC">
          <w:rPr>
            <w:b w:val="0"/>
            <w:bCs/>
            <w:i/>
            <w:iCs/>
            <w:noProof/>
            <w:webHidden/>
          </w:rPr>
        </w:r>
        <w:r w:rsidR="00270ACC" w:rsidRPr="00270ACC">
          <w:rPr>
            <w:b w:val="0"/>
            <w:bCs/>
            <w:i/>
            <w:iCs/>
            <w:noProof/>
            <w:webHidden/>
          </w:rPr>
          <w:fldChar w:fldCharType="separate"/>
        </w:r>
        <w:r w:rsidR="00733598">
          <w:rPr>
            <w:b w:val="0"/>
            <w:bCs/>
            <w:i/>
            <w:iCs/>
            <w:noProof/>
            <w:webHidden/>
          </w:rPr>
          <w:t>iv</w:t>
        </w:r>
        <w:r w:rsidR="00270ACC" w:rsidRPr="00270ACC">
          <w:rPr>
            <w:b w:val="0"/>
            <w:bCs/>
            <w:i/>
            <w:iCs/>
            <w:noProof/>
            <w:webHidden/>
          </w:rPr>
          <w:fldChar w:fldCharType="end"/>
        </w:r>
      </w:hyperlink>
    </w:p>
    <w:p w14:paraId="00E21847" w14:textId="5BCB9702" w:rsidR="00270ACC" w:rsidRPr="00270ACC" w:rsidRDefault="00EC509A">
      <w:pPr>
        <w:pStyle w:val="TOC1"/>
        <w:rPr>
          <w:rFonts w:asciiTheme="minorHAnsi" w:eastAsiaTheme="minorEastAsia" w:hAnsiTheme="minorHAnsi" w:cstheme="minorBidi"/>
          <w:b w:val="0"/>
          <w:bCs/>
          <w:i/>
          <w:iCs/>
          <w:noProof/>
          <w:kern w:val="2"/>
          <w:szCs w:val="22"/>
          <w:lang w:val="tr-TR" w:eastAsia="tr-TR"/>
          <w14:ligatures w14:val="standardContextual"/>
        </w:rPr>
      </w:pPr>
      <w:hyperlink w:anchor="_Toc141445384" w:history="1">
        <w:r w:rsidR="00270ACC" w:rsidRPr="00270ACC">
          <w:rPr>
            <w:rStyle w:val="Hyperlink"/>
            <w:b w:val="0"/>
            <w:bCs/>
            <w:i/>
            <w:iCs/>
            <w:noProof/>
          </w:rPr>
          <w:t xml:space="preserve">List </w:t>
        </w:r>
        <w:r w:rsidR="00270ACC">
          <w:rPr>
            <w:rStyle w:val="Hyperlink"/>
            <w:b w:val="0"/>
            <w:bCs/>
            <w:i/>
            <w:iCs/>
            <w:noProof/>
          </w:rPr>
          <w:t>o</w:t>
        </w:r>
        <w:r w:rsidR="00270ACC" w:rsidRPr="00270ACC">
          <w:rPr>
            <w:rStyle w:val="Hyperlink"/>
            <w:b w:val="0"/>
            <w:bCs/>
            <w:i/>
            <w:iCs/>
            <w:noProof/>
          </w:rPr>
          <w:t>f Figures</w:t>
        </w:r>
        <w:r w:rsidR="00270ACC" w:rsidRPr="00270ACC">
          <w:rPr>
            <w:b w:val="0"/>
            <w:bCs/>
            <w:i/>
            <w:iCs/>
            <w:noProof/>
            <w:webHidden/>
          </w:rPr>
          <w:tab/>
        </w:r>
        <w:r w:rsidR="00270ACC" w:rsidRPr="00270ACC">
          <w:rPr>
            <w:b w:val="0"/>
            <w:bCs/>
            <w:i/>
            <w:iCs/>
            <w:noProof/>
            <w:webHidden/>
          </w:rPr>
          <w:fldChar w:fldCharType="begin"/>
        </w:r>
        <w:r w:rsidR="00270ACC" w:rsidRPr="00270ACC">
          <w:rPr>
            <w:b w:val="0"/>
            <w:bCs/>
            <w:i/>
            <w:iCs/>
            <w:noProof/>
            <w:webHidden/>
          </w:rPr>
          <w:instrText xml:space="preserve"> PAGEREF _Toc141445384 \h </w:instrText>
        </w:r>
        <w:r w:rsidR="00270ACC" w:rsidRPr="00270ACC">
          <w:rPr>
            <w:b w:val="0"/>
            <w:bCs/>
            <w:i/>
            <w:iCs/>
            <w:noProof/>
            <w:webHidden/>
          </w:rPr>
        </w:r>
        <w:r w:rsidR="00270ACC" w:rsidRPr="00270ACC">
          <w:rPr>
            <w:b w:val="0"/>
            <w:bCs/>
            <w:i/>
            <w:iCs/>
            <w:noProof/>
            <w:webHidden/>
          </w:rPr>
          <w:fldChar w:fldCharType="separate"/>
        </w:r>
        <w:r w:rsidR="00733598">
          <w:rPr>
            <w:b w:val="0"/>
            <w:bCs/>
            <w:i/>
            <w:iCs/>
            <w:noProof/>
            <w:webHidden/>
          </w:rPr>
          <w:t>vi</w:t>
        </w:r>
        <w:r w:rsidR="00270ACC" w:rsidRPr="00270ACC">
          <w:rPr>
            <w:b w:val="0"/>
            <w:bCs/>
            <w:i/>
            <w:iCs/>
            <w:noProof/>
            <w:webHidden/>
          </w:rPr>
          <w:fldChar w:fldCharType="end"/>
        </w:r>
      </w:hyperlink>
    </w:p>
    <w:p w14:paraId="7CCA0DC4" w14:textId="70C19CBA" w:rsidR="00270ACC" w:rsidRPr="00270ACC" w:rsidRDefault="00EC509A">
      <w:pPr>
        <w:pStyle w:val="TOC1"/>
        <w:rPr>
          <w:rFonts w:asciiTheme="minorHAnsi" w:eastAsiaTheme="minorEastAsia" w:hAnsiTheme="minorHAnsi" w:cstheme="minorBidi"/>
          <w:b w:val="0"/>
          <w:bCs/>
          <w:i/>
          <w:iCs/>
          <w:noProof/>
          <w:kern w:val="2"/>
          <w:szCs w:val="22"/>
          <w:lang w:val="tr-TR" w:eastAsia="tr-TR"/>
          <w14:ligatures w14:val="standardContextual"/>
        </w:rPr>
      </w:pPr>
      <w:hyperlink w:anchor="_Toc141445385" w:history="1">
        <w:r w:rsidR="00270ACC" w:rsidRPr="00270ACC">
          <w:rPr>
            <w:rStyle w:val="Hyperlink"/>
            <w:b w:val="0"/>
            <w:bCs/>
            <w:i/>
            <w:iCs/>
            <w:noProof/>
          </w:rPr>
          <w:t xml:space="preserve">List </w:t>
        </w:r>
        <w:r w:rsidR="00270ACC">
          <w:rPr>
            <w:rStyle w:val="Hyperlink"/>
            <w:b w:val="0"/>
            <w:bCs/>
            <w:i/>
            <w:iCs/>
            <w:noProof/>
          </w:rPr>
          <w:t>o</w:t>
        </w:r>
        <w:r w:rsidR="00270ACC" w:rsidRPr="00270ACC">
          <w:rPr>
            <w:rStyle w:val="Hyperlink"/>
            <w:b w:val="0"/>
            <w:bCs/>
            <w:i/>
            <w:iCs/>
            <w:noProof/>
          </w:rPr>
          <w:t>f Abbreviations</w:t>
        </w:r>
        <w:r w:rsidR="00270ACC" w:rsidRPr="00270ACC">
          <w:rPr>
            <w:b w:val="0"/>
            <w:bCs/>
            <w:i/>
            <w:iCs/>
            <w:noProof/>
            <w:webHidden/>
          </w:rPr>
          <w:tab/>
        </w:r>
        <w:r w:rsidR="00270ACC">
          <w:rPr>
            <w:b w:val="0"/>
            <w:bCs/>
            <w:i/>
            <w:iCs/>
            <w:noProof/>
            <w:webHidden/>
          </w:rPr>
          <w:t>v</w:t>
        </w:r>
      </w:hyperlink>
    </w:p>
    <w:p w14:paraId="6E7F1E53" w14:textId="5B57E2BF" w:rsidR="00270ACC" w:rsidRPr="00270ACC" w:rsidRDefault="00EC509A">
      <w:pPr>
        <w:pStyle w:val="TOC1"/>
        <w:rPr>
          <w:rFonts w:asciiTheme="minorHAnsi" w:eastAsiaTheme="minorEastAsia" w:hAnsiTheme="minorHAnsi" w:cstheme="minorBidi"/>
          <w:b w:val="0"/>
          <w:bCs/>
          <w:i/>
          <w:iCs/>
          <w:noProof/>
          <w:kern w:val="2"/>
          <w:szCs w:val="22"/>
          <w:lang w:val="tr-TR" w:eastAsia="tr-TR"/>
          <w14:ligatures w14:val="standardContextual"/>
        </w:rPr>
      </w:pPr>
      <w:hyperlink w:anchor="_Toc141445386" w:history="1">
        <w:r w:rsidR="00270ACC" w:rsidRPr="00270ACC">
          <w:rPr>
            <w:rStyle w:val="Hyperlink"/>
            <w:b w:val="0"/>
            <w:bCs/>
            <w:i/>
            <w:iCs/>
            <w:noProof/>
          </w:rPr>
          <w:t>Glossary</w:t>
        </w:r>
        <w:r w:rsidR="00270ACC" w:rsidRPr="00270ACC">
          <w:rPr>
            <w:b w:val="0"/>
            <w:bCs/>
            <w:i/>
            <w:iCs/>
            <w:noProof/>
            <w:webHidden/>
          </w:rPr>
          <w:tab/>
        </w:r>
        <w:r w:rsidR="00270ACC" w:rsidRPr="00270ACC">
          <w:rPr>
            <w:b w:val="0"/>
            <w:bCs/>
            <w:i/>
            <w:iCs/>
            <w:noProof/>
            <w:webHidden/>
          </w:rPr>
          <w:fldChar w:fldCharType="begin"/>
        </w:r>
        <w:r w:rsidR="00270ACC" w:rsidRPr="00270ACC">
          <w:rPr>
            <w:b w:val="0"/>
            <w:bCs/>
            <w:i/>
            <w:iCs/>
            <w:noProof/>
            <w:webHidden/>
          </w:rPr>
          <w:instrText xml:space="preserve"> PAGEREF _Toc141445386 \h </w:instrText>
        </w:r>
        <w:r w:rsidR="00270ACC" w:rsidRPr="00270ACC">
          <w:rPr>
            <w:b w:val="0"/>
            <w:bCs/>
            <w:i/>
            <w:iCs/>
            <w:noProof/>
            <w:webHidden/>
          </w:rPr>
        </w:r>
        <w:r w:rsidR="00270ACC" w:rsidRPr="00270ACC">
          <w:rPr>
            <w:b w:val="0"/>
            <w:bCs/>
            <w:i/>
            <w:iCs/>
            <w:noProof/>
            <w:webHidden/>
          </w:rPr>
          <w:fldChar w:fldCharType="separate"/>
        </w:r>
        <w:r w:rsidR="00733598">
          <w:rPr>
            <w:b w:val="0"/>
            <w:bCs/>
            <w:i/>
            <w:iCs/>
            <w:noProof/>
            <w:webHidden/>
          </w:rPr>
          <w:t>ix</w:t>
        </w:r>
        <w:r w:rsidR="00270ACC" w:rsidRPr="00270ACC">
          <w:rPr>
            <w:b w:val="0"/>
            <w:bCs/>
            <w:i/>
            <w:iCs/>
            <w:noProof/>
            <w:webHidden/>
          </w:rPr>
          <w:fldChar w:fldCharType="end"/>
        </w:r>
      </w:hyperlink>
    </w:p>
    <w:p w14:paraId="1DBB40C7" w14:textId="68A140CD"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387" w:history="1">
        <w:r w:rsidR="00270ACC" w:rsidRPr="00270ACC">
          <w:rPr>
            <w:rStyle w:val="Hyperlink"/>
            <w:b w:val="0"/>
            <w:bCs/>
            <w:i/>
            <w:iCs/>
            <w:noProof/>
          </w:rPr>
          <w:t>Executive Summary</w:t>
        </w:r>
        <w:r w:rsidR="00270ACC" w:rsidRPr="00270ACC">
          <w:rPr>
            <w:b w:val="0"/>
            <w:bCs/>
            <w:i/>
            <w:iCs/>
            <w:noProof/>
            <w:webHidden/>
          </w:rPr>
          <w:tab/>
        </w:r>
        <w:r w:rsidR="00270ACC" w:rsidRPr="00270ACC">
          <w:rPr>
            <w:b w:val="0"/>
            <w:bCs/>
            <w:i/>
            <w:iCs/>
            <w:noProof/>
            <w:webHidden/>
          </w:rPr>
          <w:fldChar w:fldCharType="begin"/>
        </w:r>
        <w:r w:rsidR="00270ACC" w:rsidRPr="00270ACC">
          <w:rPr>
            <w:b w:val="0"/>
            <w:bCs/>
            <w:i/>
            <w:iCs/>
            <w:noProof/>
            <w:webHidden/>
          </w:rPr>
          <w:instrText xml:space="preserve"> PAGEREF _Toc141445387 \h </w:instrText>
        </w:r>
        <w:r w:rsidR="00270ACC" w:rsidRPr="00270ACC">
          <w:rPr>
            <w:b w:val="0"/>
            <w:bCs/>
            <w:i/>
            <w:iCs/>
            <w:noProof/>
            <w:webHidden/>
          </w:rPr>
        </w:r>
        <w:r w:rsidR="00270ACC" w:rsidRPr="00270ACC">
          <w:rPr>
            <w:b w:val="0"/>
            <w:bCs/>
            <w:i/>
            <w:iCs/>
            <w:noProof/>
            <w:webHidden/>
          </w:rPr>
          <w:fldChar w:fldCharType="separate"/>
        </w:r>
        <w:r w:rsidR="00733598">
          <w:rPr>
            <w:b w:val="0"/>
            <w:bCs/>
            <w:i/>
            <w:iCs/>
            <w:noProof/>
            <w:webHidden/>
          </w:rPr>
          <w:t>1</w:t>
        </w:r>
        <w:r w:rsidR="00270ACC" w:rsidRPr="00270ACC">
          <w:rPr>
            <w:b w:val="0"/>
            <w:bCs/>
            <w:i/>
            <w:iCs/>
            <w:noProof/>
            <w:webHidden/>
          </w:rPr>
          <w:fldChar w:fldCharType="end"/>
        </w:r>
      </w:hyperlink>
    </w:p>
    <w:p w14:paraId="33B0D80D" w14:textId="473D0A3E"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388" w:history="1">
        <w:r w:rsidR="00270ACC" w:rsidRPr="000A3DBE">
          <w:rPr>
            <w:rStyle w:val="Hyperlink"/>
            <w:caps/>
            <w:noProof/>
          </w:rPr>
          <w:t>1</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noProof/>
          </w:rPr>
          <w:t>INTRODUCTION</w:t>
        </w:r>
        <w:r w:rsidR="00270ACC">
          <w:rPr>
            <w:noProof/>
            <w:webHidden/>
          </w:rPr>
          <w:tab/>
        </w:r>
        <w:r w:rsidR="00270ACC">
          <w:rPr>
            <w:noProof/>
            <w:webHidden/>
          </w:rPr>
          <w:fldChar w:fldCharType="begin"/>
        </w:r>
        <w:r w:rsidR="00270ACC">
          <w:rPr>
            <w:noProof/>
            <w:webHidden/>
          </w:rPr>
          <w:instrText xml:space="preserve"> PAGEREF _Toc141445388 \h </w:instrText>
        </w:r>
        <w:r w:rsidR="00270ACC">
          <w:rPr>
            <w:noProof/>
            <w:webHidden/>
          </w:rPr>
        </w:r>
        <w:r w:rsidR="00270ACC">
          <w:rPr>
            <w:noProof/>
            <w:webHidden/>
          </w:rPr>
          <w:fldChar w:fldCharType="separate"/>
        </w:r>
        <w:r w:rsidR="00733598">
          <w:rPr>
            <w:noProof/>
            <w:webHidden/>
          </w:rPr>
          <w:t>7</w:t>
        </w:r>
        <w:r w:rsidR="00270ACC">
          <w:rPr>
            <w:noProof/>
            <w:webHidden/>
          </w:rPr>
          <w:fldChar w:fldCharType="end"/>
        </w:r>
      </w:hyperlink>
    </w:p>
    <w:p w14:paraId="225D48AF" w14:textId="53AAF9AA"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389" w:history="1">
        <w:r w:rsidR="00270ACC" w:rsidRPr="000A3DBE">
          <w:rPr>
            <w:rStyle w:val="Hyperlink"/>
            <w:noProof/>
          </w:rPr>
          <w:t>1.1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Purpose of Environmental and Social Management Plan</w:t>
        </w:r>
        <w:r w:rsidR="00270ACC">
          <w:rPr>
            <w:noProof/>
            <w:webHidden/>
          </w:rPr>
          <w:tab/>
        </w:r>
        <w:r w:rsidR="00270ACC">
          <w:rPr>
            <w:noProof/>
            <w:webHidden/>
          </w:rPr>
          <w:fldChar w:fldCharType="begin"/>
        </w:r>
        <w:r w:rsidR="00270ACC">
          <w:rPr>
            <w:noProof/>
            <w:webHidden/>
          </w:rPr>
          <w:instrText xml:space="preserve"> PAGEREF _Toc141445389 \h </w:instrText>
        </w:r>
        <w:r w:rsidR="00270ACC">
          <w:rPr>
            <w:noProof/>
            <w:webHidden/>
          </w:rPr>
        </w:r>
        <w:r w:rsidR="00270ACC">
          <w:rPr>
            <w:noProof/>
            <w:webHidden/>
          </w:rPr>
          <w:fldChar w:fldCharType="separate"/>
        </w:r>
        <w:r w:rsidR="00733598">
          <w:rPr>
            <w:noProof/>
            <w:webHidden/>
          </w:rPr>
          <w:t>8</w:t>
        </w:r>
        <w:r w:rsidR="00270ACC">
          <w:rPr>
            <w:noProof/>
            <w:webHidden/>
          </w:rPr>
          <w:fldChar w:fldCharType="end"/>
        </w:r>
      </w:hyperlink>
    </w:p>
    <w:p w14:paraId="6FBA32DE" w14:textId="44F7593C"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390" w:history="1">
        <w:r w:rsidR="00270ACC" w:rsidRPr="000A3DBE">
          <w:rPr>
            <w:rStyle w:val="Hyperlink"/>
            <w:noProof/>
          </w:rPr>
          <w:t>1.2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Review of ESMP</w:t>
        </w:r>
        <w:r w:rsidR="00270ACC">
          <w:rPr>
            <w:noProof/>
            <w:webHidden/>
          </w:rPr>
          <w:tab/>
        </w:r>
        <w:r w:rsidR="00270ACC">
          <w:rPr>
            <w:noProof/>
            <w:webHidden/>
          </w:rPr>
          <w:fldChar w:fldCharType="begin"/>
        </w:r>
        <w:r w:rsidR="00270ACC">
          <w:rPr>
            <w:noProof/>
            <w:webHidden/>
          </w:rPr>
          <w:instrText xml:space="preserve"> PAGEREF _Toc141445390 \h </w:instrText>
        </w:r>
        <w:r w:rsidR="00270ACC">
          <w:rPr>
            <w:noProof/>
            <w:webHidden/>
          </w:rPr>
        </w:r>
        <w:r w:rsidR="00270ACC">
          <w:rPr>
            <w:noProof/>
            <w:webHidden/>
          </w:rPr>
          <w:fldChar w:fldCharType="separate"/>
        </w:r>
        <w:r w:rsidR="00733598">
          <w:rPr>
            <w:noProof/>
            <w:webHidden/>
          </w:rPr>
          <w:t>10</w:t>
        </w:r>
        <w:r w:rsidR="00270ACC">
          <w:rPr>
            <w:noProof/>
            <w:webHidden/>
          </w:rPr>
          <w:fldChar w:fldCharType="end"/>
        </w:r>
      </w:hyperlink>
    </w:p>
    <w:p w14:paraId="553E71EC" w14:textId="7101EDEA"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391" w:history="1">
        <w:r w:rsidR="00270ACC" w:rsidRPr="000A3DBE">
          <w:rPr>
            <w:rStyle w:val="Hyperlink"/>
            <w:noProof/>
          </w:rPr>
          <w:t>1.3</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Training</w:t>
        </w:r>
        <w:r w:rsidR="00270ACC">
          <w:rPr>
            <w:noProof/>
            <w:webHidden/>
          </w:rPr>
          <w:tab/>
        </w:r>
        <w:r w:rsidR="00270ACC">
          <w:rPr>
            <w:noProof/>
            <w:webHidden/>
          </w:rPr>
          <w:fldChar w:fldCharType="begin"/>
        </w:r>
        <w:r w:rsidR="00270ACC">
          <w:rPr>
            <w:noProof/>
            <w:webHidden/>
          </w:rPr>
          <w:instrText xml:space="preserve"> PAGEREF _Toc141445391 \h </w:instrText>
        </w:r>
        <w:r w:rsidR="00270ACC">
          <w:rPr>
            <w:noProof/>
            <w:webHidden/>
          </w:rPr>
        </w:r>
        <w:r w:rsidR="00270ACC">
          <w:rPr>
            <w:noProof/>
            <w:webHidden/>
          </w:rPr>
          <w:fldChar w:fldCharType="separate"/>
        </w:r>
        <w:r w:rsidR="00733598">
          <w:rPr>
            <w:noProof/>
            <w:webHidden/>
          </w:rPr>
          <w:t>11</w:t>
        </w:r>
        <w:r w:rsidR="00270ACC">
          <w:rPr>
            <w:noProof/>
            <w:webHidden/>
          </w:rPr>
          <w:fldChar w:fldCharType="end"/>
        </w:r>
      </w:hyperlink>
    </w:p>
    <w:p w14:paraId="57A54D90" w14:textId="253E3763"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392" w:history="1">
        <w:r w:rsidR="00270ACC" w:rsidRPr="000A3DBE">
          <w:rPr>
            <w:rStyle w:val="Hyperlink"/>
            <w:noProof/>
          </w:rPr>
          <w:t>2</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caps/>
            <w:noProof/>
          </w:rPr>
          <w:t xml:space="preserve">PROJECT </w:t>
        </w:r>
        <w:r w:rsidR="00270ACC" w:rsidRPr="000A3DBE">
          <w:rPr>
            <w:rStyle w:val="Hyperlink"/>
            <w:noProof/>
          </w:rPr>
          <w:t>DESCRIPTION</w:t>
        </w:r>
        <w:r w:rsidR="00270ACC">
          <w:rPr>
            <w:noProof/>
            <w:webHidden/>
          </w:rPr>
          <w:tab/>
        </w:r>
        <w:r w:rsidR="00270ACC">
          <w:rPr>
            <w:noProof/>
            <w:webHidden/>
          </w:rPr>
          <w:fldChar w:fldCharType="begin"/>
        </w:r>
        <w:r w:rsidR="00270ACC">
          <w:rPr>
            <w:noProof/>
            <w:webHidden/>
          </w:rPr>
          <w:instrText xml:space="preserve"> PAGEREF _Toc141445392 \h </w:instrText>
        </w:r>
        <w:r w:rsidR="00270ACC">
          <w:rPr>
            <w:noProof/>
            <w:webHidden/>
          </w:rPr>
        </w:r>
        <w:r w:rsidR="00270ACC">
          <w:rPr>
            <w:noProof/>
            <w:webHidden/>
          </w:rPr>
          <w:fldChar w:fldCharType="separate"/>
        </w:r>
        <w:r w:rsidR="00733598">
          <w:rPr>
            <w:noProof/>
            <w:webHidden/>
          </w:rPr>
          <w:t>14</w:t>
        </w:r>
        <w:r w:rsidR="00270ACC">
          <w:rPr>
            <w:noProof/>
            <w:webHidden/>
          </w:rPr>
          <w:fldChar w:fldCharType="end"/>
        </w:r>
      </w:hyperlink>
    </w:p>
    <w:p w14:paraId="7B9D7D8D" w14:textId="6B4E33C2"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393" w:history="1">
        <w:r w:rsidR="00270ACC" w:rsidRPr="000A3DBE">
          <w:rPr>
            <w:rStyle w:val="Hyperlink"/>
            <w:noProof/>
          </w:rPr>
          <w:t>2.1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Project Location</w:t>
        </w:r>
        <w:r w:rsidR="00270ACC">
          <w:rPr>
            <w:noProof/>
            <w:webHidden/>
          </w:rPr>
          <w:tab/>
        </w:r>
        <w:r w:rsidR="00270ACC">
          <w:rPr>
            <w:noProof/>
            <w:webHidden/>
          </w:rPr>
          <w:fldChar w:fldCharType="begin"/>
        </w:r>
        <w:r w:rsidR="00270ACC">
          <w:rPr>
            <w:noProof/>
            <w:webHidden/>
          </w:rPr>
          <w:instrText xml:space="preserve"> PAGEREF _Toc141445393 \h </w:instrText>
        </w:r>
        <w:r w:rsidR="00270ACC">
          <w:rPr>
            <w:noProof/>
            <w:webHidden/>
          </w:rPr>
        </w:r>
        <w:r w:rsidR="00270ACC">
          <w:rPr>
            <w:noProof/>
            <w:webHidden/>
          </w:rPr>
          <w:fldChar w:fldCharType="separate"/>
        </w:r>
        <w:r w:rsidR="00733598">
          <w:rPr>
            <w:noProof/>
            <w:webHidden/>
          </w:rPr>
          <w:t>14</w:t>
        </w:r>
        <w:r w:rsidR="00270ACC">
          <w:rPr>
            <w:noProof/>
            <w:webHidden/>
          </w:rPr>
          <w:fldChar w:fldCharType="end"/>
        </w:r>
      </w:hyperlink>
    </w:p>
    <w:p w14:paraId="63E68E2B" w14:textId="3A1D7CE3"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394" w:history="1">
        <w:r w:rsidR="00270ACC" w:rsidRPr="000A3DBE">
          <w:rPr>
            <w:rStyle w:val="Hyperlink"/>
            <w:noProof/>
          </w:rPr>
          <w:t>2.2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Purpose of the Project</w:t>
        </w:r>
        <w:r w:rsidR="00270ACC">
          <w:rPr>
            <w:noProof/>
            <w:webHidden/>
          </w:rPr>
          <w:tab/>
        </w:r>
        <w:r w:rsidR="00270ACC">
          <w:rPr>
            <w:noProof/>
            <w:webHidden/>
          </w:rPr>
          <w:fldChar w:fldCharType="begin"/>
        </w:r>
        <w:r w:rsidR="00270ACC">
          <w:rPr>
            <w:noProof/>
            <w:webHidden/>
          </w:rPr>
          <w:instrText xml:space="preserve"> PAGEREF _Toc141445394 \h </w:instrText>
        </w:r>
        <w:r w:rsidR="00270ACC">
          <w:rPr>
            <w:noProof/>
            <w:webHidden/>
          </w:rPr>
        </w:r>
        <w:r w:rsidR="00270ACC">
          <w:rPr>
            <w:noProof/>
            <w:webHidden/>
          </w:rPr>
          <w:fldChar w:fldCharType="separate"/>
        </w:r>
        <w:r w:rsidR="00733598">
          <w:rPr>
            <w:noProof/>
            <w:webHidden/>
          </w:rPr>
          <w:t>20</w:t>
        </w:r>
        <w:r w:rsidR="00270ACC">
          <w:rPr>
            <w:noProof/>
            <w:webHidden/>
          </w:rPr>
          <w:fldChar w:fldCharType="end"/>
        </w:r>
      </w:hyperlink>
    </w:p>
    <w:p w14:paraId="1EE902E1" w14:textId="688D9B6F"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395" w:history="1">
        <w:r w:rsidR="00270ACC" w:rsidRPr="000A3DBE">
          <w:rPr>
            <w:rStyle w:val="Hyperlink"/>
            <w:noProof/>
          </w:rPr>
          <w:t>2.3</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Project Components</w:t>
        </w:r>
        <w:r w:rsidR="00270ACC">
          <w:rPr>
            <w:noProof/>
            <w:webHidden/>
          </w:rPr>
          <w:tab/>
        </w:r>
        <w:r w:rsidR="00270ACC">
          <w:rPr>
            <w:noProof/>
            <w:webHidden/>
          </w:rPr>
          <w:fldChar w:fldCharType="begin"/>
        </w:r>
        <w:r w:rsidR="00270ACC">
          <w:rPr>
            <w:noProof/>
            <w:webHidden/>
          </w:rPr>
          <w:instrText xml:space="preserve"> PAGEREF _Toc141445395 \h </w:instrText>
        </w:r>
        <w:r w:rsidR="00270ACC">
          <w:rPr>
            <w:noProof/>
            <w:webHidden/>
          </w:rPr>
        </w:r>
        <w:r w:rsidR="00270ACC">
          <w:rPr>
            <w:noProof/>
            <w:webHidden/>
          </w:rPr>
          <w:fldChar w:fldCharType="separate"/>
        </w:r>
        <w:r w:rsidR="00733598">
          <w:rPr>
            <w:noProof/>
            <w:webHidden/>
          </w:rPr>
          <w:t>20</w:t>
        </w:r>
        <w:r w:rsidR="00270ACC">
          <w:rPr>
            <w:noProof/>
            <w:webHidden/>
          </w:rPr>
          <w:fldChar w:fldCharType="end"/>
        </w:r>
      </w:hyperlink>
    </w:p>
    <w:p w14:paraId="6C2043DB" w14:textId="1EC69557"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396" w:history="1">
        <w:r w:rsidR="00270ACC" w:rsidRPr="000A3DBE">
          <w:rPr>
            <w:rStyle w:val="Hyperlink"/>
            <w:noProof/>
          </w:rPr>
          <w:t>2.4</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Permits and Management System of the Project Owner</w:t>
        </w:r>
        <w:r w:rsidR="00270ACC">
          <w:rPr>
            <w:noProof/>
            <w:webHidden/>
          </w:rPr>
          <w:tab/>
        </w:r>
        <w:r w:rsidR="00270ACC">
          <w:rPr>
            <w:noProof/>
            <w:webHidden/>
          </w:rPr>
          <w:fldChar w:fldCharType="begin"/>
        </w:r>
        <w:r w:rsidR="00270ACC">
          <w:rPr>
            <w:noProof/>
            <w:webHidden/>
          </w:rPr>
          <w:instrText xml:space="preserve"> PAGEREF _Toc141445396 \h </w:instrText>
        </w:r>
        <w:r w:rsidR="00270ACC">
          <w:rPr>
            <w:noProof/>
            <w:webHidden/>
          </w:rPr>
        </w:r>
        <w:r w:rsidR="00270ACC">
          <w:rPr>
            <w:noProof/>
            <w:webHidden/>
          </w:rPr>
          <w:fldChar w:fldCharType="separate"/>
        </w:r>
        <w:r w:rsidR="00733598">
          <w:rPr>
            <w:noProof/>
            <w:webHidden/>
          </w:rPr>
          <w:t>28</w:t>
        </w:r>
        <w:r w:rsidR="00270ACC">
          <w:rPr>
            <w:noProof/>
            <w:webHidden/>
          </w:rPr>
          <w:fldChar w:fldCharType="end"/>
        </w:r>
      </w:hyperlink>
    </w:p>
    <w:p w14:paraId="2CD82BC2" w14:textId="0F3FB2CA"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397" w:history="1">
        <w:r w:rsidR="00270ACC" w:rsidRPr="000A3DBE">
          <w:rPr>
            <w:rStyle w:val="Hyperlink"/>
            <w:noProof/>
          </w:rPr>
          <w:t>2.4.1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Management Systems of the Project Owner</w:t>
        </w:r>
        <w:r w:rsidR="00270ACC">
          <w:rPr>
            <w:noProof/>
            <w:webHidden/>
          </w:rPr>
          <w:tab/>
        </w:r>
        <w:r w:rsidR="00270ACC">
          <w:rPr>
            <w:noProof/>
            <w:webHidden/>
          </w:rPr>
          <w:fldChar w:fldCharType="begin"/>
        </w:r>
        <w:r w:rsidR="00270ACC">
          <w:rPr>
            <w:noProof/>
            <w:webHidden/>
          </w:rPr>
          <w:instrText xml:space="preserve"> PAGEREF _Toc141445397 \h </w:instrText>
        </w:r>
        <w:r w:rsidR="00270ACC">
          <w:rPr>
            <w:noProof/>
            <w:webHidden/>
          </w:rPr>
        </w:r>
        <w:r w:rsidR="00270ACC">
          <w:rPr>
            <w:noProof/>
            <w:webHidden/>
          </w:rPr>
          <w:fldChar w:fldCharType="separate"/>
        </w:r>
        <w:r w:rsidR="00733598">
          <w:rPr>
            <w:noProof/>
            <w:webHidden/>
          </w:rPr>
          <w:t>28</w:t>
        </w:r>
        <w:r w:rsidR="00270ACC">
          <w:rPr>
            <w:noProof/>
            <w:webHidden/>
          </w:rPr>
          <w:fldChar w:fldCharType="end"/>
        </w:r>
      </w:hyperlink>
    </w:p>
    <w:p w14:paraId="7C138D69" w14:textId="3AA70299"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398" w:history="1">
        <w:r w:rsidR="00270ACC" w:rsidRPr="000A3DBE">
          <w:rPr>
            <w:rStyle w:val="Hyperlink"/>
            <w:noProof/>
          </w:rPr>
          <w:t>2.4.2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Permits</w:t>
        </w:r>
        <w:r w:rsidR="00270ACC">
          <w:rPr>
            <w:noProof/>
            <w:webHidden/>
          </w:rPr>
          <w:tab/>
        </w:r>
        <w:r w:rsidR="00270ACC">
          <w:rPr>
            <w:noProof/>
            <w:webHidden/>
          </w:rPr>
          <w:fldChar w:fldCharType="begin"/>
        </w:r>
        <w:r w:rsidR="00270ACC">
          <w:rPr>
            <w:noProof/>
            <w:webHidden/>
          </w:rPr>
          <w:instrText xml:space="preserve"> PAGEREF _Toc141445398 \h </w:instrText>
        </w:r>
        <w:r w:rsidR="00270ACC">
          <w:rPr>
            <w:noProof/>
            <w:webHidden/>
          </w:rPr>
        </w:r>
        <w:r w:rsidR="00270ACC">
          <w:rPr>
            <w:noProof/>
            <w:webHidden/>
          </w:rPr>
          <w:fldChar w:fldCharType="separate"/>
        </w:r>
        <w:r w:rsidR="00733598">
          <w:rPr>
            <w:noProof/>
            <w:webHidden/>
          </w:rPr>
          <w:t>28</w:t>
        </w:r>
        <w:r w:rsidR="00270ACC">
          <w:rPr>
            <w:noProof/>
            <w:webHidden/>
          </w:rPr>
          <w:fldChar w:fldCharType="end"/>
        </w:r>
      </w:hyperlink>
    </w:p>
    <w:p w14:paraId="1524F07B" w14:textId="2A4D1C39"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399" w:history="1">
        <w:r w:rsidR="00270ACC" w:rsidRPr="000A3DBE">
          <w:rPr>
            <w:rStyle w:val="Hyperlink"/>
            <w:noProof/>
          </w:rPr>
          <w:t>3</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noProof/>
          </w:rPr>
          <w:t>LEGAL FRAMEWORK</w:t>
        </w:r>
        <w:r w:rsidR="00270ACC">
          <w:rPr>
            <w:noProof/>
            <w:webHidden/>
          </w:rPr>
          <w:tab/>
        </w:r>
        <w:r w:rsidR="00270ACC">
          <w:rPr>
            <w:noProof/>
            <w:webHidden/>
          </w:rPr>
          <w:fldChar w:fldCharType="begin"/>
        </w:r>
        <w:r w:rsidR="00270ACC">
          <w:rPr>
            <w:noProof/>
            <w:webHidden/>
          </w:rPr>
          <w:instrText xml:space="preserve"> PAGEREF _Toc141445399 \h </w:instrText>
        </w:r>
        <w:r w:rsidR="00270ACC">
          <w:rPr>
            <w:noProof/>
            <w:webHidden/>
          </w:rPr>
        </w:r>
        <w:r w:rsidR="00270ACC">
          <w:rPr>
            <w:noProof/>
            <w:webHidden/>
          </w:rPr>
          <w:fldChar w:fldCharType="separate"/>
        </w:r>
        <w:r w:rsidR="00733598">
          <w:rPr>
            <w:noProof/>
            <w:webHidden/>
          </w:rPr>
          <w:t>29</w:t>
        </w:r>
        <w:r w:rsidR="00270ACC">
          <w:rPr>
            <w:noProof/>
            <w:webHidden/>
          </w:rPr>
          <w:fldChar w:fldCharType="end"/>
        </w:r>
      </w:hyperlink>
    </w:p>
    <w:p w14:paraId="452A518F" w14:textId="3D324178"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00" w:history="1">
        <w:r w:rsidR="00270ACC" w:rsidRPr="000A3DBE">
          <w:rPr>
            <w:rStyle w:val="Hyperlink"/>
            <w:noProof/>
          </w:rPr>
          <w:t>3.1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National Legal Framework</w:t>
        </w:r>
        <w:r w:rsidR="00270ACC">
          <w:rPr>
            <w:noProof/>
            <w:webHidden/>
          </w:rPr>
          <w:tab/>
        </w:r>
        <w:r w:rsidR="00270ACC">
          <w:rPr>
            <w:noProof/>
            <w:webHidden/>
          </w:rPr>
          <w:fldChar w:fldCharType="begin"/>
        </w:r>
        <w:r w:rsidR="00270ACC">
          <w:rPr>
            <w:noProof/>
            <w:webHidden/>
          </w:rPr>
          <w:instrText xml:space="preserve"> PAGEREF _Toc141445400 \h </w:instrText>
        </w:r>
        <w:r w:rsidR="00270ACC">
          <w:rPr>
            <w:noProof/>
            <w:webHidden/>
          </w:rPr>
        </w:r>
        <w:r w:rsidR="00270ACC">
          <w:rPr>
            <w:noProof/>
            <w:webHidden/>
          </w:rPr>
          <w:fldChar w:fldCharType="separate"/>
        </w:r>
        <w:r w:rsidR="00733598">
          <w:rPr>
            <w:noProof/>
            <w:webHidden/>
          </w:rPr>
          <w:t>29</w:t>
        </w:r>
        <w:r w:rsidR="00270ACC">
          <w:rPr>
            <w:noProof/>
            <w:webHidden/>
          </w:rPr>
          <w:fldChar w:fldCharType="end"/>
        </w:r>
      </w:hyperlink>
    </w:p>
    <w:p w14:paraId="0387C19B" w14:textId="542B279F"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01" w:history="1">
        <w:r w:rsidR="00270ACC" w:rsidRPr="000A3DBE">
          <w:rPr>
            <w:rStyle w:val="Hyperlink"/>
            <w:noProof/>
          </w:rPr>
          <w:t>3.2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International Standards</w:t>
        </w:r>
        <w:r w:rsidR="00270ACC">
          <w:rPr>
            <w:noProof/>
            <w:webHidden/>
          </w:rPr>
          <w:tab/>
        </w:r>
        <w:r w:rsidR="00270ACC">
          <w:rPr>
            <w:noProof/>
            <w:webHidden/>
          </w:rPr>
          <w:fldChar w:fldCharType="begin"/>
        </w:r>
        <w:r w:rsidR="00270ACC">
          <w:rPr>
            <w:noProof/>
            <w:webHidden/>
          </w:rPr>
          <w:instrText xml:space="preserve"> PAGEREF _Toc141445401 \h </w:instrText>
        </w:r>
        <w:r w:rsidR="00270ACC">
          <w:rPr>
            <w:noProof/>
            <w:webHidden/>
          </w:rPr>
        </w:r>
        <w:r w:rsidR="00270ACC">
          <w:rPr>
            <w:noProof/>
            <w:webHidden/>
          </w:rPr>
          <w:fldChar w:fldCharType="separate"/>
        </w:r>
        <w:r w:rsidR="00733598">
          <w:rPr>
            <w:noProof/>
            <w:webHidden/>
          </w:rPr>
          <w:t>36</w:t>
        </w:r>
        <w:r w:rsidR="00270ACC">
          <w:rPr>
            <w:noProof/>
            <w:webHidden/>
          </w:rPr>
          <w:fldChar w:fldCharType="end"/>
        </w:r>
      </w:hyperlink>
    </w:p>
    <w:p w14:paraId="0A1B04F2" w14:textId="042812D1"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02" w:history="1">
        <w:r w:rsidR="00270ACC" w:rsidRPr="000A3DBE">
          <w:rPr>
            <w:rStyle w:val="Hyperlink"/>
            <w:noProof/>
          </w:rPr>
          <w:t>3.3</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Major Gaps between the Turkish EIA Regulation and World Bank’s ESF</w:t>
        </w:r>
        <w:r w:rsidR="00270ACC">
          <w:rPr>
            <w:noProof/>
            <w:webHidden/>
          </w:rPr>
          <w:tab/>
        </w:r>
        <w:r w:rsidR="00270ACC">
          <w:rPr>
            <w:noProof/>
            <w:webHidden/>
          </w:rPr>
          <w:fldChar w:fldCharType="begin"/>
        </w:r>
        <w:r w:rsidR="00270ACC">
          <w:rPr>
            <w:noProof/>
            <w:webHidden/>
          </w:rPr>
          <w:instrText xml:space="preserve"> PAGEREF _Toc141445402 \h </w:instrText>
        </w:r>
        <w:r w:rsidR="00270ACC">
          <w:rPr>
            <w:noProof/>
            <w:webHidden/>
          </w:rPr>
        </w:r>
        <w:r w:rsidR="00270ACC">
          <w:rPr>
            <w:noProof/>
            <w:webHidden/>
          </w:rPr>
          <w:fldChar w:fldCharType="separate"/>
        </w:r>
        <w:r w:rsidR="00733598">
          <w:rPr>
            <w:noProof/>
            <w:webHidden/>
          </w:rPr>
          <w:t>42</w:t>
        </w:r>
        <w:r w:rsidR="00270ACC">
          <w:rPr>
            <w:noProof/>
            <w:webHidden/>
          </w:rPr>
          <w:fldChar w:fldCharType="end"/>
        </w:r>
      </w:hyperlink>
    </w:p>
    <w:p w14:paraId="49995CC7" w14:textId="0E311CF2"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403" w:history="1">
        <w:r w:rsidR="00270ACC" w:rsidRPr="000A3DBE">
          <w:rPr>
            <w:rStyle w:val="Hyperlink"/>
            <w:noProof/>
          </w:rPr>
          <w:t>4</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noProof/>
          </w:rPr>
          <w:t>ENVIRONMENTAL BASELINE OF THE PROJECT</w:t>
        </w:r>
        <w:r w:rsidR="00270ACC">
          <w:rPr>
            <w:noProof/>
            <w:webHidden/>
          </w:rPr>
          <w:tab/>
        </w:r>
        <w:r w:rsidR="00270ACC">
          <w:rPr>
            <w:noProof/>
            <w:webHidden/>
          </w:rPr>
          <w:fldChar w:fldCharType="begin"/>
        </w:r>
        <w:r w:rsidR="00270ACC">
          <w:rPr>
            <w:noProof/>
            <w:webHidden/>
          </w:rPr>
          <w:instrText xml:space="preserve"> PAGEREF _Toc141445403 \h </w:instrText>
        </w:r>
        <w:r w:rsidR="00270ACC">
          <w:rPr>
            <w:noProof/>
            <w:webHidden/>
          </w:rPr>
        </w:r>
        <w:r w:rsidR="00270ACC">
          <w:rPr>
            <w:noProof/>
            <w:webHidden/>
          </w:rPr>
          <w:fldChar w:fldCharType="separate"/>
        </w:r>
        <w:r w:rsidR="00733598">
          <w:rPr>
            <w:noProof/>
            <w:webHidden/>
          </w:rPr>
          <w:t>48</w:t>
        </w:r>
        <w:r w:rsidR="00270ACC">
          <w:rPr>
            <w:noProof/>
            <w:webHidden/>
          </w:rPr>
          <w:fldChar w:fldCharType="end"/>
        </w:r>
      </w:hyperlink>
    </w:p>
    <w:p w14:paraId="1B892639" w14:textId="1A2A3451"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04" w:history="1">
        <w:r w:rsidR="00270ACC" w:rsidRPr="000A3DBE">
          <w:rPr>
            <w:rStyle w:val="Hyperlink"/>
            <w:noProof/>
          </w:rPr>
          <w:t>4.1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Project Location and Topography</w:t>
        </w:r>
        <w:r w:rsidR="00270ACC">
          <w:rPr>
            <w:noProof/>
            <w:webHidden/>
          </w:rPr>
          <w:tab/>
        </w:r>
        <w:r w:rsidR="00270ACC">
          <w:rPr>
            <w:noProof/>
            <w:webHidden/>
          </w:rPr>
          <w:fldChar w:fldCharType="begin"/>
        </w:r>
        <w:r w:rsidR="00270ACC">
          <w:rPr>
            <w:noProof/>
            <w:webHidden/>
          </w:rPr>
          <w:instrText xml:space="preserve"> PAGEREF _Toc141445404 \h </w:instrText>
        </w:r>
        <w:r w:rsidR="00270ACC">
          <w:rPr>
            <w:noProof/>
            <w:webHidden/>
          </w:rPr>
        </w:r>
        <w:r w:rsidR="00270ACC">
          <w:rPr>
            <w:noProof/>
            <w:webHidden/>
          </w:rPr>
          <w:fldChar w:fldCharType="separate"/>
        </w:r>
        <w:r w:rsidR="00733598">
          <w:rPr>
            <w:noProof/>
            <w:webHidden/>
          </w:rPr>
          <w:t>48</w:t>
        </w:r>
        <w:r w:rsidR="00270ACC">
          <w:rPr>
            <w:noProof/>
            <w:webHidden/>
          </w:rPr>
          <w:fldChar w:fldCharType="end"/>
        </w:r>
      </w:hyperlink>
    </w:p>
    <w:p w14:paraId="778C09B5" w14:textId="21A5B277"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05" w:history="1">
        <w:r w:rsidR="00270ACC" w:rsidRPr="000A3DBE">
          <w:rPr>
            <w:rStyle w:val="Hyperlink"/>
            <w:rFonts w:eastAsiaTheme="minorHAnsi"/>
            <w:noProof/>
          </w:rPr>
          <w:t>4.2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Theme="minorHAnsi"/>
            <w:noProof/>
          </w:rPr>
          <w:t>Land Use</w:t>
        </w:r>
        <w:r w:rsidR="00270ACC">
          <w:rPr>
            <w:noProof/>
            <w:webHidden/>
          </w:rPr>
          <w:tab/>
        </w:r>
        <w:r w:rsidR="00270ACC">
          <w:rPr>
            <w:noProof/>
            <w:webHidden/>
          </w:rPr>
          <w:fldChar w:fldCharType="begin"/>
        </w:r>
        <w:r w:rsidR="00270ACC">
          <w:rPr>
            <w:noProof/>
            <w:webHidden/>
          </w:rPr>
          <w:instrText xml:space="preserve"> PAGEREF _Toc141445405 \h </w:instrText>
        </w:r>
        <w:r w:rsidR="00270ACC">
          <w:rPr>
            <w:noProof/>
            <w:webHidden/>
          </w:rPr>
        </w:r>
        <w:r w:rsidR="00270ACC">
          <w:rPr>
            <w:noProof/>
            <w:webHidden/>
          </w:rPr>
          <w:fldChar w:fldCharType="separate"/>
        </w:r>
        <w:r w:rsidR="00733598">
          <w:rPr>
            <w:noProof/>
            <w:webHidden/>
          </w:rPr>
          <w:t>49</w:t>
        </w:r>
        <w:r w:rsidR="00270ACC">
          <w:rPr>
            <w:noProof/>
            <w:webHidden/>
          </w:rPr>
          <w:fldChar w:fldCharType="end"/>
        </w:r>
      </w:hyperlink>
    </w:p>
    <w:p w14:paraId="525D5D03" w14:textId="2D6816ED"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06" w:history="1">
        <w:r w:rsidR="00270ACC" w:rsidRPr="000A3DBE">
          <w:rPr>
            <w:rStyle w:val="Hyperlink"/>
            <w:rFonts w:eastAsiaTheme="minorHAnsi"/>
            <w:noProof/>
          </w:rPr>
          <w:t>4.3</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Theme="minorHAnsi"/>
            <w:noProof/>
          </w:rPr>
          <w:t>Geology</w:t>
        </w:r>
        <w:r w:rsidR="00270ACC">
          <w:rPr>
            <w:noProof/>
            <w:webHidden/>
          </w:rPr>
          <w:tab/>
        </w:r>
        <w:r w:rsidR="00270ACC">
          <w:rPr>
            <w:noProof/>
            <w:webHidden/>
          </w:rPr>
          <w:fldChar w:fldCharType="begin"/>
        </w:r>
        <w:r w:rsidR="00270ACC">
          <w:rPr>
            <w:noProof/>
            <w:webHidden/>
          </w:rPr>
          <w:instrText xml:space="preserve"> PAGEREF _Toc141445406 \h </w:instrText>
        </w:r>
        <w:r w:rsidR="00270ACC">
          <w:rPr>
            <w:noProof/>
            <w:webHidden/>
          </w:rPr>
        </w:r>
        <w:r w:rsidR="00270ACC">
          <w:rPr>
            <w:noProof/>
            <w:webHidden/>
          </w:rPr>
          <w:fldChar w:fldCharType="separate"/>
        </w:r>
        <w:r w:rsidR="00733598">
          <w:rPr>
            <w:noProof/>
            <w:webHidden/>
          </w:rPr>
          <w:t>53</w:t>
        </w:r>
        <w:r w:rsidR="00270ACC">
          <w:rPr>
            <w:noProof/>
            <w:webHidden/>
          </w:rPr>
          <w:fldChar w:fldCharType="end"/>
        </w:r>
      </w:hyperlink>
    </w:p>
    <w:p w14:paraId="62C62A75" w14:textId="4D5FC4C8"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07" w:history="1">
        <w:r w:rsidR="00270ACC" w:rsidRPr="000A3DBE">
          <w:rPr>
            <w:rStyle w:val="Hyperlink"/>
            <w:noProof/>
          </w:rPr>
          <w:t>4.3.1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General Geology</w:t>
        </w:r>
        <w:r w:rsidR="00270ACC">
          <w:rPr>
            <w:noProof/>
            <w:webHidden/>
          </w:rPr>
          <w:tab/>
        </w:r>
        <w:r w:rsidR="00270ACC">
          <w:rPr>
            <w:noProof/>
            <w:webHidden/>
          </w:rPr>
          <w:fldChar w:fldCharType="begin"/>
        </w:r>
        <w:r w:rsidR="00270ACC">
          <w:rPr>
            <w:noProof/>
            <w:webHidden/>
          </w:rPr>
          <w:instrText xml:space="preserve"> PAGEREF _Toc141445407 \h </w:instrText>
        </w:r>
        <w:r w:rsidR="00270ACC">
          <w:rPr>
            <w:noProof/>
            <w:webHidden/>
          </w:rPr>
        </w:r>
        <w:r w:rsidR="00270ACC">
          <w:rPr>
            <w:noProof/>
            <w:webHidden/>
          </w:rPr>
          <w:fldChar w:fldCharType="separate"/>
        </w:r>
        <w:r w:rsidR="00733598">
          <w:rPr>
            <w:noProof/>
            <w:webHidden/>
          </w:rPr>
          <w:t>53</w:t>
        </w:r>
        <w:r w:rsidR="00270ACC">
          <w:rPr>
            <w:noProof/>
            <w:webHidden/>
          </w:rPr>
          <w:fldChar w:fldCharType="end"/>
        </w:r>
      </w:hyperlink>
    </w:p>
    <w:p w14:paraId="6757B9B2" w14:textId="44DAF90F"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08" w:history="1">
        <w:r w:rsidR="00270ACC" w:rsidRPr="000A3DBE">
          <w:rPr>
            <w:rStyle w:val="Hyperlink"/>
            <w:noProof/>
          </w:rPr>
          <w:t>4.3.2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Tectonics</w:t>
        </w:r>
        <w:r w:rsidR="00270ACC">
          <w:rPr>
            <w:noProof/>
            <w:webHidden/>
          </w:rPr>
          <w:tab/>
        </w:r>
        <w:r w:rsidR="00270ACC">
          <w:rPr>
            <w:noProof/>
            <w:webHidden/>
          </w:rPr>
          <w:fldChar w:fldCharType="begin"/>
        </w:r>
        <w:r w:rsidR="00270ACC">
          <w:rPr>
            <w:noProof/>
            <w:webHidden/>
          </w:rPr>
          <w:instrText xml:space="preserve"> PAGEREF _Toc141445408 \h </w:instrText>
        </w:r>
        <w:r w:rsidR="00270ACC">
          <w:rPr>
            <w:noProof/>
            <w:webHidden/>
          </w:rPr>
        </w:r>
        <w:r w:rsidR="00270ACC">
          <w:rPr>
            <w:noProof/>
            <w:webHidden/>
          </w:rPr>
          <w:fldChar w:fldCharType="separate"/>
        </w:r>
        <w:r w:rsidR="00733598">
          <w:rPr>
            <w:noProof/>
            <w:webHidden/>
          </w:rPr>
          <w:t>55</w:t>
        </w:r>
        <w:r w:rsidR="00270ACC">
          <w:rPr>
            <w:noProof/>
            <w:webHidden/>
          </w:rPr>
          <w:fldChar w:fldCharType="end"/>
        </w:r>
      </w:hyperlink>
    </w:p>
    <w:p w14:paraId="2B7BD0C9" w14:textId="4DBE7109"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09" w:history="1">
        <w:r w:rsidR="00270ACC" w:rsidRPr="000A3DBE">
          <w:rPr>
            <w:rStyle w:val="Hyperlink"/>
            <w:rFonts w:eastAsiaTheme="minorHAnsi"/>
            <w:noProof/>
          </w:rPr>
          <w:t>4.4</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Theme="minorHAnsi"/>
            <w:noProof/>
          </w:rPr>
          <w:t>Soil and Soil Quality</w:t>
        </w:r>
        <w:r w:rsidR="00270ACC">
          <w:rPr>
            <w:noProof/>
            <w:webHidden/>
          </w:rPr>
          <w:tab/>
        </w:r>
        <w:r w:rsidR="00270ACC">
          <w:rPr>
            <w:noProof/>
            <w:webHidden/>
          </w:rPr>
          <w:fldChar w:fldCharType="begin"/>
        </w:r>
        <w:r w:rsidR="00270ACC">
          <w:rPr>
            <w:noProof/>
            <w:webHidden/>
          </w:rPr>
          <w:instrText xml:space="preserve"> PAGEREF _Toc141445409 \h </w:instrText>
        </w:r>
        <w:r w:rsidR="00270ACC">
          <w:rPr>
            <w:noProof/>
            <w:webHidden/>
          </w:rPr>
        </w:r>
        <w:r w:rsidR="00270ACC">
          <w:rPr>
            <w:noProof/>
            <w:webHidden/>
          </w:rPr>
          <w:fldChar w:fldCharType="separate"/>
        </w:r>
        <w:r w:rsidR="00733598">
          <w:rPr>
            <w:noProof/>
            <w:webHidden/>
          </w:rPr>
          <w:t>56</w:t>
        </w:r>
        <w:r w:rsidR="00270ACC">
          <w:rPr>
            <w:noProof/>
            <w:webHidden/>
          </w:rPr>
          <w:fldChar w:fldCharType="end"/>
        </w:r>
      </w:hyperlink>
    </w:p>
    <w:p w14:paraId="480570CE" w14:textId="16034B53"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10" w:history="1">
        <w:r w:rsidR="00270ACC" w:rsidRPr="000A3DBE">
          <w:rPr>
            <w:rStyle w:val="Hyperlink"/>
            <w:noProof/>
          </w:rPr>
          <w:t>4.5</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Hydrogeology</w:t>
        </w:r>
        <w:r w:rsidR="00270ACC">
          <w:rPr>
            <w:noProof/>
            <w:webHidden/>
          </w:rPr>
          <w:tab/>
        </w:r>
        <w:r w:rsidR="00270ACC">
          <w:rPr>
            <w:noProof/>
            <w:webHidden/>
          </w:rPr>
          <w:fldChar w:fldCharType="begin"/>
        </w:r>
        <w:r w:rsidR="00270ACC">
          <w:rPr>
            <w:noProof/>
            <w:webHidden/>
          </w:rPr>
          <w:instrText xml:space="preserve"> PAGEREF _Toc141445410 \h </w:instrText>
        </w:r>
        <w:r w:rsidR="00270ACC">
          <w:rPr>
            <w:noProof/>
            <w:webHidden/>
          </w:rPr>
        </w:r>
        <w:r w:rsidR="00270ACC">
          <w:rPr>
            <w:noProof/>
            <w:webHidden/>
          </w:rPr>
          <w:fldChar w:fldCharType="separate"/>
        </w:r>
        <w:r w:rsidR="00733598">
          <w:rPr>
            <w:noProof/>
            <w:webHidden/>
          </w:rPr>
          <w:t>58</w:t>
        </w:r>
        <w:r w:rsidR="00270ACC">
          <w:rPr>
            <w:noProof/>
            <w:webHidden/>
          </w:rPr>
          <w:fldChar w:fldCharType="end"/>
        </w:r>
      </w:hyperlink>
    </w:p>
    <w:p w14:paraId="13C57B1C" w14:textId="449D1BAD"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11" w:history="1">
        <w:r w:rsidR="00270ACC" w:rsidRPr="000A3DBE">
          <w:rPr>
            <w:rStyle w:val="Hyperlink"/>
            <w:noProof/>
          </w:rPr>
          <w:t>4.6</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Noise</w:t>
        </w:r>
        <w:r w:rsidR="00270ACC">
          <w:rPr>
            <w:noProof/>
            <w:webHidden/>
          </w:rPr>
          <w:tab/>
        </w:r>
        <w:r w:rsidR="00270ACC">
          <w:rPr>
            <w:noProof/>
            <w:webHidden/>
          </w:rPr>
          <w:fldChar w:fldCharType="begin"/>
        </w:r>
        <w:r w:rsidR="00270ACC">
          <w:rPr>
            <w:noProof/>
            <w:webHidden/>
          </w:rPr>
          <w:instrText xml:space="preserve"> PAGEREF _Toc141445411 \h </w:instrText>
        </w:r>
        <w:r w:rsidR="00270ACC">
          <w:rPr>
            <w:noProof/>
            <w:webHidden/>
          </w:rPr>
        </w:r>
        <w:r w:rsidR="00270ACC">
          <w:rPr>
            <w:noProof/>
            <w:webHidden/>
          </w:rPr>
          <w:fldChar w:fldCharType="separate"/>
        </w:r>
        <w:r w:rsidR="00733598">
          <w:rPr>
            <w:noProof/>
            <w:webHidden/>
          </w:rPr>
          <w:t>58</w:t>
        </w:r>
        <w:r w:rsidR="00270ACC">
          <w:rPr>
            <w:noProof/>
            <w:webHidden/>
          </w:rPr>
          <w:fldChar w:fldCharType="end"/>
        </w:r>
      </w:hyperlink>
    </w:p>
    <w:p w14:paraId="1A10A6B5" w14:textId="4F9D60BD"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12" w:history="1">
        <w:r w:rsidR="00270ACC" w:rsidRPr="000A3DBE">
          <w:rPr>
            <w:rStyle w:val="Hyperlink"/>
            <w:noProof/>
          </w:rPr>
          <w:t>4.7</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Air Quality</w:t>
        </w:r>
        <w:r w:rsidR="00270ACC">
          <w:rPr>
            <w:noProof/>
            <w:webHidden/>
          </w:rPr>
          <w:tab/>
        </w:r>
        <w:r w:rsidR="00270ACC">
          <w:rPr>
            <w:noProof/>
            <w:webHidden/>
          </w:rPr>
          <w:fldChar w:fldCharType="begin"/>
        </w:r>
        <w:r w:rsidR="00270ACC">
          <w:rPr>
            <w:noProof/>
            <w:webHidden/>
          </w:rPr>
          <w:instrText xml:space="preserve"> PAGEREF _Toc141445412 \h </w:instrText>
        </w:r>
        <w:r w:rsidR="00270ACC">
          <w:rPr>
            <w:noProof/>
            <w:webHidden/>
          </w:rPr>
        </w:r>
        <w:r w:rsidR="00270ACC">
          <w:rPr>
            <w:noProof/>
            <w:webHidden/>
          </w:rPr>
          <w:fldChar w:fldCharType="separate"/>
        </w:r>
        <w:r w:rsidR="00733598">
          <w:rPr>
            <w:noProof/>
            <w:webHidden/>
          </w:rPr>
          <w:t>59</w:t>
        </w:r>
        <w:r w:rsidR="00270ACC">
          <w:rPr>
            <w:noProof/>
            <w:webHidden/>
          </w:rPr>
          <w:fldChar w:fldCharType="end"/>
        </w:r>
      </w:hyperlink>
    </w:p>
    <w:p w14:paraId="0BD836D0" w14:textId="1DD0739D"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13" w:history="1">
        <w:r w:rsidR="00270ACC" w:rsidRPr="000A3DBE">
          <w:rPr>
            <w:rStyle w:val="Hyperlink"/>
            <w:noProof/>
          </w:rPr>
          <w:t>4.8</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Waste Management</w:t>
        </w:r>
        <w:r w:rsidR="00270ACC">
          <w:rPr>
            <w:noProof/>
            <w:webHidden/>
          </w:rPr>
          <w:tab/>
        </w:r>
        <w:r w:rsidR="00270ACC">
          <w:rPr>
            <w:noProof/>
            <w:webHidden/>
          </w:rPr>
          <w:fldChar w:fldCharType="begin"/>
        </w:r>
        <w:r w:rsidR="00270ACC">
          <w:rPr>
            <w:noProof/>
            <w:webHidden/>
          </w:rPr>
          <w:instrText xml:space="preserve"> PAGEREF _Toc141445413 \h </w:instrText>
        </w:r>
        <w:r w:rsidR="00270ACC">
          <w:rPr>
            <w:noProof/>
            <w:webHidden/>
          </w:rPr>
        </w:r>
        <w:r w:rsidR="00270ACC">
          <w:rPr>
            <w:noProof/>
            <w:webHidden/>
          </w:rPr>
          <w:fldChar w:fldCharType="separate"/>
        </w:r>
        <w:r w:rsidR="00733598">
          <w:rPr>
            <w:noProof/>
            <w:webHidden/>
          </w:rPr>
          <w:t>60</w:t>
        </w:r>
        <w:r w:rsidR="00270ACC">
          <w:rPr>
            <w:noProof/>
            <w:webHidden/>
          </w:rPr>
          <w:fldChar w:fldCharType="end"/>
        </w:r>
      </w:hyperlink>
    </w:p>
    <w:p w14:paraId="00BB80DD" w14:textId="62101671"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14" w:history="1">
        <w:r w:rsidR="00270ACC" w:rsidRPr="000A3DBE">
          <w:rPr>
            <w:rStyle w:val="Hyperlink"/>
            <w:noProof/>
          </w:rPr>
          <w:t>4.9</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Water Resources</w:t>
        </w:r>
        <w:r w:rsidR="00270ACC">
          <w:rPr>
            <w:noProof/>
            <w:webHidden/>
          </w:rPr>
          <w:tab/>
        </w:r>
        <w:r w:rsidR="00270ACC">
          <w:rPr>
            <w:noProof/>
            <w:webHidden/>
          </w:rPr>
          <w:fldChar w:fldCharType="begin"/>
        </w:r>
        <w:r w:rsidR="00270ACC">
          <w:rPr>
            <w:noProof/>
            <w:webHidden/>
          </w:rPr>
          <w:instrText xml:space="preserve"> PAGEREF _Toc141445414 \h </w:instrText>
        </w:r>
        <w:r w:rsidR="00270ACC">
          <w:rPr>
            <w:noProof/>
            <w:webHidden/>
          </w:rPr>
        </w:r>
        <w:r w:rsidR="00270ACC">
          <w:rPr>
            <w:noProof/>
            <w:webHidden/>
          </w:rPr>
          <w:fldChar w:fldCharType="separate"/>
        </w:r>
        <w:r w:rsidR="00733598">
          <w:rPr>
            <w:noProof/>
            <w:webHidden/>
          </w:rPr>
          <w:t>61</w:t>
        </w:r>
        <w:r w:rsidR="00270ACC">
          <w:rPr>
            <w:noProof/>
            <w:webHidden/>
          </w:rPr>
          <w:fldChar w:fldCharType="end"/>
        </w:r>
      </w:hyperlink>
    </w:p>
    <w:p w14:paraId="344B53B6" w14:textId="3F19CF11"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15" w:history="1">
        <w:r w:rsidR="00270ACC" w:rsidRPr="000A3DBE">
          <w:rPr>
            <w:rStyle w:val="Hyperlink"/>
            <w:noProof/>
          </w:rPr>
          <w:t>4.10</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Climate and Vegetation</w:t>
        </w:r>
        <w:r w:rsidR="00270ACC">
          <w:rPr>
            <w:noProof/>
            <w:webHidden/>
          </w:rPr>
          <w:tab/>
        </w:r>
        <w:r w:rsidR="00270ACC">
          <w:rPr>
            <w:noProof/>
            <w:webHidden/>
          </w:rPr>
          <w:fldChar w:fldCharType="begin"/>
        </w:r>
        <w:r w:rsidR="00270ACC">
          <w:rPr>
            <w:noProof/>
            <w:webHidden/>
          </w:rPr>
          <w:instrText xml:space="preserve"> PAGEREF _Toc141445415 \h </w:instrText>
        </w:r>
        <w:r w:rsidR="00270ACC">
          <w:rPr>
            <w:noProof/>
            <w:webHidden/>
          </w:rPr>
        </w:r>
        <w:r w:rsidR="00270ACC">
          <w:rPr>
            <w:noProof/>
            <w:webHidden/>
          </w:rPr>
          <w:fldChar w:fldCharType="separate"/>
        </w:r>
        <w:r w:rsidR="00733598">
          <w:rPr>
            <w:noProof/>
            <w:webHidden/>
          </w:rPr>
          <w:t>63</w:t>
        </w:r>
        <w:r w:rsidR="00270ACC">
          <w:rPr>
            <w:noProof/>
            <w:webHidden/>
          </w:rPr>
          <w:fldChar w:fldCharType="end"/>
        </w:r>
      </w:hyperlink>
    </w:p>
    <w:p w14:paraId="48D73426" w14:textId="165C3ABA"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16" w:history="1">
        <w:r w:rsidR="00270ACC" w:rsidRPr="000A3DBE">
          <w:rPr>
            <w:rStyle w:val="Hyperlink"/>
            <w:noProof/>
          </w:rPr>
          <w:t>4.11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Natural Disaster Potential</w:t>
        </w:r>
        <w:r w:rsidR="00270ACC">
          <w:rPr>
            <w:noProof/>
            <w:webHidden/>
          </w:rPr>
          <w:tab/>
        </w:r>
        <w:r w:rsidR="00270ACC">
          <w:rPr>
            <w:noProof/>
            <w:webHidden/>
          </w:rPr>
          <w:fldChar w:fldCharType="begin"/>
        </w:r>
        <w:r w:rsidR="00270ACC">
          <w:rPr>
            <w:noProof/>
            <w:webHidden/>
          </w:rPr>
          <w:instrText xml:space="preserve"> PAGEREF _Toc141445416 \h </w:instrText>
        </w:r>
        <w:r w:rsidR="00270ACC">
          <w:rPr>
            <w:noProof/>
            <w:webHidden/>
          </w:rPr>
        </w:r>
        <w:r w:rsidR="00270ACC">
          <w:rPr>
            <w:noProof/>
            <w:webHidden/>
          </w:rPr>
          <w:fldChar w:fldCharType="separate"/>
        </w:r>
        <w:r w:rsidR="00733598">
          <w:rPr>
            <w:noProof/>
            <w:webHidden/>
          </w:rPr>
          <w:t>65</w:t>
        </w:r>
        <w:r w:rsidR="00270ACC">
          <w:rPr>
            <w:noProof/>
            <w:webHidden/>
          </w:rPr>
          <w:fldChar w:fldCharType="end"/>
        </w:r>
      </w:hyperlink>
    </w:p>
    <w:p w14:paraId="02F882A4" w14:textId="0151652C"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17" w:history="1">
        <w:r w:rsidR="00270ACC" w:rsidRPr="000A3DBE">
          <w:rPr>
            <w:rStyle w:val="Hyperlink"/>
            <w:noProof/>
          </w:rPr>
          <w:t>4.12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Biodiversity and Protected Areas</w:t>
        </w:r>
        <w:r w:rsidR="00270ACC">
          <w:rPr>
            <w:noProof/>
            <w:webHidden/>
          </w:rPr>
          <w:tab/>
        </w:r>
        <w:r w:rsidR="00270ACC">
          <w:rPr>
            <w:noProof/>
            <w:webHidden/>
          </w:rPr>
          <w:fldChar w:fldCharType="begin"/>
        </w:r>
        <w:r w:rsidR="00270ACC">
          <w:rPr>
            <w:noProof/>
            <w:webHidden/>
          </w:rPr>
          <w:instrText xml:space="preserve"> PAGEREF _Toc141445417 \h </w:instrText>
        </w:r>
        <w:r w:rsidR="00270ACC">
          <w:rPr>
            <w:noProof/>
            <w:webHidden/>
          </w:rPr>
        </w:r>
        <w:r w:rsidR="00270ACC">
          <w:rPr>
            <w:noProof/>
            <w:webHidden/>
          </w:rPr>
          <w:fldChar w:fldCharType="separate"/>
        </w:r>
        <w:r w:rsidR="00733598">
          <w:rPr>
            <w:noProof/>
            <w:webHidden/>
          </w:rPr>
          <w:t>66</w:t>
        </w:r>
        <w:r w:rsidR="00270ACC">
          <w:rPr>
            <w:noProof/>
            <w:webHidden/>
          </w:rPr>
          <w:fldChar w:fldCharType="end"/>
        </w:r>
      </w:hyperlink>
    </w:p>
    <w:p w14:paraId="12B88DDF" w14:textId="67824291"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418" w:history="1">
        <w:r w:rsidR="00270ACC" w:rsidRPr="000A3DBE">
          <w:rPr>
            <w:rStyle w:val="Hyperlink"/>
            <w:noProof/>
          </w:rPr>
          <w:t>5</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noProof/>
          </w:rPr>
          <w:t>SOCIAL BASELINE OF THE PROJECT</w:t>
        </w:r>
        <w:r w:rsidR="00270ACC">
          <w:rPr>
            <w:noProof/>
            <w:webHidden/>
          </w:rPr>
          <w:tab/>
        </w:r>
        <w:r w:rsidR="00270ACC">
          <w:rPr>
            <w:noProof/>
            <w:webHidden/>
          </w:rPr>
          <w:fldChar w:fldCharType="begin"/>
        </w:r>
        <w:r w:rsidR="00270ACC">
          <w:rPr>
            <w:noProof/>
            <w:webHidden/>
          </w:rPr>
          <w:instrText xml:space="preserve"> PAGEREF _Toc141445418 \h </w:instrText>
        </w:r>
        <w:r w:rsidR="00270ACC">
          <w:rPr>
            <w:noProof/>
            <w:webHidden/>
          </w:rPr>
        </w:r>
        <w:r w:rsidR="00270ACC">
          <w:rPr>
            <w:noProof/>
            <w:webHidden/>
          </w:rPr>
          <w:fldChar w:fldCharType="separate"/>
        </w:r>
        <w:r w:rsidR="00733598">
          <w:rPr>
            <w:noProof/>
            <w:webHidden/>
          </w:rPr>
          <w:t>89</w:t>
        </w:r>
        <w:r w:rsidR="00270ACC">
          <w:rPr>
            <w:noProof/>
            <w:webHidden/>
          </w:rPr>
          <w:fldChar w:fldCharType="end"/>
        </w:r>
      </w:hyperlink>
    </w:p>
    <w:p w14:paraId="4D2751A5" w14:textId="36C62441"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19" w:history="1">
        <w:r w:rsidR="00270ACC" w:rsidRPr="000A3DBE">
          <w:rPr>
            <w:rStyle w:val="Hyperlink"/>
            <w:noProof/>
          </w:rPr>
          <w:t>5.1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Cultural Heritage</w:t>
        </w:r>
        <w:r w:rsidR="00270ACC">
          <w:rPr>
            <w:noProof/>
            <w:webHidden/>
          </w:rPr>
          <w:tab/>
        </w:r>
        <w:r w:rsidR="00270ACC">
          <w:rPr>
            <w:noProof/>
            <w:webHidden/>
          </w:rPr>
          <w:fldChar w:fldCharType="begin"/>
        </w:r>
        <w:r w:rsidR="00270ACC">
          <w:rPr>
            <w:noProof/>
            <w:webHidden/>
          </w:rPr>
          <w:instrText xml:space="preserve"> PAGEREF _Toc141445419 \h </w:instrText>
        </w:r>
        <w:r w:rsidR="00270ACC">
          <w:rPr>
            <w:noProof/>
            <w:webHidden/>
          </w:rPr>
        </w:r>
        <w:r w:rsidR="00270ACC">
          <w:rPr>
            <w:noProof/>
            <w:webHidden/>
          </w:rPr>
          <w:fldChar w:fldCharType="separate"/>
        </w:r>
        <w:r w:rsidR="00733598">
          <w:rPr>
            <w:noProof/>
            <w:webHidden/>
          </w:rPr>
          <w:t>89</w:t>
        </w:r>
        <w:r w:rsidR="00270ACC">
          <w:rPr>
            <w:noProof/>
            <w:webHidden/>
          </w:rPr>
          <w:fldChar w:fldCharType="end"/>
        </w:r>
      </w:hyperlink>
    </w:p>
    <w:p w14:paraId="7874092B" w14:textId="3F900E03"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20" w:history="1">
        <w:r w:rsidR="00270ACC" w:rsidRPr="000A3DBE">
          <w:rPr>
            <w:rStyle w:val="Hyperlink"/>
            <w:noProof/>
          </w:rPr>
          <w:t>5.2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Traffic and Transportation</w:t>
        </w:r>
        <w:r w:rsidR="00270ACC">
          <w:rPr>
            <w:noProof/>
            <w:webHidden/>
          </w:rPr>
          <w:tab/>
        </w:r>
        <w:r w:rsidR="00270ACC">
          <w:rPr>
            <w:noProof/>
            <w:webHidden/>
          </w:rPr>
          <w:fldChar w:fldCharType="begin"/>
        </w:r>
        <w:r w:rsidR="00270ACC">
          <w:rPr>
            <w:noProof/>
            <w:webHidden/>
          </w:rPr>
          <w:instrText xml:space="preserve"> PAGEREF _Toc141445420 \h </w:instrText>
        </w:r>
        <w:r w:rsidR="00270ACC">
          <w:rPr>
            <w:noProof/>
            <w:webHidden/>
          </w:rPr>
        </w:r>
        <w:r w:rsidR="00270ACC">
          <w:rPr>
            <w:noProof/>
            <w:webHidden/>
          </w:rPr>
          <w:fldChar w:fldCharType="separate"/>
        </w:r>
        <w:r w:rsidR="00733598">
          <w:rPr>
            <w:noProof/>
            <w:webHidden/>
          </w:rPr>
          <w:t>90</w:t>
        </w:r>
        <w:r w:rsidR="00270ACC">
          <w:rPr>
            <w:noProof/>
            <w:webHidden/>
          </w:rPr>
          <w:fldChar w:fldCharType="end"/>
        </w:r>
      </w:hyperlink>
    </w:p>
    <w:p w14:paraId="1690BBD9" w14:textId="3963300E"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21" w:history="1">
        <w:r w:rsidR="00270ACC" w:rsidRPr="000A3DBE">
          <w:rPr>
            <w:rStyle w:val="Hyperlink"/>
            <w:noProof/>
          </w:rPr>
          <w:t>5.3</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 xml:space="preserve">Demography and Population </w:t>
        </w:r>
        <w:r w:rsidR="00270ACC">
          <w:rPr>
            <w:noProof/>
            <w:webHidden/>
          </w:rPr>
          <w:tab/>
        </w:r>
        <w:r w:rsidR="00270ACC">
          <w:rPr>
            <w:noProof/>
            <w:webHidden/>
          </w:rPr>
          <w:fldChar w:fldCharType="begin"/>
        </w:r>
        <w:r w:rsidR="00270ACC">
          <w:rPr>
            <w:noProof/>
            <w:webHidden/>
          </w:rPr>
          <w:instrText xml:space="preserve"> PAGEREF _Toc141445421 \h </w:instrText>
        </w:r>
        <w:r w:rsidR="00270ACC">
          <w:rPr>
            <w:noProof/>
            <w:webHidden/>
          </w:rPr>
        </w:r>
        <w:r w:rsidR="00270ACC">
          <w:rPr>
            <w:noProof/>
            <w:webHidden/>
          </w:rPr>
          <w:fldChar w:fldCharType="separate"/>
        </w:r>
        <w:r w:rsidR="00733598">
          <w:rPr>
            <w:noProof/>
            <w:webHidden/>
          </w:rPr>
          <w:t>90</w:t>
        </w:r>
        <w:r w:rsidR="00270ACC">
          <w:rPr>
            <w:noProof/>
            <w:webHidden/>
          </w:rPr>
          <w:fldChar w:fldCharType="end"/>
        </w:r>
      </w:hyperlink>
    </w:p>
    <w:p w14:paraId="498325CF" w14:textId="7E9ADFFF"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22" w:history="1">
        <w:r w:rsidR="00270ACC" w:rsidRPr="000A3DBE">
          <w:rPr>
            <w:rStyle w:val="Hyperlink"/>
            <w:noProof/>
          </w:rPr>
          <w:t>5.4</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Means of Livelihood and Employment</w:t>
        </w:r>
        <w:r w:rsidR="00270ACC">
          <w:rPr>
            <w:noProof/>
            <w:webHidden/>
          </w:rPr>
          <w:tab/>
        </w:r>
        <w:r w:rsidR="00270ACC">
          <w:rPr>
            <w:noProof/>
            <w:webHidden/>
          </w:rPr>
          <w:fldChar w:fldCharType="begin"/>
        </w:r>
        <w:r w:rsidR="00270ACC">
          <w:rPr>
            <w:noProof/>
            <w:webHidden/>
          </w:rPr>
          <w:instrText xml:space="preserve"> PAGEREF _Toc141445422 \h </w:instrText>
        </w:r>
        <w:r w:rsidR="00270ACC">
          <w:rPr>
            <w:noProof/>
            <w:webHidden/>
          </w:rPr>
        </w:r>
        <w:r w:rsidR="00270ACC">
          <w:rPr>
            <w:noProof/>
            <w:webHidden/>
          </w:rPr>
          <w:fldChar w:fldCharType="separate"/>
        </w:r>
        <w:r w:rsidR="00733598">
          <w:rPr>
            <w:noProof/>
            <w:webHidden/>
          </w:rPr>
          <w:t>91</w:t>
        </w:r>
        <w:r w:rsidR="00270ACC">
          <w:rPr>
            <w:noProof/>
            <w:webHidden/>
          </w:rPr>
          <w:fldChar w:fldCharType="end"/>
        </w:r>
      </w:hyperlink>
    </w:p>
    <w:p w14:paraId="474E55F5" w14:textId="4A68B9C9"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23" w:history="1">
        <w:r w:rsidR="00270ACC" w:rsidRPr="000A3DBE">
          <w:rPr>
            <w:rStyle w:val="Hyperlink"/>
            <w:noProof/>
          </w:rPr>
          <w:t>5.4.1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Major Economic Activities in Settlements Located in the Project AoI</w:t>
        </w:r>
        <w:r w:rsidR="00270ACC">
          <w:rPr>
            <w:noProof/>
            <w:webHidden/>
          </w:rPr>
          <w:tab/>
        </w:r>
        <w:r w:rsidR="00270ACC">
          <w:rPr>
            <w:noProof/>
            <w:webHidden/>
          </w:rPr>
          <w:fldChar w:fldCharType="begin"/>
        </w:r>
        <w:r w:rsidR="00270ACC">
          <w:rPr>
            <w:noProof/>
            <w:webHidden/>
          </w:rPr>
          <w:instrText xml:space="preserve"> PAGEREF _Toc141445423 \h </w:instrText>
        </w:r>
        <w:r w:rsidR="00270ACC">
          <w:rPr>
            <w:noProof/>
            <w:webHidden/>
          </w:rPr>
        </w:r>
        <w:r w:rsidR="00270ACC">
          <w:rPr>
            <w:noProof/>
            <w:webHidden/>
          </w:rPr>
          <w:fldChar w:fldCharType="separate"/>
        </w:r>
        <w:r w:rsidR="00733598">
          <w:rPr>
            <w:noProof/>
            <w:webHidden/>
          </w:rPr>
          <w:t>91</w:t>
        </w:r>
        <w:r w:rsidR="00270ACC">
          <w:rPr>
            <w:noProof/>
            <w:webHidden/>
          </w:rPr>
          <w:fldChar w:fldCharType="end"/>
        </w:r>
      </w:hyperlink>
    </w:p>
    <w:p w14:paraId="23447717" w14:textId="315A6565"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24" w:history="1">
        <w:r w:rsidR="00270ACC" w:rsidRPr="000A3DBE">
          <w:rPr>
            <w:rStyle w:val="Hyperlink"/>
            <w:noProof/>
          </w:rPr>
          <w:t>5.5</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Education and Health Services</w:t>
        </w:r>
        <w:r w:rsidR="00270ACC">
          <w:rPr>
            <w:noProof/>
            <w:webHidden/>
          </w:rPr>
          <w:tab/>
        </w:r>
        <w:r w:rsidR="00270ACC">
          <w:rPr>
            <w:noProof/>
            <w:webHidden/>
          </w:rPr>
          <w:fldChar w:fldCharType="begin"/>
        </w:r>
        <w:r w:rsidR="00270ACC">
          <w:rPr>
            <w:noProof/>
            <w:webHidden/>
          </w:rPr>
          <w:instrText xml:space="preserve"> PAGEREF _Toc141445424 \h </w:instrText>
        </w:r>
        <w:r w:rsidR="00270ACC">
          <w:rPr>
            <w:noProof/>
            <w:webHidden/>
          </w:rPr>
        </w:r>
        <w:r w:rsidR="00270ACC">
          <w:rPr>
            <w:noProof/>
            <w:webHidden/>
          </w:rPr>
          <w:fldChar w:fldCharType="separate"/>
        </w:r>
        <w:r w:rsidR="00733598">
          <w:rPr>
            <w:noProof/>
            <w:webHidden/>
          </w:rPr>
          <w:t>92</w:t>
        </w:r>
        <w:r w:rsidR="00270ACC">
          <w:rPr>
            <w:noProof/>
            <w:webHidden/>
          </w:rPr>
          <w:fldChar w:fldCharType="end"/>
        </w:r>
      </w:hyperlink>
    </w:p>
    <w:p w14:paraId="14997417" w14:textId="41422A6E"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25" w:history="1">
        <w:r w:rsidR="00270ACC" w:rsidRPr="000A3DBE">
          <w:rPr>
            <w:rStyle w:val="Hyperlink"/>
            <w:noProof/>
          </w:rPr>
          <w:t>5.6</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Vulnerable Groups</w:t>
        </w:r>
        <w:r w:rsidR="00270ACC">
          <w:rPr>
            <w:noProof/>
            <w:webHidden/>
          </w:rPr>
          <w:tab/>
        </w:r>
        <w:r w:rsidR="00270ACC">
          <w:rPr>
            <w:noProof/>
            <w:webHidden/>
          </w:rPr>
          <w:fldChar w:fldCharType="begin"/>
        </w:r>
        <w:r w:rsidR="00270ACC">
          <w:rPr>
            <w:noProof/>
            <w:webHidden/>
          </w:rPr>
          <w:instrText xml:space="preserve"> PAGEREF _Toc141445425 \h </w:instrText>
        </w:r>
        <w:r w:rsidR="00270ACC">
          <w:rPr>
            <w:noProof/>
            <w:webHidden/>
          </w:rPr>
        </w:r>
        <w:r w:rsidR="00270ACC">
          <w:rPr>
            <w:noProof/>
            <w:webHidden/>
          </w:rPr>
          <w:fldChar w:fldCharType="separate"/>
        </w:r>
        <w:r w:rsidR="00733598">
          <w:rPr>
            <w:noProof/>
            <w:webHidden/>
          </w:rPr>
          <w:t>93</w:t>
        </w:r>
        <w:r w:rsidR="00270ACC">
          <w:rPr>
            <w:noProof/>
            <w:webHidden/>
          </w:rPr>
          <w:fldChar w:fldCharType="end"/>
        </w:r>
      </w:hyperlink>
    </w:p>
    <w:p w14:paraId="5E075BD0" w14:textId="31169270"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26" w:history="1">
        <w:r w:rsidR="00270ACC" w:rsidRPr="000A3DBE">
          <w:rPr>
            <w:rStyle w:val="Hyperlink"/>
            <w:rFonts w:eastAsia="Calibri"/>
            <w:noProof/>
          </w:rPr>
          <w:t>5.7</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Seasonal Workers and Unemployed Person</w:t>
        </w:r>
        <w:r w:rsidR="00270ACC">
          <w:rPr>
            <w:noProof/>
            <w:webHidden/>
          </w:rPr>
          <w:tab/>
        </w:r>
        <w:r w:rsidR="00270ACC">
          <w:rPr>
            <w:noProof/>
            <w:webHidden/>
          </w:rPr>
          <w:fldChar w:fldCharType="begin"/>
        </w:r>
        <w:r w:rsidR="00270ACC">
          <w:rPr>
            <w:noProof/>
            <w:webHidden/>
          </w:rPr>
          <w:instrText xml:space="preserve"> PAGEREF _Toc141445426 \h </w:instrText>
        </w:r>
        <w:r w:rsidR="00270ACC">
          <w:rPr>
            <w:noProof/>
            <w:webHidden/>
          </w:rPr>
        </w:r>
        <w:r w:rsidR="00270ACC">
          <w:rPr>
            <w:noProof/>
            <w:webHidden/>
          </w:rPr>
          <w:fldChar w:fldCharType="separate"/>
        </w:r>
        <w:r w:rsidR="00733598">
          <w:rPr>
            <w:noProof/>
            <w:webHidden/>
          </w:rPr>
          <w:t>94</w:t>
        </w:r>
        <w:r w:rsidR="00270ACC">
          <w:rPr>
            <w:noProof/>
            <w:webHidden/>
          </w:rPr>
          <w:fldChar w:fldCharType="end"/>
        </w:r>
      </w:hyperlink>
    </w:p>
    <w:p w14:paraId="5B5A2303" w14:textId="1C68C886"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27" w:history="1">
        <w:r w:rsidR="00270ACC" w:rsidRPr="000A3DBE">
          <w:rPr>
            <w:rStyle w:val="Hyperlink"/>
            <w:noProof/>
          </w:rPr>
          <w:t>5.8</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Infrastructure Services</w:t>
        </w:r>
        <w:r w:rsidR="00270ACC">
          <w:rPr>
            <w:noProof/>
            <w:webHidden/>
          </w:rPr>
          <w:tab/>
        </w:r>
        <w:r w:rsidR="00270ACC">
          <w:rPr>
            <w:noProof/>
            <w:webHidden/>
          </w:rPr>
          <w:fldChar w:fldCharType="begin"/>
        </w:r>
        <w:r w:rsidR="00270ACC">
          <w:rPr>
            <w:noProof/>
            <w:webHidden/>
          </w:rPr>
          <w:instrText xml:space="preserve"> PAGEREF _Toc141445427 \h </w:instrText>
        </w:r>
        <w:r w:rsidR="00270ACC">
          <w:rPr>
            <w:noProof/>
            <w:webHidden/>
          </w:rPr>
        </w:r>
        <w:r w:rsidR="00270ACC">
          <w:rPr>
            <w:noProof/>
            <w:webHidden/>
          </w:rPr>
          <w:fldChar w:fldCharType="separate"/>
        </w:r>
        <w:r w:rsidR="00733598">
          <w:rPr>
            <w:noProof/>
            <w:webHidden/>
          </w:rPr>
          <w:t>94</w:t>
        </w:r>
        <w:r w:rsidR="00270ACC">
          <w:rPr>
            <w:noProof/>
            <w:webHidden/>
          </w:rPr>
          <w:fldChar w:fldCharType="end"/>
        </w:r>
      </w:hyperlink>
    </w:p>
    <w:p w14:paraId="2BFE0BDF" w14:textId="5E50CDF7"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28" w:history="1">
        <w:r w:rsidR="00270ACC" w:rsidRPr="000A3DBE">
          <w:rPr>
            <w:rStyle w:val="Hyperlink"/>
            <w:noProof/>
          </w:rPr>
          <w:t>5.9</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Level of Information about the Project</w:t>
        </w:r>
        <w:r w:rsidR="00270ACC">
          <w:rPr>
            <w:noProof/>
            <w:webHidden/>
          </w:rPr>
          <w:tab/>
        </w:r>
        <w:r w:rsidR="00270ACC">
          <w:rPr>
            <w:noProof/>
            <w:webHidden/>
          </w:rPr>
          <w:fldChar w:fldCharType="begin"/>
        </w:r>
        <w:r w:rsidR="00270ACC">
          <w:rPr>
            <w:noProof/>
            <w:webHidden/>
          </w:rPr>
          <w:instrText xml:space="preserve"> PAGEREF _Toc141445428 \h </w:instrText>
        </w:r>
        <w:r w:rsidR="00270ACC">
          <w:rPr>
            <w:noProof/>
            <w:webHidden/>
          </w:rPr>
        </w:r>
        <w:r w:rsidR="00270ACC">
          <w:rPr>
            <w:noProof/>
            <w:webHidden/>
          </w:rPr>
          <w:fldChar w:fldCharType="separate"/>
        </w:r>
        <w:r w:rsidR="00733598">
          <w:rPr>
            <w:noProof/>
            <w:webHidden/>
          </w:rPr>
          <w:t>95</w:t>
        </w:r>
        <w:r w:rsidR="00270ACC">
          <w:rPr>
            <w:noProof/>
            <w:webHidden/>
          </w:rPr>
          <w:fldChar w:fldCharType="end"/>
        </w:r>
      </w:hyperlink>
    </w:p>
    <w:p w14:paraId="4C1A456C" w14:textId="6E1E339A"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29" w:history="1">
        <w:r w:rsidR="00270ACC" w:rsidRPr="000A3DBE">
          <w:rPr>
            <w:rStyle w:val="Hyperlink"/>
            <w:rFonts w:eastAsia="Arial TUR"/>
            <w:noProof/>
          </w:rPr>
          <w:t>5.9.1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Results of the Key Informant Interviews with Headmen</w:t>
        </w:r>
        <w:r w:rsidR="00270ACC">
          <w:rPr>
            <w:noProof/>
            <w:webHidden/>
          </w:rPr>
          <w:tab/>
        </w:r>
        <w:r w:rsidR="00270ACC">
          <w:rPr>
            <w:noProof/>
            <w:webHidden/>
          </w:rPr>
          <w:fldChar w:fldCharType="begin"/>
        </w:r>
        <w:r w:rsidR="00270ACC">
          <w:rPr>
            <w:noProof/>
            <w:webHidden/>
          </w:rPr>
          <w:instrText xml:space="preserve"> PAGEREF _Toc141445429 \h </w:instrText>
        </w:r>
        <w:r w:rsidR="00270ACC">
          <w:rPr>
            <w:noProof/>
            <w:webHidden/>
          </w:rPr>
        </w:r>
        <w:r w:rsidR="00270ACC">
          <w:rPr>
            <w:noProof/>
            <w:webHidden/>
          </w:rPr>
          <w:fldChar w:fldCharType="separate"/>
        </w:r>
        <w:r w:rsidR="00733598">
          <w:rPr>
            <w:noProof/>
            <w:webHidden/>
          </w:rPr>
          <w:t>95</w:t>
        </w:r>
        <w:r w:rsidR="00270ACC">
          <w:rPr>
            <w:noProof/>
            <w:webHidden/>
          </w:rPr>
          <w:fldChar w:fldCharType="end"/>
        </w:r>
      </w:hyperlink>
    </w:p>
    <w:p w14:paraId="26E63127" w14:textId="151E7A5C"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430" w:history="1">
        <w:r w:rsidR="00270ACC" w:rsidRPr="000A3DBE">
          <w:rPr>
            <w:rStyle w:val="Hyperlink"/>
            <w:noProof/>
          </w:rPr>
          <w:t>6</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noProof/>
          </w:rPr>
          <w:t>ENVIRONMENTAL AND SOCIAL IMPACTS OF THE PROJECT</w:t>
        </w:r>
        <w:r w:rsidR="00270ACC">
          <w:rPr>
            <w:noProof/>
            <w:webHidden/>
          </w:rPr>
          <w:tab/>
        </w:r>
        <w:r w:rsidR="00270ACC">
          <w:rPr>
            <w:noProof/>
            <w:webHidden/>
          </w:rPr>
          <w:fldChar w:fldCharType="begin"/>
        </w:r>
        <w:r w:rsidR="00270ACC">
          <w:rPr>
            <w:noProof/>
            <w:webHidden/>
          </w:rPr>
          <w:instrText xml:space="preserve"> PAGEREF _Toc141445430 \h </w:instrText>
        </w:r>
        <w:r w:rsidR="00270ACC">
          <w:rPr>
            <w:noProof/>
            <w:webHidden/>
          </w:rPr>
        </w:r>
        <w:r w:rsidR="00270ACC">
          <w:rPr>
            <w:noProof/>
            <w:webHidden/>
          </w:rPr>
          <w:fldChar w:fldCharType="separate"/>
        </w:r>
        <w:r w:rsidR="00733598">
          <w:rPr>
            <w:noProof/>
            <w:webHidden/>
          </w:rPr>
          <w:t>96</w:t>
        </w:r>
        <w:r w:rsidR="00270ACC">
          <w:rPr>
            <w:noProof/>
            <w:webHidden/>
          </w:rPr>
          <w:fldChar w:fldCharType="end"/>
        </w:r>
      </w:hyperlink>
    </w:p>
    <w:p w14:paraId="67F874BD" w14:textId="62B0330D"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31" w:history="1">
        <w:r w:rsidR="00270ACC" w:rsidRPr="000A3DBE">
          <w:rPr>
            <w:rStyle w:val="Hyperlink"/>
            <w:noProof/>
          </w:rPr>
          <w:t>6.1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Air Quality</w:t>
        </w:r>
        <w:r w:rsidR="00270ACC">
          <w:rPr>
            <w:noProof/>
            <w:webHidden/>
          </w:rPr>
          <w:tab/>
        </w:r>
        <w:r w:rsidR="00270ACC">
          <w:rPr>
            <w:noProof/>
            <w:webHidden/>
          </w:rPr>
          <w:fldChar w:fldCharType="begin"/>
        </w:r>
        <w:r w:rsidR="00270ACC">
          <w:rPr>
            <w:noProof/>
            <w:webHidden/>
          </w:rPr>
          <w:instrText xml:space="preserve"> PAGEREF _Toc141445431 \h </w:instrText>
        </w:r>
        <w:r w:rsidR="00270ACC">
          <w:rPr>
            <w:noProof/>
            <w:webHidden/>
          </w:rPr>
        </w:r>
        <w:r w:rsidR="00270ACC">
          <w:rPr>
            <w:noProof/>
            <w:webHidden/>
          </w:rPr>
          <w:fldChar w:fldCharType="separate"/>
        </w:r>
        <w:r w:rsidR="00733598">
          <w:rPr>
            <w:noProof/>
            <w:webHidden/>
          </w:rPr>
          <w:t>98</w:t>
        </w:r>
        <w:r w:rsidR="00270ACC">
          <w:rPr>
            <w:noProof/>
            <w:webHidden/>
          </w:rPr>
          <w:fldChar w:fldCharType="end"/>
        </w:r>
      </w:hyperlink>
    </w:p>
    <w:p w14:paraId="41A3731E" w14:textId="4B8C1704"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32" w:history="1">
        <w:r w:rsidR="00270ACC" w:rsidRPr="000A3DBE">
          <w:rPr>
            <w:rStyle w:val="Hyperlink"/>
            <w:rFonts w:eastAsia="Arial TUR"/>
            <w:noProof/>
          </w:rPr>
          <w:t>6.1.1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Construction Phase</w:t>
        </w:r>
        <w:r w:rsidR="00270ACC">
          <w:rPr>
            <w:noProof/>
            <w:webHidden/>
          </w:rPr>
          <w:tab/>
        </w:r>
        <w:r w:rsidR="00270ACC">
          <w:rPr>
            <w:noProof/>
            <w:webHidden/>
          </w:rPr>
          <w:fldChar w:fldCharType="begin"/>
        </w:r>
        <w:r w:rsidR="00270ACC">
          <w:rPr>
            <w:noProof/>
            <w:webHidden/>
          </w:rPr>
          <w:instrText xml:space="preserve"> PAGEREF _Toc141445432 \h </w:instrText>
        </w:r>
        <w:r w:rsidR="00270ACC">
          <w:rPr>
            <w:noProof/>
            <w:webHidden/>
          </w:rPr>
        </w:r>
        <w:r w:rsidR="00270ACC">
          <w:rPr>
            <w:noProof/>
            <w:webHidden/>
          </w:rPr>
          <w:fldChar w:fldCharType="separate"/>
        </w:r>
        <w:r w:rsidR="00733598">
          <w:rPr>
            <w:noProof/>
            <w:webHidden/>
          </w:rPr>
          <w:t>98</w:t>
        </w:r>
        <w:r w:rsidR="00270ACC">
          <w:rPr>
            <w:noProof/>
            <w:webHidden/>
          </w:rPr>
          <w:fldChar w:fldCharType="end"/>
        </w:r>
      </w:hyperlink>
    </w:p>
    <w:p w14:paraId="3684146D" w14:textId="64A5FB81"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33" w:history="1">
        <w:r w:rsidR="00270ACC" w:rsidRPr="000A3DBE">
          <w:rPr>
            <w:rStyle w:val="Hyperlink"/>
            <w:rFonts w:eastAsia="Arial TUR"/>
            <w:noProof/>
          </w:rPr>
          <w:t>6.1.2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Operation Phase</w:t>
        </w:r>
        <w:r w:rsidR="00270ACC">
          <w:rPr>
            <w:noProof/>
            <w:webHidden/>
          </w:rPr>
          <w:tab/>
        </w:r>
        <w:r w:rsidR="00270ACC">
          <w:rPr>
            <w:noProof/>
            <w:webHidden/>
          </w:rPr>
          <w:fldChar w:fldCharType="begin"/>
        </w:r>
        <w:r w:rsidR="00270ACC">
          <w:rPr>
            <w:noProof/>
            <w:webHidden/>
          </w:rPr>
          <w:instrText xml:space="preserve"> PAGEREF _Toc141445433 \h </w:instrText>
        </w:r>
        <w:r w:rsidR="00270ACC">
          <w:rPr>
            <w:noProof/>
            <w:webHidden/>
          </w:rPr>
        </w:r>
        <w:r w:rsidR="00270ACC">
          <w:rPr>
            <w:noProof/>
            <w:webHidden/>
          </w:rPr>
          <w:fldChar w:fldCharType="separate"/>
        </w:r>
        <w:r w:rsidR="00733598">
          <w:rPr>
            <w:noProof/>
            <w:webHidden/>
          </w:rPr>
          <w:t>107</w:t>
        </w:r>
        <w:r w:rsidR="00270ACC">
          <w:rPr>
            <w:noProof/>
            <w:webHidden/>
          </w:rPr>
          <w:fldChar w:fldCharType="end"/>
        </w:r>
      </w:hyperlink>
    </w:p>
    <w:p w14:paraId="04105ADD" w14:textId="006D5242"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34" w:history="1">
        <w:r w:rsidR="00270ACC" w:rsidRPr="000A3DBE">
          <w:rPr>
            <w:rStyle w:val="Hyperlink"/>
            <w:noProof/>
          </w:rPr>
          <w:t>6.2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Water Use</w:t>
        </w:r>
        <w:r w:rsidR="00270ACC">
          <w:rPr>
            <w:noProof/>
            <w:webHidden/>
          </w:rPr>
          <w:tab/>
        </w:r>
        <w:r w:rsidR="00270ACC">
          <w:rPr>
            <w:noProof/>
            <w:webHidden/>
          </w:rPr>
          <w:fldChar w:fldCharType="begin"/>
        </w:r>
        <w:r w:rsidR="00270ACC">
          <w:rPr>
            <w:noProof/>
            <w:webHidden/>
          </w:rPr>
          <w:instrText xml:space="preserve"> PAGEREF _Toc141445434 \h </w:instrText>
        </w:r>
        <w:r w:rsidR="00270ACC">
          <w:rPr>
            <w:noProof/>
            <w:webHidden/>
          </w:rPr>
        </w:r>
        <w:r w:rsidR="00270ACC">
          <w:rPr>
            <w:noProof/>
            <w:webHidden/>
          </w:rPr>
          <w:fldChar w:fldCharType="separate"/>
        </w:r>
        <w:r w:rsidR="00733598">
          <w:rPr>
            <w:noProof/>
            <w:webHidden/>
          </w:rPr>
          <w:t>108</w:t>
        </w:r>
        <w:r w:rsidR="00270ACC">
          <w:rPr>
            <w:noProof/>
            <w:webHidden/>
          </w:rPr>
          <w:fldChar w:fldCharType="end"/>
        </w:r>
      </w:hyperlink>
    </w:p>
    <w:p w14:paraId="027A8BC8" w14:textId="3686040A"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35" w:history="1">
        <w:r w:rsidR="00270ACC" w:rsidRPr="000A3DBE">
          <w:rPr>
            <w:rStyle w:val="Hyperlink"/>
            <w:rFonts w:eastAsia="Arial TUR"/>
            <w:noProof/>
          </w:rPr>
          <w:t>6.2.1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Construction Phase</w:t>
        </w:r>
        <w:r w:rsidR="00270ACC">
          <w:rPr>
            <w:noProof/>
            <w:webHidden/>
          </w:rPr>
          <w:tab/>
        </w:r>
        <w:r w:rsidR="00270ACC">
          <w:rPr>
            <w:noProof/>
            <w:webHidden/>
          </w:rPr>
          <w:fldChar w:fldCharType="begin"/>
        </w:r>
        <w:r w:rsidR="00270ACC">
          <w:rPr>
            <w:noProof/>
            <w:webHidden/>
          </w:rPr>
          <w:instrText xml:space="preserve"> PAGEREF _Toc141445435 \h </w:instrText>
        </w:r>
        <w:r w:rsidR="00270ACC">
          <w:rPr>
            <w:noProof/>
            <w:webHidden/>
          </w:rPr>
        </w:r>
        <w:r w:rsidR="00270ACC">
          <w:rPr>
            <w:noProof/>
            <w:webHidden/>
          </w:rPr>
          <w:fldChar w:fldCharType="separate"/>
        </w:r>
        <w:r w:rsidR="00733598">
          <w:rPr>
            <w:noProof/>
            <w:webHidden/>
          </w:rPr>
          <w:t>108</w:t>
        </w:r>
        <w:r w:rsidR="00270ACC">
          <w:rPr>
            <w:noProof/>
            <w:webHidden/>
          </w:rPr>
          <w:fldChar w:fldCharType="end"/>
        </w:r>
      </w:hyperlink>
    </w:p>
    <w:p w14:paraId="325133AD" w14:textId="695A7784"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36" w:history="1">
        <w:r w:rsidR="00270ACC" w:rsidRPr="000A3DBE">
          <w:rPr>
            <w:rStyle w:val="Hyperlink"/>
            <w:rFonts w:eastAsia="Arial TUR"/>
            <w:noProof/>
          </w:rPr>
          <w:t>6.2.2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Operation Phase</w:t>
        </w:r>
        <w:r w:rsidR="00270ACC">
          <w:rPr>
            <w:noProof/>
            <w:webHidden/>
          </w:rPr>
          <w:tab/>
        </w:r>
        <w:r w:rsidR="00270ACC">
          <w:rPr>
            <w:noProof/>
            <w:webHidden/>
          </w:rPr>
          <w:fldChar w:fldCharType="begin"/>
        </w:r>
        <w:r w:rsidR="00270ACC">
          <w:rPr>
            <w:noProof/>
            <w:webHidden/>
          </w:rPr>
          <w:instrText xml:space="preserve"> PAGEREF _Toc141445436 \h </w:instrText>
        </w:r>
        <w:r w:rsidR="00270ACC">
          <w:rPr>
            <w:noProof/>
            <w:webHidden/>
          </w:rPr>
        </w:r>
        <w:r w:rsidR="00270ACC">
          <w:rPr>
            <w:noProof/>
            <w:webHidden/>
          </w:rPr>
          <w:fldChar w:fldCharType="separate"/>
        </w:r>
        <w:r w:rsidR="00733598">
          <w:rPr>
            <w:noProof/>
            <w:webHidden/>
          </w:rPr>
          <w:t>109</w:t>
        </w:r>
        <w:r w:rsidR="00270ACC">
          <w:rPr>
            <w:noProof/>
            <w:webHidden/>
          </w:rPr>
          <w:fldChar w:fldCharType="end"/>
        </w:r>
      </w:hyperlink>
    </w:p>
    <w:p w14:paraId="70383A48" w14:textId="428E4F53"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37" w:history="1">
        <w:r w:rsidR="00270ACC" w:rsidRPr="000A3DBE">
          <w:rPr>
            <w:rStyle w:val="Hyperlink"/>
            <w:noProof/>
          </w:rPr>
          <w:t>6.3</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Wastewater</w:t>
        </w:r>
        <w:r w:rsidR="00270ACC">
          <w:rPr>
            <w:noProof/>
            <w:webHidden/>
          </w:rPr>
          <w:tab/>
        </w:r>
        <w:r w:rsidR="00270ACC">
          <w:rPr>
            <w:noProof/>
            <w:webHidden/>
          </w:rPr>
          <w:fldChar w:fldCharType="begin"/>
        </w:r>
        <w:r w:rsidR="00270ACC">
          <w:rPr>
            <w:noProof/>
            <w:webHidden/>
          </w:rPr>
          <w:instrText xml:space="preserve"> PAGEREF _Toc141445437 \h </w:instrText>
        </w:r>
        <w:r w:rsidR="00270ACC">
          <w:rPr>
            <w:noProof/>
            <w:webHidden/>
          </w:rPr>
        </w:r>
        <w:r w:rsidR="00270ACC">
          <w:rPr>
            <w:noProof/>
            <w:webHidden/>
          </w:rPr>
          <w:fldChar w:fldCharType="separate"/>
        </w:r>
        <w:r w:rsidR="00733598">
          <w:rPr>
            <w:noProof/>
            <w:webHidden/>
          </w:rPr>
          <w:t>110</w:t>
        </w:r>
        <w:r w:rsidR="00270ACC">
          <w:rPr>
            <w:noProof/>
            <w:webHidden/>
          </w:rPr>
          <w:fldChar w:fldCharType="end"/>
        </w:r>
      </w:hyperlink>
    </w:p>
    <w:p w14:paraId="3820C31C" w14:textId="04E51CAD"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38" w:history="1">
        <w:r w:rsidR="00270ACC" w:rsidRPr="000A3DBE">
          <w:rPr>
            <w:rStyle w:val="Hyperlink"/>
            <w:rFonts w:eastAsia="Arial TUR"/>
            <w:noProof/>
          </w:rPr>
          <w:t>6.3.1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libri"/>
            <w:noProof/>
          </w:rPr>
          <w:t>Construction Phase</w:t>
        </w:r>
        <w:r w:rsidR="00270ACC">
          <w:rPr>
            <w:noProof/>
            <w:webHidden/>
          </w:rPr>
          <w:tab/>
        </w:r>
        <w:r w:rsidR="00270ACC">
          <w:rPr>
            <w:noProof/>
            <w:webHidden/>
          </w:rPr>
          <w:fldChar w:fldCharType="begin"/>
        </w:r>
        <w:r w:rsidR="00270ACC">
          <w:rPr>
            <w:noProof/>
            <w:webHidden/>
          </w:rPr>
          <w:instrText xml:space="preserve"> PAGEREF _Toc141445438 \h </w:instrText>
        </w:r>
        <w:r w:rsidR="00270ACC">
          <w:rPr>
            <w:noProof/>
            <w:webHidden/>
          </w:rPr>
        </w:r>
        <w:r w:rsidR="00270ACC">
          <w:rPr>
            <w:noProof/>
            <w:webHidden/>
          </w:rPr>
          <w:fldChar w:fldCharType="separate"/>
        </w:r>
        <w:r w:rsidR="00733598">
          <w:rPr>
            <w:noProof/>
            <w:webHidden/>
          </w:rPr>
          <w:t>110</w:t>
        </w:r>
        <w:r w:rsidR="00270ACC">
          <w:rPr>
            <w:noProof/>
            <w:webHidden/>
          </w:rPr>
          <w:fldChar w:fldCharType="end"/>
        </w:r>
      </w:hyperlink>
    </w:p>
    <w:p w14:paraId="5BE9D2D3" w14:textId="4D4DE176"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39" w:history="1">
        <w:r w:rsidR="00270ACC" w:rsidRPr="000A3DBE">
          <w:rPr>
            <w:rStyle w:val="Hyperlink"/>
            <w:rFonts w:eastAsia="Arial TUR"/>
            <w:noProof/>
          </w:rPr>
          <w:t>6.3.2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Operation Phase</w:t>
        </w:r>
        <w:r w:rsidR="00270ACC">
          <w:rPr>
            <w:noProof/>
            <w:webHidden/>
          </w:rPr>
          <w:tab/>
        </w:r>
        <w:r w:rsidR="00270ACC">
          <w:rPr>
            <w:noProof/>
            <w:webHidden/>
          </w:rPr>
          <w:fldChar w:fldCharType="begin"/>
        </w:r>
        <w:r w:rsidR="00270ACC">
          <w:rPr>
            <w:noProof/>
            <w:webHidden/>
          </w:rPr>
          <w:instrText xml:space="preserve"> PAGEREF _Toc141445439 \h </w:instrText>
        </w:r>
        <w:r w:rsidR="00270ACC">
          <w:rPr>
            <w:noProof/>
            <w:webHidden/>
          </w:rPr>
        </w:r>
        <w:r w:rsidR="00270ACC">
          <w:rPr>
            <w:noProof/>
            <w:webHidden/>
          </w:rPr>
          <w:fldChar w:fldCharType="separate"/>
        </w:r>
        <w:r w:rsidR="00733598">
          <w:rPr>
            <w:noProof/>
            <w:webHidden/>
          </w:rPr>
          <w:t>110</w:t>
        </w:r>
        <w:r w:rsidR="00270ACC">
          <w:rPr>
            <w:noProof/>
            <w:webHidden/>
          </w:rPr>
          <w:fldChar w:fldCharType="end"/>
        </w:r>
      </w:hyperlink>
    </w:p>
    <w:p w14:paraId="3449D7B2" w14:textId="3287F3FD"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40" w:history="1">
        <w:r w:rsidR="00270ACC" w:rsidRPr="000A3DBE">
          <w:rPr>
            <w:rStyle w:val="Hyperlink"/>
            <w:noProof/>
          </w:rPr>
          <w:t>6.4</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Waste</w:t>
        </w:r>
        <w:r w:rsidR="00270ACC">
          <w:rPr>
            <w:noProof/>
            <w:webHidden/>
          </w:rPr>
          <w:tab/>
        </w:r>
        <w:r w:rsidR="00270ACC">
          <w:rPr>
            <w:noProof/>
            <w:webHidden/>
          </w:rPr>
          <w:fldChar w:fldCharType="begin"/>
        </w:r>
        <w:r w:rsidR="00270ACC">
          <w:rPr>
            <w:noProof/>
            <w:webHidden/>
          </w:rPr>
          <w:instrText xml:space="preserve"> PAGEREF _Toc141445440 \h </w:instrText>
        </w:r>
        <w:r w:rsidR="00270ACC">
          <w:rPr>
            <w:noProof/>
            <w:webHidden/>
          </w:rPr>
        </w:r>
        <w:r w:rsidR="00270ACC">
          <w:rPr>
            <w:noProof/>
            <w:webHidden/>
          </w:rPr>
          <w:fldChar w:fldCharType="separate"/>
        </w:r>
        <w:r w:rsidR="00733598">
          <w:rPr>
            <w:noProof/>
            <w:webHidden/>
          </w:rPr>
          <w:t>113</w:t>
        </w:r>
        <w:r w:rsidR="00270ACC">
          <w:rPr>
            <w:noProof/>
            <w:webHidden/>
          </w:rPr>
          <w:fldChar w:fldCharType="end"/>
        </w:r>
      </w:hyperlink>
    </w:p>
    <w:p w14:paraId="0FE4A8D9" w14:textId="761D95CA"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41" w:history="1">
        <w:r w:rsidR="00270ACC" w:rsidRPr="000A3DBE">
          <w:rPr>
            <w:rStyle w:val="Hyperlink"/>
            <w:rFonts w:eastAsia="Arial TUR"/>
            <w:noProof/>
          </w:rPr>
          <w:t>6.4.1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Construction Phase</w:t>
        </w:r>
        <w:r w:rsidR="00270ACC">
          <w:rPr>
            <w:noProof/>
            <w:webHidden/>
          </w:rPr>
          <w:tab/>
        </w:r>
        <w:r w:rsidR="00270ACC">
          <w:rPr>
            <w:noProof/>
            <w:webHidden/>
          </w:rPr>
          <w:fldChar w:fldCharType="begin"/>
        </w:r>
        <w:r w:rsidR="00270ACC">
          <w:rPr>
            <w:noProof/>
            <w:webHidden/>
          </w:rPr>
          <w:instrText xml:space="preserve"> PAGEREF _Toc141445441 \h </w:instrText>
        </w:r>
        <w:r w:rsidR="00270ACC">
          <w:rPr>
            <w:noProof/>
            <w:webHidden/>
          </w:rPr>
        </w:r>
        <w:r w:rsidR="00270ACC">
          <w:rPr>
            <w:noProof/>
            <w:webHidden/>
          </w:rPr>
          <w:fldChar w:fldCharType="separate"/>
        </w:r>
        <w:r w:rsidR="00733598">
          <w:rPr>
            <w:noProof/>
            <w:webHidden/>
          </w:rPr>
          <w:t>113</w:t>
        </w:r>
        <w:r w:rsidR="00270ACC">
          <w:rPr>
            <w:noProof/>
            <w:webHidden/>
          </w:rPr>
          <w:fldChar w:fldCharType="end"/>
        </w:r>
      </w:hyperlink>
    </w:p>
    <w:p w14:paraId="522E56DC" w14:textId="7D19A251"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42" w:history="1">
        <w:r w:rsidR="00270ACC" w:rsidRPr="000A3DBE">
          <w:rPr>
            <w:rStyle w:val="Hyperlink"/>
            <w:rFonts w:eastAsia="Arial TUR"/>
            <w:noProof/>
          </w:rPr>
          <w:t>6.4.2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Operation Phase</w:t>
        </w:r>
        <w:r w:rsidR="00270ACC">
          <w:rPr>
            <w:noProof/>
            <w:webHidden/>
          </w:rPr>
          <w:tab/>
        </w:r>
        <w:r w:rsidR="00270ACC">
          <w:rPr>
            <w:noProof/>
            <w:webHidden/>
          </w:rPr>
          <w:fldChar w:fldCharType="begin"/>
        </w:r>
        <w:r w:rsidR="00270ACC">
          <w:rPr>
            <w:noProof/>
            <w:webHidden/>
          </w:rPr>
          <w:instrText xml:space="preserve"> PAGEREF _Toc141445442 \h </w:instrText>
        </w:r>
        <w:r w:rsidR="00270ACC">
          <w:rPr>
            <w:noProof/>
            <w:webHidden/>
          </w:rPr>
        </w:r>
        <w:r w:rsidR="00270ACC">
          <w:rPr>
            <w:noProof/>
            <w:webHidden/>
          </w:rPr>
          <w:fldChar w:fldCharType="separate"/>
        </w:r>
        <w:r w:rsidR="00733598">
          <w:rPr>
            <w:noProof/>
            <w:webHidden/>
          </w:rPr>
          <w:t>115</w:t>
        </w:r>
        <w:r w:rsidR="00270ACC">
          <w:rPr>
            <w:noProof/>
            <w:webHidden/>
          </w:rPr>
          <w:fldChar w:fldCharType="end"/>
        </w:r>
      </w:hyperlink>
    </w:p>
    <w:p w14:paraId="56C72171" w14:textId="77CB806A"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43" w:history="1">
        <w:r w:rsidR="00270ACC" w:rsidRPr="000A3DBE">
          <w:rPr>
            <w:rStyle w:val="Hyperlink"/>
            <w:noProof/>
          </w:rPr>
          <w:t>6.5</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Noise</w:t>
        </w:r>
        <w:r w:rsidR="00270ACC">
          <w:rPr>
            <w:noProof/>
            <w:webHidden/>
          </w:rPr>
          <w:tab/>
        </w:r>
        <w:r w:rsidR="00270ACC">
          <w:rPr>
            <w:noProof/>
            <w:webHidden/>
          </w:rPr>
          <w:fldChar w:fldCharType="begin"/>
        </w:r>
        <w:r w:rsidR="00270ACC">
          <w:rPr>
            <w:noProof/>
            <w:webHidden/>
          </w:rPr>
          <w:instrText xml:space="preserve"> PAGEREF _Toc141445443 \h </w:instrText>
        </w:r>
        <w:r w:rsidR="00270ACC">
          <w:rPr>
            <w:noProof/>
            <w:webHidden/>
          </w:rPr>
        </w:r>
        <w:r w:rsidR="00270ACC">
          <w:rPr>
            <w:noProof/>
            <w:webHidden/>
          </w:rPr>
          <w:fldChar w:fldCharType="separate"/>
        </w:r>
        <w:r w:rsidR="00733598">
          <w:rPr>
            <w:noProof/>
            <w:webHidden/>
          </w:rPr>
          <w:t>118</w:t>
        </w:r>
        <w:r w:rsidR="00270ACC">
          <w:rPr>
            <w:noProof/>
            <w:webHidden/>
          </w:rPr>
          <w:fldChar w:fldCharType="end"/>
        </w:r>
      </w:hyperlink>
    </w:p>
    <w:p w14:paraId="305ADEFE" w14:textId="23913103"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44" w:history="1">
        <w:r w:rsidR="00270ACC" w:rsidRPr="000A3DBE">
          <w:rPr>
            <w:rStyle w:val="Hyperlink"/>
            <w:rFonts w:eastAsia="Arial TUR"/>
            <w:noProof/>
          </w:rPr>
          <w:t>6.5.1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Construction Phase</w:t>
        </w:r>
        <w:r w:rsidR="00270ACC">
          <w:rPr>
            <w:noProof/>
            <w:webHidden/>
          </w:rPr>
          <w:tab/>
        </w:r>
        <w:r w:rsidR="00270ACC">
          <w:rPr>
            <w:noProof/>
            <w:webHidden/>
          </w:rPr>
          <w:fldChar w:fldCharType="begin"/>
        </w:r>
        <w:r w:rsidR="00270ACC">
          <w:rPr>
            <w:noProof/>
            <w:webHidden/>
          </w:rPr>
          <w:instrText xml:space="preserve"> PAGEREF _Toc141445444 \h </w:instrText>
        </w:r>
        <w:r w:rsidR="00270ACC">
          <w:rPr>
            <w:noProof/>
            <w:webHidden/>
          </w:rPr>
        </w:r>
        <w:r w:rsidR="00270ACC">
          <w:rPr>
            <w:noProof/>
            <w:webHidden/>
          </w:rPr>
          <w:fldChar w:fldCharType="separate"/>
        </w:r>
        <w:r w:rsidR="00733598">
          <w:rPr>
            <w:noProof/>
            <w:webHidden/>
          </w:rPr>
          <w:t>118</w:t>
        </w:r>
        <w:r w:rsidR="00270ACC">
          <w:rPr>
            <w:noProof/>
            <w:webHidden/>
          </w:rPr>
          <w:fldChar w:fldCharType="end"/>
        </w:r>
      </w:hyperlink>
    </w:p>
    <w:p w14:paraId="2929822D" w14:textId="0679D009"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45" w:history="1">
        <w:r w:rsidR="00270ACC" w:rsidRPr="000A3DBE">
          <w:rPr>
            <w:rStyle w:val="Hyperlink"/>
            <w:rFonts w:eastAsia="Arial TUR"/>
            <w:noProof/>
          </w:rPr>
          <w:t>6.5.2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Operation Phase</w:t>
        </w:r>
        <w:r w:rsidR="00270ACC">
          <w:rPr>
            <w:noProof/>
            <w:webHidden/>
          </w:rPr>
          <w:tab/>
        </w:r>
        <w:r w:rsidR="00270ACC">
          <w:rPr>
            <w:noProof/>
            <w:webHidden/>
          </w:rPr>
          <w:fldChar w:fldCharType="begin"/>
        </w:r>
        <w:r w:rsidR="00270ACC">
          <w:rPr>
            <w:noProof/>
            <w:webHidden/>
          </w:rPr>
          <w:instrText xml:space="preserve"> PAGEREF _Toc141445445 \h </w:instrText>
        </w:r>
        <w:r w:rsidR="00270ACC">
          <w:rPr>
            <w:noProof/>
            <w:webHidden/>
          </w:rPr>
        </w:r>
        <w:r w:rsidR="00270ACC">
          <w:rPr>
            <w:noProof/>
            <w:webHidden/>
          </w:rPr>
          <w:fldChar w:fldCharType="separate"/>
        </w:r>
        <w:r w:rsidR="00733598">
          <w:rPr>
            <w:noProof/>
            <w:webHidden/>
          </w:rPr>
          <w:t>124</w:t>
        </w:r>
        <w:r w:rsidR="00270ACC">
          <w:rPr>
            <w:noProof/>
            <w:webHidden/>
          </w:rPr>
          <w:fldChar w:fldCharType="end"/>
        </w:r>
      </w:hyperlink>
    </w:p>
    <w:p w14:paraId="3873D243" w14:textId="47C51E14"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46" w:history="1">
        <w:r w:rsidR="00270ACC" w:rsidRPr="000A3DBE">
          <w:rPr>
            <w:rStyle w:val="Hyperlink"/>
            <w:rFonts w:eastAsia="Cambria"/>
            <w:noProof/>
          </w:rPr>
          <w:t>6.6</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Land Use and Soil Quality</w:t>
        </w:r>
        <w:r w:rsidR="00270ACC">
          <w:rPr>
            <w:noProof/>
            <w:webHidden/>
          </w:rPr>
          <w:tab/>
        </w:r>
        <w:r w:rsidR="00270ACC">
          <w:rPr>
            <w:noProof/>
            <w:webHidden/>
          </w:rPr>
          <w:fldChar w:fldCharType="begin"/>
        </w:r>
        <w:r w:rsidR="00270ACC">
          <w:rPr>
            <w:noProof/>
            <w:webHidden/>
          </w:rPr>
          <w:instrText xml:space="preserve"> PAGEREF _Toc141445446 \h </w:instrText>
        </w:r>
        <w:r w:rsidR="00270ACC">
          <w:rPr>
            <w:noProof/>
            <w:webHidden/>
          </w:rPr>
        </w:r>
        <w:r w:rsidR="00270ACC">
          <w:rPr>
            <w:noProof/>
            <w:webHidden/>
          </w:rPr>
          <w:fldChar w:fldCharType="separate"/>
        </w:r>
        <w:r w:rsidR="00733598">
          <w:rPr>
            <w:noProof/>
            <w:webHidden/>
          </w:rPr>
          <w:t>124</w:t>
        </w:r>
        <w:r w:rsidR="00270ACC">
          <w:rPr>
            <w:noProof/>
            <w:webHidden/>
          </w:rPr>
          <w:fldChar w:fldCharType="end"/>
        </w:r>
      </w:hyperlink>
    </w:p>
    <w:p w14:paraId="4E562CFB" w14:textId="12E3A6DF"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47" w:history="1">
        <w:r w:rsidR="00270ACC" w:rsidRPr="000A3DBE">
          <w:rPr>
            <w:rStyle w:val="Hyperlink"/>
            <w:rFonts w:eastAsia="Cambria"/>
            <w:noProof/>
          </w:rPr>
          <w:t>6.6.1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Construction Phase</w:t>
        </w:r>
        <w:r w:rsidR="00270ACC">
          <w:rPr>
            <w:noProof/>
            <w:webHidden/>
          </w:rPr>
          <w:tab/>
        </w:r>
        <w:r w:rsidR="00270ACC">
          <w:rPr>
            <w:noProof/>
            <w:webHidden/>
          </w:rPr>
          <w:fldChar w:fldCharType="begin"/>
        </w:r>
        <w:r w:rsidR="00270ACC">
          <w:rPr>
            <w:noProof/>
            <w:webHidden/>
          </w:rPr>
          <w:instrText xml:space="preserve"> PAGEREF _Toc141445447 \h </w:instrText>
        </w:r>
        <w:r w:rsidR="00270ACC">
          <w:rPr>
            <w:noProof/>
            <w:webHidden/>
          </w:rPr>
        </w:r>
        <w:r w:rsidR="00270ACC">
          <w:rPr>
            <w:noProof/>
            <w:webHidden/>
          </w:rPr>
          <w:fldChar w:fldCharType="separate"/>
        </w:r>
        <w:r w:rsidR="00733598">
          <w:rPr>
            <w:noProof/>
            <w:webHidden/>
          </w:rPr>
          <w:t>124</w:t>
        </w:r>
        <w:r w:rsidR="00270ACC">
          <w:rPr>
            <w:noProof/>
            <w:webHidden/>
          </w:rPr>
          <w:fldChar w:fldCharType="end"/>
        </w:r>
      </w:hyperlink>
    </w:p>
    <w:p w14:paraId="5B086E73" w14:textId="1D2110AE"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48" w:history="1">
        <w:r w:rsidR="00270ACC" w:rsidRPr="000A3DBE">
          <w:rPr>
            <w:rStyle w:val="Hyperlink"/>
            <w:rFonts w:eastAsia="Cambria"/>
            <w:noProof/>
          </w:rPr>
          <w:t>6.6.2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Operation Phase</w:t>
        </w:r>
        <w:r w:rsidR="00270ACC">
          <w:rPr>
            <w:noProof/>
            <w:webHidden/>
          </w:rPr>
          <w:tab/>
        </w:r>
        <w:r w:rsidR="00270ACC">
          <w:rPr>
            <w:noProof/>
            <w:webHidden/>
          </w:rPr>
          <w:fldChar w:fldCharType="begin"/>
        </w:r>
        <w:r w:rsidR="00270ACC">
          <w:rPr>
            <w:noProof/>
            <w:webHidden/>
          </w:rPr>
          <w:instrText xml:space="preserve"> PAGEREF _Toc141445448 \h </w:instrText>
        </w:r>
        <w:r w:rsidR="00270ACC">
          <w:rPr>
            <w:noProof/>
            <w:webHidden/>
          </w:rPr>
        </w:r>
        <w:r w:rsidR="00270ACC">
          <w:rPr>
            <w:noProof/>
            <w:webHidden/>
          </w:rPr>
          <w:fldChar w:fldCharType="separate"/>
        </w:r>
        <w:r w:rsidR="00733598">
          <w:rPr>
            <w:noProof/>
            <w:webHidden/>
          </w:rPr>
          <w:t>125</w:t>
        </w:r>
        <w:r w:rsidR="00270ACC">
          <w:rPr>
            <w:noProof/>
            <w:webHidden/>
          </w:rPr>
          <w:fldChar w:fldCharType="end"/>
        </w:r>
      </w:hyperlink>
    </w:p>
    <w:p w14:paraId="6D8226BD" w14:textId="2EF2030D"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49" w:history="1">
        <w:r w:rsidR="00270ACC" w:rsidRPr="000A3DBE">
          <w:rPr>
            <w:rStyle w:val="Hyperlink"/>
            <w:rFonts w:eastAsia="Cambria"/>
            <w:noProof/>
          </w:rPr>
          <w:t>6.7</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Landscape</w:t>
        </w:r>
        <w:r w:rsidR="00270ACC">
          <w:rPr>
            <w:noProof/>
            <w:webHidden/>
          </w:rPr>
          <w:tab/>
        </w:r>
        <w:r w:rsidR="00270ACC">
          <w:rPr>
            <w:noProof/>
            <w:webHidden/>
          </w:rPr>
          <w:fldChar w:fldCharType="begin"/>
        </w:r>
        <w:r w:rsidR="00270ACC">
          <w:rPr>
            <w:noProof/>
            <w:webHidden/>
          </w:rPr>
          <w:instrText xml:space="preserve"> PAGEREF _Toc141445449 \h </w:instrText>
        </w:r>
        <w:r w:rsidR="00270ACC">
          <w:rPr>
            <w:noProof/>
            <w:webHidden/>
          </w:rPr>
        </w:r>
        <w:r w:rsidR="00270ACC">
          <w:rPr>
            <w:noProof/>
            <w:webHidden/>
          </w:rPr>
          <w:fldChar w:fldCharType="separate"/>
        </w:r>
        <w:r w:rsidR="00733598">
          <w:rPr>
            <w:noProof/>
            <w:webHidden/>
          </w:rPr>
          <w:t>126</w:t>
        </w:r>
        <w:r w:rsidR="00270ACC">
          <w:rPr>
            <w:noProof/>
            <w:webHidden/>
          </w:rPr>
          <w:fldChar w:fldCharType="end"/>
        </w:r>
      </w:hyperlink>
    </w:p>
    <w:p w14:paraId="35150F41" w14:textId="5FA45EC2"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50" w:history="1">
        <w:r w:rsidR="00270ACC" w:rsidRPr="000A3DBE">
          <w:rPr>
            <w:rStyle w:val="Hyperlink"/>
            <w:rFonts w:eastAsia="Cambria"/>
            <w:noProof/>
          </w:rPr>
          <w:t>6.7.1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Construction and Operation Phases</w:t>
        </w:r>
        <w:r w:rsidR="00270ACC">
          <w:rPr>
            <w:noProof/>
            <w:webHidden/>
          </w:rPr>
          <w:tab/>
        </w:r>
        <w:r w:rsidR="00270ACC">
          <w:rPr>
            <w:noProof/>
            <w:webHidden/>
          </w:rPr>
          <w:fldChar w:fldCharType="begin"/>
        </w:r>
        <w:r w:rsidR="00270ACC">
          <w:rPr>
            <w:noProof/>
            <w:webHidden/>
          </w:rPr>
          <w:instrText xml:space="preserve"> PAGEREF _Toc141445450 \h </w:instrText>
        </w:r>
        <w:r w:rsidR="00270ACC">
          <w:rPr>
            <w:noProof/>
            <w:webHidden/>
          </w:rPr>
        </w:r>
        <w:r w:rsidR="00270ACC">
          <w:rPr>
            <w:noProof/>
            <w:webHidden/>
          </w:rPr>
          <w:fldChar w:fldCharType="separate"/>
        </w:r>
        <w:r w:rsidR="00733598">
          <w:rPr>
            <w:noProof/>
            <w:webHidden/>
          </w:rPr>
          <w:t>126</w:t>
        </w:r>
        <w:r w:rsidR="00270ACC">
          <w:rPr>
            <w:noProof/>
            <w:webHidden/>
          </w:rPr>
          <w:fldChar w:fldCharType="end"/>
        </w:r>
      </w:hyperlink>
    </w:p>
    <w:p w14:paraId="03F70E5A" w14:textId="25178EFB"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51" w:history="1">
        <w:r w:rsidR="00270ACC" w:rsidRPr="000A3DBE">
          <w:rPr>
            <w:rStyle w:val="Hyperlink"/>
            <w:rFonts w:eastAsia="Cambria"/>
            <w:noProof/>
          </w:rPr>
          <w:t>6.8</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Biodiversity and Protected Areas</w:t>
        </w:r>
        <w:r w:rsidR="00270ACC">
          <w:rPr>
            <w:noProof/>
            <w:webHidden/>
          </w:rPr>
          <w:tab/>
        </w:r>
        <w:r w:rsidR="00270ACC">
          <w:rPr>
            <w:noProof/>
            <w:webHidden/>
          </w:rPr>
          <w:fldChar w:fldCharType="begin"/>
        </w:r>
        <w:r w:rsidR="00270ACC">
          <w:rPr>
            <w:noProof/>
            <w:webHidden/>
          </w:rPr>
          <w:instrText xml:space="preserve"> PAGEREF _Toc141445451 \h </w:instrText>
        </w:r>
        <w:r w:rsidR="00270ACC">
          <w:rPr>
            <w:noProof/>
            <w:webHidden/>
          </w:rPr>
        </w:r>
        <w:r w:rsidR="00270ACC">
          <w:rPr>
            <w:noProof/>
            <w:webHidden/>
          </w:rPr>
          <w:fldChar w:fldCharType="separate"/>
        </w:r>
        <w:r w:rsidR="00733598">
          <w:rPr>
            <w:noProof/>
            <w:webHidden/>
          </w:rPr>
          <w:t>126</w:t>
        </w:r>
        <w:r w:rsidR="00270ACC">
          <w:rPr>
            <w:noProof/>
            <w:webHidden/>
          </w:rPr>
          <w:fldChar w:fldCharType="end"/>
        </w:r>
      </w:hyperlink>
    </w:p>
    <w:p w14:paraId="37EE4F17" w14:textId="5E6D0020"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52" w:history="1">
        <w:r w:rsidR="00270ACC" w:rsidRPr="000A3DBE">
          <w:rPr>
            <w:rStyle w:val="Hyperlink"/>
            <w:rFonts w:eastAsia="Cambria"/>
            <w:noProof/>
          </w:rPr>
          <w:t>6.8.1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Construction and Operation Phases</w:t>
        </w:r>
        <w:r w:rsidR="00270ACC">
          <w:rPr>
            <w:noProof/>
            <w:webHidden/>
          </w:rPr>
          <w:tab/>
        </w:r>
        <w:r w:rsidR="00270ACC">
          <w:rPr>
            <w:noProof/>
            <w:webHidden/>
          </w:rPr>
          <w:fldChar w:fldCharType="begin"/>
        </w:r>
        <w:r w:rsidR="00270ACC">
          <w:rPr>
            <w:noProof/>
            <w:webHidden/>
          </w:rPr>
          <w:instrText xml:space="preserve"> PAGEREF _Toc141445452 \h </w:instrText>
        </w:r>
        <w:r w:rsidR="00270ACC">
          <w:rPr>
            <w:noProof/>
            <w:webHidden/>
          </w:rPr>
        </w:r>
        <w:r w:rsidR="00270ACC">
          <w:rPr>
            <w:noProof/>
            <w:webHidden/>
          </w:rPr>
          <w:fldChar w:fldCharType="separate"/>
        </w:r>
        <w:r w:rsidR="00733598">
          <w:rPr>
            <w:noProof/>
            <w:webHidden/>
          </w:rPr>
          <w:t>126</w:t>
        </w:r>
        <w:r w:rsidR="00270ACC">
          <w:rPr>
            <w:noProof/>
            <w:webHidden/>
          </w:rPr>
          <w:fldChar w:fldCharType="end"/>
        </w:r>
      </w:hyperlink>
    </w:p>
    <w:p w14:paraId="4C5CE844" w14:textId="5ACCDABD"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53" w:history="1">
        <w:r w:rsidR="00270ACC" w:rsidRPr="000A3DBE">
          <w:rPr>
            <w:rStyle w:val="Hyperlink"/>
            <w:rFonts w:eastAsia="Cambria"/>
            <w:noProof/>
          </w:rPr>
          <w:t>6.9</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Population / Demography</w:t>
        </w:r>
        <w:r w:rsidR="00270ACC">
          <w:rPr>
            <w:noProof/>
            <w:webHidden/>
          </w:rPr>
          <w:tab/>
        </w:r>
        <w:r w:rsidR="00270ACC">
          <w:rPr>
            <w:noProof/>
            <w:webHidden/>
          </w:rPr>
          <w:fldChar w:fldCharType="begin"/>
        </w:r>
        <w:r w:rsidR="00270ACC">
          <w:rPr>
            <w:noProof/>
            <w:webHidden/>
          </w:rPr>
          <w:instrText xml:space="preserve"> PAGEREF _Toc141445453 \h </w:instrText>
        </w:r>
        <w:r w:rsidR="00270ACC">
          <w:rPr>
            <w:noProof/>
            <w:webHidden/>
          </w:rPr>
        </w:r>
        <w:r w:rsidR="00270ACC">
          <w:rPr>
            <w:noProof/>
            <w:webHidden/>
          </w:rPr>
          <w:fldChar w:fldCharType="separate"/>
        </w:r>
        <w:r w:rsidR="00733598">
          <w:rPr>
            <w:noProof/>
            <w:webHidden/>
          </w:rPr>
          <w:t>128</w:t>
        </w:r>
        <w:r w:rsidR="00270ACC">
          <w:rPr>
            <w:noProof/>
            <w:webHidden/>
          </w:rPr>
          <w:fldChar w:fldCharType="end"/>
        </w:r>
      </w:hyperlink>
    </w:p>
    <w:p w14:paraId="23475A69" w14:textId="2BE1CD6E"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54" w:history="1">
        <w:r w:rsidR="00270ACC" w:rsidRPr="000A3DBE">
          <w:rPr>
            <w:rStyle w:val="Hyperlink"/>
            <w:rFonts w:eastAsia="Arial TUR"/>
            <w:noProof/>
          </w:rPr>
          <w:t>6.9.1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Construction and Operational Phases</w:t>
        </w:r>
        <w:r w:rsidR="00270ACC">
          <w:rPr>
            <w:noProof/>
            <w:webHidden/>
          </w:rPr>
          <w:tab/>
        </w:r>
        <w:r w:rsidR="00270ACC">
          <w:rPr>
            <w:noProof/>
            <w:webHidden/>
          </w:rPr>
          <w:fldChar w:fldCharType="begin"/>
        </w:r>
        <w:r w:rsidR="00270ACC">
          <w:rPr>
            <w:noProof/>
            <w:webHidden/>
          </w:rPr>
          <w:instrText xml:space="preserve"> PAGEREF _Toc141445454 \h </w:instrText>
        </w:r>
        <w:r w:rsidR="00270ACC">
          <w:rPr>
            <w:noProof/>
            <w:webHidden/>
          </w:rPr>
        </w:r>
        <w:r w:rsidR="00270ACC">
          <w:rPr>
            <w:noProof/>
            <w:webHidden/>
          </w:rPr>
          <w:fldChar w:fldCharType="separate"/>
        </w:r>
        <w:r w:rsidR="00733598">
          <w:rPr>
            <w:noProof/>
            <w:webHidden/>
          </w:rPr>
          <w:t>128</w:t>
        </w:r>
        <w:r w:rsidR="00270ACC">
          <w:rPr>
            <w:noProof/>
            <w:webHidden/>
          </w:rPr>
          <w:fldChar w:fldCharType="end"/>
        </w:r>
      </w:hyperlink>
    </w:p>
    <w:p w14:paraId="03644298" w14:textId="1C01C9E2"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55" w:history="1">
        <w:r w:rsidR="00270ACC" w:rsidRPr="000A3DBE">
          <w:rPr>
            <w:rStyle w:val="Hyperlink"/>
            <w:rFonts w:eastAsia="Cambria"/>
            <w:noProof/>
          </w:rPr>
          <w:t>6.10</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Cultural Heritage</w:t>
        </w:r>
        <w:r w:rsidR="00270ACC">
          <w:rPr>
            <w:noProof/>
            <w:webHidden/>
          </w:rPr>
          <w:tab/>
        </w:r>
        <w:r w:rsidR="00270ACC">
          <w:rPr>
            <w:noProof/>
            <w:webHidden/>
          </w:rPr>
          <w:fldChar w:fldCharType="begin"/>
        </w:r>
        <w:r w:rsidR="00270ACC">
          <w:rPr>
            <w:noProof/>
            <w:webHidden/>
          </w:rPr>
          <w:instrText xml:space="preserve"> PAGEREF _Toc141445455 \h </w:instrText>
        </w:r>
        <w:r w:rsidR="00270ACC">
          <w:rPr>
            <w:noProof/>
            <w:webHidden/>
          </w:rPr>
        </w:r>
        <w:r w:rsidR="00270ACC">
          <w:rPr>
            <w:noProof/>
            <w:webHidden/>
          </w:rPr>
          <w:fldChar w:fldCharType="separate"/>
        </w:r>
        <w:r w:rsidR="00733598">
          <w:rPr>
            <w:noProof/>
            <w:webHidden/>
          </w:rPr>
          <w:t>129</w:t>
        </w:r>
        <w:r w:rsidR="00270ACC">
          <w:rPr>
            <w:noProof/>
            <w:webHidden/>
          </w:rPr>
          <w:fldChar w:fldCharType="end"/>
        </w:r>
      </w:hyperlink>
    </w:p>
    <w:p w14:paraId="385B6988" w14:textId="50D8CAE8"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56" w:history="1">
        <w:r w:rsidR="00270ACC" w:rsidRPr="000A3DBE">
          <w:rPr>
            <w:rStyle w:val="Hyperlink"/>
            <w:rFonts w:eastAsia="Cambria"/>
            <w:noProof/>
          </w:rPr>
          <w:t>6.11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Vulnerable/Disadvantaged Groups</w:t>
        </w:r>
        <w:r w:rsidR="00270ACC">
          <w:rPr>
            <w:noProof/>
            <w:webHidden/>
          </w:rPr>
          <w:tab/>
        </w:r>
        <w:r w:rsidR="00270ACC">
          <w:rPr>
            <w:noProof/>
            <w:webHidden/>
          </w:rPr>
          <w:fldChar w:fldCharType="begin"/>
        </w:r>
        <w:r w:rsidR="00270ACC">
          <w:rPr>
            <w:noProof/>
            <w:webHidden/>
          </w:rPr>
          <w:instrText xml:space="preserve"> PAGEREF _Toc141445456 \h </w:instrText>
        </w:r>
        <w:r w:rsidR="00270ACC">
          <w:rPr>
            <w:noProof/>
            <w:webHidden/>
          </w:rPr>
        </w:r>
        <w:r w:rsidR="00270ACC">
          <w:rPr>
            <w:noProof/>
            <w:webHidden/>
          </w:rPr>
          <w:fldChar w:fldCharType="separate"/>
        </w:r>
        <w:r w:rsidR="00733598">
          <w:rPr>
            <w:noProof/>
            <w:webHidden/>
          </w:rPr>
          <w:t>129</w:t>
        </w:r>
        <w:r w:rsidR="00270ACC">
          <w:rPr>
            <w:noProof/>
            <w:webHidden/>
          </w:rPr>
          <w:fldChar w:fldCharType="end"/>
        </w:r>
      </w:hyperlink>
    </w:p>
    <w:p w14:paraId="25EC559B" w14:textId="6C958602"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57" w:history="1">
        <w:r w:rsidR="00270ACC" w:rsidRPr="000A3DBE">
          <w:rPr>
            <w:rStyle w:val="Hyperlink"/>
            <w:rFonts w:eastAsia="Cambria"/>
            <w:noProof/>
          </w:rPr>
          <w:t>6.12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Economy / Employment</w:t>
        </w:r>
        <w:r w:rsidR="00270ACC">
          <w:rPr>
            <w:noProof/>
            <w:webHidden/>
          </w:rPr>
          <w:tab/>
        </w:r>
        <w:r w:rsidR="00270ACC">
          <w:rPr>
            <w:noProof/>
            <w:webHidden/>
          </w:rPr>
          <w:fldChar w:fldCharType="begin"/>
        </w:r>
        <w:r w:rsidR="00270ACC">
          <w:rPr>
            <w:noProof/>
            <w:webHidden/>
          </w:rPr>
          <w:instrText xml:space="preserve"> PAGEREF _Toc141445457 \h </w:instrText>
        </w:r>
        <w:r w:rsidR="00270ACC">
          <w:rPr>
            <w:noProof/>
            <w:webHidden/>
          </w:rPr>
        </w:r>
        <w:r w:rsidR="00270ACC">
          <w:rPr>
            <w:noProof/>
            <w:webHidden/>
          </w:rPr>
          <w:fldChar w:fldCharType="separate"/>
        </w:r>
        <w:r w:rsidR="00733598">
          <w:rPr>
            <w:noProof/>
            <w:webHidden/>
          </w:rPr>
          <w:t>129</w:t>
        </w:r>
        <w:r w:rsidR="00270ACC">
          <w:rPr>
            <w:noProof/>
            <w:webHidden/>
          </w:rPr>
          <w:fldChar w:fldCharType="end"/>
        </w:r>
      </w:hyperlink>
    </w:p>
    <w:p w14:paraId="769CF4EB" w14:textId="31E7E239"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58" w:history="1">
        <w:r w:rsidR="00270ACC" w:rsidRPr="000A3DBE">
          <w:rPr>
            <w:rStyle w:val="Hyperlink"/>
            <w:rFonts w:eastAsia="Arial TUR"/>
            <w:noProof/>
          </w:rPr>
          <w:t>6.12.1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Construction and Operation Phase</w:t>
        </w:r>
        <w:r w:rsidR="00270ACC">
          <w:rPr>
            <w:noProof/>
            <w:webHidden/>
          </w:rPr>
          <w:tab/>
        </w:r>
        <w:r w:rsidR="00270ACC">
          <w:rPr>
            <w:noProof/>
            <w:webHidden/>
          </w:rPr>
          <w:fldChar w:fldCharType="begin"/>
        </w:r>
        <w:r w:rsidR="00270ACC">
          <w:rPr>
            <w:noProof/>
            <w:webHidden/>
          </w:rPr>
          <w:instrText xml:space="preserve"> PAGEREF _Toc141445458 \h </w:instrText>
        </w:r>
        <w:r w:rsidR="00270ACC">
          <w:rPr>
            <w:noProof/>
            <w:webHidden/>
          </w:rPr>
        </w:r>
        <w:r w:rsidR="00270ACC">
          <w:rPr>
            <w:noProof/>
            <w:webHidden/>
          </w:rPr>
          <w:fldChar w:fldCharType="separate"/>
        </w:r>
        <w:r w:rsidR="00733598">
          <w:rPr>
            <w:noProof/>
            <w:webHidden/>
          </w:rPr>
          <w:t>129</w:t>
        </w:r>
        <w:r w:rsidR="00270ACC">
          <w:rPr>
            <w:noProof/>
            <w:webHidden/>
          </w:rPr>
          <w:fldChar w:fldCharType="end"/>
        </w:r>
      </w:hyperlink>
    </w:p>
    <w:p w14:paraId="7E6CE4DC" w14:textId="11C938C8"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59" w:history="1">
        <w:r w:rsidR="00270ACC" w:rsidRPr="000A3DBE">
          <w:rPr>
            <w:rStyle w:val="Hyperlink"/>
            <w:rFonts w:eastAsia="Cambria"/>
            <w:noProof/>
          </w:rPr>
          <w:t>6.13</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Land Acquisition</w:t>
        </w:r>
        <w:r w:rsidR="00270ACC">
          <w:rPr>
            <w:noProof/>
            <w:webHidden/>
          </w:rPr>
          <w:tab/>
        </w:r>
        <w:r w:rsidR="00270ACC">
          <w:rPr>
            <w:noProof/>
            <w:webHidden/>
          </w:rPr>
          <w:fldChar w:fldCharType="begin"/>
        </w:r>
        <w:r w:rsidR="00270ACC">
          <w:rPr>
            <w:noProof/>
            <w:webHidden/>
          </w:rPr>
          <w:instrText xml:space="preserve"> PAGEREF _Toc141445459 \h </w:instrText>
        </w:r>
        <w:r w:rsidR="00270ACC">
          <w:rPr>
            <w:noProof/>
            <w:webHidden/>
          </w:rPr>
        </w:r>
        <w:r w:rsidR="00270ACC">
          <w:rPr>
            <w:noProof/>
            <w:webHidden/>
          </w:rPr>
          <w:fldChar w:fldCharType="separate"/>
        </w:r>
        <w:r w:rsidR="00733598">
          <w:rPr>
            <w:noProof/>
            <w:webHidden/>
          </w:rPr>
          <w:t>130</w:t>
        </w:r>
        <w:r w:rsidR="00270ACC">
          <w:rPr>
            <w:noProof/>
            <w:webHidden/>
          </w:rPr>
          <w:fldChar w:fldCharType="end"/>
        </w:r>
      </w:hyperlink>
    </w:p>
    <w:p w14:paraId="3294D81D" w14:textId="47125238"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60" w:history="1">
        <w:r w:rsidR="00270ACC" w:rsidRPr="000A3DBE">
          <w:rPr>
            <w:rStyle w:val="Hyperlink"/>
            <w:rFonts w:eastAsia="Cambria"/>
            <w:noProof/>
          </w:rPr>
          <w:t>6.14</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mbria"/>
            <w:noProof/>
          </w:rPr>
          <w:t>Labour Conditions</w:t>
        </w:r>
        <w:r w:rsidR="00270ACC">
          <w:rPr>
            <w:noProof/>
            <w:webHidden/>
          </w:rPr>
          <w:tab/>
        </w:r>
        <w:r w:rsidR="00270ACC">
          <w:rPr>
            <w:noProof/>
            <w:webHidden/>
          </w:rPr>
          <w:fldChar w:fldCharType="begin"/>
        </w:r>
        <w:r w:rsidR="00270ACC">
          <w:rPr>
            <w:noProof/>
            <w:webHidden/>
          </w:rPr>
          <w:instrText xml:space="preserve"> PAGEREF _Toc141445460 \h </w:instrText>
        </w:r>
        <w:r w:rsidR="00270ACC">
          <w:rPr>
            <w:noProof/>
            <w:webHidden/>
          </w:rPr>
        </w:r>
        <w:r w:rsidR="00270ACC">
          <w:rPr>
            <w:noProof/>
            <w:webHidden/>
          </w:rPr>
          <w:fldChar w:fldCharType="separate"/>
        </w:r>
        <w:r w:rsidR="00733598">
          <w:rPr>
            <w:noProof/>
            <w:webHidden/>
          </w:rPr>
          <w:t>133</w:t>
        </w:r>
        <w:r w:rsidR="00270ACC">
          <w:rPr>
            <w:noProof/>
            <w:webHidden/>
          </w:rPr>
          <w:fldChar w:fldCharType="end"/>
        </w:r>
      </w:hyperlink>
    </w:p>
    <w:p w14:paraId="1333A4AF" w14:textId="51FD993C"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61" w:history="1">
        <w:r w:rsidR="00270ACC" w:rsidRPr="000A3DBE">
          <w:rPr>
            <w:rStyle w:val="Hyperlink"/>
            <w:rFonts w:eastAsia="Arial TUR"/>
            <w:noProof/>
          </w:rPr>
          <w:t>6.14.1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libri"/>
            <w:noProof/>
          </w:rPr>
          <w:t>Construction and Operation Phases</w:t>
        </w:r>
        <w:r w:rsidR="00270ACC">
          <w:rPr>
            <w:noProof/>
            <w:webHidden/>
          </w:rPr>
          <w:tab/>
        </w:r>
        <w:r w:rsidR="00270ACC">
          <w:rPr>
            <w:noProof/>
            <w:webHidden/>
          </w:rPr>
          <w:fldChar w:fldCharType="begin"/>
        </w:r>
        <w:r w:rsidR="00270ACC">
          <w:rPr>
            <w:noProof/>
            <w:webHidden/>
          </w:rPr>
          <w:instrText xml:space="preserve"> PAGEREF _Toc141445461 \h </w:instrText>
        </w:r>
        <w:r w:rsidR="00270ACC">
          <w:rPr>
            <w:noProof/>
            <w:webHidden/>
          </w:rPr>
        </w:r>
        <w:r w:rsidR="00270ACC">
          <w:rPr>
            <w:noProof/>
            <w:webHidden/>
          </w:rPr>
          <w:fldChar w:fldCharType="separate"/>
        </w:r>
        <w:r w:rsidR="00733598">
          <w:rPr>
            <w:noProof/>
            <w:webHidden/>
          </w:rPr>
          <w:t>133</w:t>
        </w:r>
        <w:r w:rsidR="00270ACC">
          <w:rPr>
            <w:noProof/>
            <w:webHidden/>
          </w:rPr>
          <w:fldChar w:fldCharType="end"/>
        </w:r>
      </w:hyperlink>
    </w:p>
    <w:p w14:paraId="3F418060" w14:textId="6B05721F"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62" w:history="1">
        <w:r w:rsidR="00270ACC" w:rsidRPr="000A3DBE">
          <w:rPr>
            <w:rStyle w:val="Hyperlink"/>
            <w:rFonts w:eastAsia="Arial TUR"/>
            <w:noProof/>
          </w:rPr>
          <w:t>6.14.2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libri"/>
            <w:noProof/>
          </w:rPr>
          <w:t>Training</w:t>
        </w:r>
        <w:r w:rsidR="00270ACC">
          <w:rPr>
            <w:noProof/>
            <w:webHidden/>
          </w:rPr>
          <w:tab/>
        </w:r>
        <w:r w:rsidR="00270ACC">
          <w:rPr>
            <w:noProof/>
            <w:webHidden/>
          </w:rPr>
          <w:fldChar w:fldCharType="begin"/>
        </w:r>
        <w:r w:rsidR="00270ACC">
          <w:rPr>
            <w:noProof/>
            <w:webHidden/>
          </w:rPr>
          <w:instrText xml:space="preserve"> PAGEREF _Toc141445462 \h </w:instrText>
        </w:r>
        <w:r w:rsidR="00270ACC">
          <w:rPr>
            <w:noProof/>
            <w:webHidden/>
          </w:rPr>
        </w:r>
        <w:r w:rsidR="00270ACC">
          <w:rPr>
            <w:noProof/>
            <w:webHidden/>
          </w:rPr>
          <w:fldChar w:fldCharType="separate"/>
        </w:r>
        <w:r w:rsidR="00733598">
          <w:rPr>
            <w:noProof/>
            <w:webHidden/>
          </w:rPr>
          <w:t>134</w:t>
        </w:r>
        <w:r w:rsidR="00270ACC">
          <w:rPr>
            <w:noProof/>
            <w:webHidden/>
          </w:rPr>
          <w:fldChar w:fldCharType="end"/>
        </w:r>
      </w:hyperlink>
    </w:p>
    <w:p w14:paraId="4EE6C28F" w14:textId="7916FB27"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63" w:history="1">
        <w:r w:rsidR="00270ACC" w:rsidRPr="000A3DBE">
          <w:rPr>
            <w:rStyle w:val="Hyperlink"/>
            <w:noProof/>
          </w:rPr>
          <w:t>6.15</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Community Health and Safety</w:t>
        </w:r>
        <w:r w:rsidR="00270ACC">
          <w:rPr>
            <w:noProof/>
            <w:webHidden/>
          </w:rPr>
          <w:tab/>
        </w:r>
        <w:r w:rsidR="00270ACC">
          <w:rPr>
            <w:noProof/>
            <w:webHidden/>
          </w:rPr>
          <w:fldChar w:fldCharType="begin"/>
        </w:r>
        <w:r w:rsidR="00270ACC">
          <w:rPr>
            <w:noProof/>
            <w:webHidden/>
          </w:rPr>
          <w:instrText xml:space="preserve"> PAGEREF _Toc141445463 \h </w:instrText>
        </w:r>
        <w:r w:rsidR="00270ACC">
          <w:rPr>
            <w:noProof/>
            <w:webHidden/>
          </w:rPr>
        </w:r>
        <w:r w:rsidR="00270ACC">
          <w:rPr>
            <w:noProof/>
            <w:webHidden/>
          </w:rPr>
          <w:fldChar w:fldCharType="separate"/>
        </w:r>
        <w:r w:rsidR="00733598">
          <w:rPr>
            <w:noProof/>
            <w:webHidden/>
          </w:rPr>
          <w:t>135</w:t>
        </w:r>
        <w:r w:rsidR="00270ACC">
          <w:rPr>
            <w:noProof/>
            <w:webHidden/>
          </w:rPr>
          <w:fldChar w:fldCharType="end"/>
        </w:r>
      </w:hyperlink>
    </w:p>
    <w:p w14:paraId="05C2C012" w14:textId="423B41C8"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64" w:history="1">
        <w:r w:rsidR="00270ACC" w:rsidRPr="000A3DBE">
          <w:rPr>
            <w:rStyle w:val="Hyperlink"/>
            <w:noProof/>
          </w:rPr>
          <w:t>6.16</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Occupational Health and Safety</w:t>
        </w:r>
        <w:r w:rsidR="00270ACC">
          <w:rPr>
            <w:noProof/>
            <w:webHidden/>
          </w:rPr>
          <w:tab/>
        </w:r>
        <w:r w:rsidR="00270ACC">
          <w:rPr>
            <w:noProof/>
            <w:webHidden/>
          </w:rPr>
          <w:fldChar w:fldCharType="begin"/>
        </w:r>
        <w:r w:rsidR="00270ACC">
          <w:rPr>
            <w:noProof/>
            <w:webHidden/>
          </w:rPr>
          <w:instrText xml:space="preserve"> PAGEREF _Toc141445464 \h </w:instrText>
        </w:r>
        <w:r w:rsidR="00270ACC">
          <w:rPr>
            <w:noProof/>
            <w:webHidden/>
          </w:rPr>
        </w:r>
        <w:r w:rsidR="00270ACC">
          <w:rPr>
            <w:noProof/>
            <w:webHidden/>
          </w:rPr>
          <w:fldChar w:fldCharType="separate"/>
        </w:r>
        <w:r w:rsidR="00733598">
          <w:rPr>
            <w:noProof/>
            <w:webHidden/>
          </w:rPr>
          <w:t>137</w:t>
        </w:r>
        <w:r w:rsidR="00270ACC">
          <w:rPr>
            <w:noProof/>
            <w:webHidden/>
          </w:rPr>
          <w:fldChar w:fldCharType="end"/>
        </w:r>
      </w:hyperlink>
    </w:p>
    <w:p w14:paraId="1B4F1708" w14:textId="63BAB1DA"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65" w:history="1">
        <w:r w:rsidR="00270ACC" w:rsidRPr="000A3DBE">
          <w:rPr>
            <w:rStyle w:val="Hyperlink"/>
            <w:rFonts w:eastAsia="Arial TUR"/>
            <w:noProof/>
          </w:rPr>
          <w:t>6.16.1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Arial TUR"/>
            <w:noProof/>
          </w:rPr>
          <w:t>Construction and Operation Phases</w:t>
        </w:r>
        <w:r w:rsidR="00270ACC">
          <w:rPr>
            <w:noProof/>
            <w:webHidden/>
          </w:rPr>
          <w:tab/>
        </w:r>
        <w:r w:rsidR="00270ACC">
          <w:rPr>
            <w:noProof/>
            <w:webHidden/>
          </w:rPr>
          <w:fldChar w:fldCharType="begin"/>
        </w:r>
        <w:r w:rsidR="00270ACC">
          <w:rPr>
            <w:noProof/>
            <w:webHidden/>
          </w:rPr>
          <w:instrText xml:space="preserve"> PAGEREF _Toc141445465 \h </w:instrText>
        </w:r>
        <w:r w:rsidR="00270ACC">
          <w:rPr>
            <w:noProof/>
            <w:webHidden/>
          </w:rPr>
        </w:r>
        <w:r w:rsidR="00270ACC">
          <w:rPr>
            <w:noProof/>
            <w:webHidden/>
          </w:rPr>
          <w:fldChar w:fldCharType="separate"/>
        </w:r>
        <w:r w:rsidR="00733598">
          <w:rPr>
            <w:noProof/>
            <w:webHidden/>
          </w:rPr>
          <w:t>137</w:t>
        </w:r>
        <w:r w:rsidR="00270ACC">
          <w:rPr>
            <w:noProof/>
            <w:webHidden/>
          </w:rPr>
          <w:fldChar w:fldCharType="end"/>
        </w:r>
      </w:hyperlink>
    </w:p>
    <w:p w14:paraId="443352FD" w14:textId="52F5C740"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66" w:history="1">
        <w:r w:rsidR="00270ACC" w:rsidRPr="000A3DBE">
          <w:rPr>
            <w:rStyle w:val="Hyperlink"/>
            <w:noProof/>
          </w:rPr>
          <w:t>6.17</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Traffic and Transportation</w:t>
        </w:r>
        <w:r w:rsidR="00270ACC">
          <w:rPr>
            <w:noProof/>
            <w:webHidden/>
          </w:rPr>
          <w:tab/>
        </w:r>
        <w:r w:rsidR="00270ACC">
          <w:rPr>
            <w:noProof/>
            <w:webHidden/>
          </w:rPr>
          <w:fldChar w:fldCharType="begin"/>
        </w:r>
        <w:r w:rsidR="00270ACC">
          <w:rPr>
            <w:noProof/>
            <w:webHidden/>
          </w:rPr>
          <w:instrText xml:space="preserve"> PAGEREF _Toc141445466 \h </w:instrText>
        </w:r>
        <w:r w:rsidR="00270ACC">
          <w:rPr>
            <w:noProof/>
            <w:webHidden/>
          </w:rPr>
        </w:r>
        <w:r w:rsidR="00270ACC">
          <w:rPr>
            <w:noProof/>
            <w:webHidden/>
          </w:rPr>
          <w:fldChar w:fldCharType="separate"/>
        </w:r>
        <w:r w:rsidR="00733598">
          <w:rPr>
            <w:noProof/>
            <w:webHidden/>
          </w:rPr>
          <w:t>146</w:t>
        </w:r>
        <w:r w:rsidR="00270ACC">
          <w:rPr>
            <w:noProof/>
            <w:webHidden/>
          </w:rPr>
          <w:fldChar w:fldCharType="end"/>
        </w:r>
      </w:hyperlink>
    </w:p>
    <w:p w14:paraId="00039FE3" w14:textId="07C68CAE"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67" w:history="1">
        <w:r w:rsidR="00270ACC" w:rsidRPr="000A3DBE">
          <w:rPr>
            <w:rStyle w:val="Hyperlink"/>
            <w:noProof/>
          </w:rPr>
          <w:t>6.17.1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Construction and Operation Phases</w:t>
        </w:r>
        <w:r w:rsidR="00270ACC">
          <w:rPr>
            <w:noProof/>
            <w:webHidden/>
          </w:rPr>
          <w:tab/>
        </w:r>
        <w:r w:rsidR="00270ACC">
          <w:rPr>
            <w:noProof/>
            <w:webHidden/>
          </w:rPr>
          <w:fldChar w:fldCharType="begin"/>
        </w:r>
        <w:r w:rsidR="00270ACC">
          <w:rPr>
            <w:noProof/>
            <w:webHidden/>
          </w:rPr>
          <w:instrText xml:space="preserve"> PAGEREF _Toc141445467 \h </w:instrText>
        </w:r>
        <w:r w:rsidR="00270ACC">
          <w:rPr>
            <w:noProof/>
            <w:webHidden/>
          </w:rPr>
        </w:r>
        <w:r w:rsidR="00270ACC">
          <w:rPr>
            <w:noProof/>
            <w:webHidden/>
          </w:rPr>
          <w:fldChar w:fldCharType="separate"/>
        </w:r>
        <w:r w:rsidR="00733598">
          <w:rPr>
            <w:noProof/>
            <w:webHidden/>
          </w:rPr>
          <w:t>146</w:t>
        </w:r>
        <w:r w:rsidR="00270ACC">
          <w:rPr>
            <w:noProof/>
            <w:webHidden/>
          </w:rPr>
          <w:fldChar w:fldCharType="end"/>
        </w:r>
      </w:hyperlink>
    </w:p>
    <w:p w14:paraId="26197120" w14:textId="2442FC81"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468" w:history="1">
        <w:r w:rsidR="00270ACC" w:rsidRPr="000A3DBE">
          <w:rPr>
            <w:rStyle w:val="Hyperlink"/>
            <w:noProof/>
          </w:rPr>
          <w:t>7</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noProof/>
          </w:rPr>
          <w:t>ENVIRONMENTAL AND SOCIAL ASPECTS, AND BEST PRACTICE MITIGATION MEASURES</w:t>
        </w:r>
        <w:r w:rsidR="00270ACC">
          <w:rPr>
            <w:noProof/>
            <w:webHidden/>
          </w:rPr>
          <w:tab/>
        </w:r>
        <w:r w:rsidR="00270ACC">
          <w:rPr>
            <w:noProof/>
            <w:webHidden/>
          </w:rPr>
          <w:fldChar w:fldCharType="begin"/>
        </w:r>
        <w:r w:rsidR="00270ACC">
          <w:rPr>
            <w:noProof/>
            <w:webHidden/>
          </w:rPr>
          <w:instrText xml:space="preserve"> PAGEREF _Toc141445468 \h </w:instrText>
        </w:r>
        <w:r w:rsidR="00270ACC">
          <w:rPr>
            <w:noProof/>
            <w:webHidden/>
          </w:rPr>
        </w:r>
        <w:r w:rsidR="00270ACC">
          <w:rPr>
            <w:noProof/>
            <w:webHidden/>
          </w:rPr>
          <w:fldChar w:fldCharType="separate"/>
        </w:r>
        <w:r w:rsidR="00733598">
          <w:rPr>
            <w:noProof/>
            <w:webHidden/>
          </w:rPr>
          <w:t>147</w:t>
        </w:r>
        <w:r w:rsidR="00270ACC">
          <w:rPr>
            <w:noProof/>
            <w:webHidden/>
          </w:rPr>
          <w:fldChar w:fldCharType="end"/>
        </w:r>
      </w:hyperlink>
    </w:p>
    <w:p w14:paraId="3915B22B" w14:textId="4F4DAE76"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69" w:history="1">
        <w:r w:rsidR="00270ACC" w:rsidRPr="000A3DBE">
          <w:rPr>
            <w:rStyle w:val="Hyperlink"/>
            <w:noProof/>
          </w:rPr>
          <w:t>7.1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 xml:space="preserve">Mitigation Plan for the </w:t>
        </w:r>
        <w:r w:rsidR="00270ACC" w:rsidRPr="000A3DBE">
          <w:rPr>
            <w:rStyle w:val="Hyperlink"/>
            <w:iCs/>
            <w:noProof/>
          </w:rPr>
          <w:t xml:space="preserve">Construction Phase </w:t>
        </w:r>
        <w:r w:rsidR="00270ACC" w:rsidRPr="000A3DBE">
          <w:rPr>
            <w:rStyle w:val="Hyperlink"/>
            <w:noProof/>
          </w:rPr>
          <w:t>of the Project</w:t>
        </w:r>
        <w:r w:rsidR="00270ACC">
          <w:rPr>
            <w:noProof/>
            <w:webHidden/>
          </w:rPr>
          <w:tab/>
        </w:r>
        <w:r w:rsidR="00270ACC">
          <w:rPr>
            <w:noProof/>
            <w:webHidden/>
          </w:rPr>
          <w:fldChar w:fldCharType="begin"/>
        </w:r>
        <w:r w:rsidR="00270ACC">
          <w:rPr>
            <w:noProof/>
            <w:webHidden/>
          </w:rPr>
          <w:instrText xml:space="preserve"> PAGEREF _Toc141445469 \h </w:instrText>
        </w:r>
        <w:r w:rsidR="00270ACC">
          <w:rPr>
            <w:noProof/>
            <w:webHidden/>
          </w:rPr>
        </w:r>
        <w:r w:rsidR="00270ACC">
          <w:rPr>
            <w:noProof/>
            <w:webHidden/>
          </w:rPr>
          <w:fldChar w:fldCharType="separate"/>
        </w:r>
        <w:r w:rsidR="00733598">
          <w:rPr>
            <w:noProof/>
            <w:webHidden/>
          </w:rPr>
          <w:t>148</w:t>
        </w:r>
        <w:r w:rsidR="00270ACC">
          <w:rPr>
            <w:noProof/>
            <w:webHidden/>
          </w:rPr>
          <w:fldChar w:fldCharType="end"/>
        </w:r>
      </w:hyperlink>
    </w:p>
    <w:p w14:paraId="1060DF3F" w14:textId="2521A510"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70" w:history="1">
        <w:r w:rsidR="00270ACC" w:rsidRPr="000A3DBE">
          <w:rPr>
            <w:rStyle w:val="Hyperlink"/>
            <w:noProof/>
          </w:rPr>
          <w:t>7.2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Mitigation Plan for the Operation Phase of the Project</w:t>
        </w:r>
        <w:r w:rsidR="00270ACC">
          <w:rPr>
            <w:noProof/>
            <w:webHidden/>
          </w:rPr>
          <w:tab/>
        </w:r>
        <w:r w:rsidR="00270ACC">
          <w:rPr>
            <w:noProof/>
            <w:webHidden/>
          </w:rPr>
          <w:fldChar w:fldCharType="begin"/>
        </w:r>
        <w:r w:rsidR="00270ACC">
          <w:rPr>
            <w:noProof/>
            <w:webHidden/>
          </w:rPr>
          <w:instrText xml:space="preserve"> PAGEREF _Toc141445470 \h </w:instrText>
        </w:r>
        <w:r w:rsidR="00270ACC">
          <w:rPr>
            <w:noProof/>
            <w:webHidden/>
          </w:rPr>
        </w:r>
        <w:r w:rsidR="00270ACC">
          <w:rPr>
            <w:noProof/>
            <w:webHidden/>
          </w:rPr>
          <w:fldChar w:fldCharType="separate"/>
        </w:r>
        <w:r w:rsidR="00733598">
          <w:rPr>
            <w:noProof/>
            <w:webHidden/>
          </w:rPr>
          <w:t>170</w:t>
        </w:r>
        <w:r w:rsidR="00270ACC">
          <w:rPr>
            <w:noProof/>
            <w:webHidden/>
          </w:rPr>
          <w:fldChar w:fldCharType="end"/>
        </w:r>
      </w:hyperlink>
    </w:p>
    <w:p w14:paraId="6F6137EB" w14:textId="11AC0F5D"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471" w:history="1">
        <w:r w:rsidR="00270ACC" w:rsidRPr="000A3DBE">
          <w:rPr>
            <w:rStyle w:val="Hyperlink"/>
            <w:noProof/>
          </w:rPr>
          <w:t>8</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noProof/>
          </w:rPr>
          <w:t>ENVIRONMENTAL AND SOCIAL MONITORING PLAN</w:t>
        </w:r>
        <w:r w:rsidR="00270ACC">
          <w:rPr>
            <w:noProof/>
            <w:webHidden/>
          </w:rPr>
          <w:tab/>
        </w:r>
        <w:r w:rsidR="00270ACC">
          <w:rPr>
            <w:noProof/>
            <w:webHidden/>
          </w:rPr>
          <w:fldChar w:fldCharType="begin"/>
        </w:r>
        <w:r w:rsidR="00270ACC">
          <w:rPr>
            <w:noProof/>
            <w:webHidden/>
          </w:rPr>
          <w:instrText xml:space="preserve"> PAGEREF _Toc141445471 \h </w:instrText>
        </w:r>
        <w:r w:rsidR="00270ACC">
          <w:rPr>
            <w:noProof/>
            <w:webHidden/>
          </w:rPr>
        </w:r>
        <w:r w:rsidR="00270ACC">
          <w:rPr>
            <w:noProof/>
            <w:webHidden/>
          </w:rPr>
          <w:fldChar w:fldCharType="separate"/>
        </w:r>
        <w:r w:rsidR="00733598">
          <w:rPr>
            <w:noProof/>
            <w:webHidden/>
          </w:rPr>
          <w:t>183</w:t>
        </w:r>
        <w:r w:rsidR="00270ACC">
          <w:rPr>
            <w:noProof/>
            <w:webHidden/>
          </w:rPr>
          <w:fldChar w:fldCharType="end"/>
        </w:r>
      </w:hyperlink>
    </w:p>
    <w:p w14:paraId="7FAB2FDF" w14:textId="1A71B5F4"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72" w:history="1">
        <w:r w:rsidR="00270ACC" w:rsidRPr="000A3DBE">
          <w:rPr>
            <w:rStyle w:val="Hyperlink"/>
            <w:iCs/>
            <w:noProof/>
          </w:rPr>
          <w:t>8.1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 xml:space="preserve">Monitoring Plan for the </w:t>
        </w:r>
        <w:r w:rsidR="00270ACC" w:rsidRPr="000A3DBE">
          <w:rPr>
            <w:rStyle w:val="Hyperlink"/>
            <w:iCs/>
            <w:noProof/>
          </w:rPr>
          <w:t>Construction Phase</w:t>
        </w:r>
        <w:r w:rsidR="00270ACC">
          <w:rPr>
            <w:noProof/>
            <w:webHidden/>
          </w:rPr>
          <w:tab/>
        </w:r>
        <w:r w:rsidR="00270ACC">
          <w:rPr>
            <w:noProof/>
            <w:webHidden/>
          </w:rPr>
          <w:fldChar w:fldCharType="begin"/>
        </w:r>
        <w:r w:rsidR="00270ACC">
          <w:rPr>
            <w:noProof/>
            <w:webHidden/>
          </w:rPr>
          <w:instrText xml:space="preserve"> PAGEREF _Toc141445472 \h </w:instrText>
        </w:r>
        <w:r w:rsidR="00270ACC">
          <w:rPr>
            <w:noProof/>
            <w:webHidden/>
          </w:rPr>
        </w:r>
        <w:r w:rsidR="00270ACC">
          <w:rPr>
            <w:noProof/>
            <w:webHidden/>
          </w:rPr>
          <w:fldChar w:fldCharType="separate"/>
        </w:r>
        <w:r w:rsidR="00733598">
          <w:rPr>
            <w:noProof/>
            <w:webHidden/>
          </w:rPr>
          <w:t>186</w:t>
        </w:r>
        <w:r w:rsidR="00270ACC">
          <w:rPr>
            <w:noProof/>
            <w:webHidden/>
          </w:rPr>
          <w:fldChar w:fldCharType="end"/>
        </w:r>
      </w:hyperlink>
    </w:p>
    <w:p w14:paraId="655887CE" w14:textId="0B5246E3"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73" w:history="1">
        <w:r w:rsidR="00270ACC" w:rsidRPr="000A3DBE">
          <w:rPr>
            <w:rStyle w:val="Hyperlink"/>
            <w:iCs/>
            <w:noProof/>
          </w:rPr>
          <w:t>8.2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Monitoring Plan for</w:t>
        </w:r>
        <w:r w:rsidR="00270ACC" w:rsidRPr="000A3DBE">
          <w:rPr>
            <w:rStyle w:val="Hyperlink"/>
            <w:iCs/>
            <w:noProof/>
          </w:rPr>
          <w:t xml:space="preserve"> the Operation Phase</w:t>
        </w:r>
        <w:r w:rsidR="00270ACC">
          <w:rPr>
            <w:noProof/>
            <w:webHidden/>
          </w:rPr>
          <w:tab/>
        </w:r>
        <w:r w:rsidR="00270ACC">
          <w:rPr>
            <w:noProof/>
            <w:webHidden/>
          </w:rPr>
          <w:fldChar w:fldCharType="begin"/>
        </w:r>
        <w:r w:rsidR="00270ACC">
          <w:rPr>
            <w:noProof/>
            <w:webHidden/>
          </w:rPr>
          <w:instrText xml:space="preserve"> PAGEREF _Toc141445473 \h </w:instrText>
        </w:r>
        <w:r w:rsidR="00270ACC">
          <w:rPr>
            <w:noProof/>
            <w:webHidden/>
          </w:rPr>
        </w:r>
        <w:r w:rsidR="00270ACC">
          <w:rPr>
            <w:noProof/>
            <w:webHidden/>
          </w:rPr>
          <w:fldChar w:fldCharType="separate"/>
        </w:r>
        <w:r w:rsidR="00733598">
          <w:rPr>
            <w:noProof/>
            <w:webHidden/>
          </w:rPr>
          <w:t>190</w:t>
        </w:r>
        <w:r w:rsidR="00270ACC">
          <w:rPr>
            <w:noProof/>
            <w:webHidden/>
          </w:rPr>
          <w:fldChar w:fldCharType="end"/>
        </w:r>
      </w:hyperlink>
    </w:p>
    <w:p w14:paraId="105EC52D" w14:textId="251775B2"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474" w:history="1">
        <w:r w:rsidR="00270ACC" w:rsidRPr="000A3DBE">
          <w:rPr>
            <w:rStyle w:val="Hyperlink"/>
            <w:noProof/>
          </w:rPr>
          <w:t>9</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noProof/>
          </w:rPr>
          <w:t>STRUCTURE AND ORGANIZATIONAL CHART OF THE PROJECT OWNER</w:t>
        </w:r>
        <w:r w:rsidR="00270ACC">
          <w:rPr>
            <w:noProof/>
            <w:webHidden/>
          </w:rPr>
          <w:tab/>
        </w:r>
        <w:r w:rsidR="00270ACC">
          <w:rPr>
            <w:noProof/>
            <w:webHidden/>
          </w:rPr>
          <w:fldChar w:fldCharType="begin"/>
        </w:r>
        <w:r w:rsidR="00270ACC">
          <w:rPr>
            <w:noProof/>
            <w:webHidden/>
          </w:rPr>
          <w:instrText xml:space="preserve"> PAGEREF _Toc141445474 \h </w:instrText>
        </w:r>
        <w:r w:rsidR="00270ACC">
          <w:rPr>
            <w:noProof/>
            <w:webHidden/>
          </w:rPr>
        </w:r>
        <w:r w:rsidR="00270ACC">
          <w:rPr>
            <w:noProof/>
            <w:webHidden/>
          </w:rPr>
          <w:fldChar w:fldCharType="separate"/>
        </w:r>
        <w:r w:rsidR="00733598">
          <w:rPr>
            <w:noProof/>
            <w:webHidden/>
          </w:rPr>
          <w:t>193</w:t>
        </w:r>
        <w:r w:rsidR="00270ACC">
          <w:rPr>
            <w:noProof/>
            <w:webHidden/>
          </w:rPr>
          <w:fldChar w:fldCharType="end"/>
        </w:r>
      </w:hyperlink>
    </w:p>
    <w:p w14:paraId="1EBF12EF" w14:textId="16355B4C"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75" w:history="1">
        <w:r w:rsidR="00270ACC" w:rsidRPr="000A3DBE">
          <w:rPr>
            <w:rStyle w:val="Hyperlink"/>
            <w:noProof/>
          </w:rPr>
          <w:t>9.1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Roles and Responsibilities</w:t>
        </w:r>
        <w:r w:rsidR="00270ACC">
          <w:rPr>
            <w:noProof/>
            <w:webHidden/>
          </w:rPr>
          <w:tab/>
        </w:r>
        <w:r w:rsidR="00270ACC">
          <w:rPr>
            <w:noProof/>
            <w:webHidden/>
          </w:rPr>
          <w:fldChar w:fldCharType="begin"/>
        </w:r>
        <w:r w:rsidR="00270ACC">
          <w:rPr>
            <w:noProof/>
            <w:webHidden/>
          </w:rPr>
          <w:instrText xml:space="preserve"> PAGEREF _Toc141445475 \h </w:instrText>
        </w:r>
        <w:r w:rsidR="00270ACC">
          <w:rPr>
            <w:noProof/>
            <w:webHidden/>
          </w:rPr>
        </w:r>
        <w:r w:rsidR="00270ACC">
          <w:rPr>
            <w:noProof/>
            <w:webHidden/>
          </w:rPr>
          <w:fldChar w:fldCharType="separate"/>
        </w:r>
        <w:r w:rsidR="00733598">
          <w:rPr>
            <w:noProof/>
            <w:webHidden/>
          </w:rPr>
          <w:t>194</w:t>
        </w:r>
        <w:r w:rsidR="00270ACC">
          <w:rPr>
            <w:noProof/>
            <w:webHidden/>
          </w:rPr>
          <w:fldChar w:fldCharType="end"/>
        </w:r>
      </w:hyperlink>
    </w:p>
    <w:p w14:paraId="23462E85" w14:textId="37D1F15E"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476" w:history="1">
        <w:r w:rsidR="00270ACC" w:rsidRPr="000A3DBE">
          <w:rPr>
            <w:rStyle w:val="Hyperlink"/>
            <w:noProof/>
          </w:rPr>
          <w:t>10</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noProof/>
          </w:rPr>
          <w:t>STAKEHOLDER MANAGEMENT UNDER ESMP</w:t>
        </w:r>
        <w:r w:rsidR="00270ACC">
          <w:rPr>
            <w:noProof/>
            <w:webHidden/>
          </w:rPr>
          <w:tab/>
        </w:r>
        <w:r w:rsidR="00270ACC">
          <w:rPr>
            <w:noProof/>
            <w:webHidden/>
          </w:rPr>
          <w:fldChar w:fldCharType="begin"/>
        </w:r>
        <w:r w:rsidR="00270ACC">
          <w:rPr>
            <w:noProof/>
            <w:webHidden/>
          </w:rPr>
          <w:instrText xml:space="preserve"> PAGEREF _Toc141445476 \h </w:instrText>
        </w:r>
        <w:r w:rsidR="00270ACC">
          <w:rPr>
            <w:noProof/>
            <w:webHidden/>
          </w:rPr>
        </w:r>
        <w:r w:rsidR="00270ACC">
          <w:rPr>
            <w:noProof/>
            <w:webHidden/>
          </w:rPr>
          <w:fldChar w:fldCharType="separate"/>
        </w:r>
        <w:r w:rsidR="00733598">
          <w:rPr>
            <w:noProof/>
            <w:webHidden/>
          </w:rPr>
          <w:t>197</w:t>
        </w:r>
        <w:r w:rsidR="00270ACC">
          <w:rPr>
            <w:noProof/>
            <w:webHidden/>
          </w:rPr>
          <w:fldChar w:fldCharType="end"/>
        </w:r>
      </w:hyperlink>
    </w:p>
    <w:p w14:paraId="56737A09" w14:textId="1441224C"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77" w:history="1">
        <w:r w:rsidR="00270ACC" w:rsidRPr="000A3DBE">
          <w:rPr>
            <w:rStyle w:val="Hyperlink"/>
            <w:noProof/>
          </w:rPr>
          <w:t>10.1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Previous Stakeholder Engagement Activities</w:t>
        </w:r>
        <w:r w:rsidR="00270ACC">
          <w:rPr>
            <w:noProof/>
            <w:webHidden/>
          </w:rPr>
          <w:tab/>
        </w:r>
        <w:r w:rsidR="00270ACC">
          <w:rPr>
            <w:noProof/>
            <w:webHidden/>
          </w:rPr>
          <w:fldChar w:fldCharType="begin"/>
        </w:r>
        <w:r w:rsidR="00270ACC">
          <w:rPr>
            <w:noProof/>
            <w:webHidden/>
          </w:rPr>
          <w:instrText xml:space="preserve"> PAGEREF _Toc141445477 \h </w:instrText>
        </w:r>
        <w:r w:rsidR="00270ACC">
          <w:rPr>
            <w:noProof/>
            <w:webHidden/>
          </w:rPr>
        </w:r>
        <w:r w:rsidR="00270ACC">
          <w:rPr>
            <w:noProof/>
            <w:webHidden/>
          </w:rPr>
          <w:fldChar w:fldCharType="separate"/>
        </w:r>
        <w:r w:rsidR="00733598">
          <w:rPr>
            <w:noProof/>
            <w:webHidden/>
          </w:rPr>
          <w:t>198</w:t>
        </w:r>
        <w:r w:rsidR="00270ACC">
          <w:rPr>
            <w:noProof/>
            <w:webHidden/>
          </w:rPr>
          <w:fldChar w:fldCharType="end"/>
        </w:r>
      </w:hyperlink>
    </w:p>
    <w:p w14:paraId="271D7D51" w14:textId="112B567D" w:rsidR="00270ACC" w:rsidRDefault="00EC509A">
      <w:pPr>
        <w:pStyle w:val="TOC2"/>
        <w:rPr>
          <w:rFonts w:asciiTheme="minorHAnsi" w:eastAsiaTheme="minorEastAsia" w:hAnsiTheme="minorHAnsi" w:cstheme="minorBidi"/>
          <w:noProof/>
          <w:kern w:val="2"/>
          <w:szCs w:val="22"/>
          <w:lang w:val="tr-TR" w:eastAsia="tr-TR"/>
          <w14:ligatures w14:val="standardContextual"/>
        </w:rPr>
      </w:pPr>
      <w:hyperlink w:anchor="_Toc141445478" w:history="1">
        <w:r w:rsidR="00270ACC" w:rsidRPr="000A3DBE">
          <w:rPr>
            <w:rStyle w:val="Hyperlink"/>
            <w:noProof/>
          </w:rPr>
          <w:t>10.2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Grievance Mechanism</w:t>
        </w:r>
        <w:r w:rsidR="00270ACC">
          <w:rPr>
            <w:noProof/>
            <w:webHidden/>
          </w:rPr>
          <w:tab/>
        </w:r>
        <w:r w:rsidR="00270ACC">
          <w:rPr>
            <w:noProof/>
            <w:webHidden/>
          </w:rPr>
          <w:fldChar w:fldCharType="begin"/>
        </w:r>
        <w:r w:rsidR="00270ACC">
          <w:rPr>
            <w:noProof/>
            <w:webHidden/>
          </w:rPr>
          <w:instrText xml:space="preserve"> PAGEREF _Toc141445478 \h </w:instrText>
        </w:r>
        <w:r w:rsidR="00270ACC">
          <w:rPr>
            <w:noProof/>
            <w:webHidden/>
          </w:rPr>
        </w:r>
        <w:r w:rsidR="00270ACC">
          <w:rPr>
            <w:noProof/>
            <w:webHidden/>
          </w:rPr>
          <w:fldChar w:fldCharType="separate"/>
        </w:r>
        <w:r w:rsidR="00733598">
          <w:rPr>
            <w:noProof/>
            <w:webHidden/>
          </w:rPr>
          <w:t>199</w:t>
        </w:r>
        <w:r w:rsidR="00270ACC">
          <w:rPr>
            <w:noProof/>
            <w:webHidden/>
          </w:rPr>
          <w:fldChar w:fldCharType="end"/>
        </w:r>
      </w:hyperlink>
    </w:p>
    <w:p w14:paraId="315D624B" w14:textId="57811E35"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79" w:history="1">
        <w:r w:rsidR="00270ACC" w:rsidRPr="000A3DBE">
          <w:rPr>
            <w:rStyle w:val="Hyperlink"/>
            <w:rFonts w:eastAsia="Calibri"/>
            <w:noProof/>
          </w:rPr>
          <w:t>10.2.1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libri"/>
            <w:noProof/>
          </w:rPr>
          <w:t>Existing GMs</w:t>
        </w:r>
        <w:r w:rsidR="00270ACC">
          <w:rPr>
            <w:noProof/>
            <w:webHidden/>
          </w:rPr>
          <w:tab/>
        </w:r>
        <w:r w:rsidR="00270ACC">
          <w:rPr>
            <w:noProof/>
            <w:webHidden/>
          </w:rPr>
          <w:fldChar w:fldCharType="begin"/>
        </w:r>
        <w:r w:rsidR="00270ACC">
          <w:rPr>
            <w:noProof/>
            <w:webHidden/>
          </w:rPr>
          <w:instrText xml:space="preserve"> PAGEREF _Toc141445479 \h </w:instrText>
        </w:r>
        <w:r w:rsidR="00270ACC">
          <w:rPr>
            <w:noProof/>
            <w:webHidden/>
          </w:rPr>
        </w:r>
        <w:r w:rsidR="00270ACC">
          <w:rPr>
            <w:noProof/>
            <w:webHidden/>
          </w:rPr>
          <w:fldChar w:fldCharType="separate"/>
        </w:r>
        <w:r w:rsidR="00733598">
          <w:rPr>
            <w:noProof/>
            <w:webHidden/>
          </w:rPr>
          <w:t>202</w:t>
        </w:r>
        <w:r w:rsidR="00270ACC">
          <w:rPr>
            <w:noProof/>
            <w:webHidden/>
          </w:rPr>
          <w:fldChar w:fldCharType="end"/>
        </w:r>
      </w:hyperlink>
    </w:p>
    <w:p w14:paraId="6690B73A" w14:textId="52C9E91B" w:rsidR="00270ACC" w:rsidRDefault="00EC509A">
      <w:pPr>
        <w:pStyle w:val="TOC4"/>
        <w:rPr>
          <w:rFonts w:asciiTheme="minorHAnsi" w:eastAsiaTheme="minorEastAsia" w:hAnsiTheme="minorHAnsi" w:cstheme="minorBidi"/>
          <w:noProof/>
          <w:kern w:val="2"/>
          <w:szCs w:val="22"/>
          <w:lang w:val="tr-TR" w:eastAsia="tr-TR"/>
          <w14:ligatures w14:val="standardContextual"/>
        </w:rPr>
      </w:pPr>
      <w:hyperlink w:anchor="_Toc141445480" w:history="1">
        <w:r w:rsidR="00270ACC" w:rsidRPr="000A3DBE">
          <w:rPr>
            <w:rStyle w:val="Hyperlink"/>
            <w:noProof/>
          </w:rPr>
          <w:t>10.2.1.1</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GM at National Level</w:t>
        </w:r>
        <w:r w:rsidR="00270ACC">
          <w:rPr>
            <w:noProof/>
            <w:webHidden/>
          </w:rPr>
          <w:tab/>
        </w:r>
        <w:r w:rsidR="00270ACC">
          <w:rPr>
            <w:noProof/>
            <w:webHidden/>
          </w:rPr>
          <w:fldChar w:fldCharType="begin"/>
        </w:r>
        <w:r w:rsidR="00270ACC">
          <w:rPr>
            <w:noProof/>
            <w:webHidden/>
          </w:rPr>
          <w:instrText xml:space="preserve"> PAGEREF _Toc141445480 \h </w:instrText>
        </w:r>
        <w:r w:rsidR="00270ACC">
          <w:rPr>
            <w:noProof/>
            <w:webHidden/>
          </w:rPr>
        </w:r>
        <w:r w:rsidR="00270ACC">
          <w:rPr>
            <w:noProof/>
            <w:webHidden/>
          </w:rPr>
          <w:fldChar w:fldCharType="separate"/>
        </w:r>
        <w:r w:rsidR="00733598">
          <w:rPr>
            <w:noProof/>
            <w:webHidden/>
          </w:rPr>
          <w:t>202</w:t>
        </w:r>
        <w:r w:rsidR="00270ACC">
          <w:rPr>
            <w:noProof/>
            <w:webHidden/>
          </w:rPr>
          <w:fldChar w:fldCharType="end"/>
        </w:r>
      </w:hyperlink>
    </w:p>
    <w:p w14:paraId="58D2200F" w14:textId="3C5C6285" w:rsidR="00270ACC" w:rsidRDefault="00EC509A">
      <w:pPr>
        <w:pStyle w:val="TOC4"/>
        <w:rPr>
          <w:rFonts w:asciiTheme="minorHAnsi" w:eastAsiaTheme="minorEastAsia" w:hAnsiTheme="minorHAnsi" w:cstheme="minorBidi"/>
          <w:noProof/>
          <w:kern w:val="2"/>
          <w:szCs w:val="22"/>
          <w:lang w:val="tr-TR" w:eastAsia="tr-TR"/>
          <w14:ligatures w14:val="standardContextual"/>
        </w:rPr>
      </w:pPr>
      <w:hyperlink w:anchor="_Toc141445481" w:history="1">
        <w:r w:rsidR="00270ACC" w:rsidRPr="000A3DBE">
          <w:rPr>
            <w:rStyle w:val="Hyperlink"/>
            <w:noProof/>
          </w:rPr>
          <w:t>10.2.1.2</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noProof/>
          </w:rPr>
          <w:t>GM at Ministry Level</w:t>
        </w:r>
        <w:r w:rsidR="00270ACC">
          <w:rPr>
            <w:noProof/>
            <w:webHidden/>
          </w:rPr>
          <w:tab/>
        </w:r>
        <w:r w:rsidR="00270ACC">
          <w:rPr>
            <w:noProof/>
            <w:webHidden/>
          </w:rPr>
          <w:fldChar w:fldCharType="begin"/>
        </w:r>
        <w:r w:rsidR="00270ACC">
          <w:rPr>
            <w:noProof/>
            <w:webHidden/>
          </w:rPr>
          <w:instrText xml:space="preserve"> PAGEREF _Toc141445481 \h </w:instrText>
        </w:r>
        <w:r w:rsidR="00270ACC">
          <w:rPr>
            <w:noProof/>
            <w:webHidden/>
          </w:rPr>
        </w:r>
        <w:r w:rsidR="00270ACC">
          <w:rPr>
            <w:noProof/>
            <w:webHidden/>
          </w:rPr>
          <w:fldChar w:fldCharType="separate"/>
        </w:r>
        <w:r w:rsidR="00733598">
          <w:rPr>
            <w:noProof/>
            <w:webHidden/>
          </w:rPr>
          <w:t>202</w:t>
        </w:r>
        <w:r w:rsidR="00270ACC">
          <w:rPr>
            <w:noProof/>
            <w:webHidden/>
          </w:rPr>
          <w:fldChar w:fldCharType="end"/>
        </w:r>
      </w:hyperlink>
    </w:p>
    <w:p w14:paraId="1024C02F" w14:textId="76C5452E" w:rsidR="00270ACC" w:rsidRDefault="00EC509A">
      <w:pPr>
        <w:pStyle w:val="TOC4"/>
        <w:rPr>
          <w:rFonts w:asciiTheme="minorHAnsi" w:eastAsiaTheme="minorEastAsia" w:hAnsiTheme="minorHAnsi" w:cstheme="minorBidi"/>
          <w:noProof/>
          <w:kern w:val="2"/>
          <w:szCs w:val="22"/>
          <w:lang w:val="tr-TR" w:eastAsia="tr-TR"/>
          <w14:ligatures w14:val="standardContextual"/>
        </w:rPr>
      </w:pPr>
      <w:hyperlink w:anchor="_Toc141445482" w:history="1">
        <w:r w:rsidR="00270ACC" w:rsidRPr="000A3DBE">
          <w:rPr>
            <w:rStyle w:val="Hyperlink"/>
            <w:rFonts w:eastAsia="Calibri"/>
            <w:noProof/>
          </w:rPr>
          <w:t>10.2.1.3</w:t>
        </w:r>
        <w:r w:rsidR="00270ACC">
          <w:rPr>
            <w:rFonts w:asciiTheme="minorHAnsi" w:eastAsiaTheme="minorEastAsia" w:hAnsiTheme="minorHAnsi" w:cstheme="minorBidi"/>
            <w:noProof/>
            <w:kern w:val="2"/>
            <w:szCs w:val="22"/>
            <w:lang w:val="tr-TR" w:eastAsia="tr-TR"/>
            <w14:ligatures w14:val="standardContextual"/>
          </w:rPr>
          <w:tab/>
        </w:r>
        <w:r w:rsidR="00270ACC" w:rsidRPr="000A3DBE">
          <w:rPr>
            <w:rStyle w:val="Hyperlink"/>
            <w:rFonts w:eastAsia="Calibri"/>
            <w:noProof/>
          </w:rPr>
          <w:t xml:space="preserve">Project Level </w:t>
        </w:r>
        <w:r w:rsidR="00270ACC" w:rsidRPr="000A3DBE">
          <w:rPr>
            <w:rStyle w:val="Hyperlink"/>
            <w:noProof/>
          </w:rPr>
          <w:t>Grievance</w:t>
        </w:r>
        <w:r w:rsidR="00270ACC" w:rsidRPr="000A3DBE">
          <w:rPr>
            <w:rStyle w:val="Hyperlink"/>
            <w:rFonts w:eastAsia="Calibri"/>
            <w:noProof/>
          </w:rPr>
          <w:t xml:space="preserve"> Mechanism</w:t>
        </w:r>
        <w:r w:rsidR="00270ACC">
          <w:rPr>
            <w:noProof/>
            <w:webHidden/>
          </w:rPr>
          <w:tab/>
        </w:r>
        <w:r w:rsidR="00270ACC">
          <w:rPr>
            <w:noProof/>
            <w:webHidden/>
          </w:rPr>
          <w:fldChar w:fldCharType="begin"/>
        </w:r>
        <w:r w:rsidR="00270ACC">
          <w:rPr>
            <w:noProof/>
            <w:webHidden/>
          </w:rPr>
          <w:instrText xml:space="preserve"> PAGEREF _Toc141445482 \h </w:instrText>
        </w:r>
        <w:r w:rsidR="00270ACC">
          <w:rPr>
            <w:noProof/>
            <w:webHidden/>
          </w:rPr>
        </w:r>
        <w:r w:rsidR="00270ACC">
          <w:rPr>
            <w:noProof/>
            <w:webHidden/>
          </w:rPr>
          <w:fldChar w:fldCharType="separate"/>
        </w:r>
        <w:r w:rsidR="00733598">
          <w:rPr>
            <w:noProof/>
            <w:webHidden/>
          </w:rPr>
          <w:t>203</w:t>
        </w:r>
        <w:r w:rsidR="00270ACC">
          <w:rPr>
            <w:noProof/>
            <w:webHidden/>
          </w:rPr>
          <w:fldChar w:fldCharType="end"/>
        </w:r>
      </w:hyperlink>
    </w:p>
    <w:p w14:paraId="6CED91A7" w14:textId="0FA6E214"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483" w:history="1">
        <w:r w:rsidR="00270ACC" w:rsidRPr="000A3DBE">
          <w:rPr>
            <w:rStyle w:val="Hyperlink"/>
            <w:noProof/>
          </w:rPr>
          <w:t>11</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noProof/>
          </w:rPr>
          <w:t>REPORTING</w:t>
        </w:r>
        <w:r w:rsidR="00270ACC">
          <w:rPr>
            <w:noProof/>
            <w:webHidden/>
          </w:rPr>
          <w:tab/>
        </w:r>
        <w:r w:rsidR="00270ACC">
          <w:rPr>
            <w:noProof/>
            <w:webHidden/>
          </w:rPr>
          <w:fldChar w:fldCharType="begin"/>
        </w:r>
        <w:r w:rsidR="00270ACC">
          <w:rPr>
            <w:noProof/>
            <w:webHidden/>
          </w:rPr>
          <w:instrText xml:space="preserve"> PAGEREF _Toc141445483 \h </w:instrText>
        </w:r>
        <w:r w:rsidR="00270ACC">
          <w:rPr>
            <w:noProof/>
            <w:webHidden/>
          </w:rPr>
        </w:r>
        <w:r w:rsidR="00270ACC">
          <w:rPr>
            <w:noProof/>
            <w:webHidden/>
          </w:rPr>
          <w:fldChar w:fldCharType="separate"/>
        </w:r>
        <w:r w:rsidR="00733598">
          <w:rPr>
            <w:noProof/>
            <w:webHidden/>
          </w:rPr>
          <w:t>204</w:t>
        </w:r>
        <w:r w:rsidR="00270ACC">
          <w:rPr>
            <w:noProof/>
            <w:webHidden/>
          </w:rPr>
          <w:fldChar w:fldCharType="end"/>
        </w:r>
      </w:hyperlink>
    </w:p>
    <w:p w14:paraId="70F9B7EA" w14:textId="0359EB4C"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484" w:history="1">
        <w:r w:rsidR="00270ACC" w:rsidRPr="000A3DBE">
          <w:rPr>
            <w:rStyle w:val="Hyperlink"/>
            <w:noProof/>
          </w:rPr>
          <w:t>12</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noProof/>
          </w:rPr>
          <w:t>CONCLUSION</w:t>
        </w:r>
        <w:r w:rsidR="00270ACC">
          <w:rPr>
            <w:noProof/>
            <w:webHidden/>
          </w:rPr>
          <w:tab/>
        </w:r>
        <w:r w:rsidR="00270ACC">
          <w:rPr>
            <w:noProof/>
            <w:webHidden/>
          </w:rPr>
          <w:fldChar w:fldCharType="begin"/>
        </w:r>
        <w:r w:rsidR="00270ACC">
          <w:rPr>
            <w:noProof/>
            <w:webHidden/>
          </w:rPr>
          <w:instrText xml:space="preserve"> PAGEREF _Toc141445484 \h </w:instrText>
        </w:r>
        <w:r w:rsidR="00270ACC">
          <w:rPr>
            <w:noProof/>
            <w:webHidden/>
          </w:rPr>
        </w:r>
        <w:r w:rsidR="00270ACC">
          <w:rPr>
            <w:noProof/>
            <w:webHidden/>
          </w:rPr>
          <w:fldChar w:fldCharType="separate"/>
        </w:r>
        <w:r w:rsidR="00733598">
          <w:rPr>
            <w:noProof/>
            <w:webHidden/>
          </w:rPr>
          <w:t>206</w:t>
        </w:r>
        <w:r w:rsidR="00270ACC">
          <w:rPr>
            <w:noProof/>
            <w:webHidden/>
          </w:rPr>
          <w:fldChar w:fldCharType="end"/>
        </w:r>
      </w:hyperlink>
    </w:p>
    <w:p w14:paraId="37117CC7" w14:textId="46303E11" w:rsidR="00270ACC" w:rsidRDefault="00EC509A">
      <w:pPr>
        <w:pStyle w:val="TOC1"/>
        <w:rPr>
          <w:rFonts w:asciiTheme="minorHAnsi" w:eastAsiaTheme="minorEastAsia" w:hAnsiTheme="minorHAnsi" w:cstheme="minorBidi"/>
          <w:b w:val="0"/>
          <w:noProof/>
          <w:kern w:val="2"/>
          <w:szCs w:val="22"/>
          <w:lang w:val="tr-TR" w:eastAsia="tr-TR"/>
          <w14:ligatures w14:val="standardContextual"/>
        </w:rPr>
      </w:pPr>
      <w:hyperlink w:anchor="_Toc141445485" w:history="1">
        <w:r w:rsidR="00270ACC" w:rsidRPr="000A3DBE">
          <w:rPr>
            <w:rStyle w:val="Hyperlink"/>
            <w:noProof/>
          </w:rPr>
          <w:t>13</w:t>
        </w:r>
        <w:r w:rsidR="00270ACC">
          <w:rPr>
            <w:rFonts w:asciiTheme="minorHAnsi" w:eastAsiaTheme="minorEastAsia" w:hAnsiTheme="minorHAnsi" w:cstheme="minorBidi"/>
            <w:b w:val="0"/>
            <w:noProof/>
            <w:kern w:val="2"/>
            <w:szCs w:val="22"/>
            <w:lang w:val="tr-TR" w:eastAsia="tr-TR"/>
            <w14:ligatures w14:val="standardContextual"/>
          </w:rPr>
          <w:tab/>
        </w:r>
        <w:r w:rsidR="00270ACC" w:rsidRPr="000A3DBE">
          <w:rPr>
            <w:rStyle w:val="Hyperlink"/>
            <w:noProof/>
          </w:rPr>
          <w:t>REFERENCES</w:t>
        </w:r>
        <w:r w:rsidR="00270ACC">
          <w:rPr>
            <w:noProof/>
            <w:webHidden/>
          </w:rPr>
          <w:tab/>
        </w:r>
        <w:r w:rsidR="00270ACC">
          <w:rPr>
            <w:noProof/>
            <w:webHidden/>
          </w:rPr>
          <w:fldChar w:fldCharType="begin"/>
        </w:r>
        <w:r w:rsidR="00270ACC">
          <w:rPr>
            <w:noProof/>
            <w:webHidden/>
          </w:rPr>
          <w:instrText xml:space="preserve"> PAGEREF _Toc141445485 \h </w:instrText>
        </w:r>
        <w:r w:rsidR="00270ACC">
          <w:rPr>
            <w:noProof/>
            <w:webHidden/>
          </w:rPr>
        </w:r>
        <w:r w:rsidR="00270ACC">
          <w:rPr>
            <w:noProof/>
            <w:webHidden/>
          </w:rPr>
          <w:fldChar w:fldCharType="separate"/>
        </w:r>
        <w:r w:rsidR="00733598">
          <w:rPr>
            <w:noProof/>
            <w:webHidden/>
          </w:rPr>
          <w:t>207</w:t>
        </w:r>
        <w:r w:rsidR="00270ACC">
          <w:rPr>
            <w:noProof/>
            <w:webHidden/>
          </w:rPr>
          <w:fldChar w:fldCharType="end"/>
        </w:r>
      </w:hyperlink>
    </w:p>
    <w:p w14:paraId="34ECA002" w14:textId="7341CCBF"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86" w:history="1">
        <w:r w:rsidR="00270ACC" w:rsidRPr="000A3DBE">
          <w:rPr>
            <w:rStyle w:val="Hyperlink"/>
            <w:b/>
            <w:noProof/>
          </w:rPr>
          <w:t>Appendix-A</w:t>
        </w:r>
        <w:r w:rsidR="00270ACC" w:rsidRPr="000A3DBE">
          <w:rPr>
            <w:rStyle w:val="Hyperlink"/>
            <w:noProof/>
          </w:rPr>
          <w:t xml:space="preserve"> </w:t>
        </w:r>
        <w:r w:rsidR="00270ACC" w:rsidRPr="000A3DBE">
          <w:rPr>
            <w:rStyle w:val="Hyperlink"/>
            <w:b/>
            <w:noProof/>
          </w:rPr>
          <w:t>Land Title Deed Records</w:t>
        </w:r>
        <w:r w:rsidR="00270ACC">
          <w:rPr>
            <w:noProof/>
            <w:webHidden/>
          </w:rPr>
          <w:tab/>
        </w:r>
        <w:r w:rsidR="00270ACC">
          <w:rPr>
            <w:noProof/>
            <w:webHidden/>
          </w:rPr>
          <w:fldChar w:fldCharType="begin"/>
        </w:r>
        <w:r w:rsidR="00270ACC">
          <w:rPr>
            <w:noProof/>
            <w:webHidden/>
          </w:rPr>
          <w:instrText xml:space="preserve"> PAGEREF _Toc141445486 \h </w:instrText>
        </w:r>
        <w:r w:rsidR="00270ACC">
          <w:rPr>
            <w:noProof/>
            <w:webHidden/>
          </w:rPr>
        </w:r>
        <w:r w:rsidR="00270ACC">
          <w:rPr>
            <w:noProof/>
            <w:webHidden/>
          </w:rPr>
          <w:fldChar w:fldCharType="separate"/>
        </w:r>
        <w:r w:rsidR="00733598">
          <w:rPr>
            <w:noProof/>
            <w:webHidden/>
          </w:rPr>
          <w:t>208</w:t>
        </w:r>
        <w:r w:rsidR="00270ACC">
          <w:rPr>
            <w:noProof/>
            <w:webHidden/>
          </w:rPr>
          <w:fldChar w:fldCharType="end"/>
        </w:r>
      </w:hyperlink>
    </w:p>
    <w:p w14:paraId="74C32BAA" w14:textId="33DDA8D0"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87" w:history="1">
        <w:r w:rsidR="00270ACC" w:rsidRPr="000A3DBE">
          <w:rPr>
            <w:rStyle w:val="Hyperlink"/>
            <w:b/>
            <w:noProof/>
          </w:rPr>
          <w:t>Appendix-B EIA Positive Certificates</w:t>
        </w:r>
        <w:r w:rsidR="00270ACC">
          <w:rPr>
            <w:noProof/>
            <w:webHidden/>
          </w:rPr>
          <w:tab/>
        </w:r>
        <w:r w:rsidR="00270ACC">
          <w:rPr>
            <w:noProof/>
            <w:webHidden/>
          </w:rPr>
          <w:fldChar w:fldCharType="begin"/>
        </w:r>
        <w:r w:rsidR="00270ACC">
          <w:rPr>
            <w:noProof/>
            <w:webHidden/>
          </w:rPr>
          <w:instrText xml:space="preserve"> PAGEREF _Toc141445487 \h </w:instrText>
        </w:r>
        <w:r w:rsidR="00270ACC">
          <w:rPr>
            <w:noProof/>
            <w:webHidden/>
          </w:rPr>
        </w:r>
        <w:r w:rsidR="00270ACC">
          <w:rPr>
            <w:noProof/>
            <w:webHidden/>
          </w:rPr>
          <w:fldChar w:fldCharType="separate"/>
        </w:r>
        <w:r w:rsidR="00733598">
          <w:rPr>
            <w:noProof/>
            <w:webHidden/>
          </w:rPr>
          <w:t>231</w:t>
        </w:r>
        <w:r w:rsidR="00270ACC">
          <w:rPr>
            <w:noProof/>
            <w:webHidden/>
          </w:rPr>
          <w:fldChar w:fldCharType="end"/>
        </w:r>
      </w:hyperlink>
    </w:p>
    <w:p w14:paraId="7E6F08C6" w14:textId="6DD92CDC"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88" w:history="1">
        <w:r w:rsidR="00270ACC" w:rsidRPr="000A3DBE">
          <w:rPr>
            <w:rStyle w:val="Hyperlink"/>
            <w:b/>
            <w:noProof/>
          </w:rPr>
          <w:t>Appendix-C Permits and Opinion Letters</w:t>
        </w:r>
        <w:r w:rsidR="00270ACC">
          <w:rPr>
            <w:noProof/>
            <w:webHidden/>
          </w:rPr>
          <w:tab/>
        </w:r>
        <w:r w:rsidR="00270ACC">
          <w:rPr>
            <w:noProof/>
            <w:webHidden/>
          </w:rPr>
          <w:fldChar w:fldCharType="begin"/>
        </w:r>
        <w:r w:rsidR="00270ACC">
          <w:rPr>
            <w:noProof/>
            <w:webHidden/>
          </w:rPr>
          <w:instrText xml:space="preserve"> PAGEREF _Toc141445488 \h </w:instrText>
        </w:r>
        <w:r w:rsidR="00270ACC">
          <w:rPr>
            <w:noProof/>
            <w:webHidden/>
          </w:rPr>
        </w:r>
        <w:r w:rsidR="00270ACC">
          <w:rPr>
            <w:noProof/>
            <w:webHidden/>
          </w:rPr>
          <w:fldChar w:fldCharType="separate"/>
        </w:r>
        <w:r w:rsidR="00733598">
          <w:rPr>
            <w:noProof/>
            <w:webHidden/>
          </w:rPr>
          <w:t>234</w:t>
        </w:r>
        <w:r w:rsidR="00270ACC">
          <w:rPr>
            <w:noProof/>
            <w:webHidden/>
          </w:rPr>
          <w:fldChar w:fldCharType="end"/>
        </w:r>
      </w:hyperlink>
    </w:p>
    <w:p w14:paraId="04B0830D" w14:textId="2C17469F" w:rsidR="00270ACC" w:rsidRDefault="00EC509A">
      <w:pPr>
        <w:pStyle w:val="TOC3"/>
        <w:rPr>
          <w:rFonts w:asciiTheme="minorHAnsi" w:eastAsiaTheme="minorEastAsia" w:hAnsiTheme="minorHAnsi" w:cstheme="minorBidi"/>
          <w:noProof/>
          <w:kern w:val="2"/>
          <w:szCs w:val="22"/>
          <w:lang w:val="tr-TR" w:eastAsia="tr-TR"/>
          <w14:ligatures w14:val="standardContextual"/>
        </w:rPr>
      </w:pPr>
      <w:hyperlink w:anchor="_Toc141445489" w:history="1">
        <w:r w:rsidR="00270ACC" w:rsidRPr="000A3DBE">
          <w:rPr>
            <w:rStyle w:val="Hyperlink"/>
            <w:b/>
            <w:noProof/>
          </w:rPr>
          <w:t>Appendix-D Chance Find Procedure</w:t>
        </w:r>
        <w:r w:rsidR="00270ACC">
          <w:rPr>
            <w:noProof/>
            <w:webHidden/>
          </w:rPr>
          <w:tab/>
        </w:r>
        <w:r w:rsidR="00270ACC">
          <w:rPr>
            <w:noProof/>
            <w:webHidden/>
          </w:rPr>
          <w:fldChar w:fldCharType="begin"/>
        </w:r>
        <w:r w:rsidR="00270ACC">
          <w:rPr>
            <w:noProof/>
            <w:webHidden/>
          </w:rPr>
          <w:instrText xml:space="preserve"> PAGEREF _Toc141445489 \h </w:instrText>
        </w:r>
        <w:r w:rsidR="00270ACC">
          <w:rPr>
            <w:noProof/>
            <w:webHidden/>
          </w:rPr>
        </w:r>
        <w:r w:rsidR="00270ACC">
          <w:rPr>
            <w:noProof/>
            <w:webHidden/>
          </w:rPr>
          <w:fldChar w:fldCharType="separate"/>
        </w:r>
        <w:r w:rsidR="00733598">
          <w:rPr>
            <w:noProof/>
            <w:webHidden/>
          </w:rPr>
          <w:t>249</w:t>
        </w:r>
        <w:r w:rsidR="00270ACC">
          <w:rPr>
            <w:noProof/>
            <w:webHidden/>
          </w:rPr>
          <w:fldChar w:fldCharType="end"/>
        </w:r>
      </w:hyperlink>
    </w:p>
    <w:p w14:paraId="4B1FC74B" w14:textId="02A04B97" w:rsidR="004339AC" w:rsidRPr="00EE43C6" w:rsidRDefault="004339AC" w:rsidP="00B91168">
      <w:pPr>
        <w:pStyle w:val="Heading1"/>
        <w:numPr>
          <w:ilvl w:val="0"/>
          <w:numId w:val="0"/>
        </w:numPr>
        <w:jc w:val="center"/>
        <w:rPr>
          <w:noProof w:val="0"/>
          <w:sz w:val="24"/>
          <w:szCs w:val="24"/>
          <w:lang w:val="en-GB"/>
        </w:rPr>
      </w:pPr>
      <w:r w:rsidRPr="00EE43C6">
        <w:rPr>
          <w:noProof w:val="0"/>
          <w:sz w:val="22"/>
          <w:szCs w:val="22"/>
          <w:u w:val="single"/>
          <w:lang w:val="en-GB"/>
        </w:rPr>
        <w:lastRenderedPageBreak/>
        <w:fldChar w:fldCharType="end"/>
      </w:r>
      <w:bookmarkStart w:id="12" w:name="_Toc120016877"/>
      <w:bookmarkStart w:id="13" w:name="_Toc120004655"/>
      <w:bookmarkStart w:id="14" w:name="_Toc141445383"/>
      <w:r w:rsidRPr="00EE43C6">
        <w:rPr>
          <w:noProof w:val="0"/>
          <w:sz w:val="24"/>
          <w:szCs w:val="24"/>
          <w:lang w:val="en-GB"/>
        </w:rPr>
        <w:t>LIST OF TABLES</w:t>
      </w:r>
      <w:bookmarkEnd w:id="12"/>
      <w:bookmarkEnd w:id="13"/>
      <w:bookmarkEnd w:id="14"/>
    </w:p>
    <w:p w14:paraId="1D2D726C" w14:textId="77777777" w:rsidR="004339AC" w:rsidRPr="00EE43C6" w:rsidRDefault="004339AC" w:rsidP="00B91168">
      <w:pPr>
        <w:spacing w:after="120"/>
        <w:ind w:left="1134" w:hanging="1134"/>
        <w:jc w:val="right"/>
        <w:rPr>
          <w:rFonts w:cs="MS Gothic"/>
          <w:b/>
          <w:color w:val="4F81BD"/>
          <w:szCs w:val="22"/>
          <w:u w:val="single"/>
        </w:rPr>
      </w:pPr>
      <w:r w:rsidRPr="00EE43C6">
        <w:rPr>
          <w:rFonts w:cs="MS Gothic"/>
          <w:b/>
          <w:color w:val="4F81BD"/>
          <w:szCs w:val="22"/>
          <w:u w:val="single"/>
        </w:rPr>
        <w:t>Page</w:t>
      </w:r>
    </w:p>
    <w:p w14:paraId="67C5EC3E" w14:textId="23C1E119" w:rsidR="00270ACC" w:rsidRDefault="00E42080"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r w:rsidRPr="00EE43C6">
        <w:rPr>
          <w:bCs/>
          <w:noProof w:val="0"/>
          <w:szCs w:val="22"/>
          <w:lang w:val="en-GB"/>
        </w:rPr>
        <w:fldChar w:fldCharType="begin"/>
      </w:r>
      <w:r w:rsidRPr="00EE43C6">
        <w:rPr>
          <w:bCs/>
          <w:noProof w:val="0"/>
          <w:szCs w:val="22"/>
          <w:lang w:val="en-GB"/>
        </w:rPr>
        <w:instrText xml:space="preserve"> TOC \h \z \c "Table" </w:instrText>
      </w:r>
      <w:r w:rsidRPr="00EE43C6">
        <w:rPr>
          <w:bCs/>
          <w:noProof w:val="0"/>
          <w:szCs w:val="22"/>
          <w:lang w:val="en-GB"/>
        </w:rPr>
        <w:fldChar w:fldCharType="separate"/>
      </w:r>
      <w:hyperlink w:anchor="_Toc141445490" w:history="1">
        <w:r w:rsidR="00270ACC" w:rsidRPr="00882E71">
          <w:rPr>
            <w:rStyle w:val="Hyperlink"/>
          </w:rPr>
          <w:t>Table 0</w:t>
        </w:r>
        <w:r w:rsidR="00270ACC" w:rsidRPr="00882E71">
          <w:rPr>
            <w:rStyle w:val="Hyperlink"/>
          </w:rPr>
          <w:noBreakHyphen/>
          <w:t xml:space="preserve">1. </w:t>
        </w:r>
        <w:r w:rsidR="00270ACC" w:rsidRPr="00882E71">
          <w:rPr>
            <w:rStyle w:val="Hyperlink"/>
            <w:rFonts w:eastAsiaTheme="minorHAnsi"/>
          </w:rPr>
          <w:t>Summary Table of Loan Usage in the OIZ</w:t>
        </w:r>
        <w:r w:rsidR="00270ACC">
          <w:rPr>
            <w:webHidden/>
          </w:rPr>
          <w:tab/>
        </w:r>
        <w:r w:rsidR="00270ACC">
          <w:rPr>
            <w:webHidden/>
          </w:rPr>
          <w:fldChar w:fldCharType="begin"/>
        </w:r>
        <w:r w:rsidR="00270ACC">
          <w:rPr>
            <w:webHidden/>
          </w:rPr>
          <w:instrText xml:space="preserve"> PAGEREF _Toc141445490 \h </w:instrText>
        </w:r>
        <w:r w:rsidR="00270ACC">
          <w:rPr>
            <w:webHidden/>
          </w:rPr>
        </w:r>
        <w:r w:rsidR="00270ACC">
          <w:rPr>
            <w:webHidden/>
          </w:rPr>
          <w:fldChar w:fldCharType="separate"/>
        </w:r>
        <w:r w:rsidR="00733598">
          <w:rPr>
            <w:webHidden/>
          </w:rPr>
          <w:t>2</w:t>
        </w:r>
        <w:r w:rsidR="00270ACC">
          <w:rPr>
            <w:webHidden/>
          </w:rPr>
          <w:fldChar w:fldCharType="end"/>
        </w:r>
      </w:hyperlink>
    </w:p>
    <w:p w14:paraId="2F04F066" w14:textId="5F111C8B"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491" w:history="1">
        <w:r w:rsidR="00270ACC" w:rsidRPr="00882E71">
          <w:rPr>
            <w:rStyle w:val="Hyperlink"/>
          </w:rPr>
          <w:t>Table 0</w:t>
        </w:r>
        <w:r w:rsidR="00270ACC" w:rsidRPr="00882E71">
          <w:rPr>
            <w:rStyle w:val="Hyperlink"/>
          </w:rPr>
          <w:noBreakHyphen/>
          <w:t>2. E&amp;S Documents Recommended for the Subproject</w:t>
        </w:r>
        <w:r w:rsidR="00270ACC">
          <w:rPr>
            <w:webHidden/>
          </w:rPr>
          <w:tab/>
        </w:r>
        <w:r w:rsidR="00270ACC">
          <w:rPr>
            <w:webHidden/>
          </w:rPr>
          <w:fldChar w:fldCharType="begin"/>
        </w:r>
        <w:r w:rsidR="00270ACC">
          <w:rPr>
            <w:webHidden/>
          </w:rPr>
          <w:instrText xml:space="preserve"> PAGEREF _Toc141445491 \h </w:instrText>
        </w:r>
        <w:r w:rsidR="00270ACC">
          <w:rPr>
            <w:webHidden/>
          </w:rPr>
        </w:r>
        <w:r w:rsidR="00270ACC">
          <w:rPr>
            <w:webHidden/>
          </w:rPr>
          <w:fldChar w:fldCharType="separate"/>
        </w:r>
        <w:r w:rsidR="00733598">
          <w:rPr>
            <w:webHidden/>
          </w:rPr>
          <w:t>3</w:t>
        </w:r>
        <w:r w:rsidR="00270ACC">
          <w:rPr>
            <w:webHidden/>
          </w:rPr>
          <w:fldChar w:fldCharType="end"/>
        </w:r>
      </w:hyperlink>
    </w:p>
    <w:p w14:paraId="6B8745C7" w14:textId="40485BE8"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492" w:history="1">
        <w:r w:rsidR="00270ACC" w:rsidRPr="00882E71">
          <w:rPr>
            <w:rStyle w:val="Hyperlink"/>
          </w:rPr>
          <w:t>Table 1</w:t>
        </w:r>
        <w:r w:rsidR="00270ACC" w:rsidRPr="00882E71">
          <w:rPr>
            <w:rStyle w:val="Hyperlink"/>
          </w:rPr>
          <w:noBreakHyphen/>
          <w:t>1. Training Program</w:t>
        </w:r>
        <w:r w:rsidR="00270ACC">
          <w:rPr>
            <w:webHidden/>
          </w:rPr>
          <w:tab/>
        </w:r>
        <w:r w:rsidR="00270ACC">
          <w:rPr>
            <w:webHidden/>
          </w:rPr>
          <w:fldChar w:fldCharType="begin"/>
        </w:r>
        <w:r w:rsidR="00270ACC">
          <w:rPr>
            <w:webHidden/>
          </w:rPr>
          <w:instrText xml:space="preserve"> PAGEREF _Toc141445492 \h </w:instrText>
        </w:r>
        <w:r w:rsidR="00270ACC">
          <w:rPr>
            <w:webHidden/>
          </w:rPr>
        </w:r>
        <w:r w:rsidR="00270ACC">
          <w:rPr>
            <w:webHidden/>
          </w:rPr>
          <w:fldChar w:fldCharType="separate"/>
        </w:r>
        <w:r w:rsidR="00733598">
          <w:rPr>
            <w:webHidden/>
          </w:rPr>
          <w:t>12</w:t>
        </w:r>
        <w:r w:rsidR="00270ACC">
          <w:rPr>
            <w:webHidden/>
          </w:rPr>
          <w:fldChar w:fldCharType="end"/>
        </w:r>
      </w:hyperlink>
    </w:p>
    <w:p w14:paraId="3F8CE37F" w14:textId="0A319879"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493" w:history="1">
        <w:r w:rsidR="00270ACC" w:rsidRPr="00882E71">
          <w:rPr>
            <w:rStyle w:val="Hyperlink"/>
          </w:rPr>
          <w:t>Table 3</w:t>
        </w:r>
        <w:r w:rsidR="00270ACC" w:rsidRPr="00882E71">
          <w:rPr>
            <w:rStyle w:val="Hyperlink"/>
          </w:rPr>
          <w:noBreakHyphen/>
          <w:t>1. National Environmental and Social Legal and Policy Framework</w:t>
        </w:r>
        <w:r w:rsidR="00270ACC">
          <w:rPr>
            <w:webHidden/>
          </w:rPr>
          <w:tab/>
        </w:r>
        <w:r w:rsidR="00270ACC">
          <w:rPr>
            <w:webHidden/>
          </w:rPr>
          <w:fldChar w:fldCharType="begin"/>
        </w:r>
        <w:r w:rsidR="00270ACC">
          <w:rPr>
            <w:webHidden/>
          </w:rPr>
          <w:instrText xml:space="preserve"> PAGEREF _Toc141445493 \h </w:instrText>
        </w:r>
        <w:r w:rsidR="00270ACC">
          <w:rPr>
            <w:webHidden/>
          </w:rPr>
        </w:r>
        <w:r w:rsidR="00270ACC">
          <w:rPr>
            <w:webHidden/>
          </w:rPr>
          <w:fldChar w:fldCharType="separate"/>
        </w:r>
        <w:r w:rsidR="00733598">
          <w:rPr>
            <w:webHidden/>
          </w:rPr>
          <w:t>30</w:t>
        </w:r>
        <w:r w:rsidR="00270ACC">
          <w:rPr>
            <w:webHidden/>
          </w:rPr>
          <w:fldChar w:fldCharType="end"/>
        </w:r>
      </w:hyperlink>
    </w:p>
    <w:p w14:paraId="1B0050E3" w14:textId="453E1DA5"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494" w:history="1">
        <w:r w:rsidR="00270ACC" w:rsidRPr="00882E71">
          <w:rPr>
            <w:rStyle w:val="Hyperlink"/>
          </w:rPr>
          <w:t>Table 3</w:t>
        </w:r>
        <w:r w:rsidR="00270ACC" w:rsidRPr="00882E71">
          <w:rPr>
            <w:rStyle w:val="Hyperlink"/>
          </w:rPr>
          <w:noBreakHyphen/>
          <w:t>2. Inter</w:t>
        </w:r>
        <w:r w:rsidR="00270ACC" w:rsidRPr="00882E71">
          <w:rPr>
            <w:rStyle w:val="Hyperlink"/>
            <w:rFonts w:eastAsiaTheme="minorHAnsi"/>
          </w:rPr>
          <w:t>national Legislation (Chronological)</w:t>
        </w:r>
        <w:r w:rsidR="00270ACC">
          <w:rPr>
            <w:webHidden/>
          </w:rPr>
          <w:tab/>
        </w:r>
        <w:r w:rsidR="00270ACC">
          <w:rPr>
            <w:webHidden/>
          </w:rPr>
          <w:fldChar w:fldCharType="begin"/>
        </w:r>
        <w:r w:rsidR="00270ACC">
          <w:rPr>
            <w:webHidden/>
          </w:rPr>
          <w:instrText xml:space="preserve"> PAGEREF _Toc141445494 \h </w:instrText>
        </w:r>
        <w:r w:rsidR="00270ACC">
          <w:rPr>
            <w:webHidden/>
          </w:rPr>
        </w:r>
        <w:r w:rsidR="00270ACC">
          <w:rPr>
            <w:webHidden/>
          </w:rPr>
          <w:fldChar w:fldCharType="separate"/>
        </w:r>
        <w:r w:rsidR="00733598">
          <w:rPr>
            <w:webHidden/>
          </w:rPr>
          <w:t>37</w:t>
        </w:r>
        <w:r w:rsidR="00270ACC">
          <w:rPr>
            <w:webHidden/>
          </w:rPr>
          <w:fldChar w:fldCharType="end"/>
        </w:r>
      </w:hyperlink>
    </w:p>
    <w:p w14:paraId="762BCE75" w14:textId="7D8702D7"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495" w:history="1">
        <w:r w:rsidR="00270ACC" w:rsidRPr="00882E71">
          <w:rPr>
            <w:rStyle w:val="Hyperlink"/>
          </w:rPr>
          <w:t>Table 3</w:t>
        </w:r>
        <w:r w:rsidR="00270ACC" w:rsidRPr="00882E71">
          <w:rPr>
            <w:rStyle w:val="Hyperlink"/>
          </w:rPr>
          <w:noBreakHyphen/>
          <w:t>3. Comparison between the World Bank ESSs and the National Legislation</w:t>
        </w:r>
        <w:r w:rsidR="00270ACC">
          <w:rPr>
            <w:webHidden/>
          </w:rPr>
          <w:tab/>
        </w:r>
        <w:r w:rsidR="00270ACC">
          <w:rPr>
            <w:webHidden/>
          </w:rPr>
          <w:fldChar w:fldCharType="begin"/>
        </w:r>
        <w:r w:rsidR="00270ACC">
          <w:rPr>
            <w:webHidden/>
          </w:rPr>
          <w:instrText xml:space="preserve"> PAGEREF _Toc141445495 \h </w:instrText>
        </w:r>
        <w:r w:rsidR="00270ACC">
          <w:rPr>
            <w:webHidden/>
          </w:rPr>
        </w:r>
        <w:r w:rsidR="00270ACC">
          <w:rPr>
            <w:webHidden/>
          </w:rPr>
          <w:fldChar w:fldCharType="separate"/>
        </w:r>
        <w:r w:rsidR="00733598">
          <w:rPr>
            <w:webHidden/>
          </w:rPr>
          <w:t>44</w:t>
        </w:r>
        <w:r w:rsidR="00270ACC">
          <w:rPr>
            <w:webHidden/>
          </w:rPr>
          <w:fldChar w:fldCharType="end"/>
        </w:r>
      </w:hyperlink>
    </w:p>
    <w:p w14:paraId="099C4EFA" w14:textId="5E6C32EA"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496" w:history="1">
        <w:r w:rsidR="00270ACC" w:rsidRPr="00882E71">
          <w:rPr>
            <w:rStyle w:val="Hyperlink"/>
          </w:rPr>
          <w:t>Table 4</w:t>
        </w:r>
        <w:r w:rsidR="00270ACC" w:rsidRPr="00882E71">
          <w:rPr>
            <w:rStyle w:val="Hyperlink"/>
          </w:rPr>
          <w:noBreakHyphen/>
          <w:t>1. Monthly Average Air Quality Parameters in Mersin</w:t>
        </w:r>
        <w:r w:rsidR="00270ACC">
          <w:rPr>
            <w:webHidden/>
          </w:rPr>
          <w:tab/>
        </w:r>
        <w:r w:rsidR="00270ACC">
          <w:rPr>
            <w:webHidden/>
          </w:rPr>
          <w:fldChar w:fldCharType="begin"/>
        </w:r>
        <w:r w:rsidR="00270ACC">
          <w:rPr>
            <w:webHidden/>
          </w:rPr>
          <w:instrText xml:space="preserve"> PAGEREF _Toc141445496 \h </w:instrText>
        </w:r>
        <w:r w:rsidR="00270ACC">
          <w:rPr>
            <w:webHidden/>
          </w:rPr>
        </w:r>
        <w:r w:rsidR="00270ACC">
          <w:rPr>
            <w:webHidden/>
          </w:rPr>
          <w:fldChar w:fldCharType="separate"/>
        </w:r>
        <w:r w:rsidR="00733598">
          <w:rPr>
            <w:webHidden/>
          </w:rPr>
          <w:t>59</w:t>
        </w:r>
        <w:r w:rsidR="00270ACC">
          <w:rPr>
            <w:webHidden/>
          </w:rPr>
          <w:fldChar w:fldCharType="end"/>
        </w:r>
      </w:hyperlink>
    </w:p>
    <w:p w14:paraId="4C8E72A9" w14:textId="40B3115E"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497" w:history="1">
        <w:r w:rsidR="00270ACC" w:rsidRPr="00882E71">
          <w:rPr>
            <w:rStyle w:val="Hyperlink"/>
          </w:rPr>
          <w:t>Table 4</w:t>
        </w:r>
        <w:r w:rsidR="00270ACC" w:rsidRPr="00882E71">
          <w:rPr>
            <w:rStyle w:val="Hyperlink"/>
          </w:rPr>
          <w:noBreakHyphen/>
          <w:t xml:space="preserve">2. </w:t>
        </w:r>
        <w:r w:rsidR="00270ACC" w:rsidRPr="00882E71">
          <w:rPr>
            <w:rStyle w:val="Hyperlink"/>
            <w:rFonts w:cs="MS Gothic"/>
          </w:rPr>
          <w:t>According to the Months and Annual Average Precipitation and Temperature Values of Mersin</w:t>
        </w:r>
        <w:r w:rsidR="00270ACC">
          <w:rPr>
            <w:webHidden/>
          </w:rPr>
          <w:tab/>
        </w:r>
        <w:r w:rsidR="00270ACC">
          <w:rPr>
            <w:webHidden/>
          </w:rPr>
          <w:fldChar w:fldCharType="begin"/>
        </w:r>
        <w:r w:rsidR="00270ACC">
          <w:rPr>
            <w:webHidden/>
          </w:rPr>
          <w:instrText xml:space="preserve"> PAGEREF _Toc141445497 \h </w:instrText>
        </w:r>
        <w:r w:rsidR="00270ACC">
          <w:rPr>
            <w:webHidden/>
          </w:rPr>
        </w:r>
        <w:r w:rsidR="00270ACC">
          <w:rPr>
            <w:webHidden/>
          </w:rPr>
          <w:fldChar w:fldCharType="separate"/>
        </w:r>
        <w:r w:rsidR="00733598">
          <w:rPr>
            <w:webHidden/>
          </w:rPr>
          <w:t>64</w:t>
        </w:r>
        <w:r w:rsidR="00270ACC">
          <w:rPr>
            <w:webHidden/>
          </w:rPr>
          <w:fldChar w:fldCharType="end"/>
        </w:r>
      </w:hyperlink>
    </w:p>
    <w:p w14:paraId="0FD18CD2" w14:textId="6E59AA08"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498" w:history="1">
        <w:r w:rsidR="00270ACC" w:rsidRPr="00882E71">
          <w:rPr>
            <w:rStyle w:val="Hyperlink"/>
          </w:rPr>
          <w:t>Table 4</w:t>
        </w:r>
        <w:r w:rsidR="00270ACC" w:rsidRPr="00882E71">
          <w:rPr>
            <w:rStyle w:val="Hyperlink"/>
          </w:rPr>
          <w:noBreakHyphen/>
          <w:t xml:space="preserve">3. </w:t>
        </w:r>
        <w:r w:rsidR="00270ACC" w:rsidRPr="00882E71">
          <w:rPr>
            <w:rStyle w:val="Hyperlink"/>
            <w:rFonts w:cs="MS Gothic"/>
          </w:rPr>
          <w:t xml:space="preserve">Flora Species Identified in the AoI as a Result of Studies  </w:t>
        </w:r>
        <w:r w:rsidR="00270ACC">
          <w:rPr>
            <w:webHidden/>
          </w:rPr>
          <w:tab/>
        </w:r>
        <w:r w:rsidR="00270ACC">
          <w:rPr>
            <w:webHidden/>
          </w:rPr>
          <w:fldChar w:fldCharType="begin"/>
        </w:r>
        <w:r w:rsidR="00270ACC">
          <w:rPr>
            <w:webHidden/>
          </w:rPr>
          <w:instrText xml:space="preserve"> PAGEREF _Toc141445498 \h </w:instrText>
        </w:r>
        <w:r w:rsidR="00270ACC">
          <w:rPr>
            <w:webHidden/>
          </w:rPr>
        </w:r>
        <w:r w:rsidR="00270ACC">
          <w:rPr>
            <w:webHidden/>
          </w:rPr>
          <w:fldChar w:fldCharType="separate"/>
        </w:r>
        <w:r w:rsidR="00733598">
          <w:rPr>
            <w:webHidden/>
          </w:rPr>
          <w:t>69</w:t>
        </w:r>
        <w:r w:rsidR="00270ACC">
          <w:rPr>
            <w:webHidden/>
          </w:rPr>
          <w:fldChar w:fldCharType="end"/>
        </w:r>
      </w:hyperlink>
    </w:p>
    <w:p w14:paraId="75141C71" w14:textId="196EB05E"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499" w:history="1">
        <w:r w:rsidR="00270ACC" w:rsidRPr="00882E71">
          <w:rPr>
            <w:rStyle w:val="Hyperlink"/>
          </w:rPr>
          <w:t>Table 4</w:t>
        </w:r>
        <w:r w:rsidR="00270ACC" w:rsidRPr="00882E71">
          <w:rPr>
            <w:rStyle w:val="Hyperlink"/>
          </w:rPr>
          <w:noBreakHyphen/>
          <w:t xml:space="preserve">4. </w:t>
        </w:r>
        <w:r w:rsidR="00270ACC" w:rsidRPr="00882E71">
          <w:rPr>
            <w:rStyle w:val="Hyperlink"/>
            <w:rFonts w:cs="MS Gothic"/>
          </w:rPr>
          <w:t>Amphibian Species Identified in the AoI as a Result of Studies</w:t>
        </w:r>
        <w:r w:rsidR="00270ACC">
          <w:rPr>
            <w:webHidden/>
          </w:rPr>
          <w:tab/>
        </w:r>
        <w:r w:rsidR="00270ACC">
          <w:rPr>
            <w:webHidden/>
          </w:rPr>
          <w:fldChar w:fldCharType="begin"/>
        </w:r>
        <w:r w:rsidR="00270ACC">
          <w:rPr>
            <w:webHidden/>
          </w:rPr>
          <w:instrText xml:space="preserve"> PAGEREF _Toc141445499 \h </w:instrText>
        </w:r>
        <w:r w:rsidR="00270ACC">
          <w:rPr>
            <w:webHidden/>
          </w:rPr>
        </w:r>
        <w:r w:rsidR="00270ACC">
          <w:rPr>
            <w:webHidden/>
          </w:rPr>
          <w:fldChar w:fldCharType="separate"/>
        </w:r>
        <w:r w:rsidR="00733598">
          <w:rPr>
            <w:webHidden/>
          </w:rPr>
          <w:t>76</w:t>
        </w:r>
        <w:r w:rsidR="00270ACC">
          <w:rPr>
            <w:webHidden/>
          </w:rPr>
          <w:fldChar w:fldCharType="end"/>
        </w:r>
      </w:hyperlink>
    </w:p>
    <w:p w14:paraId="1F94182F" w14:textId="6DD99E3B"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00" w:history="1">
        <w:r w:rsidR="00270ACC" w:rsidRPr="00882E71">
          <w:rPr>
            <w:rStyle w:val="Hyperlink"/>
          </w:rPr>
          <w:t>Table 4</w:t>
        </w:r>
        <w:r w:rsidR="00270ACC" w:rsidRPr="00882E71">
          <w:rPr>
            <w:rStyle w:val="Hyperlink"/>
          </w:rPr>
          <w:noBreakHyphen/>
          <w:t xml:space="preserve">5. </w:t>
        </w:r>
        <w:r w:rsidR="00270ACC" w:rsidRPr="00882E71">
          <w:rPr>
            <w:rStyle w:val="Hyperlink"/>
            <w:rFonts w:cs="MS Gothic"/>
          </w:rPr>
          <w:t>Reptilian Species Identified in the AoI as a Result of Studies</w:t>
        </w:r>
        <w:r w:rsidR="00270ACC">
          <w:rPr>
            <w:webHidden/>
          </w:rPr>
          <w:tab/>
        </w:r>
        <w:r w:rsidR="00270ACC">
          <w:rPr>
            <w:webHidden/>
          </w:rPr>
          <w:fldChar w:fldCharType="begin"/>
        </w:r>
        <w:r w:rsidR="00270ACC">
          <w:rPr>
            <w:webHidden/>
          </w:rPr>
          <w:instrText xml:space="preserve"> PAGEREF _Toc141445500 \h </w:instrText>
        </w:r>
        <w:r w:rsidR="00270ACC">
          <w:rPr>
            <w:webHidden/>
          </w:rPr>
        </w:r>
        <w:r w:rsidR="00270ACC">
          <w:rPr>
            <w:webHidden/>
          </w:rPr>
          <w:fldChar w:fldCharType="separate"/>
        </w:r>
        <w:r w:rsidR="00733598">
          <w:rPr>
            <w:webHidden/>
          </w:rPr>
          <w:t>76</w:t>
        </w:r>
        <w:r w:rsidR="00270ACC">
          <w:rPr>
            <w:webHidden/>
          </w:rPr>
          <w:fldChar w:fldCharType="end"/>
        </w:r>
      </w:hyperlink>
    </w:p>
    <w:p w14:paraId="0F7083BE" w14:textId="65D4BA20"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01" w:history="1">
        <w:r w:rsidR="00270ACC" w:rsidRPr="00882E71">
          <w:rPr>
            <w:rStyle w:val="Hyperlink"/>
          </w:rPr>
          <w:t>Table 4</w:t>
        </w:r>
        <w:r w:rsidR="00270ACC" w:rsidRPr="00882E71">
          <w:rPr>
            <w:rStyle w:val="Hyperlink"/>
          </w:rPr>
          <w:noBreakHyphen/>
          <w:t xml:space="preserve">6. Bird </w:t>
        </w:r>
        <w:r w:rsidR="00270ACC" w:rsidRPr="00882E71">
          <w:rPr>
            <w:rStyle w:val="Hyperlink"/>
            <w:rFonts w:cs="MS Gothic"/>
          </w:rPr>
          <w:t xml:space="preserve">Species Identified in the AoI as a Result of Studies </w:t>
        </w:r>
        <w:r w:rsidR="00270ACC">
          <w:rPr>
            <w:webHidden/>
          </w:rPr>
          <w:tab/>
        </w:r>
        <w:r w:rsidR="00270ACC">
          <w:rPr>
            <w:webHidden/>
          </w:rPr>
          <w:fldChar w:fldCharType="begin"/>
        </w:r>
        <w:r w:rsidR="00270ACC">
          <w:rPr>
            <w:webHidden/>
          </w:rPr>
          <w:instrText xml:space="preserve"> PAGEREF _Toc141445501 \h </w:instrText>
        </w:r>
        <w:r w:rsidR="00270ACC">
          <w:rPr>
            <w:webHidden/>
          </w:rPr>
        </w:r>
        <w:r w:rsidR="00270ACC">
          <w:rPr>
            <w:webHidden/>
          </w:rPr>
          <w:fldChar w:fldCharType="separate"/>
        </w:r>
        <w:r w:rsidR="00733598">
          <w:rPr>
            <w:webHidden/>
          </w:rPr>
          <w:t>78</w:t>
        </w:r>
        <w:r w:rsidR="00270ACC">
          <w:rPr>
            <w:webHidden/>
          </w:rPr>
          <w:fldChar w:fldCharType="end"/>
        </w:r>
      </w:hyperlink>
    </w:p>
    <w:p w14:paraId="6A7ABA22" w14:textId="5133EBD1"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02" w:history="1">
        <w:r w:rsidR="00270ACC" w:rsidRPr="00882E71">
          <w:rPr>
            <w:rStyle w:val="Hyperlink"/>
          </w:rPr>
          <w:t>Table 4</w:t>
        </w:r>
        <w:r w:rsidR="00270ACC" w:rsidRPr="00882E71">
          <w:rPr>
            <w:rStyle w:val="Hyperlink"/>
          </w:rPr>
          <w:noBreakHyphen/>
          <w:t xml:space="preserve">7. </w:t>
        </w:r>
        <w:r w:rsidR="00270ACC" w:rsidRPr="00882E71">
          <w:rPr>
            <w:rStyle w:val="Hyperlink"/>
            <w:rFonts w:cs="MS Gothic"/>
          </w:rPr>
          <w:t>Mammal Species Identified in the AoI as a Result of Studies</w:t>
        </w:r>
        <w:r w:rsidR="00270ACC">
          <w:rPr>
            <w:webHidden/>
          </w:rPr>
          <w:tab/>
        </w:r>
        <w:r w:rsidR="00270ACC">
          <w:rPr>
            <w:webHidden/>
          </w:rPr>
          <w:fldChar w:fldCharType="begin"/>
        </w:r>
        <w:r w:rsidR="00270ACC">
          <w:rPr>
            <w:webHidden/>
          </w:rPr>
          <w:instrText xml:space="preserve"> PAGEREF _Toc141445502 \h </w:instrText>
        </w:r>
        <w:r w:rsidR="00270ACC">
          <w:rPr>
            <w:webHidden/>
          </w:rPr>
        </w:r>
        <w:r w:rsidR="00270ACC">
          <w:rPr>
            <w:webHidden/>
          </w:rPr>
          <w:fldChar w:fldCharType="separate"/>
        </w:r>
        <w:r w:rsidR="00733598">
          <w:rPr>
            <w:webHidden/>
          </w:rPr>
          <w:t>81</w:t>
        </w:r>
        <w:r w:rsidR="00270ACC">
          <w:rPr>
            <w:webHidden/>
          </w:rPr>
          <w:fldChar w:fldCharType="end"/>
        </w:r>
      </w:hyperlink>
    </w:p>
    <w:p w14:paraId="01438757" w14:textId="4DD969E0"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03" w:history="1">
        <w:r w:rsidR="00270ACC" w:rsidRPr="00882E71">
          <w:rPr>
            <w:rStyle w:val="Hyperlink"/>
          </w:rPr>
          <w:t>Table 4</w:t>
        </w:r>
        <w:r w:rsidR="00270ACC" w:rsidRPr="00882E71">
          <w:rPr>
            <w:rStyle w:val="Hyperlink"/>
          </w:rPr>
          <w:noBreakHyphen/>
          <w:t xml:space="preserve">8. </w:t>
        </w:r>
        <w:r w:rsidR="00270ACC" w:rsidRPr="00882E71">
          <w:rPr>
            <w:rStyle w:val="Hyperlink"/>
            <w:rFonts w:cs="MS Gothic"/>
          </w:rPr>
          <w:t>Identified threatened fauna species according to the IUCN red list in the AoI</w:t>
        </w:r>
        <w:r w:rsidR="00270ACC">
          <w:rPr>
            <w:webHidden/>
          </w:rPr>
          <w:tab/>
        </w:r>
        <w:r w:rsidR="00270ACC">
          <w:rPr>
            <w:webHidden/>
          </w:rPr>
          <w:fldChar w:fldCharType="begin"/>
        </w:r>
        <w:r w:rsidR="00270ACC">
          <w:rPr>
            <w:webHidden/>
          </w:rPr>
          <w:instrText xml:space="preserve"> PAGEREF _Toc141445503 \h </w:instrText>
        </w:r>
        <w:r w:rsidR="00270ACC">
          <w:rPr>
            <w:webHidden/>
          </w:rPr>
        </w:r>
        <w:r w:rsidR="00270ACC">
          <w:rPr>
            <w:webHidden/>
          </w:rPr>
          <w:fldChar w:fldCharType="separate"/>
        </w:r>
        <w:r w:rsidR="00733598">
          <w:rPr>
            <w:webHidden/>
          </w:rPr>
          <w:t>83</w:t>
        </w:r>
        <w:r w:rsidR="00270ACC">
          <w:rPr>
            <w:webHidden/>
          </w:rPr>
          <w:fldChar w:fldCharType="end"/>
        </w:r>
      </w:hyperlink>
    </w:p>
    <w:p w14:paraId="16ABD80B" w14:textId="361DD4D7"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04" w:history="1">
        <w:r w:rsidR="00270ACC" w:rsidRPr="00882E71">
          <w:rPr>
            <w:rStyle w:val="Hyperlink"/>
          </w:rPr>
          <w:t>Table 4</w:t>
        </w:r>
        <w:r w:rsidR="00270ACC" w:rsidRPr="00882E71">
          <w:rPr>
            <w:rStyle w:val="Hyperlink"/>
          </w:rPr>
          <w:noBreakHyphen/>
          <w:t xml:space="preserve">9. </w:t>
        </w:r>
        <w:r w:rsidR="00270ACC" w:rsidRPr="00882E71">
          <w:rPr>
            <w:rStyle w:val="Hyperlink"/>
            <w:rFonts w:cs="MS Gothic"/>
          </w:rPr>
          <w:t>Identified endemic species in the AoI</w:t>
        </w:r>
        <w:r w:rsidR="00270ACC">
          <w:rPr>
            <w:webHidden/>
          </w:rPr>
          <w:tab/>
        </w:r>
        <w:r w:rsidR="00270ACC">
          <w:rPr>
            <w:webHidden/>
          </w:rPr>
          <w:fldChar w:fldCharType="begin"/>
        </w:r>
        <w:r w:rsidR="00270ACC">
          <w:rPr>
            <w:webHidden/>
          </w:rPr>
          <w:instrText xml:space="preserve"> PAGEREF _Toc141445504 \h </w:instrText>
        </w:r>
        <w:r w:rsidR="00270ACC">
          <w:rPr>
            <w:webHidden/>
          </w:rPr>
        </w:r>
        <w:r w:rsidR="00270ACC">
          <w:rPr>
            <w:webHidden/>
          </w:rPr>
          <w:fldChar w:fldCharType="separate"/>
        </w:r>
        <w:r w:rsidR="00733598">
          <w:rPr>
            <w:webHidden/>
          </w:rPr>
          <w:t>85</w:t>
        </w:r>
        <w:r w:rsidR="00270ACC">
          <w:rPr>
            <w:webHidden/>
          </w:rPr>
          <w:fldChar w:fldCharType="end"/>
        </w:r>
      </w:hyperlink>
    </w:p>
    <w:p w14:paraId="598BE3C1" w14:textId="310AEDFE"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05" w:history="1">
        <w:r w:rsidR="00270ACC" w:rsidRPr="00882E71">
          <w:rPr>
            <w:rStyle w:val="Hyperlink"/>
          </w:rPr>
          <w:t>Table 5</w:t>
        </w:r>
        <w:r w:rsidR="00270ACC" w:rsidRPr="00882E71">
          <w:rPr>
            <w:rStyle w:val="Hyperlink"/>
          </w:rPr>
          <w:noBreakHyphen/>
          <w:t xml:space="preserve">1. </w:t>
        </w:r>
        <w:r w:rsidR="00270ACC" w:rsidRPr="00882E71">
          <w:rPr>
            <w:rStyle w:val="Hyperlink"/>
            <w:rFonts w:cs="Wingdings"/>
          </w:rPr>
          <w:t>Common Economic Activities in the Project Area</w:t>
        </w:r>
        <w:r w:rsidR="00270ACC">
          <w:rPr>
            <w:webHidden/>
          </w:rPr>
          <w:tab/>
        </w:r>
        <w:r w:rsidR="00270ACC">
          <w:rPr>
            <w:webHidden/>
          </w:rPr>
          <w:fldChar w:fldCharType="begin"/>
        </w:r>
        <w:r w:rsidR="00270ACC">
          <w:rPr>
            <w:webHidden/>
          </w:rPr>
          <w:instrText xml:space="preserve"> PAGEREF _Toc141445505 \h </w:instrText>
        </w:r>
        <w:r w:rsidR="00270ACC">
          <w:rPr>
            <w:webHidden/>
          </w:rPr>
        </w:r>
        <w:r w:rsidR="00270ACC">
          <w:rPr>
            <w:webHidden/>
          </w:rPr>
          <w:fldChar w:fldCharType="separate"/>
        </w:r>
        <w:r w:rsidR="00733598">
          <w:rPr>
            <w:webHidden/>
          </w:rPr>
          <w:t>91</w:t>
        </w:r>
        <w:r w:rsidR="00270ACC">
          <w:rPr>
            <w:webHidden/>
          </w:rPr>
          <w:fldChar w:fldCharType="end"/>
        </w:r>
      </w:hyperlink>
    </w:p>
    <w:p w14:paraId="66AD4C93" w14:textId="5E37317D"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06" w:history="1">
        <w:r w:rsidR="00270ACC" w:rsidRPr="00882E71">
          <w:rPr>
            <w:rStyle w:val="Hyperlink"/>
          </w:rPr>
          <w:t>Table 5</w:t>
        </w:r>
        <w:r w:rsidR="00270ACC" w:rsidRPr="00882E71">
          <w:rPr>
            <w:rStyle w:val="Hyperlink"/>
          </w:rPr>
          <w:noBreakHyphen/>
          <w:t>2. Vulnerable/Disadvantaged Individuals/Groups in the Project Area</w:t>
        </w:r>
        <w:r w:rsidR="00270ACC">
          <w:rPr>
            <w:webHidden/>
          </w:rPr>
          <w:tab/>
        </w:r>
        <w:r w:rsidR="00270ACC">
          <w:rPr>
            <w:webHidden/>
          </w:rPr>
          <w:fldChar w:fldCharType="begin"/>
        </w:r>
        <w:r w:rsidR="00270ACC">
          <w:rPr>
            <w:webHidden/>
          </w:rPr>
          <w:instrText xml:space="preserve"> PAGEREF _Toc141445506 \h </w:instrText>
        </w:r>
        <w:r w:rsidR="00270ACC">
          <w:rPr>
            <w:webHidden/>
          </w:rPr>
        </w:r>
        <w:r w:rsidR="00270ACC">
          <w:rPr>
            <w:webHidden/>
          </w:rPr>
          <w:fldChar w:fldCharType="separate"/>
        </w:r>
        <w:r w:rsidR="00733598">
          <w:rPr>
            <w:webHidden/>
          </w:rPr>
          <w:t>93</w:t>
        </w:r>
        <w:r w:rsidR="00270ACC">
          <w:rPr>
            <w:webHidden/>
          </w:rPr>
          <w:fldChar w:fldCharType="end"/>
        </w:r>
      </w:hyperlink>
    </w:p>
    <w:p w14:paraId="215F8350" w14:textId="1DB2E3A0"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07" w:history="1">
        <w:r w:rsidR="00270ACC" w:rsidRPr="00882E71">
          <w:rPr>
            <w:rStyle w:val="Hyperlink"/>
          </w:rPr>
          <w:t>Table 5</w:t>
        </w:r>
        <w:r w:rsidR="00270ACC" w:rsidRPr="00882E71">
          <w:rPr>
            <w:rStyle w:val="Hyperlink"/>
          </w:rPr>
          <w:noBreakHyphen/>
          <w:t xml:space="preserve">3. </w:t>
        </w:r>
        <w:r w:rsidR="00270ACC" w:rsidRPr="00882E71">
          <w:rPr>
            <w:rStyle w:val="Hyperlink"/>
            <w:rFonts w:eastAsia="Calibri"/>
            <w:iCs/>
            <w14:props3d w14:extrusionH="0" w14:contourW="0" w14:prstMaterial="matte"/>
          </w:rPr>
          <w:t>Unemployment in the Settlements</w:t>
        </w:r>
        <w:r w:rsidR="00270ACC">
          <w:rPr>
            <w:webHidden/>
          </w:rPr>
          <w:tab/>
        </w:r>
        <w:r w:rsidR="00270ACC">
          <w:rPr>
            <w:webHidden/>
          </w:rPr>
          <w:fldChar w:fldCharType="begin"/>
        </w:r>
        <w:r w:rsidR="00270ACC">
          <w:rPr>
            <w:webHidden/>
          </w:rPr>
          <w:instrText xml:space="preserve"> PAGEREF _Toc141445507 \h </w:instrText>
        </w:r>
        <w:r w:rsidR="00270ACC">
          <w:rPr>
            <w:webHidden/>
          </w:rPr>
        </w:r>
        <w:r w:rsidR="00270ACC">
          <w:rPr>
            <w:webHidden/>
          </w:rPr>
          <w:fldChar w:fldCharType="separate"/>
        </w:r>
        <w:r w:rsidR="00733598">
          <w:rPr>
            <w:webHidden/>
          </w:rPr>
          <w:t>94</w:t>
        </w:r>
        <w:r w:rsidR="00270ACC">
          <w:rPr>
            <w:webHidden/>
          </w:rPr>
          <w:fldChar w:fldCharType="end"/>
        </w:r>
      </w:hyperlink>
    </w:p>
    <w:p w14:paraId="683D5AB8" w14:textId="06826AB0"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08" w:history="1">
        <w:r w:rsidR="00270ACC" w:rsidRPr="00882E71">
          <w:rPr>
            <w:rStyle w:val="Hyperlink"/>
          </w:rPr>
          <w:t>Table 5</w:t>
        </w:r>
        <w:r w:rsidR="00270ACC" w:rsidRPr="00882E71">
          <w:rPr>
            <w:rStyle w:val="Hyperlink"/>
          </w:rPr>
          <w:noBreakHyphen/>
          <w:t xml:space="preserve">4. </w:t>
        </w:r>
        <w:r w:rsidR="00270ACC" w:rsidRPr="00882E71">
          <w:rPr>
            <w:rStyle w:val="Hyperlink"/>
            <w:lang w:eastAsia="tr-TR"/>
            <w14:props3d w14:extrusionH="0" w14:contourW="0" w14:prstMaterial="matte"/>
          </w:rPr>
          <w:t>Seasonal Workers</w:t>
        </w:r>
        <w:r w:rsidR="00270ACC">
          <w:rPr>
            <w:webHidden/>
          </w:rPr>
          <w:tab/>
        </w:r>
        <w:r w:rsidR="00270ACC">
          <w:rPr>
            <w:webHidden/>
          </w:rPr>
          <w:fldChar w:fldCharType="begin"/>
        </w:r>
        <w:r w:rsidR="00270ACC">
          <w:rPr>
            <w:webHidden/>
          </w:rPr>
          <w:instrText xml:space="preserve"> PAGEREF _Toc141445508 \h </w:instrText>
        </w:r>
        <w:r w:rsidR="00270ACC">
          <w:rPr>
            <w:webHidden/>
          </w:rPr>
        </w:r>
        <w:r w:rsidR="00270ACC">
          <w:rPr>
            <w:webHidden/>
          </w:rPr>
          <w:fldChar w:fldCharType="separate"/>
        </w:r>
        <w:r w:rsidR="00733598">
          <w:rPr>
            <w:webHidden/>
          </w:rPr>
          <w:t>94</w:t>
        </w:r>
        <w:r w:rsidR="00270ACC">
          <w:rPr>
            <w:webHidden/>
          </w:rPr>
          <w:fldChar w:fldCharType="end"/>
        </w:r>
      </w:hyperlink>
    </w:p>
    <w:p w14:paraId="14CE29B3" w14:textId="3896CC7F"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09" w:history="1">
        <w:r w:rsidR="00270ACC" w:rsidRPr="00882E71">
          <w:rPr>
            <w:rStyle w:val="Hyperlink"/>
          </w:rPr>
          <w:t>Table 5</w:t>
        </w:r>
        <w:r w:rsidR="00270ACC" w:rsidRPr="00882E71">
          <w:rPr>
            <w:rStyle w:val="Hyperlink"/>
          </w:rPr>
          <w:noBreakHyphen/>
          <w:t xml:space="preserve">5. </w:t>
        </w:r>
        <w:r w:rsidR="00270ACC" w:rsidRPr="00882E71">
          <w:rPr>
            <w:rStyle w:val="Hyperlink"/>
            <w:rFonts w:cs="Wingdings"/>
          </w:rPr>
          <w:t>Infrastructure Services of the Neighbourhoods</w:t>
        </w:r>
        <w:r w:rsidR="00270ACC">
          <w:rPr>
            <w:webHidden/>
          </w:rPr>
          <w:tab/>
        </w:r>
        <w:r w:rsidR="00270ACC">
          <w:rPr>
            <w:webHidden/>
          </w:rPr>
          <w:fldChar w:fldCharType="begin"/>
        </w:r>
        <w:r w:rsidR="00270ACC">
          <w:rPr>
            <w:webHidden/>
          </w:rPr>
          <w:instrText xml:space="preserve"> PAGEREF _Toc141445509 \h </w:instrText>
        </w:r>
        <w:r w:rsidR="00270ACC">
          <w:rPr>
            <w:webHidden/>
          </w:rPr>
        </w:r>
        <w:r w:rsidR="00270ACC">
          <w:rPr>
            <w:webHidden/>
          </w:rPr>
          <w:fldChar w:fldCharType="separate"/>
        </w:r>
        <w:r w:rsidR="00733598">
          <w:rPr>
            <w:webHidden/>
          </w:rPr>
          <w:t>94</w:t>
        </w:r>
        <w:r w:rsidR="00270ACC">
          <w:rPr>
            <w:webHidden/>
          </w:rPr>
          <w:fldChar w:fldCharType="end"/>
        </w:r>
      </w:hyperlink>
    </w:p>
    <w:p w14:paraId="44227E3C" w14:textId="50DAA518"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10" w:history="1">
        <w:r w:rsidR="00270ACC" w:rsidRPr="00882E71">
          <w:rPr>
            <w:rStyle w:val="Hyperlink"/>
          </w:rPr>
          <w:t>Table 6</w:t>
        </w:r>
        <w:r w:rsidR="00270ACC" w:rsidRPr="00882E71">
          <w:rPr>
            <w:rStyle w:val="Hyperlink"/>
          </w:rPr>
          <w:noBreakHyphen/>
          <w:t xml:space="preserve">1. </w:t>
        </w:r>
        <w:r w:rsidR="00270ACC" w:rsidRPr="00882E71">
          <w:rPr>
            <w:rStyle w:val="Hyperlink"/>
            <w:rFonts w:cs="Wingdings"/>
          </w:rPr>
          <w:t>Emission Factors to be used in Dust Emission Mass Flowrate Calculations in the RoCIAP</w:t>
        </w:r>
        <w:r w:rsidR="00270ACC">
          <w:rPr>
            <w:webHidden/>
          </w:rPr>
          <w:tab/>
        </w:r>
        <w:r w:rsidR="00270ACC">
          <w:rPr>
            <w:webHidden/>
          </w:rPr>
          <w:fldChar w:fldCharType="begin"/>
        </w:r>
        <w:r w:rsidR="00270ACC">
          <w:rPr>
            <w:webHidden/>
          </w:rPr>
          <w:instrText xml:space="preserve"> PAGEREF _Toc141445510 \h </w:instrText>
        </w:r>
        <w:r w:rsidR="00270ACC">
          <w:rPr>
            <w:webHidden/>
          </w:rPr>
        </w:r>
        <w:r w:rsidR="00270ACC">
          <w:rPr>
            <w:webHidden/>
          </w:rPr>
          <w:fldChar w:fldCharType="separate"/>
        </w:r>
        <w:r w:rsidR="00733598">
          <w:rPr>
            <w:webHidden/>
          </w:rPr>
          <w:t>99</w:t>
        </w:r>
        <w:r w:rsidR="00270ACC">
          <w:rPr>
            <w:webHidden/>
          </w:rPr>
          <w:fldChar w:fldCharType="end"/>
        </w:r>
      </w:hyperlink>
    </w:p>
    <w:p w14:paraId="7A51A533" w14:textId="23B3576C"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11" w:history="1">
        <w:r w:rsidR="00270ACC" w:rsidRPr="00882E71">
          <w:rPr>
            <w:rStyle w:val="Hyperlink"/>
          </w:rPr>
          <w:t>Table 6</w:t>
        </w:r>
        <w:r w:rsidR="00270ACC" w:rsidRPr="00882E71">
          <w:rPr>
            <w:rStyle w:val="Hyperlink"/>
          </w:rPr>
          <w:noBreakHyphen/>
          <w:t xml:space="preserve">2. </w:t>
        </w:r>
        <w:r w:rsidR="00270ACC" w:rsidRPr="00882E71">
          <w:rPr>
            <w:rStyle w:val="Hyperlink"/>
            <w:rFonts w:cs="Wingdings"/>
          </w:rPr>
          <w:t>Calculation of Dust Emission Flowrate that may Occur Regarding Topsoil</w:t>
        </w:r>
        <w:r w:rsidR="00270ACC">
          <w:rPr>
            <w:webHidden/>
          </w:rPr>
          <w:tab/>
        </w:r>
        <w:r w:rsidR="00270ACC">
          <w:rPr>
            <w:webHidden/>
          </w:rPr>
          <w:fldChar w:fldCharType="begin"/>
        </w:r>
        <w:r w:rsidR="00270ACC">
          <w:rPr>
            <w:webHidden/>
          </w:rPr>
          <w:instrText xml:space="preserve"> PAGEREF _Toc141445511 \h </w:instrText>
        </w:r>
        <w:r w:rsidR="00270ACC">
          <w:rPr>
            <w:webHidden/>
          </w:rPr>
        </w:r>
        <w:r w:rsidR="00270ACC">
          <w:rPr>
            <w:webHidden/>
          </w:rPr>
          <w:fldChar w:fldCharType="separate"/>
        </w:r>
        <w:r w:rsidR="00733598">
          <w:rPr>
            <w:webHidden/>
          </w:rPr>
          <w:t>99</w:t>
        </w:r>
        <w:r w:rsidR="00270ACC">
          <w:rPr>
            <w:webHidden/>
          </w:rPr>
          <w:fldChar w:fldCharType="end"/>
        </w:r>
      </w:hyperlink>
    </w:p>
    <w:p w14:paraId="293B9AD4" w14:textId="4DD983E1"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12" w:history="1">
        <w:r w:rsidR="00270ACC" w:rsidRPr="00882E71">
          <w:rPr>
            <w:rStyle w:val="Hyperlink"/>
          </w:rPr>
          <w:t>Table 6</w:t>
        </w:r>
        <w:r w:rsidR="00270ACC" w:rsidRPr="00882E71">
          <w:rPr>
            <w:rStyle w:val="Hyperlink"/>
          </w:rPr>
          <w:noBreakHyphen/>
          <w:t xml:space="preserve">3. </w:t>
        </w:r>
        <w:r w:rsidR="00270ACC" w:rsidRPr="00882E71">
          <w:rPr>
            <w:rStyle w:val="Hyperlink"/>
            <w:rFonts w:cs="Wingdings"/>
          </w:rPr>
          <w:t>Calculation of Dust Emission Flowrate that may Occur Regarding Excavation Material</w:t>
        </w:r>
        <w:r w:rsidR="00270ACC">
          <w:rPr>
            <w:webHidden/>
          </w:rPr>
          <w:tab/>
        </w:r>
        <w:r w:rsidR="00270ACC">
          <w:rPr>
            <w:webHidden/>
          </w:rPr>
          <w:fldChar w:fldCharType="begin"/>
        </w:r>
        <w:r w:rsidR="00270ACC">
          <w:rPr>
            <w:webHidden/>
          </w:rPr>
          <w:instrText xml:space="preserve"> PAGEREF _Toc141445512 \h </w:instrText>
        </w:r>
        <w:r w:rsidR="00270ACC">
          <w:rPr>
            <w:webHidden/>
          </w:rPr>
        </w:r>
        <w:r w:rsidR="00270ACC">
          <w:rPr>
            <w:webHidden/>
          </w:rPr>
          <w:fldChar w:fldCharType="separate"/>
        </w:r>
        <w:r w:rsidR="00733598">
          <w:rPr>
            <w:webHidden/>
          </w:rPr>
          <w:t>100</w:t>
        </w:r>
        <w:r w:rsidR="00270ACC">
          <w:rPr>
            <w:webHidden/>
          </w:rPr>
          <w:fldChar w:fldCharType="end"/>
        </w:r>
      </w:hyperlink>
    </w:p>
    <w:p w14:paraId="6EAF6FE2" w14:textId="70EA43A6"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13" w:history="1">
        <w:r w:rsidR="00270ACC" w:rsidRPr="00882E71">
          <w:rPr>
            <w:rStyle w:val="Hyperlink"/>
          </w:rPr>
          <w:t>Table 6</w:t>
        </w:r>
        <w:r w:rsidR="00270ACC" w:rsidRPr="00882E71">
          <w:rPr>
            <w:rStyle w:val="Hyperlink"/>
          </w:rPr>
          <w:noBreakHyphen/>
          <w:t xml:space="preserve">4. </w:t>
        </w:r>
        <w:r w:rsidR="00270ACC" w:rsidRPr="00882E71">
          <w:rPr>
            <w:rStyle w:val="Hyperlink"/>
            <w:rFonts w:cs="Wingdings"/>
          </w:rPr>
          <w:t>Total Dust Emission Flowrate from the Project’s Two Phases</w:t>
        </w:r>
        <w:r w:rsidR="00270ACC">
          <w:rPr>
            <w:webHidden/>
          </w:rPr>
          <w:tab/>
        </w:r>
        <w:r w:rsidR="00270ACC">
          <w:rPr>
            <w:webHidden/>
          </w:rPr>
          <w:fldChar w:fldCharType="begin"/>
        </w:r>
        <w:r w:rsidR="00270ACC">
          <w:rPr>
            <w:webHidden/>
          </w:rPr>
          <w:instrText xml:space="preserve"> PAGEREF _Toc141445513 \h </w:instrText>
        </w:r>
        <w:r w:rsidR="00270ACC">
          <w:rPr>
            <w:webHidden/>
          </w:rPr>
        </w:r>
        <w:r w:rsidR="00270ACC">
          <w:rPr>
            <w:webHidden/>
          </w:rPr>
          <w:fldChar w:fldCharType="separate"/>
        </w:r>
        <w:r w:rsidR="00733598">
          <w:rPr>
            <w:webHidden/>
          </w:rPr>
          <w:t>100</w:t>
        </w:r>
        <w:r w:rsidR="00270ACC">
          <w:rPr>
            <w:webHidden/>
          </w:rPr>
          <w:fldChar w:fldCharType="end"/>
        </w:r>
      </w:hyperlink>
    </w:p>
    <w:p w14:paraId="5B642C22" w14:textId="5305C2EB"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14" w:history="1">
        <w:r w:rsidR="00270ACC" w:rsidRPr="00882E71">
          <w:rPr>
            <w:rStyle w:val="Hyperlink"/>
          </w:rPr>
          <w:t>Table 6</w:t>
        </w:r>
        <w:r w:rsidR="00270ACC" w:rsidRPr="00882E71">
          <w:rPr>
            <w:rStyle w:val="Hyperlink"/>
          </w:rPr>
          <w:noBreakHyphen/>
          <w:t xml:space="preserve">5. </w:t>
        </w:r>
        <w:r w:rsidR="00270ACC" w:rsidRPr="00882E71">
          <w:rPr>
            <w:rStyle w:val="Hyperlink"/>
            <w:rFonts w:cs="Wingdings"/>
          </w:rPr>
          <w:t>Dust Emission Flowrate Calculation Generated During Silica Sand Mining</w:t>
        </w:r>
        <w:r w:rsidR="00270ACC">
          <w:rPr>
            <w:webHidden/>
          </w:rPr>
          <w:tab/>
        </w:r>
        <w:r w:rsidR="00270ACC">
          <w:rPr>
            <w:webHidden/>
          </w:rPr>
          <w:fldChar w:fldCharType="begin"/>
        </w:r>
        <w:r w:rsidR="00270ACC">
          <w:rPr>
            <w:webHidden/>
          </w:rPr>
          <w:instrText xml:space="preserve"> PAGEREF _Toc141445514 \h </w:instrText>
        </w:r>
        <w:r w:rsidR="00270ACC">
          <w:rPr>
            <w:webHidden/>
          </w:rPr>
        </w:r>
        <w:r w:rsidR="00270ACC">
          <w:rPr>
            <w:webHidden/>
          </w:rPr>
          <w:fldChar w:fldCharType="separate"/>
        </w:r>
        <w:r w:rsidR="00733598">
          <w:rPr>
            <w:webHidden/>
          </w:rPr>
          <w:t>101</w:t>
        </w:r>
        <w:r w:rsidR="00270ACC">
          <w:rPr>
            <w:webHidden/>
          </w:rPr>
          <w:fldChar w:fldCharType="end"/>
        </w:r>
      </w:hyperlink>
    </w:p>
    <w:p w14:paraId="2CFDF815" w14:textId="0ED1944E"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15" w:history="1">
        <w:r w:rsidR="00270ACC" w:rsidRPr="00882E71">
          <w:rPr>
            <w:rStyle w:val="Hyperlink"/>
          </w:rPr>
          <w:t>Table 6</w:t>
        </w:r>
        <w:r w:rsidR="00270ACC" w:rsidRPr="00882E71">
          <w:rPr>
            <w:rStyle w:val="Hyperlink"/>
          </w:rPr>
          <w:noBreakHyphen/>
          <w:t xml:space="preserve">6. </w:t>
        </w:r>
        <w:r w:rsidR="00270ACC" w:rsidRPr="00882E71">
          <w:rPr>
            <w:rStyle w:val="Hyperlink"/>
            <w:rFonts w:cs="Wingdings"/>
          </w:rPr>
          <w:t>Total Dust Emission Flowrate from Silica Sand Mining</w:t>
        </w:r>
        <w:r w:rsidR="00270ACC">
          <w:rPr>
            <w:webHidden/>
          </w:rPr>
          <w:tab/>
        </w:r>
        <w:r w:rsidR="00270ACC">
          <w:rPr>
            <w:webHidden/>
          </w:rPr>
          <w:fldChar w:fldCharType="begin"/>
        </w:r>
        <w:r w:rsidR="00270ACC">
          <w:rPr>
            <w:webHidden/>
          </w:rPr>
          <w:instrText xml:space="preserve"> PAGEREF _Toc141445515 \h </w:instrText>
        </w:r>
        <w:r w:rsidR="00270ACC">
          <w:rPr>
            <w:webHidden/>
          </w:rPr>
        </w:r>
        <w:r w:rsidR="00270ACC">
          <w:rPr>
            <w:webHidden/>
          </w:rPr>
          <w:fldChar w:fldCharType="separate"/>
        </w:r>
        <w:r w:rsidR="00733598">
          <w:rPr>
            <w:webHidden/>
          </w:rPr>
          <w:t>101</w:t>
        </w:r>
        <w:r w:rsidR="00270ACC">
          <w:rPr>
            <w:webHidden/>
          </w:rPr>
          <w:fldChar w:fldCharType="end"/>
        </w:r>
      </w:hyperlink>
    </w:p>
    <w:p w14:paraId="26230E67" w14:textId="67A853A8"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16" w:history="1">
        <w:r w:rsidR="00270ACC" w:rsidRPr="00882E71">
          <w:rPr>
            <w:rStyle w:val="Hyperlink"/>
          </w:rPr>
          <w:t>Table 6</w:t>
        </w:r>
        <w:r w:rsidR="00270ACC" w:rsidRPr="00882E71">
          <w:rPr>
            <w:rStyle w:val="Hyperlink"/>
          </w:rPr>
          <w:noBreakHyphen/>
          <w:t xml:space="preserve">7. </w:t>
        </w:r>
        <w:r w:rsidR="00270ACC" w:rsidRPr="00882E71">
          <w:rPr>
            <w:rStyle w:val="Hyperlink"/>
            <w:rFonts w:cs="Wingdings"/>
          </w:rPr>
          <w:t>Heating-Related Dust Emission Mass Flowrates</w:t>
        </w:r>
        <w:r w:rsidR="00270ACC">
          <w:rPr>
            <w:webHidden/>
          </w:rPr>
          <w:tab/>
        </w:r>
        <w:r w:rsidR="00270ACC">
          <w:rPr>
            <w:webHidden/>
          </w:rPr>
          <w:fldChar w:fldCharType="begin"/>
        </w:r>
        <w:r w:rsidR="00270ACC">
          <w:rPr>
            <w:webHidden/>
          </w:rPr>
          <w:instrText xml:space="preserve"> PAGEREF _Toc141445516 \h </w:instrText>
        </w:r>
        <w:r w:rsidR="00270ACC">
          <w:rPr>
            <w:webHidden/>
          </w:rPr>
        </w:r>
        <w:r w:rsidR="00270ACC">
          <w:rPr>
            <w:webHidden/>
          </w:rPr>
          <w:fldChar w:fldCharType="separate"/>
        </w:r>
        <w:r w:rsidR="00733598">
          <w:rPr>
            <w:webHidden/>
          </w:rPr>
          <w:t>102</w:t>
        </w:r>
        <w:r w:rsidR="00270ACC">
          <w:rPr>
            <w:webHidden/>
          </w:rPr>
          <w:fldChar w:fldCharType="end"/>
        </w:r>
      </w:hyperlink>
    </w:p>
    <w:p w14:paraId="29EC57EA" w14:textId="39E3A529"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17" w:history="1">
        <w:r w:rsidR="00270ACC" w:rsidRPr="00882E71">
          <w:rPr>
            <w:rStyle w:val="Hyperlink"/>
          </w:rPr>
          <w:t>Table 6</w:t>
        </w:r>
        <w:r w:rsidR="00270ACC" w:rsidRPr="00882E71">
          <w:rPr>
            <w:rStyle w:val="Hyperlink"/>
          </w:rPr>
          <w:noBreakHyphen/>
          <w:t xml:space="preserve">8. </w:t>
        </w:r>
        <w:r w:rsidR="00270ACC" w:rsidRPr="00882E71">
          <w:rPr>
            <w:rStyle w:val="Hyperlink"/>
            <w:rFonts w:cs="Wingdings"/>
          </w:rPr>
          <w:t>Emission Factors and Dust Emission Mass Flowrates of Vehicles on Ankara-Aksaray Road</w:t>
        </w:r>
        <w:r w:rsidR="00270ACC">
          <w:rPr>
            <w:webHidden/>
          </w:rPr>
          <w:tab/>
        </w:r>
        <w:r w:rsidR="00270ACC">
          <w:rPr>
            <w:webHidden/>
          </w:rPr>
          <w:fldChar w:fldCharType="begin"/>
        </w:r>
        <w:r w:rsidR="00270ACC">
          <w:rPr>
            <w:webHidden/>
          </w:rPr>
          <w:instrText xml:space="preserve"> PAGEREF _Toc141445517 \h </w:instrText>
        </w:r>
        <w:r w:rsidR="00270ACC">
          <w:rPr>
            <w:webHidden/>
          </w:rPr>
        </w:r>
        <w:r w:rsidR="00270ACC">
          <w:rPr>
            <w:webHidden/>
          </w:rPr>
          <w:fldChar w:fldCharType="separate"/>
        </w:r>
        <w:r w:rsidR="00733598">
          <w:rPr>
            <w:webHidden/>
          </w:rPr>
          <w:t>103</w:t>
        </w:r>
        <w:r w:rsidR="00270ACC">
          <w:rPr>
            <w:webHidden/>
          </w:rPr>
          <w:fldChar w:fldCharType="end"/>
        </w:r>
      </w:hyperlink>
    </w:p>
    <w:p w14:paraId="6AF58552" w14:textId="73EB02EF"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18" w:history="1">
        <w:r w:rsidR="00270ACC" w:rsidRPr="00882E71">
          <w:rPr>
            <w:rStyle w:val="Hyperlink"/>
          </w:rPr>
          <w:t>Table 6</w:t>
        </w:r>
        <w:r w:rsidR="00270ACC" w:rsidRPr="00882E71">
          <w:rPr>
            <w:rStyle w:val="Hyperlink"/>
          </w:rPr>
          <w:noBreakHyphen/>
          <w:t xml:space="preserve">9. </w:t>
        </w:r>
        <w:r w:rsidR="00270ACC" w:rsidRPr="00882E71">
          <w:rPr>
            <w:rStyle w:val="Hyperlink"/>
            <w:rFonts w:cs="Wingdings"/>
          </w:rPr>
          <w:t>Emission Factors and Dust Emission Mass Flowrates of Vehicles on the Tarsus-Ankara Highway</w:t>
        </w:r>
        <w:r w:rsidR="00270ACC">
          <w:rPr>
            <w:webHidden/>
          </w:rPr>
          <w:tab/>
        </w:r>
        <w:r w:rsidR="00270ACC">
          <w:rPr>
            <w:webHidden/>
          </w:rPr>
          <w:fldChar w:fldCharType="begin"/>
        </w:r>
        <w:r w:rsidR="00270ACC">
          <w:rPr>
            <w:webHidden/>
          </w:rPr>
          <w:instrText xml:space="preserve"> PAGEREF _Toc141445518 \h </w:instrText>
        </w:r>
        <w:r w:rsidR="00270ACC">
          <w:rPr>
            <w:webHidden/>
          </w:rPr>
        </w:r>
        <w:r w:rsidR="00270ACC">
          <w:rPr>
            <w:webHidden/>
          </w:rPr>
          <w:fldChar w:fldCharType="separate"/>
        </w:r>
        <w:r w:rsidR="00733598">
          <w:rPr>
            <w:webHidden/>
          </w:rPr>
          <w:t>103</w:t>
        </w:r>
        <w:r w:rsidR="00270ACC">
          <w:rPr>
            <w:webHidden/>
          </w:rPr>
          <w:fldChar w:fldCharType="end"/>
        </w:r>
      </w:hyperlink>
    </w:p>
    <w:p w14:paraId="68088868" w14:textId="4DE33AA3"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19" w:history="1">
        <w:r w:rsidR="00270ACC" w:rsidRPr="00882E71">
          <w:rPr>
            <w:rStyle w:val="Hyperlink"/>
          </w:rPr>
          <w:t>Table 6</w:t>
        </w:r>
        <w:r w:rsidR="00270ACC" w:rsidRPr="00882E71">
          <w:rPr>
            <w:rStyle w:val="Hyperlink"/>
          </w:rPr>
          <w:noBreakHyphen/>
          <w:t xml:space="preserve">10. </w:t>
        </w:r>
        <w:r w:rsidR="00270ACC" w:rsidRPr="00882E71">
          <w:rPr>
            <w:rStyle w:val="Hyperlink"/>
            <w:rFonts w:cs="Wingdings"/>
          </w:rPr>
          <w:t>Total Dust Emission Mass Flowrates</w:t>
        </w:r>
        <w:r w:rsidR="00270ACC">
          <w:rPr>
            <w:webHidden/>
          </w:rPr>
          <w:tab/>
        </w:r>
        <w:r w:rsidR="00270ACC">
          <w:rPr>
            <w:webHidden/>
          </w:rPr>
          <w:fldChar w:fldCharType="begin"/>
        </w:r>
        <w:r w:rsidR="00270ACC">
          <w:rPr>
            <w:webHidden/>
          </w:rPr>
          <w:instrText xml:space="preserve"> PAGEREF _Toc141445519 \h </w:instrText>
        </w:r>
        <w:r w:rsidR="00270ACC">
          <w:rPr>
            <w:webHidden/>
          </w:rPr>
        </w:r>
        <w:r w:rsidR="00270ACC">
          <w:rPr>
            <w:webHidden/>
          </w:rPr>
          <w:fldChar w:fldCharType="separate"/>
        </w:r>
        <w:r w:rsidR="00733598">
          <w:rPr>
            <w:webHidden/>
          </w:rPr>
          <w:t>103</w:t>
        </w:r>
        <w:r w:rsidR="00270ACC">
          <w:rPr>
            <w:webHidden/>
          </w:rPr>
          <w:fldChar w:fldCharType="end"/>
        </w:r>
      </w:hyperlink>
    </w:p>
    <w:p w14:paraId="2A65F418" w14:textId="4A004E20"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20" w:history="1">
        <w:r w:rsidR="00270ACC" w:rsidRPr="00882E71">
          <w:rPr>
            <w:rStyle w:val="Hyperlink"/>
          </w:rPr>
          <w:t>Table 6</w:t>
        </w:r>
        <w:r w:rsidR="00270ACC" w:rsidRPr="00882E71">
          <w:rPr>
            <w:rStyle w:val="Hyperlink"/>
          </w:rPr>
          <w:noBreakHyphen/>
          <w:t xml:space="preserve">11. </w:t>
        </w:r>
        <w:r w:rsidR="00270ACC" w:rsidRPr="00882E71">
          <w:rPr>
            <w:rStyle w:val="Hyperlink"/>
            <w:rFonts w:cs="Wingdings"/>
          </w:rPr>
          <w:t>National and International Air Quality Limit Values and Calculated Emission Values</w:t>
        </w:r>
        <w:r w:rsidR="00270ACC">
          <w:rPr>
            <w:webHidden/>
          </w:rPr>
          <w:tab/>
        </w:r>
        <w:r w:rsidR="00270ACC">
          <w:rPr>
            <w:webHidden/>
          </w:rPr>
          <w:fldChar w:fldCharType="begin"/>
        </w:r>
        <w:r w:rsidR="00270ACC">
          <w:rPr>
            <w:webHidden/>
          </w:rPr>
          <w:instrText xml:space="preserve"> PAGEREF _Toc141445520 \h </w:instrText>
        </w:r>
        <w:r w:rsidR="00270ACC">
          <w:rPr>
            <w:webHidden/>
          </w:rPr>
        </w:r>
        <w:r w:rsidR="00270ACC">
          <w:rPr>
            <w:webHidden/>
          </w:rPr>
          <w:fldChar w:fldCharType="separate"/>
        </w:r>
        <w:r w:rsidR="00733598">
          <w:rPr>
            <w:webHidden/>
          </w:rPr>
          <w:t>104</w:t>
        </w:r>
        <w:r w:rsidR="00270ACC">
          <w:rPr>
            <w:webHidden/>
          </w:rPr>
          <w:fldChar w:fldCharType="end"/>
        </w:r>
      </w:hyperlink>
    </w:p>
    <w:p w14:paraId="24520F4B" w14:textId="31D150D5"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21" w:history="1">
        <w:r w:rsidR="00270ACC" w:rsidRPr="00882E71">
          <w:rPr>
            <w:rStyle w:val="Hyperlink"/>
          </w:rPr>
          <w:t>Table 6</w:t>
        </w:r>
        <w:r w:rsidR="00270ACC" w:rsidRPr="00882E71">
          <w:rPr>
            <w:rStyle w:val="Hyperlink"/>
          </w:rPr>
          <w:noBreakHyphen/>
          <w:t>12. Specification of Diesel</w:t>
        </w:r>
        <w:r w:rsidR="00270ACC">
          <w:rPr>
            <w:webHidden/>
          </w:rPr>
          <w:tab/>
        </w:r>
        <w:r w:rsidR="00270ACC">
          <w:rPr>
            <w:webHidden/>
          </w:rPr>
          <w:fldChar w:fldCharType="begin"/>
        </w:r>
        <w:r w:rsidR="00270ACC">
          <w:rPr>
            <w:webHidden/>
          </w:rPr>
          <w:instrText xml:space="preserve"> PAGEREF _Toc141445521 \h </w:instrText>
        </w:r>
        <w:r w:rsidR="00270ACC">
          <w:rPr>
            <w:webHidden/>
          </w:rPr>
        </w:r>
        <w:r w:rsidR="00270ACC">
          <w:rPr>
            <w:webHidden/>
          </w:rPr>
          <w:fldChar w:fldCharType="separate"/>
        </w:r>
        <w:r w:rsidR="00733598">
          <w:rPr>
            <w:webHidden/>
          </w:rPr>
          <w:t>105</w:t>
        </w:r>
        <w:r w:rsidR="00270ACC">
          <w:rPr>
            <w:webHidden/>
          </w:rPr>
          <w:fldChar w:fldCharType="end"/>
        </w:r>
      </w:hyperlink>
    </w:p>
    <w:p w14:paraId="7B216A2A" w14:textId="48A0738F"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22" w:history="1">
        <w:r w:rsidR="00270ACC" w:rsidRPr="00882E71">
          <w:rPr>
            <w:rStyle w:val="Hyperlink"/>
          </w:rPr>
          <w:t>Table 6</w:t>
        </w:r>
        <w:r w:rsidR="00270ACC" w:rsidRPr="00882E71">
          <w:rPr>
            <w:rStyle w:val="Hyperlink"/>
          </w:rPr>
          <w:noBreakHyphen/>
          <w:t>13. Emission Factors Originating from Diesel Vehicles (kg/tonne)</w:t>
        </w:r>
        <w:r w:rsidR="00270ACC">
          <w:rPr>
            <w:webHidden/>
          </w:rPr>
          <w:tab/>
        </w:r>
        <w:r w:rsidR="00270ACC">
          <w:rPr>
            <w:webHidden/>
          </w:rPr>
          <w:fldChar w:fldCharType="begin"/>
        </w:r>
        <w:r w:rsidR="00270ACC">
          <w:rPr>
            <w:webHidden/>
          </w:rPr>
          <w:instrText xml:space="preserve"> PAGEREF _Toc141445522 \h </w:instrText>
        </w:r>
        <w:r w:rsidR="00270ACC">
          <w:rPr>
            <w:webHidden/>
          </w:rPr>
        </w:r>
        <w:r w:rsidR="00270ACC">
          <w:rPr>
            <w:webHidden/>
          </w:rPr>
          <w:fldChar w:fldCharType="separate"/>
        </w:r>
        <w:r w:rsidR="00733598">
          <w:rPr>
            <w:webHidden/>
          </w:rPr>
          <w:t>106</w:t>
        </w:r>
        <w:r w:rsidR="00270ACC">
          <w:rPr>
            <w:webHidden/>
          </w:rPr>
          <w:fldChar w:fldCharType="end"/>
        </w:r>
      </w:hyperlink>
    </w:p>
    <w:p w14:paraId="4BF2B6C2" w14:textId="3066B924"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23" w:history="1">
        <w:r w:rsidR="00270ACC" w:rsidRPr="00882E71">
          <w:rPr>
            <w:rStyle w:val="Hyperlink"/>
          </w:rPr>
          <w:t>Table 6</w:t>
        </w:r>
        <w:r w:rsidR="00270ACC" w:rsidRPr="00882E71">
          <w:rPr>
            <w:rStyle w:val="Hyperlink"/>
          </w:rPr>
          <w:noBreakHyphen/>
          <w:t xml:space="preserve">14. </w:t>
        </w:r>
        <w:r w:rsidR="00270ACC" w:rsidRPr="00882E71">
          <w:rPr>
            <w:rStyle w:val="Hyperlink"/>
            <w:rFonts w:cs="Wingdings"/>
          </w:rPr>
          <w:t>Lower Limit Values of Modelling Study with Calculated Exhaust Emissions Mass Flowrates</w:t>
        </w:r>
        <w:r w:rsidR="00270ACC">
          <w:rPr>
            <w:webHidden/>
          </w:rPr>
          <w:tab/>
        </w:r>
        <w:r w:rsidR="00270ACC">
          <w:rPr>
            <w:webHidden/>
          </w:rPr>
          <w:fldChar w:fldCharType="begin"/>
        </w:r>
        <w:r w:rsidR="00270ACC">
          <w:rPr>
            <w:webHidden/>
          </w:rPr>
          <w:instrText xml:space="preserve"> PAGEREF _Toc141445523 \h </w:instrText>
        </w:r>
        <w:r w:rsidR="00270ACC">
          <w:rPr>
            <w:webHidden/>
          </w:rPr>
        </w:r>
        <w:r w:rsidR="00270ACC">
          <w:rPr>
            <w:webHidden/>
          </w:rPr>
          <w:fldChar w:fldCharType="separate"/>
        </w:r>
        <w:r w:rsidR="00733598">
          <w:rPr>
            <w:webHidden/>
          </w:rPr>
          <w:t>106</w:t>
        </w:r>
        <w:r w:rsidR="00270ACC">
          <w:rPr>
            <w:webHidden/>
          </w:rPr>
          <w:fldChar w:fldCharType="end"/>
        </w:r>
      </w:hyperlink>
    </w:p>
    <w:p w14:paraId="395A00BA" w14:textId="3971ABB1"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24" w:history="1">
        <w:r w:rsidR="00270ACC" w:rsidRPr="00882E71">
          <w:rPr>
            <w:rStyle w:val="Hyperlink"/>
          </w:rPr>
          <w:t>Table 6</w:t>
        </w:r>
        <w:r w:rsidR="00270ACC" w:rsidRPr="00882E71">
          <w:rPr>
            <w:rStyle w:val="Hyperlink"/>
          </w:rPr>
          <w:noBreakHyphen/>
          <w:t xml:space="preserve">15. </w:t>
        </w:r>
        <w:r w:rsidR="00270ACC" w:rsidRPr="00882E71">
          <w:rPr>
            <w:rStyle w:val="Hyperlink"/>
            <w:rFonts w:eastAsia="Arial TUR"/>
          </w:rPr>
          <w:t>Emission Factors for Natural Gaseous</w:t>
        </w:r>
        <w:r w:rsidR="00270ACC">
          <w:rPr>
            <w:webHidden/>
          </w:rPr>
          <w:tab/>
        </w:r>
        <w:r w:rsidR="00270ACC">
          <w:rPr>
            <w:webHidden/>
          </w:rPr>
          <w:fldChar w:fldCharType="begin"/>
        </w:r>
        <w:r w:rsidR="00270ACC">
          <w:rPr>
            <w:webHidden/>
          </w:rPr>
          <w:instrText xml:space="preserve"> PAGEREF _Toc141445524 \h </w:instrText>
        </w:r>
        <w:r w:rsidR="00270ACC">
          <w:rPr>
            <w:webHidden/>
          </w:rPr>
        </w:r>
        <w:r w:rsidR="00270ACC">
          <w:rPr>
            <w:webHidden/>
          </w:rPr>
          <w:fldChar w:fldCharType="separate"/>
        </w:r>
        <w:r w:rsidR="00733598">
          <w:rPr>
            <w:webHidden/>
          </w:rPr>
          <w:t>107</w:t>
        </w:r>
        <w:r w:rsidR="00270ACC">
          <w:rPr>
            <w:webHidden/>
          </w:rPr>
          <w:fldChar w:fldCharType="end"/>
        </w:r>
      </w:hyperlink>
    </w:p>
    <w:p w14:paraId="4CDAA7A7" w14:textId="61B27538"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25" w:history="1">
        <w:r w:rsidR="00270ACC" w:rsidRPr="00882E71">
          <w:rPr>
            <w:rStyle w:val="Hyperlink"/>
          </w:rPr>
          <w:t>Table 6</w:t>
        </w:r>
        <w:r w:rsidR="00270ACC" w:rsidRPr="00882E71">
          <w:rPr>
            <w:rStyle w:val="Hyperlink"/>
          </w:rPr>
          <w:noBreakHyphen/>
          <w:t xml:space="preserve">16. </w:t>
        </w:r>
        <w:r w:rsidR="00270ACC" w:rsidRPr="00882E71">
          <w:rPr>
            <w:rStyle w:val="Hyperlink"/>
            <w:rFonts w:eastAsia="Arial TUR"/>
          </w:rPr>
          <w:t>Emission Mass Flowrate and Limit Values to be Formed from a Facility</w:t>
        </w:r>
        <w:r w:rsidR="00270ACC">
          <w:rPr>
            <w:webHidden/>
          </w:rPr>
          <w:tab/>
        </w:r>
        <w:r w:rsidR="00270ACC">
          <w:rPr>
            <w:webHidden/>
          </w:rPr>
          <w:fldChar w:fldCharType="begin"/>
        </w:r>
        <w:r w:rsidR="00270ACC">
          <w:rPr>
            <w:webHidden/>
          </w:rPr>
          <w:instrText xml:space="preserve"> PAGEREF _Toc141445525 \h </w:instrText>
        </w:r>
        <w:r w:rsidR="00270ACC">
          <w:rPr>
            <w:webHidden/>
          </w:rPr>
        </w:r>
        <w:r w:rsidR="00270ACC">
          <w:rPr>
            <w:webHidden/>
          </w:rPr>
          <w:fldChar w:fldCharType="separate"/>
        </w:r>
        <w:r w:rsidR="00733598">
          <w:rPr>
            <w:webHidden/>
          </w:rPr>
          <w:t>107</w:t>
        </w:r>
        <w:r w:rsidR="00270ACC">
          <w:rPr>
            <w:webHidden/>
          </w:rPr>
          <w:fldChar w:fldCharType="end"/>
        </w:r>
      </w:hyperlink>
    </w:p>
    <w:p w14:paraId="7B5E8177" w14:textId="207ADF5B"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26" w:history="1">
        <w:r w:rsidR="00270ACC" w:rsidRPr="00882E71">
          <w:rPr>
            <w:rStyle w:val="Hyperlink"/>
          </w:rPr>
          <w:t>Table 6</w:t>
        </w:r>
        <w:r w:rsidR="00270ACC" w:rsidRPr="00882E71">
          <w:rPr>
            <w:rStyle w:val="Hyperlink"/>
          </w:rPr>
          <w:noBreakHyphen/>
          <w:t xml:space="preserve">17. </w:t>
        </w:r>
        <w:r w:rsidR="00270ACC" w:rsidRPr="00882E71">
          <w:rPr>
            <w:rStyle w:val="Hyperlink"/>
            <w:rFonts w:eastAsia="Arial TUR"/>
          </w:rPr>
          <w:t>Combustion Thermal Power Limit Values in the RoCIAP</w:t>
        </w:r>
        <w:r w:rsidR="00270ACC">
          <w:rPr>
            <w:webHidden/>
          </w:rPr>
          <w:tab/>
        </w:r>
        <w:r w:rsidR="00270ACC">
          <w:rPr>
            <w:webHidden/>
          </w:rPr>
          <w:fldChar w:fldCharType="begin"/>
        </w:r>
        <w:r w:rsidR="00270ACC">
          <w:rPr>
            <w:webHidden/>
          </w:rPr>
          <w:instrText xml:space="preserve"> PAGEREF _Toc141445526 \h </w:instrText>
        </w:r>
        <w:r w:rsidR="00270ACC">
          <w:rPr>
            <w:webHidden/>
          </w:rPr>
        </w:r>
        <w:r w:rsidR="00270ACC">
          <w:rPr>
            <w:webHidden/>
          </w:rPr>
          <w:fldChar w:fldCharType="separate"/>
        </w:r>
        <w:r w:rsidR="00733598">
          <w:rPr>
            <w:webHidden/>
          </w:rPr>
          <w:t>108</w:t>
        </w:r>
        <w:r w:rsidR="00270ACC">
          <w:rPr>
            <w:webHidden/>
          </w:rPr>
          <w:fldChar w:fldCharType="end"/>
        </w:r>
      </w:hyperlink>
    </w:p>
    <w:p w14:paraId="73999D3A" w14:textId="7C3BBA76"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27" w:history="1">
        <w:r w:rsidR="00270ACC" w:rsidRPr="00882E71">
          <w:rPr>
            <w:rStyle w:val="Hyperlink"/>
          </w:rPr>
          <w:t>Table 6</w:t>
        </w:r>
        <w:r w:rsidR="00270ACC" w:rsidRPr="00882E71">
          <w:rPr>
            <w:rStyle w:val="Hyperlink"/>
          </w:rPr>
          <w:noBreakHyphen/>
          <w:t xml:space="preserve">18. Planned </w:t>
        </w:r>
        <w:r w:rsidR="00270ACC" w:rsidRPr="00882E71">
          <w:rPr>
            <w:rStyle w:val="Hyperlink"/>
            <w:rFonts w:cs="Wingdings"/>
          </w:rPr>
          <w:t>Domestic and Process Water Demand Amounts of Facilities in OIZ</w:t>
        </w:r>
        <w:r w:rsidR="00270ACC">
          <w:rPr>
            <w:webHidden/>
          </w:rPr>
          <w:tab/>
        </w:r>
        <w:r w:rsidR="00270ACC">
          <w:rPr>
            <w:webHidden/>
          </w:rPr>
          <w:fldChar w:fldCharType="begin"/>
        </w:r>
        <w:r w:rsidR="00270ACC">
          <w:rPr>
            <w:webHidden/>
          </w:rPr>
          <w:instrText xml:space="preserve"> PAGEREF _Toc141445527 \h </w:instrText>
        </w:r>
        <w:r w:rsidR="00270ACC">
          <w:rPr>
            <w:webHidden/>
          </w:rPr>
        </w:r>
        <w:r w:rsidR="00270ACC">
          <w:rPr>
            <w:webHidden/>
          </w:rPr>
          <w:fldChar w:fldCharType="separate"/>
        </w:r>
        <w:r w:rsidR="00733598">
          <w:rPr>
            <w:webHidden/>
          </w:rPr>
          <w:t>109</w:t>
        </w:r>
        <w:r w:rsidR="00270ACC">
          <w:rPr>
            <w:webHidden/>
          </w:rPr>
          <w:fldChar w:fldCharType="end"/>
        </w:r>
      </w:hyperlink>
    </w:p>
    <w:p w14:paraId="6731A298" w14:textId="59E4792D"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28" w:history="1">
        <w:r w:rsidR="00270ACC" w:rsidRPr="00882E71">
          <w:rPr>
            <w:rStyle w:val="Hyperlink"/>
          </w:rPr>
          <w:t>Table 6</w:t>
        </w:r>
        <w:r w:rsidR="00270ACC" w:rsidRPr="00882E71">
          <w:rPr>
            <w:rStyle w:val="Hyperlink"/>
          </w:rPr>
          <w:noBreakHyphen/>
          <w:t xml:space="preserve">19. The Estimated </w:t>
        </w:r>
        <w:r w:rsidR="00270ACC" w:rsidRPr="00882E71">
          <w:rPr>
            <w:rStyle w:val="Hyperlink"/>
            <w:rFonts w:eastAsiaTheme="minorHAnsi"/>
          </w:rPr>
          <w:t>Quantities of Wastewater in OIZ</w:t>
        </w:r>
        <w:r w:rsidR="00270ACC">
          <w:rPr>
            <w:webHidden/>
          </w:rPr>
          <w:tab/>
        </w:r>
        <w:r w:rsidR="00270ACC">
          <w:rPr>
            <w:webHidden/>
          </w:rPr>
          <w:fldChar w:fldCharType="begin"/>
        </w:r>
        <w:r w:rsidR="00270ACC">
          <w:rPr>
            <w:webHidden/>
          </w:rPr>
          <w:instrText xml:space="preserve"> PAGEREF _Toc141445528 \h </w:instrText>
        </w:r>
        <w:r w:rsidR="00270ACC">
          <w:rPr>
            <w:webHidden/>
          </w:rPr>
        </w:r>
        <w:r w:rsidR="00270ACC">
          <w:rPr>
            <w:webHidden/>
          </w:rPr>
          <w:fldChar w:fldCharType="separate"/>
        </w:r>
        <w:r w:rsidR="00733598">
          <w:rPr>
            <w:webHidden/>
          </w:rPr>
          <w:t>111</w:t>
        </w:r>
        <w:r w:rsidR="00270ACC">
          <w:rPr>
            <w:webHidden/>
          </w:rPr>
          <w:fldChar w:fldCharType="end"/>
        </w:r>
      </w:hyperlink>
    </w:p>
    <w:p w14:paraId="76378A0A" w14:textId="265C2A2B"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29" w:history="1">
        <w:r w:rsidR="00270ACC" w:rsidRPr="00882E71">
          <w:rPr>
            <w:rStyle w:val="Hyperlink"/>
          </w:rPr>
          <w:t>Table 6</w:t>
        </w:r>
        <w:r w:rsidR="00270ACC" w:rsidRPr="00882E71">
          <w:rPr>
            <w:rStyle w:val="Hyperlink"/>
          </w:rPr>
          <w:noBreakHyphen/>
          <w:t xml:space="preserve">20. </w:t>
        </w:r>
        <w:r w:rsidR="00270ACC" w:rsidRPr="00882E71">
          <w:rPr>
            <w:rStyle w:val="Hyperlink"/>
            <w:rFonts w:eastAsiaTheme="minorHAnsi"/>
          </w:rPr>
          <w:t>Discharge Standards for the Treated Process Water to Receiving Environment in the RoCWP for planned WWTP</w:t>
        </w:r>
        <w:r w:rsidR="00270ACC">
          <w:rPr>
            <w:webHidden/>
          </w:rPr>
          <w:tab/>
        </w:r>
        <w:r w:rsidR="00270ACC">
          <w:rPr>
            <w:webHidden/>
          </w:rPr>
          <w:fldChar w:fldCharType="begin"/>
        </w:r>
        <w:r w:rsidR="00270ACC">
          <w:rPr>
            <w:webHidden/>
          </w:rPr>
          <w:instrText xml:space="preserve"> PAGEREF _Toc141445529 \h </w:instrText>
        </w:r>
        <w:r w:rsidR="00270ACC">
          <w:rPr>
            <w:webHidden/>
          </w:rPr>
        </w:r>
        <w:r w:rsidR="00270ACC">
          <w:rPr>
            <w:webHidden/>
          </w:rPr>
          <w:fldChar w:fldCharType="separate"/>
        </w:r>
        <w:r w:rsidR="00733598">
          <w:rPr>
            <w:webHidden/>
          </w:rPr>
          <w:t>112</w:t>
        </w:r>
        <w:r w:rsidR="00270ACC">
          <w:rPr>
            <w:webHidden/>
          </w:rPr>
          <w:fldChar w:fldCharType="end"/>
        </w:r>
      </w:hyperlink>
    </w:p>
    <w:p w14:paraId="4BB7A641" w14:textId="71998A59"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30" w:history="1">
        <w:r w:rsidR="00270ACC" w:rsidRPr="00882E71">
          <w:rPr>
            <w:rStyle w:val="Hyperlink"/>
          </w:rPr>
          <w:t>Table 6</w:t>
        </w:r>
        <w:r w:rsidR="00270ACC" w:rsidRPr="00882E71">
          <w:rPr>
            <w:rStyle w:val="Hyperlink"/>
          </w:rPr>
          <w:noBreakHyphen/>
          <w:t xml:space="preserve">21. </w:t>
        </w:r>
        <w:r w:rsidR="00270ACC" w:rsidRPr="00882E71">
          <w:rPr>
            <w:rStyle w:val="Hyperlink"/>
            <w:rFonts w:eastAsia="Arial TUR"/>
          </w:rPr>
          <w:t>The List of Vehicles and Equipment to be used in the Ground levelling and Excavation Works</w:t>
        </w:r>
        <w:r w:rsidR="00270ACC">
          <w:rPr>
            <w:webHidden/>
          </w:rPr>
          <w:tab/>
        </w:r>
        <w:r w:rsidR="00270ACC">
          <w:rPr>
            <w:webHidden/>
          </w:rPr>
          <w:fldChar w:fldCharType="begin"/>
        </w:r>
        <w:r w:rsidR="00270ACC">
          <w:rPr>
            <w:webHidden/>
          </w:rPr>
          <w:instrText xml:space="preserve"> PAGEREF _Toc141445530 \h </w:instrText>
        </w:r>
        <w:r w:rsidR="00270ACC">
          <w:rPr>
            <w:webHidden/>
          </w:rPr>
        </w:r>
        <w:r w:rsidR="00270ACC">
          <w:rPr>
            <w:webHidden/>
          </w:rPr>
          <w:fldChar w:fldCharType="separate"/>
        </w:r>
        <w:r w:rsidR="00733598">
          <w:rPr>
            <w:webHidden/>
          </w:rPr>
          <w:t>118</w:t>
        </w:r>
        <w:r w:rsidR="00270ACC">
          <w:rPr>
            <w:webHidden/>
          </w:rPr>
          <w:fldChar w:fldCharType="end"/>
        </w:r>
      </w:hyperlink>
    </w:p>
    <w:p w14:paraId="5F71F8EF" w14:textId="3D3958EF"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31" w:history="1">
        <w:r w:rsidR="00270ACC" w:rsidRPr="00882E71">
          <w:rPr>
            <w:rStyle w:val="Hyperlink"/>
          </w:rPr>
          <w:t>Table 6</w:t>
        </w:r>
        <w:r w:rsidR="00270ACC" w:rsidRPr="00882E71">
          <w:rPr>
            <w:rStyle w:val="Hyperlink"/>
          </w:rPr>
          <w:noBreakHyphen/>
          <w:t xml:space="preserve">22. </w:t>
        </w:r>
        <w:r w:rsidR="00270ACC" w:rsidRPr="00882E71">
          <w:rPr>
            <w:rStyle w:val="Hyperlink"/>
            <w:rFonts w:eastAsia="Arial TUR"/>
          </w:rPr>
          <w:t>Sound Power Levels of Vehicles and Equipment During the Construction</w:t>
        </w:r>
        <w:r w:rsidR="00270ACC">
          <w:rPr>
            <w:webHidden/>
          </w:rPr>
          <w:tab/>
        </w:r>
        <w:r w:rsidR="00270ACC">
          <w:rPr>
            <w:webHidden/>
          </w:rPr>
          <w:fldChar w:fldCharType="begin"/>
        </w:r>
        <w:r w:rsidR="00270ACC">
          <w:rPr>
            <w:webHidden/>
          </w:rPr>
          <w:instrText xml:space="preserve"> PAGEREF _Toc141445531 \h </w:instrText>
        </w:r>
        <w:r w:rsidR="00270ACC">
          <w:rPr>
            <w:webHidden/>
          </w:rPr>
        </w:r>
        <w:r w:rsidR="00270ACC">
          <w:rPr>
            <w:webHidden/>
          </w:rPr>
          <w:fldChar w:fldCharType="separate"/>
        </w:r>
        <w:r w:rsidR="00733598">
          <w:rPr>
            <w:webHidden/>
          </w:rPr>
          <w:t>119</w:t>
        </w:r>
        <w:r w:rsidR="00270ACC">
          <w:rPr>
            <w:webHidden/>
          </w:rPr>
          <w:fldChar w:fldCharType="end"/>
        </w:r>
      </w:hyperlink>
    </w:p>
    <w:p w14:paraId="3267C330" w14:textId="25B5726A"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32" w:history="1">
        <w:r w:rsidR="00270ACC" w:rsidRPr="00882E71">
          <w:rPr>
            <w:rStyle w:val="Hyperlink"/>
          </w:rPr>
          <w:t>Table 6</w:t>
        </w:r>
        <w:r w:rsidR="00270ACC" w:rsidRPr="00882E71">
          <w:rPr>
            <w:rStyle w:val="Hyperlink"/>
          </w:rPr>
          <w:noBreakHyphen/>
          <w:t xml:space="preserve">23. </w:t>
        </w:r>
        <w:r w:rsidR="00270ACC" w:rsidRPr="00882E71">
          <w:rPr>
            <w:rStyle w:val="Hyperlink"/>
            <w:rFonts w:eastAsia="Arial TUR"/>
          </w:rPr>
          <w:t>Distribution of Sound Power Levels to Octave Bands</w:t>
        </w:r>
        <w:r w:rsidR="00270ACC">
          <w:rPr>
            <w:webHidden/>
          </w:rPr>
          <w:tab/>
        </w:r>
        <w:r w:rsidR="00270ACC">
          <w:rPr>
            <w:webHidden/>
          </w:rPr>
          <w:fldChar w:fldCharType="begin"/>
        </w:r>
        <w:r w:rsidR="00270ACC">
          <w:rPr>
            <w:webHidden/>
          </w:rPr>
          <w:instrText xml:space="preserve"> PAGEREF _Toc141445532 \h </w:instrText>
        </w:r>
        <w:r w:rsidR="00270ACC">
          <w:rPr>
            <w:webHidden/>
          </w:rPr>
        </w:r>
        <w:r w:rsidR="00270ACC">
          <w:rPr>
            <w:webHidden/>
          </w:rPr>
          <w:fldChar w:fldCharType="separate"/>
        </w:r>
        <w:r w:rsidR="00733598">
          <w:rPr>
            <w:webHidden/>
          </w:rPr>
          <w:t>119</w:t>
        </w:r>
        <w:r w:rsidR="00270ACC">
          <w:rPr>
            <w:webHidden/>
          </w:rPr>
          <w:fldChar w:fldCharType="end"/>
        </w:r>
      </w:hyperlink>
    </w:p>
    <w:p w14:paraId="51B7E486" w14:textId="1B695118"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33" w:history="1">
        <w:r w:rsidR="00270ACC" w:rsidRPr="00882E71">
          <w:rPr>
            <w:rStyle w:val="Hyperlink"/>
          </w:rPr>
          <w:t>Table 6</w:t>
        </w:r>
        <w:r w:rsidR="00270ACC" w:rsidRPr="00882E71">
          <w:rPr>
            <w:rStyle w:val="Hyperlink"/>
          </w:rPr>
          <w:noBreakHyphen/>
          <w:t xml:space="preserve">24. </w:t>
        </w:r>
        <w:r w:rsidR="00270ACC" w:rsidRPr="00882E71">
          <w:rPr>
            <w:rStyle w:val="Hyperlink"/>
            <w:rFonts w:eastAsia="Arial TUR"/>
          </w:rPr>
          <w:t>Sound Pressure Levels in 4 Octave Bands by Distance</w:t>
        </w:r>
        <w:r w:rsidR="00270ACC">
          <w:rPr>
            <w:webHidden/>
          </w:rPr>
          <w:tab/>
        </w:r>
        <w:r w:rsidR="00270ACC">
          <w:rPr>
            <w:webHidden/>
          </w:rPr>
          <w:fldChar w:fldCharType="begin"/>
        </w:r>
        <w:r w:rsidR="00270ACC">
          <w:rPr>
            <w:webHidden/>
          </w:rPr>
          <w:instrText xml:space="preserve"> PAGEREF _Toc141445533 \h </w:instrText>
        </w:r>
        <w:r w:rsidR="00270ACC">
          <w:rPr>
            <w:webHidden/>
          </w:rPr>
        </w:r>
        <w:r w:rsidR="00270ACC">
          <w:rPr>
            <w:webHidden/>
          </w:rPr>
          <w:fldChar w:fldCharType="separate"/>
        </w:r>
        <w:r w:rsidR="00733598">
          <w:rPr>
            <w:webHidden/>
          </w:rPr>
          <w:t>120</w:t>
        </w:r>
        <w:r w:rsidR="00270ACC">
          <w:rPr>
            <w:webHidden/>
          </w:rPr>
          <w:fldChar w:fldCharType="end"/>
        </w:r>
      </w:hyperlink>
    </w:p>
    <w:p w14:paraId="16C6CB96" w14:textId="6CB4FEA0"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34" w:history="1">
        <w:r w:rsidR="00270ACC" w:rsidRPr="00882E71">
          <w:rPr>
            <w:rStyle w:val="Hyperlink"/>
          </w:rPr>
          <w:t>Table 6</w:t>
        </w:r>
        <w:r w:rsidR="00270ACC" w:rsidRPr="00882E71">
          <w:rPr>
            <w:rStyle w:val="Hyperlink"/>
          </w:rPr>
          <w:noBreakHyphen/>
          <w:t xml:space="preserve">25. </w:t>
        </w:r>
        <w:r w:rsidR="00270ACC" w:rsidRPr="00882E71">
          <w:rPr>
            <w:rStyle w:val="Hyperlink"/>
            <w:rFonts w:eastAsia="Arial TUR"/>
          </w:rPr>
          <w:t>Correction Factors</w:t>
        </w:r>
        <w:r w:rsidR="00270ACC">
          <w:rPr>
            <w:webHidden/>
          </w:rPr>
          <w:tab/>
        </w:r>
        <w:r w:rsidR="00270ACC">
          <w:rPr>
            <w:webHidden/>
          </w:rPr>
          <w:fldChar w:fldCharType="begin"/>
        </w:r>
        <w:r w:rsidR="00270ACC">
          <w:rPr>
            <w:webHidden/>
          </w:rPr>
          <w:instrText xml:space="preserve"> PAGEREF _Toc141445534 \h </w:instrText>
        </w:r>
        <w:r w:rsidR="00270ACC">
          <w:rPr>
            <w:webHidden/>
          </w:rPr>
        </w:r>
        <w:r w:rsidR="00270ACC">
          <w:rPr>
            <w:webHidden/>
          </w:rPr>
          <w:fldChar w:fldCharType="separate"/>
        </w:r>
        <w:r w:rsidR="00733598">
          <w:rPr>
            <w:webHidden/>
          </w:rPr>
          <w:t>120</w:t>
        </w:r>
        <w:r w:rsidR="00270ACC">
          <w:rPr>
            <w:webHidden/>
          </w:rPr>
          <w:fldChar w:fldCharType="end"/>
        </w:r>
      </w:hyperlink>
    </w:p>
    <w:p w14:paraId="637D0A57" w14:textId="10589C80"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35" w:history="1">
        <w:r w:rsidR="00270ACC" w:rsidRPr="00882E71">
          <w:rPr>
            <w:rStyle w:val="Hyperlink"/>
          </w:rPr>
          <w:t>Table 6</w:t>
        </w:r>
        <w:r w:rsidR="00270ACC" w:rsidRPr="00882E71">
          <w:rPr>
            <w:rStyle w:val="Hyperlink"/>
          </w:rPr>
          <w:noBreakHyphen/>
          <w:t xml:space="preserve">26. </w:t>
        </w:r>
        <w:r w:rsidR="00270ACC" w:rsidRPr="00882E71">
          <w:rPr>
            <w:rStyle w:val="Hyperlink"/>
            <w:rFonts w:eastAsia="Arial TUR"/>
          </w:rPr>
          <w:t>Atmospheric Absorption</w:t>
        </w:r>
        <w:r w:rsidR="00270ACC">
          <w:rPr>
            <w:webHidden/>
          </w:rPr>
          <w:tab/>
        </w:r>
        <w:r w:rsidR="00270ACC">
          <w:rPr>
            <w:webHidden/>
          </w:rPr>
          <w:fldChar w:fldCharType="begin"/>
        </w:r>
        <w:r w:rsidR="00270ACC">
          <w:rPr>
            <w:webHidden/>
          </w:rPr>
          <w:instrText xml:space="preserve"> PAGEREF _Toc141445535 \h </w:instrText>
        </w:r>
        <w:r w:rsidR="00270ACC">
          <w:rPr>
            <w:webHidden/>
          </w:rPr>
        </w:r>
        <w:r w:rsidR="00270ACC">
          <w:rPr>
            <w:webHidden/>
          </w:rPr>
          <w:fldChar w:fldCharType="separate"/>
        </w:r>
        <w:r w:rsidR="00733598">
          <w:rPr>
            <w:webHidden/>
          </w:rPr>
          <w:t>121</w:t>
        </w:r>
        <w:r w:rsidR="00270ACC">
          <w:rPr>
            <w:webHidden/>
          </w:rPr>
          <w:fldChar w:fldCharType="end"/>
        </w:r>
      </w:hyperlink>
    </w:p>
    <w:p w14:paraId="4F028512" w14:textId="349C60E0"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36" w:history="1">
        <w:r w:rsidR="00270ACC" w:rsidRPr="00882E71">
          <w:rPr>
            <w:rStyle w:val="Hyperlink"/>
          </w:rPr>
          <w:t>Table 6</w:t>
        </w:r>
        <w:r w:rsidR="00270ACC" w:rsidRPr="00882E71">
          <w:rPr>
            <w:rStyle w:val="Hyperlink"/>
          </w:rPr>
          <w:noBreakHyphen/>
          <w:t xml:space="preserve">27. </w:t>
        </w:r>
        <w:r w:rsidR="00270ACC" w:rsidRPr="00882E71">
          <w:rPr>
            <w:rStyle w:val="Hyperlink"/>
            <w:rFonts w:eastAsia="Arial TUR"/>
          </w:rPr>
          <w:t>The Final Sound Pressure Levels in the 4-Octave Band</w:t>
        </w:r>
        <w:r w:rsidR="00270ACC">
          <w:rPr>
            <w:webHidden/>
          </w:rPr>
          <w:tab/>
        </w:r>
        <w:r w:rsidR="00270ACC">
          <w:rPr>
            <w:webHidden/>
          </w:rPr>
          <w:fldChar w:fldCharType="begin"/>
        </w:r>
        <w:r w:rsidR="00270ACC">
          <w:rPr>
            <w:webHidden/>
          </w:rPr>
          <w:instrText xml:space="preserve"> PAGEREF _Toc141445536 \h </w:instrText>
        </w:r>
        <w:r w:rsidR="00270ACC">
          <w:rPr>
            <w:webHidden/>
          </w:rPr>
        </w:r>
        <w:r w:rsidR="00270ACC">
          <w:rPr>
            <w:webHidden/>
          </w:rPr>
          <w:fldChar w:fldCharType="separate"/>
        </w:r>
        <w:r w:rsidR="00733598">
          <w:rPr>
            <w:webHidden/>
          </w:rPr>
          <w:t>121</w:t>
        </w:r>
        <w:r w:rsidR="00270ACC">
          <w:rPr>
            <w:webHidden/>
          </w:rPr>
          <w:fldChar w:fldCharType="end"/>
        </w:r>
      </w:hyperlink>
    </w:p>
    <w:p w14:paraId="2EB7D8BC" w14:textId="5AC14259"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37" w:history="1">
        <w:r w:rsidR="00270ACC" w:rsidRPr="00882E71">
          <w:rPr>
            <w:rStyle w:val="Hyperlink"/>
          </w:rPr>
          <w:t>Table 6</w:t>
        </w:r>
        <w:r w:rsidR="00270ACC" w:rsidRPr="00882E71">
          <w:rPr>
            <w:rStyle w:val="Hyperlink"/>
          </w:rPr>
          <w:noBreakHyphen/>
          <w:t xml:space="preserve">28. </w:t>
        </w:r>
        <w:r w:rsidR="00270ACC" w:rsidRPr="00882E71">
          <w:rPr>
            <w:rStyle w:val="Hyperlink"/>
            <w:rFonts w:eastAsia="Arial TUR"/>
          </w:rPr>
          <w:t>The Final Sound Pressure Levels</w:t>
        </w:r>
        <w:r w:rsidR="00270ACC">
          <w:rPr>
            <w:webHidden/>
          </w:rPr>
          <w:tab/>
        </w:r>
        <w:r w:rsidR="00270ACC">
          <w:rPr>
            <w:webHidden/>
          </w:rPr>
          <w:fldChar w:fldCharType="begin"/>
        </w:r>
        <w:r w:rsidR="00270ACC">
          <w:rPr>
            <w:webHidden/>
          </w:rPr>
          <w:instrText xml:space="preserve"> PAGEREF _Toc141445537 \h </w:instrText>
        </w:r>
        <w:r w:rsidR="00270ACC">
          <w:rPr>
            <w:webHidden/>
          </w:rPr>
        </w:r>
        <w:r w:rsidR="00270ACC">
          <w:rPr>
            <w:webHidden/>
          </w:rPr>
          <w:fldChar w:fldCharType="separate"/>
        </w:r>
        <w:r w:rsidR="00733598">
          <w:rPr>
            <w:webHidden/>
          </w:rPr>
          <w:t>122</w:t>
        </w:r>
        <w:r w:rsidR="00270ACC">
          <w:rPr>
            <w:webHidden/>
          </w:rPr>
          <w:fldChar w:fldCharType="end"/>
        </w:r>
      </w:hyperlink>
    </w:p>
    <w:p w14:paraId="5E026BED" w14:textId="3CDC3F75"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38" w:history="1">
        <w:r w:rsidR="00270ACC" w:rsidRPr="00882E71">
          <w:rPr>
            <w:rStyle w:val="Hyperlink"/>
          </w:rPr>
          <w:t>Table 6</w:t>
        </w:r>
        <w:r w:rsidR="00270ACC" w:rsidRPr="00882E71">
          <w:rPr>
            <w:rStyle w:val="Hyperlink"/>
          </w:rPr>
          <w:noBreakHyphen/>
          <w:t xml:space="preserve">29. Estimated </w:t>
        </w:r>
        <w:r w:rsidR="00270ACC" w:rsidRPr="00882E71">
          <w:rPr>
            <w:rStyle w:val="Hyperlink"/>
            <w:rFonts w:eastAsia="Arial TUR"/>
          </w:rPr>
          <w:t>Lday Sound Level Values and the National and International Noise Limit Values</w:t>
        </w:r>
        <w:r w:rsidR="00270ACC">
          <w:rPr>
            <w:webHidden/>
          </w:rPr>
          <w:tab/>
        </w:r>
        <w:r w:rsidR="00270ACC">
          <w:rPr>
            <w:webHidden/>
          </w:rPr>
          <w:fldChar w:fldCharType="begin"/>
        </w:r>
        <w:r w:rsidR="00270ACC">
          <w:rPr>
            <w:webHidden/>
          </w:rPr>
          <w:instrText xml:space="preserve"> PAGEREF _Toc141445538 \h </w:instrText>
        </w:r>
        <w:r w:rsidR="00270ACC">
          <w:rPr>
            <w:webHidden/>
          </w:rPr>
        </w:r>
        <w:r w:rsidR="00270ACC">
          <w:rPr>
            <w:webHidden/>
          </w:rPr>
          <w:fldChar w:fldCharType="separate"/>
        </w:r>
        <w:r w:rsidR="00733598">
          <w:rPr>
            <w:webHidden/>
          </w:rPr>
          <w:t>123</w:t>
        </w:r>
        <w:r w:rsidR="00270ACC">
          <w:rPr>
            <w:webHidden/>
          </w:rPr>
          <w:fldChar w:fldCharType="end"/>
        </w:r>
      </w:hyperlink>
    </w:p>
    <w:p w14:paraId="1DF355D1" w14:textId="2CA63AB5"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39" w:history="1">
        <w:r w:rsidR="00270ACC" w:rsidRPr="00882E71">
          <w:rPr>
            <w:rStyle w:val="Hyperlink"/>
          </w:rPr>
          <w:t>Table 6</w:t>
        </w:r>
        <w:r w:rsidR="00270ACC" w:rsidRPr="00882E71">
          <w:rPr>
            <w:rStyle w:val="Hyperlink"/>
          </w:rPr>
          <w:noBreakHyphen/>
          <w:t xml:space="preserve">30. </w:t>
        </w:r>
        <w:r w:rsidR="00270ACC" w:rsidRPr="00882E71">
          <w:rPr>
            <w:rStyle w:val="Hyperlink"/>
            <w:rFonts w:eastAsiaTheme="minorHAnsi"/>
          </w:rPr>
          <w:t>Coordinates of the Points for Soil Sampling</w:t>
        </w:r>
        <w:r w:rsidR="00270ACC">
          <w:rPr>
            <w:webHidden/>
          </w:rPr>
          <w:tab/>
        </w:r>
        <w:r w:rsidR="00270ACC">
          <w:rPr>
            <w:webHidden/>
          </w:rPr>
          <w:fldChar w:fldCharType="begin"/>
        </w:r>
        <w:r w:rsidR="00270ACC">
          <w:rPr>
            <w:webHidden/>
          </w:rPr>
          <w:instrText xml:space="preserve"> PAGEREF _Toc141445539 \h </w:instrText>
        </w:r>
        <w:r w:rsidR="00270ACC">
          <w:rPr>
            <w:webHidden/>
          </w:rPr>
        </w:r>
        <w:r w:rsidR="00270ACC">
          <w:rPr>
            <w:webHidden/>
          </w:rPr>
          <w:fldChar w:fldCharType="separate"/>
        </w:r>
        <w:r w:rsidR="00733598">
          <w:rPr>
            <w:webHidden/>
          </w:rPr>
          <w:t>124</w:t>
        </w:r>
        <w:r w:rsidR="00270ACC">
          <w:rPr>
            <w:webHidden/>
          </w:rPr>
          <w:fldChar w:fldCharType="end"/>
        </w:r>
      </w:hyperlink>
    </w:p>
    <w:p w14:paraId="1B2FE9ED" w14:textId="06727CB2"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40" w:history="1">
        <w:r w:rsidR="00270ACC" w:rsidRPr="00882E71">
          <w:rPr>
            <w:rStyle w:val="Hyperlink"/>
          </w:rPr>
          <w:t>Table 6</w:t>
        </w:r>
        <w:r w:rsidR="00270ACC" w:rsidRPr="00882E71">
          <w:rPr>
            <w:rStyle w:val="Hyperlink"/>
          </w:rPr>
          <w:noBreakHyphen/>
          <w:t xml:space="preserve">31. </w:t>
        </w:r>
        <w:r w:rsidR="00270ACC" w:rsidRPr="00882E71">
          <w:rPr>
            <w:rStyle w:val="Hyperlink"/>
            <w:rFonts w:eastAsia="Calibri"/>
            <w:lang w:eastAsia="tr-TR"/>
          </w:rPr>
          <w:t>Characteristics of the affected parcels before acquisition in Phase 1 area of the Sub-project</w:t>
        </w:r>
        <w:r w:rsidR="00270ACC">
          <w:rPr>
            <w:webHidden/>
          </w:rPr>
          <w:tab/>
        </w:r>
        <w:r w:rsidR="00270ACC">
          <w:rPr>
            <w:webHidden/>
          </w:rPr>
          <w:fldChar w:fldCharType="begin"/>
        </w:r>
        <w:r w:rsidR="00270ACC">
          <w:rPr>
            <w:webHidden/>
          </w:rPr>
          <w:instrText xml:space="preserve"> PAGEREF _Toc141445540 \h </w:instrText>
        </w:r>
        <w:r w:rsidR="00270ACC">
          <w:rPr>
            <w:webHidden/>
          </w:rPr>
        </w:r>
        <w:r w:rsidR="00270ACC">
          <w:rPr>
            <w:webHidden/>
          </w:rPr>
          <w:fldChar w:fldCharType="separate"/>
        </w:r>
        <w:r w:rsidR="00733598">
          <w:rPr>
            <w:webHidden/>
          </w:rPr>
          <w:t>131</w:t>
        </w:r>
        <w:r w:rsidR="00270ACC">
          <w:rPr>
            <w:webHidden/>
          </w:rPr>
          <w:fldChar w:fldCharType="end"/>
        </w:r>
      </w:hyperlink>
    </w:p>
    <w:p w14:paraId="182DE904" w14:textId="2B1C3BF5"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41" w:history="1">
        <w:r w:rsidR="00270ACC" w:rsidRPr="00882E71">
          <w:rPr>
            <w:rStyle w:val="Hyperlink"/>
          </w:rPr>
          <w:t>Table 7</w:t>
        </w:r>
        <w:r w:rsidR="00270ACC" w:rsidRPr="00882E71">
          <w:rPr>
            <w:rStyle w:val="Hyperlink"/>
          </w:rPr>
          <w:noBreakHyphen/>
          <w:t>1. Activities to be performed in the Scope of the Project</w:t>
        </w:r>
        <w:r w:rsidR="00270ACC">
          <w:rPr>
            <w:webHidden/>
          </w:rPr>
          <w:tab/>
        </w:r>
        <w:r w:rsidR="00270ACC">
          <w:rPr>
            <w:webHidden/>
          </w:rPr>
          <w:fldChar w:fldCharType="begin"/>
        </w:r>
        <w:r w:rsidR="00270ACC">
          <w:rPr>
            <w:webHidden/>
          </w:rPr>
          <w:instrText xml:space="preserve"> PAGEREF _Toc141445541 \h </w:instrText>
        </w:r>
        <w:r w:rsidR="00270ACC">
          <w:rPr>
            <w:webHidden/>
          </w:rPr>
        </w:r>
        <w:r w:rsidR="00270ACC">
          <w:rPr>
            <w:webHidden/>
          </w:rPr>
          <w:fldChar w:fldCharType="separate"/>
        </w:r>
        <w:r w:rsidR="00733598">
          <w:rPr>
            <w:webHidden/>
          </w:rPr>
          <w:t>147</w:t>
        </w:r>
        <w:r w:rsidR="00270ACC">
          <w:rPr>
            <w:webHidden/>
          </w:rPr>
          <w:fldChar w:fldCharType="end"/>
        </w:r>
      </w:hyperlink>
    </w:p>
    <w:p w14:paraId="3450EF9B" w14:textId="671D61E5"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42" w:history="1">
        <w:r w:rsidR="00270ACC" w:rsidRPr="00882E71">
          <w:rPr>
            <w:rStyle w:val="Hyperlink"/>
          </w:rPr>
          <w:t>Table 8</w:t>
        </w:r>
        <w:r w:rsidR="00270ACC" w:rsidRPr="00882E71">
          <w:rPr>
            <w:rStyle w:val="Hyperlink"/>
          </w:rPr>
          <w:noBreakHyphen/>
          <w:t>1. Key Performance Indicators for both construction and operation phases of the Project</w:t>
        </w:r>
        <w:r w:rsidR="00270ACC">
          <w:rPr>
            <w:webHidden/>
          </w:rPr>
          <w:tab/>
        </w:r>
        <w:r w:rsidR="00270ACC">
          <w:rPr>
            <w:webHidden/>
          </w:rPr>
          <w:fldChar w:fldCharType="begin"/>
        </w:r>
        <w:r w:rsidR="00270ACC">
          <w:rPr>
            <w:webHidden/>
          </w:rPr>
          <w:instrText xml:space="preserve"> PAGEREF _Toc141445542 \h </w:instrText>
        </w:r>
        <w:r w:rsidR="00270ACC">
          <w:rPr>
            <w:webHidden/>
          </w:rPr>
        </w:r>
        <w:r w:rsidR="00270ACC">
          <w:rPr>
            <w:webHidden/>
          </w:rPr>
          <w:fldChar w:fldCharType="separate"/>
        </w:r>
        <w:r w:rsidR="00733598">
          <w:rPr>
            <w:webHidden/>
          </w:rPr>
          <w:t>183</w:t>
        </w:r>
        <w:r w:rsidR="00270ACC">
          <w:rPr>
            <w:webHidden/>
          </w:rPr>
          <w:fldChar w:fldCharType="end"/>
        </w:r>
      </w:hyperlink>
    </w:p>
    <w:p w14:paraId="2004ED25" w14:textId="6245F5C8"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43" w:history="1">
        <w:r w:rsidR="00270ACC" w:rsidRPr="00882E71">
          <w:rPr>
            <w:rStyle w:val="Hyperlink"/>
          </w:rPr>
          <w:t>Table 9</w:t>
        </w:r>
        <w:r w:rsidR="00270ACC" w:rsidRPr="00882E71">
          <w:rPr>
            <w:rStyle w:val="Hyperlink"/>
          </w:rPr>
          <w:noBreakHyphen/>
          <w:t>1. Project’s Organizational Management</w:t>
        </w:r>
        <w:r w:rsidR="00270ACC">
          <w:rPr>
            <w:webHidden/>
          </w:rPr>
          <w:tab/>
        </w:r>
        <w:r w:rsidR="00270ACC">
          <w:rPr>
            <w:webHidden/>
          </w:rPr>
          <w:fldChar w:fldCharType="begin"/>
        </w:r>
        <w:r w:rsidR="00270ACC">
          <w:rPr>
            <w:webHidden/>
          </w:rPr>
          <w:instrText xml:space="preserve"> PAGEREF _Toc141445543 \h </w:instrText>
        </w:r>
        <w:r w:rsidR="00270ACC">
          <w:rPr>
            <w:webHidden/>
          </w:rPr>
        </w:r>
        <w:r w:rsidR="00270ACC">
          <w:rPr>
            <w:webHidden/>
          </w:rPr>
          <w:fldChar w:fldCharType="separate"/>
        </w:r>
        <w:r w:rsidR="00733598">
          <w:rPr>
            <w:webHidden/>
          </w:rPr>
          <w:t>195</w:t>
        </w:r>
        <w:r w:rsidR="00270ACC">
          <w:rPr>
            <w:webHidden/>
          </w:rPr>
          <w:fldChar w:fldCharType="end"/>
        </w:r>
      </w:hyperlink>
    </w:p>
    <w:p w14:paraId="780A6421" w14:textId="51D53563"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44" w:history="1">
        <w:r w:rsidR="00270ACC" w:rsidRPr="00882E71">
          <w:rPr>
            <w:rStyle w:val="Hyperlink"/>
          </w:rPr>
          <w:t>Table 10</w:t>
        </w:r>
        <w:r w:rsidR="00270ACC" w:rsidRPr="00882E71">
          <w:rPr>
            <w:rStyle w:val="Hyperlink"/>
          </w:rPr>
          <w:noBreakHyphen/>
          <w:t>1.  Stakeholder Groups</w:t>
        </w:r>
        <w:r w:rsidR="00270ACC">
          <w:rPr>
            <w:webHidden/>
          </w:rPr>
          <w:tab/>
        </w:r>
        <w:r w:rsidR="00270ACC">
          <w:rPr>
            <w:webHidden/>
          </w:rPr>
          <w:fldChar w:fldCharType="begin"/>
        </w:r>
        <w:r w:rsidR="00270ACC">
          <w:rPr>
            <w:webHidden/>
          </w:rPr>
          <w:instrText xml:space="preserve"> PAGEREF _Toc141445544 \h </w:instrText>
        </w:r>
        <w:r w:rsidR="00270ACC">
          <w:rPr>
            <w:webHidden/>
          </w:rPr>
        </w:r>
        <w:r w:rsidR="00270ACC">
          <w:rPr>
            <w:webHidden/>
          </w:rPr>
          <w:fldChar w:fldCharType="separate"/>
        </w:r>
        <w:r w:rsidR="00733598">
          <w:rPr>
            <w:webHidden/>
          </w:rPr>
          <w:t>197</w:t>
        </w:r>
        <w:r w:rsidR="00270ACC">
          <w:rPr>
            <w:webHidden/>
          </w:rPr>
          <w:fldChar w:fldCharType="end"/>
        </w:r>
      </w:hyperlink>
    </w:p>
    <w:p w14:paraId="41B02EF7" w14:textId="793A522A" w:rsidR="00270ACC" w:rsidRDefault="00EC509A" w:rsidP="00270ACC">
      <w:pPr>
        <w:pStyle w:val="TableofFigures"/>
        <w:ind w:left="993" w:hanging="993"/>
        <w:jc w:val="left"/>
        <w:rPr>
          <w:rFonts w:asciiTheme="minorHAnsi" w:eastAsiaTheme="minorEastAsia" w:hAnsiTheme="minorHAnsi" w:cstheme="minorBidi"/>
          <w:kern w:val="2"/>
          <w:szCs w:val="22"/>
          <w:lang w:val="tr-TR" w:eastAsia="tr-TR"/>
          <w14:ligatures w14:val="standardContextual"/>
        </w:rPr>
      </w:pPr>
      <w:hyperlink w:anchor="_Toc141445545" w:history="1">
        <w:r w:rsidR="00270ACC" w:rsidRPr="00882E71">
          <w:rPr>
            <w:rStyle w:val="Hyperlink"/>
          </w:rPr>
          <w:t>Table 11</w:t>
        </w:r>
        <w:r w:rsidR="00270ACC" w:rsidRPr="00882E71">
          <w:rPr>
            <w:rStyle w:val="Hyperlink"/>
          </w:rPr>
          <w:noBreakHyphen/>
          <w:t>1. Reporting Process Requirements and Distribution of Roles</w:t>
        </w:r>
        <w:r w:rsidR="00270ACC">
          <w:rPr>
            <w:webHidden/>
          </w:rPr>
          <w:tab/>
        </w:r>
        <w:r w:rsidR="00270ACC">
          <w:rPr>
            <w:webHidden/>
          </w:rPr>
          <w:fldChar w:fldCharType="begin"/>
        </w:r>
        <w:r w:rsidR="00270ACC">
          <w:rPr>
            <w:webHidden/>
          </w:rPr>
          <w:instrText xml:space="preserve"> PAGEREF _Toc141445545 \h </w:instrText>
        </w:r>
        <w:r w:rsidR="00270ACC">
          <w:rPr>
            <w:webHidden/>
          </w:rPr>
        </w:r>
        <w:r w:rsidR="00270ACC">
          <w:rPr>
            <w:webHidden/>
          </w:rPr>
          <w:fldChar w:fldCharType="separate"/>
        </w:r>
        <w:r w:rsidR="00733598">
          <w:rPr>
            <w:webHidden/>
          </w:rPr>
          <w:t>204</w:t>
        </w:r>
        <w:r w:rsidR="00270ACC">
          <w:rPr>
            <w:webHidden/>
          </w:rPr>
          <w:fldChar w:fldCharType="end"/>
        </w:r>
      </w:hyperlink>
    </w:p>
    <w:p w14:paraId="0D03B49B" w14:textId="1F067FA4" w:rsidR="008A1AB4" w:rsidRPr="00EE43C6" w:rsidRDefault="00E42080" w:rsidP="00B91168">
      <w:pPr>
        <w:spacing w:before="0" w:after="0"/>
        <w:ind w:left="1134" w:hanging="1134"/>
        <w:jc w:val="left"/>
        <w:rPr>
          <w:rFonts w:cs="MS Gothic"/>
          <w:szCs w:val="22"/>
        </w:rPr>
      </w:pPr>
      <w:r w:rsidRPr="00EE43C6">
        <w:rPr>
          <w:rFonts w:cs="MS Gothic"/>
          <w:szCs w:val="22"/>
        </w:rPr>
        <w:fldChar w:fldCharType="end"/>
      </w:r>
    </w:p>
    <w:p w14:paraId="0D630FFC" w14:textId="465C6F64" w:rsidR="004339AC" w:rsidRPr="00EE43C6" w:rsidRDefault="004339AC" w:rsidP="009B7661">
      <w:pPr>
        <w:pStyle w:val="Heading1"/>
        <w:numPr>
          <w:ilvl w:val="0"/>
          <w:numId w:val="0"/>
        </w:numPr>
        <w:jc w:val="center"/>
        <w:rPr>
          <w:noProof w:val="0"/>
          <w:color w:val="00B050"/>
          <w:lang w:val="en-GB"/>
        </w:rPr>
      </w:pPr>
      <w:bookmarkStart w:id="15" w:name="_Toc120016878"/>
      <w:bookmarkStart w:id="16" w:name="_Toc120004656"/>
      <w:bookmarkStart w:id="17" w:name="_Toc141445384"/>
      <w:r w:rsidRPr="00EE43C6">
        <w:rPr>
          <w:noProof w:val="0"/>
          <w:color w:val="00B050"/>
          <w:lang w:val="en-GB"/>
        </w:rPr>
        <w:lastRenderedPageBreak/>
        <w:t>LIST OF FIGURES</w:t>
      </w:r>
      <w:bookmarkEnd w:id="15"/>
      <w:bookmarkEnd w:id="16"/>
      <w:bookmarkEnd w:id="17"/>
    </w:p>
    <w:p w14:paraId="2C69011A" w14:textId="77777777" w:rsidR="008A1AB4" w:rsidRPr="00EE43C6" w:rsidRDefault="008A1AB4" w:rsidP="008A1AB4">
      <w:pPr>
        <w:spacing w:before="60" w:after="60"/>
        <w:ind w:left="992" w:hanging="992"/>
        <w:jc w:val="right"/>
        <w:rPr>
          <w:rFonts w:cs="MS Gothic"/>
          <w:b/>
          <w:color w:val="00B050"/>
          <w:szCs w:val="22"/>
          <w:u w:val="single"/>
        </w:rPr>
      </w:pPr>
      <w:r w:rsidRPr="00EE43C6">
        <w:rPr>
          <w:rFonts w:cs="MS Gothic"/>
          <w:b/>
          <w:color w:val="00B050"/>
          <w:szCs w:val="22"/>
          <w:u w:val="single"/>
        </w:rPr>
        <w:t>Page</w:t>
      </w:r>
    </w:p>
    <w:bookmarkStart w:id="18" w:name="_Toc82779380"/>
    <w:bookmarkStart w:id="19" w:name="_Toc97306833"/>
    <w:bookmarkStart w:id="20" w:name="_Toc80633511"/>
    <w:bookmarkEnd w:id="18"/>
    <w:p w14:paraId="7A1E9F93" w14:textId="2669AEF4" w:rsidR="00270ACC" w:rsidRDefault="00EF274B"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r w:rsidRPr="00EE43C6">
        <w:rPr>
          <w:b/>
          <w:noProof w:val="0"/>
          <w:lang w:val="en-GB"/>
        </w:rPr>
        <w:fldChar w:fldCharType="begin"/>
      </w:r>
      <w:r w:rsidRPr="00EE43C6">
        <w:rPr>
          <w:b/>
          <w:noProof w:val="0"/>
          <w:lang w:val="en-GB"/>
        </w:rPr>
        <w:instrText xml:space="preserve"> TOC \h \z \c "Figure" </w:instrText>
      </w:r>
      <w:r w:rsidRPr="00EE43C6">
        <w:rPr>
          <w:b/>
          <w:noProof w:val="0"/>
          <w:lang w:val="en-GB"/>
        </w:rPr>
        <w:fldChar w:fldCharType="separate"/>
      </w:r>
      <w:hyperlink w:anchor="_Toc141445546" w:history="1">
        <w:r w:rsidR="00270ACC" w:rsidRPr="006E3F42">
          <w:rPr>
            <w:rStyle w:val="Hyperlink"/>
          </w:rPr>
          <w:t>Figure 2</w:t>
        </w:r>
        <w:r w:rsidR="00270ACC" w:rsidRPr="006E3F42">
          <w:rPr>
            <w:rStyle w:val="Hyperlink"/>
          </w:rPr>
          <w:noBreakHyphen/>
          <w:t>1. The Project Location</w:t>
        </w:r>
        <w:r w:rsidR="00270ACC">
          <w:rPr>
            <w:webHidden/>
          </w:rPr>
          <w:tab/>
        </w:r>
        <w:r w:rsidR="00270ACC">
          <w:rPr>
            <w:webHidden/>
          </w:rPr>
          <w:fldChar w:fldCharType="begin"/>
        </w:r>
        <w:r w:rsidR="00270ACC">
          <w:rPr>
            <w:webHidden/>
          </w:rPr>
          <w:instrText xml:space="preserve"> PAGEREF _Toc141445546 \h </w:instrText>
        </w:r>
        <w:r w:rsidR="00270ACC">
          <w:rPr>
            <w:webHidden/>
          </w:rPr>
        </w:r>
        <w:r w:rsidR="00270ACC">
          <w:rPr>
            <w:webHidden/>
          </w:rPr>
          <w:fldChar w:fldCharType="separate"/>
        </w:r>
        <w:r w:rsidR="00733598">
          <w:rPr>
            <w:webHidden/>
          </w:rPr>
          <w:t>14</w:t>
        </w:r>
        <w:r w:rsidR="00270ACC">
          <w:rPr>
            <w:webHidden/>
          </w:rPr>
          <w:fldChar w:fldCharType="end"/>
        </w:r>
      </w:hyperlink>
    </w:p>
    <w:p w14:paraId="03DCC61D" w14:textId="4A5DA902"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47" w:history="1">
        <w:r w:rsidR="00270ACC" w:rsidRPr="006E3F42">
          <w:rPr>
            <w:rStyle w:val="Hyperlink"/>
          </w:rPr>
          <w:t>Figure 2</w:t>
        </w:r>
        <w:r w:rsidR="00270ACC" w:rsidRPr="006E3F42">
          <w:rPr>
            <w:rStyle w:val="Hyperlink"/>
          </w:rPr>
          <w:noBreakHyphen/>
          <w:t>2. The Layout showing the Two Phases of the Project</w:t>
        </w:r>
        <w:r w:rsidR="00270ACC">
          <w:rPr>
            <w:webHidden/>
          </w:rPr>
          <w:tab/>
        </w:r>
        <w:r w:rsidR="00270ACC">
          <w:rPr>
            <w:webHidden/>
          </w:rPr>
          <w:fldChar w:fldCharType="begin"/>
        </w:r>
        <w:r w:rsidR="00270ACC">
          <w:rPr>
            <w:webHidden/>
          </w:rPr>
          <w:instrText xml:space="preserve"> PAGEREF _Toc141445547 \h </w:instrText>
        </w:r>
        <w:r w:rsidR="00270ACC">
          <w:rPr>
            <w:webHidden/>
          </w:rPr>
        </w:r>
        <w:r w:rsidR="00270ACC">
          <w:rPr>
            <w:webHidden/>
          </w:rPr>
          <w:fldChar w:fldCharType="separate"/>
        </w:r>
        <w:r w:rsidR="00733598">
          <w:rPr>
            <w:webHidden/>
          </w:rPr>
          <w:t>15</w:t>
        </w:r>
        <w:r w:rsidR="00270ACC">
          <w:rPr>
            <w:webHidden/>
          </w:rPr>
          <w:fldChar w:fldCharType="end"/>
        </w:r>
      </w:hyperlink>
    </w:p>
    <w:p w14:paraId="47A8F5D1" w14:textId="28DEB47F"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48" w:history="1">
        <w:r w:rsidR="00270ACC" w:rsidRPr="006E3F42">
          <w:rPr>
            <w:rStyle w:val="Hyperlink"/>
          </w:rPr>
          <w:t>Figure 2</w:t>
        </w:r>
        <w:r w:rsidR="00270ACC" w:rsidRPr="006E3F42">
          <w:rPr>
            <w:rStyle w:val="Hyperlink"/>
          </w:rPr>
          <w:noBreakHyphen/>
          <w:t>3. The Quarries Adjacent to Project Area</w:t>
        </w:r>
        <w:r w:rsidR="00270ACC">
          <w:rPr>
            <w:webHidden/>
          </w:rPr>
          <w:tab/>
        </w:r>
        <w:r w:rsidR="00270ACC">
          <w:rPr>
            <w:webHidden/>
          </w:rPr>
          <w:fldChar w:fldCharType="begin"/>
        </w:r>
        <w:r w:rsidR="00270ACC">
          <w:rPr>
            <w:webHidden/>
          </w:rPr>
          <w:instrText xml:space="preserve"> PAGEREF _Toc141445548 \h </w:instrText>
        </w:r>
        <w:r w:rsidR="00270ACC">
          <w:rPr>
            <w:webHidden/>
          </w:rPr>
        </w:r>
        <w:r w:rsidR="00270ACC">
          <w:rPr>
            <w:webHidden/>
          </w:rPr>
          <w:fldChar w:fldCharType="separate"/>
        </w:r>
        <w:r w:rsidR="00733598">
          <w:rPr>
            <w:webHidden/>
          </w:rPr>
          <w:t>16</w:t>
        </w:r>
        <w:r w:rsidR="00270ACC">
          <w:rPr>
            <w:webHidden/>
          </w:rPr>
          <w:fldChar w:fldCharType="end"/>
        </w:r>
      </w:hyperlink>
    </w:p>
    <w:p w14:paraId="37EB1E01" w14:textId="16FE4FCA"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49" w:history="1">
        <w:r w:rsidR="00270ACC" w:rsidRPr="006E3F42">
          <w:rPr>
            <w:rStyle w:val="Hyperlink"/>
          </w:rPr>
          <w:t>Figure 2</w:t>
        </w:r>
        <w:r w:rsidR="00270ACC" w:rsidRPr="006E3F42">
          <w:rPr>
            <w:rStyle w:val="Hyperlink"/>
          </w:rPr>
          <w:noBreakHyphen/>
          <w:t>4. The Closest Sensitive Receptor to the Project Area</w:t>
        </w:r>
        <w:r w:rsidR="00270ACC">
          <w:rPr>
            <w:webHidden/>
          </w:rPr>
          <w:tab/>
        </w:r>
        <w:r w:rsidR="00270ACC">
          <w:rPr>
            <w:webHidden/>
          </w:rPr>
          <w:fldChar w:fldCharType="begin"/>
        </w:r>
        <w:r w:rsidR="00270ACC">
          <w:rPr>
            <w:webHidden/>
          </w:rPr>
          <w:instrText xml:space="preserve"> PAGEREF _Toc141445549 \h </w:instrText>
        </w:r>
        <w:r w:rsidR="00270ACC">
          <w:rPr>
            <w:webHidden/>
          </w:rPr>
        </w:r>
        <w:r w:rsidR="00270ACC">
          <w:rPr>
            <w:webHidden/>
          </w:rPr>
          <w:fldChar w:fldCharType="separate"/>
        </w:r>
        <w:r w:rsidR="00733598">
          <w:rPr>
            <w:webHidden/>
          </w:rPr>
          <w:t>16</w:t>
        </w:r>
        <w:r w:rsidR="00270ACC">
          <w:rPr>
            <w:webHidden/>
          </w:rPr>
          <w:fldChar w:fldCharType="end"/>
        </w:r>
      </w:hyperlink>
    </w:p>
    <w:p w14:paraId="51EAE65A" w14:textId="61BC7FCC"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50" w:history="1">
        <w:r w:rsidR="00270ACC" w:rsidRPr="006E3F42">
          <w:rPr>
            <w:rStyle w:val="Hyperlink"/>
          </w:rPr>
          <w:t>Figure 2</w:t>
        </w:r>
        <w:r w:rsidR="00270ACC" w:rsidRPr="006E3F42">
          <w:rPr>
            <w:rStyle w:val="Hyperlink"/>
          </w:rPr>
          <w:noBreakHyphen/>
          <w:t>5. The Closest Settlement and Sensitive Receptor to the Project Area</w:t>
        </w:r>
        <w:r w:rsidR="00270ACC">
          <w:rPr>
            <w:webHidden/>
          </w:rPr>
          <w:tab/>
        </w:r>
        <w:r w:rsidR="00270ACC">
          <w:rPr>
            <w:webHidden/>
          </w:rPr>
          <w:fldChar w:fldCharType="begin"/>
        </w:r>
        <w:r w:rsidR="00270ACC">
          <w:rPr>
            <w:webHidden/>
          </w:rPr>
          <w:instrText xml:space="preserve"> PAGEREF _Toc141445550 \h </w:instrText>
        </w:r>
        <w:r w:rsidR="00270ACC">
          <w:rPr>
            <w:webHidden/>
          </w:rPr>
        </w:r>
        <w:r w:rsidR="00270ACC">
          <w:rPr>
            <w:webHidden/>
          </w:rPr>
          <w:fldChar w:fldCharType="separate"/>
        </w:r>
        <w:r w:rsidR="00733598">
          <w:rPr>
            <w:webHidden/>
          </w:rPr>
          <w:t>17</w:t>
        </w:r>
        <w:r w:rsidR="00270ACC">
          <w:rPr>
            <w:webHidden/>
          </w:rPr>
          <w:fldChar w:fldCharType="end"/>
        </w:r>
      </w:hyperlink>
    </w:p>
    <w:p w14:paraId="3B93EA4E" w14:textId="3DB58625"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51" w:history="1">
        <w:r w:rsidR="00270ACC" w:rsidRPr="006E3F42">
          <w:rPr>
            <w:rStyle w:val="Hyperlink"/>
          </w:rPr>
          <w:t>Figure 2</w:t>
        </w:r>
        <w:r w:rsidR="00270ACC" w:rsidRPr="006E3F42">
          <w:rPr>
            <w:rStyle w:val="Hyperlink"/>
          </w:rPr>
          <w:noBreakHyphen/>
          <w:t>6. 1/100,000 scale territorial plan of Mersin-Adana planning zone showing 5 km around of the Project</w:t>
        </w:r>
        <w:r w:rsidR="00270ACC">
          <w:rPr>
            <w:webHidden/>
          </w:rPr>
          <w:tab/>
        </w:r>
        <w:r w:rsidR="00270ACC">
          <w:rPr>
            <w:webHidden/>
          </w:rPr>
          <w:fldChar w:fldCharType="begin"/>
        </w:r>
        <w:r w:rsidR="00270ACC">
          <w:rPr>
            <w:webHidden/>
          </w:rPr>
          <w:instrText xml:space="preserve"> PAGEREF _Toc141445551 \h </w:instrText>
        </w:r>
        <w:r w:rsidR="00270ACC">
          <w:rPr>
            <w:webHidden/>
          </w:rPr>
        </w:r>
        <w:r w:rsidR="00270ACC">
          <w:rPr>
            <w:webHidden/>
          </w:rPr>
          <w:fldChar w:fldCharType="separate"/>
        </w:r>
        <w:r w:rsidR="00733598">
          <w:rPr>
            <w:webHidden/>
          </w:rPr>
          <w:t>19</w:t>
        </w:r>
        <w:r w:rsidR="00270ACC">
          <w:rPr>
            <w:webHidden/>
          </w:rPr>
          <w:fldChar w:fldCharType="end"/>
        </w:r>
      </w:hyperlink>
    </w:p>
    <w:p w14:paraId="3490837C" w14:textId="7E8A3FE9"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52" w:history="1">
        <w:r w:rsidR="00270ACC" w:rsidRPr="006E3F42">
          <w:rPr>
            <w:rStyle w:val="Hyperlink"/>
          </w:rPr>
          <w:t>Figure 2</w:t>
        </w:r>
        <w:r w:rsidR="00270ACC" w:rsidRPr="006E3F42">
          <w:rPr>
            <w:rStyle w:val="Hyperlink"/>
          </w:rPr>
          <w:noBreakHyphen/>
          <w:t>7. The Project Time Schedule</w:t>
        </w:r>
        <w:r w:rsidR="00270ACC">
          <w:rPr>
            <w:webHidden/>
          </w:rPr>
          <w:tab/>
        </w:r>
        <w:r w:rsidR="00270ACC">
          <w:rPr>
            <w:webHidden/>
          </w:rPr>
          <w:fldChar w:fldCharType="begin"/>
        </w:r>
        <w:r w:rsidR="00270ACC">
          <w:rPr>
            <w:webHidden/>
          </w:rPr>
          <w:instrText xml:space="preserve"> PAGEREF _Toc141445552 \h </w:instrText>
        </w:r>
        <w:r w:rsidR="00270ACC">
          <w:rPr>
            <w:webHidden/>
          </w:rPr>
        </w:r>
        <w:r w:rsidR="00270ACC">
          <w:rPr>
            <w:webHidden/>
          </w:rPr>
          <w:fldChar w:fldCharType="separate"/>
        </w:r>
        <w:r w:rsidR="00733598">
          <w:rPr>
            <w:webHidden/>
          </w:rPr>
          <w:t>20</w:t>
        </w:r>
        <w:r w:rsidR="00270ACC">
          <w:rPr>
            <w:webHidden/>
          </w:rPr>
          <w:fldChar w:fldCharType="end"/>
        </w:r>
      </w:hyperlink>
    </w:p>
    <w:p w14:paraId="2710FB06" w14:textId="63FCCCA5"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53" w:history="1">
        <w:r w:rsidR="00270ACC" w:rsidRPr="006E3F42">
          <w:rPr>
            <w:rStyle w:val="Hyperlink"/>
          </w:rPr>
          <w:t>Figure 2</w:t>
        </w:r>
        <w:r w:rsidR="00270ACC" w:rsidRPr="006E3F42">
          <w:rPr>
            <w:rStyle w:val="Hyperlink"/>
          </w:rPr>
          <w:noBreakHyphen/>
          <w:t>8. The Project Electric Network Layout Plan</w:t>
        </w:r>
        <w:r w:rsidR="00270ACC">
          <w:rPr>
            <w:webHidden/>
          </w:rPr>
          <w:tab/>
        </w:r>
        <w:r w:rsidR="00270ACC">
          <w:rPr>
            <w:webHidden/>
          </w:rPr>
          <w:fldChar w:fldCharType="begin"/>
        </w:r>
        <w:r w:rsidR="00270ACC">
          <w:rPr>
            <w:webHidden/>
          </w:rPr>
          <w:instrText xml:space="preserve"> PAGEREF _Toc141445553 \h </w:instrText>
        </w:r>
        <w:r w:rsidR="00270ACC">
          <w:rPr>
            <w:webHidden/>
          </w:rPr>
        </w:r>
        <w:r w:rsidR="00270ACC">
          <w:rPr>
            <w:webHidden/>
          </w:rPr>
          <w:fldChar w:fldCharType="separate"/>
        </w:r>
        <w:r w:rsidR="00733598">
          <w:rPr>
            <w:webHidden/>
          </w:rPr>
          <w:t>21</w:t>
        </w:r>
        <w:r w:rsidR="00270ACC">
          <w:rPr>
            <w:webHidden/>
          </w:rPr>
          <w:fldChar w:fldCharType="end"/>
        </w:r>
      </w:hyperlink>
    </w:p>
    <w:p w14:paraId="517AD9E3" w14:textId="5F81939C"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54" w:history="1">
        <w:r w:rsidR="00270ACC" w:rsidRPr="006E3F42">
          <w:rPr>
            <w:rStyle w:val="Hyperlink"/>
          </w:rPr>
          <w:t>Figure 2</w:t>
        </w:r>
        <w:r w:rsidR="00270ACC" w:rsidRPr="006E3F42">
          <w:rPr>
            <w:rStyle w:val="Hyperlink"/>
          </w:rPr>
          <w:noBreakHyphen/>
          <w:t>9. The Project Lighting Network Layout Plan</w:t>
        </w:r>
        <w:r w:rsidR="00270ACC">
          <w:rPr>
            <w:webHidden/>
          </w:rPr>
          <w:tab/>
        </w:r>
        <w:r w:rsidR="00270ACC">
          <w:rPr>
            <w:webHidden/>
          </w:rPr>
          <w:fldChar w:fldCharType="begin"/>
        </w:r>
        <w:r w:rsidR="00270ACC">
          <w:rPr>
            <w:webHidden/>
          </w:rPr>
          <w:instrText xml:space="preserve"> PAGEREF _Toc141445554 \h </w:instrText>
        </w:r>
        <w:r w:rsidR="00270ACC">
          <w:rPr>
            <w:webHidden/>
          </w:rPr>
        </w:r>
        <w:r w:rsidR="00270ACC">
          <w:rPr>
            <w:webHidden/>
          </w:rPr>
          <w:fldChar w:fldCharType="separate"/>
        </w:r>
        <w:r w:rsidR="00733598">
          <w:rPr>
            <w:webHidden/>
          </w:rPr>
          <w:t>22</w:t>
        </w:r>
        <w:r w:rsidR="00270ACC">
          <w:rPr>
            <w:webHidden/>
          </w:rPr>
          <w:fldChar w:fldCharType="end"/>
        </w:r>
      </w:hyperlink>
    </w:p>
    <w:p w14:paraId="7105C8F5" w14:textId="1406A2F1"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55" w:history="1">
        <w:r w:rsidR="00270ACC" w:rsidRPr="006E3F42">
          <w:rPr>
            <w:rStyle w:val="Hyperlink"/>
          </w:rPr>
          <w:t>Figure 2</w:t>
        </w:r>
        <w:r w:rsidR="00270ACC" w:rsidRPr="006E3F42">
          <w:rPr>
            <w:rStyle w:val="Hyperlink"/>
          </w:rPr>
          <w:noBreakHyphen/>
          <w:t>10. The Project Clean Water Network Layout Plan</w:t>
        </w:r>
        <w:r w:rsidR="00270ACC">
          <w:rPr>
            <w:webHidden/>
          </w:rPr>
          <w:tab/>
        </w:r>
        <w:r w:rsidR="00270ACC">
          <w:rPr>
            <w:webHidden/>
          </w:rPr>
          <w:fldChar w:fldCharType="begin"/>
        </w:r>
        <w:r w:rsidR="00270ACC">
          <w:rPr>
            <w:webHidden/>
          </w:rPr>
          <w:instrText xml:space="preserve"> PAGEREF _Toc141445555 \h </w:instrText>
        </w:r>
        <w:r w:rsidR="00270ACC">
          <w:rPr>
            <w:webHidden/>
          </w:rPr>
        </w:r>
        <w:r w:rsidR="00270ACC">
          <w:rPr>
            <w:webHidden/>
          </w:rPr>
          <w:fldChar w:fldCharType="separate"/>
        </w:r>
        <w:r w:rsidR="00733598">
          <w:rPr>
            <w:webHidden/>
          </w:rPr>
          <w:t>23</w:t>
        </w:r>
        <w:r w:rsidR="00270ACC">
          <w:rPr>
            <w:webHidden/>
          </w:rPr>
          <w:fldChar w:fldCharType="end"/>
        </w:r>
      </w:hyperlink>
    </w:p>
    <w:p w14:paraId="05FB43A3" w14:textId="49A9F8EE"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56" w:history="1">
        <w:r w:rsidR="00270ACC" w:rsidRPr="006E3F42">
          <w:rPr>
            <w:rStyle w:val="Hyperlink"/>
          </w:rPr>
          <w:t>Figure 2</w:t>
        </w:r>
        <w:r w:rsidR="00270ACC" w:rsidRPr="006E3F42">
          <w:rPr>
            <w:rStyle w:val="Hyperlink"/>
          </w:rPr>
          <w:noBreakHyphen/>
          <w:t>11. The Project Process Water (Treated Wastewater) Network Layout Plan</w:t>
        </w:r>
        <w:r w:rsidR="00270ACC">
          <w:rPr>
            <w:webHidden/>
          </w:rPr>
          <w:tab/>
        </w:r>
        <w:r w:rsidR="00270ACC">
          <w:rPr>
            <w:webHidden/>
          </w:rPr>
          <w:fldChar w:fldCharType="begin"/>
        </w:r>
        <w:r w:rsidR="00270ACC">
          <w:rPr>
            <w:webHidden/>
          </w:rPr>
          <w:instrText xml:space="preserve"> PAGEREF _Toc141445556 \h </w:instrText>
        </w:r>
        <w:r w:rsidR="00270ACC">
          <w:rPr>
            <w:webHidden/>
          </w:rPr>
        </w:r>
        <w:r w:rsidR="00270ACC">
          <w:rPr>
            <w:webHidden/>
          </w:rPr>
          <w:fldChar w:fldCharType="separate"/>
        </w:r>
        <w:r w:rsidR="00733598">
          <w:rPr>
            <w:webHidden/>
          </w:rPr>
          <w:t>24</w:t>
        </w:r>
        <w:r w:rsidR="00270ACC">
          <w:rPr>
            <w:webHidden/>
          </w:rPr>
          <w:fldChar w:fldCharType="end"/>
        </w:r>
      </w:hyperlink>
    </w:p>
    <w:p w14:paraId="135E7598" w14:textId="5117A699"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57" w:history="1">
        <w:r w:rsidR="00270ACC" w:rsidRPr="006E3F42">
          <w:rPr>
            <w:rStyle w:val="Hyperlink"/>
          </w:rPr>
          <w:t>Figure 2</w:t>
        </w:r>
        <w:r w:rsidR="00270ACC" w:rsidRPr="006E3F42">
          <w:rPr>
            <w:rStyle w:val="Hyperlink"/>
          </w:rPr>
          <w:noBreakHyphen/>
          <w:t>12. The Project Stormwater Network Layout Plan</w:t>
        </w:r>
        <w:r w:rsidR="00270ACC">
          <w:rPr>
            <w:webHidden/>
          </w:rPr>
          <w:tab/>
        </w:r>
        <w:r w:rsidR="00270ACC">
          <w:rPr>
            <w:webHidden/>
          </w:rPr>
          <w:fldChar w:fldCharType="begin"/>
        </w:r>
        <w:r w:rsidR="00270ACC">
          <w:rPr>
            <w:webHidden/>
          </w:rPr>
          <w:instrText xml:space="preserve"> PAGEREF _Toc141445557 \h </w:instrText>
        </w:r>
        <w:r w:rsidR="00270ACC">
          <w:rPr>
            <w:webHidden/>
          </w:rPr>
        </w:r>
        <w:r w:rsidR="00270ACC">
          <w:rPr>
            <w:webHidden/>
          </w:rPr>
          <w:fldChar w:fldCharType="separate"/>
        </w:r>
        <w:r w:rsidR="00733598">
          <w:rPr>
            <w:webHidden/>
          </w:rPr>
          <w:t>25</w:t>
        </w:r>
        <w:r w:rsidR="00270ACC">
          <w:rPr>
            <w:webHidden/>
          </w:rPr>
          <w:fldChar w:fldCharType="end"/>
        </w:r>
      </w:hyperlink>
    </w:p>
    <w:p w14:paraId="29D21698" w14:textId="51525901"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58" w:history="1">
        <w:r w:rsidR="00270ACC" w:rsidRPr="006E3F42">
          <w:rPr>
            <w:rStyle w:val="Hyperlink"/>
          </w:rPr>
          <w:t>Figure 2</w:t>
        </w:r>
        <w:r w:rsidR="00270ACC" w:rsidRPr="006E3F42">
          <w:rPr>
            <w:rStyle w:val="Hyperlink"/>
          </w:rPr>
          <w:noBreakHyphen/>
          <w:t>13. The Project Wastewater Network Layout Plan</w:t>
        </w:r>
        <w:r w:rsidR="00270ACC">
          <w:rPr>
            <w:webHidden/>
          </w:rPr>
          <w:tab/>
        </w:r>
        <w:r w:rsidR="00270ACC">
          <w:rPr>
            <w:webHidden/>
          </w:rPr>
          <w:fldChar w:fldCharType="begin"/>
        </w:r>
        <w:r w:rsidR="00270ACC">
          <w:rPr>
            <w:webHidden/>
          </w:rPr>
          <w:instrText xml:space="preserve"> PAGEREF _Toc141445558 \h </w:instrText>
        </w:r>
        <w:r w:rsidR="00270ACC">
          <w:rPr>
            <w:webHidden/>
          </w:rPr>
        </w:r>
        <w:r w:rsidR="00270ACC">
          <w:rPr>
            <w:webHidden/>
          </w:rPr>
          <w:fldChar w:fldCharType="separate"/>
        </w:r>
        <w:r w:rsidR="00733598">
          <w:rPr>
            <w:webHidden/>
          </w:rPr>
          <w:t>26</w:t>
        </w:r>
        <w:r w:rsidR="00270ACC">
          <w:rPr>
            <w:webHidden/>
          </w:rPr>
          <w:fldChar w:fldCharType="end"/>
        </w:r>
      </w:hyperlink>
    </w:p>
    <w:p w14:paraId="7BB99EE8" w14:textId="3B2BEC87"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59" w:history="1">
        <w:r w:rsidR="00270ACC" w:rsidRPr="006E3F42">
          <w:rPr>
            <w:rStyle w:val="Hyperlink"/>
          </w:rPr>
          <w:t>Figure 2</w:t>
        </w:r>
        <w:r w:rsidR="00270ACC" w:rsidRPr="006E3F42">
          <w:rPr>
            <w:rStyle w:val="Hyperlink"/>
          </w:rPr>
          <w:noBreakHyphen/>
          <w:t>14. The Project Road Layout Plan</w:t>
        </w:r>
        <w:r w:rsidR="00270ACC">
          <w:rPr>
            <w:webHidden/>
          </w:rPr>
          <w:tab/>
        </w:r>
        <w:r w:rsidR="00270ACC">
          <w:rPr>
            <w:webHidden/>
          </w:rPr>
          <w:fldChar w:fldCharType="begin"/>
        </w:r>
        <w:r w:rsidR="00270ACC">
          <w:rPr>
            <w:webHidden/>
          </w:rPr>
          <w:instrText xml:space="preserve"> PAGEREF _Toc141445559 \h </w:instrText>
        </w:r>
        <w:r w:rsidR="00270ACC">
          <w:rPr>
            <w:webHidden/>
          </w:rPr>
        </w:r>
        <w:r w:rsidR="00270ACC">
          <w:rPr>
            <w:webHidden/>
          </w:rPr>
          <w:fldChar w:fldCharType="separate"/>
        </w:r>
        <w:r w:rsidR="00733598">
          <w:rPr>
            <w:webHidden/>
          </w:rPr>
          <w:t>27</w:t>
        </w:r>
        <w:r w:rsidR="00270ACC">
          <w:rPr>
            <w:webHidden/>
          </w:rPr>
          <w:fldChar w:fldCharType="end"/>
        </w:r>
      </w:hyperlink>
    </w:p>
    <w:p w14:paraId="1B121462" w14:textId="35DE8AFC"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60" w:history="1">
        <w:r w:rsidR="00270ACC" w:rsidRPr="006E3F42">
          <w:rPr>
            <w:rStyle w:val="Hyperlink"/>
            <w:lang w:val="en-US"/>
          </w:rPr>
          <w:t>Figure 4</w:t>
        </w:r>
        <w:r w:rsidR="00270ACC" w:rsidRPr="006E3F42">
          <w:rPr>
            <w:rStyle w:val="Hyperlink"/>
            <w:lang w:val="en-US"/>
          </w:rPr>
          <w:noBreakHyphen/>
          <w:t>1.</w:t>
        </w:r>
        <w:r w:rsidR="00270ACC" w:rsidRPr="006E3F42">
          <w:rPr>
            <w:rStyle w:val="Hyperlink"/>
          </w:rPr>
          <w:t xml:space="preserve"> </w:t>
        </w:r>
        <w:r w:rsidR="00270ACC" w:rsidRPr="006E3F42">
          <w:rPr>
            <w:rStyle w:val="Hyperlink"/>
            <w:lang w:val="en-US"/>
          </w:rPr>
          <w:t>Before and After Expropriation (1)</w:t>
        </w:r>
        <w:r w:rsidR="00270ACC">
          <w:rPr>
            <w:webHidden/>
          </w:rPr>
          <w:tab/>
        </w:r>
        <w:r w:rsidR="00270ACC">
          <w:rPr>
            <w:webHidden/>
          </w:rPr>
          <w:fldChar w:fldCharType="begin"/>
        </w:r>
        <w:r w:rsidR="00270ACC">
          <w:rPr>
            <w:webHidden/>
          </w:rPr>
          <w:instrText xml:space="preserve"> PAGEREF _Toc141445560 \h </w:instrText>
        </w:r>
        <w:r w:rsidR="00270ACC">
          <w:rPr>
            <w:webHidden/>
          </w:rPr>
        </w:r>
        <w:r w:rsidR="00270ACC">
          <w:rPr>
            <w:webHidden/>
          </w:rPr>
          <w:fldChar w:fldCharType="separate"/>
        </w:r>
        <w:r w:rsidR="00733598">
          <w:rPr>
            <w:webHidden/>
          </w:rPr>
          <w:t>49</w:t>
        </w:r>
        <w:r w:rsidR="00270ACC">
          <w:rPr>
            <w:webHidden/>
          </w:rPr>
          <w:fldChar w:fldCharType="end"/>
        </w:r>
      </w:hyperlink>
    </w:p>
    <w:p w14:paraId="1FA4AEDF" w14:textId="3CFCE4B8"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61" w:history="1">
        <w:r w:rsidR="00270ACC" w:rsidRPr="006E3F42">
          <w:rPr>
            <w:rStyle w:val="Hyperlink"/>
            <w:lang w:val="en-US"/>
          </w:rPr>
          <w:t>Figure 4</w:t>
        </w:r>
        <w:r w:rsidR="00270ACC" w:rsidRPr="006E3F42">
          <w:rPr>
            <w:rStyle w:val="Hyperlink"/>
            <w:lang w:val="en-US"/>
          </w:rPr>
          <w:noBreakHyphen/>
          <w:t>2.</w:t>
        </w:r>
        <w:r w:rsidR="00270ACC" w:rsidRPr="006E3F42">
          <w:rPr>
            <w:rStyle w:val="Hyperlink"/>
          </w:rPr>
          <w:t xml:space="preserve"> </w:t>
        </w:r>
        <w:r w:rsidR="00270ACC" w:rsidRPr="006E3F42">
          <w:rPr>
            <w:rStyle w:val="Hyperlink"/>
            <w:lang w:val="en-US"/>
          </w:rPr>
          <w:t>Before and After Expropriation (2)</w:t>
        </w:r>
        <w:r w:rsidR="00270ACC">
          <w:rPr>
            <w:webHidden/>
          </w:rPr>
          <w:tab/>
        </w:r>
        <w:r w:rsidR="00270ACC">
          <w:rPr>
            <w:webHidden/>
          </w:rPr>
          <w:fldChar w:fldCharType="begin"/>
        </w:r>
        <w:r w:rsidR="00270ACC">
          <w:rPr>
            <w:webHidden/>
          </w:rPr>
          <w:instrText xml:space="preserve"> PAGEREF _Toc141445561 \h </w:instrText>
        </w:r>
        <w:r w:rsidR="00270ACC">
          <w:rPr>
            <w:webHidden/>
          </w:rPr>
        </w:r>
        <w:r w:rsidR="00270ACC">
          <w:rPr>
            <w:webHidden/>
          </w:rPr>
          <w:fldChar w:fldCharType="separate"/>
        </w:r>
        <w:r w:rsidR="00733598">
          <w:rPr>
            <w:webHidden/>
          </w:rPr>
          <w:t>50</w:t>
        </w:r>
        <w:r w:rsidR="00270ACC">
          <w:rPr>
            <w:webHidden/>
          </w:rPr>
          <w:fldChar w:fldCharType="end"/>
        </w:r>
      </w:hyperlink>
    </w:p>
    <w:p w14:paraId="0BD56E7E" w14:textId="63C9796A"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62" w:history="1">
        <w:r w:rsidR="00270ACC" w:rsidRPr="006E3F42">
          <w:rPr>
            <w:rStyle w:val="Hyperlink"/>
            <w:lang w:val="en-US"/>
          </w:rPr>
          <w:t>Figure 4</w:t>
        </w:r>
        <w:r w:rsidR="00270ACC" w:rsidRPr="006E3F42">
          <w:rPr>
            <w:rStyle w:val="Hyperlink"/>
            <w:lang w:val="en-US"/>
          </w:rPr>
          <w:noBreakHyphen/>
          <w:t>3.</w:t>
        </w:r>
        <w:r w:rsidR="00270ACC" w:rsidRPr="006E3F42">
          <w:rPr>
            <w:rStyle w:val="Hyperlink"/>
          </w:rPr>
          <w:t xml:space="preserve"> </w:t>
        </w:r>
        <w:r w:rsidR="00270ACC" w:rsidRPr="006E3F42">
          <w:rPr>
            <w:rStyle w:val="Hyperlink"/>
            <w:lang w:val="en-US"/>
          </w:rPr>
          <w:t>Before and After Expropriation (2)</w:t>
        </w:r>
        <w:r w:rsidR="00270ACC">
          <w:rPr>
            <w:webHidden/>
          </w:rPr>
          <w:tab/>
        </w:r>
        <w:r w:rsidR="00270ACC">
          <w:rPr>
            <w:webHidden/>
          </w:rPr>
          <w:fldChar w:fldCharType="begin"/>
        </w:r>
        <w:r w:rsidR="00270ACC">
          <w:rPr>
            <w:webHidden/>
          </w:rPr>
          <w:instrText xml:space="preserve"> PAGEREF _Toc141445562 \h </w:instrText>
        </w:r>
        <w:r w:rsidR="00270ACC">
          <w:rPr>
            <w:webHidden/>
          </w:rPr>
        </w:r>
        <w:r w:rsidR="00270ACC">
          <w:rPr>
            <w:webHidden/>
          </w:rPr>
          <w:fldChar w:fldCharType="separate"/>
        </w:r>
        <w:r w:rsidR="00733598">
          <w:rPr>
            <w:webHidden/>
          </w:rPr>
          <w:t>51</w:t>
        </w:r>
        <w:r w:rsidR="00270ACC">
          <w:rPr>
            <w:webHidden/>
          </w:rPr>
          <w:fldChar w:fldCharType="end"/>
        </w:r>
      </w:hyperlink>
    </w:p>
    <w:p w14:paraId="15FC8435" w14:textId="1CC5DDFE"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63" w:history="1">
        <w:r w:rsidR="00270ACC" w:rsidRPr="006E3F42">
          <w:rPr>
            <w:rStyle w:val="Hyperlink"/>
          </w:rPr>
          <w:t>Figure 4</w:t>
        </w:r>
        <w:r w:rsidR="00270ACC" w:rsidRPr="006E3F42">
          <w:rPr>
            <w:rStyle w:val="Hyperlink"/>
          </w:rPr>
          <w:noBreakHyphen/>
          <w:t>4. The Map of the Tectonic Assemblies and Seal Rocks Found in Mersin</w:t>
        </w:r>
        <w:r w:rsidR="00270ACC">
          <w:rPr>
            <w:webHidden/>
          </w:rPr>
          <w:tab/>
        </w:r>
        <w:r w:rsidR="00270ACC">
          <w:rPr>
            <w:webHidden/>
          </w:rPr>
          <w:fldChar w:fldCharType="begin"/>
        </w:r>
        <w:r w:rsidR="00270ACC">
          <w:rPr>
            <w:webHidden/>
          </w:rPr>
          <w:instrText xml:space="preserve"> PAGEREF _Toc141445563 \h </w:instrText>
        </w:r>
        <w:r w:rsidR="00270ACC">
          <w:rPr>
            <w:webHidden/>
          </w:rPr>
        </w:r>
        <w:r w:rsidR="00270ACC">
          <w:rPr>
            <w:webHidden/>
          </w:rPr>
          <w:fldChar w:fldCharType="separate"/>
        </w:r>
        <w:r w:rsidR="00733598">
          <w:rPr>
            <w:webHidden/>
          </w:rPr>
          <w:t>55</w:t>
        </w:r>
        <w:r w:rsidR="00270ACC">
          <w:rPr>
            <w:webHidden/>
          </w:rPr>
          <w:fldChar w:fldCharType="end"/>
        </w:r>
      </w:hyperlink>
    </w:p>
    <w:p w14:paraId="1368B415" w14:textId="7D70B977"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64" w:history="1">
        <w:r w:rsidR="00270ACC" w:rsidRPr="006E3F42">
          <w:rPr>
            <w:rStyle w:val="Hyperlink"/>
          </w:rPr>
          <w:t>Figure 4</w:t>
        </w:r>
        <w:r w:rsidR="00270ACC" w:rsidRPr="006E3F42">
          <w:rPr>
            <w:rStyle w:val="Hyperlink"/>
          </w:rPr>
          <w:noBreakHyphen/>
          <w:t xml:space="preserve">5. </w:t>
        </w:r>
        <w:r w:rsidR="00270ACC" w:rsidRPr="006E3F42">
          <w:rPr>
            <w:rStyle w:val="Hyperlink"/>
            <w:rFonts w:eastAsiaTheme="minorHAnsi"/>
          </w:rPr>
          <w:t>Structures of the Previously Operating Gas Station in Lot 105: Parcel no. 1 and 2 of the Project Area</w:t>
        </w:r>
        <w:r w:rsidR="00270ACC">
          <w:rPr>
            <w:webHidden/>
          </w:rPr>
          <w:tab/>
        </w:r>
        <w:r w:rsidR="00270ACC">
          <w:rPr>
            <w:webHidden/>
          </w:rPr>
          <w:fldChar w:fldCharType="begin"/>
        </w:r>
        <w:r w:rsidR="00270ACC">
          <w:rPr>
            <w:webHidden/>
          </w:rPr>
          <w:instrText xml:space="preserve"> PAGEREF _Toc141445564 \h </w:instrText>
        </w:r>
        <w:r w:rsidR="00270ACC">
          <w:rPr>
            <w:webHidden/>
          </w:rPr>
        </w:r>
        <w:r w:rsidR="00270ACC">
          <w:rPr>
            <w:webHidden/>
          </w:rPr>
          <w:fldChar w:fldCharType="separate"/>
        </w:r>
        <w:r w:rsidR="00733598">
          <w:rPr>
            <w:webHidden/>
          </w:rPr>
          <w:t>57</w:t>
        </w:r>
        <w:r w:rsidR="00270ACC">
          <w:rPr>
            <w:webHidden/>
          </w:rPr>
          <w:fldChar w:fldCharType="end"/>
        </w:r>
      </w:hyperlink>
    </w:p>
    <w:p w14:paraId="32D14067" w14:textId="66000179"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65" w:history="1">
        <w:r w:rsidR="00270ACC" w:rsidRPr="006E3F42">
          <w:rPr>
            <w:rStyle w:val="Hyperlink"/>
          </w:rPr>
          <w:t>Figure 4</w:t>
        </w:r>
        <w:r w:rsidR="00270ACC" w:rsidRPr="006E3F42">
          <w:rPr>
            <w:rStyle w:val="Hyperlink"/>
          </w:rPr>
          <w:noBreakHyphen/>
          <w:t xml:space="preserve">6. </w:t>
        </w:r>
        <w:r w:rsidR="00270ACC" w:rsidRPr="006E3F42">
          <w:rPr>
            <w:rStyle w:val="Hyperlink"/>
            <w:rFonts w:eastAsiaTheme="minorHAnsi"/>
          </w:rPr>
          <w:t>Stripped Topsoil in the Project Area</w:t>
        </w:r>
        <w:r w:rsidR="00270ACC">
          <w:rPr>
            <w:webHidden/>
          </w:rPr>
          <w:tab/>
        </w:r>
        <w:r w:rsidR="00270ACC">
          <w:rPr>
            <w:webHidden/>
          </w:rPr>
          <w:fldChar w:fldCharType="begin"/>
        </w:r>
        <w:r w:rsidR="00270ACC">
          <w:rPr>
            <w:webHidden/>
          </w:rPr>
          <w:instrText xml:space="preserve"> PAGEREF _Toc141445565 \h </w:instrText>
        </w:r>
        <w:r w:rsidR="00270ACC">
          <w:rPr>
            <w:webHidden/>
          </w:rPr>
        </w:r>
        <w:r w:rsidR="00270ACC">
          <w:rPr>
            <w:webHidden/>
          </w:rPr>
          <w:fldChar w:fldCharType="separate"/>
        </w:r>
        <w:r w:rsidR="00733598">
          <w:rPr>
            <w:webHidden/>
          </w:rPr>
          <w:t>58</w:t>
        </w:r>
        <w:r w:rsidR="00270ACC">
          <w:rPr>
            <w:webHidden/>
          </w:rPr>
          <w:fldChar w:fldCharType="end"/>
        </w:r>
      </w:hyperlink>
    </w:p>
    <w:p w14:paraId="20A080CB" w14:textId="40ACB9AB"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66" w:history="1">
        <w:r w:rsidR="00270ACC" w:rsidRPr="006E3F42">
          <w:rPr>
            <w:rStyle w:val="Hyperlink"/>
          </w:rPr>
          <w:t>Figure 4</w:t>
        </w:r>
        <w:r w:rsidR="00270ACC" w:rsidRPr="006E3F42">
          <w:rPr>
            <w:rStyle w:val="Hyperlink"/>
          </w:rPr>
          <w:noBreakHyphen/>
          <w:t>7. Air Quality Monitoring Stations in Mersin</w:t>
        </w:r>
        <w:r w:rsidR="00270ACC">
          <w:rPr>
            <w:webHidden/>
          </w:rPr>
          <w:tab/>
        </w:r>
        <w:r w:rsidR="00270ACC">
          <w:rPr>
            <w:webHidden/>
          </w:rPr>
          <w:fldChar w:fldCharType="begin"/>
        </w:r>
        <w:r w:rsidR="00270ACC">
          <w:rPr>
            <w:webHidden/>
          </w:rPr>
          <w:instrText xml:space="preserve"> PAGEREF _Toc141445566 \h </w:instrText>
        </w:r>
        <w:r w:rsidR="00270ACC">
          <w:rPr>
            <w:webHidden/>
          </w:rPr>
        </w:r>
        <w:r w:rsidR="00270ACC">
          <w:rPr>
            <w:webHidden/>
          </w:rPr>
          <w:fldChar w:fldCharType="separate"/>
        </w:r>
        <w:r w:rsidR="00733598">
          <w:rPr>
            <w:webHidden/>
          </w:rPr>
          <w:t>59</w:t>
        </w:r>
        <w:r w:rsidR="00270ACC">
          <w:rPr>
            <w:webHidden/>
          </w:rPr>
          <w:fldChar w:fldCharType="end"/>
        </w:r>
      </w:hyperlink>
    </w:p>
    <w:p w14:paraId="4879A943" w14:textId="21274226"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67" w:history="1">
        <w:r w:rsidR="00270ACC" w:rsidRPr="006E3F42">
          <w:rPr>
            <w:rStyle w:val="Hyperlink"/>
          </w:rPr>
          <w:t>Figure 4</w:t>
        </w:r>
        <w:r w:rsidR="00270ACC" w:rsidRPr="006E3F42">
          <w:rPr>
            <w:rStyle w:val="Hyperlink"/>
          </w:rPr>
          <w:noBreakHyphen/>
          <w:t>8. The Wells and Water Table Contour in the AoI of the Project</w:t>
        </w:r>
        <w:r w:rsidR="00270ACC">
          <w:rPr>
            <w:webHidden/>
          </w:rPr>
          <w:tab/>
        </w:r>
        <w:r w:rsidR="00270ACC">
          <w:rPr>
            <w:webHidden/>
          </w:rPr>
          <w:fldChar w:fldCharType="begin"/>
        </w:r>
        <w:r w:rsidR="00270ACC">
          <w:rPr>
            <w:webHidden/>
          </w:rPr>
          <w:instrText xml:space="preserve"> PAGEREF _Toc141445567 \h </w:instrText>
        </w:r>
        <w:r w:rsidR="00270ACC">
          <w:rPr>
            <w:webHidden/>
          </w:rPr>
        </w:r>
        <w:r w:rsidR="00270ACC">
          <w:rPr>
            <w:webHidden/>
          </w:rPr>
          <w:fldChar w:fldCharType="separate"/>
        </w:r>
        <w:r w:rsidR="00733598">
          <w:rPr>
            <w:webHidden/>
          </w:rPr>
          <w:t>62</w:t>
        </w:r>
        <w:r w:rsidR="00270ACC">
          <w:rPr>
            <w:webHidden/>
          </w:rPr>
          <w:fldChar w:fldCharType="end"/>
        </w:r>
      </w:hyperlink>
    </w:p>
    <w:p w14:paraId="7E5F4E0C" w14:textId="655ED1B4"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68" w:history="1">
        <w:r w:rsidR="00270ACC" w:rsidRPr="006E3F42">
          <w:rPr>
            <w:rStyle w:val="Hyperlink"/>
          </w:rPr>
          <w:t>Figure 4</w:t>
        </w:r>
        <w:r w:rsidR="00270ACC" w:rsidRPr="006E3F42">
          <w:rPr>
            <w:rStyle w:val="Hyperlink"/>
          </w:rPr>
          <w:noBreakHyphen/>
          <w:t>9. The View of the Well-2 in Lot 105: Parcel no. 2 of the Project Area</w:t>
        </w:r>
        <w:r w:rsidR="00270ACC">
          <w:rPr>
            <w:webHidden/>
          </w:rPr>
          <w:tab/>
        </w:r>
        <w:r w:rsidR="00270ACC">
          <w:rPr>
            <w:webHidden/>
          </w:rPr>
          <w:fldChar w:fldCharType="begin"/>
        </w:r>
        <w:r w:rsidR="00270ACC">
          <w:rPr>
            <w:webHidden/>
          </w:rPr>
          <w:instrText xml:space="preserve"> PAGEREF _Toc141445568 \h </w:instrText>
        </w:r>
        <w:r w:rsidR="00270ACC">
          <w:rPr>
            <w:webHidden/>
          </w:rPr>
        </w:r>
        <w:r w:rsidR="00270ACC">
          <w:rPr>
            <w:webHidden/>
          </w:rPr>
          <w:fldChar w:fldCharType="separate"/>
        </w:r>
        <w:r w:rsidR="00733598">
          <w:rPr>
            <w:webHidden/>
          </w:rPr>
          <w:t>63</w:t>
        </w:r>
        <w:r w:rsidR="00270ACC">
          <w:rPr>
            <w:webHidden/>
          </w:rPr>
          <w:fldChar w:fldCharType="end"/>
        </w:r>
      </w:hyperlink>
    </w:p>
    <w:p w14:paraId="294212FA" w14:textId="76C5A927"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69" w:history="1">
        <w:r w:rsidR="00270ACC" w:rsidRPr="006E3F42">
          <w:rPr>
            <w:rStyle w:val="Hyperlink"/>
          </w:rPr>
          <w:t>Figure 4</w:t>
        </w:r>
        <w:r w:rsidR="00270ACC" w:rsidRPr="006E3F42">
          <w:rPr>
            <w:rStyle w:val="Hyperlink"/>
          </w:rPr>
          <w:noBreakHyphen/>
          <w:t>10. Mersin Province Earthquake Zones Map (Earthquake Research Department Ankara)</w:t>
        </w:r>
        <w:r w:rsidR="00270ACC">
          <w:rPr>
            <w:webHidden/>
          </w:rPr>
          <w:tab/>
        </w:r>
        <w:r w:rsidR="00270ACC">
          <w:rPr>
            <w:webHidden/>
          </w:rPr>
          <w:fldChar w:fldCharType="begin"/>
        </w:r>
        <w:r w:rsidR="00270ACC">
          <w:rPr>
            <w:webHidden/>
          </w:rPr>
          <w:instrText xml:space="preserve"> PAGEREF _Toc141445569 \h </w:instrText>
        </w:r>
        <w:r w:rsidR="00270ACC">
          <w:rPr>
            <w:webHidden/>
          </w:rPr>
        </w:r>
        <w:r w:rsidR="00270ACC">
          <w:rPr>
            <w:webHidden/>
          </w:rPr>
          <w:fldChar w:fldCharType="separate"/>
        </w:r>
        <w:r w:rsidR="00733598">
          <w:rPr>
            <w:webHidden/>
          </w:rPr>
          <w:t>65</w:t>
        </w:r>
        <w:r w:rsidR="00270ACC">
          <w:rPr>
            <w:webHidden/>
          </w:rPr>
          <w:fldChar w:fldCharType="end"/>
        </w:r>
      </w:hyperlink>
    </w:p>
    <w:p w14:paraId="66DEDAF5" w14:textId="4DCC5E22"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70" w:history="1">
        <w:r w:rsidR="00270ACC" w:rsidRPr="006E3F42">
          <w:rPr>
            <w:rStyle w:val="Hyperlink"/>
          </w:rPr>
          <w:t>Figure 4</w:t>
        </w:r>
        <w:r w:rsidR="00270ACC" w:rsidRPr="006E3F42">
          <w:rPr>
            <w:rStyle w:val="Hyperlink"/>
          </w:rPr>
          <w:noBreakHyphen/>
          <w:t>11. Habitats within the Project Area and Close Vicinity</w:t>
        </w:r>
        <w:r w:rsidR="00270ACC">
          <w:rPr>
            <w:webHidden/>
          </w:rPr>
          <w:tab/>
        </w:r>
        <w:r w:rsidR="00270ACC">
          <w:rPr>
            <w:webHidden/>
          </w:rPr>
          <w:fldChar w:fldCharType="begin"/>
        </w:r>
        <w:r w:rsidR="00270ACC">
          <w:rPr>
            <w:webHidden/>
          </w:rPr>
          <w:instrText xml:space="preserve"> PAGEREF _Toc141445570 \h </w:instrText>
        </w:r>
        <w:r w:rsidR="00270ACC">
          <w:rPr>
            <w:webHidden/>
          </w:rPr>
        </w:r>
        <w:r w:rsidR="00270ACC">
          <w:rPr>
            <w:webHidden/>
          </w:rPr>
          <w:fldChar w:fldCharType="separate"/>
        </w:r>
        <w:r w:rsidR="00733598">
          <w:rPr>
            <w:webHidden/>
          </w:rPr>
          <w:t>66</w:t>
        </w:r>
        <w:r w:rsidR="00270ACC">
          <w:rPr>
            <w:webHidden/>
          </w:rPr>
          <w:fldChar w:fldCharType="end"/>
        </w:r>
      </w:hyperlink>
    </w:p>
    <w:p w14:paraId="0E82D68D" w14:textId="6EE7361F"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71" w:history="1">
        <w:r w:rsidR="00270ACC" w:rsidRPr="006E3F42">
          <w:rPr>
            <w:rStyle w:val="Hyperlink"/>
          </w:rPr>
          <w:t>Figure 4</w:t>
        </w:r>
        <w:r w:rsidR="00270ACC" w:rsidRPr="006E3F42">
          <w:rPr>
            <w:rStyle w:val="Hyperlink"/>
          </w:rPr>
          <w:noBreakHyphen/>
          <w:t>12 General View from the Project Area</w:t>
        </w:r>
        <w:r w:rsidR="00270ACC">
          <w:rPr>
            <w:webHidden/>
          </w:rPr>
          <w:tab/>
        </w:r>
        <w:r w:rsidR="00270ACC">
          <w:rPr>
            <w:webHidden/>
          </w:rPr>
          <w:fldChar w:fldCharType="begin"/>
        </w:r>
        <w:r w:rsidR="00270ACC">
          <w:rPr>
            <w:webHidden/>
          </w:rPr>
          <w:instrText xml:space="preserve"> PAGEREF _Toc141445571 \h </w:instrText>
        </w:r>
        <w:r w:rsidR="00270ACC">
          <w:rPr>
            <w:webHidden/>
          </w:rPr>
        </w:r>
        <w:r w:rsidR="00270ACC">
          <w:rPr>
            <w:webHidden/>
          </w:rPr>
          <w:fldChar w:fldCharType="separate"/>
        </w:r>
        <w:r w:rsidR="00733598">
          <w:rPr>
            <w:webHidden/>
          </w:rPr>
          <w:t>67</w:t>
        </w:r>
        <w:r w:rsidR="00270ACC">
          <w:rPr>
            <w:webHidden/>
          </w:rPr>
          <w:fldChar w:fldCharType="end"/>
        </w:r>
      </w:hyperlink>
    </w:p>
    <w:p w14:paraId="4C6DA821" w14:textId="259D7BC2"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72" w:history="1">
        <w:r w:rsidR="00270ACC" w:rsidRPr="006E3F42">
          <w:rPr>
            <w:rStyle w:val="Hyperlink"/>
          </w:rPr>
          <w:t>Figure 4</w:t>
        </w:r>
        <w:r w:rsidR="00270ACC" w:rsidRPr="006E3F42">
          <w:rPr>
            <w:rStyle w:val="Hyperlink"/>
          </w:rPr>
          <w:noBreakHyphen/>
          <w:t>13 General View from the Project Area</w:t>
        </w:r>
        <w:r w:rsidR="00270ACC">
          <w:rPr>
            <w:webHidden/>
          </w:rPr>
          <w:tab/>
        </w:r>
        <w:r w:rsidR="00270ACC">
          <w:rPr>
            <w:webHidden/>
          </w:rPr>
          <w:fldChar w:fldCharType="begin"/>
        </w:r>
        <w:r w:rsidR="00270ACC">
          <w:rPr>
            <w:webHidden/>
          </w:rPr>
          <w:instrText xml:space="preserve"> PAGEREF _Toc141445572 \h </w:instrText>
        </w:r>
        <w:r w:rsidR="00270ACC">
          <w:rPr>
            <w:webHidden/>
          </w:rPr>
        </w:r>
        <w:r w:rsidR="00270ACC">
          <w:rPr>
            <w:webHidden/>
          </w:rPr>
          <w:fldChar w:fldCharType="separate"/>
        </w:r>
        <w:r w:rsidR="00733598">
          <w:rPr>
            <w:webHidden/>
          </w:rPr>
          <w:t>67</w:t>
        </w:r>
        <w:r w:rsidR="00270ACC">
          <w:rPr>
            <w:webHidden/>
          </w:rPr>
          <w:fldChar w:fldCharType="end"/>
        </w:r>
      </w:hyperlink>
    </w:p>
    <w:p w14:paraId="25D7C9B7" w14:textId="553EB08D"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73" w:history="1">
        <w:r w:rsidR="00270ACC" w:rsidRPr="006E3F42">
          <w:rPr>
            <w:rStyle w:val="Hyperlink"/>
          </w:rPr>
          <w:t>Figure 4</w:t>
        </w:r>
        <w:r w:rsidR="00270ACC" w:rsidRPr="006E3F42">
          <w:rPr>
            <w:rStyle w:val="Hyperlink"/>
          </w:rPr>
          <w:noBreakHyphen/>
          <w:t xml:space="preserve">14. </w:t>
        </w:r>
        <w:r w:rsidR="00270ACC" w:rsidRPr="006E3F42">
          <w:rPr>
            <w:rStyle w:val="Hyperlink"/>
            <w:rFonts w:cs="Wingdings"/>
          </w:rPr>
          <w:t>Internationally Recognized Areas</w:t>
        </w:r>
        <w:r w:rsidR="00270ACC">
          <w:rPr>
            <w:webHidden/>
          </w:rPr>
          <w:tab/>
        </w:r>
        <w:r w:rsidR="00270ACC">
          <w:rPr>
            <w:webHidden/>
          </w:rPr>
          <w:fldChar w:fldCharType="begin"/>
        </w:r>
        <w:r w:rsidR="00270ACC">
          <w:rPr>
            <w:webHidden/>
          </w:rPr>
          <w:instrText xml:space="preserve"> PAGEREF _Toc141445573 \h </w:instrText>
        </w:r>
        <w:r w:rsidR="00270ACC">
          <w:rPr>
            <w:webHidden/>
          </w:rPr>
        </w:r>
        <w:r w:rsidR="00270ACC">
          <w:rPr>
            <w:webHidden/>
          </w:rPr>
          <w:fldChar w:fldCharType="separate"/>
        </w:r>
        <w:r w:rsidR="00733598">
          <w:rPr>
            <w:webHidden/>
          </w:rPr>
          <w:t>87</w:t>
        </w:r>
        <w:r w:rsidR="00270ACC">
          <w:rPr>
            <w:webHidden/>
          </w:rPr>
          <w:fldChar w:fldCharType="end"/>
        </w:r>
      </w:hyperlink>
    </w:p>
    <w:p w14:paraId="62622F25" w14:textId="161545F0"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74" w:history="1">
        <w:r w:rsidR="00270ACC" w:rsidRPr="006E3F42">
          <w:rPr>
            <w:rStyle w:val="Hyperlink"/>
          </w:rPr>
          <w:t>Figure 5</w:t>
        </w:r>
        <w:r w:rsidR="00270ACC" w:rsidRPr="006E3F42">
          <w:rPr>
            <w:rStyle w:val="Hyperlink"/>
          </w:rPr>
          <w:noBreakHyphen/>
          <w:t>1. Ancient Roman Road and Project Area</w:t>
        </w:r>
        <w:r w:rsidR="00270ACC">
          <w:rPr>
            <w:webHidden/>
          </w:rPr>
          <w:tab/>
        </w:r>
        <w:r w:rsidR="00270ACC">
          <w:rPr>
            <w:webHidden/>
          </w:rPr>
          <w:fldChar w:fldCharType="begin"/>
        </w:r>
        <w:r w:rsidR="00270ACC">
          <w:rPr>
            <w:webHidden/>
          </w:rPr>
          <w:instrText xml:space="preserve"> PAGEREF _Toc141445574 \h </w:instrText>
        </w:r>
        <w:r w:rsidR="00270ACC">
          <w:rPr>
            <w:webHidden/>
          </w:rPr>
        </w:r>
        <w:r w:rsidR="00270ACC">
          <w:rPr>
            <w:webHidden/>
          </w:rPr>
          <w:fldChar w:fldCharType="separate"/>
        </w:r>
        <w:r w:rsidR="00733598">
          <w:rPr>
            <w:webHidden/>
          </w:rPr>
          <w:t>90</w:t>
        </w:r>
        <w:r w:rsidR="00270ACC">
          <w:rPr>
            <w:webHidden/>
          </w:rPr>
          <w:fldChar w:fldCharType="end"/>
        </w:r>
      </w:hyperlink>
    </w:p>
    <w:p w14:paraId="6BB78B16" w14:textId="15352AA5"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75" w:history="1">
        <w:r w:rsidR="00270ACC" w:rsidRPr="006E3F42">
          <w:rPr>
            <w:rStyle w:val="Hyperlink"/>
          </w:rPr>
          <w:t>Figure 5</w:t>
        </w:r>
        <w:r w:rsidR="00270ACC" w:rsidRPr="006E3F42">
          <w:rPr>
            <w:rStyle w:val="Hyperlink"/>
          </w:rPr>
          <w:noBreakHyphen/>
          <w:t>2. Education and Health Services Near the Project Area</w:t>
        </w:r>
        <w:r w:rsidR="00270ACC">
          <w:rPr>
            <w:webHidden/>
          </w:rPr>
          <w:tab/>
        </w:r>
        <w:r w:rsidR="00270ACC">
          <w:rPr>
            <w:webHidden/>
          </w:rPr>
          <w:fldChar w:fldCharType="begin"/>
        </w:r>
        <w:r w:rsidR="00270ACC">
          <w:rPr>
            <w:webHidden/>
          </w:rPr>
          <w:instrText xml:space="preserve"> PAGEREF _Toc141445575 \h </w:instrText>
        </w:r>
        <w:r w:rsidR="00270ACC">
          <w:rPr>
            <w:webHidden/>
          </w:rPr>
        </w:r>
        <w:r w:rsidR="00270ACC">
          <w:rPr>
            <w:webHidden/>
          </w:rPr>
          <w:fldChar w:fldCharType="separate"/>
        </w:r>
        <w:r w:rsidR="00733598">
          <w:rPr>
            <w:webHidden/>
          </w:rPr>
          <w:t>92</w:t>
        </w:r>
        <w:r w:rsidR="00270ACC">
          <w:rPr>
            <w:webHidden/>
          </w:rPr>
          <w:fldChar w:fldCharType="end"/>
        </w:r>
      </w:hyperlink>
    </w:p>
    <w:p w14:paraId="7B5FB35D" w14:textId="371CA85C"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76" w:history="1">
        <w:r w:rsidR="00270ACC" w:rsidRPr="006E3F42">
          <w:rPr>
            <w:rStyle w:val="Hyperlink"/>
          </w:rPr>
          <w:t>Figure 6</w:t>
        </w:r>
        <w:r w:rsidR="00270ACC" w:rsidRPr="006E3F42">
          <w:rPr>
            <w:rStyle w:val="Hyperlink"/>
          </w:rPr>
          <w:noBreakHyphen/>
          <w:t>1. Project’s Area of Influence for the Assessment of the Social and Environmental Impacts</w:t>
        </w:r>
        <w:r w:rsidR="00270ACC">
          <w:rPr>
            <w:webHidden/>
          </w:rPr>
          <w:tab/>
        </w:r>
        <w:r w:rsidR="00270ACC">
          <w:rPr>
            <w:webHidden/>
          </w:rPr>
          <w:fldChar w:fldCharType="begin"/>
        </w:r>
        <w:r w:rsidR="00270ACC">
          <w:rPr>
            <w:webHidden/>
          </w:rPr>
          <w:instrText xml:space="preserve"> PAGEREF _Toc141445576 \h </w:instrText>
        </w:r>
        <w:r w:rsidR="00270ACC">
          <w:rPr>
            <w:webHidden/>
          </w:rPr>
        </w:r>
        <w:r w:rsidR="00270ACC">
          <w:rPr>
            <w:webHidden/>
          </w:rPr>
          <w:fldChar w:fldCharType="separate"/>
        </w:r>
        <w:r w:rsidR="00733598">
          <w:rPr>
            <w:webHidden/>
          </w:rPr>
          <w:t>97</w:t>
        </w:r>
        <w:r w:rsidR="00270ACC">
          <w:rPr>
            <w:webHidden/>
          </w:rPr>
          <w:fldChar w:fldCharType="end"/>
        </w:r>
      </w:hyperlink>
    </w:p>
    <w:p w14:paraId="2170F80A" w14:textId="15CC876A"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77" w:history="1">
        <w:r w:rsidR="00270ACC" w:rsidRPr="006E3F42">
          <w:rPr>
            <w:rStyle w:val="Hyperlink"/>
          </w:rPr>
          <w:t>Figure 6</w:t>
        </w:r>
        <w:r w:rsidR="00270ACC" w:rsidRPr="006E3F42">
          <w:rPr>
            <w:rStyle w:val="Hyperlink"/>
          </w:rPr>
          <w:noBreakHyphen/>
          <w:t>2. Soil Sampling Locations</w:t>
        </w:r>
        <w:r w:rsidR="00270ACC">
          <w:rPr>
            <w:webHidden/>
          </w:rPr>
          <w:tab/>
        </w:r>
        <w:r w:rsidR="00270ACC">
          <w:rPr>
            <w:webHidden/>
          </w:rPr>
          <w:fldChar w:fldCharType="begin"/>
        </w:r>
        <w:r w:rsidR="00270ACC">
          <w:rPr>
            <w:webHidden/>
          </w:rPr>
          <w:instrText xml:space="preserve"> PAGEREF _Toc141445577 \h </w:instrText>
        </w:r>
        <w:r w:rsidR="00270ACC">
          <w:rPr>
            <w:webHidden/>
          </w:rPr>
        </w:r>
        <w:r w:rsidR="00270ACC">
          <w:rPr>
            <w:webHidden/>
          </w:rPr>
          <w:fldChar w:fldCharType="separate"/>
        </w:r>
        <w:r w:rsidR="00733598">
          <w:rPr>
            <w:webHidden/>
          </w:rPr>
          <w:t>125</w:t>
        </w:r>
        <w:r w:rsidR="00270ACC">
          <w:rPr>
            <w:webHidden/>
          </w:rPr>
          <w:fldChar w:fldCharType="end"/>
        </w:r>
      </w:hyperlink>
    </w:p>
    <w:p w14:paraId="05E857DA" w14:textId="1FC150BF"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78" w:history="1">
        <w:r w:rsidR="00270ACC" w:rsidRPr="006E3F42">
          <w:rPr>
            <w:rStyle w:val="Hyperlink"/>
          </w:rPr>
          <w:t>Figure 6</w:t>
        </w:r>
        <w:r w:rsidR="00270ACC" w:rsidRPr="006E3F42">
          <w:rPr>
            <w:rStyle w:val="Hyperlink"/>
          </w:rPr>
          <w:noBreakHyphen/>
          <w:t>3. Social Facilities Near the Project Area</w:t>
        </w:r>
        <w:r w:rsidR="00270ACC">
          <w:rPr>
            <w:webHidden/>
          </w:rPr>
          <w:tab/>
        </w:r>
        <w:r w:rsidR="00270ACC">
          <w:rPr>
            <w:webHidden/>
          </w:rPr>
          <w:fldChar w:fldCharType="begin"/>
        </w:r>
        <w:r w:rsidR="00270ACC">
          <w:rPr>
            <w:webHidden/>
          </w:rPr>
          <w:instrText xml:space="preserve"> PAGEREF _Toc141445578 \h </w:instrText>
        </w:r>
        <w:r w:rsidR="00270ACC">
          <w:rPr>
            <w:webHidden/>
          </w:rPr>
        </w:r>
        <w:r w:rsidR="00270ACC">
          <w:rPr>
            <w:webHidden/>
          </w:rPr>
          <w:fldChar w:fldCharType="separate"/>
        </w:r>
        <w:r w:rsidR="00733598">
          <w:rPr>
            <w:webHidden/>
          </w:rPr>
          <w:t>136</w:t>
        </w:r>
        <w:r w:rsidR="00270ACC">
          <w:rPr>
            <w:webHidden/>
          </w:rPr>
          <w:fldChar w:fldCharType="end"/>
        </w:r>
      </w:hyperlink>
    </w:p>
    <w:p w14:paraId="3D7EECDC" w14:textId="6B003000"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79" w:history="1">
        <w:r w:rsidR="00270ACC" w:rsidRPr="006E3F42">
          <w:rPr>
            <w:rStyle w:val="Hyperlink"/>
            <w:lang w:val="en-US"/>
          </w:rPr>
          <w:t xml:space="preserve">Figure </w:t>
        </w:r>
        <w:r w:rsidR="00270ACC" w:rsidRPr="006E3F42">
          <w:rPr>
            <w:rStyle w:val="Hyperlink"/>
            <w:lang w:val="en-US"/>
          </w:rPr>
          <w:noBreakHyphen/>
          <w:t>.</w:t>
        </w:r>
        <w:r w:rsidR="00270ACC" w:rsidRPr="006E3F42">
          <w:rPr>
            <w:rStyle w:val="Hyperlink"/>
          </w:rPr>
          <w:t xml:space="preserve"> </w:t>
        </w:r>
        <w:r w:rsidR="00270ACC" w:rsidRPr="006E3F42">
          <w:rPr>
            <w:rStyle w:val="Hyperlink"/>
            <w:lang w:val="en-US"/>
          </w:rPr>
          <w:t>Organizational Chart (for both construction and operation phases) of TUIOSB Basic Infrastructure Project</w:t>
        </w:r>
        <w:r w:rsidR="00270ACC">
          <w:rPr>
            <w:webHidden/>
          </w:rPr>
          <w:tab/>
        </w:r>
        <w:r w:rsidR="00270ACC">
          <w:rPr>
            <w:webHidden/>
          </w:rPr>
          <w:fldChar w:fldCharType="begin"/>
        </w:r>
        <w:r w:rsidR="00270ACC">
          <w:rPr>
            <w:webHidden/>
          </w:rPr>
          <w:instrText xml:space="preserve"> PAGEREF _Toc141445579 \h </w:instrText>
        </w:r>
        <w:r w:rsidR="00270ACC">
          <w:rPr>
            <w:webHidden/>
          </w:rPr>
        </w:r>
        <w:r w:rsidR="00270ACC">
          <w:rPr>
            <w:webHidden/>
          </w:rPr>
          <w:fldChar w:fldCharType="separate"/>
        </w:r>
        <w:r w:rsidR="00733598">
          <w:rPr>
            <w:webHidden/>
          </w:rPr>
          <w:t>193</w:t>
        </w:r>
        <w:r w:rsidR="00270ACC">
          <w:rPr>
            <w:webHidden/>
          </w:rPr>
          <w:fldChar w:fldCharType="end"/>
        </w:r>
      </w:hyperlink>
    </w:p>
    <w:p w14:paraId="49518345" w14:textId="782A57FC" w:rsidR="00270ACC" w:rsidRDefault="00EC509A" w:rsidP="00270ACC">
      <w:pPr>
        <w:pStyle w:val="TableofFigures"/>
        <w:ind w:left="1134" w:hanging="1134"/>
        <w:jc w:val="left"/>
        <w:rPr>
          <w:rFonts w:asciiTheme="minorHAnsi" w:eastAsiaTheme="minorEastAsia" w:hAnsiTheme="minorHAnsi" w:cstheme="minorBidi"/>
          <w:kern w:val="2"/>
          <w:szCs w:val="22"/>
          <w:lang w:val="tr-TR" w:eastAsia="tr-TR"/>
          <w14:ligatures w14:val="standardContextual"/>
        </w:rPr>
      </w:pPr>
      <w:hyperlink w:anchor="_Toc141445580" w:history="1">
        <w:r w:rsidR="00270ACC" w:rsidRPr="006E3F42">
          <w:rPr>
            <w:rStyle w:val="Hyperlink"/>
            <w:rFonts w:eastAsia="Calibri"/>
          </w:rPr>
          <w:t>Figure 9</w:t>
        </w:r>
        <w:r w:rsidR="00270ACC" w:rsidRPr="006E3F42">
          <w:rPr>
            <w:rStyle w:val="Hyperlink"/>
            <w:rFonts w:eastAsia="Calibri"/>
          </w:rPr>
          <w:noBreakHyphen/>
          <w:t>2.</w:t>
        </w:r>
        <w:r w:rsidR="00270ACC" w:rsidRPr="006E3F42">
          <w:rPr>
            <w:rStyle w:val="Hyperlink"/>
          </w:rPr>
          <w:t xml:space="preserve"> </w:t>
        </w:r>
        <w:r w:rsidR="00270ACC" w:rsidRPr="006E3F42">
          <w:rPr>
            <w:rStyle w:val="Hyperlink"/>
            <w:rFonts w:eastAsia="Calibri"/>
          </w:rPr>
          <w:t>Organizational Chart of Project Management Unit</w:t>
        </w:r>
        <w:r w:rsidR="00270ACC">
          <w:rPr>
            <w:webHidden/>
          </w:rPr>
          <w:tab/>
        </w:r>
        <w:r w:rsidR="00270ACC">
          <w:rPr>
            <w:webHidden/>
          </w:rPr>
          <w:fldChar w:fldCharType="begin"/>
        </w:r>
        <w:r w:rsidR="00270ACC">
          <w:rPr>
            <w:webHidden/>
          </w:rPr>
          <w:instrText xml:space="preserve"> PAGEREF _Toc141445580 \h </w:instrText>
        </w:r>
        <w:r w:rsidR="00270ACC">
          <w:rPr>
            <w:webHidden/>
          </w:rPr>
        </w:r>
        <w:r w:rsidR="00270ACC">
          <w:rPr>
            <w:webHidden/>
          </w:rPr>
          <w:fldChar w:fldCharType="separate"/>
        </w:r>
        <w:r w:rsidR="00733598">
          <w:rPr>
            <w:webHidden/>
          </w:rPr>
          <w:t>194</w:t>
        </w:r>
        <w:r w:rsidR="00270ACC">
          <w:rPr>
            <w:webHidden/>
          </w:rPr>
          <w:fldChar w:fldCharType="end"/>
        </w:r>
      </w:hyperlink>
    </w:p>
    <w:p w14:paraId="08A3D6E7" w14:textId="5725D59E" w:rsidR="00FE2A3B" w:rsidRPr="00EE43C6" w:rsidRDefault="00EF274B" w:rsidP="00270ACC">
      <w:pPr>
        <w:spacing w:before="0" w:after="200" w:line="276" w:lineRule="auto"/>
        <w:ind w:left="1134" w:hanging="1134"/>
        <w:jc w:val="left"/>
        <w:rPr>
          <w:b/>
        </w:rPr>
      </w:pPr>
      <w:r w:rsidRPr="00EE43C6">
        <w:rPr>
          <w:b/>
        </w:rPr>
        <w:fldChar w:fldCharType="end"/>
      </w:r>
      <w:r w:rsidR="00FE2A3B" w:rsidRPr="00EE43C6">
        <w:rPr>
          <w:b/>
        </w:rPr>
        <w:br w:type="page"/>
      </w:r>
    </w:p>
    <w:p w14:paraId="31EACA80" w14:textId="0F3F40C1" w:rsidR="002B59A5" w:rsidRPr="00EE43C6" w:rsidRDefault="002B59A5" w:rsidP="009B7661">
      <w:pPr>
        <w:pStyle w:val="Heading1"/>
        <w:numPr>
          <w:ilvl w:val="0"/>
          <w:numId w:val="0"/>
        </w:numPr>
        <w:jc w:val="center"/>
        <w:rPr>
          <w:noProof w:val="0"/>
          <w:lang w:val="en-GB"/>
        </w:rPr>
      </w:pPr>
      <w:bookmarkStart w:id="21" w:name="_Toc120004657"/>
      <w:bookmarkStart w:id="22" w:name="_Toc120016879"/>
      <w:bookmarkStart w:id="23" w:name="_Toc141445385"/>
      <w:r w:rsidRPr="2DB09FEA">
        <w:rPr>
          <w:noProof w:val="0"/>
          <w:lang w:val="en-GB"/>
        </w:rPr>
        <w:lastRenderedPageBreak/>
        <w:t>LIST OF ABBREVIATIONS</w:t>
      </w:r>
      <w:bookmarkEnd w:id="21"/>
      <w:bookmarkEnd w:id="22"/>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6084"/>
      </w:tblGrid>
      <w:tr w:rsidR="00CB2AEB" w:rsidRPr="00EE43C6" w14:paraId="0CD9E9C8" w14:textId="77777777" w:rsidTr="5F58EB95">
        <w:tc>
          <w:tcPr>
            <w:tcW w:w="2980" w:type="dxa"/>
          </w:tcPr>
          <w:p w14:paraId="2714A34B" w14:textId="5D817EF8" w:rsidR="00CB2AEB" w:rsidRPr="00EE43C6" w:rsidRDefault="00CB2AEB" w:rsidP="00CB2AEB">
            <w:pPr>
              <w:spacing w:before="40" w:after="40" w:line="240" w:lineRule="auto"/>
              <w:jc w:val="left"/>
              <w:textAlignment w:val="baseline"/>
              <w:rPr>
                <w:rFonts w:cs="Arial"/>
                <w:sz w:val="22"/>
                <w:szCs w:val="22"/>
                <w:lang w:eastAsia="tr-TR"/>
              </w:rPr>
            </w:pPr>
            <w:r w:rsidRPr="00EE43C6">
              <w:rPr>
                <w:rFonts w:cs="Arial"/>
                <w:sz w:val="22"/>
                <w:szCs w:val="22"/>
                <w:lang w:eastAsia="tr-TR"/>
              </w:rPr>
              <w:t>AoI</w:t>
            </w:r>
          </w:p>
        </w:tc>
        <w:tc>
          <w:tcPr>
            <w:tcW w:w="0" w:type="auto"/>
          </w:tcPr>
          <w:p w14:paraId="5DC94145" w14:textId="4BF0D4CC" w:rsidR="00CB2AEB" w:rsidRPr="00EE43C6" w:rsidRDefault="00CB2AEB"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Area of influence</w:t>
            </w:r>
          </w:p>
        </w:tc>
      </w:tr>
      <w:tr w:rsidR="00ED3F3D" w:rsidRPr="00ED3F3D" w14:paraId="5A58707C" w14:textId="77777777" w:rsidTr="5F58EB95">
        <w:tc>
          <w:tcPr>
            <w:tcW w:w="2980" w:type="dxa"/>
          </w:tcPr>
          <w:p w14:paraId="22BA4C9D" w14:textId="3591B3BA" w:rsidR="00ED3F3D" w:rsidRPr="00823BA2" w:rsidRDefault="00ED3F3D" w:rsidP="00CB2AEB">
            <w:pPr>
              <w:spacing w:before="40" w:after="40" w:line="240" w:lineRule="auto"/>
              <w:jc w:val="left"/>
              <w:textAlignment w:val="baseline"/>
              <w:rPr>
                <w:rFonts w:cs="Arial"/>
                <w:sz w:val="22"/>
                <w:lang w:eastAsia="tr-TR"/>
              </w:rPr>
            </w:pPr>
            <w:r w:rsidRPr="001C5107">
              <w:rPr>
                <w:rFonts w:cs="Arial"/>
                <w:sz w:val="22"/>
                <w:szCs w:val="22"/>
                <w:lang w:eastAsia="tr-TR"/>
              </w:rPr>
              <w:t>CHS</w:t>
            </w:r>
          </w:p>
        </w:tc>
        <w:tc>
          <w:tcPr>
            <w:tcW w:w="0" w:type="auto"/>
          </w:tcPr>
          <w:p w14:paraId="6019D6F5" w14:textId="251CE071" w:rsidR="00ED3F3D" w:rsidRPr="00823BA2" w:rsidRDefault="00ED3F3D" w:rsidP="000541E3">
            <w:pPr>
              <w:spacing w:before="40" w:after="40" w:line="240" w:lineRule="auto"/>
              <w:jc w:val="left"/>
              <w:textAlignment w:val="baseline"/>
              <w:rPr>
                <w:rFonts w:cs="Arial"/>
                <w:sz w:val="22"/>
                <w:lang w:eastAsia="tr-TR"/>
              </w:rPr>
            </w:pPr>
            <w:r w:rsidRPr="001C5107">
              <w:rPr>
                <w:rFonts w:cs="Arial"/>
                <w:sz w:val="22"/>
                <w:szCs w:val="22"/>
                <w:lang w:eastAsia="tr-TR"/>
              </w:rPr>
              <w:t>Community</w:t>
            </w:r>
            <w:r>
              <w:rPr>
                <w:rFonts w:cs="Arial"/>
                <w:sz w:val="22"/>
                <w:lang w:eastAsia="tr-TR"/>
              </w:rPr>
              <w:t xml:space="preserve">, </w:t>
            </w:r>
            <w:r w:rsidRPr="001C5107">
              <w:rPr>
                <w:rFonts w:cs="Arial"/>
                <w:sz w:val="22"/>
                <w:szCs w:val="22"/>
                <w:lang w:eastAsia="tr-TR"/>
              </w:rPr>
              <w:t>Health</w:t>
            </w:r>
            <w:r>
              <w:rPr>
                <w:rFonts w:cs="Arial"/>
                <w:sz w:val="22"/>
                <w:lang w:eastAsia="tr-TR"/>
              </w:rPr>
              <w:t xml:space="preserve"> and</w:t>
            </w:r>
            <w:r w:rsidRPr="001C5107">
              <w:rPr>
                <w:rFonts w:cs="Arial"/>
                <w:sz w:val="22"/>
                <w:szCs w:val="22"/>
                <w:lang w:eastAsia="tr-TR"/>
              </w:rPr>
              <w:t xml:space="preserve"> Safety</w:t>
            </w:r>
          </w:p>
        </w:tc>
      </w:tr>
      <w:tr w:rsidR="00CB2AEB" w:rsidRPr="00EE43C6" w14:paraId="20680C90" w14:textId="77777777" w:rsidTr="5F58EB95">
        <w:tc>
          <w:tcPr>
            <w:tcW w:w="2980" w:type="dxa"/>
            <w:hideMark/>
          </w:tcPr>
          <w:p w14:paraId="1EEA5ED9" w14:textId="1B4B835C" w:rsidR="00CB2AEB" w:rsidRPr="00EE43C6" w:rsidRDefault="00CB2AEB" w:rsidP="00CB2AEB">
            <w:pPr>
              <w:spacing w:before="40" w:after="40" w:line="240" w:lineRule="auto"/>
              <w:jc w:val="left"/>
              <w:textAlignment w:val="baseline"/>
              <w:rPr>
                <w:rFonts w:cs="Arial"/>
                <w:sz w:val="22"/>
                <w:szCs w:val="22"/>
                <w:lang w:eastAsia="tr-TR"/>
              </w:rPr>
            </w:pPr>
            <w:r w:rsidRPr="00EE43C6">
              <w:rPr>
                <w:rFonts w:cs="Arial"/>
                <w:sz w:val="22"/>
                <w:szCs w:val="22"/>
                <w:lang w:eastAsia="tr-TR"/>
              </w:rPr>
              <w:t>CİMER</w:t>
            </w:r>
          </w:p>
        </w:tc>
        <w:tc>
          <w:tcPr>
            <w:tcW w:w="0" w:type="auto"/>
            <w:hideMark/>
          </w:tcPr>
          <w:p w14:paraId="20455F5C" w14:textId="1B15C36F" w:rsidR="00CB2AEB" w:rsidRPr="00EE43C6" w:rsidRDefault="00CB2AEB"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Presiden</w:t>
            </w:r>
            <w:r w:rsidR="005E2719" w:rsidRPr="00EE43C6">
              <w:rPr>
                <w:rFonts w:cs="Arial"/>
                <w:sz w:val="22"/>
                <w:szCs w:val="22"/>
                <w:lang w:eastAsia="tr-TR"/>
              </w:rPr>
              <w:t>cy’s</w:t>
            </w:r>
            <w:r w:rsidRPr="00EE43C6">
              <w:rPr>
                <w:rFonts w:cs="Arial"/>
                <w:sz w:val="22"/>
                <w:szCs w:val="22"/>
                <w:lang w:eastAsia="tr-TR"/>
              </w:rPr>
              <w:t xml:space="preserve"> Communication Center</w:t>
            </w:r>
          </w:p>
        </w:tc>
      </w:tr>
      <w:tr w:rsidR="006A57B5" w:rsidRPr="00EE43C6" w14:paraId="1D0DCC70" w14:textId="77777777" w:rsidTr="5F58EB95">
        <w:tc>
          <w:tcPr>
            <w:tcW w:w="2980" w:type="dxa"/>
          </w:tcPr>
          <w:p w14:paraId="5F3A695B" w14:textId="530558D0" w:rsidR="006A57B5" w:rsidRPr="00EE43C6" w:rsidRDefault="006A57B5" w:rsidP="00CB2AEB">
            <w:pPr>
              <w:spacing w:before="40" w:after="40" w:line="240" w:lineRule="auto"/>
              <w:jc w:val="left"/>
              <w:textAlignment w:val="baseline"/>
              <w:rPr>
                <w:rFonts w:cs="Arial"/>
                <w:sz w:val="22"/>
                <w:szCs w:val="22"/>
                <w:lang w:eastAsia="tr-TR"/>
              </w:rPr>
            </w:pPr>
            <w:r w:rsidRPr="00EE43C6">
              <w:rPr>
                <w:rFonts w:cs="Arial"/>
                <w:sz w:val="22"/>
                <w:szCs w:val="22"/>
                <w:lang w:eastAsia="tr-TR"/>
              </w:rPr>
              <w:t>CoC</w:t>
            </w:r>
          </w:p>
        </w:tc>
        <w:tc>
          <w:tcPr>
            <w:tcW w:w="0" w:type="auto"/>
          </w:tcPr>
          <w:p w14:paraId="5EE89E4D" w14:textId="73BDA7A8" w:rsidR="006A57B5" w:rsidRPr="00EE43C6" w:rsidRDefault="006A57B5"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Code of Conduct</w:t>
            </w:r>
          </w:p>
        </w:tc>
      </w:tr>
      <w:tr w:rsidR="00291725" w:rsidRPr="00EE43C6" w14:paraId="093544E9" w14:textId="77777777" w:rsidTr="5F58EB95">
        <w:tc>
          <w:tcPr>
            <w:tcW w:w="2980" w:type="dxa"/>
          </w:tcPr>
          <w:p w14:paraId="05BC9F51" w14:textId="54F276CA" w:rsidR="00291725" w:rsidRPr="00EE43C6" w:rsidRDefault="00291725" w:rsidP="00CB2AEB">
            <w:pPr>
              <w:spacing w:before="40" w:after="40" w:line="240" w:lineRule="auto"/>
              <w:jc w:val="left"/>
              <w:textAlignment w:val="baseline"/>
              <w:rPr>
                <w:rFonts w:cs="Arial"/>
                <w:sz w:val="22"/>
                <w:szCs w:val="22"/>
                <w:lang w:eastAsia="tr-TR"/>
              </w:rPr>
            </w:pPr>
            <w:r w:rsidRPr="00EE43C6">
              <w:rPr>
                <w:rFonts w:cs="Arial"/>
                <w:sz w:val="22"/>
                <w:szCs w:val="22"/>
                <w:lang w:eastAsia="tr-TR"/>
              </w:rPr>
              <w:t>DC</w:t>
            </w:r>
          </w:p>
        </w:tc>
        <w:tc>
          <w:tcPr>
            <w:tcW w:w="0" w:type="auto"/>
          </w:tcPr>
          <w:p w14:paraId="3038AC43" w14:textId="0EED9550" w:rsidR="00291725" w:rsidRPr="00EE43C6" w:rsidRDefault="00291725"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Distribution Center</w:t>
            </w:r>
          </w:p>
        </w:tc>
      </w:tr>
      <w:tr w:rsidR="009112BD" w:rsidRPr="00EE43C6" w14:paraId="216134B0" w14:textId="77777777" w:rsidTr="5F58EB95">
        <w:tc>
          <w:tcPr>
            <w:tcW w:w="2980" w:type="dxa"/>
          </w:tcPr>
          <w:p w14:paraId="3D7AA25E" w14:textId="77777777" w:rsidR="009112BD" w:rsidRPr="00EE43C6" w:rsidRDefault="009112BD">
            <w:pPr>
              <w:spacing w:before="40" w:after="40" w:line="240" w:lineRule="auto"/>
              <w:jc w:val="left"/>
              <w:textAlignment w:val="baseline"/>
              <w:rPr>
                <w:rFonts w:cs="Arial"/>
                <w:sz w:val="22"/>
                <w:szCs w:val="22"/>
                <w:lang w:eastAsia="tr-TR"/>
              </w:rPr>
            </w:pPr>
            <w:r w:rsidRPr="00EE43C6">
              <w:rPr>
                <w:rFonts w:cs="Arial"/>
                <w:sz w:val="22"/>
                <w:szCs w:val="22"/>
                <w:lang w:eastAsia="tr-TR"/>
              </w:rPr>
              <w:t>DSI</w:t>
            </w:r>
          </w:p>
        </w:tc>
        <w:tc>
          <w:tcPr>
            <w:tcW w:w="0" w:type="auto"/>
          </w:tcPr>
          <w:p w14:paraId="24B3D0E2" w14:textId="77777777" w:rsidR="009112BD" w:rsidRPr="00EE43C6" w:rsidRDefault="009112BD" w:rsidP="00E44E29">
            <w:pPr>
              <w:spacing w:before="40" w:after="40" w:line="240" w:lineRule="auto"/>
              <w:jc w:val="left"/>
              <w:textAlignment w:val="baseline"/>
              <w:rPr>
                <w:rFonts w:cs="Arial"/>
                <w:sz w:val="22"/>
                <w:szCs w:val="22"/>
                <w:lang w:eastAsia="tr-TR"/>
              </w:rPr>
            </w:pPr>
            <w:r w:rsidRPr="00EE43C6">
              <w:rPr>
                <w:rFonts w:cs="Arial"/>
                <w:sz w:val="22"/>
                <w:szCs w:val="22"/>
                <w:lang w:eastAsia="tr-TR"/>
              </w:rPr>
              <w:t>General Directorate of State Hydraulic Works</w:t>
            </w:r>
          </w:p>
        </w:tc>
      </w:tr>
      <w:tr w:rsidR="00CB2AEB" w:rsidRPr="00EE43C6" w14:paraId="5116BFCF" w14:textId="77777777" w:rsidTr="5F58EB95">
        <w:tc>
          <w:tcPr>
            <w:tcW w:w="2980" w:type="dxa"/>
            <w:hideMark/>
          </w:tcPr>
          <w:p w14:paraId="4D1FF0D5" w14:textId="4C513A92" w:rsidR="00CB2AEB" w:rsidRPr="00EE43C6" w:rsidRDefault="00CB2AEB" w:rsidP="00CB2AEB">
            <w:pPr>
              <w:spacing w:before="40" w:after="40" w:line="240" w:lineRule="auto"/>
              <w:jc w:val="left"/>
              <w:textAlignment w:val="baseline"/>
              <w:rPr>
                <w:rFonts w:cs="Arial"/>
                <w:sz w:val="22"/>
                <w:szCs w:val="22"/>
                <w:lang w:eastAsia="tr-TR"/>
              </w:rPr>
            </w:pPr>
            <w:r w:rsidRPr="00EE43C6">
              <w:rPr>
                <w:rFonts w:cs="Arial"/>
                <w:sz w:val="22"/>
                <w:szCs w:val="22"/>
                <w:lang w:eastAsia="tr-TR"/>
              </w:rPr>
              <w:t>EBRD</w:t>
            </w:r>
          </w:p>
        </w:tc>
        <w:tc>
          <w:tcPr>
            <w:tcW w:w="0" w:type="auto"/>
            <w:hideMark/>
          </w:tcPr>
          <w:p w14:paraId="5D66F01F" w14:textId="191D8499" w:rsidR="00CB2AEB" w:rsidRPr="00EE43C6" w:rsidRDefault="00CB2AEB"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European Bank for Reconstruction and Development</w:t>
            </w:r>
          </w:p>
        </w:tc>
      </w:tr>
      <w:tr w:rsidR="0012671C" w:rsidRPr="00EE43C6" w14:paraId="5F7E122D" w14:textId="77777777" w:rsidTr="5F58EB95">
        <w:tc>
          <w:tcPr>
            <w:tcW w:w="2980" w:type="dxa"/>
          </w:tcPr>
          <w:p w14:paraId="3A1AD6AF" w14:textId="0B2C830C" w:rsidR="0012671C" w:rsidRPr="00EE43C6" w:rsidRDefault="0012671C" w:rsidP="00CB2AEB">
            <w:pPr>
              <w:spacing w:before="40" w:after="40" w:line="240" w:lineRule="auto"/>
              <w:jc w:val="left"/>
              <w:textAlignment w:val="baseline"/>
              <w:rPr>
                <w:rFonts w:cs="Arial"/>
                <w:sz w:val="22"/>
                <w:szCs w:val="22"/>
                <w:lang w:eastAsia="tr-TR"/>
              </w:rPr>
            </w:pPr>
            <w:r w:rsidRPr="00EE43C6">
              <w:rPr>
                <w:rFonts w:cs="Arial"/>
                <w:sz w:val="22"/>
                <w:szCs w:val="22"/>
                <w:lang w:eastAsia="tr-TR"/>
              </w:rPr>
              <w:t>EEA</w:t>
            </w:r>
          </w:p>
        </w:tc>
        <w:tc>
          <w:tcPr>
            <w:tcW w:w="0" w:type="auto"/>
          </w:tcPr>
          <w:p w14:paraId="32AADA1B" w14:textId="1625F050" w:rsidR="0012671C" w:rsidRPr="00EE43C6" w:rsidRDefault="0029321C"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 xml:space="preserve">European </w:t>
            </w:r>
            <w:r w:rsidR="005B0131" w:rsidRPr="00EE43C6">
              <w:rPr>
                <w:rFonts w:cs="Arial"/>
                <w:sz w:val="22"/>
                <w:szCs w:val="22"/>
                <w:lang w:eastAsia="tr-TR"/>
              </w:rPr>
              <w:t>Environment</w:t>
            </w:r>
            <w:r w:rsidRPr="00EE43C6">
              <w:rPr>
                <w:rFonts w:cs="Arial"/>
                <w:sz w:val="22"/>
                <w:szCs w:val="22"/>
                <w:lang w:eastAsia="tr-TR"/>
              </w:rPr>
              <w:t xml:space="preserve"> Agency</w:t>
            </w:r>
          </w:p>
        </w:tc>
      </w:tr>
      <w:tr w:rsidR="00CB2AEB" w:rsidRPr="00EE43C6" w14:paraId="5B2B0E1E" w14:textId="77777777" w:rsidTr="5F58EB95">
        <w:tc>
          <w:tcPr>
            <w:tcW w:w="2980" w:type="dxa"/>
            <w:hideMark/>
          </w:tcPr>
          <w:p w14:paraId="1AA8544A" w14:textId="0EAD380A" w:rsidR="00CB2AEB" w:rsidRPr="00EE43C6" w:rsidRDefault="00CB2AEB" w:rsidP="00CB2AEB">
            <w:pPr>
              <w:spacing w:before="40" w:after="40" w:line="240" w:lineRule="auto"/>
              <w:jc w:val="left"/>
              <w:textAlignment w:val="baseline"/>
              <w:rPr>
                <w:rFonts w:cs="Arial"/>
                <w:sz w:val="22"/>
                <w:szCs w:val="22"/>
                <w:lang w:eastAsia="tr-TR"/>
              </w:rPr>
            </w:pPr>
            <w:r w:rsidRPr="5F58EB95">
              <w:rPr>
                <w:rFonts w:cs="Arial"/>
                <w:sz w:val="22"/>
                <w:szCs w:val="22"/>
                <w:lang w:eastAsia="tr-TR"/>
              </w:rPr>
              <w:t>EHS</w:t>
            </w:r>
          </w:p>
        </w:tc>
        <w:tc>
          <w:tcPr>
            <w:tcW w:w="0" w:type="auto"/>
            <w:hideMark/>
          </w:tcPr>
          <w:p w14:paraId="46B65015" w14:textId="1C74B31B" w:rsidR="00CB2AEB" w:rsidRPr="00EE43C6" w:rsidRDefault="00CB2AEB"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Environmental, Health and Safety</w:t>
            </w:r>
          </w:p>
        </w:tc>
      </w:tr>
      <w:tr w:rsidR="00CB2AEB" w:rsidRPr="00EE43C6" w14:paraId="66A4A54B" w14:textId="77777777" w:rsidTr="5F58EB95">
        <w:tc>
          <w:tcPr>
            <w:tcW w:w="2980" w:type="dxa"/>
            <w:hideMark/>
          </w:tcPr>
          <w:p w14:paraId="1DC98299" w14:textId="4B593EDF" w:rsidR="00CB2AEB" w:rsidRPr="00EE43C6" w:rsidRDefault="00CB2AEB" w:rsidP="00CB2AEB">
            <w:pPr>
              <w:spacing w:before="40" w:after="40" w:line="240" w:lineRule="auto"/>
              <w:jc w:val="left"/>
              <w:textAlignment w:val="baseline"/>
              <w:rPr>
                <w:rFonts w:cs="Arial"/>
                <w:sz w:val="22"/>
                <w:szCs w:val="22"/>
                <w:lang w:eastAsia="tr-TR"/>
              </w:rPr>
            </w:pPr>
            <w:r w:rsidRPr="00EE43C6">
              <w:rPr>
                <w:rFonts w:cs="Arial"/>
                <w:sz w:val="22"/>
                <w:szCs w:val="22"/>
                <w:lang w:eastAsia="tr-TR"/>
              </w:rPr>
              <w:t>EIA</w:t>
            </w:r>
          </w:p>
        </w:tc>
        <w:tc>
          <w:tcPr>
            <w:tcW w:w="0" w:type="auto"/>
            <w:hideMark/>
          </w:tcPr>
          <w:p w14:paraId="56A3D80F" w14:textId="4407DE43" w:rsidR="00CB2AEB" w:rsidRPr="00EE43C6" w:rsidRDefault="00CB2AEB"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Environmental Impact Assessment</w:t>
            </w:r>
          </w:p>
        </w:tc>
      </w:tr>
      <w:tr w:rsidR="002756FB" w:rsidRPr="00EE43C6" w14:paraId="1B4841AA" w14:textId="77777777" w:rsidTr="5F58EB95">
        <w:tc>
          <w:tcPr>
            <w:tcW w:w="2980" w:type="dxa"/>
          </w:tcPr>
          <w:p w14:paraId="33FBF228" w14:textId="609AFBBE" w:rsidR="002756FB" w:rsidRPr="00EE43C6" w:rsidRDefault="002756FB" w:rsidP="00CB2AEB">
            <w:pPr>
              <w:spacing w:before="40" w:after="40" w:line="240" w:lineRule="auto"/>
              <w:jc w:val="left"/>
              <w:textAlignment w:val="baseline"/>
              <w:rPr>
                <w:rFonts w:cs="Arial"/>
                <w:sz w:val="22"/>
                <w:szCs w:val="22"/>
                <w:lang w:eastAsia="tr-TR"/>
              </w:rPr>
            </w:pPr>
            <w:r w:rsidRPr="00EE43C6">
              <w:rPr>
                <w:rFonts w:cs="Arial"/>
                <w:sz w:val="22"/>
                <w:szCs w:val="22"/>
                <w:lang w:eastAsia="tr-TR"/>
              </w:rPr>
              <w:t>EMEP</w:t>
            </w:r>
          </w:p>
        </w:tc>
        <w:tc>
          <w:tcPr>
            <w:tcW w:w="0" w:type="auto"/>
          </w:tcPr>
          <w:p w14:paraId="6385B39C" w14:textId="7D4AB66E" w:rsidR="002756FB" w:rsidRPr="00EE43C6" w:rsidRDefault="001C59D2"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European Monitoring and Evaluation Programme</w:t>
            </w:r>
          </w:p>
        </w:tc>
      </w:tr>
      <w:tr w:rsidR="00BC5433" w:rsidRPr="00EE43C6" w14:paraId="1D73AE5F" w14:textId="77777777" w:rsidTr="5F58EB95">
        <w:tc>
          <w:tcPr>
            <w:tcW w:w="2980" w:type="dxa"/>
          </w:tcPr>
          <w:p w14:paraId="0C8CDE7D" w14:textId="4C4D72F4" w:rsidR="00BC5433" w:rsidRPr="00EE43C6" w:rsidRDefault="00BC5433" w:rsidP="00CB2AEB">
            <w:pPr>
              <w:spacing w:before="40" w:after="40" w:line="240" w:lineRule="auto"/>
              <w:jc w:val="left"/>
              <w:textAlignment w:val="baseline"/>
              <w:rPr>
                <w:rFonts w:cs="Arial"/>
                <w:sz w:val="22"/>
                <w:szCs w:val="22"/>
                <w:lang w:eastAsia="tr-TR"/>
              </w:rPr>
            </w:pPr>
            <w:r w:rsidRPr="00EE43C6">
              <w:rPr>
                <w:rFonts w:cs="Arial"/>
                <w:sz w:val="22"/>
                <w:szCs w:val="22"/>
                <w:lang w:eastAsia="tr-TR"/>
              </w:rPr>
              <w:t>EPSA</w:t>
            </w:r>
          </w:p>
        </w:tc>
        <w:tc>
          <w:tcPr>
            <w:tcW w:w="0" w:type="auto"/>
          </w:tcPr>
          <w:p w14:paraId="13401BB5" w14:textId="21E2DB39" w:rsidR="00BC5433" w:rsidRPr="00EE43C6" w:rsidRDefault="001021F6"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Ex-Post Social Assessment</w:t>
            </w:r>
          </w:p>
        </w:tc>
      </w:tr>
      <w:tr w:rsidR="00AB4A4C" w:rsidRPr="00AB4A4C" w14:paraId="256876B7" w14:textId="77777777" w:rsidTr="5F58EB95">
        <w:tc>
          <w:tcPr>
            <w:tcW w:w="2980" w:type="dxa"/>
          </w:tcPr>
          <w:p w14:paraId="3BDF90AA" w14:textId="748F81E7" w:rsidR="00AB4A4C" w:rsidRPr="004C60B9" w:rsidRDefault="00AB4A4C" w:rsidP="00CB2AEB">
            <w:pPr>
              <w:spacing w:before="40" w:after="40" w:line="240" w:lineRule="auto"/>
              <w:jc w:val="left"/>
              <w:textAlignment w:val="baseline"/>
              <w:rPr>
                <w:rFonts w:cs="Arial"/>
                <w:sz w:val="22"/>
                <w:lang w:eastAsia="tr-TR"/>
              </w:rPr>
            </w:pPr>
            <w:r w:rsidRPr="00946C02">
              <w:rPr>
                <w:rFonts w:cs="Arial"/>
                <w:lang w:eastAsia="tr-TR"/>
              </w:rPr>
              <w:t>ES</w:t>
            </w:r>
          </w:p>
        </w:tc>
        <w:tc>
          <w:tcPr>
            <w:tcW w:w="0" w:type="auto"/>
          </w:tcPr>
          <w:p w14:paraId="0ABD90CB" w14:textId="691865CE" w:rsidR="00AB4A4C" w:rsidRPr="004C60B9" w:rsidRDefault="00AB4A4C" w:rsidP="000541E3">
            <w:pPr>
              <w:spacing w:before="40" w:after="40" w:line="240" w:lineRule="auto"/>
              <w:jc w:val="left"/>
              <w:textAlignment w:val="baseline"/>
              <w:rPr>
                <w:rFonts w:cs="Arial"/>
                <w:sz w:val="22"/>
                <w:lang w:eastAsia="tr-TR"/>
              </w:rPr>
            </w:pPr>
            <w:r w:rsidRPr="00EE43C6">
              <w:rPr>
                <w:rFonts w:cs="Arial"/>
                <w:sz w:val="22"/>
                <w:szCs w:val="22"/>
                <w:lang w:eastAsia="tr-TR"/>
              </w:rPr>
              <w:t>Environmental and Social</w:t>
            </w:r>
          </w:p>
        </w:tc>
      </w:tr>
      <w:tr w:rsidR="003226D3" w:rsidRPr="00EE43C6" w14:paraId="71891484" w14:textId="77777777" w:rsidTr="5F58EB95">
        <w:tc>
          <w:tcPr>
            <w:tcW w:w="2980" w:type="dxa"/>
          </w:tcPr>
          <w:p w14:paraId="4422EAEA" w14:textId="2E83788E" w:rsidR="003226D3" w:rsidRPr="00EE43C6" w:rsidRDefault="003226D3" w:rsidP="00CB2AEB">
            <w:pPr>
              <w:spacing w:before="40" w:after="40" w:line="240" w:lineRule="auto"/>
              <w:jc w:val="left"/>
              <w:textAlignment w:val="baseline"/>
              <w:rPr>
                <w:rFonts w:cs="Arial"/>
                <w:sz w:val="22"/>
                <w:szCs w:val="22"/>
                <w:lang w:eastAsia="tr-TR"/>
              </w:rPr>
            </w:pPr>
            <w:r w:rsidRPr="00EE43C6">
              <w:rPr>
                <w:rFonts w:cs="Arial"/>
                <w:sz w:val="22"/>
                <w:szCs w:val="22"/>
                <w:lang w:eastAsia="tr-TR"/>
              </w:rPr>
              <w:t>ESF</w:t>
            </w:r>
          </w:p>
        </w:tc>
        <w:tc>
          <w:tcPr>
            <w:tcW w:w="0" w:type="auto"/>
          </w:tcPr>
          <w:p w14:paraId="0A9AD925" w14:textId="6F0B5396" w:rsidR="003226D3" w:rsidRPr="00EE43C6" w:rsidRDefault="00632E42"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Environmental and Social Framework</w:t>
            </w:r>
          </w:p>
        </w:tc>
      </w:tr>
      <w:tr w:rsidR="00CB2AEB" w:rsidRPr="00EE43C6" w14:paraId="117B8830" w14:textId="77777777" w:rsidTr="5F58EB95">
        <w:tc>
          <w:tcPr>
            <w:tcW w:w="2980" w:type="dxa"/>
            <w:hideMark/>
          </w:tcPr>
          <w:p w14:paraId="55661306" w14:textId="39CDC9F4" w:rsidR="00CB2AEB" w:rsidRPr="00EE43C6" w:rsidRDefault="00CB2AEB" w:rsidP="00CB2AEB">
            <w:pPr>
              <w:spacing w:before="40" w:after="40" w:line="240" w:lineRule="auto"/>
              <w:jc w:val="left"/>
              <w:textAlignment w:val="baseline"/>
              <w:rPr>
                <w:rFonts w:cs="Arial"/>
                <w:sz w:val="22"/>
                <w:szCs w:val="22"/>
                <w:lang w:eastAsia="tr-TR"/>
              </w:rPr>
            </w:pPr>
            <w:r w:rsidRPr="00EE43C6">
              <w:rPr>
                <w:rFonts w:cs="Arial"/>
                <w:sz w:val="22"/>
                <w:szCs w:val="22"/>
                <w:lang w:eastAsia="tr-TR"/>
              </w:rPr>
              <w:t>ESIA</w:t>
            </w:r>
          </w:p>
        </w:tc>
        <w:tc>
          <w:tcPr>
            <w:tcW w:w="0" w:type="auto"/>
            <w:hideMark/>
          </w:tcPr>
          <w:p w14:paraId="47F4B2C8" w14:textId="7CE686CE" w:rsidR="00CB2AEB" w:rsidRPr="00EE43C6" w:rsidRDefault="00CB2AEB"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Environmental and Social Impact Assessment</w:t>
            </w:r>
          </w:p>
        </w:tc>
      </w:tr>
      <w:tr w:rsidR="00066B67" w:rsidRPr="00EE43C6" w14:paraId="21B914FD" w14:textId="77777777" w:rsidTr="5F58EB95">
        <w:tc>
          <w:tcPr>
            <w:tcW w:w="2980" w:type="dxa"/>
          </w:tcPr>
          <w:p w14:paraId="1E9CBE23" w14:textId="1771F8E8"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ESMF</w:t>
            </w:r>
          </w:p>
        </w:tc>
        <w:tc>
          <w:tcPr>
            <w:tcW w:w="0" w:type="auto"/>
          </w:tcPr>
          <w:p w14:paraId="7E3711F6" w14:textId="0A668BCA"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rPr>
              <w:t>Environmental and Social Management Framework</w:t>
            </w:r>
          </w:p>
        </w:tc>
      </w:tr>
      <w:tr w:rsidR="006E2455" w:rsidRPr="00EE43C6" w14:paraId="4A512E8D" w14:textId="77777777" w:rsidTr="5F58EB95">
        <w:tc>
          <w:tcPr>
            <w:tcW w:w="2980" w:type="dxa"/>
          </w:tcPr>
          <w:p w14:paraId="6E06B2C0" w14:textId="3A132F6A" w:rsidR="006E2455" w:rsidRPr="00EE43C6" w:rsidRDefault="006E2455"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ESMMP</w:t>
            </w:r>
          </w:p>
        </w:tc>
        <w:tc>
          <w:tcPr>
            <w:tcW w:w="0" w:type="auto"/>
          </w:tcPr>
          <w:p w14:paraId="12044ED6" w14:textId="7A6846E8" w:rsidR="006E2455" w:rsidRPr="00EE43C6" w:rsidRDefault="00AC16FD" w:rsidP="000541E3">
            <w:pPr>
              <w:spacing w:before="40" w:after="40" w:line="240" w:lineRule="auto"/>
              <w:jc w:val="left"/>
              <w:textAlignment w:val="baseline"/>
              <w:rPr>
                <w:rFonts w:cs="Arial"/>
                <w:sz w:val="22"/>
                <w:szCs w:val="22"/>
              </w:rPr>
            </w:pPr>
            <w:r w:rsidRPr="00EE43C6">
              <w:rPr>
                <w:rFonts w:cs="Arial"/>
                <w:sz w:val="22"/>
                <w:szCs w:val="22"/>
              </w:rPr>
              <w:t>Environmental and Social Management and Monitoring Plan</w:t>
            </w:r>
          </w:p>
        </w:tc>
      </w:tr>
      <w:tr w:rsidR="00066B67" w:rsidRPr="00EE43C6" w14:paraId="3A07C1B6" w14:textId="77777777" w:rsidTr="5F58EB95">
        <w:tc>
          <w:tcPr>
            <w:tcW w:w="2980" w:type="dxa"/>
            <w:hideMark/>
          </w:tcPr>
          <w:p w14:paraId="4B2451A2" w14:textId="26C9606C"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ESMP</w:t>
            </w:r>
          </w:p>
        </w:tc>
        <w:tc>
          <w:tcPr>
            <w:tcW w:w="0" w:type="auto"/>
            <w:hideMark/>
          </w:tcPr>
          <w:p w14:paraId="4B5C9688" w14:textId="36CC63FD"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Environmental and Social Management Plan</w:t>
            </w:r>
          </w:p>
        </w:tc>
      </w:tr>
      <w:tr w:rsidR="00066B67" w:rsidRPr="00EE43C6" w14:paraId="18A978BF" w14:textId="77777777" w:rsidTr="5F58EB95">
        <w:tc>
          <w:tcPr>
            <w:tcW w:w="2980" w:type="dxa"/>
            <w:hideMark/>
          </w:tcPr>
          <w:p w14:paraId="569F48F2" w14:textId="1684CD5A"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ESMR</w:t>
            </w:r>
          </w:p>
        </w:tc>
        <w:tc>
          <w:tcPr>
            <w:tcW w:w="0" w:type="auto"/>
            <w:hideMark/>
          </w:tcPr>
          <w:p w14:paraId="37BE3FFC" w14:textId="29C14782"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Environmental and Social Monitoring Report</w:t>
            </w:r>
          </w:p>
        </w:tc>
      </w:tr>
      <w:tr w:rsidR="00CA6FA3" w:rsidRPr="00EE43C6" w14:paraId="0F3AF34B" w14:textId="77777777" w:rsidTr="5F58EB95">
        <w:tc>
          <w:tcPr>
            <w:tcW w:w="2980" w:type="dxa"/>
          </w:tcPr>
          <w:p w14:paraId="6EF82E44" w14:textId="28891A32" w:rsidR="00CA6FA3" w:rsidRPr="00EE43C6" w:rsidRDefault="00CA6FA3"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ESMS</w:t>
            </w:r>
          </w:p>
        </w:tc>
        <w:tc>
          <w:tcPr>
            <w:tcW w:w="0" w:type="auto"/>
          </w:tcPr>
          <w:p w14:paraId="4213DE10" w14:textId="4C5444D2" w:rsidR="00CA6FA3" w:rsidRPr="00EE43C6" w:rsidRDefault="00CA6FA3" w:rsidP="000541E3">
            <w:pPr>
              <w:spacing w:before="40" w:after="40" w:line="240" w:lineRule="auto"/>
              <w:jc w:val="left"/>
              <w:textAlignment w:val="baseline"/>
              <w:rPr>
                <w:rFonts w:cs="Arial"/>
                <w:sz w:val="22"/>
                <w:szCs w:val="22"/>
                <w:lang w:eastAsia="tr-TR"/>
              </w:rPr>
            </w:pPr>
            <w:r w:rsidRPr="00EE43C6">
              <w:rPr>
                <w:rFonts w:cs="Arial"/>
                <w:sz w:val="22"/>
                <w:szCs w:val="22"/>
              </w:rPr>
              <w:t>Environmental and Social Management System</w:t>
            </w:r>
          </w:p>
        </w:tc>
      </w:tr>
      <w:tr w:rsidR="00515895" w:rsidRPr="00EE43C6" w14:paraId="5C4F3B95" w14:textId="77777777" w:rsidTr="5F58EB95">
        <w:tc>
          <w:tcPr>
            <w:tcW w:w="2980" w:type="dxa"/>
          </w:tcPr>
          <w:p w14:paraId="3A4A91F8" w14:textId="725357B8" w:rsidR="00EF3036" w:rsidRPr="00EE43C6" w:rsidRDefault="00EF3036"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ESPR</w:t>
            </w:r>
          </w:p>
        </w:tc>
        <w:tc>
          <w:tcPr>
            <w:tcW w:w="0" w:type="auto"/>
          </w:tcPr>
          <w:p w14:paraId="59CEB1FB" w14:textId="0AD1334E" w:rsidR="00EF3036" w:rsidRPr="00EE43C6" w:rsidRDefault="00EF3036" w:rsidP="000541E3">
            <w:pPr>
              <w:spacing w:before="40" w:after="40" w:line="240" w:lineRule="auto"/>
              <w:jc w:val="left"/>
              <w:textAlignment w:val="baseline"/>
              <w:rPr>
                <w:rFonts w:cs="Arial"/>
                <w:sz w:val="22"/>
                <w:szCs w:val="22"/>
              </w:rPr>
            </w:pPr>
            <w:r w:rsidRPr="00EE43C6">
              <w:rPr>
                <w:rFonts w:cs="Arial"/>
                <w:sz w:val="22"/>
                <w:szCs w:val="22"/>
              </w:rPr>
              <w:t>Environmental and Social Progress Report</w:t>
            </w:r>
          </w:p>
        </w:tc>
      </w:tr>
      <w:tr w:rsidR="00515895" w:rsidRPr="00EE43C6" w14:paraId="7A192A85" w14:textId="77777777" w:rsidTr="5F58EB95">
        <w:tc>
          <w:tcPr>
            <w:tcW w:w="2980" w:type="dxa"/>
          </w:tcPr>
          <w:p w14:paraId="17B7654E" w14:textId="79ACCA1D" w:rsidR="00EF3036" w:rsidRPr="00EE43C6" w:rsidRDefault="00EF3036"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ESR</w:t>
            </w:r>
          </w:p>
        </w:tc>
        <w:tc>
          <w:tcPr>
            <w:tcW w:w="0" w:type="auto"/>
          </w:tcPr>
          <w:p w14:paraId="71B626A4" w14:textId="05E167DB" w:rsidR="00EF3036" w:rsidRPr="00EE43C6" w:rsidRDefault="00EF3036" w:rsidP="000541E3">
            <w:pPr>
              <w:spacing w:before="40" w:after="40" w:line="240" w:lineRule="auto"/>
              <w:jc w:val="left"/>
              <w:textAlignment w:val="baseline"/>
              <w:rPr>
                <w:rFonts w:cs="Arial"/>
                <w:sz w:val="22"/>
                <w:szCs w:val="22"/>
              </w:rPr>
            </w:pPr>
            <w:r w:rsidRPr="00EE43C6">
              <w:rPr>
                <w:rFonts w:cs="Arial"/>
                <w:sz w:val="22"/>
                <w:szCs w:val="22"/>
              </w:rPr>
              <w:t>Environmental and Social Report</w:t>
            </w:r>
          </w:p>
        </w:tc>
      </w:tr>
      <w:tr w:rsidR="0058760A" w:rsidRPr="00EE43C6" w14:paraId="679498D7" w14:textId="77777777" w:rsidTr="5F58EB95">
        <w:tc>
          <w:tcPr>
            <w:tcW w:w="2980" w:type="dxa"/>
          </w:tcPr>
          <w:p w14:paraId="1936F68D" w14:textId="52654F16" w:rsidR="0058760A" w:rsidRPr="00EE43C6" w:rsidRDefault="0058760A"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ESS</w:t>
            </w:r>
          </w:p>
        </w:tc>
        <w:tc>
          <w:tcPr>
            <w:tcW w:w="0" w:type="auto"/>
          </w:tcPr>
          <w:p w14:paraId="6C9D3F5C" w14:textId="18322680" w:rsidR="0058760A" w:rsidRPr="00EE43C6" w:rsidRDefault="008B0A6E"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Environmental and Social Standard</w:t>
            </w:r>
          </w:p>
        </w:tc>
      </w:tr>
      <w:tr w:rsidR="00066B67" w:rsidRPr="00EE43C6" w14:paraId="62FB20DA" w14:textId="77777777" w:rsidTr="5F58EB95">
        <w:tc>
          <w:tcPr>
            <w:tcW w:w="2980" w:type="dxa"/>
            <w:hideMark/>
          </w:tcPr>
          <w:p w14:paraId="3889F4D4" w14:textId="7FC6BF6C"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FI</w:t>
            </w:r>
          </w:p>
        </w:tc>
        <w:tc>
          <w:tcPr>
            <w:tcW w:w="0" w:type="auto"/>
            <w:hideMark/>
          </w:tcPr>
          <w:p w14:paraId="1F8240C2" w14:textId="5A24A53E"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Financial Intermediary</w:t>
            </w:r>
          </w:p>
        </w:tc>
      </w:tr>
      <w:tr w:rsidR="006C6D1D" w:rsidRPr="00EE43C6" w14:paraId="4C8CBE85" w14:textId="77777777" w:rsidTr="5F58EB95">
        <w:tc>
          <w:tcPr>
            <w:tcW w:w="2980" w:type="dxa"/>
          </w:tcPr>
          <w:p w14:paraId="3431614A" w14:textId="4B78DB36" w:rsidR="006C6D1D" w:rsidRPr="00EE43C6" w:rsidRDefault="006C6D1D"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GHG</w:t>
            </w:r>
          </w:p>
        </w:tc>
        <w:tc>
          <w:tcPr>
            <w:tcW w:w="0" w:type="auto"/>
          </w:tcPr>
          <w:p w14:paraId="656E1E49" w14:textId="3DF3E942" w:rsidR="006C6D1D" w:rsidRPr="00EE43C6" w:rsidRDefault="006C6D1D"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Greenhouse Gas</w:t>
            </w:r>
          </w:p>
        </w:tc>
      </w:tr>
      <w:tr w:rsidR="00601C95" w:rsidRPr="00EE43C6" w14:paraId="2F081588" w14:textId="77777777" w:rsidTr="5F58EB95">
        <w:tc>
          <w:tcPr>
            <w:tcW w:w="2980" w:type="dxa"/>
          </w:tcPr>
          <w:p w14:paraId="125D61DC" w14:textId="77777777" w:rsidR="00601C95" w:rsidRPr="00EE43C6" w:rsidRDefault="00601C95"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GM</w:t>
            </w:r>
          </w:p>
          <w:p w14:paraId="4DCA800C" w14:textId="7B8284F0" w:rsidR="00167F1A" w:rsidRPr="00EE43C6" w:rsidRDefault="00167F1A"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HSE</w:t>
            </w:r>
          </w:p>
        </w:tc>
        <w:tc>
          <w:tcPr>
            <w:tcW w:w="0" w:type="auto"/>
          </w:tcPr>
          <w:p w14:paraId="1C55115D" w14:textId="77777777" w:rsidR="00601C95" w:rsidRPr="00EE43C6" w:rsidRDefault="007175F0"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Grievance Mechanism</w:t>
            </w:r>
          </w:p>
          <w:p w14:paraId="6C9F1C28" w14:textId="0EED7BF7" w:rsidR="00167F1A" w:rsidRPr="00EE43C6" w:rsidRDefault="00167F1A"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Health and Safety Executive</w:t>
            </w:r>
          </w:p>
        </w:tc>
      </w:tr>
      <w:tr w:rsidR="00724EFB" w:rsidRPr="00724EFB" w14:paraId="510CD1D4" w14:textId="77777777" w:rsidTr="5F58EB95">
        <w:tc>
          <w:tcPr>
            <w:tcW w:w="2980" w:type="dxa"/>
          </w:tcPr>
          <w:p w14:paraId="4A71576D" w14:textId="7B6CF63F" w:rsidR="00724EFB" w:rsidRPr="004C60B9" w:rsidRDefault="00724EFB" w:rsidP="00066B67">
            <w:pPr>
              <w:spacing w:before="40" w:after="40" w:line="240" w:lineRule="auto"/>
              <w:jc w:val="left"/>
              <w:textAlignment w:val="baseline"/>
              <w:rPr>
                <w:rFonts w:cs="Arial"/>
                <w:sz w:val="22"/>
                <w:lang w:eastAsia="tr-TR"/>
              </w:rPr>
            </w:pPr>
            <w:r w:rsidRPr="00946C02">
              <w:rPr>
                <w:rFonts w:cs="Arial"/>
                <w:lang w:eastAsia="tr-TR"/>
              </w:rPr>
              <w:t>HV/LV</w:t>
            </w:r>
          </w:p>
        </w:tc>
        <w:tc>
          <w:tcPr>
            <w:tcW w:w="0" w:type="auto"/>
          </w:tcPr>
          <w:p w14:paraId="7933BDFF" w14:textId="0913937E" w:rsidR="00724EFB" w:rsidRPr="004C60B9" w:rsidRDefault="00804960" w:rsidP="000541E3">
            <w:pPr>
              <w:spacing w:before="40" w:after="40" w:line="240" w:lineRule="auto"/>
              <w:jc w:val="left"/>
              <w:textAlignment w:val="baseline"/>
              <w:rPr>
                <w:rFonts w:cs="Arial"/>
                <w:sz w:val="22"/>
                <w:lang w:eastAsia="tr-TR"/>
              </w:rPr>
            </w:pPr>
            <w:r w:rsidRPr="00804960">
              <w:rPr>
                <w:rFonts w:cs="Arial"/>
                <w:sz w:val="22"/>
                <w:lang w:eastAsia="tr-TR"/>
              </w:rPr>
              <w:t>High Voltage and Low Voltage</w:t>
            </w:r>
          </w:p>
        </w:tc>
      </w:tr>
      <w:tr w:rsidR="00066B67" w:rsidRPr="00EE43C6" w14:paraId="45302E19" w14:textId="77777777" w:rsidTr="5F58EB95">
        <w:tc>
          <w:tcPr>
            <w:tcW w:w="2980" w:type="dxa"/>
            <w:hideMark/>
          </w:tcPr>
          <w:p w14:paraId="0CAB90F1" w14:textId="5C08D58D"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IFC</w:t>
            </w:r>
          </w:p>
        </w:tc>
        <w:tc>
          <w:tcPr>
            <w:tcW w:w="0" w:type="auto"/>
            <w:hideMark/>
          </w:tcPr>
          <w:p w14:paraId="2CE41617" w14:textId="4922928C"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International Finance Corporation</w:t>
            </w:r>
          </w:p>
        </w:tc>
      </w:tr>
      <w:tr w:rsidR="00066B67" w:rsidRPr="00EE43C6" w14:paraId="1482428B" w14:textId="77777777" w:rsidTr="5F58EB95">
        <w:tc>
          <w:tcPr>
            <w:tcW w:w="2980" w:type="dxa"/>
            <w:hideMark/>
          </w:tcPr>
          <w:p w14:paraId="64654255" w14:textId="59F5661A"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ILO</w:t>
            </w:r>
          </w:p>
        </w:tc>
        <w:tc>
          <w:tcPr>
            <w:tcW w:w="0" w:type="auto"/>
            <w:hideMark/>
          </w:tcPr>
          <w:p w14:paraId="1BAE9B23" w14:textId="4E5CD69B"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International Labour Organization</w:t>
            </w:r>
          </w:p>
        </w:tc>
      </w:tr>
      <w:tr w:rsidR="00066B67" w:rsidRPr="00EE43C6" w14:paraId="42676D35" w14:textId="77777777" w:rsidTr="5F58EB95">
        <w:tc>
          <w:tcPr>
            <w:tcW w:w="2980" w:type="dxa"/>
            <w:hideMark/>
          </w:tcPr>
          <w:p w14:paraId="643F8425" w14:textId="365AD228"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IUCN</w:t>
            </w:r>
          </w:p>
        </w:tc>
        <w:tc>
          <w:tcPr>
            <w:tcW w:w="0" w:type="auto"/>
            <w:hideMark/>
          </w:tcPr>
          <w:p w14:paraId="73BD5B60" w14:textId="5AA1D8AA"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International Union for Conservation of Nature and Natural Resources</w:t>
            </w:r>
          </w:p>
        </w:tc>
      </w:tr>
      <w:tr w:rsidR="00515895" w:rsidRPr="00EE43C6" w14:paraId="5C36C3AD" w14:textId="77777777" w:rsidTr="5F58EB95">
        <w:tc>
          <w:tcPr>
            <w:tcW w:w="2980" w:type="dxa"/>
          </w:tcPr>
          <w:p w14:paraId="511425E8" w14:textId="4FF00285" w:rsidR="00EF3036" w:rsidRPr="00EE43C6" w:rsidRDefault="00EF3036"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 xml:space="preserve">KBA </w:t>
            </w:r>
          </w:p>
        </w:tc>
        <w:tc>
          <w:tcPr>
            <w:tcW w:w="0" w:type="auto"/>
          </w:tcPr>
          <w:p w14:paraId="0CFF17E4" w14:textId="33B1DF7B" w:rsidR="00EF3036" w:rsidRPr="00EE43C6" w:rsidRDefault="00EF3036"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Key Biodiversity Area</w:t>
            </w:r>
          </w:p>
        </w:tc>
      </w:tr>
      <w:tr w:rsidR="00066B67" w:rsidRPr="00EE43C6" w14:paraId="6FFA8C97" w14:textId="77777777" w:rsidTr="5F58EB95">
        <w:tc>
          <w:tcPr>
            <w:tcW w:w="2980" w:type="dxa"/>
            <w:hideMark/>
          </w:tcPr>
          <w:p w14:paraId="14D5637F" w14:textId="553D12C9"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KPI</w:t>
            </w:r>
          </w:p>
        </w:tc>
        <w:tc>
          <w:tcPr>
            <w:tcW w:w="0" w:type="auto"/>
            <w:hideMark/>
          </w:tcPr>
          <w:p w14:paraId="5956BF6D" w14:textId="0E01E23B"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Key Performance Indicators</w:t>
            </w:r>
          </w:p>
        </w:tc>
      </w:tr>
      <w:tr w:rsidR="006C6D1D" w:rsidRPr="00EE43C6" w14:paraId="051982A8" w14:textId="77777777" w:rsidTr="5F58EB95">
        <w:tc>
          <w:tcPr>
            <w:tcW w:w="2980" w:type="dxa"/>
          </w:tcPr>
          <w:p w14:paraId="1360DF73" w14:textId="2161DCBB" w:rsidR="006C6D1D" w:rsidRPr="00EE43C6" w:rsidRDefault="006C6D1D"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LMP</w:t>
            </w:r>
          </w:p>
        </w:tc>
        <w:tc>
          <w:tcPr>
            <w:tcW w:w="0" w:type="auto"/>
          </w:tcPr>
          <w:p w14:paraId="0668FF5F" w14:textId="728AD347" w:rsidR="006C6D1D" w:rsidRPr="00EE43C6" w:rsidRDefault="0026094F"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 xml:space="preserve">Labor Management </w:t>
            </w:r>
            <w:r w:rsidR="00FC4B39" w:rsidRPr="00EE43C6">
              <w:rPr>
                <w:rFonts w:cs="Arial"/>
                <w:sz w:val="22"/>
                <w:szCs w:val="22"/>
                <w:lang w:eastAsia="tr-TR"/>
              </w:rPr>
              <w:t>P</w:t>
            </w:r>
            <w:r w:rsidR="00C473B7">
              <w:rPr>
                <w:rFonts w:cs="Arial"/>
                <w:sz w:val="22"/>
                <w:szCs w:val="22"/>
                <w:lang w:eastAsia="tr-TR"/>
              </w:rPr>
              <w:t>lan</w:t>
            </w:r>
          </w:p>
        </w:tc>
      </w:tr>
      <w:tr w:rsidR="00066B67" w:rsidRPr="00EE43C6" w14:paraId="3989280C" w14:textId="77777777" w:rsidTr="5F58EB95">
        <w:tc>
          <w:tcPr>
            <w:tcW w:w="2980" w:type="dxa"/>
            <w:hideMark/>
          </w:tcPr>
          <w:p w14:paraId="79F06E72" w14:textId="4BDFA335"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MoEUCC</w:t>
            </w:r>
          </w:p>
        </w:tc>
        <w:tc>
          <w:tcPr>
            <w:tcW w:w="0" w:type="auto"/>
            <w:hideMark/>
          </w:tcPr>
          <w:p w14:paraId="17C9F358" w14:textId="79509732"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Ministry of Environment, Urbanization and Climate Change</w:t>
            </w:r>
          </w:p>
        </w:tc>
      </w:tr>
      <w:tr w:rsidR="00EE5A96" w:rsidRPr="00EE43C6" w14:paraId="7A241D3D" w14:textId="77777777" w:rsidTr="5F58EB95">
        <w:tc>
          <w:tcPr>
            <w:tcW w:w="2980" w:type="dxa"/>
          </w:tcPr>
          <w:p w14:paraId="1968A831" w14:textId="77F601C4" w:rsidR="00EE5A96" w:rsidRPr="00EE43C6" w:rsidRDefault="00EE5A96">
            <w:pPr>
              <w:spacing w:before="40" w:after="40" w:line="240" w:lineRule="auto"/>
              <w:jc w:val="left"/>
              <w:textAlignment w:val="baseline"/>
              <w:rPr>
                <w:rFonts w:cs="Arial"/>
                <w:sz w:val="22"/>
                <w:szCs w:val="22"/>
                <w:lang w:eastAsia="tr-TR"/>
              </w:rPr>
            </w:pPr>
            <w:r w:rsidRPr="00EE43C6">
              <w:rPr>
                <w:rFonts w:cs="Arial"/>
                <w:sz w:val="22"/>
                <w:szCs w:val="22"/>
                <w:lang w:eastAsia="tr-TR"/>
              </w:rPr>
              <w:t>MoIT</w:t>
            </w:r>
          </w:p>
        </w:tc>
        <w:tc>
          <w:tcPr>
            <w:tcW w:w="0" w:type="auto"/>
          </w:tcPr>
          <w:p w14:paraId="5F0912D3" w14:textId="4EDABB29" w:rsidR="00EE5A96" w:rsidRPr="00EE43C6" w:rsidRDefault="00EE5A96" w:rsidP="0095581C">
            <w:pPr>
              <w:spacing w:before="40" w:after="40" w:line="240" w:lineRule="auto"/>
              <w:jc w:val="left"/>
              <w:textAlignment w:val="baseline"/>
              <w:rPr>
                <w:rFonts w:cs="Arial"/>
                <w:sz w:val="22"/>
                <w:szCs w:val="22"/>
                <w:lang w:eastAsia="tr-TR"/>
              </w:rPr>
            </w:pPr>
            <w:r w:rsidRPr="00EE43C6">
              <w:rPr>
                <w:rFonts w:cs="Arial"/>
                <w:sz w:val="22"/>
                <w:szCs w:val="22"/>
                <w:lang w:eastAsia="tr-TR"/>
              </w:rPr>
              <w:t>Ministry of Industry and Technology</w:t>
            </w:r>
          </w:p>
        </w:tc>
      </w:tr>
      <w:tr w:rsidR="00CC66CF" w:rsidRPr="00EE43C6" w14:paraId="09168757" w14:textId="77777777" w:rsidTr="5F58EB95">
        <w:tc>
          <w:tcPr>
            <w:tcW w:w="2980" w:type="dxa"/>
          </w:tcPr>
          <w:p w14:paraId="0F00F6BA" w14:textId="19121F57" w:rsidR="00CC66CF" w:rsidRPr="00EE43C6" w:rsidRDefault="00CC66CF">
            <w:pPr>
              <w:spacing w:before="40" w:after="40" w:line="240" w:lineRule="auto"/>
              <w:jc w:val="left"/>
              <w:textAlignment w:val="baseline"/>
              <w:rPr>
                <w:rFonts w:cs="Arial"/>
                <w:sz w:val="22"/>
                <w:szCs w:val="22"/>
                <w:lang w:eastAsia="tr-TR"/>
              </w:rPr>
            </w:pPr>
            <w:r w:rsidRPr="00EE43C6">
              <w:rPr>
                <w:rFonts w:cs="Arial"/>
                <w:sz w:val="22"/>
                <w:szCs w:val="22"/>
                <w:lang w:eastAsia="tr-TR"/>
              </w:rPr>
              <w:t>MTA</w:t>
            </w:r>
          </w:p>
        </w:tc>
        <w:tc>
          <w:tcPr>
            <w:tcW w:w="0" w:type="auto"/>
          </w:tcPr>
          <w:p w14:paraId="330605BA" w14:textId="2732F148" w:rsidR="00CC66CF" w:rsidRPr="00EE43C6" w:rsidRDefault="00DD0169" w:rsidP="0095581C">
            <w:pPr>
              <w:spacing w:before="40" w:after="40" w:line="240" w:lineRule="auto"/>
              <w:jc w:val="left"/>
              <w:textAlignment w:val="baseline"/>
              <w:rPr>
                <w:rFonts w:cs="Arial"/>
                <w:sz w:val="22"/>
                <w:szCs w:val="22"/>
                <w:lang w:eastAsia="tr-TR"/>
              </w:rPr>
            </w:pPr>
            <w:r w:rsidRPr="00EE43C6">
              <w:rPr>
                <w:rFonts w:cs="Arial"/>
                <w:sz w:val="22"/>
                <w:szCs w:val="22"/>
                <w:lang w:eastAsia="tr-TR"/>
              </w:rPr>
              <w:t xml:space="preserve">General Directorate of </w:t>
            </w:r>
            <w:r w:rsidR="000545EB" w:rsidRPr="00EE43C6">
              <w:rPr>
                <w:rFonts w:cs="Arial"/>
                <w:sz w:val="22"/>
                <w:szCs w:val="22"/>
                <w:lang w:eastAsia="tr-TR"/>
              </w:rPr>
              <w:t>Mineral Research and Exploration</w:t>
            </w:r>
          </w:p>
        </w:tc>
      </w:tr>
      <w:tr w:rsidR="00066B67" w:rsidRPr="00EE43C6" w14:paraId="09701958" w14:textId="77777777" w:rsidTr="5F58EB95">
        <w:tc>
          <w:tcPr>
            <w:tcW w:w="2980" w:type="dxa"/>
            <w:hideMark/>
          </w:tcPr>
          <w:p w14:paraId="5DD22D39" w14:textId="5D84F547"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NCR</w:t>
            </w:r>
          </w:p>
        </w:tc>
        <w:tc>
          <w:tcPr>
            <w:tcW w:w="0" w:type="auto"/>
            <w:hideMark/>
          </w:tcPr>
          <w:p w14:paraId="631DCDE1" w14:textId="23C547FC"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Non-Conformance Report</w:t>
            </w:r>
          </w:p>
        </w:tc>
      </w:tr>
      <w:tr w:rsidR="00066B67" w:rsidRPr="00EE43C6" w14:paraId="3F56C870" w14:textId="77777777" w:rsidTr="5F58EB95">
        <w:tc>
          <w:tcPr>
            <w:tcW w:w="2980" w:type="dxa"/>
            <w:hideMark/>
          </w:tcPr>
          <w:p w14:paraId="2C88E7F6" w14:textId="50C29A81"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NGO</w:t>
            </w:r>
          </w:p>
        </w:tc>
        <w:tc>
          <w:tcPr>
            <w:tcW w:w="0" w:type="auto"/>
            <w:hideMark/>
          </w:tcPr>
          <w:p w14:paraId="1B379B8A" w14:textId="62675AE6"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Non-Governmental Organizations</w:t>
            </w:r>
          </w:p>
        </w:tc>
      </w:tr>
      <w:tr w:rsidR="00423B2C" w:rsidRPr="00EE43C6" w14:paraId="1D2FC26E" w14:textId="77777777" w:rsidTr="5F58EB95">
        <w:tc>
          <w:tcPr>
            <w:tcW w:w="2980" w:type="dxa"/>
          </w:tcPr>
          <w:p w14:paraId="0052D19A" w14:textId="355FB058" w:rsidR="00423B2C" w:rsidRPr="00EE43C6" w:rsidRDefault="00423B2C"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lastRenderedPageBreak/>
              <w:t>OG</w:t>
            </w:r>
          </w:p>
        </w:tc>
        <w:tc>
          <w:tcPr>
            <w:tcW w:w="0" w:type="auto"/>
          </w:tcPr>
          <w:p w14:paraId="043FC330" w14:textId="7330734C" w:rsidR="00423B2C" w:rsidRPr="00EE43C6" w:rsidRDefault="00180C51"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Official Gazette</w:t>
            </w:r>
          </w:p>
        </w:tc>
      </w:tr>
      <w:tr w:rsidR="00066B67" w:rsidRPr="00EE43C6" w14:paraId="46382F34" w14:textId="77777777" w:rsidTr="5F58EB95">
        <w:tc>
          <w:tcPr>
            <w:tcW w:w="2980" w:type="dxa"/>
            <w:hideMark/>
          </w:tcPr>
          <w:p w14:paraId="7F543937" w14:textId="54AE2E6A"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OHS</w:t>
            </w:r>
          </w:p>
        </w:tc>
        <w:tc>
          <w:tcPr>
            <w:tcW w:w="0" w:type="auto"/>
            <w:hideMark/>
          </w:tcPr>
          <w:p w14:paraId="5D23EC96" w14:textId="321706EB"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Occupational Health and Safety</w:t>
            </w:r>
          </w:p>
        </w:tc>
      </w:tr>
      <w:tr w:rsidR="00CA6F9A" w:rsidRPr="00EE43C6" w14:paraId="787F10A6" w14:textId="77777777" w:rsidTr="5F58EB95">
        <w:tc>
          <w:tcPr>
            <w:tcW w:w="2980" w:type="dxa"/>
          </w:tcPr>
          <w:p w14:paraId="34E5A6BB" w14:textId="4DE7EA31" w:rsidR="00CA6F9A" w:rsidRPr="00EE43C6" w:rsidRDefault="00CA6F9A"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OIZ</w:t>
            </w:r>
          </w:p>
        </w:tc>
        <w:tc>
          <w:tcPr>
            <w:tcW w:w="0" w:type="auto"/>
          </w:tcPr>
          <w:p w14:paraId="693A3138" w14:textId="67B03909" w:rsidR="00CA6F9A" w:rsidRPr="00EE43C6" w:rsidRDefault="00E12546"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Organized Industrial Zon</w:t>
            </w:r>
            <w:r w:rsidR="007528F5" w:rsidRPr="00EE43C6">
              <w:rPr>
                <w:rFonts w:cs="Arial"/>
                <w:sz w:val="22"/>
                <w:szCs w:val="22"/>
                <w:lang w:eastAsia="tr-TR"/>
              </w:rPr>
              <w:t>e</w:t>
            </w:r>
          </w:p>
        </w:tc>
      </w:tr>
      <w:tr w:rsidR="00066B67" w:rsidRPr="00EE43C6" w14:paraId="42E808E0" w14:textId="77777777" w:rsidTr="5F58EB95">
        <w:tc>
          <w:tcPr>
            <w:tcW w:w="2980" w:type="dxa"/>
            <w:hideMark/>
          </w:tcPr>
          <w:p w14:paraId="7477A944" w14:textId="39377366"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OP</w:t>
            </w:r>
          </w:p>
        </w:tc>
        <w:tc>
          <w:tcPr>
            <w:tcW w:w="0" w:type="auto"/>
            <w:hideMark/>
          </w:tcPr>
          <w:p w14:paraId="2DA58B91" w14:textId="4AE140F1"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Operational Polic</w:t>
            </w:r>
            <w:r w:rsidR="00646AD1" w:rsidRPr="00EE43C6">
              <w:rPr>
                <w:rFonts w:cs="Arial"/>
                <w:sz w:val="22"/>
                <w:szCs w:val="22"/>
                <w:lang w:eastAsia="tr-TR"/>
              </w:rPr>
              <w:t>y</w:t>
            </w:r>
          </w:p>
        </w:tc>
      </w:tr>
      <w:tr w:rsidR="008B3969" w:rsidRPr="00EE43C6" w14:paraId="6F3697F9" w14:textId="77777777" w:rsidTr="5F58EB95">
        <w:tc>
          <w:tcPr>
            <w:tcW w:w="2980" w:type="dxa"/>
          </w:tcPr>
          <w:p w14:paraId="3FEF7EF8" w14:textId="5E541C46" w:rsidR="008B3969" w:rsidRPr="00EE43C6" w:rsidRDefault="008B3969"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PIU</w:t>
            </w:r>
          </w:p>
        </w:tc>
        <w:tc>
          <w:tcPr>
            <w:tcW w:w="0" w:type="auto"/>
          </w:tcPr>
          <w:p w14:paraId="61E6D2EC" w14:textId="2E3627D0" w:rsidR="008B3969" w:rsidRPr="00EE43C6" w:rsidRDefault="008B3969"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Project Implementation Unit</w:t>
            </w:r>
          </w:p>
        </w:tc>
      </w:tr>
      <w:tr w:rsidR="00953A09" w:rsidRPr="00EE43C6" w14:paraId="2F34190D" w14:textId="77777777" w:rsidTr="5F58EB95">
        <w:tc>
          <w:tcPr>
            <w:tcW w:w="2980" w:type="dxa"/>
          </w:tcPr>
          <w:p w14:paraId="7949D74A" w14:textId="4E49CCF1" w:rsidR="00953A09" w:rsidRPr="00EE43C6" w:rsidRDefault="00953A09"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PM</w:t>
            </w:r>
          </w:p>
        </w:tc>
        <w:tc>
          <w:tcPr>
            <w:tcW w:w="0" w:type="auto"/>
          </w:tcPr>
          <w:p w14:paraId="20D53A8E" w14:textId="33F6EAC3" w:rsidR="00953A09" w:rsidRPr="00EE43C6" w:rsidRDefault="00953A09"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Particulate Matter</w:t>
            </w:r>
          </w:p>
        </w:tc>
      </w:tr>
      <w:tr w:rsidR="008B3969" w:rsidRPr="00EE43C6" w14:paraId="1D1150A1" w14:textId="77777777" w:rsidTr="5F58EB95">
        <w:tc>
          <w:tcPr>
            <w:tcW w:w="2980" w:type="dxa"/>
          </w:tcPr>
          <w:p w14:paraId="02F470C6" w14:textId="114C18E6" w:rsidR="008B3969" w:rsidRPr="00EE43C6" w:rsidRDefault="008B3969">
            <w:pPr>
              <w:spacing w:before="40" w:after="40" w:line="240" w:lineRule="auto"/>
              <w:jc w:val="left"/>
              <w:textAlignment w:val="baseline"/>
              <w:rPr>
                <w:rFonts w:cs="Arial"/>
                <w:sz w:val="22"/>
                <w:szCs w:val="22"/>
                <w:lang w:eastAsia="tr-TR"/>
              </w:rPr>
            </w:pPr>
            <w:r w:rsidRPr="00EE43C6">
              <w:rPr>
                <w:rFonts w:cs="Arial"/>
                <w:sz w:val="22"/>
                <w:szCs w:val="22"/>
                <w:lang w:eastAsia="tr-TR"/>
              </w:rPr>
              <w:t>PMU</w:t>
            </w:r>
          </w:p>
        </w:tc>
        <w:tc>
          <w:tcPr>
            <w:tcW w:w="0" w:type="auto"/>
          </w:tcPr>
          <w:p w14:paraId="76971519" w14:textId="2F63DC70" w:rsidR="008B3969" w:rsidRPr="00EE43C6" w:rsidRDefault="008B3969" w:rsidP="0095581C">
            <w:pPr>
              <w:spacing w:before="40" w:after="40" w:line="240" w:lineRule="auto"/>
              <w:jc w:val="left"/>
              <w:textAlignment w:val="baseline"/>
              <w:rPr>
                <w:rFonts w:cs="Arial"/>
                <w:sz w:val="22"/>
                <w:szCs w:val="22"/>
                <w:lang w:eastAsia="tr-TR"/>
              </w:rPr>
            </w:pPr>
            <w:r w:rsidRPr="00EE43C6">
              <w:rPr>
                <w:rFonts w:cs="Arial"/>
                <w:sz w:val="22"/>
                <w:szCs w:val="22"/>
                <w:lang w:eastAsia="tr-TR"/>
              </w:rPr>
              <w:t>Project Management Unit</w:t>
            </w:r>
          </w:p>
        </w:tc>
      </w:tr>
      <w:tr w:rsidR="00066B67" w:rsidRPr="00EE43C6" w14:paraId="52699A34" w14:textId="77777777" w:rsidTr="5F58EB95">
        <w:tc>
          <w:tcPr>
            <w:tcW w:w="2980" w:type="dxa"/>
            <w:hideMark/>
          </w:tcPr>
          <w:p w14:paraId="04EEE312" w14:textId="1F52D032"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PPE</w:t>
            </w:r>
          </w:p>
        </w:tc>
        <w:tc>
          <w:tcPr>
            <w:tcW w:w="0" w:type="auto"/>
            <w:hideMark/>
          </w:tcPr>
          <w:p w14:paraId="5B89D97E" w14:textId="1B22741D"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Personal Protective Equipment</w:t>
            </w:r>
          </w:p>
        </w:tc>
      </w:tr>
      <w:tr w:rsidR="00066B67" w:rsidRPr="00EE43C6" w14:paraId="4592CB59" w14:textId="77777777" w:rsidTr="5F58EB95">
        <w:tc>
          <w:tcPr>
            <w:tcW w:w="2980" w:type="dxa"/>
          </w:tcPr>
          <w:p w14:paraId="4C3E391B" w14:textId="7E85B5F8"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RP</w:t>
            </w:r>
          </w:p>
        </w:tc>
        <w:tc>
          <w:tcPr>
            <w:tcW w:w="0" w:type="auto"/>
          </w:tcPr>
          <w:p w14:paraId="0A219661" w14:textId="6AA2D856"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Resettlement Plan</w:t>
            </w:r>
          </w:p>
        </w:tc>
      </w:tr>
      <w:tr w:rsidR="00CE7CF0" w:rsidRPr="00EE43C6" w14:paraId="643D1A45" w14:textId="77777777" w:rsidTr="5F58EB95">
        <w:tc>
          <w:tcPr>
            <w:tcW w:w="2980" w:type="dxa"/>
          </w:tcPr>
          <w:p w14:paraId="272F2797" w14:textId="77777777" w:rsidR="00CE7CF0" w:rsidRPr="00EE43C6" w:rsidRDefault="00CE7CF0">
            <w:pPr>
              <w:spacing w:before="40" w:after="40" w:line="240" w:lineRule="auto"/>
              <w:jc w:val="left"/>
              <w:textAlignment w:val="baseline"/>
              <w:rPr>
                <w:rFonts w:cs="Arial"/>
                <w:sz w:val="22"/>
                <w:szCs w:val="22"/>
              </w:rPr>
            </w:pPr>
            <w:r w:rsidRPr="00EE43C6">
              <w:rPr>
                <w:rFonts w:cs="Arial"/>
                <w:sz w:val="22"/>
                <w:szCs w:val="22"/>
              </w:rPr>
              <w:t>RoCAN</w:t>
            </w:r>
          </w:p>
        </w:tc>
        <w:tc>
          <w:tcPr>
            <w:tcW w:w="0" w:type="auto"/>
          </w:tcPr>
          <w:p w14:paraId="570E8CD1" w14:textId="77777777" w:rsidR="00CE7CF0" w:rsidRPr="00EE43C6" w:rsidRDefault="00CE7CF0">
            <w:pPr>
              <w:spacing w:before="40" w:after="40" w:line="240" w:lineRule="auto"/>
              <w:jc w:val="left"/>
              <w:textAlignment w:val="baseline"/>
              <w:rPr>
                <w:rFonts w:cs="Arial"/>
                <w:sz w:val="22"/>
                <w:szCs w:val="22"/>
              </w:rPr>
            </w:pPr>
            <w:r w:rsidRPr="00EE43C6">
              <w:rPr>
                <w:rFonts w:cs="Arial"/>
                <w:sz w:val="22"/>
                <w:szCs w:val="22"/>
              </w:rPr>
              <w:t>Regulation on Control of Ambient Noise</w:t>
            </w:r>
          </w:p>
        </w:tc>
      </w:tr>
      <w:tr w:rsidR="00112A38" w:rsidRPr="00EE43C6" w14:paraId="024EAF9C" w14:textId="77777777" w:rsidTr="5F58EB95">
        <w:tc>
          <w:tcPr>
            <w:tcW w:w="2980" w:type="dxa"/>
          </w:tcPr>
          <w:p w14:paraId="0FD88829" w14:textId="77777777" w:rsidR="00112A38" w:rsidRPr="00EE43C6" w:rsidRDefault="00112A38">
            <w:pPr>
              <w:spacing w:before="40" w:after="40" w:line="240" w:lineRule="auto"/>
              <w:jc w:val="left"/>
              <w:textAlignment w:val="baseline"/>
              <w:rPr>
                <w:rFonts w:cs="Arial"/>
                <w:sz w:val="22"/>
                <w:szCs w:val="22"/>
                <w:lang w:eastAsia="tr-TR"/>
              </w:rPr>
            </w:pPr>
            <w:r w:rsidRPr="00EE43C6">
              <w:rPr>
                <w:rFonts w:cs="Arial"/>
                <w:sz w:val="22"/>
                <w:szCs w:val="22"/>
                <w:lang w:eastAsia="tr-TR"/>
              </w:rPr>
              <w:t>RoCIAP</w:t>
            </w:r>
          </w:p>
        </w:tc>
        <w:tc>
          <w:tcPr>
            <w:tcW w:w="0" w:type="auto"/>
          </w:tcPr>
          <w:p w14:paraId="00EC3F8D" w14:textId="77777777" w:rsidR="00112A38" w:rsidRPr="00EE43C6" w:rsidRDefault="00112A38">
            <w:pPr>
              <w:spacing w:before="40" w:after="40" w:line="240" w:lineRule="auto"/>
              <w:jc w:val="left"/>
              <w:textAlignment w:val="baseline"/>
              <w:rPr>
                <w:rFonts w:cs="Arial"/>
                <w:sz w:val="22"/>
                <w:szCs w:val="22"/>
                <w:lang w:eastAsia="tr-TR"/>
              </w:rPr>
            </w:pPr>
            <w:r w:rsidRPr="00EE43C6">
              <w:rPr>
                <w:rFonts w:cs="Arial"/>
                <w:sz w:val="22"/>
                <w:szCs w:val="22"/>
                <w:lang w:eastAsia="tr-TR"/>
              </w:rPr>
              <w:t>Regulation on Control of Industrial Air Pollution</w:t>
            </w:r>
          </w:p>
        </w:tc>
      </w:tr>
      <w:tr w:rsidR="00112A38" w:rsidRPr="00EE43C6" w14:paraId="29B10537" w14:textId="77777777" w:rsidTr="5F58EB95">
        <w:tc>
          <w:tcPr>
            <w:tcW w:w="2980" w:type="dxa"/>
          </w:tcPr>
          <w:p w14:paraId="7326E272" w14:textId="77777777" w:rsidR="00112A38" w:rsidRPr="00EE43C6" w:rsidRDefault="00112A38">
            <w:pPr>
              <w:spacing w:before="40" w:after="40" w:line="240" w:lineRule="auto"/>
              <w:jc w:val="left"/>
              <w:textAlignment w:val="baseline"/>
              <w:rPr>
                <w:rFonts w:cs="Arial"/>
                <w:sz w:val="22"/>
                <w:szCs w:val="22"/>
                <w:lang w:eastAsia="tr-TR"/>
              </w:rPr>
            </w:pPr>
            <w:r w:rsidRPr="00EE43C6">
              <w:rPr>
                <w:rFonts w:cs="Arial"/>
                <w:sz w:val="22"/>
                <w:szCs w:val="22"/>
                <w:lang w:eastAsia="tr-TR"/>
              </w:rPr>
              <w:t>RoCWP</w:t>
            </w:r>
          </w:p>
        </w:tc>
        <w:tc>
          <w:tcPr>
            <w:tcW w:w="0" w:type="auto"/>
          </w:tcPr>
          <w:p w14:paraId="35CA371C" w14:textId="77777777" w:rsidR="00112A38" w:rsidRPr="00EE43C6" w:rsidRDefault="00112A38">
            <w:pPr>
              <w:spacing w:before="40" w:after="40" w:line="240" w:lineRule="auto"/>
              <w:jc w:val="left"/>
              <w:textAlignment w:val="baseline"/>
              <w:rPr>
                <w:rFonts w:cs="Arial"/>
                <w:sz w:val="22"/>
                <w:szCs w:val="22"/>
                <w:lang w:eastAsia="tr-TR"/>
              </w:rPr>
            </w:pPr>
            <w:r w:rsidRPr="00EE43C6">
              <w:rPr>
                <w:rFonts w:cs="Arial"/>
                <w:sz w:val="22"/>
                <w:szCs w:val="22"/>
                <w:lang w:eastAsia="tr-TR"/>
              </w:rPr>
              <w:t>Regulation on Control of Water Pollution</w:t>
            </w:r>
          </w:p>
        </w:tc>
      </w:tr>
      <w:tr w:rsidR="008A3F5F" w:rsidRPr="00EE43C6" w14:paraId="5D844504" w14:textId="77777777" w:rsidTr="5F58EB95">
        <w:tc>
          <w:tcPr>
            <w:tcW w:w="2980" w:type="dxa"/>
          </w:tcPr>
          <w:p w14:paraId="4BE80CCF" w14:textId="73B93430" w:rsidR="008A3F5F" w:rsidRPr="00EE43C6" w:rsidRDefault="008A3F5F"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SCADA</w:t>
            </w:r>
          </w:p>
        </w:tc>
        <w:tc>
          <w:tcPr>
            <w:tcW w:w="0" w:type="auto"/>
          </w:tcPr>
          <w:p w14:paraId="20404ADA" w14:textId="36E24F9C" w:rsidR="008A3F5F" w:rsidRPr="00EE43C6" w:rsidRDefault="008A3F5F"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Supervisory Control and Data Acquisition</w:t>
            </w:r>
          </w:p>
        </w:tc>
      </w:tr>
      <w:tr w:rsidR="005E2719" w:rsidRPr="00EE43C6" w14:paraId="3DC039E6" w14:textId="77777777" w:rsidTr="5F58EB95">
        <w:tc>
          <w:tcPr>
            <w:tcW w:w="2980" w:type="dxa"/>
          </w:tcPr>
          <w:p w14:paraId="55D7778C" w14:textId="03EEAD47" w:rsidR="005E2719" w:rsidRPr="00EE43C6" w:rsidRDefault="005E2719">
            <w:pPr>
              <w:spacing w:before="40" w:after="40" w:line="240" w:lineRule="auto"/>
              <w:jc w:val="left"/>
              <w:textAlignment w:val="baseline"/>
              <w:rPr>
                <w:rFonts w:cs="Arial"/>
                <w:sz w:val="22"/>
                <w:szCs w:val="22"/>
                <w:lang w:eastAsia="tr-TR"/>
              </w:rPr>
            </w:pPr>
            <w:r w:rsidRPr="00EE43C6">
              <w:rPr>
                <w:rFonts w:cs="Arial"/>
                <w:sz w:val="22"/>
                <w:szCs w:val="22"/>
                <w:lang w:eastAsia="tr-TR"/>
              </w:rPr>
              <w:t>SEA/SH</w:t>
            </w:r>
          </w:p>
        </w:tc>
        <w:tc>
          <w:tcPr>
            <w:tcW w:w="0" w:type="auto"/>
          </w:tcPr>
          <w:p w14:paraId="46120E6D" w14:textId="367CB3BC" w:rsidR="005E2719" w:rsidRPr="00EE43C6" w:rsidRDefault="005E2719" w:rsidP="0095581C">
            <w:pPr>
              <w:spacing w:before="40" w:after="40" w:line="240" w:lineRule="auto"/>
              <w:jc w:val="left"/>
              <w:textAlignment w:val="baseline"/>
              <w:rPr>
                <w:rFonts w:cs="Arial"/>
                <w:sz w:val="22"/>
                <w:szCs w:val="22"/>
                <w:lang w:eastAsia="tr-TR"/>
              </w:rPr>
            </w:pPr>
            <w:r w:rsidRPr="00EE43C6">
              <w:rPr>
                <w:rFonts w:cs="Arial"/>
                <w:sz w:val="22"/>
                <w:szCs w:val="22"/>
                <w:lang w:eastAsia="tr-TR"/>
              </w:rPr>
              <w:t>Sexual Exploitation and Abuse/Sexual Harassment</w:t>
            </w:r>
          </w:p>
        </w:tc>
      </w:tr>
      <w:tr w:rsidR="00066B67" w:rsidRPr="00EE43C6" w14:paraId="3FED9668" w14:textId="77777777" w:rsidTr="5F58EB95">
        <w:tc>
          <w:tcPr>
            <w:tcW w:w="2980" w:type="dxa"/>
            <w:hideMark/>
          </w:tcPr>
          <w:p w14:paraId="10192305" w14:textId="52063F86"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SEP</w:t>
            </w:r>
          </w:p>
        </w:tc>
        <w:tc>
          <w:tcPr>
            <w:tcW w:w="0" w:type="auto"/>
            <w:hideMark/>
          </w:tcPr>
          <w:p w14:paraId="2F6139A7" w14:textId="4224EFD9"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Stakeholder Engagement Plan</w:t>
            </w:r>
          </w:p>
        </w:tc>
      </w:tr>
      <w:tr w:rsidR="0083446B" w:rsidRPr="00EE43C6" w14:paraId="7FC28550" w14:textId="77777777" w:rsidTr="5F58EB95">
        <w:tc>
          <w:tcPr>
            <w:tcW w:w="2980" w:type="dxa"/>
          </w:tcPr>
          <w:p w14:paraId="4AE03B67" w14:textId="6AF98016" w:rsidR="0083446B" w:rsidRPr="00EE43C6" w:rsidRDefault="0083446B"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TKN</w:t>
            </w:r>
          </w:p>
        </w:tc>
        <w:tc>
          <w:tcPr>
            <w:tcW w:w="0" w:type="auto"/>
          </w:tcPr>
          <w:p w14:paraId="1753AA8C" w14:textId="00F91282" w:rsidR="0083446B" w:rsidRPr="00EE43C6" w:rsidRDefault="00A16A83"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Total Kjeldahl Nitrogen</w:t>
            </w:r>
          </w:p>
        </w:tc>
      </w:tr>
      <w:tr w:rsidR="00737089" w:rsidRPr="00EE43C6" w14:paraId="017B9907" w14:textId="77777777" w:rsidTr="5F58EB95">
        <w:tc>
          <w:tcPr>
            <w:tcW w:w="2980" w:type="dxa"/>
          </w:tcPr>
          <w:p w14:paraId="3DF4F2B8" w14:textId="7644E516" w:rsidR="00737089" w:rsidRPr="00EE43C6" w:rsidRDefault="00737089"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TOC</w:t>
            </w:r>
          </w:p>
        </w:tc>
        <w:tc>
          <w:tcPr>
            <w:tcW w:w="0" w:type="auto"/>
          </w:tcPr>
          <w:p w14:paraId="79104D8A" w14:textId="05A6D8E1" w:rsidR="00737089" w:rsidRPr="00EE43C6" w:rsidRDefault="00737089"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Total Organic Compounds</w:t>
            </w:r>
          </w:p>
        </w:tc>
      </w:tr>
      <w:tr w:rsidR="002166E7" w:rsidRPr="00E51005" w14:paraId="66115362" w14:textId="77777777" w:rsidTr="5F58EB95">
        <w:tc>
          <w:tcPr>
            <w:tcW w:w="2980" w:type="dxa"/>
          </w:tcPr>
          <w:p w14:paraId="04F1A74B" w14:textId="46C033FB" w:rsidR="002166E7" w:rsidRPr="00E51005" w:rsidRDefault="002166E7" w:rsidP="002166E7">
            <w:pPr>
              <w:spacing w:before="40" w:after="40" w:line="240" w:lineRule="auto"/>
              <w:jc w:val="left"/>
              <w:textAlignment w:val="baseline"/>
              <w:rPr>
                <w:rFonts w:cs="Arial"/>
                <w:sz w:val="22"/>
                <w:szCs w:val="28"/>
                <w:lang w:eastAsia="tr-TR"/>
              </w:rPr>
            </w:pPr>
            <w:r w:rsidRPr="00E51005">
              <w:rPr>
                <w:rFonts w:cs="Arial"/>
                <w:sz w:val="22"/>
                <w:szCs w:val="28"/>
                <w:lang w:val="en-US"/>
              </w:rPr>
              <w:t>TUIO</w:t>
            </w:r>
            <w:r w:rsidR="00F47ACC" w:rsidRPr="00E51005">
              <w:rPr>
                <w:rFonts w:cs="Arial"/>
                <w:sz w:val="22"/>
                <w:szCs w:val="28"/>
                <w:lang w:val="en-US"/>
              </w:rPr>
              <w:t>S</w:t>
            </w:r>
            <w:r w:rsidR="000D645F" w:rsidRPr="00E51005">
              <w:rPr>
                <w:rFonts w:cs="Arial"/>
                <w:sz w:val="22"/>
                <w:szCs w:val="28"/>
                <w:lang w:val="en-US"/>
              </w:rPr>
              <w:t>B</w:t>
            </w:r>
          </w:p>
        </w:tc>
        <w:tc>
          <w:tcPr>
            <w:tcW w:w="0" w:type="auto"/>
          </w:tcPr>
          <w:p w14:paraId="45ABACCF" w14:textId="44589C4D" w:rsidR="002166E7" w:rsidRPr="00E51005" w:rsidRDefault="00CE2006" w:rsidP="002166E7">
            <w:pPr>
              <w:spacing w:before="40" w:after="40" w:line="240" w:lineRule="auto"/>
              <w:jc w:val="left"/>
              <w:textAlignment w:val="baseline"/>
              <w:rPr>
                <w:rFonts w:cs="Arial"/>
                <w:sz w:val="22"/>
                <w:szCs w:val="28"/>
                <w:lang w:eastAsia="tr-TR"/>
              </w:rPr>
            </w:pPr>
            <w:r w:rsidRPr="00E51005">
              <w:rPr>
                <w:rFonts w:cs="Arial"/>
                <w:sz w:val="22"/>
                <w:szCs w:val="28"/>
                <w:lang w:val="en-US"/>
              </w:rPr>
              <w:t>Directorate of Mersin Tarsus Agricultural Product Processing Specialized Organized Industrial Zone</w:t>
            </w:r>
          </w:p>
        </w:tc>
      </w:tr>
      <w:tr w:rsidR="002F6E07" w:rsidRPr="00EE43C6" w14:paraId="448E5C67" w14:textId="77777777" w:rsidTr="5F58EB95">
        <w:tc>
          <w:tcPr>
            <w:tcW w:w="2980" w:type="dxa"/>
          </w:tcPr>
          <w:p w14:paraId="6820F101" w14:textId="222CD699" w:rsidR="002F6E07" w:rsidRPr="00EE43C6" w:rsidRDefault="002F6E0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TSE</w:t>
            </w:r>
          </w:p>
        </w:tc>
        <w:tc>
          <w:tcPr>
            <w:tcW w:w="0" w:type="auto"/>
          </w:tcPr>
          <w:p w14:paraId="52CAAE52" w14:textId="308E6F92" w:rsidR="002F6E07" w:rsidRPr="00EE43C6" w:rsidRDefault="00486AC4"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Turkish Standards Institution</w:t>
            </w:r>
          </w:p>
        </w:tc>
      </w:tr>
      <w:tr w:rsidR="0083446B" w:rsidRPr="00EE43C6" w14:paraId="2614325E" w14:textId="77777777" w:rsidTr="5F58EB95">
        <w:tc>
          <w:tcPr>
            <w:tcW w:w="2980" w:type="dxa"/>
          </w:tcPr>
          <w:p w14:paraId="0280F369" w14:textId="2DD29E34" w:rsidR="0083446B" w:rsidRPr="00EE43C6" w:rsidRDefault="0083446B"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TSS</w:t>
            </w:r>
          </w:p>
        </w:tc>
        <w:tc>
          <w:tcPr>
            <w:tcW w:w="0" w:type="auto"/>
          </w:tcPr>
          <w:p w14:paraId="2806C083" w14:textId="18E4F7A0" w:rsidR="0083446B" w:rsidRPr="00EE43C6" w:rsidRDefault="00425090"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Total Suspended Solids</w:t>
            </w:r>
          </w:p>
        </w:tc>
      </w:tr>
      <w:tr w:rsidR="00066B67" w:rsidRPr="00EE43C6" w14:paraId="7D0343CA" w14:textId="77777777" w:rsidTr="5F58EB95">
        <w:tc>
          <w:tcPr>
            <w:tcW w:w="2980" w:type="dxa"/>
            <w:hideMark/>
          </w:tcPr>
          <w:p w14:paraId="593CC442" w14:textId="71B5ED2F"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T</w:t>
            </w:r>
            <w:r w:rsidR="005E2719" w:rsidRPr="00EE43C6">
              <w:rPr>
                <w:rFonts w:cs="Arial"/>
                <w:sz w:val="22"/>
                <w:szCs w:val="22"/>
                <w:lang w:eastAsia="tr-TR"/>
              </w:rPr>
              <w:t>urkStat</w:t>
            </w:r>
          </w:p>
        </w:tc>
        <w:tc>
          <w:tcPr>
            <w:tcW w:w="0" w:type="auto"/>
            <w:hideMark/>
          </w:tcPr>
          <w:p w14:paraId="0B41F93D" w14:textId="1EE9AE2C"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Turkish Statistical Institute</w:t>
            </w:r>
          </w:p>
        </w:tc>
      </w:tr>
      <w:tr w:rsidR="00425090" w:rsidRPr="00EE43C6" w14:paraId="341C1989" w14:textId="77777777" w:rsidTr="5F58EB95">
        <w:tc>
          <w:tcPr>
            <w:tcW w:w="2980" w:type="dxa"/>
          </w:tcPr>
          <w:p w14:paraId="588AC0CF" w14:textId="09444E40" w:rsidR="00425090" w:rsidRPr="00EE43C6" w:rsidRDefault="00425090">
            <w:pPr>
              <w:spacing w:before="40" w:after="40" w:line="240" w:lineRule="auto"/>
              <w:jc w:val="left"/>
              <w:textAlignment w:val="baseline"/>
              <w:rPr>
                <w:rFonts w:cs="Arial"/>
                <w:sz w:val="22"/>
                <w:szCs w:val="22"/>
                <w:lang w:eastAsia="tr-TR"/>
              </w:rPr>
            </w:pPr>
            <w:r w:rsidRPr="00EE43C6">
              <w:rPr>
                <w:rFonts w:cs="Arial"/>
                <w:sz w:val="22"/>
                <w:szCs w:val="22"/>
                <w:lang w:eastAsia="tr-TR"/>
              </w:rPr>
              <w:t>TÜRKAK</w:t>
            </w:r>
          </w:p>
        </w:tc>
        <w:tc>
          <w:tcPr>
            <w:tcW w:w="0" w:type="auto"/>
          </w:tcPr>
          <w:p w14:paraId="5E13AE8C" w14:textId="1C7AA5C0" w:rsidR="00425090" w:rsidRPr="00EE43C6" w:rsidRDefault="00425090" w:rsidP="001C70CF">
            <w:pPr>
              <w:spacing w:before="40" w:after="40" w:line="240" w:lineRule="auto"/>
              <w:jc w:val="left"/>
              <w:textAlignment w:val="baseline"/>
              <w:rPr>
                <w:rFonts w:cs="Arial"/>
                <w:sz w:val="22"/>
                <w:szCs w:val="22"/>
                <w:lang w:eastAsia="tr-TR"/>
              </w:rPr>
            </w:pPr>
            <w:r w:rsidRPr="00EE43C6">
              <w:rPr>
                <w:rFonts w:cs="Arial"/>
                <w:sz w:val="22"/>
                <w:szCs w:val="22"/>
                <w:lang w:eastAsia="tr-TR"/>
              </w:rPr>
              <w:t>Turkish Accreditation Agency</w:t>
            </w:r>
          </w:p>
        </w:tc>
      </w:tr>
      <w:tr w:rsidR="00066B67" w:rsidRPr="00EE43C6" w14:paraId="24491ADC" w14:textId="77777777" w:rsidTr="5F58EB95">
        <w:tc>
          <w:tcPr>
            <w:tcW w:w="2980" w:type="dxa"/>
            <w:hideMark/>
          </w:tcPr>
          <w:p w14:paraId="014CAA27" w14:textId="30217AA2"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WB</w:t>
            </w:r>
          </w:p>
        </w:tc>
        <w:tc>
          <w:tcPr>
            <w:tcW w:w="0" w:type="auto"/>
            <w:hideMark/>
          </w:tcPr>
          <w:p w14:paraId="752840C1" w14:textId="6C82AE68"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World Bank</w:t>
            </w:r>
          </w:p>
        </w:tc>
      </w:tr>
      <w:tr w:rsidR="00066B67" w:rsidRPr="00EE43C6" w14:paraId="5EE41519" w14:textId="77777777" w:rsidTr="5F58EB95">
        <w:tc>
          <w:tcPr>
            <w:tcW w:w="2980" w:type="dxa"/>
            <w:hideMark/>
          </w:tcPr>
          <w:p w14:paraId="23983AC6" w14:textId="0F6A5792"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WBG</w:t>
            </w:r>
          </w:p>
        </w:tc>
        <w:tc>
          <w:tcPr>
            <w:tcW w:w="0" w:type="auto"/>
            <w:hideMark/>
          </w:tcPr>
          <w:p w14:paraId="22137108" w14:textId="6C69B5BA"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World Bank Group</w:t>
            </w:r>
          </w:p>
        </w:tc>
      </w:tr>
      <w:tr w:rsidR="00066B67" w:rsidRPr="00EE43C6" w14:paraId="44B087D6" w14:textId="77777777" w:rsidTr="5F58EB95">
        <w:tc>
          <w:tcPr>
            <w:tcW w:w="2980" w:type="dxa"/>
            <w:hideMark/>
          </w:tcPr>
          <w:p w14:paraId="6F0A4E13" w14:textId="7DAE30C9" w:rsidR="00066B67" w:rsidRPr="00EE43C6" w:rsidRDefault="00066B67"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WHO</w:t>
            </w:r>
          </w:p>
        </w:tc>
        <w:tc>
          <w:tcPr>
            <w:tcW w:w="0" w:type="auto"/>
            <w:hideMark/>
          </w:tcPr>
          <w:p w14:paraId="7962219D" w14:textId="2E6D9AC8" w:rsidR="00066B67" w:rsidRPr="00EE43C6" w:rsidRDefault="00066B67"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World Health Organization</w:t>
            </w:r>
          </w:p>
        </w:tc>
      </w:tr>
      <w:tr w:rsidR="00667793" w:rsidRPr="00EE43C6" w14:paraId="05F440D9" w14:textId="77777777" w:rsidTr="5F58EB95">
        <w:tc>
          <w:tcPr>
            <w:tcW w:w="2980" w:type="dxa"/>
          </w:tcPr>
          <w:p w14:paraId="275B7FDE" w14:textId="12A02CE6" w:rsidR="00667793" w:rsidRPr="00EE43C6" w:rsidRDefault="00667793" w:rsidP="00066B67">
            <w:pPr>
              <w:spacing w:before="40" w:after="40" w:line="240" w:lineRule="auto"/>
              <w:jc w:val="left"/>
              <w:textAlignment w:val="baseline"/>
              <w:rPr>
                <w:rFonts w:cs="Arial"/>
                <w:sz w:val="22"/>
                <w:szCs w:val="22"/>
                <w:lang w:eastAsia="tr-TR"/>
              </w:rPr>
            </w:pPr>
            <w:r w:rsidRPr="00EE43C6">
              <w:rPr>
                <w:rFonts w:cs="Arial"/>
                <w:sz w:val="22"/>
                <w:szCs w:val="22"/>
                <w:lang w:eastAsia="tr-TR"/>
              </w:rPr>
              <w:t>WWTP</w:t>
            </w:r>
          </w:p>
        </w:tc>
        <w:tc>
          <w:tcPr>
            <w:tcW w:w="0" w:type="auto"/>
          </w:tcPr>
          <w:p w14:paraId="7C45344C" w14:textId="1555BEF5" w:rsidR="00667793" w:rsidRPr="00EE43C6" w:rsidRDefault="00667793"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Wastewater Treatment Plan</w:t>
            </w:r>
            <w:r w:rsidR="007528F5" w:rsidRPr="00EE43C6">
              <w:rPr>
                <w:rFonts w:cs="Arial"/>
                <w:sz w:val="22"/>
                <w:szCs w:val="22"/>
                <w:lang w:eastAsia="tr-TR"/>
              </w:rPr>
              <w:t>t</w:t>
            </w:r>
          </w:p>
        </w:tc>
      </w:tr>
      <w:tr w:rsidR="00FC69CA" w:rsidRPr="00EE43C6" w14:paraId="65EACFD1" w14:textId="77777777" w:rsidTr="5F58EB95">
        <w:tc>
          <w:tcPr>
            <w:tcW w:w="2980" w:type="dxa"/>
          </w:tcPr>
          <w:p w14:paraId="455FDAE6" w14:textId="1E928A6E" w:rsidR="00FC69CA" w:rsidRPr="00EE43C6" w:rsidRDefault="00FC69CA" w:rsidP="00FC69CA">
            <w:pPr>
              <w:spacing w:before="40" w:after="40" w:line="240" w:lineRule="auto"/>
              <w:jc w:val="left"/>
              <w:textAlignment w:val="baseline"/>
              <w:rPr>
                <w:rFonts w:cs="Arial"/>
                <w:sz w:val="22"/>
                <w:szCs w:val="22"/>
                <w:lang w:eastAsia="tr-TR"/>
              </w:rPr>
            </w:pPr>
            <w:r w:rsidRPr="00EE43C6">
              <w:rPr>
                <w:rFonts w:cs="Arial"/>
                <w:sz w:val="22"/>
                <w:szCs w:val="22"/>
                <w:lang w:eastAsia="tr-TR"/>
              </w:rPr>
              <w:t>YİMER</w:t>
            </w:r>
          </w:p>
        </w:tc>
        <w:tc>
          <w:tcPr>
            <w:tcW w:w="0" w:type="auto"/>
          </w:tcPr>
          <w:p w14:paraId="4128DE73" w14:textId="77777777" w:rsidR="00FC69CA" w:rsidRPr="00EE43C6" w:rsidRDefault="00FC69CA" w:rsidP="000541E3">
            <w:pPr>
              <w:spacing w:before="40" w:after="40" w:line="240" w:lineRule="auto"/>
              <w:jc w:val="left"/>
              <w:textAlignment w:val="baseline"/>
              <w:rPr>
                <w:rFonts w:cs="Arial"/>
                <w:sz w:val="22"/>
                <w:szCs w:val="22"/>
                <w:lang w:eastAsia="tr-TR"/>
              </w:rPr>
            </w:pPr>
            <w:r w:rsidRPr="00EE43C6">
              <w:rPr>
                <w:rFonts w:cs="Arial"/>
                <w:sz w:val="22"/>
                <w:szCs w:val="22"/>
                <w:lang w:eastAsia="tr-TR"/>
              </w:rPr>
              <w:t>Foreigners Communication Center</w:t>
            </w:r>
          </w:p>
          <w:p w14:paraId="095D935B" w14:textId="7B361500" w:rsidR="00FA6FCA" w:rsidRPr="00EE43C6" w:rsidRDefault="00FA6FCA" w:rsidP="00D66928">
            <w:pPr>
              <w:tabs>
                <w:tab w:val="left" w:pos="5130"/>
              </w:tabs>
              <w:rPr>
                <w:rFonts w:cs="Arial"/>
                <w:sz w:val="22"/>
                <w:szCs w:val="22"/>
                <w:lang w:eastAsia="tr-TR"/>
              </w:rPr>
            </w:pPr>
            <w:r w:rsidRPr="00EE43C6">
              <w:rPr>
                <w:rFonts w:cs="Arial"/>
                <w:sz w:val="22"/>
                <w:szCs w:val="22"/>
                <w:lang w:eastAsia="tr-TR"/>
              </w:rPr>
              <w:tab/>
            </w:r>
          </w:p>
        </w:tc>
      </w:tr>
    </w:tbl>
    <w:p w14:paraId="64653B87" w14:textId="45750F66" w:rsidR="00DA091C" w:rsidRPr="00EE43C6" w:rsidRDefault="00DA091C" w:rsidP="009B7661">
      <w:pPr>
        <w:pStyle w:val="Heading1"/>
        <w:numPr>
          <w:ilvl w:val="0"/>
          <w:numId w:val="0"/>
        </w:numPr>
        <w:jc w:val="center"/>
        <w:rPr>
          <w:noProof w:val="0"/>
          <w:lang w:val="en-GB"/>
        </w:rPr>
      </w:pPr>
      <w:bookmarkStart w:id="24" w:name="_Toc120016880"/>
      <w:bookmarkStart w:id="25" w:name="_Toc120004658"/>
      <w:bookmarkStart w:id="26" w:name="_Toc141445386"/>
      <w:r w:rsidRPr="00EE43C6">
        <w:rPr>
          <w:noProof w:val="0"/>
          <w:lang w:val="en-GB"/>
        </w:rPr>
        <w:lastRenderedPageBreak/>
        <w:t>GLOSSARY</w:t>
      </w:r>
      <w:bookmarkEnd w:id="24"/>
      <w:bookmarkEnd w:id="25"/>
      <w:bookmarkEnd w:id="26"/>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804"/>
      </w:tblGrid>
      <w:tr w:rsidR="00824978" w:rsidRPr="00EE43C6" w14:paraId="4662EBEB" w14:textId="77777777" w:rsidTr="00D66928">
        <w:trPr>
          <w:trHeight w:val="340"/>
        </w:trPr>
        <w:tc>
          <w:tcPr>
            <w:tcW w:w="2694" w:type="dxa"/>
          </w:tcPr>
          <w:p w14:paraId="7FA38843" w14:textId="3901412B" w:rsidR="00780322" w:rsidRPr="00EE43C6" w:rsidRDefault="00486430" w:rsidP="00FE6625">
            <w:pPr>
              <w:spacing w:before="60" w:after="60"/>
              <w:jc w:val="left"/>
              <w:rPr>
                <w:sz w:val="22"/>
                <w:szCs w:val="22"/>
                <w:lang w:eastAsia="en-US"/>
              </w:rPr>
            </w:pPr>
            <w:r w:rsidRPr="00EE43C6">
              <w:rPr>
                <w:sz w:val="22"/>
                <w:szCs w:val="22"/>
                <w:lang w:eastAsia="en-US"/>
              </w:rPr>
              <w:t>Associated Facility</w:t>
            </w:r>
          </w:p>
        </w:tc>
        <w:tc>
          <w:tcPr>
            <w:tcW w:w="6804" w:type="dxa"/>
            <w:vAlign w:val="center"/>
          </w:tcPr>
          <w:p w14:paraId="3FAF6282" w14:textId="5644B2AC" w:rsidR="00780322" w:rsidRPr="00EE43C6" w:rsidRDefault="00523468" w:rsidP="00FE6625">
            <w:pPr>
              <w:spacing w:before="60" w:after="60"/>
              <w:rPr>
                <w:sz w:val="22"/>
                <w:szCs w:val="22"/>
              </w:rPr>
            </w:pPr>
            <w:r w:rsidRPr="00EE43C6">
              <w:rPr>
                <w:sz w:val="22"/>
                <w:szCs w:val="22"/>
              </w:rPr>
              <w:t>Facilities or activities that are not funded as part of the project and, in the judgment of the Bank, are: (a) directly and significantly related to the project; and (b) carried out, or planned to be carried out, contemporaneously with the project; and (c) necessary for the project to be viable and would not have been constructed, expanded or conducted if the project did not exist. For facilities or activities to be Associated Facilities, they must meet all three criteria.</w:t>
            </w:r>
          </w:p>
        </w:tc>
      </w:tr>
      <w:tr w:rsidR="00824978" w:rsidRPr="00EE43C6" w14:paraId="38E06BBC" w14:textId="77777777" w:rsidTr="00D66928">
        <w:trPr>
          <w:trHeight w:val="340"/>
        </w:trPr>
        <w:tc>
          <w:tcPr>
            <w:tcW w:w="2694" w:type="dxa"/>
          </w:tcPr>
          <w:p w14:paraId="261FBFC9" w14:textId="17C95BA8" w:rsidR="00FF58E7" w:rsidRPr="00EE43C6" w:rsidRDefault="00FF58E7" w:rsidP="00FE6625">
            <w:pPr>
              <w:spacing w:before="60" w:after="60"/>
              <w:jc w:val="left"/>
              <w:rPr>
                <w:rFonts w:cs="Arial"/>
                <w:szCs w:val="22"/>
              </w:rPr>
            </w:pPr>
            <w:r w:rsidRPr="00EE43C6">
              <w:rPr>
                <w:rFonts w:cs="Arial"/>
                <w:sz w:val="22"/>
                <w:szCs w:val="22"/>
              </w:rPr>
              <w:t>Implementing Agency</w:t>
            </w:r>
          </w:p>
        </w:tc>
        <w:tc>
          <w:tcPr>
            <w:tcW w:w="6804" w:type="dxa"/>
            <w:vAlign w:val="center"/>
          </w:tcPr>
          <w:p w14:paraId="2B0D50C5" w14:textId="4F6AE2A3" w:rsidR="00FF58E7" w:rsidRPr="00EE43C6" w:rsidRDefault="00FF58E7" w:rsidP="00FE6625">
            <w:pPr>
              <w:spacing w:before="60" w:after="60"/>
              <w:rPr>
                <w:szCs w:val="22"/>
              </w:rPr>
            </w:pPr>
            <w:r w:rsidRPr="00EE43C6">
              <w:rPr>
                <w:sz w:val="22"/>
                <w:szCs w:val="22"/>
              </w:rPr>
              <w:t xml:space="preserve">T.C. Sanayi ve Teknoloji Bakanlığı (in Turkish) or Republic of </w:t>
            </w:r>
            <w:r w:rsidR="00117757">
              <w:rPr>
                <w:sz w:val="22"/>
                <w:szCs w:val="22"/>
              </w:rPr>
              <w:t>Türkiye</w:t>
            </w:r>
            <w:r w:rsidRPr="00EE43C6">
              <w:rPr>
                <w:sz w:val="22"/>
                <w:szCs w:val="22"/>
              </w:rPr>
              <w:t xml:space="preserve"> Ministry of Industry and Technology</w:t>
            </w:r>
          </w:p>
        </w:tc>
      </w:tr>
      <w:tr w:rsidR="00824978" w:rsidRPr="00EE43C6" w14:paraId="789988AB" w14:textId="77777777" w:rsidTr="00D66928">
        <w:trPr>
          <w:trHeight w:val="340"/>
        </w:trPr>
        <w:tc>
          <w:tcPr>
            <w:tcW w:w="2694" w:type="dxa"/>
          </w:tcPr>
          <w:p w14:paraId="1A8AE233" w14:textId="22C89B80" w:rsidR="00E001F1" w:rsidRPr="00EE43C6" w:rsidRDefault="00140DE7" w:rsidP="00FE6625">
            <w:pPr>
              <w:spacing w:before="60" w:after="60"/>
              <w:jc w:val="left"/>
              <w:rPr>
                <w:sz w:val="22"/>
                <w:szCs w:val="22"/>
              </w:rPr>
            </w:pPr>
            <w:r w:rsidRPr="00EE43C6">
              <w:rPr>
                <w:sz w:val="22"/>
                <w:szCs w:val="22"/>
                <w:lang w:eastAsia="en-US"/>
              </w:rPr>
              <w:t>Project Owner</w:t>
            </w:r>
            <w:r w:rsidR="00644629" w:rsidRPr="00EE43C6">
              <w:rPr>
                <w:sz w:val="22"/>
                <w:szCs w:val="22"/>
                <w:lang w:eastAsia="en-US"/>
              </w:rPr>
              <w:t xml:space="preserve"> / </w:t>
            </w:r>
            <w:r w:rsidR="00387BFB" w:rsidRPr="00EE43C6">
              <w:rPr>
                <w:sz w:val="22"/>
                <w:szCs w:val="22"/>
                <w:lang w:eastAsia="en-US"/>
              </w:rPr>
              <w:t>TUIOSB</w:t>
            </w:r>
          </w:p>
        </w:tc>
        <w:tc>
          <w:tcPr>
            <w:tcW w:w="6804" w:type="dxa"/>
            <w:vAlign w:val="center"/>
          </w:tcPr>
          <w:p w14:paraId="5D148E07" w14:textId="6A64FC8A" w:rsidR="00E001F1" w:rsidRPr="00EE43C6" w:rsidRDefault="00FE6625" w:rsidP="00FE6625">
            <w:pPr>
              <w:spacing w:before="60" w:after="60"/>
              <w:rPr>
                <w:sz w:val="22"/>
                <w:szCs w:val="22"/>
              </w:rPr>
            </w:pPr>
            <w:r w:rsidRPr="00EE43C6">
              <w:rPr>
                <w:sz w:val="22"/>
                <w:szCs w:val="22"/>
              </w:rPr>
              <w:t xml:space="preserve">Mersin Tarsus Tarımsal Ürün İşleme İhtisas Organize Sanayi Bölgesi Müdürlüğü </w:t>
            </w:r>
            <w:r w:rsidR="00192F66" w:rsidRPr="00EE43C6">
              <w:rPr>
                <w:sz w:val="22"/>
                <w:szCs w:val="22"/>
              </w:rPr>
              <w:t>(in Turkish)</w:t>
            </w:r>
            <w:r w:rsidR="007E1D4C" w:rsidRPr="00EE43C6">
              <w:rPr>
                <w:sz w:val="22"/>
                <w:szCs w:val="22"/>
              </w:rPr>
              <w:t xml:space="preserve"> </w:t>
            </w:r>
            <w:r w:rsidR="00192F66" w:rsidRPr="00EE43C6">
              <w:rPr>
                <w:sz w:val="22"/>
                <w:szCs w:val="22"/>
              </w:rPr>
              <w:t>or</w:t>
            </w:r>
            <w:r w:rsidRPr="00EE43C6">
              <w:rPr>
                <w:sz w:val="22"/>
                <w:szCs w:val="22"/>
              </w:rPr>
              <w:t xml:space="preserve"> </w:t>
            </w:r>
            <w:r w:rsidR="001E39E9" w:rsidRPr="00EE43C6">
              <w:rPr>
                <w:sz w:val="22"/>
                <w:szCs w:val="22"/>
              </w:rPr>
              <w:t xml:space="preserve">Directorate of </w:t>
            </w:r>
            <w:bookmarkStart w:id="27" w:name="_Hlk129792562"/>
            <w:r w:rsidRPr="00EE43C6">
              <w:rPr>
                <w:sz w:val="22"/>
                <w:szCs w:val="22"/>
              </w:rPr>
              <w:t>Mersin Tarsus Agricultural Product Processing Specialized Organized Industrial Zone</w:t>
            </w:r>
            <w:bookmarkEnd w:id="27"/>
          </w:p>
        </w:tc>
      </w:tr>
      <w:tr w:rsidR="00824978" w:rsidRPr="00EE43C6" w14:paraId="78F5DB2F" w14:textId="77777777" w:rsidTr="00D66928">
        <w:trPr>
          <w:trHeight w:val="340"/>
        </w:trPr>
        <w:tc>
          <w:tcPr>
            <w:tcW w:w="2694" w:type="dxa"/>
          </w:tcPr>
          <w:p w14:paraId="34822484" w14:textId="400B0035" w:rsidR="00144F71" w:rsidRPr="00EE43C6" w:rsidRDefault="00144F71" w:rsidP="00FE6625">
            <w:pPr>
              <w:spacing w:before="60" w:after="60"/>
              <w:jc w:val="left"/>
              <w:rPr>
                <w:sz w:val="22"/>
                <w:szCs w:val="22"/>
                <w:lang w:eastAsia="en-US"/>
              </w:rPr>
            </w:pPr>
            <w:r w:rsidRPr="00EE43C6">
              <w:rPr>
                <w:sz w:val="22"/>
                <w:szCs w:val="22"/>
                <w:lang w:eastAsia="en-US"/>
              </w:rPr>
              <w:t>Consultant</w:t>
            </w:r>
          </w:p>
        </w:tc>
        <w:tc>
          <w:tcPr>
            <w:tcW w:w="6804" w:type="dxa"/>
            <w:vAlign w:val="center"/>
          </w:tcPr>
          <w:p w14:paraId="7FBFB7A9" w14:textId="74684407" w:rsidR="00144F71" w:rsidRPr="00EE43C6" w:rsidRDefault="00144F71" w:rsidP="00FE6625">
            <w:pPr>
              <w:spacing w:before="60" w:after="60"/>
              <w:rPr>
                <w:sz w:val="22"/>
              </w:rPr>
            </w:pPr>
            <w:r w:rsidRPr="00EE43C6">
              <w:rPr>
                <w:sz w:val="22"/>
              </w:rPr>
              <w:t>2U1K</w:t>
            </w:r>
            <w:r w:rsidR="00951A78" w:rsidRPr="00EE43C6">
              <w:rPr>
                <w:sz w:val="22"/>
              </w:rPr>
              <w:t xml:space="preserve"> as Environmental and Social Consultant</w:t>
            </w:r>
          </w:p>
        </w:tc>
      </w:tr>
      <w:tr w:rsidR="00824978" w:rsidRPr="00EE43C6" w14:paraId="106DBC57" w14:textId="77777777" w:rsidTr="00D66928">
        <w:trPr>
          <w:trHeight w:val="340"/>
        </w:trPr>
        <w:tc>
          <w:tcPr>
            <w:tcW w:w="2694" w:type="dxa"/>
          </w:tcPr>
          <w:p w14:paraId="4E6A391F" w14:textId="17AB6074" w:rsidR="00144F71" w:rsidRPr="00EE43C6" w:rsidRDefault="00144F71" w:rsidP="00FE6625">
            <w:pPr>
              <w:spacing w:before="60" w:after="60"/>
              <w:jc w:val="left"/>
              <w:rPr>
                <w:sz w:val="22"/>
                <w:lang w:eastAsia="en-US"/>
              </w:rPr>
            </w:pPr>
            <w:r w:rsidRPr="00EE43C6">
              <w:rPr>
                <w:sz w:val="22"/>
                <w:lang w:eastAsia="en-US"/>
              </w:rPr>
              <w:t>Construction Supervision Consultant</w:t>
            </w:r>
          </w:p>
        </w:tc>
        <w:tc>
          <w:tcPr>
            <w:tcW w:w="6804" w:type="dxa"/>
            <w:vAlign w:val="center"/>
          </w:tcPr>
          <w:p w14:paraId="5C1E45EF" w14:textId="00172491" w:rsidR="00144F71" w:rsidRPr="00EE43C6" w:rsidRDefault="00CE5841" w:rsidP="00FE6625">
            <w:pPr>
              <w:spacing w:before="60" w:after="60"/>
              <w:rPr>
                <w:sz w:val="22"/>
              </w:rPr>
            </w:pPr>
            <w:r w:rsidRPr="00EE43C6">
              <w:rPr>
                <w:sz w:val="22"/>
              </w:rPr>
              <w:t>Consultant</w:t>
            </w:r>
            <w:r w:rsidR="00951A78" w:rsidRPr="00EE43C6">
              <w:rPr>
                <w:sz w:val="22"/>
              </w:rPr>
              <w:t xml:space="preserve"> for Construction </w:t>
            </w:r>
            <w:r w:rsidR="00951A78" w:rsidRPr="00EE43C6">
              <w:rPr>
                <w:sz w:val="22"/>
                <w:lang w:eastAsia="en-US"/>
              </w:rPr>
              <w:t>Supervision</w:t>
            </w:r>
          </w:p>
        </w:tc>
      </w:tr>
      <w:tr w:rsidR="00824978" w:rsidRPr="00EE43C6" w14:paraId="76128482" w14:textId="77777777" w:rsidTr="00D66928">
        <w:trPr>
          <w:trHeight w:val="340"/>
        </w:trPr>
        <w:tc>
          <w:tcPr>
            <w:tcW w:w="2694" w:type="dxa"/>
          </w:tcPr>
          <w:p w14:paraId="3A7725A3" w14:textId="00D87996" w:rsidR="005573F6" w:rsidRPr="00EE43C6" w:rsidRDefault="005573F6" w:rsidP="00FE6625">
            <w:pPr>
              <w:spacing w:before="60" w:after="60"/>
              <w:jc w:val="left"/>
              <w:rPr>
                <w:sz w:val="22"/>
                <w:szCs w:val="22"/>
              </w:rPr>
            </w:pPr>
            <w:r w:rsidRPr="00EE43C6">
              <w:rPr>
                <w:sz w:val="22"/>
                <w:szCs w:val="22"/>
              </w:rPr>
              <w:t>Project</w:t>
            </w:r>
          </w:p>
        </w:tc>
        <w:tc>
          <w:tcPr>
            <w:tcW w:w="6804" w:type="dxa"/>
            <w:vAlign w:val="center"/>
          </w:tcPr>
          <w:p w14:paraId="07EBA480" w14:textId="7C465636" w:rsidR="005573F6" w:rsidRPr="00EE43C6" w:rsidRDefault="00FE6625" w:rsidP="00FE6625">
            <w:pPr>
              <w:spacing w:before="60" w:after="60"/>
              <w:rPr>
                <w:sz w:val="22"/>
                <w:szCs w:val="22"/>
              </w:rPr>
            </w:pPr>
            <w:r w:rsidRPr="00EE43C6">
              <w:rPr>
                <w:sz w:val="22"/>
                <w:szCs w:val="22"/>
              </w:rPr>
              <w:t>Mersin Tarsus Agricultural Product Processing Specialized Organized Industrial Zone</w:t>
            </w:r>
            <w:r w:rsidR="004423C9" w:rsidRPr="00EE43C6">
              <w:t xml:space="preserve"> </w:t>
            </w:r>
            <w:r w:rsidR="004423C9" w:rsidRPr="00EE43C6">
              <w:rPr>
                <w:sz w:val="22"/>
                <w:szCs w:val="22"/>
              </w:rPr>
              <w:t>Basic Infrastructure</w:t>
            </w:r>
          </w:p>
        </w:tc>
      </w:tr>
      <w:tr w:rsidR="00824978" w:rsidRPr="00EE43C6" w14:paraId="0597A0D3" w14:textId="77777777" w:rsidTr="00D66928">
        <w:trPr>
          <w:trHeight w:val="340"/>
        </w:trPr>
        <w:tc>
          <w:tcPr>
            <w:tcW w:w="2694" w:type="dxa"/>
          </w:tcPr>
          <w:p w14:paraId="3F727067" w14:textId="057424C3" w:rsidR="005573F6" w:rsidRPr="00EE43C6" w:rsidRDefault="005573F6" w:rsidP="00FE6625">
            <w:pPr>
              <w:spacing w:before="60" w:after="60"/>
              <w:jc w:val="left"/>
              <w:rPr>
                <w:sz w:val="22"/>
                <w:szCs w:val="22"/>
              </w:rPr>
            </w:pPr>
            <w:r w:rsidRPr="00EE43C6">
              <w:rPr>
                <w:sz w:val="22"/>
                <w:szCs w:val="22"/>
              </w:rPr>
              <w:t>Project Area</w:t>
            </w:r>
          </w:p>
        </w:tc>
        <w:tc>
          <w:tcPr>
            <w:tcW w:w="6804" w:type="dxa"/>
            <w:vAlign w:val="center"/>
          </w:tcPr>
          <w:p w14:paraId="244EFEF4" w14:textId="583FB500" w:rsidR="005573F6" w:rsidRPr="00EE43C6" w:rsidRDefault="005573F6" w:rsidP="00FE6625">
            <w:pPr>
              <w:spacing w:before="60" w:after="60"/>
              <w:rPr>
                <w:sz w:val="22"/>
                <w:szCs w:val="22"/>
              </w:rPr>
            </w:pPr>
            <w:r w:rsidRPr="00EE43C6">
              <w:rPr>
                <w:sz w:val="22"/>
                <w:szCs w:val="22"/>
              </w:rPr>
              <w:t xml:space="preserve">The area where the </w:t>
            </w:r>
            <w:r w:rsidR="00B1193D" w:rsidRPr="00EE43C6">
              <w:rPr>
                <w:sz w:val="22"/>
                <w:szCs w:val="22"/>
              </w:rPr>
              <w:t xml:space="preserve">first phase of the </w:t>
            </w:r>
            <w:r w:rsidRPr="00EE43C6">
              <w:rPr>
                <w:sz w:val="22"/>
                <w:szCs w:val="22"/>
              </w:rPr>
              <w:t xml:space="preserve">Project will be </w:t>
            </w:r>
            <w:r w:rsidR="00AE10C0" w:rsidRPr="00EE43C6">
              <w:rPr>
                <w:sz w:val="22"/>
                <w:szCs w:val="22"/>
              </w:rPr>
              <w:t>implemented</w:t>
            </w:r>
          </w:p>
        </w:tc>
      </w:tr>
      <w:tr w:rsidR="00824978" w:rsidRPr="00EE43C6" w14:paraId="1F11402F" w14:textId="77777777" w:rsidTr="00D66928">
        <w:trPr>
          <w:trHeight w:val="340"/>
        </w:trPr>
        <w:tc>
          <w:tcPr>
            <w:tcW w:w="2694" w:type="dxa"/>
          </w:tcPr>
          <w:p w14:paraId="58500C80" w14:textId="7C20A7DB" w:rsidR="0077021B" w:rsidRPr="00EE43C6" w:rsidRDefault="0077021B" w:rsidP="00FE6625">
            <w:pPr>
              <w:spacing w:before="60" w:after="60"/>
              <w:jc w:val="left"/>
              <w:rPr>
                <w:sz w:val="22"/>
              </w:rPr>
            </w:pPr>
          </w:p>
        </w:tc>
        <w:tc>
          <w:tcPr>
            <w:tcW w:w="6804" w:type="dxa"/>
            <w:vAlign w:val="center"/>
          </w:tcPr>
          <w:p w14:paraId="11FC81EE" w14:textId="0BD46A08" w:rsidR="0077021B" w:rsidRPr="00EE43C6" w:rsidRDefault="0077021B" w:rsidP="00FE6625">
            <w:pPr>
              <w:spacing w:before="60" w:after="60"/>
              <w:rPr>
                <w:sz w:val="22"/>
              </w:rPr>
            </w:pPr>
          </w:p>
        </w:tc>
      </w:tr>
    </w:tbl>
    <w:p w14:paraId="2D9845EB" w14:textId="77777777" w:rsidR="00B46B30" w:rsidRPr="00EE43C6" w:rsidRDefault="00B46B30" w:rsidP="00DA091C">
      <w:pPr>
        <w:rPr>
          <w:lang w:eastAsia="en-US"/>
        </w:rPr>
      </w:pPr>
    </w:p>
    <w:p w14:paraId="6D83A197" w14:textId="55DA2A5E" w:rsidR="00B46B30" w:rsidRPr="00EE43C6" w:rsidRDefault="00B46B30" w:rsidP="00DA091C">
      <w:pPr>
        <w:rPr>
          <w:lang w:eastAsia="en-US"/>
        </w:rPr>
        <w:sectPr w:rsidR="00B46B30" w:rsidRPr="00EE43C6" w:rsidSect="00D719FE">
          <w:headerReference w:type="default" r:id="rId17"/>
          <w:footerReference w:type="default" r:id="rId18"/>
          <w:pgSz w:w="11900" w:h="16840" w:code="9"/>
          <w:pgMar w:top="1418" w:right="1418" w:bottom="1418" w:left="1418" w:header="709" w:footer="709" w:gutter="0"/>
          <w:pgNumType w:fmt="lowerRoman" w:start="1"/>
          <w:cols w:space="708"/>
          <w:docGrid w:linePitch="360"/>
        </w:sectPr>
      </w:pPr>
    </w:p>
    <w:p w14:paraId="778E7969" w14:textId="75FC2004" w:rsidR="00D2103E" w:rsidRPr="00EE43C6" w:rsidRDefault="00D2103E" w:rsidP="00CE3B94">
      <w:pPr>
        <w:pStyle w:val="Heading1"/>
        <w:numPr>
          <w:ilvl w:val="0"/>
          <w:numId w:val="0"/>
        </w:numPr>
        <w:ind w:left="432" w:hanging="432"/>
        <w:rPr>
          <w:noProof w:val="0"/>
          <w:lang w:val="en-GB"/>
        </w:rPr>
      </w:pPr>
      <w:bookmarkStart w:id="28" w:name="_Toc120016881"/>
      <w:bookmarkStart w:id="29" w:name="_Toc120004659"/>
      <w:bookmarkStart w:id="30" w:name="_Toc141445387"/>
      <w:r w:rsidRPr="00EE43C6">
        <w:rPr>
          <w:noProof w:val="0"/>
          <w:lang w:val="en-GB"/>
        </w:rPr>
        <w:lastRenderedPageBreak/>
        <w:t>EXECUTIVE SUMMARY</w:t>
      </w:r>
      <w:bookmarkEnd w:id="19"/>
      <w:bookmarkEnd w:id="28"/>
      <w:bookmarkEnd w:id="29"/>
      <w:bookmarkEnd w:id="30"/>
    </w:p>
    <w:p w14:paraId="559EE716" w14:textId="73E37EB0" w:rsidR="00365DC3" w:rsidRPr="00EE43C6" w:rsidRDefault="00BC37F2" w:rsidP="3C3DFBEF">
      <w:pPr>
        <w:rPr>
          <w:rFonts w:cs="Wingdings"/>
        </w:rPr>
      </w:pPr>
      <w:r w:rsidRPr="3C3DFBEF">
        <w:rPr>
          <w:rFonts w:cs="Wingdings"/>
        </w:rPr>
        <w:t>The Directorate of Mersin Tarsus Agricultural Product Processing Specialized Organized Industrial Zone</w:t>
      </w:r>
      <w:r w:rsidR="00BF3554" w:rsidRPr="3C3DFBEF">
        <w:rPr>
          <w:rFonts w:cs="Wingdings"/>
        </w:rPr>
        <w:t xml:space="preserve"> (</w:t>
      </w:r>
      <w:r w:rsidR="00A0076D" w:rsidRPr="3C3DFBEF">
        <w:rPr>
          <w:rFonts w:cs="Wingdings"/>
        </w:rPr>
        <w:t xml:space="preserve">TUIOSB or </w:t>
      </w:r>
      <w:r w:rsidR="00DD6FE2" w:rsidRPr="3C3DFBEF">
        <w:rPr>
          <w:rFonts w:cs="Wingdings"/>
        </w:rPr>
        <w:t>Project Owner</w:t>
      </w:r>
      <w:r w:rsidR="00BF3554" w:rsidRPr="3C3DFBEF">
        <w:rPr>
          <w:rFonts w:cs="Wingdings"/>
        </w:rPr>
        <w:t>)</w:t>
      </w:r>
      <w:r w:rsidR="0041756A" w:rsidRPr="3C3DFBEF">
        <w:rPr>
          <w:rFonts w:cs="Wingdings"/>
        </w:rPr>
        <w:t xml:space="preserve"> plans</w:t>
      </w:r>
      <w:r w:rsidR="003D2DA0" w:rsidRPr="3C3DFBEF">
        <w:rPr>
          <w:rFonts w:cs="Wingdings"/>
        </w:rPr>
        <w:t xml:space="preserve"> to </w:t>
      </w:r>
      <w:r w:rsidR="009C0502" w:rsidRPr="3C3DFBEF">
        <w:rPr>
          <w:rFonts w:cs="Wingdings"/>
        </w:rPr>
        <w:t>implement</w:t>
      </w:r>
      <w:r w:rsidR="00E974EB" w:rsidRPr="3C3DFBEF">
        <w:rPr>
          <w:rFonts w:cs="Wingdings"/>
        </w:rPr>
        <w:t xml:space="preserve"> </w:t>
      </w:r>
      <w:r w:rsidR="00883A9F" w:rsidRPr="3C3DFBEF">
        <w:rPr>
          <w:rFonts w:cs="Wingdings"/>
        </w:rPr>
        <w:t>Mersin Tarsus Agricultural Product Processing Specialized Organized Industrial Zone Basic Infrastructure</w:t>
      </w:r>
      <w:r w:rsidR="00391A46" w:rsidRPr="3C3DFBEF">
        <w:rPr>
          <w:rFonts w:cs="Wingdings"/>
        </w:rPr>
        <w:t xml:space="preserve"> Project (Project)</w:t>
      </w:r>
      <w:r w:rsidR="009907C9" w:rsidRPr="3C3DFBEF">
        <w:rPr>
          <w:rFonts w:cs="Wingdings"/>
        </w:rPr>
        <w:t>.</w:t>
      </w:r>
      <w:r w:rsidR="00D74326" w:rsidRPr="3C3DFBEF">
        <w:rPr>
          <w:rFonts w:cs="Wingdings"/>
        </w:rPr>
        <w:t xml:space="preserve"> </w:t>
      </w:r>
      <w:r w:rsidR="00894A5C" w:rsidRPr="3C3DFBEF">
        <w:rPr>
          <w:rFonts w:cs="Wingdings"/>
        </w:rPr>
        <w:t xml:space="preserve">The Project will be </w:t>
      </w:r>
      <w:r w:rsidR="00733B1D" w:rsidRPr="3C3DFBEF">
        <w:rPr>
          <w:rFonts w:cs="Wingdings"/>
        </w:rPr>
        <w:t xml:space="preserve">implemented </w:t>
      </w:r>
      <w:r w:rsidR="00894A5C" w:rsidRPr="3C3DFBEF">
        <w:rPr>
          <w:rFonts w:cs="Wingdings"/>
        </w:rPr>
        <w:t xml:space="preserve">in two phases as Phase 1 and Phase 2. </w:t>
      </w:r>
      <w:r w:rsidR="00554C6C" w:rsidRPr="3C3DFBEF">
        <w:rPr>
          <w:rFonts w:cs="Wingdings"/>
        </w:rPr>
        <w:t xml:space="preserve">TUIOSB will use </w:t>
      </w:r>
      <w:r w:rsidR="0058055A" w:rsidRPr="3C3DFBEF">
        <w:rPr>
          <w:rFonts w:cs="Wingdings"/>
        </w:rPr>
        <w:t>loan</w:t>
      </w:r>
      <w:r w:rsidR="00554C6C" w:rsidRPr="3C3DFBEF">
        <w:rPr>
          <w:rFonts w:cs="Wingdings"/>
        </w:rPr>
        <w:t xml:space="preserve"> </w:t>
      </w:r>
      <w:r w:rsidR="00C46BE1" w:rsidRPr="3C3DFBEF">
        <w:rPr>
          <w:rFonts w:cs="Wingdings"/>
        </w:rPr>
        <w:t>only for Project</w:t>
      </w:r>
      <w:r w:rsidR="00BB6A4A" w:rsidRPr="3C3DFBEF">
        <w:rPr>
          <w:rFonts w:cs="Wingdings"/>
        </w:rPr>
        <w:t xml:space="preserve">’s Phase </w:t>
      </w:r>
      <w:r w:rsidR="00C46BE1" w:rsidRPr="3C3DFBEF">
        <w:rPr>
          <w:rFonts w:cs="Wingdings"/>
        </w:rPr>
        <w:t xml:space="preserve">1. </w:t>
      </w:r>
      <w:r w:rsidR="00540592" w:rsidRPr="3C3DFBEF">
        <w:rPr>
          <w:rFonts w:cs="Wingdings"/>
        </w:rPr>
        <w:t xml:space="preserve">The </w:t>
      </w:r>
      <w:r w:rsidR="00C46BE1" w:rsidRPr="3C3DFBEF">
        <w:rPr>
          <w:rFonts w:cs="Wingdings"/>
        </w:rPr>
        <w:t>Project</w:t>
      </w:r>
      <w:r w:rsidR="00BB6A4A" w:rsidRPr="3C3DFBEF">
        <w:rPr>
          <w:rFonts w:cs="Wingdings"/>
        </w:rPr>
        <w:t>’s</w:t>
      </w:r>
      <w:r w:rsidR="00C46BE1" w:rsidRPr="3C3DFBEF">
        <w:rPr>
          <w:rFonts w:cs="Wingdings"/>
        </w:rPr>
        <w:t xml:space="preserve"> </w:t>
      </w:r>
      <w:r w:rsidR="00BB6A4A" w:rsidRPr="3C3DFBEF">
        <w:rPr>
          <w:rFonts w:cs="Wingdings"/>
        </w:rPr>
        <w:t>Phase 2</w:t>
      </w:r>
      <w:r w:rsidR="00C46BE1" w:rsidRPr="3C3DFBEF">
        <w:rPr>
          <w:rFonts w:cs="Wingdings"/>
        </w:rPr>
        <w:t xml:space="preserve"> will be </w:t>
      </w:r>
      <w:r w:rsidR="00B015C2">
        <w:rPr>
          <w:rFonts w:cs="Wingdings"/>
        </w:rPr>
        <w:t>financed</w:t>
      </w:r>
      <w:r w:rsidR="00C46BE1" w:rsidRPr="3C3DFBEF">
        <w:rPr>
          <w:rFonts w:cs="Wingdings"/>
        </w:rPr>
        <w:t xml:space="preserve"> with the use of </w:t>
      </w:r>
      <w:r w:rsidR="00C032FA" w:rsidRPr="3C3DFBEF">
        <w:rPr>
          <w:rFonts w:cs="Wingdings"/>
        </w:rPr>
        <w:t>Mersin Tarsus Agricultural Product Processing Specialized Organized Industrial Zone (OIZ)</w:t>
      </w:r>
      <w:r w:rsidR="00F801C8" w:rsidRPr="3C3DFBEF">
        <w:rPr>
          <w:rFonts w:cs="Wingdings"/>
        </w:rPr>
        <w:t xml:space="preserve">’s </w:t>
      </w:r>
      <w:r w:rsidR="00C032FA" w:rsidRPr="3C3DFBEF">
        <w:rPr>
          <w:rFonts w:cs="Wingdings"/>
        </w:rPr>
        <w:t xml:space="preserve">own </w:t>
      </w:r>
      <w:r w:rsidR="00C46BE1" w:rsidRPr="3C3DFBEF">
        <w:rPr>
          <w:rFonts w:cs="Wingdings"/>
        </w:rPr>
        <w:t xml:space="preserve">equity. </w:t>
      </w:r>
      <w:r w:rsidR="0058055A" w:rsidRPr="3C3DFBEF">
        <w:rPr>
          <w:rFonts w:cs="Wingdings"/>
        </w:rPr>
        <w:t xml:space="preserve">In addition, investments will not be made </w:t>
      </w:r>
      <w:r w:rsidR="005C6552" w:rsidRPr="3C3DFBEF">
        <w:rPr>
          <w:rFonts w:cs="Wingdings"/>
        </w:rPr>
        <w:t xml:space="preserve">in the Project’s Phase 2 area </w:t>
      </w:r>
      <w:r w:rsidR="0058055A" w:rsidRPr="3C3DFBEF">
        <w:rPr>
          <w:rFonts w:cs="Wingdings"/>
        </w:rPr>
        <w:t xml:space="preserve">until </w:t>
      </w:r>
      <w:r w:rsidR="00CA0DBA" w:rsidRPr="3C3DFBEF">
        <w:rPr>
          <w:rFonts w:cs="Wingdings"/>
        </w:rPr>
        <w:t>the</w:t>
      </w:r>
      <w:r w:rsidR="0058055A" w:rsidRPr="3C3DFBEF">
        <w:rPr>
          <w:rFonts w:cs="Wingdings"/>
        </w:rPr>
        <w:t xml:space="preserve"> expropriation process </w:t>
      </w:r>
      <w:r w:rsidR="1A9EE105" w:rsidRPr="3C3DFBEF">
        <w:rPr>
          <w:rFonts w:cs="Wingdings"/>
        </w:rPr>
        <w:t>for</w:t>
      </w:r>
      <w:r w:rsidR="00CA0DBA" w:rsidRPr="3C3DFBEF">
        <w:rPr>
          <w:rFonts w:cs="Wingdings"/>
        </w:rPr>
        <w:t xml:space="preserve"> the Project’s Phase 2 area </w:t>
      </w:r>
      <w:r w:rsidR="0058055A" w:rsidRPr="3C3DFBEF">
        <w:rPr>
          <w:rFonts w:cs="Wingdings"/>
        </w:rPr>
        <w:t xml:space="preserve">is completed. </w:t>
      </w:r>
      <w:r w:rsidR="00E175B8" w:rsidRPr="3C3DFBEF">
        <w:rPr>
          <w:rFonts w:cs="Wingdings"/>
        </w:rPr>
        <w:t xml:space="preserve">The </w:t>
      </w:r>
      <w:r w:rsidR="007B296C" w:rsidRPr="3C3DFBEF">
        <w:rPr>
          <w:rFonts w:cs="Wingdings"/>
        </w:rPr>
        <w:t>P</w:t>
      </w:r>
      <w:r w:rsidR="00E175B8" w:rsidRPr="3C3DFBEF">
        <w:rPr>
          <w:rFonts w:cs="Wingdings"/>
        </w:rPr>
        <w:t>roject</w:t>
      </w:r>
      <w:r w:rsidR="003C7898" w:rsidRPr="3C3DFBEF">
        <w:rPr>
          <w:rFonts w:cs="Wingdings"/>
        </w:rPr>
        <w:t xml:space="preserve"> construction </w:t>
      </w:r>
      <w:r w:rsidR="00E175B8" w:rsidRPr="3C3DFBEF">
        <w:rPr>
          <w:rFonts w:cs="Wingdings"/>
        </w:rPr>
        <w:t>works are planned to last for 12 months</w:t>
      </w:r>
      <w:r w:rsidR="00482096" w:rsidRPr="3C3DFBEF">
        <w:rPr>
          <w:rFonts w:cs="Wingdings"/>
        </w:rPr>
        <w:t>.</w:t>
      </w:r>
      <w:r w:rsidR="00E175B8" w:rsidRPr="3C3DFBEF">
        <w:rPr>
          <w:rFonts w:cs="Wingdings"/>
        </w:rPr>
        <w:t xml:space="preserve"> </w:t>
      </w:r>
      <w:r w:rsidR="00B7622B" w:rsidRPr="3C3DFBEF">
        <w:rPr>
          <w:rFonts w:cs="Wingdings"/>
        </w:rPr>
        <w:t>It</w:t>
      </w:r>
      <w:r w:rsidR="003B3D71" w:rsidRPr="3C3DFBEF">
        <w:rPr>
          <w:rFonts w:cs="Wingdings"/>
        </w:rPr>
        <w:t xml:space="preserve">s operation </w:t>
      </w:r>
      <w:r w:rsidR="00F53803" w:rsidRPr="3C3DFBEF">
        <w:rPr>
          <w:rFonts w:cs="Wingdings"/>
        </w:rPr>
        <w:t xml:space="preserve">will </w:t>
      </w:r>
      <w:r w:rsidR="00B7622B" w:rsidRPr="3C3DFBEF">
        <w:rPr>
          <w:rFonts w:cs="Wingdings"/>
        </w:rPr>
        <w:t>ha</w:t>
      </w:r>
      <w:r w:rsidR="00F53803" w:rsidRPr="3C3DFBEF">
        <w:rPr>
          <w:rFonts w:cs="Wingdings"/>
        </w:rPr>
        <w:t>ve</w:t>
      </w:r>
      <w:r w:rsidR="00B7622B" w:rsidRPr="3C3DFBEF">
        <w:rPr>
          <w:rFonts w:cs="Wingdings"/>
        </w:rPr>
        <w:t xml:space="preserve"> a service</w:t>
      </w:r>
      <w:r w:rsidR="006F5AA5" w:rsidRPr="3C3DFBEF">
        <w:rPr>
          <w:rFonts w:cs="Wingdings"/>
        </w:rPr>
        <w:t xml:space="preserve"> </w:t>
      </w:r>
      <w:r w:rsidR="00D72599" w:rsidRPr="3C3DFBEF">
        <w:rPr>
          <w:rFonts w:cs="Wingdings"/>
        </w:rPr>
        <w:t>lifetime</w:t>
      </w:r>
      <w:r w:rsidR="006F5AA5" w:rsidRPr="3C3DFBEF">
        <w:rPr>
          <w:rFonts w:cs="Wingdings"/>
        </w:rPr>
        <w:t xml:space="preserve"> of</w:t>
      </w:r>
      <w:r w:rsidR="00E175B8" w:rsidRPr="3C3DFBEF">
        <w:rPr>
          <w:rFonts w:cs="Wingdings"/>
        </w:rPr>
        <w:t xml:space="preserve"> 50 years.</w:t>
      </w:r>
      <w:r w:rsidR="003C7898" w:rsidRPr="3C3DFBEF">
        <w:rPr>
          <w:rFonts w:cs="Wingdings"/>
        </w:rPr>
        <w:t xml:space="preserve"> </w:t>
      </w:r>
      <w:r w:rsidR="006B4AC6" w:rsidRPr="3C3DFBEF">
        <w:rPr>
          <w:rFonts w:cs="Wingdings"/>
        </w:rPr>
        <w:t>In this context,</w:t>
      </w:r>
      <w:r w:rsidR="00894A5C" w:rsidRPr="3C3DFBEF">
        <w:rPr>
          <w:rFonts w:cs="Wingdings"/>
        </w:rPr>
        <w:t xml:space="preserve"> </w:t>
      </w:r>
      <w:r w:rsidR="00D72599" w:rsidRPr="3C3DFBEF">
        <w:rPr>
          <w:rFonts w:cs="Wingdings"/>
        </w:rPr>
        <w:t>the Project</w:t>
      </w:r>
      <w:r w:rsidR="00350479" w:rsidRPr="3C3DFBEF">
        <w:rPr>
          <w:rFonts w:cs="Wingdings"/>
        </w:rPr>
        <w:t xml:space="preserve"> </w:t>
      </w:r>
      <w:r w:rsidR="00731152" w:rsidRPr="3C3DFBEF">
        <w:rPr>
          <w:rFonts w:cs="Wingdings"/>
        </w:rPr>
        <w:t>include</w:t>
      </w:r>
      <w:r w:rsidR="00801CCB" w:rsidRPr="3C3DFBEF">
        <w:rPr>
          <w:rFonts w:cs="Wingdings"/>
        </w:rPr>
        <w:t>s</w:t>
      </w:r>
      <w:r w:rsidR="00350479" w:rsidRPr="3C3DFBEF">
        <w:rPr>
          <w:rFonts w:cs="Wingdings"/>
        </w:rPr>
        <w:t xml:space="preserve"> as follows</w:t>
      </w:r>
      <w:r w:rsidR="00EA27A4" w:rsidRPr="3C3DFBEF">
        <w:rPr>
          <w:rFonts w:cs="Wingdings"/>
        </w:rPr>
        <w:t>.</w:t>
      </w:r>
    </w:p>
    <w:p w14:paraId="09CD33D6" w14:textId="3382F02F" w:rsidR="00E519EF" w:rsidRPr="00EE43C6" w:rsidRDefault="00620157" w:rsidP="00854BE8">
      <w:pPr>
        <w:pStyle w:val="ListParagraph"/>
        <w:numPr>
          <w:ilvl w:val="0"/>
          <w:numId w:val="25"/>
        </w:numPr>
        <w:rPr>
          <w:rFonts w:eastAsiaTheme="minorEastAsia" w:cs="MS Gothic"/>
          <w:noProof w:val="0"/>
        </w:rPr>
      </w:pPr>
      <w:r w:rsidRPr="00EE43C6">
        <w:rPr>
          <w:rFonts w:eastAsiaTheme="minorEastAsia" w:cs="MS Gothic"/>
          <w:noProof w:val="0"/>
        </w:rPr>
        <w:t>977</w:t>
      </w:r>
      <w:r w:rsidR="002B1C01" w:rsidRPr="00EE43C6">
        <w:rPr>
          <w:rFonts w:eastAsiaTheme="minorEastAsia" w:cs="MS Gothic"/>
          <w:noProof w:val="0"/>
        </w:rPr>
        <w:t>.</w:t>
      </w:r>
      <w:r w:rsidRPr="00EE43C6">
        <w:rPr>
          <w:rFonts w:eastAsiaTheme="minorEastAsia" w:cs="MS Gothic"/>
          <w:noProof w:val="0"/>
        </w:rPr>
        <w:t>633</w:t>
      </w:r>
      <w:r w:rsidR="00D45587" w:rsidRPr="00EE43C6">
        <w:rPr>
          <w:rFonts w:eastAsiaTheme="minorEastAsia" w:cs="MS Gothic"/>
          <w:noProof w:val="0"/>
        </w:rPr>
        <w:t xml:space="preserve"> </w:t>
      </w:r>
      <w:r w:rsidRPr="00EE43C6">
        <w:rPr>
          <w:rFonts w:eastAsiaTheme="minorEastAsia" w:cs="MS Gothic"/>
          <w:noProof w:val="0"/>
        </w:rPr>
        <w:t xml:space="preserve">m </w:t>
      </w:r>
      <w:r w:rsidR="00D45587" w:rsidRPr="00EE43C6">
        <w:rPr>
          <w:rFonts w:eastAsiaTheme="minorEastAsia" w:cs="MS Gothic"/>
          <w:noProof w:val="0"/>
        </w:rPr>
        <w:t>d</w:t>
      </w:r>
      <w:r w:rsidR="00114F7E" w:rsidRPr="00EE43C6">
        <w:rPr>
          <w:rFonts w:eastAsiaTheme="minorEastAsia" w:cs="MS Gothic"/>
          <w:noProof w:val="0"/>
        </w:rPr>
        <w:t>ivers</w:t>
      </w:r>
      <w:r w:rsidR="006D6F86" w:rsidRPr="00EE43C6">
        <w:rPr>
          <w:rFonts w:eastAsiaTheme="minorEastAsia" w:cs="MS Gothic"/>
          <w:noProof w:val="0"/>
        </w:rPr>
        <w:t>i</w:t>
      </w:r>
      <w:r w:rsidR="00114F7E" w:rsidRPr="00EE43C6">
        <w:rPr>
          <w:rFonts w:eastAsiaTheme="minorEastAsia" w:cs="MS Gothic"/>
          <w:noProof w:val="0"/>
        </w:rPr>
        <w:t xml:space="preserve">on </w:t>
      </w:r>
      <w:r w:rsidR="00E519EF" w:rsidRPr="00EE43C6">
        <w:rPr>
          <w:rFonts w:eastAsiaTheme="minorEastAsia" w:cs="MS Gothic"/>
          <w:noProof w:val="0"/>
        </w:rPr>
        <w:t>canal,</w:t>
      </w:r>
    </w:p>
    <w:p w14:paraId="445CE615" w14:textId="41451A9C" w:rsidR="00413954" w:rsidRPr="00EE43C6" w:rsidRDefault="00733E7B" w:rsidP="00854BE8">
      <w:pPr>
        <w:pStyle w:val="ListParagraph"/>
        <w:numPr>
          <w:ilvl w:val="0"/>
          <w:numId w:val="25"/>
        </w:numPr>
        <w:rPr>
          <w:rFonts w:eastAsiaTheme="minorEastAsia" w:cs="MS Gothic"/>
          <w:noProof w:val="0"/>
        </w:rPr>
      </w:pPr>
      <w:r w:rsidRPr="00EE43C6">
        <w:rPr>
          <w:rFonts w:eastAsiaTheme="minorEastAsia" w:cs="MS Gothic"/>
          <w:noProof w:val="0"/>
        </w:rPr>
        <w:t>8.</w:t>
      </w:r>
      <w:r w:rsidR="00B05F5F" w:rsidRPr="00EE43C6">
        <w:rPr>
          <w:rFonts w:eastAsiaTheme="minorEastAsia" w:cs="MS Gothic"/>
          <w:noProof w:val="0"/>
        </w:rPr>
        <w:t>8</w:t>
      </w:r>
      <w:r w:rsidRPr="00EE43C6">
        <w:rPr>
          <w:rFonts w:eastAsiaTheme="minorEastAsia" w:cs="MS Gothic"/>
          <w:noProof w:val="0"/>
        </w:rPr>
        <w:t>5 km road</w:t>
      </w:r>
      <w:r w:rsidR="00413954" w:rsidRPr="00EE43C6">
        <w:rPr>
          <w:rFonts w:eastAsiaTheme="minorEastAsia" w:cs="MS Gothic"/>
          <w:noProof w:val="0"/>
        </w:rPr>
        <w:t>,</w:t>
      </w:r>
    </w:p>
    <w:p w14:paraId="3AF39988" w14:textId="1FAE7761" w:rsidR="00413954" w:rsidRPr="00EE43C6" w:rsidRDefault="00733E7B" w:rsidP="00854BE8">
      <w:pPr>
        <w:pStyle w:val="ListParagraph"/>
        <w:numPr>
          <w:ilvl w:val="0"/>
          <w:numId w:val="25"/>
        </w:numPr>
        <w:rPr>
          <w:rFonts w:eastAsiaTheme="minorEastAsia" w:cs="MS Gothic"/>
          <w:noProof w:val="0"/>
        </w:rPr>
      </w:pPr>
      <w:r w:rsidRPr="00EE43C6">
        <w:rPr>
          <w:rFonts w:eastAsiaTheme="minorEastAsia" w:cs="MS Gothic"/>
          <w:noProof w:val="0"/>
        </w:rPr>
        <w:t>8.</w:t>
      </w:r>
      <w:r w:rsidR="00294CBA" w:rsidRPr="00EE43C6">
        <w:rPr>
          <w:rFonts w:eastAsiaTheme="minorEastAsia" w:cs="MS Gothic"/>
          <w:noProof w:val="0"/>
        </w:rPr>
        <w:t>135</w:t>
      </w:r>
      <w:r w:rsidRPr="00EE43C6">
        <w:rPr>
          <w:rFonts w:eastAsiaTheme="minorEastAsia" w:cs="MS Gothic"/>
          <w:noProof w:val="0"/>
        </w:rPr>
        <w:t xml:space="preserve"> km clean water line</w:t>
      </w:r>
      <w:r w:rsidR="00413954" w:rsidRPr="00EE43C6">
        <w:rPr>
          <w:rFonts w:eastAsiaTheme="minorEastAsia" w:cs="MS Gothic"/>
          <w:noProof w:val="0"/>
        </w:rPr>
        <w:t>,</w:t>
      </w:r>
    </w:p>
    <w:p w14:paraId="2E55D172" w14:textId="7F002A4A" w:rsidR="00413954" w:rsidRPr="00EE43C6" w:rsidRDefault="00B05F5F" w:rsidP="00854BE8">
      <w:pPr>
        <w:pStyle w:val="ListParagraph"/>
        <w:numPr>
          <w:ilvl w:val="0"/>
          <w:numId w:val="25"/>
        </w:numPr>
        <w:rPr>
          <w:rFonts w:eastAsiaTheme="minorEastAsia" w:cs="MS Gothic"/>
          <w:noProof w:val="0"/>
        </w:rPr>
      </w:pPr>
      <w:r w:rsidRPr="00EE43C6">
        <w:rPr>
          <w:rFonts w:eastAsiaTheme="minorEastAsia" w:cs="MS Gothic"/>
          <w:noProof w:val="0"/>
        </w:rPr>
        <w:t>9</w:t>
      </w:r>
      <w:r w:rsidR="00733E7B" w:rsidRPr="00EE43C6">
        <w:rPr>
          <w:rFonts w:eastAsiaTheme="minorEastAsia" w:cs="MS Gothic"/>
          <w:noProof w:val="0"/>
        </w:rPr>
        <w:t>.</w:t>
      </w:r>
      <w:r w:rsidRPr="00EE43C6">
        <w:rPr>
          <w:rFonts w:eastAsiaTheme="minorEastAsia" w:cs="MS Gothic"/>
          <w:noProof w:val="0"/>
        </w:rPr>
        <w:t>435</w:t>
      </w:r>
      <w:r w:rsidR="00733E7B" w:rsidRPr="00EE43C6">
        <w:rPr>
          <w:rFonts w:eastAsiaTheme="minorEastAsia" w:cs="MS Gothic"/>
          <w:noProof w:val="0"/>
        </w:rPr>
        <w:t xml:space="preserve"> km </w:t>
      </w:r>
      <w:r w:rsidR="004F0814" w:rsidRPr="004F0814">
        <w:rPr>
          <w:rFonts w:eastAsiaTheme="minorEastAsia" w:cs="MS Gothic"/>
          <w:noProof w:val="0"/>
        </w:rPr>
        <w:t>process water (treated wastewater)</w:t>
      </w:r>
      <w:r w:rsidR="004F0814">
        <w:rPr>
          <w:rFonts w:eastAsiaTheme="minorEastAsia" w:cs="MS Gothic"/>
          <w:noProof w:val="0"/>
        </w:rPr>
        <w:t xml:space="preserve"> </w:t>
      </w:r>
      <w:r w:rsidR="00733E7B" w:rsidRPr="00EE43C6">
        <w:rPr>
          <w:rFonts w:eastAsiaTheme="minorEastAsia" w:cs="MS Gothic"/>
          <w:noProof w:val="0"/>
        </w:rPr>
        <w:t>line</w:t>
      </w:r>
      <w:r w:rsidR="00413954" w:rsidRPr="00EE43C6">
        <w:rPr>
          <w:rFonts w:eastAsiaTheme="minorEastAsia" w:cs="MS Gothic"/>
          <w:noProof w:val="0"/>
        </w:rPr>
        <w:t>,</w:t>
      </w:r>
    </w:p>
    <w:p w14:paraId="0F62FFF5" w14:textId="77777777" w:rsidR="005E00CB" w:rsidRPr="00EE43C6" w:rsidRDefault="005E00CB" w:rsidP="00854BE8">
      <w:pPr>
        <w:pStyle w:val="ListParagraph"/>
        <w:numPr>
          <w:ilvl w:val="0"/>
          <w:numId w:val="25"/>
        </w:numPr>
        <w:rPr>
          <w:rFonts w:eastAsiaTheme="minorEastAsia" w:cs="MS Gothic"/>
          <w:noProof w:val="0"/>
        </w:rPr>
      </w:pPr>
      <w:r w:rsidRPr="00EE43C6">
        <w:rPr>
          <w:rFonts w:eastAsiaTheme="minorEastAsia" w:cs="MS Gothic"/>
          <w:noProof w:val="0"/>
        </w:rPr>
        <w:t>5.05 km stormwater line,</w:t>
      </w:r>
    </w:p>
    <w:p w14:paraId="2D50D07E" w14:textId="3B9690DF" w:rsidR="00413954" w:rsidRPr="00EE43C6" w:rsidRDefault="0000483D" w:rsidP="00854BE8">
      <w:pPr>
        <w:pStyle w:val="ListParagraph"/>
        <w:numPr>
          <w:ilvl w:val="0"/>
          <w:numId w:val="25"/>
        </w:numPr>
        <w:rPr>
          <w:rFonts w:eastAsiaTheme="minorEastAsia" w:cs="MS Gothic"/>
          <w:noProof w:val="0"/>
        </w:rPr>
      </w:pPr>
      <w:r w:rsidRPr="00EE43C6">
        <w:rPr>
          <w:rFonts w:eastAsiaTheme="minorEastAsia" w:cs="MS Gothic"/>
          <w:noProof w:val="0"/>
        </w:rPr>
        <w:t>3.998</w:t>
      </w:r>
      <w:r w:rsidR="00850C08" w:rsidRPr="00EE43C6">
        <w:rPr>
          <w:rFonts w:eastAsiaTheme="minorEastAsia" w:cs="MS Gothic"/>
          <w:noProof w:val="0"/>
        </w:rPr>
        <w:t xml:space="preserve"> km wastewater line</w:t>
      </w:r>
      <w:r w:rsidR="00413954" w:rsidRPr="00EE43C6">
        <w:rPr>
          <w:rFonts w:eastAsiaTheme="minorEastAsia" w:cs="MS Gothic"/>
          <w:noProof w:val="0"/>
        </w:rPr>
        <w:t>,</w:t>
      </w:r>
    </w:p>
    <w:p w14:paraId="153D8814" w14:textId="743EA52D" w:rsidR="00413954" w:rsidRPr="00EE43C6" w:rsidRDefault="00850C08" w:rsidP="00854BE8">
      <w:pPr>
        <w:pStyle w:val="ListParagraph"/>
        <w:numPr>
          <w:ilvl w:val="0"/>
          <w:numId w:val="25"/>
        </w:numPr>
        <w:rPr>
          <w:rFonts w:eastAsiaTheme="minorEastAsia" w:cs="MS Gothic"/>
          <w:noProof w:val="0"/>
        </w:rPr>
      </w:pPr>
      <w:r w:rsidRPr="00EE43C6">
        <w:rPr>
          <w:rFonts w:eastAsiaTheme="minorEastAsia" w:cs="MS Gothic"/>
          <w:noProof w:val="0"/>
        </w:rPr>
        <w:t>15.</w:t>
      </w:r>
      <w:r w:rsidR="00681F1B" w:rsidRPr="00EE43C6">
        <w:rPr>
          <w:rFonts w:eastAsiaTheme="minorEastAsia" w:cs="MS Gothic"/>
          <w:noProof w:val="0"/>
        </w:rPr>
        <w:t>370</w:t>
      </w:r>
      <w:r w:rsidRPr="00EE43C6">
        <w:rPr>
          <w:rFonts w:eastAsiaTheme="minorEastAsia" w:cs="MS Gothic"/>
          <w:noProof w:val="0"/>
        </w:rPr>
        <w:t xml:space="preserve"> km electricity distribution line</w:t>
      </w:r>
      <w:r w:rsidR="00413954" w:rsidRPr="00EE43C6">
        <w:rPr>
          <w:rFonts w:eastAsiaTheme="minorEastAsia" w:cs="MS Gothic"/>
          <w:noProof w:val="0"/>
        </w:rPr>
        <w:t>,</w:t>
      </w:r>
    </w:p>
    <w:p w14:paraId="2609EB8C" w14:textId="5CE1F0EB" w:rsidR="00FF6006" w:rsidRPr="00EE43C6" w:rsidRDefault="00FF6006" w:rsidP="00854BE8">
      <w:pPr>
        <w:pStyle w:val="ListParagraph"/>
        <w:numPr>
          <w:ilvl w:val="0"/>
          <w:numId w:val="25"/>
        </w:numPr>
        <w:rPr>
          <w:rFonts w:eastAsiaTheme="minorEastAsia" w:cs="MS Gothic"/>
          <w:noProof w:val="0"/>
        </w:rPr>
      </w:pPr>
      <w:r w:rsidRPr="00EE43C6">
        <w:rPr>
          <w:rFonts w:eastAsiaTheme="minorEastAsia" w:cs="MS Gothic"/>
          <w:noProof w:val="0"/>
        </w:rPr>
        <w:t xml:space="preserve">3.581 km </w:t>
      </w:r>
      <w:r w:rsidR="00C60D43" w:rsidRPr="00EE43C6">
        <w:rPr>
          <w:rFonts w:eastAsiaTheme="minorEastAsia" w:cs="MS Gothic"/>
          <w:noProof w:val="0"/>
        </w:rPr>
        <w:t>environmental lighting line,</w:t>
      </w:r>
    </w:p>
    <w:p w14:paraId="749A2108" w14:textId="44634395" w:rsidR="00413954" w:rsidRPr="00EE43C6" w:rsidRDefault="00D45587" w:rsidP="00854BE8">
      <w:pPr>
        <w:pStyle w:val="ListParagraph"/>
        <w:numPr>
          <w:ilvl w:val="0"/>
          <w:numId w:val="25"/>
        </w:numPr>
        <w:rPr>
          <w:rFonts w:eastAsiaTheme="minorEastAsia" w:cs="MS Gothic"/>
          <w:noProof w:val="0"/>
        </w:rPr>
      </w:pPr>
      <w:r w:rsidRPr="00EE43C6">
        <w:rPr>
          <w:rFonts w:eastAsiaTheme="minorEastAsia" w:cs="MS Gothic"/>
          <w:noProof w:val="0"/>
        </w:rPr>
        <w:t>4</w:t>
      </w:r>
      <w:r w:rsidR="00850C08" w:rsidRPr="00EE43C6">
        <w:rPr>
          <w:rFonts w:eastAsiaTheme="minorEastAsia" w:cs="MS Gothic"/>
          <w:noProof w:val="0"/>
        </w:rPr>
        <w:t xml:space="preserve"> </w:t>
      </w:r>
      <w:r w:rsidR="004F12D5" w:rsidRPr="004F12D5">
        <w:rPr>
          <w:rFonts w:eastAsiaTheme="minorEastAsia" w:cs="MS Gothic"/>
          <w:noProof w:val="0"/>
        </w:rPr>
        <w:t xml:space="preserve">electricity </w:t>
      </w:r>
      <w:r w:rsidR="00850C08" w:rsidRPr="00EE43C6">
        <w:rPr>
          <w:rFonts w:eastAsiaTheme="minorEastAsia" w:cs="MS Gothic"/>
          <w:noProof w:val="0"/>
        </w:rPr>
        <w:t>distribution centers</w:t>
      </w:r>
      <w:r w:rsidR="00413954" w:rsidRPr="00EE43C6">
        <w:rPr>
          <w:rFonts w:eastAsiaTheme="minorEastAsia" w:cs="MS Gothic"/>
          <w:noProof w:val="0"/>
        </w:rPr>
        <w:t>,</w:t>
      </w:r>
    </w:p>
    <w:p w14:paraId="57F231D5" w14:textId="661CCDF1" w:rsidR="00413954" w:rsidRPr="00EE43C6" w:rsidRDefault="00850C08" w:rsidP="00854BE8">
      <w:pPr>
        <w:pStyle w:val="ListParagraph"/>
        <w:numPr>
          <w:ilvl w:val="0"/>
          <w:numId w:val="25"/>
        </w:numPr>
        <w:rPr>
          <w:rFonts w:eastAsiaTheme="minorEastAsia" w:cs="MS Gothic"/>
          <w:noProof w:val="0"/>
        </w:rPr>
      </w:pPr>
      <w:r w:rsidRPr="00EE43C6">
        <w:rPr>
          <w:rFonts w:eastAsiaTheme="minorEastAsia" w:cs="MS Gothic"/>
          <w:noProof w:val="0"/>
        </w:rPr>
        <w:t xml:space="preserve">110 </w:t>
      </w:r>
      <w:r w:rsidR="00AD1C22" w:rsidRPr="00EE43C6">
        <w:rPr>
          <w:rFonts w:eastAsiaTheme="minorEastAsia" w:cs="MS Gothic"/>
          <w:noProof w:val="0"/>
        </w:rPr>
        <w:t>lighting poles</w:t>
      </w:r>
      <w:r w:rsidR="00413954" w:rsidRPr="00EE43C6">
        <w:rPr>
          <w:rFonts w:eastAsiaTheme="minorEastAsia" w:cs="MS Gothic"/>
          <w:noProof w:val="0"/>
        </w:rPr>
        <w:t>,</w:t>
      </w:r>
    </w:p>
    <w:p w14:paraId="26AD39A9" w14:textId="1A40845F" w:rsidR="00096F2A" w:rsidRPr="00EE43C6" w:rsidRDefault="00096F2A" w:rsidP="00854BE8">
      <w:pPr>
        <w:pStyle w:val="ListParagraph"/>
        <w:numPr>
          <w:ilvl w:val="0"/>
          <w:numId w:val="25"/>
        </w:numPr>
        <w:rPr>
          <w:rFonts w:eastAsiaTheme="minorEastAsia" w:cs="MS Gothic"/>
          <w:noProof w:val="0"/>
        </w:rPr>
      </w:pPr>
      <w:r w:rsidRPr="00EE43C6">
        <w:rPr>
          <w:rFonts w:eastAsiaTheme="minorEastAsia" w:cs="MS Gothic"/>
          <w:noProof w:val="0"/>
        </w:rPr>
        <w:t xml:space="preserve">143 LED </w:t>
      </w:r>
      <w:r w:rsidR="00BE52EF" w:rsidRPr="00EE43C6">
        <w:rPr>
          <w:rFonts w:eastAsiaTheme="minorEastAsia" w:cs="MS Gothic"/>
          <w:noProof w:val="0"/>
        </w:rPr>
        <w:t>armature</w:t>
      </w:r>
      <w:r w:rsidR="005E00CB" w:rsidRPr="00EE43C6">
        <w:rPr>
          <w:rFonts w:eastAsiaTheme="minorEastAsia" w:cs="MS Gothic"/>
          <w:noProof w:val="0"/>
        </w:rPr>
        <w:t>s</w:t>
      </w:r>
      <w:r w:rsidR="00BE52EF" w:rsidRPr="00EE43C6">
        <w:rPr>
          <w:rFonts w:eastAsiaTheme="minorEastAsia" w:cs="MS Gothic"/>
          <w:noProof w:val="0"/>
        </w:rPr>
        <w:t>,</w:t>
      </w:r>
    </w:p>
    <w:p w14:paraId="09BE4217" w14:textId="3D53A233" w:rsidR="00413954" w:rsidRPr="00EE43C6" w:rsidRDefault="003F02FB" w:rsidP="00854BE8">
      <w:pPr>
        <w:pStyle w:val="ListParagraph"/>
        <w:numPr>
          <w:ilvl w:val="0"/>
          <w:numId w:val="25"/>
        </w:numPr>
        <w:rPr>
          <w:rFonts w:eastAsiaTheme="minorEastAsia" w:cs="MS Gothic"/>
          <w:noProof w:val="0"/>
        </w:rPr>
      </w:pPr>
      <w:r>
        <w:rPr>
          <w:rFonts w:eastAsiaTheme="minorEastAsia" w:cs="MS Gothic"/>
          <w:noProof w:val="0"/>
        </w:rPr>
        <w:t>One (</w:t>
      </w:r>
      <w:r w:rsidR="00AD1C22" w:rsidRPr="00EE43C6">
        <w:rPr>
          <w:rFonts w:eastAsiaTheme="minorEastAsia" w:cs="MS Gothic"/>
          <w:noProof w:val="0"/>
        </w:rPr>
        <w:t>1</w:t>
      </w:r>
      <w:r>
        <w:rPr>
          <w:rFonts w:eastAsiaTheme="minorEastAsia" w:cs="MS Gothic"/>
          <w:noProof w:val="0"/>
        </w:rPr>
        <w:t>)</w:t>
      </w:r>
      <w:r w:rsidR="00AD1C22" w:rsidRPr="00EE43C6">
        <w:rPr>
          <w:rFonts w:eastAsiaTheme="minorEastAsia" w:cs="MS Gothic"/>
          <w:noProof w:val="0"/>
        </w:rPr>
        <w:t xml:space="preserve"> se</w:t>
      </w:r>
      <w:r w:rsidR="002C68CA">
        <w:rPr>
          <w:rFonts w:eastAsiaTheme="minorEastAsia" w:cs="MS Gothic"/>
          <w:noProof w:val="0"/>
        </w:rPr>
        <w:t>t</w:t>
      </w:r>
      <w:r w:rsidR="00AD1C22" w:rsidRPr="00EE43C6">
        <w:rPr>
          <w:rFonts w:eastAsiaTheme="minorEastAsia" w:cs="MS Gothic"/>
          <w:noProof w:val="0"/>
        </w:rPr>
        <w:t xml:space="preserve"> of </w:t>
      </w:r>
      <w:r w:rsidR="00413954" w:rsidRPr="00EE43C6">
        <w:rPr>
          <w:rFonts w:eastAsiaTheme="minorEastAsia" w:cs="MS Gothic"/>
          <w:noProof w:val="0"/>
        </w:rPr>
        <w:t>SCADA and</w:t>
      </w:r>
    </w:p>
    <w:p w14:paraId="62FA1497" w14:textId="7A0AA952" w:rsidR="00413954" w:rsidRPr="00EE43C6" w:rsidRDefault="003F02FB" w:rsidP="00854BE8">
      <w:pPr>
        <w:pStyle w:val="ListParagraph"/>
        <w:numPr>
          <w:ilvl w:val="0"/>
          <w:numId w:val="25"/>
        </w:numPr>
        <w:rPr>
          <w:rFonts w:eastAsiaTheme="minorEastAsia" w:cs="MS Gothic"/>
          <w:noProof w:val="0"/>
        </w:rPr>
      </w:pPr>
      <w:r>
        <w:rPr>
          <w:rFonts w:eastAsiaTheme="minorEastAsia" w:cs="MS Gothic"/>
          <w:noProof w:val="0"/>
        </w:rPr>
        <w:t>One (</w:t>
      </w:r>
      <w:r w:rsidR="00AD1C22" w:rsidRPr="00EE43C6">
        <w:rPr>
          <w:rFonts w:eastAsiaTheme="minorEastAsia" w:cs="MS Gothic"/>
          <w:noProof w:val="0"/>
        </w:rPr>
        <w:t>1</w:t>
      </w:r>
      <w:r>
        <w:rPr>
          <w:rFonts w:eastAsiaTheme="minorEastAsia" w:cs="MS Gothic"/>
          <w:noProof w:val="0"/>
        </w:rPr>
        <w:t>)</w:t>
      </w:r>
      <w:r w:rsidR="00AD1C22" w:rsidRPr="00EE43C6">
        <w:rPr>
          <w:rFonts w:eastAsiaTheme="minorEastAsia" w:cs="MS Gothic"/>
          <w:noProof w:val="0"/>
        </w:rPr>
        <w:t xml:space="preserve"> </w:t>
      </w:r>
      <w:bookmarkStart w:id="31" w:name="_Hlk126075460"/>
      <w:r w:rsidR="00AD1C22" w:rsidRPr="00EE43C6">
        <w:rPr>
          <w:rFonts w:eastAsiaTheme="minorEastAsia" w:cs="MS Gothic"/>
          <w:noProof w:val="0"/>
        </w:rPr>
        <w:t xml:space="preserve">set Telecom </w:t>
      </w:r>
      <w:r w:rsidR="00162952" w:rsidRPr="00EE43C6">
        <w:rPr>
          <w:rFonts w:eastAsiaTheme="minorEastAsia" w:cs="MS Gothic"/>
          <w:noProof w:val="0"/>
        </w:rPr>
        <w:t>infrastructure</w:t>
      </w:r>
      <w:bookmarkEnd w:id="31"/>
      <w:r w:rsidR="00413954" w:rsidRPr="00EE43C6">
        <w:rPr>
          <w:rFonts w:eastAsiaTheme="minorEastAsia" w:cs="MS Gothic"/>
          <w:noProof w:val="0"/>
        </w:rPr>
        <w:t>.</w:t>
      </w:r>
    </w:p>
    <w:p w14:paraId="718A022D" w14:textId="033D3ED0" w:rsidR="003B4515" w:rsidRPr="00EE43C6" w:rsidRDefault="00570577" w:rsidP="3C3DFBEF">
      <w:pPr>
        <w:rPr>
          <w:rFonts w:eastAsiaTheme="minorEastAsia"/>
          <w:lang w:eastAsia="en-US"/>
        </w:rPr>
      </w:pPr>
      <w:r w:rsidRPr="3C3DFBEF">
        <w:rPr>
          <w:rFonts w:cs="Wingdings"/>
        </w:rPr>
        <w:t xml:space="preserve">As a part of OIZ, </w:t>
      </w:r>
      <w:r w:rsidR="5F262A78" w:rsidRPr="3C3DFBEF">
        <w:rPr>
          <w:rFonts w:cs="Wingdings"/>
        </w:rPr>
        <w:t xml:space="preserve">a </w:t>
      </w:r>
      <w:r w:rsidR="00D87676" w:rsidRPr="3C3DFBEF">
        <w:rPr>
          <w:rFonts w:cs="Wingdings"/>
        </w:rPr>
        <w:t xml:space="preserve">wastewater treatment plant </w:t>
      </w:r>
      <w:r w:rsidR="00882164" w:rsidRPr="3C3DFBEF">
        <w:rPr>
          <w:rFonts w:cs="Wingdings"/>
        </w:rPr>
        <w:t xml:space="preserve">(WWTP) </w:t>
      </w:r>
      <w:r w:rsidR="00D87676" w:rsidRPr="3C3DFBEF">
        <w:rPr>
          <w:rFonts w:cs="Wingdings"/>
        </w:rPr>
        <w:t xml:space="preserve">is </w:t>
      </w:r>
      <w:r w:rsidR="00882164" w:rsidRPr="3C3DFBEF">
        <w:rPr>
          <w:rFonts w:cs="Wingdings"/>
        </w:rPr>
        <w:t xml:space="preserve">planned to be </w:t>
      </w:r>
      <w:r w:rsidR="00AF2585" w:rsidRPr="3C3DFBEF">
        <w:rPr>
          <w:rFonts w:cs="Wingdings"/>
        </w:rPr>
        <w:t xml:space="preserve">implemented. </w:t>
      </w:r>
      <w:r w:rsidR="00B42380" w:rsidRPr="3C3DFBEF">
        <w:rPr>
          <w:rFonts w:cs="Wingdings"/>
        </w:rPr>
        <w:t>It will be</w:t>
      </w:r>
      <w:r w:rsidR="00F7195B" w:rsidRPr="3C3DFBEF">
        <w:rPr>
          <w:rFonts w:cs="Wingdings"/>
        </w:rPr>
        <w:t xml:space="preserve"> </w:t>
      </w:r>
      <w:r w:rsidR="00D726DF" w:rsidRPr="3C3DFBEF">
        <w:rPr>
          <w:rFonts w:cs="Wingdings"/>
        </w:rPr>
        <w:t>built</w:t>
      </w:r>
      <w:r w:rsidR="00F7195B" w:rsidRPr="3C3DFBEF">
        <w:rPr>
          <w:rFonts w:cs="Wingdings"/>
        </w:rPr>
        <w:t xml:space="preserve"> in parallel with the construction of the infrastructure lines and is planned to be completed at the same time</w:t>
      </w:r>
      <w:r w:rsidR="00B42380" w:rsidRPr="3C3DFBEF">
        <w:rPr>
          <w:rFonts w:cs="Wingdings"/>
        </w:rPr>
        <w:t>.</w:t>
      </w:r>
      <w:r w:rsidR="00F7195B" w:rsidRPr="3C3DFBEF">
        <w:rPr>
          <w:rFonts w:eastAsiaTheme="minorEastAsia" w:cs="Wingdings"/>
        </w:rPr>
        <w:t xml:space="preserve"> </w:t>
      </w:r>
      <w:r w:rsidR="00E61F02" w:rsidRPr="3C3DFBEF">
        <w:rPr>
          <w:rFonts w:eastAsiaTheme="minorEastAsia"/>
          <w:lang w:eastAsia="en-US"/>
        </w:rPr>
        <w:t>As</w:t>
      </w:r>
      <w:r w:rsidR="00245CCB" w:rsidRPr="3C3DFBEF">
        <w:rPr>
          <w:rFonts w:eastAsiaTheme="minorEastAsia"/>
          <w:lang w:eastAsia="en-US"/>
        </w:rPr>
        <w:t xml:space="preserve"> </w:t>
      </w:r>
      <w:r w:rsidR="00640D96" w:rsidRPr="3C3DFBEF">
        <w:rPr>
          <w:rFonts w:eastAsiaTheme="minorEastAsia"/>
          <w:lang w:eastAsia="en-US"/>
        </w:rPr>
        <w:t xml:space="preserve">it is planned </w:t>
      </w:r>
      <w:r w:rsidR="3534A963" w:rsidRPr="3C3DFBEF">
        <w:rPr>
          <w:rFonts w:eastAsiaTheme="minorEastAsia"/>
          <w:lang w:eastAsia="en-US"/>
        </w:rPr>
        <w:t>for</w:t>
      </w:r>
      <w:r w:rsidR="00245CCB" w:rsidRPr="3C3DFBEF">
        <w:rPr>
          <w:rFonts w:eastAsiaTheme="minorEastAsia"/>
          <w:lang w:eastAsia="en-US"/>
        </w:rPr>
        <w:t xml:space="preserve"> Phase 2 of the Project, </w:t>
      </w:r>
      <w:r w:rsidR="00245CCB" w:rsidRPr="3C3DFBEF">
        <w:rPr>
          <w:rFonts w:cs="Wingdings"/>
        </w:rPr>
        <w:t>t</w:t>
      </w:r>
      <w:r w:rsidR="00882164" w:rsidRPr="3C3DFBEF">
        <w:rPr>
          <w:rFonts w:cs="Wingdings"/>
        </w:rPr>
        <w:t xml:space="preserve">he WWTP is </w:t>
      </w:r>
      <w:r w:rsidR="006D693D" w:rsidRPr="3C3DFBEF">
        <w:rPr>
          <w:rFonts w:cs="Wingdings"/>
        </w:rPr>
        <w:t>not part</w:t>
      </w:r>
      <w:r w:rsidR="00882164" w:rsidRPr="3C3DFBEF">
        <w:rPr>
          <w:rFonts w:cs="Wingdings"/>
        </w:rPr>
        <w:t xml:space="preserve"> of the </w:t>
      </w:r>
      <w:r w:rsidR="1ADCDD19" w:rsidRPr="3C3DFBEF">
        <w:rPr>
          <w:rFonts w:cs="Wingdings"/>
        </w:rPr>
        <w:t xml:space="preserve">present </w:t>
      </w:r>
      <w:r w:rsidR="00882164" w:rsidRPr="3C3DFBEF">
        <w:rPr>
          <w:rFonts w:cs="Wingdings"/>
        </w:rPr>
        <w:t xml:space="preserve">Project and </w:t>
      </w:r>
      <w:r w:rsidR="00882164" w:rsidRPr="3C3DFBEF">
        <w:rPr>
          <w:rFonts w:eastAsiaTheme="minorEastAsia"/>
          <w:lang w:eastAsia="en-US"/>
        </w:rPr>
        <w:t>not within the scope of loan usage</w:t>
      </w:r>
      <w:r w:rsidR="0097738E" w:rsidRPr="3C3DFBEF">
        <w:rPr>
          <w:rFonts w:eastAsiaTheme="minorEastAsia"/>
          <w:lang w:eastAsia="en-US"/>
        </w:rPr>
        <w:t>. Hence,</w:t>
      </w:r>
      <w:r w:rsidR="005C3ADA" w:rsidRPr="3C3DFBEF">
        <w:rPr>
          <w:rFonts w:eastAsiaTheme="minorEastAsia"/>
          <w:lang w:eastAsia="en-US"/>
        </w:rPr>
        <w:t xml:space="preserve"> </w:t>
      </w:r>
      <w:r w:rsidR="008E0046" w:rsidRPr="3C3DFBEF">
        <w:rPr>
          <w:rFonts w:cs="Wingdings"/>
        </w:rPr>
        <w:t>WWTP</w:t>
      </w:r>
      <w:r w:rsidR="006C1972" w:rsidRPr="3C3DFBEF">
        <w:rPr>
          <w:rFonts w:cs="Wingdings"/>
        </w:rPr>
        <w:t xml:space="preserve"> and </w:t>
      </w:r>
      <w:r w:rsidR="006C1972" w:rsidRPr="3C3DFBEF">
        <w:rPr>
          <w:rFonts w:eastAsiaTheme="minorEastAsia"/>
          <w:lang w:eastAsia="en-US"/>
        </w:rPr>
        <w:t>the Phase 2 of the Project</w:t>
      </w:r>
      <w:r w:rsidR="008E0046" w:rsidRPr="3C3DFBEF">
        <w:rPr>
          <w:rFonts w:cs="Wingdings"/>
        </w:rPr>
        <w:t xml:space="preserve"> </w:t>
      </w:r>
      <w:r w:rsidR="00882164" w:rsidRPr="3C3DFBEF">
        <w:rPr>
          <w:rFonts w:eastAsiaTheme="minorEastAsia"/>
          <w:lang w:eastAsia="en-US"/>
        </w:rPr>
        <w:t>ha</w:t>
      </w:r>
      <w:r w:rsidR="006C1972" w:rsidRPr="3C3DFBEF">
        <w:rPr>
          <w:rFonts w:eastAsiaTheme="minorEastAsia"/>
          <w:lang w:eastAsia="en-US"/>
        </w:rPr>
        <w:t>ve</w:t>
      </w:r>
      <w:r w:rsidR="00882164" w:rsidRPr="3C3DFBEF">
        <w:rPr>
          <w:rFonts w:eastAsiaTheme="minorEastAsia"/>
          <w:lang w:eastAsia="en-US"/>
        </w:rPr>
        <w:t xml:space="preserve"> been assessed as associated facility</w:t>
      </w:r>
      <w:r w:rsidR="00874BB7" w:rsidRPr="3C3DFBEF">
        <w:rPr>
          <w:rStyle w:val="FootnoteReference"/>
          <w:rFonts w:eastAsiaTheme="minorEastAsia"/>
          <w:lang w:eastAsia="en-US"/>
        </w:rPr>
        <w:footnoteReference w:id="2"/>
      </w:r>
      <w:r w:rsidR="00882164" w:rsidRPr="3C3DFBEF">
        <w:rPr>
          <w:rFonts w:eastAsiaTheme="minorEastAsia"/>
          <w:lang w:eastAsia="en-US"/>
        </w:rPr>
        <w:t>.</w:t>
      </w:r>
      <w:r w:rsidR="008F1C5D" w:rsidRPr="3C3DFBEF">
        <w:rPr>
          <w:rFonts w:eastAsiaTheme="minorEastAsia"/>
          <w:lang w:eastAsia="en-US"/>
        </w:rPr>
        <w:t xml:space="preserve"> In this context, </w:t>
      </w:r>
      <w:r w:rsidR="00545A99" w:rsidRPr="3C3DFBEF">
        <w:rPr>
          <w:rFonts w:eastAsiaTheme="minorEastAsia"/>
          <w:lang w:eastAsia="en-US"/>
        </w:rPr>
        <w:t>activities</w:t>
      </w:r>
      <w:r w:rsidR="008F1C5D" w:rsidRPr="3C3DFBEF">
        <w:rPr>
          <w:rFonts w:eastAsiaTheme="minorEastAsia"/>
          <w:lang w:eastAsia="en-US"/>
        </w:rPr>
        <w:t xml:space="preserve"> </w:t>
      </w:r>
      <w:r w:rsidR="003252B5" w:rsidRPr="3C3DFBEF">
        <w:rPr>
          <w:rFonts w:eastAsiaTheme="minorEastAsia"/>
          <w:lang w:eastAsia="en-US"/>
        </w:rPr>
        <w:t xml:space="preserve">to be carried out </w:t>
      </w:r>
      <w:r w:rsidR="004C3BD7" w:rsidRPr="3C3DFBEF">
        <w:rPr>
          <w:rFonts w:eastAsiaTheme="minorEastAsia"/>
          <w:lang w:eastAsia="en-US"/>
        </w:rPr>
        <w:t>within the OIZ</w:t>
      </w:r>
      <w:r w:rsidR="00780CA0" w:rsidRPr="3C3DFBEF">
        <w:rPr>
          <w:rFonts w:eastAsiaTheme="minorEastAsia"/>
          <w:lang w:eastAsia="en-US"/>
        </w:rPr>
        <w:t xml:space="preserve"> Area</w:t>
      </w:r>
      <w:r w:rsidR="004C3BD7" w:rsidRPr="3C3DFBEF">
        <w:rPr>
          <w:rFonts w:eastAsiaTheme="minorEastAsia"/>
          <w:lang w:eastAsia="en-US"/>
        </w:rPr>
        <w:t xml:space="preserve"> </w:t>
      </w:r>
      <w:r w:rsidR="00D75EEF" w:rsidRPr="3C3DFBEF">
        <w:rPr>
          <w:rFonts w:eastAsiaTheme="minorEastAsia"/>
          <w:lang w:eastAsia="en-US"/>
        </w:rPr>
        <w:t xml:space="preserve">that </w:t>
      </w:r>
      <w:r w:rsidR="003547B8" w:rsidRPr="3C3DFBEF">
        <w:rPr>
          <w:rFonts w:eastAsiaTheme="minorEastAsia"/>
          <w:lang w:eastAsia="en-US"/>
        </w:rPr>
        <w:t>are</w:t>
      </w:r>
      <w:r w:rsidR="008F1C5D" w:rsidRPr="3C3DFBEF">
        <w:rPr>
          <w:rFonts w:eastAsiaTheme="minorEastAsia"/>
          <w:lang w:eastAsia="en-US"/>
        </w:rPr>
        <w:t xml:space="preserve"> not covered by the Project loan usage </w:t>
      </w:r>
      <w:r w:rsidR="00A666A8" w:rsidRPr="3C3DFBEF">
        <w:rPr>
          <w:rFonts w:eastAsiaTheme="minorEastAsia"/>
          <w:lang w:eastAsia="en-US"/>
        </w:rPr>
        <w:t xml:space="preserve">but assessed as associated facility </w:t>
      </w:r>
      <w:r w:rsidR="008F1C5D" w:rsidRPr="3C3DFBEF">
        <w:rPr>
          <w:rFonts w:eastAsiaTheme="minorEastAsia"/>
          <w:lang w:eastAsia="en-US"/>
        </w:rPr>
        <w:t xml:space="preserve">are </w:t>
      </w:r>
      <w:r w:rsidR="002E36AF" w:rsidRPr="3C3DFBEF">
        <w:rPr>
          <w:rFonts w:eastAsiaTheme="minorEastAsia"/>
          <w:lang w:eastAsia="en-US"/>
        </w:rPr>
        <w:t>summarized</w:t>
      </w:r>
      <w:r w:rsidR="008F1C5D" w:rsidRPr="3C3DFBEF">
        <w:rPr>
          <w:rFonts w:eastAsiaTheme="minorEastAsia"/>
          <w:lang w:eastAsia="en-US"/>
        </w:rPr>
        <w:t xml:space="preserve"> </w:t>
      </w:r>
      <w:r w:rsidR="003B4515" w:rsidRPr="3C3DFBEF">
        <w:rPr>
          <w:rFonts w:eastAsiaTheme="minorEastAsia"/>
          <w:lang w:eastAsia="en-US"/>
        </w:rPr>
        <w:t>in</w:t>
      </w:r>
      <w:r w:rsidR="00CE3B94" w:rsidRPr="3C3DFBEF">
        <w:rPr>
          <w:rFonts w:eastAsiaTheme="minorEastAsia"/>
          <w:lang w:eastAsia="en-US"/>
        </w:rPr>
        <w:t xml:space="preserve"> </w:t>
      </w:r>
      <w:r w:rsidR="00CE3B94" w:rsidRPr="3C3DFBEF">
        <w:rPr>
          <w:rFonts w:eastAsiaTheme="minorEastAsia"/>
          <w:lang w:eastAsia="en-US"/>
        </w:rPr>
        <w:fldChar w:fldCharType="begin"/>
      </w:r>
      <w:r w:rsidR="00CE3B94" w:rsidRPr="3C3DFBEF">
        <w:rPr>
          <w:rFonts w:eastAsiaTheme="minorEastAsia"/>
          <w:lang w:eastAsia="en-US"/>
        </w:rPr>
        <w:instrText xml:space="preserve"> REF _Ref126334194 \h </w:instrText>
      </w:r>
      <w:r w:rsidR="00CE3B94" w:rsidRPr="3C3DFBEF">
        <w:rPr>
          <w:rFonts w:eastAsiaTheme="minorEastAsia"/>
          <w:lang w:eastAsia="en-US"/>
        </w:rPr>
      </w:r>
      <w:r w:rsidR="00CE3B94" w:rsidRPr="3C3DFBEF">
        <w:rPr>
          <w:rFonts w:eastAsiaTheme="minorEastAsia"/>
          <w:lang w:eastAsia="en-US"/>
        </w:rPr>
        <w:fldChar w:fldCharType="separate"/>
      </w:r>
      <w:r w:rsidR="00D726DF" w:rsidRPr="00EE43C6">
        <w:t>Table 0</w:t>
      </w:r>
      <w:r w:rsidR="00D726DF" w:rsidRPr="00EE43C6">
        <w:noBreakHyphen/>
        <w:t>1</w:t>
      </w:r>
      <w:r w:rsidR="00CE3B94" w:rsidRPr="3C3DFBEF">
        <w:rPr>
          <w:rFonts w:eastAsiaTheme="minorEastAsia"/>
          <w:lang w:eastAsia="en-US"/>
        </w:rPr>
        <w:fldChar w:fldCharType="end"/>
      </w:r>
      <w:r w:rsidR="00754E47" w:rsidRPr="3C3DFBEF">
        <w:rPr>
          <w:rFonts w:eastAsiaTheme="minorEastAsia"/>
          <w:lang w:eastAsia="en-US"/>
        </w:rPr>
        <w:t>.</w:t>
      </w:r>
    </w:p>
    <w:p w14:paraId="2B974A2C" w14:textId="77777777" w:rsidR="00CE3B94" w:rsidRPr="00EE43C6" w:rsidRDefault="00CE3B94">
      <w:pPr>
        <w:spacing w:before="0" w:after="200" w:line="276" w:lineRule="auto"/>
        <w:jc w:val="left"/>
        <w:rPr>
          <w:b/>
          <w:bCs/>
          <w:color w:val="4F81BD"/>
          <w:sz w:val="20"/>
          <w:szCs w:val="20"/>
          <w:lang w:eastAsia="en-US"/>
        </w:rPr>
      </w:pPr>
      <w:bookmarkStart w:id="32" w:name="_Ref126234289"/>
      <w:r w:rsidRPr="00EE43C6">
        <w:br w:type="page"/>
      </w:r>
    </w:p>
    <w:p w14:paraId="1AAE947D" w14:textId="4DCDCE4E" w:rsidR="00882164" w:rsidRPr="00EE43C6" w:rsidRDefault="00754E47" w:rsidP="00754E47">
      <w:pPr>
        <w:pStyle w:val="Caption"/>
        <w:rPr>
          <w:rFonts w:eastAsiaTheme="minorHAnsi"/>
          <w:noProof w:val="0"/>
        </w:rPr>
      </w:pPr>
      <w:bookmarkStart w:id="33" w:name="_Ref126334194"/>
      <w:bookmarkStart w:id="34" w:name="_Toc141445490"/>
      <w:r w:rsidRPr="00EE43C6">
        <w:rPr>
          <w:noProof w:val="0"/>
        </w:rPr>
        <w:lastRenderedPageBreak/>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0</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w:t>
      </w:r>
      <w:r w:rsidR="006D2DE8">
        <w:rPr>
          <w:noProof w:val="0"/>
        </w:rPr>
        <w:fldChar w:fldCharType="end"/>
      </w:r>
      <w:bookmarkEnd w:id="32"/>
      <w:bookmarkEnd w:id="33"/>
      <w:r w:rsidRPr="00EE43C6">
        <w:rPr>
          <w:noProof w:val="0"/>
        </w:rPr>
        <w:t xml:space="preserve">. </w:t>
      </w:r>
      <w:r w:rsidR="006D4E9C" w:rsidRPr="00EE43C6">
        <w:rPr>
          <w:rFonts w:eastAsiaTheme="minorHAnsi"/>
          <w:b w:val="0"/>
          <w:noProof w:val="0"/>
          <w:color w:val="auto"/>
        </w:rPr>
        <w:t xml:space="preserve">Summary Table of Loan </w:t>
      </w:r>
      <w:r w:rsidRPr="00EE43C6">
        <w:rPr>
          <w:rFonts w:eastAsiaTheme="minorHAnsi"/>
          <w:b w:val="0"/>
          <w:bCs w:val="0"/>
          <w:noProof w:val="0"/>
          <w:color w:val="auto"/>
        </w:rPr>
        <w:t>Usage</w:t>
      </w:r>
      <w:r w:rsidR="006D4E9C" w:rsidRPr="00EE43C6">
        <w:rPr>
          <w:rFonts w:eastAsiaTheme="minorHAnsi"/>
          <w:b w:val="0"/>
          <w:noProof w:val="0"/>
          <w:color w:val="auto"/>
        </w:rPr>
        <w:t xml:space="preserve"> in </w:t>
      </w:r>
      <w:r w:rsidR="00740AE3" w:rsidRPr="00EE43C6">
        <w:rPr>
          <w:rFonts w:eastAsiaTheme="minorHAnsi"/>
          <w:b w:val="0"/>
          <w:bCs w:val="0"/>
          <w:noProof w:val="0"/>
          <w:color w:val="auto"/>
        </w:rPr>
        <w:t xml:space="preserve">the </w:t>
      </w:r>
      <w:r w:rsidR="006D4E9C" w:rsidRPr="00EE43C6">
        <w:rPr>
          <w:rFonts w:eastAsiaTheme="minorHAnsi"/>
          <w:b w:val="0"/>
          <w:noProof w:val="0"/>
          <w:color w:val="auto"/>
        </w:rPr>
        <w:t>OIZ</w:t>
      </w:r>
      <w:bookmarkEnd w:id="34"/>
    </w:p>
    <w:tbl>
      <w:tblPr>
        <w:tblStyle w:val="TableGrid"/>
        <w:tblW w:w="5000" w:type="pct"/>
        <w:jc w:val="center"/>
        <w:tblLook w:val="04A0" w:firstRow="1" w:lastRow="0" w:firstColumn="1" w:lastColumn="0" w:noHBand="0" w:noVBand="1"/>
      </w:tblPr>
      <w:tblGrid>
        <w:gridCol w:w="3019"/>
        <w:gridCol w:w="1565"/>
        <w:gridCol w:w="1490"/>
        <w:gridCol w:w="1490"/>
        <w:gridCol w:w="1490"/>
      </w:tblGrid>
      <w:tr w:rsidR="0098620A" w:rsidRPr="00EE43C6" w14:paraId="52EC86A6" w14:textId="77777777" w:rsidTr="00CE3B94">
        <w:trPr>
          <w:jc w:val="center"/>
        </w:trPr>
        <w:tc>
          <w:tcPr>
            <w:tcW w:w="1667" w:type="pct"/>
            <w:vMerge w:val="restart"/>
            <w:shd w:val="clear" w:color="auto" w:fill="4E81BD"/>
            <w:vAlign w:val="center"/>
          </w:tcPr>
          <w:p w14:paraId="574C9AAB" w14:textId="24C80B7A" w:rsidR="0098620A" w:rsidRPr="00EE43C6" w:rsidRDefault="00D466F7" w:rsidP="00133E8D">
            <w:pPr>
              <w:spacing w:before="60" w:after="60" w:line="240" w:lineRule="auto"/>
              <w:jc w:val="center"/>
              <w:rPr>
                <w:rFonts w:eastAsiaTheme="minorHAnsi"/>
                <w:b/>
                <w:color w:val="FFFFFF" w:themeColor="background1"/>
                <w:sz w:val="18"/>
                <w:szCs w:val="18"/>
                <w:lang w:eastAsia="en-US"/>
              </w:rPr>
            </w:pPr>
            <w:r w:rsidRPr="00EE43C6">
              <w:rPr>
                <w:rFonts w:eastAsiaTheme="minorHAnsi"/>
                <w:b/>
                <w:bCs/>
                <w:color w:val="FFFFFF" w:themeColor="background1"/>
                <w:sz w:val="18"/>
                <w:szCs w:val="18"/>
                <w:lang w:eastAsia="en-US"/>
              </w:rPr>
              <w:t>Activities to be carried out within the OIZ</w:t>
            </w:r>
            <w:r w:rsidR="000F079E" w:rsidRPr="00EE43C6">
              <w:rPr>
                <w:rFonts w:eastAsiaTheme="minorHAnsi"/>
                <w:b/>
                <w:bCs/>
                <w:color w:val="FFFFFF" w:themeColor="background1"/>
                <w:sz w:val="18"/>
                <w:szCs w:val="18"/>
                <w:lang w:eastAsia="en-US"/>
              </w:rPr>
              <w:t xml:space="preserve"> Area</w:t>
            </w:r>
          </w:p>
        </w:tc>
        <w:tc>
          <w:tcPr>
            <w:tcW w:w="1687" w:type="pct"/>
            <w:gridSpan w:val="2"/>
            <w:shd w:val="clear" w:color="auto" w:fill="4E81BD"/>
            <w:vAlign w:val="center"/>
          </w:tcPr>
          <w:p w14:paraId="30D67D6B" w14:textId="7056ADD7" w:rsidR="0098620A" w:rsidRPr="00EE43C6" w:rsidRDefault="0098620A" w:rsidP="00133E8D">
            <w:pPr>
              <w:spacing w:before="60" w:after="60" w:line="240" w:lineRule="auto"/>
              <w:jc w:val="center"/>
              <w:rPr>
                <w:rFonts w:eastAsiaTheme="minorHAnsi"/>
                <w:b/>
                <w:color w:val="FFFFFF" w:themeColor="background1"/>
                <w:sz w:val="18"/>
                <w:szCs w:val="18"/>
                <w:lang w:eastAsia="en-US"/>
              </w:rPr>
            </w:pPr>
            <w:r w:rsidRPr="00EE43C6">
              <w:rPr>
                <w:rFonts w:eastAsiaTheme="minorHAnsi"/>
                <w:b/>
                <w:color w:val="FFFFFF" w:themeColor="background1"/>
                <w:sz w:val="18"/>
                <w:szCs w:val="18"/>
                <w:lang w:eastAsia="en-US"/>
              </w:rPr>
              <w:t>Phase 1</w:t>
            </w:r>
          </w:p>
        </w:tc>
        <w:tc>
          <w:tcPr>
            <w:tcW w:w="1646" w:type="pct"/>
            <w:gridSpan w:val="2"/>
            <w:shd w:val="clear" w:color="auto" w:fill="4E81BD"/>
            <w:vAlign w:val="center"/>
          </w:tcPr>
          <w:p w14:paraId="2F964FE8" w14:textId="6D494B54" w:rsidR="0098620A" w:rsidRPr="00EE43C6" w:rsidRDefault="0098620A" w:rsidP="00133E8D">
            <w:pPr>
              <w:spacing w:before="60" w:after="60" w:line="240" w:lineRule="auto"/>
              <w:jc w:val="center"/>
              <w:rPr>
                <w:rFonts w:eastAsiaTheme="minorHAnsi"/>
                <w:b/>
                <w:color w:val="FFFFFF" w:themeColor="background1"/>
                <w:sz w:val="18"/>
                <w:szCs w:val="18"/>
                <w:lang w:eastAsia="en-US"/>
              </w:rPr>
            </w:pPr>
            <w:r w:rsidRPr="00EE43C6">
              <w:rPr>
                <w:rFonts w:eastAsiaTheme="minorHAnsi"/>
                <w:b/>
                <w:color w:val="FFFFFF" w:themeColor="background1"/>
                <w:sz w:val="18"/>
                <w:szCs w:val="18"/>
                <w:lang w:eastAsia="en-US"/>
              </w:rPr>
              <w:t>Phase 2</w:t>
            </w:r>
          </w:p>
        </w:tc>
      </w:tr>
      <w:tr w:rsidR="00F94160" w:rsidRPr="00EE43C6" w14:paraId="0D11CBE8" w14:textId="77777777" w:rsidTr="00CE3B94">
        <w:trPr>
          <w:jc w:val="center"/>
        </w:trPr>
        <w:tc>
          <w:tcPr>
            <w:tcW w:w="1667" w:type="pct"/>
            <w:vMerge/>
            <w:shd w:val="clear" w:color="auto" w:fill="4E81BD"/>
            <w:vAlign w:val="center"/>
          </w:tcPr>
          <w:p w14:paraId="663D814D" w14:textId="77777777" w:rsidR="0098620A" w:rsidRPr="00EE43C6" w:rsidRDefault="0098620A" w:rsidP="00133E8D">
            <w:pPr>
              <w:spacing w:before="60" w:after="60" w:line="240" w:lineRule="auto"/>
              <w:jc w:val="center"/>
              <w:rPr>
                <w:rFonts w:eastAsiaTheme="minorHAnsi"/>
                <w:b/>
                <w:color w:val="FFFFFF" w:themeColor="background1"/>
                <w:sz w:val="18"/>
                <w:szCs w:val="18"/>
                <w:lang w:eastAsia="en-US"/>
              </w:rPr>
            </w:pPr>
          </w:p>
        </w:tc>
        <w:tc>
          <w:tcPr>
            <w:tcW w:w="864" w:type="pct"/>
            <w:shd w:val="clear" w:color="auto" w:fill="4E81BD"/>
            <w:vAlign w:val="center"/>
          </w:tcPr>
          <w:p w14:paraId="599F27A1" w14:textId="5D2149C0" w:rsidR="0098620A" w:rsidRPr="00EE43C6" w:rsidRDefault="0098620A" w:rsidP="00133E8D">
            <w:pPr>
              <w:spacing w:before="60" w:after="60" w:line="240" w:lineRule="auto"/>
              <w:jc w:val="center"/>
              <w:rPr>
                <w:rFonts w:eastAsiaTheme="minorHAnsi"/>
                <w:b/>
                <w:color w:val="FFFFFF" w:themeColor="background1"/>
                <w:sz w:val="18"/>
                <w:szCs w:val="18"/>
                <w:lang w:eastAsia="en-US"/>
              </w:rPr>
            </w:pPr>
            <w:r w:rsidRPr="00EE43C6">
              <w:rPr>
                <w:rFonts w:eastAsiaTheme="minorHAnsi"/>
                <w:b/>
                <w:color w:val="FFFFFF" w:themeColor="background1"/>
                <w:sz w:val="18"/>
                <w:szCs w:val="18"/>
                <w:lang w:eastAsia="en-US"/>
              </w:rPr>
              <w:t>Construction Phase</w:t>
            </w:r>
          </w:p>
        </w:tc>
        <w:tc>
          <w:tcPr>
            <w:tcW w:w="823" w:type="pct"/>
            <w:shd w:val="clear" w:color="auto" w:fill="4E81BD"/>
            <w:vAlign w:val="center"/>
          </w:tcPr>
          <w:p w14:paraId="6096454E" w14:textId="0B646EB6" w:rsidR="0098620A" w:rsidRPr="00EE43C6" w:rsidRDefault="0098620A" w:rsidP="00133E8D">
            <w:pPr>
              <w:spacing w:before="60" w:after="60" w:line="240" w:lineRule="auto"/>
              <w:jc w:val="center"/>
              <w:rPr>
                <w:rFonts w:eastAsiaTheme="minorHAnsi"/>
                <w:b/>
                <w:color w:val="FFFFFF" w:themeColor="background1"/>
                <w:sz w:val="18"/>
                <w:szCs w:val="18"/>
                <w:lang w:eastAsia="en-US"/>
              </w:rPr>
            </w:pPr>
            <w:r w:rsidRPr="00EE43C6">
              <w:rPr>
                <w:rFonts w:eastAsiaTheme="minorHAnsi"/>
                <w:b/>
                <w:color w:val="FFFFFF" w:themeColor="background1"/>
                <w:sz w:val="18"/>
                <w:szCs w:val="18"/>
                <w:lang w:eastAsia="en-US"/>
              </w:rPr>
              <w:t>Operation Phase</w:t>
            </w:r>
          </w:p>
        </w:tc>
        <w:tc>
          <w:tcPr>
            <w:tcW w:w="823" w:type="pct"/>
            <w:shd w:val="clear" w:color="auto" w:fill="4E81BD"/>
            <w:vAlign w:val="center"/>
          </w:tcPr>
          <w:p w14:paraId="5A6543A2" w14:textId="611745DB" w:rsidR="0098620A" w:rsidRPr="00EE43C6" w:rsidRDefault="0098620A" w:rsidP="00133E8D">
            <w:pPr>
              <w:spacing w:before="60" w:after="60" w:line="240" w:lineRule="auto"/>
              <w:jc w:val="center"/>
              <w:rPr>
                <w:rFonts w:eastAsiaTheme="minorHAnsi"/>
                <w:b/>
                <w:color w:val="FFFFFF" w:themeColor="background1"/>
                <w:sz w:val="18"/>
                <w:szCs w:val="18"/>
                <w:lang w:eastAsia="en-US"/>
              </w:rPr>
            </w:pPr>
            <w:r w:rsidRPr="00EE43C6">
              <w:rPr>
                <w:rFonts w:eastAsiaTheme="minorHAnsi"/>
                <w:b/>
                <w:color w:val="FFFFFF" w:themeColor="background1"/>
                <w:sz w:val="18"/>
                <w:szCs w:val="18"/>
                <w:lang w:eastAsia="en-US"/>
              </w:rPr>
              <w:t>Construction Phase</w:t>
            </w:r>
          </w:p>
        </w:tc>
        <w:tc>
          <w:tcPr>
            <w:tcW w:w="823" w:type="pct"/>
            <w:shd w:val="clear" w:color="auto" w:fill="4E81BD"/>
            <w:vAlign w:val="center"/>
          </w:tcPr>
          <w:p w14:paraId="7FEDB579" w14:textId="24E2DC51" w:rsidR="0098620A" w:rsidRPr="00EE43C6" w:rsidRDefault="0098620A" w:rsidP="00133E8D">
            <w:pPr>
              <w:spacing w:before="60" w:after="60" w:line="240" w:lineRule="auto"/>
              <w:jc w:val="center"/>
              <w:rPr>
                <w:rFonts w:eastAsiaTheme="minorHAnsi"/>
                <w:b/>
                <w:color w:val="FFFFFF" w:themeColor="background1"/>
                <w:sz w:val="18"/>
                <w:szCs w:val="18"/>
                <w:lang w:eastAsia="en-US"/>
              </w:rPr>
            </w:pPr>
            <w:r w:rsidRPr="00EE43C6">
              <w:rPr>
                <w:rFonts w:eastAsiaTheme="minorHAnsi"/>
                <w:b/>
                <w:color w:val="FFFFFF" w:themeColor="background1"/>
                <w:sz w:val="18"/>
                <w:szCs w:val="18"/>
                <w:lang w:eastAsia="en-US"/>
              </w:rPr>
              <w:t>Operation Phase</w:t>
            </w:r>
          </w:p>
        </w:tc>
      </w:tr>
      <w:tr w:rsidR="0098620A" w:rsidRPr="00EE43C6" w14:paraId="77BFF984" w14:textId="77777777" w:rsidTr="00CE3B94">
        <w:trPr>
          <w:jc w:val="center"/>
        </w:trPr>
        <w:tc>
          <w:tcPr>
            <w:tcW w:w="1667" w:type="pct"/>
            <w:vAlign w:val="center"/>
          </w:tcPr>
          <w:p w14:paraId="4EA876D4" w14:textId="3133F48F" w:rsidR="0098620A" w:rsidRPr="00EE43C6" w:rsidRDefault="0098620A" w:rsidP="00133E8D">
            <w:pPr>
              <w:spacing w:before="60" w:after="60" w:line="240" w:lineRule="auto"/>
              <w:jc w:val="center"/>
              <w:rPr>
                <w:rFonts w:eastAsiaTheme="minorHAnsi"/>
                <w:sz w:val="18"/>
                <w:szCs w:val="18"/>
                <w:lang w:eastAsia="en-US"/>
              </w:rPr>
            </w:pPr>
            <w:r w:rsidRPr="00EE43C6">
              <w:rPr>
                <w:rFonts w:eastAsiaTheme="minorHAnsi"/>
                <w:sz w:val="18"/>
                <w:szCs w:val="18"/>
                <w:lang w:eastAsia="en-US"/>
              </w:rPr>
              <w:t>Basic Infrastructure</w:t>
            </w:r>
          </w:p>
        </w:tc>
        <w:tc>
          <w:tcPr>
            <w:tcW w:w="864" w:type="pct"/>
            <w:vAlign w:val="center"/>
          </w:tcPr>
          <w:p w14:paraId="2FE3876C" w14:textId="710835AE" w:rsidR="0098620A" w:rsidRPr="00EE43C6" w:rsidRDefault="00133E8D" w:rsidP="00133E8D">
            <w:pPr>
              <w:spacing w:before="60" w:after="60" w:line="240" w:lineRule="auto"/>
              <w:jc w:val="center"/>
              <w:rPr>
                <w:rFonts w:eastAsiaTheme="minorHAnsi"/>
                <w:szCs w:val="20"/>
                <w:lang w:eastAsia="en-US"/>
              </w:rPr>
            </w:pPr>
            <w:r w:rsidRPr="00EE43C6">
              <w:rPr>
                <w:rFonts w:eastAsiaTheme="minorHAnsi"/>
                <w:szCs w:val="20"/>
                <w:lang w:eastAsia="en-US"/>
              </w:rPr>
              <w:t>+</w:t>
            </w:r>
            <w:r w:rsidR="00986794">
              <w:rPr>
                <w:rFonts w:eastAsiaTheme="minorHAnsi"/>
                <w:szCs w:val="20"/>
                <w:lang w:eastAsia="en-US"/>
              </w:rPr>
              <w:t>*</w:t>
            </w:r>
          </w:p>
        </w:tc>
        <w:tc>
          <w:tcPr>
            <w:tcW w:w="823" w:type="pct"/>
            <w:vAlign w:val="center"/>
          </w:tcPr>
          <w:p w14:paraId="46CEFCFF" w14:textId="28CC69E3" w:rsidR="0098620A" w:rsidRPr="00EE43C6" w:rsidRDefault="00133E8D"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c>
          <w:tcPr>
            <w:tcW w:w="823" w:type="pct"/>
            <w:vAlign w:val="center"/>
          </w:tcPr>
          <w:p w14:paraId="0DCC9669" w14:textId="45070494" w:rsidR="0098620A" w:rsidRPr="00EE43C6" w:rsidRDefault="00133E8D"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c>
          <w:tcPr>
            <w:tcW w:w="823" w:type="pct"/>
            <w:vAlign w:val="center"/>
          </w:tcPr>
          <w:p w14:paraId="7CB2F077" w14:textId="394776CF" w:rsidR="0098620A" w:rsidRPr="00EE43C6" w:rsidRDefault="00133E8D"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r>
      <w:tr w:rsidR="0098620A" w:rsidRPr="00EE43C6" w14:paraId="269191EF" w14:textId="77777777" w:rsidTr="00CE3B94">
        <w:trPr>
          <w:jc w:val="center"/>
        </w:trPr>
        <w:tc>
          <w:tcPr>
            <w:tcW w:w="1667" w:type="pct"/>
            <w:vAlign w:val="center"/>
          </w:tcPr>
          <w:p w14:paraId="6906E636" w14:textId="69FA4A4E" w:rsidR="0098620A" w:rsidRPr="00EE43C6" w:rsidRDefault="00231466" w:rsidP="00133E8D">
            <w:pPr>
              <w:spacing w:before="60" w:after="60" w:line="240" w:lineRule="auto"/>
              <w:jc w:val="center"/>
              <w:rPr>
                <w:rFonts w:eastAsiaTheme="minorHAnsi"/>
                <w:sz w:val="18"/>
                <w:szCs w:val="18"/>
                <w:lang w:eastAsia="en-US"/>
              </w:rPr>
            </w:pPr>
            <w:r w:rsidRPr="00EE43C6">
              <w:rPr>
                <w:rFonts w:eastAsiaTheme="minorHAnsi"/>
                <w:sz w:val="18"/>
                <w:szCs w:val="18"/>
                <w:lang w:eastAsia="en-US"/>
              </w:rPr>
              <w:t>WWTP</w:t>
            </w:r>
          </w:p>
        </w:tc>
        <w:tc>
          <w:tcPr>
            <w:tcW w:w="864" w:type="pct"/>
            <w:vAlign w:val="center"/>
          </w:tcPr>
          <w:p w14:paraId="48BA951C" w14:textId="11AEF228" w:rsidR="0098620A" w:rsidRPr="00EE43C6" w:rsidRDefault="00231466"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c>
          <w:tcPr>
            <w:tcW w:w="823" w:type="pct"/>
            <w:vAlign w:val="center"/>
          </w:tcPr>
          <w:p w14:paraId="38F737CD" w14:textId="7F8CB601" w:rsidR="0098620A" w:rsidRPr="00EE43C6" w:rsidRDefault="00231466"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c>
          <w:tcPr>
            <w:tcW w:w="823" w:type="pct"/>
            <w:vAlign w:val="center"/>
          </w:tcPr>
          <w:p w14:paraId="7F248B23" w14:textId="542F3D85" w:rsidR="0098620A" w:rsidRPr="00EE43C6" w:rsidRDefault="00231466"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c>
          <w:tcPr>
            <w:tcW w:w="823" w:type="pct"/>
            <w:vAlign w:val="center"/>
          </w:tcPr>
          <w:p w14:paraId="37FAAB7C" w14:textId="33580C95" w:rsidR="0098620A" w:rsidRPr="00EE43C6" w:rsidRDefault="00231466"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r>
      <w:tr w:rsidR="00231466" w:rsidRPr="00EE43C6" w14:paraId="6BBF01EA" w14:textId="77777777" w:rsidTr="00CE3B94">
        <w:trPr>
          <w:jc w:val="center"/>
        </w:trPr>
        <w:tc>
          <w:tcPr>
            <w:tcW w:w="1667" w:type="pct"/>
            <w:vAlign w:val="center"/>
          </w:tcPr>
          <w:p w14:paraId="2159A177" w14:textId="5EF343ED" w:rsidR="00231466" w:rsidRPr="00EE43C6" w:rsidRDefault="00231466" w:rsidP="00133E8D">
            <w:pPr>
              <w:spacing w:before="60" w:after="60" w:line="240" w:lineRule="auto"/>
              <w:jc w:val="center"/>
              <w:rPr>
                <w:rFonts w:eastAsiaTheme="minorHAnsi"/>
                <w:sz w:val="18"/>
                <w:szCs w:val="18"/>
                <w:lang w:eastAsia="en-US"/>
              </w:rPr>
            </w:pPr>
            <w:r w:rsidRPr="00EE43C6">
              <w:rPr>
                <w:rFonts w:eastAsiaTheme="minorHAnsi"/>
                <w:sz w:val="18"/>
                <w:szCs w:val="18"/>
                <w:lang w:eastAsia="en-US"/>
              </w:rPr>
              <w:t>Natural Gaseous Line</w:t>
            </w:r>
          </w:p>
        </w:tc>
        <w:tc>
          <w:tcPr>
            <w:tcW w:w="864" w:type="pct"/>
            <w:vAlign w:val="center"/>
          </w:tcPr>
          <w:p w14:paraId="069427F4" w14:textId="5E81A695" w:rsidR="00231466" w:rsidRPr="00EE43C6" w:rsidRDefault="00231466"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c>
          <w:tcPr>
            <w:tcW w:w="823" w:type="pct"/>
            <w:vAlign w:val="center"/>
          </w:tcPr>
          <w:p w14:paraId="7CCD6752" w14:textId="2EE09D9D" w:rsidR="00231466" w:rsidRPr="00EE43C6" w:rsidRDefault="00231466"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c>
          <w:tcPr>
            <w:tcW w:w="823" w:type="pct"/>
            <w:vAlign w:val="center"/>
          </w:tcPr>
          <w:p w14:paraId="6F01B105" w14:textId="7A0B50B2" w:rsidR="00231466" w:rsidRPr="00EE43C6" w:rsidRDefault="00231466"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c>
          <w:tcPr>
            <w:tcW w:w="823" w:type="pct"/>
            <w:vAlign w:val="center"/>
          </w:tcPr>
          <w:p w14:paraId="2EF0ECF3" w14:textId="1F23B381" w:rsidR="00231466" w:rsidRPr="00EE43C6" w:rsidRDefault="00231466"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r>
      <w:tr w:rsidR="00231466" w:rsidRPr="00EE43C6" w14:paraId="276E76F1" w14:textId="77777777" w:rsidTr="00CE3B94">
        <w:trPr>
          <w:jc w:val="center"/>
        </w:trPr>
        <w:tc>
          <w:tcPr>
            <w:tcW w:w="1667" w:type="pct"/>
            <w:vAlign w:val="center"/>
          </w:tcPr>
          <w:p w14:paraId="3EC58C6E" w14:textId="296D0B5B" w:rsidR="00231466" w:rsidRPr="00EE43C6" w:rsidRDefault="00231466" w:rsidP="00133E8D">
            <w:pPr>
              <w:spacing w:before="60" w:after="60" w:line="240" w:lineRule="auto"/>
              <w:jc w:val="center"/>
              <w:rPr>
                <w:rFonts w:eastAsiaTheme="minorHAnsi"/>
                <w:sz w:val="18"/>
                <w:szCs w:val="18"/>
                <w:lang w:eastAsia="en-US"/>
              </w:rPr>
            </w:pPr>
            <w:r w:rsidRPr="00EE43C6">
              <w:rPr>
                <w:rFonts w:eastAsiaTheme="minorHAnsi"/>
                <w:sz w:val="18"/>
                <w:szCs w:val="18"/>
                <w:lang w:eastAsia="en-US"/>
              </w:rPr>
              <w:t xml:space="preserve">Facilities to be </w:t>
            </w:r>
            <w:r w:rsidR="00724DA0" w:rsidRPr="00EE43C6">
              <w:rPr>
                <w:rFonts w:eastAsiaTheme="minorHAnsi"/>
                <w:sz w:val="18"/>
                <w:szCs w:val="18"/>
                <w:lang w:eastAsia="en-US"/>
              </w:rPr>
              <w:t xml:space="preserve">in </w:t>
            </w:r>
            <w:r w:rsidR="00740AE3" w:rsidRPr="00EE43C6">
              <w:rPr>
                <w:rFonts w:eastAsiaTheme="minorHAnsi"/>
                <w:sz w:val="18"/>
                <w:szCs w:val="18"/>
                <w:lang w:eastAsia="en-US"/>
              </w:rPr>
              <w:t xml:space="preserve">the </w:t>
            </w:r>
            <w:r w:rsidR="00724DA0" w:rsidRPr="00EE43C6">
              <w:rPr>
                <w:rFonts w:eastAsiaTheme="minorHAnsi"/>
                <w:sz w:val="18"/>
                <w:szCs w:val="18"/>
                <w:lang w:eastAsia="en-US"/>
              </w:rPr>
              <w:t>OIZ</w:t>
            </w:r>
            <w:r w:rsidR="00407F76" w:rsidRPr="00EE43C6">
              <w:rPr>
                <w:rFonts w:eastAsiaTheme="minorHAnsi"/>
                <w:sz w:val="18"/>
                <w:szCs w:val="18"/>
                <w:lang w:eastAsia="en-US"/>
              </w:rPr>
              <w:t xml:space="preserve"> </w:t>
            </w:r>
          </w:p>
        </w:tc>
        <w:tc>
          <w:tcPr>
            <w:tcW w:w="864" w:type="pct"/>
            <w:vAlign w:val="center"/>
          </w:tcPr>
          <w:p w14:paraId="3BA93E8A" w14:textId="584149CA" w:rsidR="00231466" w:rsidRPr="00EE43C6" w:rsidRDefault="00407F76" w:rsidP="00133E8D">
            <w:pPr>
              <w:spacing w:before="60" w:after="60" w:line="240" w:lineRule="auto"/>
              <w:jc w:val="center"/>
              <w:rPr>
                <w:rFonts w:eastAsiaTheme="minorHAnsi"/>
                <w:szCs w:val="20"/>
                <w:lang w:eastAsia="en-US"/>
              </w:rPr>
            </w:pPr>
            <w:r w:rsidRPr="00EE43C6">
              <w:rPr>
                <w:rFonts w:eastAsiaTheme="minorHAnsi"/>
                <w:szCs w:val="20"/>
                <w:lang w:eastAsia="en-US"/>
              </w:rPr>
              <w:t>-</w:t>
            </w:r>
            <w:r w:rsidR="007809E9" w:rsidRPr="00EE43C6">
              <w:rPr>
                <w:rFonts w:eastAsiaTheme="minorHAnsi"/>
                <w:szCs w:val="20"/>
                <w:lang w:eastAsia="en-US"/>
              </w:rPr>
              <w:t xml:space="preserve"> </w:t>
            </w:r>
            <w:r w:rsidR="00754E47" w:rsidRPr="00EE43C6">
              <w:rPr>
                <w:rFonts w:eastAsiaTheme="minorHAnsi"/>
                <w:szCs w:val="20"/>
                <w:lang w:eastAsia="en-US"/>
              </w:rPr>
              <w:t>*</w:t>
            </w:r>
            <w:r w:rsidR="00DD797B">
              <w:rPr>
                <w:rFonts w:eastAsiaTheme="minorHAnsi"/>
                <w:szCs w:val="20"/>
                <w:lang w:eastAsia="en-US"/>
              </w:rPr>
              <w:t>*</w:t>
            </w:r>
          </w:p>
        </w:tc>
        <w:tc>
          <w:tcPr>
            <w:tcW w:w="823" w:type="pct"/>
            <w:vAlign w:val="center"/>
          </w:tcPr>
          <w:p w14:paraId="66D10128" w14:textId="0DE588E9" w:rsidR="00231466" w:rsidRPr="00EE43C6" w:rsidRDefault="00407F76"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c>
          <w:tcPr>
            <w:tcW w:w="823" w:type="pct"/>
            <w:vAlign w:val="center"/>
          </w:tcPr>
          <w:p w14:paraId="7B26513E" w14:textId="07B9FBF5" w:rsidR="00231466" w:rsidRPr="00EE43C6" w:rsidRDefault="00407F76" w:rsidP="00133E8D">
            <w:pPr>
              <w:spacing w:before="60" w:after="60" w:line="240" w:lineRule="auto"/>
              <w:jc w:val="center"/>
              <w:rPr>
                <w:rFonts w:eastAsiaTheme="minorHAnsi"/>
                <w:szCs w:val="20"/>
                <w:lang w:eastAsia="en-US"/>
              </w:rPr>
            </w:pPr>
            <w:r w:rsidRPr="00EE43C6">
              <w:rPr>
                <w:rFonts w:eastAsiaTheme="minorHAnsi"/>
                <w:szCs w:val="20"/>
                <w:lang w:eastAsia="en-US"/>
              </w:rPr>
              <w:t>-</w:t>
            </w:r>
            <w:r w:rsidR="007809E9" w:rsidRPr="00EE43C6">
              <w:rPr>
                <w:rFonts w:eastAsiaTheme="minorHAnsi"/>
                <w:szCs w:val="20"/>
                <w:lang w:eastAsia="en-US"/>
              </w:rPr>
              <w:t xml:space="preserve"> *</w:t>
            </w:r>
            <w:r w:rsidR="00DD797B">
              <w:rPr>
                <w:rFonts w:eastAsiaTheme="minorHAnsi"/>
                <w:szCs w:val="20"/>
                <w:lang w:eastAsia="en-US"/>
              </w:rPr>
              <w:t>*</w:t>
            </w:r>
          </w:p>
        </w:tc>
        <w:tc>
          <w:tcPr>
            <w:tcW w:w="823" w:type="pct"/>
            <w:vAlign w:val="center"/>
          </w:tcPr>
          <w:p w14:paraId="08079F14" w14:textId="65434FFB" w:rsidR="00231466" w:rsidRPr="00EE43C6" w:rsidRDefault="00407F76"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r>
      <w:tr w:rsidR="00C37162" w:rsidRPr="00EE43C6" w14:paraId="04833221" w14:textId="77777777" w:rsidTr="00CE3B94">
        <w:trPr>
          <w:jc w:val="center"/>
        </w:trPr>
        <w:tc>
          <w:tcPr>
            <w:tcW w:w="1667" w:type="pct"/>
            <w:vAlign w:val="center"/>
          </w:tcPr>
          <w:p w14:paraId="307485EB" w14:textId="57597933" w:rsidR="00C37162" w:rsidRPr="00EE43C6" w:rsidRDefault="0032045D" w:rsidP="00133E8D">
            <w:pPr>
              <w:spacing w:before="60" w:after="60" w:line="240" w:lineRule="auto"/>
              <w:jc w:val="center"/>
              <w:rPr>
                <w:rFonts w:eastAsiaTheme="minorHAnsi"/>
                <w:sz w:val="18"/>
                <w:szCs w:val="18"/>
                <w:lang w:eastAsia="en-US"/>
              </w:rPr>
            </w:pPr>
            <w:r w:rsidRPr="00EE43C6">
              <w:rPr>
                <w:rFonts w:eastAsiaTheme="minorHAnsi"/>
                <w:sz w:val="18"/>
                <w:szCs w:val="18"/>
                <w:lang w:eastAsia="en-US"/>
              </w:rPr>
              <w:t>Building</w:t>
            </w:r>
            <w:r w:rsidR="00913429" w:rsidRPr="00EE43C6">
              <w:rPr>
                <w:rFonts w:eastAsiaTheme="minorHAnsi"/>
                <w:sz w:val="18"/>
                <w:szCs w:val="18"/>
                <w:lang w:eastAsia="en-US"/>
              </w:rPr>
              <w:t>s</w:t>
            </w:r>
            <w:r w:rsidRPr="00EE43C6">
              <w:rPr>
                <w:rFonts w:eastAsiaTheme="minorHAnsi"/>
                <w:sz w:val="18"/>
                <w:szCs w:val="18"/>
                <w:lang w:eastAsia="en-US"/>
              </w:rPr>
              <w:t xml:space="preserve"> of the </w:t>
            </w:r>
            <w:r w:rsidR="001C0412" w:rsidRPr="00EE43C6">
              <w:rPr>
                <w:rFonts w:eastAsiaTheme="minorHAnsi"/>
                <w:sz w:val="18"/>
                <w:szCs w:val="18"/>
                <w:lang w:eastAsia="en-US"/>
              </w:rPr>
              <w:t xml:space="preserve">OIZ </w:t>
            </w:r>
            <w:r w:rsidRPr="00EE43C6">
              <w:rPr>
                <w:rFonts w:eastAsiaTheme="minorHAnsi"/>
                <w:sz w:val="18"/>
                <w:szCs w:val="18"/>
                <w:lang w:eastAsia="en-US"/>
              </w:rPr>
              <w:t>Management</w:t>
            </w:r>
          </w:p>
        </w:tc>
        <w:tc>
          <w:tcPr>
            <w:tcW w:w="864" w:type="pct"/>
            <w:vAlign w:val="center"/>
          </w:tcPr>
          <w:p w14:paraId="014242F8" w14:textId="1486B13F" w:rsidR="00C37162" w:rsidRPr="00EE43C6" w:rsidRDefault="00C361BE"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c>
          <w:tcPr>
            <w:tcW w:w="823" w:type="pct"/>
            <w:vAlign w:val="center"/>
          </w:tcPr>
          <w:p w14:paraId="660FD937" w14:textId="0E4A8825" w:rsidR="00C37162" w:rsidRPr="00EE43C6" w:rsidRDefault="00C361BE"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c>
          <w:tcPr>
            <w:tcW w:w="823" w:type="pct"/>
            <w:vAlign w:val="center"/>
          </w:tcPr>
          <w:p w14:paraId="090D0ADF" w14:textId="5CF9F6A7" w:rsidR="00C37162" w:rsidRPr="00EE43C6" w:rsidRDefault="00C361BE"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c>
          <w:tcPr>
            <w:tcW w:w="823" w:type="pct"/>
            <w:vAlign w:val="center"/>
          </w:tcPr>
          <w:p w14:paraId="5466BD90" w14:textId="5C55A724" w:rsidR="00C37162" w:rsidRPr="00EE43C6" w:rsidRDefault="00C361BE" w:rsidP="00133E8D">
            <w:pPr>
              <w:spacing w:before="60" w:after="60" w:line="240" w:lineRule="auto"/>
              <w:jc w:val="center"/>
              <w:rPr>
                <w:rFonts w:eastAsiaTheme="minorHAnsi"/>
                <w:szCs w:val="20"/>
                <w:lang w:eastAsia="en-US"/>
              </w:rPr>
            </w:pPr>
            <w:r w:rsidRPr="00EE43C6">
              <w:rPr>
                <w:rFonts w:eastAsiaTheme="minorHAnsi"/>
                <w:szCs w:val="20"/>
                <w:lang w:eastAsia="en-US"/>
              </w:rPr>
              <w:t>-</w:t>
            </w:r>
          </w:p>
        </w:tc>
      </w:tr>
    </w:tbl>
    <w:p w14:paraId="3154A3D2" w14:textId="7FE97588" w:rsidR="00DD797B" w:rsidRPr="00EE43C6" w:rsidRDefault="00DD797B" w:rsidP="006953FB">
      <w:pPr>
        <w:spacing w:before="60" w:after="0" w:line="240" w:lineRule="auto"/>
        <w:ind w:left="505"/>
        <w:rPr>
          <w:rFonts w:eastAsiaTheme="minorHAnsi"/>
          <w:sz w:val="16"/>
          <w:szCs w:val="16"/>
          <w:lang w:eastAsia="en-US"/>
        </w:rPr>
      </w:pPr>
      <w:r>
        <w:rPr>
          <w:rFonts w:eastAsiaTheme="minorHAnsi"/>
          <w:sz w:val="16"/>
          <w:szCs w:val="16"/>
          <w:lang w:eastAsia="en-US"/>
        </w:rPr>
        <w:t>* (</w:t>
      </w:r>
      <w:r w:rsidR="00F10C9B" w:rsidRPr="00F10C9B">
        <w:rPr>
          <w:rFonts w:eastAsiaTheme="minorHAnsi"/>
          <w:sz w:val="16"/>
          <w:szCs w:val="16"/>
          <w:lang w:eastAsia="en-US"/>
        </w:rPr>
        <w:t>ground levelling work</w:t>
      </w:r>
      <w:r w:rsidR="00F10C9B">
        <w:rPr>
          <w:rFonts w:eastAsiaTheme="minorHAnsi"/>
          <w:sz w:val="16"/>
          <w:szCs w:val="16"/>
          <w:lang w:eastAsia="en-US"/>
        </w:rPr>
        <w:t>s</w:t>
      </w:r>
      <w:r w:rsidR="00F10C9B" w:rsidRPr="00F10C9B">
        <w:rPr>
          <w:rFonts w:eastAsiaTheme="minorHAnsi"/>
          <w:sz w:val="16"/>
          <w:szCs w:val="16"/>
          <w:lang w:eastAsia="en-US"/>
        </w:rPr>
        <w:t xml:space="preserve"> already </w:t>
      </w:r>
      <w:r w:rsidR="00021347">
        <w:rPr>
          <w:rFonts w:eastAsiaTheme="minorHAnsi"/>
          <w:sz w:val="16"/>
          <w:szCs w:val="16"/>
          <w:lang w:eastAsia="en-US"/>
        </w:rPr>
        <w:t>carried out</w:t>
      </w:r>
      <w:r w:rsidR="00F10C9B" w:rsidRPr="00F10C9B">
        <w:rPr>
          <w:rFonts w:eastAsiaTheme="minorHAnsi"/>
          <w:sz w:val="16"/>
          <w:szCs w:val="16"/>
          <w:lang w:eastAsia="en-US"/>
        </w:rPr>
        <w:t xml:space="preserve"> </w:t>
      </w:r>
      <w:r w:rsidR="006F43C6">
        <w:rPr>
          <w:rFonts w:eastAsiaTheme="minorHAnsi"/>
          <w:sz w:val="16"/>
          <w:szCs w:val="16"/>
          <w:lang w:eastAsia="en-US"/>
        </w:rPr>
        <w:t>are</w:t>
      </w:r>
      <w:r w:rsidR="00F10C9B" w:rsidRPr="00F10C9B">
        <w:rPr>
          <w:rFonts w:eastAsiaTheme="minorHAnsi"/>
          <w:sz w:val="16"/>
          <w:szCs w:val="16"/>
          <w:lang w:eastAsia="en-US"/>
        </w:rPr>
        <w:t xml:space="preserve"> not included</w:t>
      </w:r>
      <w:r w:rsidR="00DC7D56">
        <w:rPr>
          <w:rFonts w:eastAsiaTheme="minorHAnsi"/>
          <w:sz w:val="16"/>
          <w:szCs w:val="16"/>
          <w:lang w:eastAsia="en-US"/>
        </w:rPr>
        <w:t xml:space="preserve"> for loan usage</w:t>
      </w:r>
      <w:r w:rsidR="00F10C9B" w:rsidRPr="00F10C9B">
        <w:rPr>
          <w:rFonts w:eastAsiaTheme="minorHAnsi"/>
          <w:sz w:val="16"/>
          <w:szCs w:val="16"/>
          <w:lang w:eastAsia="en-US"/>
        </w:rPr>
        <w:t>.</w:t>
      </w:r>
      <w:r>
        <w:rPr>
          <w:rFonts w:eastAsiaTheme="minorHAnsi"/>
          <w:sz w:val="16"/>
          <w:szCs w:val="16"/>
          <w:lang w:eastAsia="en-US"/>
        </w:rPr>
        <w:t>)</w:t>
      </w:r>
    </w:p>
    <w:p w14:paraId="27D1E653" w14:textId="6542BFEC" w:rsidR="008F1C5D" w:rsidRDefault="007809E9" w:rsidP="006953FB">
      <w:pPr>
        <w:spacing w:before="60" w:after="0" w:line="240" w:lineRule="auto"/>
        <w:ind w:left="505"/>
        <w:rPr>
          <w:rFonts w:eastAsiaTheme="minorHAnsi"/>
          <w:sz w:val="16"/>
          <w:szCs w:val="16"/>
          <w:lang w:eastAsia="en-US"/>
        </w:rPr>
      </w:pPr>
      <w:r w:rsidRPr="00EE43C6">
        <w:rPr>
          <w:rFonts w:eastAsiaTheme="minorHAnsi"/>
          <w:sz w:val="16"/>
          <w:szCs w:val="16"/>
          <w:lang w:eastAsia="en-US"/>
        </w:rPr>
        <w:t>*</w:t>
      </w:r>
      <w:r w:rsidR="00DD797B">
        <w:rPr>
          <w:rFonts w:eastAsiaTheme="minorHAnsi"/>
          <w:sz w:val="16"/>
          <w:szCs w:val="16"/>
          <w:lang w:eastAsia="en-US"/>
        </w:rPr>
        <w:t>*</w:t>
      </w:r>
      <w:r w:rsidR="009067B8" w:rsidRPr="00EE43C6">
        <w:rPr>
          <w:rFonts w:eastAsiaTheme="minorHAnsi"/>
          <w:sz w:val="16"/>
          <w:szCs w:val="16"/>
          <w:lang w:eastAsia="en-US"/>
        </w:rPr>
        <w:t xml:space="preserve"> </w:t>
      </w:r>
      <w:r w:rsidRPr="00EE43C6">
        <w:rPr>
          <w:rFonts w:eastAsiaTheme="minorHAnsi"/>
          <w:sz w:val="16"/>
          <w:szCs w:val="16"/>
          <w:lang w:eastAsia="en-US"/>
        </w:rPr>
        <w:t>(including excavation works in their areas)</w:t>
      </w:r>
    </w:p>
    <w:p w14:paraId="2018D79B" w14:textId="1B0D161D" w:rsidR="00466803" w:rsidRPr="00EE43C6" w:rsidRDefault="00104FBA" w:rsidP="3C3DFBEF">
      <w:pPr>
        <w:rPr>
          <w:rFonts w:cs="Wingdings"/>
        </w:rPr>
      </w:pPr>
      <w:r w:rsidRPr="5F58EB95">
        <w:rPr>
          <w:rFonts w:cs="Wingdings"/>
        </w:rPr>
        <w:t>The planning studies of TUIOSB w</w:t>
      </w:r>
      <w:r w:rsidR="452BB775" w:rsidRPr="5F58EB95">
        <w:rPr>
          <w:rFonts w:cs="Wingdings"/>
        </w:rPr>
        <w:t>ere</w:t>
      </w:r>
      <w:r w:rsidRPr="5F58EB95">
        <w:rPr>
          <w:rFonts w:cs="Wingdings"/>
        </w:rPr>
        <w:t xml:space="preserve"> prepared in accordance with the provisions of the Organized Industrial Zones Law No. 4562, the Zoning Law No. 3194, the Regulation on the Production of Spatial Plans, the 1/100,000 scaled Territorial Plan and Plan Provisions of the Mersin-Adana Planning Zone and the OIZ Implementation Regulation.</w:t>
      </w:r>
      <w:r w:rsidR="00426CE8" w:rsidRPr="5F58EB95">
        <w:rPr>
          <w:rFonts w:cs="Wingdings"/>
        </w:rPr>
        <w:t xml:space="preserve"> </w:t>
      </w:r>
      <w:r w:rsidR="000A5A6A" w:rsidRPr="5F58EB95">
        <w:rPr>
          <w:rFonts w:cs="Wingdings"/>
        </w:rPr>
        <w:t>Land acquisition was implemented as the project area ha</w:t>
      </w:r>
      <w:r w:rsidR="62766319" w:rsidRPr="5F58EB95">
        <w:rPr>
          <w:rFonts w:cs="Wingdings"/>
        </w:rPr>
        <w:t>d</w:t>
      </w:r>
      <w:r w:rsidR="000A5A6A" w:rsidRPr="5F58EB95">
        <w:rPr>
          <w:rFonts w:cs="Wingdings"/>
        </w:rPr>
        <w:t xml:space="preserve"> multiple owners.</w:t>
      </w:r>
      <w:r w:rsidR="004B6A43" w:rsidRPr="5F58EB95">
        <w:rPr>
          <w:rFonts w:cs="Wingdings"/>
        </w:rPr>
        <w:t xml:space="preserve"> </w:t>
      </w:r>
      <w:r w:rsidR="009877B4" w:rsidRPr="5F58EB95">
        <w:rPr>
          <w:rFonts w:cs="Wingdings"/>
        </w:rPr>
        <w:t xml:space="preserve">The project required additional land, of which 13 parcels were public lands and three parcels were private land with multiple owners. </w:t>
      </w:r>
      <w:r w:rsidR="00904FE8" w:rsidRPr="5F58EB95">
        <w:rPr>
          <w:rFonts w:cs="Wingdings"/>
        </w:rPr>
        <w:t>The</w:t>
      </w:r>
      <w:r w:rsidR="004B6A43" w:rsidRPr="5F58EB95">
        <w:rPr>
          <w:rFonts w:cs="Wingdings"/>
        </w:rPr>
        <w:t xml:space="preserve"> agreements were reached with all the </w:t>
      </w:r>
      <w:r w:rsidR="00C26F14" w:rsidRPr="5F58EB95">
        <w:rPr>
          <w:rFonts w:cs="Wingdings"/>
        </w:rPr>
        <w:t>s</w:t>
      </w:r>
      <w:r w:rsidR="004B6A43" w:rsidRPr="5F58EB95">
        <w:rPr>
          <w:rFonts w:cs="Wingdings"/>
        </w:rPr>
        <w:t xml:space="preserve">hareholders of the private lands, and the shares were acquired with </w:t>
      </w:r>
      <w:r w:rsidR="00425DB1" w:rsidRPr="5F58EB95">
        <w:rPr>
          <w:rFonts w:cs="Wingdings"/>
        </w:rPr>
        <w:t>willing buyer-willing seller</w:t>
      </w:r>
      <w:r w:rsidR="004B6A43" w:rsidRPr="5F58EB95">
        <w:rPr>
          <w:rFonts w:cs="Wingdings"/>
        </w:rPr>
        <w:t>. Detailed information on the related expropriation and procurement processes is given in</w:t>
      </w:r>
      <w:r w:rsidR="00696C72">
        <w:rPr>
          <w:rFonts w:cs="Wingdings"/>
        </w:rPr>
        <w:t xml:space="preserve"> </w:t>
      </w:r>
      <w:r w:rsidR="00422E92">
        <w:rPr>
          <w:rFonts w:cs="Wingdings"/>
        </w:rPr>
        <w:fldChar w:fldCharType="begin"/>
      </w:r>
      <w:r w:rsidR="00422E92">
        <w:rPr>
          <w:rFonts w:cs="Wingdings"/>
        </w:rPr>
        <w:instrText xml:space="preserve"> REF _Ref135992984 \h </w:instrText>
      </w:r>
      <w:r w:rsidR="00422E92">
        <w:rPr>
          <w:rFonts w:cs="Wingdings"/>
        </w:rPr>
      </w:r>
      <w:r w:rsidR="00422E92">
        <w:rPr>
          <w:rFonts w:cs="Wingdings"/>
        </w:rPr>
        <w:fldChar w:fldCharType="separate"/>
      </w:r>
      <w:r w:rsidR="00422E92">
        <w:t>Table 6</w:t>
      </w:r>
      <w:r w:rsidR="00422E92">
        <w:noBreakHyphen/>
        <w:t>31</w:t>
      </w:r>
      <w:r w:rsidR="00422E92">
        <w:rPr>
          <w:rFonts w:cs="Wingdings"/>
        </w:rPr>
        <w:fldChar w:fldCharType="end"/>
      </w:r>
      <w:r w:rsidR="004B6A43" w:rsidRPr="5F58EB95">
        <w:rPr>
          <w:rFonts w:cs="Wingdings"/>
        </w:rPr>
        <w:t>.</w:t>
      </w:r>
    </w:p>
    <w:p w14:paraId="02BEF6D7" w14:textId="4F75D741" w:rsidR="007B452F" w:rsidRPr="00EE43C6" w:rsidRDefault="007B452F" w:rsidP="3C3DFBEF">
      <w:pPr>
        <w:rPr>
          <w:rFonts w:eastAsiaTheme="minorEastAsia" w:cs="MS Gothic"/>
        </w:rPr>
      </w:pPr>
      <w:r w:rsidRPr="3C3DFBEF">
        <w:rPr>
          <w:rFonts w:eastAsiaTheme="minorEastAsia" w:cs="MS Gothic"/>
        </w:rPr>
        <w:t xml:space="preserve">The production process issues of the facilities to be established within the scope of the </w:t>
      </w:r>
      <w:r w:rsidR="005B6432" w:rsidRPr="3C3DFBEF">
        <w:rPr>
          <w:rFonts w:eastAsiaTheme="minorEastAsia" w:cs="MS Gothic"/>
        </w:rPr>
        <w:t>OIZ</w:t>
      </w:r>
      <w:r w:rsidRPr="3C3DFBEF">
        <w:rPr>
          <w:rFonts w:eastAsiaTheme="minorEastAsia" w:cs="MS Gothic"/>
        </w:rPr>
        <w:t xml:space="preserve"> are determined by the investors who filled in the Investor Preliminary Request Form of the Organized Industrial Zones Site Selection </w:t>
      </w:r>
      <w:r w:rsidR="006D693D" w:rsidRPr="3C3DFBEF">
        <w:rPr>
          <w:rFonts w:eastAsiaTheme="minorEastAsia" w:cs="MS Gothic"/>
        </w:rPr>
        <w:t>Regulation, published</w:t>
      </w:r>
      <w:r w:rsidR="2B45F67A" w:rsidRPr="3C3DFBEF">
        <w:rPr>
          <w:rFonts w:eastAsiaTheme="minorEastAsia" w:cs="MS Gothic"/>
        </w:rPr>
        <w:t xml:space="preserve"> in</w:t>
      </w:r>
      <w:r w:rsidRPr="3C3DFBEF">
        <w:rPr>
          <w:rFonts w:eastAsiaTheme="minorEastAsia" w:cs="MS Gothic"/>
        </w:rPr>
        <w:t xml:space="preserve"> the Official Gazette </w:t>
      </w:r>
      <w:r w:rsidR="2FE619DC" w:rsidRPr="3C3DFBEF">
        <w:rPr>
          <w:rFonts w:eastAsiaTheme="minorEastAsia" w:cs="MS Gothic"/>
        </w:rPr>
        <w:t>on</w:t>
      </w:r>
      <w:r w:rsidRPr="3C3DFBEF">
        <w:rPr>
          <w:rFonts w:eastAsiaTheme="minorEastAsia" w:cs="MS Gothic"/>
        </w:rPr>
        <w:t xml:space="preserve"> 18.11.2015 and numbered 29536</w:t>
      </w:r>
      <w:r w:rsidR="775A65FE" w:rsidRPr="3C3DFBEF">
        <w:rPr>
          <w:rFonts w:eastAsiaTheme="minorEastAsia" w:cs="MS Gothic"/>
        </w:rPr>
        <w:t>,</w:t>
      </w:r>
      <w:r w:rsidRPr="3C3DFBEF">
        <w:rPr>
          <w:rFonts w:eastAsiaTheme="minorEastAsia" w:cs="MS Gothic"/>
        </w:rPr>
        <w:t xml:space="preserve"> and submitted it to Mersin Specialized Organized Industrialists Association.</w:t>
      </w:r>
    </w:p>
    <w:p w14:paraId="1FCC9976" w14:textId="356B9229" w:rsidR="00571CCC" w:rsidRPr="00EE43C6" w:rsidRDefault="00B57214" w:rsidP="5F58EB95">
      <w:pPr>
        <w:rPr>
          <w:rFonts w:eastAsiaTheme="minorEastAsia" w:cs="MS Gothic"/>
        </w:rPr>
      </w:pPr>
      <w:r w:rsidRPr="5F58EB95">
        <w:rPr>
          <w:rFonts w:eastAsiaTheme="minorEastAsia" w:cs="MS Gothic"/>
        </w:rPr>
        <w:t>"</w:t>
      </w:r>
      <w:r w:rsidR="00117757" w:rsidRPr="5F58EB95">
        <w:rPr>
          <w:rFonts w:eastAsiaTheme="minorEastAsia" w:cs="MS Gothic"/>
        </w:rPr>
        <w:t>Türkiye</w:t>
      </w:r>
      <w:r w:rsidRPr="5F58EB95">
        <w:rPr>
          <w:rFonts w:eastAsiaTheme="minorEastAsia" w:cs="MS Gothic"/>
        </w:rPr>
        <w:t xml:space="preserve"> Organized Industrial </w:t>
      </w:r>
      <w:r w:rsidRPr="004C60B9">
        <w:rPr>
          <w:rFonts w:eastAsiaTheme="minorEastAsia" w:cs="MS Gothic"/>
        </w:rPr>
        <w:t>Zones Project" which is financed by W</w:t>
      </w:r>
      <w:r w:rsidR="00F33135" w:rsidRPr="004C60B9">
        <w:rPr>
          <w:rFonts w:eastAsiaTheme="minorEastAsia" w:cs="MS Gothic"/>
        </w:rPr>
        <w:t xml:space="preserve">orld </w:t>
      </w:r>
      <w:r w:rsidRPr="004C60B9">
        <w:rPr>
          <w:rFonts w:eastAsiaTheme="minorEastAsia" w:cs="MS Gothic"/>
        </w:rPr>
        <w:t>B</w:t>
      </w:r>
      <w:r w:rsidR="00F33135" w:rsidRPr="004C60B9">
        <w:rPr>
          <w:rFonts w:eastAsiaTheme="minorEastAsia" w:cs="MS Gothic"/>
        </w:rPr>
        <w:t>ank (WB)</w:t>
      </w:r>
      <w:r w:rsidRPr="004C60B9">
        <w:rPr>
          <w:rFonts w:eastAsiaTheme="minorEastAsia" w:cs="MS Gothic"/>
        </w:rPr>
        <w:t xml:space="preserve"> </w:t>
      </w:r>
      <w:r w:rsidR="621DEE06" w:rsidRPr="004C60B9">
        <w:rPr>
          <w:rFonts w:eastAsiaTheme="minorEastAsia" w:cs="MS Gothic"/>
        </w:rPr>
        <w:t>was formulated to increase the efficiency, environmental sustainability and competitiveness of the OIZs</w:t>
      </w:r>
      <w:r w:rsidRPr="004C60B9">
        <w:rPr>
          <w:rFonts w:eastAsiaTheme="minorEastAsia" w:cs="MS Gothic"/>
        </w:rPr>
        <w:t>. Within th</w:t>
      </w:r>
      <w:r w:rsidR="007075FD" w:rsidRPr="004C60B9">
        <w:rPr>
          <w:rFonts w:eastAsiaTheme="minorEastAsia" w:cs="MS Gothic"/>
        </w:rPr>
        <w:t>is main</w:t>
      </w:r>
      <w:r w:rsidRPr="004C60B9">
        <w:rPr>
          <w:rFonts w:eastAsiaTheme="minorEastAsia" w:cs="MS Gothic"/>
        </w:rPr>
        <w:t xml:space="preserve"> </w:t>
      </w:r>
      <w:r w:rsidR="007075FD" w:rsidRPr="004C60B9">
        <w:rPr>
          <w:rFonts w:eastAsiaTheme="minorEastAsia" w:cs="MS Gothic"/>
        </w:rPr>
        <w:t>Project</w:t>
      </w:r>
      <w:r w:rsidRPr="004C60B9">
        <w:rPr>
          <w:rFonts w:eastAsiaTheme="minorEastAsia" w:cs="MS Gothic"/>
        </w:rPr>
        <w:t>, some OIZs are planned to be developed within the defined criteria and it is aimed that these OIZs will set an example for other OIZs</w:t>
      </w:r>
      <w:r w:rsidR="00466803" w:rsidRPr="004C60B9">
        <w:rPr>
          <w:rFonts w:eastAsiaTheme="minorEastAsia" w:cs="MS Gothic"/>
        </w:rPr>
        <w:t xml:space="preserve">. In this context, the implementing agency for the </w:t>
      </w:r>
      <w:r w:rsidR="007236D9" w:rsidRPr="004C60B9">
        <w:rPr>
          <w:rFonts w:eastAsiaTheme="minorEastAsia" w:cs="MS Gothic"/>
        </w:rPr>
        <w:t xml:space="preserve">main </w:t>
      </w:r>
      <w:r w:rsidR="00466803" w:rsidRPr="004C60B9">
        <w:rPr>
          <w:rFonts w:eastAsiaTheme="minorEastAsia" w:cs="MS Gothic"/>
        </w:rPr>
        <w:t xml:space="preserve">Project is Republic of </w:t>
      </w:r>
      <w:r w:rsidR="00117757" w:rsidRPr="004C60B9">
        <w:rPr>
          <w:rFonts w:eastAsiaTheme="minorEastAsia" w:cs="MS Gothic"/>
        </w:rPr>
        <w:t>Türkiye</w:t>
      </w:r>
      <w:r w:rsidR="00466803" w:rsidRPr="004C60B9">
        <w:rPr>
          <w:rFonts w:eastAsiaTheme="minorEastAsia" w:cs="MS Gothic"/>
        </w:rPr>
        <w:t xml:space="preserve"> Ministry of Industry and Technology (</w:t>
      </w:r>
      <w:r w:rsidR="00466803" w:rsidRPr="004C60B9">
        <w:rPr>
          <w:rFonts w:cs="MS Gothic"/>
        </w:rPr>
        <w:t>MoIT</w:t>
      </w:r>
      <w:r w:rsidR="00466803" w:rsidRPr="004C60B9">
        <w:rPr>
          <w:rFonts w:eastAsiaTheme="minorEastAsia" w:cs="MS Gothic"/>
        </w:rPr>
        <w:t xml:space="preserve">), </w:t>
      </w:r>
      <w:r w:rsidR="00640D96" w:rsidRPr="004C60B9">
        <w:rPr>
          <w:rFonts w:eastAsiaTheme="minorEastAsia" w:cs="MS Gothic"/>
        </w:rPr>
        <w:t xml:space="preserve">whose </w:t>
      </w:r>
      <w:r w:rsidR="00466803" w:rsidRPr="004C60B9">
        <w:rPr>
          <w:rFonts w:eastAsiaTheme="minorEastAsia" w:cs="MS Gothic"/>
        </w:rPr>
        <w:t>Directorate General for Organized Industrial Zones is responsible for designing the policies to plan and develop OIZs including providing credits for OIZ Managements.</w:t>
      </w:r>
      <w:r w:rsidR="00ED7825" w:rsidRPr="004C60B9">
        <w:rPr>
          <w:rFonts w:eastAsiaTheme="minorEastAsia" w:cs="MS Gothic"/>
        </w:rPr>
        <w:t xml:space="preserve"> </w:t>
      </w:r>
      <w:r w:rsidR="002D356C" w:rsidRPr="004C60B9">
        <w:rPr>
          <w:rFonts w:eastAsiaTheme="minorEastAsia" w:cs="MS Gothic"/>
        </w:rPr>
        <w:t xml:space="preserve">For the main Project, an </w:t>
      </w:r>
      <w:r w:rsidR="00B015C2" w:rsidRPr="004C60B9">
        <w:rPr>
          <w:rFonts w:eastAsiaTheme="minorEastAsia" w:cs="MS Gothic"/>
        </w:rPr>
        <w:t>Environmental and Social Management Framework (</w:t>
      </w:r>
      <w:r w:rsidR="002D356C" w:rsidRPr="004C60B9">
        <w:rPr>
          <w:rFonts w:eastAsiaTheme="minorEastAsia" w:cs="MS Gothic"/>
        </w:rPr>
        <w:t>ESMF</w:t>
      </w:r>
      <w:r w:rsidR="00B015C2" w:rsidRPr="004C60B9">
        <w:rPr>
          <w:rFonts w:eastAsiaTheme="minorEastAsia" w:cs="MS Gothic"/>
        </w:rPr>
        <w:t>)</w:t>
      </w:r>
      <w:r w:rsidR="002D356C" w:rsidRPr="004C60B9">
        <w:rPr>
          <w:rFonts w:eastAsiaTheme="minorEastAsia" w:cs="MS Gothic"/>
        </w:rPr>
        <w:t xml:space="preserve"> that is the key document committed by MoIT to comply with national legislation and WB’s </w:t>
      </w:r>
      <w:r w:rsidR="00B015C2" w:rsidRPr="004C60B9">
        <w:rPr>
          <w:rFonts w:eastAsiaTheme="minorEastAsia" w:cs="MS Gothic"/>
        </w:rPr>
        <w:t>Environmental and Social Framework (</w:t>
      </w:r>
      <w:r w:rsidR="002D356C" w:rsidRPr="004C60B9">
        <w:rPr>
          <w:rFonts w:eastAsiaTheme="minorEastAsia" w:cs="MS Gothic"/>
        </w:rPr>
        <w:t>ESF</w:t>
      </w:r>
      <w:r w:rsidR="00B015C2" w:rsidRPr="004C60B9">
        <w:rPr>
          <w:rFonts w:eastAsiaTheme="minorEastAsia" w:cs="MS Gothic"/>
        </w:rPr>
        <w:t>)</w:t>
      </w:r>
      <w:r w:rsidR="002D356C" w:rsidRPr="004C60B9">
        <w:rPr>
          <w:rFonts w:eastAsiaTheme="minorEastAsia" w:cs="MS Gothic"/>
        </w:rPr>
        <w:t xml:space="preserve"> has been prepared.</w:t>
      </w:r>
      <w:r w:rsidR="00B015C2" w:rsidRPr="004C60B9">
        <w:t xml:space="preserve"> </w:t>
      </w:r>
      <w:r w:rsidR="00B015C2" w:rsidRPr="004C60B9">
        <w:rPr>
          <w:rFonts w:eastAsiaTheme="minorEastAsia" w:cs="MS Gothic"/>
        </w:rPr>
        <w:t xml:space="preserve">ESMF is </w:t>
      </w:r>
      <w:r w:rsidR="49C969B6" w:rsidRPr="004C60B9">
        <w:rPr>
          <w:rFonts w:eastAsiaTheme="minorEastAsia" w:cs="MS Gothic"/>
        </w:rPr>
        <w:t xml:space="preserve">the </w:t>
      </w:r>
      <w:r w:rsidR="00B015C2" w:rsidRPr="004C60B9">
        <w:rPr>
          <w:rFonts w:eastAsiaTheme="minorEastAsia" w:cs="MS Gothic"/>
        </w:rPr>
        <w:t xml:space="preserve">framework document for the overall Project and forms the basis and guidance </w:t>
      </w:r>
      <w:r w:rsidR="00B14542" w:rsidRPr="004C60B9">
        <w:rPr>
          <w:rFonts w:eastAsiaTheme="minorEastAsia" w:cs="MS Gothic"/>
        </w:rPr>
        <w:t>throughout</w:t>
      </w:r>
      <w:r w:rsidR="00BB3AF0" w:rsidRPr="004C60B9">
        <w:rPr>
          <w:rFonts w:eastAsiaTheme="minorEastAsia" w:cs="MS Gothic"/>
        </w:rPr>
        <w:t xml:space="preserve"> the</w:t>
      </w:r>
      <w:r w:rsidR="00B015C2" w:rsidRPr="004C60B9">
        <w:rPr>
          <w:rFonts w:eastAsiaTheme="minorEastAsia" w:cs="MS Gothic"/>
        </w:rPr>
        <w:t xml:space="preserve"> Project</w:t>
      </w:r>
      <w:r w:rsidR="00BB3AF0" w:rsidRPr="004C60B9">
        <w:rPr>
          <w:rFonts w:eastAsiaTheme="minorEastAsia" w:cs="MS Gothic"/>
        </w:rPr>
        <w:t xml:space="preserve"> lifetime</w:t>
      </w:r>
      <w:r w:rsidR="009A0963" w:rsidRPr="004C60B9">
        <w:rPr>
          <w:rFonts w:eastAsiaTheme="minorEastAsia" w:cs="MS Gothic"/>
        </w:rPr>
        <w:t xml:space="preserve"> for the</w:t>
      </w:r>
      <w:r w:rsidR="00B015C2" w:rsidRPr="004C60B9">
        <w:rPr>
          <w:rFonts w:eastAsiaTheme="minorEastAsia" w:cs="MS Gothic"/>
        </w:rPr>
        <w:t xml:space="preserve"> </w:t>
      </w:r>
      <w:r w:rsidR="00406F63" w:rsidRPr="004C60B9">
        <w:rPr>
          <w:rFonts w:cs="Arial"/>
        </w:rPr>
        <w:t xml:space="preserve">site-specific </w:t>
      </w:r>
      <w:r w:rsidR="00B015C2" w:rsidRPr="004C60B9">
        <w:rPr>
          <w:rFonts w:eastAsiaTheme="minorEastAsia" w:cs="MS Gothic"/>
        </w:rPr>
        <w:t>Environmental and Social Management Plan (ESMP)</w:t>
      </w:r>
      <w:r w:rsidR="00A6253E" w:rsidRPr="004C60B9">
        <w:rPr>
          <w:rFonts w:eastAsiaTheme="minorEastAsia" w:cs="MS Gothic"/>
        </w:rPr>
        <w:t xml:space="preserve"> of the Project</w:t>
      </w:r>
      <w:r w:rsidR="00B015C2" w:rsidRPr="004C60B9">
        <w:rPr>
          <w:rFonts w:eastAsiaTheme="minorEastAsia" w:cs="MS Gothic"/>
        </w:rPr>
        <w:t>.</w:t>
      </w:r>
      <w:r w:rsidR="002D356C" w:rsidRPr="004C60B9">
        <w:rPr>
          <w:rFonts w:eastAsiaTheme="minorEastAsia" w:cs="MS Gothic"/>
        </w:rPr>
        <w:t xml:space="preserve"> The ESMF covers environmental and social management approach that will be implemented during the main Project. According to the ESMF, before </w:t>
      </w:r>
      <w:r w:rsidR="00ED7825" w:rsidRPr="004C60B9">
        <w:rPr>
          <w:rFonts w:eastAsiaTheme="minorEastAsia" w:cs="MS Gothic"/>
        </w:rPr>
        <w:t xml:space="preserve">preparation </w:t>
      </w:r>
      <w:r w:rsidR="00F47DFE" w:rsidRPr="004C60B9">
        <w:rPr>
          <w:rFonts w:eastAsiaTheme="minorEastAsia" w:cs="MS Gothic"/>
        </w:rPr>
        <w:t xml:space="preserve">of </w:t>
      </w:r>
      <w:r w:rsidR="74E99F58" w:rsidRPr="004C60B9">
        <w:rPr>
          <w:rFonts w:eastAsiaTheme="minorEastAsia" w:cs="MS Gothic"/>
        </w:rPr>
        <w:t xml:space="preserve">the </w:t>
      </w:r>
      <w:r w:rsidR="001A16B9" w:rsidRPr="004C60B9">
        <w:rPr>
          <w:rFonts w:eastAsiaTheme="minorEastAsia" w:cs="MS Gothic"/>
        </w:rPr>
        <w:t>Environmental and</w:t>
      </w:r>
      <w:r w:rsidR="001A16B9" w:rsidRPr="5F58EB95">
        <w:rPr>
          <w:rFonts w:eastAsiaTheme="minorEastAsia" w:cs="MS Gothic"/>
        </w:rPr>
        <w:t xml:space="preserve"> Social (</w:t>
      </w:r>
      <w:r w:rsidR="00F47DFE" w:rsidRPr="5F58EB95">
        <w:rPr>
          <w:rFonts w:eastAsiaTheme="minorEastAsia" w:cs="MS Gothic"/>
        </w:rPr>
        <w:t>E&amp;S</w:t>
      </w:r>
      <w:r w:rsidR="001A16B9" w:rsidRPr="5F58EB95">
        <w:rPr>
          <w:rFonts w:eastAsiaTheme="minorEastAsia" w:cs="MS Gothic"/>
        </w:rPr>
        <w:t>)</w:t>
      </w:r>
      <w:r w:rsidR="00F47DFE" w:rsidRPr="5F58EB95">
        <w:rPr>
          <w:rFonts w:eastAsiaTheme="minorEastAsia" w:cs="MS Gothic"/>
        </w:rPr>
        <w:t xml:space="preserve"> </w:t>
      </w:r>
      <w:r w:rsidR="00387678" w:rsidRPr="5F58EB95">
        <w:rPr>
          <w:rFonts w:eastAsiaTheme="minorEastAsia" w:cs="MS Gothic"/>
        </w:rPr>
        <w:t>documents,</w:t>
      </w:r>
      <w:r w:rsidR="00ED7825" w:rsidRPr="5F58EB95">
        <w:rPr>
          <w:rFonts w:eastAsiaTheme="minorEastAsia" w:cs="MS Gothic"/>
        </w:rPr>
        <w:t xml:space="preserve"> </w:t>
      </w:r>
      <w:r w:rsidR="00435A38" w:rsidRPr="5F58EB95">
        <w:rPr>
          <w:lang w:eastAsia="en-GB"/>
        </w:rPr>
        <w:t xml:space="preserve">MoIT </w:t>
      </w:r>
      <w:r w:rsidR="00435A38" w:rsidRPr="5F58EB95">
        <w:rPr>
          <w:rFonts w:eastAsiaTheme="minorEastAsia" w:cs="MS Gothic"/>
        </w:rPr>
        <w:t xml:space="preserve">will </w:t>
      </w:r>
      <w:r w:rsidR="00ED7825" w:rsidRPr="5F58EB95">
        <w:rPr>
          <w:rFonts w:eastAsiaTheme="minorEastAsia" w:cs="MS Gothic"/>
        </w:rPr>
        <w:t xml:space="preserve">prepare E&amp;S Screening Reports </w:t>
      </w:r>
      <w:r w:rsidR="00435A38" w:rsidRPr="5F58EB95">
        <w:rPr>
          <w:rFonts w:eastAsiaTheme="minorEastAsia" w:cs="MS Gothic"/>
        </w:rPr>
        <w:t xml:space="preserve">or assign </w:t>
      </w:r>
      <w:r w:rsidR="004E51CF" w:rsidRPr="5F58EB95">
        <w:rPr>
          <w:rFonts w:eastAsiaTheme="minorEastAsia" w:cs="MS Gothic"/>
        </w:rPr>
        <w:t xml:space="preserve">a Company to prepare these reports </w:t>
      </w:r>
      <w:r w:rsidR="00ED7825" w:rsidRPr="5F58EB95">
        <w:rPr>
          <w:rFonts w:eastAsiaTheme="minorEastAsia" w:cs="MS Gothic"/>
        </w:rPr>
        <w:t xml:space="preserve">for all sub-projects and submitted them to </w:t>
      </w:r>
      <w:r w:rsidR="00DD51FE" w:rsidRPr="5F58EB95">
        <w:rPr>
          <w:rFonts w:eastAsiaTheme="minorEastAsia" w:cs="MS Gothic"/>
        </w:rPr>
        <w:t>W</w:t>
      </w:r>
      <w:r w:rsidR="009E0609" w:rsidRPr="5F58EB95">
        <w:rPr>
          <w:rFonts w:eastAsiaTheme="minorEastAsia" w:cs="MS Gothic"/>
        </w:rPr>
        <w:t xml:space="preserve">orld </w:t>
      </w:r>
      <w:r w:rsidR="00DD51FE" w:rsidRPr="5F58EB95">
        <w:rPr>
          <w:rFonts w:eastAsiaTheme="minorEastAsia" w:cs="MS Gothic"/>
        </w:rPr>
        <w:t>B</w:t>
      </w:r>
      <w:r w:rsidR="009E0609" w:rsidRPr="5F58EB95">
        <w:rPr>
          <w:rFonts w:eastAsiaTheme="minorEastAsia" w:cs="MS Gothic"/>
        </w:rPr>
        <w:t>ank</w:t>
      </w:r>
      <w:r w:rsidR="00DD51FE" w:rsidRPr="5F58EB95">
        <w:rPr>
          <w:rFonts w:eastAsiaTheme="minorEastAsia" w:cs="MS Gothic"/>
        </w:rPr>
        <w:t xml:space="preserve"> Team for review </w:t>
      </w:r>
      <w:r w:rsidR="00DD51FE" w:rsidRPr="5F58EB95">
        <w:rPr>
          <w:rFonts w:eastAsiaTheme="minorEastAsia" w:cs="MS Gothic"/>
        </w:rPr>
        <w:lastRenderedPageBreak/>
        <w:t>and approval</w:t>
      </w:r>
      <w:r w:rsidR="00ED7825" w:rsidRPr="5F58EB95">
        <w:rPr>
          <w:rFonts w:eastAsiaTheme="minorEastAsia" w:cs="MS Gothic"/>
        </w:rPr>
        <w:t xml:space="preserve">. As a result of the information obtained in the screening </w:t>
      </w:r>
      <w:r w:rsidR="009E0609" w:rsidRPr="5F58EB95">
        <w:rPr>
          <w:rFonts w:eastAsiaTheme="minorEastAsia" w:cs="MS Gothic"/>
        </w:rPr>
        <w:t>studies</w:t>
      </w:r>
      <w:r w:rsidR="00ED7825" w:rsidRPr="5F58EB95">
        <w:rPr>
          <w:rFonts w:eastAsiaTheme="minorEastAsia" w:cs="MS Gothic"/>
        </w:rPr>
        <w:t xml:space="preserve">, a risk analysis </w:t>
      </w:r>
      <w:r w:rsidR="009E0609" w:rsidRPr="5F58EB95">
        <w:rPr>
          <w:rFonts w:eastAsiaTheme="minorEastAsia" w:cs="MS Gothic"/>
        </w:rPr>
        <w:t xml:space="preserve">will be </w:t>
      </w:r>
      <w:r w:rsidR="00ED7825" w:rsidRPr="5F58EB95">
        <w:rPr>
          <w:rFonts w:eastAsiaTheme="minorEastAsia" w:cs="MS Gothic"/>
        </w:rPr>
        <w:t>made as well as the E&amp;S Screening Report.</w:t>
      </w:r>
    </w:p>
    <w:p w14:paraId="3F54D2CE" w14:textId="0FE2D477" w:rsidR="00BD67BF" w:rsidRPr="00EE43C6" w:rsidRDefault="00BD67BF" w:rsidP="00BD67BF">
      <w:pPr>
        <w:rPr>
          <w:rFonts w:cs="Arial"/>
        </w:rPr>
      </w:pPr>
      <w:r w:rsidRPr="00EE43C6">
        <w:rPr>
          <w:rFonts w:cs="Wingdings"/>
          <w:szCs w:val="22"/>
        </w:rPr>
        <w:t>The activities under this Project are included in Annex-1 List of the Regulation on the Environmental Impact Assessment according to the Turkish EIA legislation, and therefore the Environmental Impact Assessment (EIA) Report was prepared, then EIA positive required certificate has been secured.</w:t>
      </w:r>
      <w:r w:rsidRPr="00EE43C6">
        <w:rPr>
          <w:rFonts w:cs="Arial"/>
        </w:rPr>
        <w:t xml:space="preserve"> According to E&amp;S Screening report, Environmental and social risks are determined according to the WB ESSs and ESMF of the Project. The overall environmental and social risk of the subproject </w:t>
      </w:r>
      <w:r w:rsidR="00C429F8" w:rsidRPr="00EE43C6">
        <w:rPr>
          <w:rFonts w:cs="Arial"/>
        </w:rPr>
        <w:t xml:space="preserve">were </w:t>
      </w:r>
      <w:r w:rsidRPr="00EE43C6">
        <w:rPr>
          <w:rFonts w:cs="Arial"/>
        </w:rPr>
        <w:t xml:space="preserve">rated </w:t>
      </w:r>
      <w:r w:rsidR="001E70B2" w:rsidRPr="00EE43C6">
        <w:rPr>
          <w:rFonts w:cs="Arial"/>
        </w:rPr>
        <w:t xml:space="preserve">in </w:t>
      </w:r>
      <w:r w:rsidRPr="00EE43C6">
        <w:rPr>
          <w:rFonts w:cs="Arial"/>
        </w:rPr>
        <w:t>“Moderate”</w:t>
      </w:r>
      <w:r w:rsidR="00C429F8" w:rsidRPr="00EE43C6">
        <w:rPr>
          <w:rFonts w:cs="Arial"/>
        </w:rPr>
        <w:t xml:space="preserve"> risk group</w:t>
      </w:r>
      <w:r w:rsidRPr="00EE43C6">
        <w:rPr>
          <w:rFonts w:cs="Arial"/>
        </w:rPr>
        <w:t xml:space="preserve">. </w:t>
      </w:r>
      <w:r w:rsidR="00C429F8" w:rsidRPr="00EE43C6">
        <w:rPr>
          <w:rFonts w:cs="Arial"/>
        </w:rPr>
        <w:t xml:space="preserve">Hence, the site-specific </w:t>
      </w:r>
      <w:r w:rsidR="006B0801" w:rsidRPr="00EE43C6">
        <w:rPr>
          <w:rFonts w:cs="Arial"/>
        </w:rPr>
        <w:t xml:space="preserve">ESMP has been prepared for the Project. </w:t>
      </w:r>
      <w:r w:rsidRPr="00EE43C6">
        <w:rPr>
          <w:rFonts w:cs="Arial"/>
        </w:rPr>
        <w:t xml:space="preserve">E&amp;S documents that are recommended for the subproject are given in </w:t>
      </w:r>
      <w:r w:rsidRPr="00EE43C6">
        <w:rPr>
          <w:rFonts w:cs="Arial"/>
        </w:rPr>
        <w:fldChar w:fldCharType="begin"/>
      </w:r>
      <w:r w:rsidRPr="00EE43C6">
        <w:rPr>
          <w:rFonts w:cs="Arial"/>
        </w:rPr>
        <w:instrText xml:space="preserve"> REF _Ref127966716 \h </w:instrText>
      </w:r>
      <w:r w:rsidRPr="00EE43C6">
        <w:rPr>
          <w:rFonts w:cs="Arial"/>
        </w:rPr>
      </w:r>
      <w:r w:rsidRPr="00EE43C6">
        <w:rPr>
          <w:rFonts w:cs="Arial"/>
        </w:rPr>
        <w:fldChar w:fldCharType="separate"/>
      </w:r>
      <w:r w:rsidRPr="00EE43C6">
        <w:t>Table 0</w:t>
      </w:r>
      <w:r w:rsidRPr="00EE43C6">
        <w:noBreakHyphen/>
        <w:t>2</w:t>
      </w:r>
      <w:r w:rsidRPr="00EE43C6">
        <w:rPr>
          <w:rFonts w:cs="Arial"/>
        </w:rPr>
        <w:fldChar w:fldCharType="end"/>
      </w:r>
      <w:r w:rsidRPr="00EE43C6">
        <w:rPr>
          <w:rFonts w:cs="Arial"/>
        </w:rPr>
        <w:t>.</w:t>
      </w:r>
    </w:p>
    <w:p w14:paraId="342808E5" w14:textId="2478FB95" w:rsidR="00BD67BF" w:rsidRPr="00EE43C6" w:rsidRDefault="00BD67BF" w:rsidP="00BD67BF">
      <w:pPr>
        <w:pStyle w:val="Caption"/>
        <w:rPr>
          <w:rFonts w:cs="Arial"/>
          <w:b w:val="0"/>
          <w:bCs w:val="0"/>
          <w:noProof w:val="0"/>
        </w:rPr>
      </w:pPr>
      <w:bookmarkStart w:id="35" w:name="_Ref127966716"/>
      <w:bookmarkStart w:id="36" w:name="_Toc120717707"/>
      <w:bookmarkStart w:id="37" w:name="_Toc126314248"/>
      <w:bookmarkStart w:id="38" w:name="_Toc141445491"/>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0</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w:t>
      </w:r>
      <w:r w:rsidR="006D2DE8">
        <w:rPr>
          <w:noProof w:val="0"/>
        </w:rPr>
        <w:fldChar w:fldCharType="end"/>
      </w:r>
      <w:bookmarkEnd w:id="35"/>
      <w:r w:rsidRPr="00EE43C6">
        <w:rPr>
          <w:noProof w:val="0"/>
        </w:rPr>
        <w:t xml:space="preserve">. </w:t>
      </w:r>
      <w:r w:rsidRPr="00EE43C6">
        <w:rPr>
          <w:rFonts w:cs="Arial"/>
          <w:b w:val="0"/>
          <w:bCs w:val="0"/>
          <w:noProof w:val="0"/>
          <w:color w:val="auto"/>
        </w:rPr>
        <w:t>E&amp;S Documents Recommended for the Subproject</w:t>
      </w:r>
      <w:bookmarkEnd w:id="36"/>
      <w:bookmarkEnd w:id="37"/>
      <w:bookmarkEnd w:id="38"/>
    </w:p>
    <w:tbl>
      <w:tblPr>
        <w:tblStyle w:val="CVtable2"/>
        <w:tblW w:w="0" w:type="auto"/>
        <w:tblCellMar>
          <w:top w:w="28" w:type="dxa"/>
          <w:left w:w="57" w:type="dxa"/>
          <w:bottom w:w="28" w:type="dxa"/>
          <w:right w:w="57" w:type="dxa"/>
        </w:tblCellMar>
        <w:tblLook w:val="04A0" w:firstRow="1" w:lastRow="0" w:firstColumn="1" w:lastColumn="0" w:noHBand="0" w:noVBand="1"/>
      </w:tblPr>
      <w:tblGrid>
        <w:gridCol w:w="1068"/>
        <w:gridCol w:w="6581"/>
        <w:gridCol w:w="1405"/>
      </w:tblGrid>
      <w:tr w:rsidR="00BD67BF" w:rsidRPr="00EE43C6" w14:paraId="5857ECA3" w14:textId="77777777" w:rsidTr="5F58EB95">
        <w:trPr>
          <w:trHeight w:val="284"/>
          <w:tblHeader/>
        </w:trPr>
        <w:tc>
          <w:tcPr>
            <w:tcW w:w="0" w:type="auto"/>
            <w:shd w:val="clear" w:color="auto" w:fill="4F81BD" w:themeFill="accent1"/>
            <w:vAlign w:val="center"/>
          </w:tcPr>
          <w:p w14:paraId="7EEA0DC8" w14:textId="77777777" w:rsidR="00BD67BF" w:rsidRPr="00EE43C6" w:rsidRDefault="00BD67BF">
            <w:pPr>
              <w:spacing w:before="0" w:after="0"/>
              <w:jc w:val="left"/>
              <w:rPr>
                <w:rFonts w:cs="Arial"/>
                <w:b/>
                <w:bCs/>
                <w:color w:val="FFFFFF" w:themeColor="background1"/>
                <w:sz w:val="18"/>
                <w:szCs w:val="18"/>
              </w:rPr>
            </w:pPr>
            <w:r w:rsidRPr="00EE43C6">
              <w:rPr>
                <w:rFonts w:cs="Arial"/>
                <w:b/>
                <w:bCs/>
                <w:color w:val="FFFFFF" w:themeColor="background1"/>
                <w:sz w:val="18"/>
                <w:szCs w:val="18"/>
              </w:rPr>
              <w:t>E&amp;S Document</w:t>
            </w:r>
          </w:p>
        </w:tc>
        <w:tc>
          <w:tcPr>
            <w:tcW w:w="0" w:type="auto"/>
            <w:shd w:val="clear" w:color="auto" w:fill="4F81BD" w:themeFill="accent1"/>
            <w:vAlign w:val="center"/>
          </w:tcPr>
          <w:p w14:paraId="741FB4A1" w14:textId="77777777" w:rsidR="00BD67BF" w:rsidRPr="00EE43C6" w:rsidRDefault="00BD67BF">
            <w:pPr>
              <w:spacing w:before="0" w:after="0"/>
              <w:jc w:val="left"/>
              <w:rPr>
                <w:rFonts w:cs="Arial"/>
                <w:b/>
                <w:bCs/>
                <w:color w:val="FFFFFF" w:themeColor="background1"/>
                <w:sz w:val="18"/>
                <w:szCs w:val="18"/>
              </w:rPr>
            </w:pPr>
            <w:r w:rsidRPr="00EE43C6">
              <w:rPr>
                <w:rFonts w:cs="Arial"/>
                <w:b/>
                <w:bCs/>
                <w:color w:val="FFFFFF" w:themeColor="background1"/>
                <w:sz w:val="18"/>
                <w:szCs w:val="18"/>
              </w:rPr>
              <w:t>Explanation</w:t>
            </w:r>
          </w:p>
        </w:tc>
        <w:tc>
          <w:tcPr>
            <w:tcW w:w="0" w:type="auto"/>
            <w:shd w:val="clear" w:color="auto" w:fill="4F81BD" w:themeFill="accent1"/>
            <w:vAlign w:val="center"/>
          </w:tcPr>
          <w:p w14:paraId="7F6171CE" w14:textId="77777777" w:rsidR="00BD67BF" w:rsidRPr="00EE43C6" w:rsidRDefault="00BD67BF">
            <w:pPr>
              <w:spacing w:before="0" w:after="0"/>
              <w:jc w:val="center"/>
              <w:rPr>
                <w:rFonts w:cs="Arial"/>
                <w:b/>
                <w:bCs/>
                <w:color w:val="FFFFFF" w:themeColor="background1"/>
                <w:sz w:val="18"/>
                <w:szCs w:val="18"/>
              </w:rPr>
            </w:pPr>
            <w:r w:rsidRPr="00EE43C6">
              <w:rPr>
                <w:rFonts w:cs="Arial"/>
                <w:b/>
                <w:bCs/>
                <w:color w:val="FFFFFF" w:themeColor="background1"/>
                <w:sz w:val="18"/>
                <w:szCs w:val="18"/>
              </w:rPr>
              <w:t>Recommended</w:t>
            </w:r>
          </w:p>
        </w:tc>
      </w:tr>
      <w:tr w:rsidR="00BD67BF" w:rsidRPr="00EE43C6" w14:paraId="4EA71404" w14:textId="77777777" w:rsidTr="5F58EB95">
        <w:trPr>
          <w:trHeight w:val="284"/>
        </w:trPr>
        <w:tc>
          <w:tcPr>
            <w:tcW w:w="0" w:type="auto"/>
            <w:vAlign w:val="center"/>
          </w:tcPr>
          <w:p w14:paraId="401E0C58" w14:textId="77777777" w:rsidR="00BD67BF" w:rsidRPr="00EE43C6" w:rsidRDefault="00BD67BF">
            <w:pPr>
              <w:spacing w:before="0" w:after="0"/>
              <w:jc w:val="left"/>
              <w:rPr>
                <w:rFonts w:cs="Arial"/>
                <w:sz w:val="18"/>
                <w:szCs w:val="18"/>
              </w:rPr>
            </w:pPr>
            <w:r w:rsidRPr="00EE43C6">
              <w:rPr>
                <w:rFonts w:cs="Arial"/>
                <w:sz w:val="18"/>
                <w:szCs w:val="18"/>
              </w:rPr>
              <w:t>EIA</w:t>
            </w:r>
          </w:p>
        </w:tc>
        <w:tc>
          <w:tcPr>
            <w:tcW w:w="0" w:type="auto"/>
            <w:vAlign w:val="center"/>
          </w:tcPr>
          <w:p w14:paraId="5BCC71B8" w14:textId="77777777" w:rsidR="00BD67BF" w:rsidRPr="00EE43C6" w:rsidRDefault="00BD67BF">
            <w:pPr>
              <w:spacing w:before="0" w:after="0"/>
              <w:jc w:val="left"/>
              <w:rPr>
                <w:rFonts w:cs="Arial"/>
                <w:sz w:val="18"/>
                <w:szCs w:val="18"/>
              </w:rPr>
            </w:pPr>
            <w:r w:rsidRPr="00EE43C6">
              <w:rPr>
                <w:rFonts w:cs="Arial"/>
                <w:sz w:val="18"/>
                <w:szCs w:val="18"/>
              </w:rPr>
              <w:t>National EIA is completed.</w:t>
            </w:r>
          </w:p>
        </w:tc>
        <w:tc>
          <w:tcPr>
            <w:tcW w:w="0" w:type="auto"/>
            <w:vAlign w:val="center"/>
          </w:tcPr>
          <w:p w14:paraId="4D33934F" w14:textId="77777777" w:rsidR="00BD67BF" w:rsidRPr="00EE43C6" w:rsidRDefault="00BD67BF">
            <w:pPr>
              <w:spacing w:before="0" w:after="0"/>
              <w:jc w:val="center"/>
              <w:rPr>
                <w:rFonts w:cs="Arial"/>
                <w:sz w:val="18"/>
                <w:szCs w:val="18"/>
              </w:rPr>
            </w:pPr>
            <w:r w:rsidRPr="00EE43C6">
              <w:rPr>
                <w:rFonts w:cs="Arial"/>
                <w:sz w:val="18"/>
                <w:szCs w:val="18"/>
              </w:rPr>
              <w:t>X</w:t>
            </w:r>
          </w:p>
        </w:tc>
      </w:tr>
      <w:tr w:rsidR="00BD67BF" w:rsidRPr="00EE43C6" w14:paraId="7FF541D5" w14:textId="77777777" w:rsidTr="5F58EB95">
        <w:trPr>
          <w:trHeight w:val="284"/>
        </w:trPr>
        <w:tc>
          <w:tcPr>
            <w:tcW w:w="0" w:type="auto"/>
            <w:vAlign w:val="center"/>
          </w:tcPr>
          <w:p w14:paraId="7AB7C0E1" w14:textId="77777777" w:rsidR="00BD67BF" w:rsidRPr="00EE43C6" w:rsidRDefault="00BD67BF">
            <w:pPr>
              <w:spacing w:before="0" w:after="0"/>
              <w:jc w:val="left"/>
              <w:rPr>
                <w:rFonts w:cs="Arial"/>
                <w:sz w:val="18"/>
                <w:szCs w:val="18"/>
              </w:rPr>
            </w:pPr>
            <w:r w:rsidRPr="00EE43C6">
              <w:rPr>
                <w:rFonts w:cs="Arial"/>
                <w:sz w:val="18"/>
                <w:szCs w:val="18"/>
              </w:rPr>
              <w:t>ESMP</w:t>
            </w:r>
          </w:p>
        </w:tc>
        <w:tc>
          <w:tcPr>
            <w:tcW w:w="0" w:type="auto"/>
            <w:vAlign w:val="center"/>
          </w:tcPr>
          <w:p w14:paraId="766F795C" w14:textId="77777777" w:rsidR="00BD67BF" w:rsidRPr="00EE43C6" w:rsidRDefault="00BD67BF">
            <w:pPr>
              <w:spacing w:before="0" w:after="0"/>
              <w:jc w:val="left"/>
              <w:rPr>
                <w:rFonts w:cs="Arial"/>
                <w:sz w:val="18"/>
                <w:szCs w:val="18"/>
              </w:rPr>
            </w:pPr>
            <w:r w:rsidRPr="00EE43C6">
              <w:rPr>
                <w:rFonts w:cs="Arial"/>
                <w:sz w:val="18"/>
                <w:szCs w:val="18"/>
              </w:rPr>
              <w:t>A site-specific ESMP will be required since the overall risk of the subproject is “Moderate”.</w:t>
            </w:r>
          </w:p>
        </w:tc>
        <w:tc>
          <w:tcPr>
            <w:tcW w:w="0" w:type="auto"/>
            <w:vAlign w:val="center"/>
          </w:tcPr>
          <w:p w14:paraId="2D8FC7EB" w14:textId="77777777" w:rsidR="00BD67BF" w:rsidRPr="00EE43C6" w:rsidRDefault="00BD67BF">
            <w:pPr>
              <w:spacing w:before="0" w:after="0"/>
              <w:jc w:val="center"/>
              <w:rPr>
                <w:rFonts w:cs="Arial"/>
                <w:sz w:val="18"/>
                <w:szCs w:val="18"/>
              </w:rPr>
            </w:pPr>
            <w:r w:rsidRPr="00EE43C6">
              <w:rPr>
                <w:rFonts w:ascii="Segoe UI Symbol" w:hAnsi="Segoe UI Symbol" w:cs="Segoe UI Symbol"/>
                <w:sz w:val="18"/>
                <w:szCs w:val="18"/>
              </w:rPr>
              <w:t>✓</w:t>
            </w:r>
          </w:p>
        </w:tc>
      </w:tr>
      <w:tr w:rsidR="00BD67BF" w:rsidRPr="00EE43C6" w14:paraId="40E5E28D" w14:textId="77777777" w:rsidTr="5F58EB95">
        <w:trPr>
          <w:trHeight w:val="284"/>
        </w:trPr>
        <w:tc>
          <w:tcPr>
            <w:tcW w:w="0" w:type="auto"/>
            <w:vAlign w:val="center"/>
          </w:tcPr>
          <w:p w14:paraId="7EEB82CF" w14:textId="77777777" w:rsidR="00BD67BF" w:rsidRPr="00EE43C6" w:rsidRDefault="00BD67BF">
            <w:pPr>
              <w:spacing w:before="0" w:after="0"/>
              <w:jc w:val="left"/>
              <w:rPr>
                <w:rFonts w:cs="Arial"/>
                <w:sz w:val="18"/>
                <w:szCs w:val="18"/>
              </w:rPr>
            </w:pPr>
            <w:r w:rsidRPr="00EE43C6">
              <w:rPr>
                <w:rFonts w:cs="Arial"/>
                <w:sz w:val="18"/>
                <w:szCs w:val="18"/>
              </w:rPr>
              <w:t>ESIA</w:t>
            </w:r>
          </w:p>
        </w:tc>
        <w:tc>
          <w:tcPr>
            <w:tcW w:w="0" w:type="auto"/>
            <w:vAlign w:val="center"/>
          </w:tcPr>
          <w:p w14:paraId="2C0637E9" w14:textId="184C8F7C" w:rsidR="00BD67BF" w:rsidRPr="00EE43C6" w:rsidRDefault="00BD67BF">
            <w:pPr>
              <w:spacing w:before="0" w:after="0"/>
              <w:jc w:val="left"/>
              <w:rPr>
                <w:rFonts w:cs="Arial"/>
                <w:sz w:val="18"/>
                <w:szCs w:val="18"/>
              </w:rPr>
            </w:pPr>
            <w:r w:rsidRPr="5F58EB95">
              <w:rPr>
                <w:rFonts w:cs="Arial"/>
                <w:sz w:val="18"/>
                <w:szCs w:val="18"/>
              </w:rPr>
              <w:t>A detailed</w:t>
            </w:r>
            <w:r w:rsidR="002A2D51">
              <w:rPr>
                <w:rFonts w:cs="Arial"/>
                <w:sz w:val="18"/>
                <w:szCs w:val="18"/>
              </w:rPr>
              <w:t xml:space="preserve"> </w:t>
            </w:r>
            <w:r w:rsidR="002A2D51" w:rsidRPr="002A2D51">
              <w:rPr>
                <w:rFonts w:cs="Arial"/>
                <w:sz w:val="18"/>
                <w:szCs w:val="18"/>
              </w:rPr>
              <w:t>Environmental and Social Impact Assessment</w:t>
            </w:r>
            <w:r w:rsidRPr="5F58EB95">
              <w:rPr>
                <w:rFonts w:cs="Arial"/>
                <w:sz w:val="18"/>
                <w:szCs w:val="18"/>
              </w:rPr>
              <w:t xml:space="preserve"> </w:t>
            </w:r>
            <w:r w:rsidR="002A2D51">
              <w:rPr>
                <w:rFonts w:cs="Arial"/>
                <w:sz w:val="18"/>
                <w:szCs w:val="18"/>
              </w:rPr>
              <w:t>(</w:t>
            </w:r>
            <w:r w:rsidRPr="5F58EB95">
              <w:rPr>
                <w:rFonts w:cs="Arial"/>
                <w:sz w:val="18"/>
                <w:szCs w:val="18"/>
              </w:rPr>
              <w:t>ESIA</w:t>
            </w:r>
            <w:r w:rsidR="002A2D51">
              <w:rPr>
                <w:rFonts w:cs="Arial"/>
                <w:sz w:val="18"/>
                <w:szCs w:val="18"/>
              </w:rPr>
              <w:t>)</w:t>
            </w:r>
            <w:r w:rsidRPr="5F58EB95">
              <w:rPr>
                <w:rFonts w:cs="Arial"/>
                <w:sz w:val="18"/>
                <w:szCs w:val="18"/>
              </w:rPr>
              <w:t xml:space="preserve"> will not be required since the overall risk of the subproject is “Moderate”.</w:t>
            </w:r>
          </w:p>
        </w:tc>
        <w:tc>
          <w:tcPr>
            <w:tcW w:w="0" w:type="auto"/>
            <w:vAlign w:val="center"/>
          </w:tcPr>
          <w:p w14:paraId="059BB11A" w14:textId="77777777" w:rsidR="00BD67BF" w:rsidRPr="00EE43C6" w:rsidRDefault="00BD67BF">
            <w:pPr>
              <w:spacing w:before="0" w:after="0"/>
              <w:jc w:val="center"/>
              <w:rPr>
                <w:rFonts w:cs="Arial"/>
                <w:sz w:val="18"/>
                <w:szCs w:val="18"/>
              </w:rPr>
            </w:pPr>
            <w:r w:rsidRPr="00EE43C6">
              <w:rPr>
                <w:rFonts w:cs="Arial"/>
                <w:sz w:val="18"/>
                <w:szCs w:val="18"/>
              </w:rPr>
              <w:t>X</w:t>
            </w:r>
          </w:p>
        </w:tc>
      </w:tr>
      <w:tr w:rsidR="00BD67BF" w:rsidRPr="00EE43C6" w14:paraId="44C11CC4" w14:textId="77777777" w:rsidTr="5F58EB95">
        <w:trPr>
          <w:trHeight w:val="284"/>
        </w:trPr>
        <w:tc>
          <w:tcPr>
            <w:tcW w:w="0" w:type="auto"/>
            <w:vAlign w:val="center"/>
          </w:tcPr>
          <w:p w14:paraId="4E31063A" w14:textId="77777777" w:rsidR="00BD67BF" w:rsidRPr="00EE43C6" w:rsidRDefault="00BD67BF">
            <w:pPr>
              <w:spacing w:before="0" w:after="0"/>
              <w:jc w:val="left"/>
              <w:rPr>
                <w:rFonts w:cs="Arial"/>
                <w:sz w:val="18"/>
                <w:szCs w:val="18"/>
              </w:rPr>
            </w:pPr>
            <w:r w:rsidRPr="00EE43C6">
              <w:rPr>
                <w:rFonts w:cs="Arial"/>
                <w:sz w:val="18"/>
                <w:szCs w:val="18"/>
              </w:rPr>
              <w:t>SEP</w:t>
            </w:r>
          </w:p>
        </w:tc>
        <w:tc>
          <w:tcPr>
            <w:tcW w:w="0" w:type="auto"/>
            <w:vAlign w:val="center"/>
          </w:tcPr>
          <w:p w14:paraId="49C8B217" w14:textId="1B456A3A" w:rsidR="00BD67BF" w:rsidRPr="00EE43C6" w:rsidRDefault="00BD67BF">
            <w:pPr>
              <w:spacing w:before="0" w:after="0"/>
              <w:jc w:val="left"/>
              <w:rPr>
                <w:rFonts w:cs="Arial"/>
                <w:sz w:val="18"/>
                <w:szCs w:val="18"/>
              </w:rPr>
            </w:pPr>
            <w:r w:rsidRPr="5F58EB95">
              <w:rPr>
                <w:rFonts w:cs="Arial"/>
                <w:sz w:val="18"/>
                <w:szCs w:val="18"/>
              </w:rPr>
              <w:t>A site-specific</w:t>
            </w:r>
            <w:r w:rsidR="002A2D51">
              <w:rPr>
                <w:rFonts w:cs="Arial"/>
                <w:sz w:val="18"/>
                <w:szCs w:val="18"/>
              </w:rPr>
              <w:t xml:space="preserve"> </w:t>
            </w:r>
            <w:r w:rsidR="002A2D51" w:rsidRPr="002A2D51">
              <w:rPr>
                <w:rFonts w:cs="Arial"/>
                <w:sz w:val="18"/>
                <w:szCs w:val="18"/>
              </w:rPr>
              <w:t>Stakeholder Engagement Plan</w:t>
            </w:r>
            <w:r w:rsidRPr="5F58EB95">
              <w:rPr>
                <w:rFonts w:cs="Arial"/>
                <w:sz w:val="18"/>
                <w:szCs w:val="18"/>
              </w:rPr>
              <w:t xml:space="preserve"> </w:t>
            </w:r>
            <w:r w:rsidR="002A2D51">
              <w:rPr>
                <w:rFonts w:cs="Arial"/>
                <w:sz w:val="18"/>
                <w:szCs w:val="18"/>
              </w:rPr>
              <w:t>(</w:t>
            </w:r>
            <w:r w:rsidRPr="5F58EB95">
              <w:rPr>
                <w:rFonts w:cs="Arial"/>
                <w:sz w:val="18"/>
                <w:szCs w:val="18"/>
              </w:rPr>
              <w:t>SEP</w:t>
            </w:r>
            <w:r w:rsidR="002A2D51">
              <w:rPr>
                <w:rFonts w:cs="Arial"/>
                <w:sz w:val="18"/>
                <w:szCs w:val="18"/>
              </w:rPr>
              <w:t>)</w:t>
            </w:r>
            <w:r w:rsidRPr="5F58EB95">
              <w:rPr>
                <w:rFonts w:cs="Arial"/>
                <w:sz w:val="18"/>
                <w:szCs w:val="18"/>
              </w:rPr>
              <w:t xml:space="preserve"> will be required.</w:t>
            </w:r>
          </w:p>
        </w:tc>
        <w:tc>
          <w:tcPr>
            <w:tcW w:w="0" w:type="auto"/>
            <w:vAlign w:val="center"/>
          </w:tcPr>
          <w:p w14:paraId="33650016" w14:textId="77777777" w:rsidR="00BD67BF" w:rsidRPr="00EE43C6" w:rsidRDefault="00BD67BF">
            <w:pPr>
              <w:spacing w:before="0" w:after="0"/>
              <w:jc w:val="center"/>
              <w:rPr>
                <w:rFonts w:cs="Arial"/>
                <w:sz w:val="18"/>
                <w:szCs w:val="18"/>
              </w:rPr>
            </w:pPr>
            <w:r w:rsidRPr="00EE43C6">
              <w:rPr>
                <w:rFonts w:ascii="Segoe UI Symbol" w:hAnsi="Segoe UI Symbol" w:cs="Segoe UI Symbol"/>
                <w:sz w:val="18"/>
                <w:szCs w:val="18"/>
              </w:rPr>
              <w:t>✓</w:t>
            </w:r>
          </w:p>
        </w:tc>
      </w:tr>
      <w:tr w:rsidR="00BD67BF" w:rsidRPr="00EE43C6" w14:paraId="735718F1" w14:textId="77777777" w:rsidTr="5F58EB95">
        <w:trPr>
          <w:trHeight w:val="284"/>
        </w:trPr>
        <w:tc>
          <w:tcPr>
            <w:tcW w:w="0" w:type="auto"/>
            <w:vAlign w:val="center"/>
          </w:tcPr>
          <w:p w14:paraId="3F795DB3" w14:textId="77777777" w:rsidR="00BD67BF" w:rsidRPr="00EE43C6" w:rsidRDefault="00BD67BF">
            <w:pPr>
              <w:spacing w:before="0" w:after="0"/>
              <w:jc w:val="left"/>
              <w:rPr>
                <w:rFonts w:cs="Arial"/>
                <w:sz w:val="18"/>
                <w:szCs w:val="18"/>
              </w:rPr>
            </w:pPr>
            <w:r w:rsidRPr="00EE43C6">
              <w:rPr>
                <w:rFonts w:cs="Arial"/>
                <w:sz w:val="18"/>
                <w:szCs w:val="18"/>
              </w:rPr>
              <w:t>LMP</w:t>
            </w:r>
          </w:p>
        </w:tc>
        <w:tc>
          <w:tcPr>
            <w:tcW w:w="0" w:type="auto"/>
            <w:vAlign w:val="center"/>
          </w:tcPr>
          <w:p w14:paraId="2E0C7558" w14:textId="2AA876DE" w:rsidR="00BD67BF" w:rsidRPr="00EE43C6" w:rsidRDefault="14CA2502">
            <w:pPr>
              <w:spacing w:before="0" w:after="0"/>
              <w:jc w:val="left"/>
              <w:rPr>
                <w:rFonts w:cs="Arial"/>
                <w:sz w:val="18"/>
                <w:szCs w:val="18"/>
              </w:rPr>
            </w:pPr>
            <w:r w:rsidRPr="5F58EB95">
              <w:rPr>
                <w:rFonts w:cs="Arial"/>
                <w:sz w:val="18"/>
                <w:szCs w:val="18"/>
              </w:rPr>
              <w:t xml:space="preserve">Labor Management Plan (LMP) for the </w:t>
            </w:r>
            <w:r w:rsidR="5309E939" w:rsidRPr="5F58EB95">
              <w:rPr>
                <w:rFonts w:cs="Arial"/>
                <w:sz w:val="18"/>
                <w:szCs w:val="18"/>
              </w:rPr>
              <w:t>Project</w:t>
            </w:r>
            <w:r w:rsidRPr="5F58EB95">
              <w:rPr>
                <w:rFonts w:cs="Arial"/>
                <w:sz w:val="18"/>
                <w:szCs w:val="18"/>
              </w:rPr>
              <w:t xml:space="preserve"> will be developed based on Labor Management P</w:t>
            </w:r>
            <w:r w:rsidR="00C473B7">
              <w:rPr>
                <w:rFonts w:cs="Arial"/>
                <w:sz w:val="18"/>
                <w:szCs w:val="18"/>
              </w:rPr>
              <w:t>lan</w:t>
            </w:r>
            <w:r w:rsidRPr="5F58EB95">
              <w:rPr>
                <w:rFonts w:cs="Arial"/>
                <w:sz w:val="18"/>
                <w:szCs w:val="18"/>
              </w:rPr>
              <w:t xml:space="preserve"> (LMP) for the overall project and national legislation and OHS. </w:t>
            </w:r>
            <w:r w:rsidR="00BD67BF" w:rsidRPr="5F58EB95">
              <w:rPr>
                <w:rFonts w:cs="Arial"/>
                <w:sz w:val="18"/>
                <w:szCs w:val="18"/>
              </w:rPr>
              <w:t xml:space="preserve">The LMP for contractors will also comply with the labour legislation (Labour Law no. 4857), occupational health and safety plan and procedures (Occupational Health and Safety Law no. 6331) and Social Insurance Law no. 5510 in addition to the Labour Management Procedures of the </w:t>
            </w:r>
            <w:r w:rsidR="5309E939" w:rsidRPr="5F58EB95">
              <w:rPr>
                <w:rFonts w:cs="Arial"/>
                <w:sz w:val="18"/>
                <w:szCs w:val="18"/>
              </w:rPr>
              <w:t>Project</w:t>
            </w:r>
            <w:r w:rsidR="00BD67BF" w:rsidRPr="5F58EB95">
              <w:rPr>
                <w:rFonts w:cs="Arial"/>
                <w:sz w:val="18"/>
                <w:szCs w:val="18"/>
              </w:rPr>
              <w:t>.</w:t>
            </w:r>
          </w:p>
        </w:tc>
        <w:tc>
          <w:tcPr>
            <w:tcW w:w="0" w:type="auto"/>
            <w:vAlign w:val="center"/>
          </w:tcPr>
          <w:p w14:paraId="2EFE783A" w14:textId="77777777" w:rsidR="00BD67BF" w:rsidRPr="00EE43C6" w:rsidRDefault="00BD67BF">
            <w:pPr>
              <w:spacing w:before="0" w:after="0"/>
              <w:jc w:val="center"/>
              <w:rPr>
                <w:rFonts w:cs="Arial"/>
                <w:sz w:val="18"/>
                <w:szCs w:val="18"/>
              </w:rPr>
            </w:pPr>
            <w:r w:rsidRPr="00EE43C6">
              <w:rPr>
                <w:rFonts w:ascii="Segoe UI Symbol" w:hAnsi="Segoe UI Symbol" w:cs="Segoe UI Symbol"/>
                <w:sz w:val="18"/>
                <w:szCs w:val="18"/>
              </w:rPr>
              <w:t>✓</w:t>
            </w:r>
          </w:p>
        </w:tc>
      </w:tr>
      <w:tr w:rsidR="00BD67BF" w:rsidRPr="00EE43C6" w14:paraId="7FDCF39A" w14:textId="77777777" w:rsidTr="5F58EB95">
        <w:trPr>
          <w:trHeight w:val="284"/>
        </w:trPr>
        <w:tc>
          <w:tcPr>
            <w:tcW w:w="0" w:type="auto"/>
            <w:vAlign w:val="center"/>
          </w:tcPr>
          <w:p w14:paraId="6F64C784" w14:textId="77777777" w:rsidR="00BD67BF" w:rsidRPr="00EE43C6" w:rsidRDefault="00BD67BF">
            <w:pPr>
              <w:spacing w:before="0" w:after="0"/>
              <w:jc w:val="left"/>
              <w:rPr>
                <w:rFonts w:cs="Arial"/>
                <w:sz w:val="18"/>
                <w:szCs w:val="18"/>
              </w:rPr>
            </w:pPr>
            <w:r w:rsidRPr="00EE43C6">
              <w:rPr>
                <w:rFonts w:cs="Arial"/>
                <w:sz w:val="18"/>
                <w:szCs w:val="18"/>
              </w:rPr>
              <w:t>RP/EPSA</w:t>
            </w:r>
          </w:p>
        </w:tc>
        <w:tc>
          <w:tcPr>
            <w:tcW w:w="0" w:type="auto"/>
            <w:vAlign w:val="center"/>
          </w:tcPr>
          <w:p w14:paraId="0846F770" w14:textId="73D57F5F" w:rsidR="00BD67BF" w:rsidRPr="00EE43C6" w:rsidRDefault="00BD67BF">
            <w:pPr>
              <w:spacing w:before="0" w:after="0"/>
              <w:jc w:val="left"/>
              <w:rPr>
                <w:rFonts w:cs="Arial"/>
                <w:sz w:val="18"/>
                <w:szCs w:val="18"/>
              </w:rPr>
            </w:pPr>
            <w:r w:rsidRPr="5F58EB95">
              <w:rPr>
                <w:rFonts w:cs="Arial"/>
                <w:sz w:val="18"/>
                <w:szCs w:val="18"/>
              </w:rPr>
              <w:t>A site-specific</w:t>
            </w:r>
            <w:r w:rsidR="002B20F2">
              <w:rPr>
                <w:rFonts w:cs="Arial"/>
                <w:sz w:val="18"/>
                <w:szCs w:val="18"/>
              </w:rPr>
              <w:t xml:space="preserve"> </w:t>
            </w:r>
            <w:r w:rsidR="002B20F2" w:rsidRPr="002B20F2">
              <w:rPr>
                <w:rFonts w:cs="Arial"/>
                <w:sz w:val="18"/>
                <w:szCs w:val="18"/>
              </w:rPr>
              <w:t>Ex-Post Social Assessment</w:t>
            </w:r>
            <w:r w:rsidRPr="5F58EB95">
              <w:rPr>
                <w:rFonts w:cs="Arial"/>
                <w:sz w:val="18"/>
                <w:szCs w:val="18"/>
              </w:rPr>
              <w:t xml:space="preserve"> </w:t>
            </w:r>
            <w:r w:rsidR="002B20F2">
              <w:rPr>
                <w:rFonts w:cs="Arial"/>
                <w:sz w:val="18"/>
                <w:szCs w:val="18"/>
              </w:rPr>
              <w:t>(</w:t>
            </w:r>
            <w:r w:rsidRPr="5F58EB95">
              <w:rPr>
                <w:rFonts w:cs="Arial"/>
                <w:sz w:val="18"/>
                <w:szCs w:val="18"/>
              </w:rPr>
              <w:t>EPSA</w:t>
            </w:r>
            <w:r w:rsidR="002B20F2">
              <w:rPr>
                <w:rFonts w:cs="Arial"/>
                <w:sz w:val="18"/>
                <w:szCs w:val="18"/>
              </w:rPr>
              <w:t>)</w:t>
            </w:r>
            <w:r w:rsidRPr="5F58EB95">
              <w:rPr>
                <w:rFonts w:cs="Arial"/>
                <w:sz w:val="18"/>
                <w:szCs w:val="18"/>
              </w:rPr>
              <w:t xml:space="preserve"> will be required as there has been an expropriation within the last 5 years.</w:t>
            </w:r>
          </w:p>
        </w:tc>
        <w:tc>
          <w:tcPr>
            <w:tcW w:w="0" w:type="auto"/>
            <w:vAlign w:val="center"/>
          </w:tcPr>
          <w:p w14:paraId="258F2721" w14:textId="77777777" w:rsidR="00BD67BF" w:rsidRPr="00EE43C6" w:rsidRDefault="00BD67BF">
            <w:pPr>
              <w:spacing w:before="0" w:after="0"/>
              <w:jc w:val="center"/>
              <w:rPr>
                <w:rFonts w:cs="Arial"/>
                <w:sz w:val="18"/>
                <w:szCs w:val="18"/>
              </w:rPr>
            </w:pPr>
            <w:r w:rsidRPr="00EE43C6">
              <w:rPr>
                <w:rFonts w:ascii="Segoe UI Symbol" w:hAnsi="Segoe UI Symbol" w:cs="Segoe UI Symbol"/>
                <w:sz w:val="18"/>
                <w:szCs w:val="18"/>
              </w:rPr>
              <w:t>✓</w:t>
            </w:r>
          </w:p>
        </w:tc>
      </w:tr>
    </w:tbl>
    <w:p w14:paraId="7AC6CF2E" w14:textId="4E93538F" w:rsidR="000215B2" w:rsidRPr="00EE43C6" w:rsidRDefault="000215B2" w:rsidP="000215B2">
      <w:pPr>
        <w:rPr>
          <w:rFonts w:eastAsiaTheme="minorEastAsia" w:cs="MS Gothic"/>
        </w:rPr>
      </w:pPr>
      <w:r w:rsidRPr="00EE43C6">
        <w:rPr>
          <w:rFonts w:eastAsiaTheme="minorEastAsia" w:cs="MS Gothic"/>
        </w:rPr>
        <w:t xml:space="preserve">The Project would </w:t>
      </w:r>
      <w:r w:rsidR="00640D96" w:rsidRPr="00EE43C6">
        <w:rPr>
          <w:rFonts w:eastAsiaTheme="minorEastAsia" w:cs="MS Gothic"/>
        </w:rPr>
        <w:t xml:space="preserve">be </w:t>
      </w:r>
      <w:r w:rsidRPr="00EE43C6">
        <w:rPr>
          <w:rFonts w:eastAsiaTheme="minorEastAsia" w:cs="MS Gothic"/>
        </w:rPr>
        <w:t>buil</w:t>
      </w:r>
      <w:r w:rsidR="00640D96" w:rsidRPr="00EE43C6">
        <w:rPr>
          <w:rFonts w:eastAsiaTheme="minorEastAsia" w:cs="MS Gothic"/>
        </w:rPr>
        <w:t>t</w:t>
      </w:r>
      <w:r w:rsidRPr="00EE43C6">
        <w:rPr>
          <w:rFonts w:eastAsiaTheme="minorEastAsia" w:cs="MS Gothic"/>
        </w:rPr>
        <w:t xml:space="preserve"> on an existing technical assistance relationship between the MoIT and the World Bank Group (WBG) that helped develop a national framework for Green OIZs in </w:t>
      </w:r>
      <w:r w:rsidR="00117757">
        <w:rPr>
          <w:rFonts w:eastAsiaTheme="minorEastAsia" w:cs="MS Gothic"/>
        </w:rPr>
        <w:t>Türkiye</w:t>
      </w:r>
      <w:r w:rsidRPr="00EE43C6">
        <w:rPr>
          <w:rFonts w:eastAsiaTheme="minorEastAsia" w:cs="MS Gothic"/>
        </w:rPr>
        <w:t xml:space="preserve"> and carried out preliminary assessments of the potential impact of OIZ investments.</w:t>
      </w:r>
    </w:p>
    <w:p w14:paraId="34D69619" w14:textId="1896A8DB" w:rsidR="00E35EFF" w:rsidRPr="00EE43C6" w:rsidRDefault="000215B2" w:rsidP="000215B2">
      <w:pPr>
        <w:rPr>
          <w:rFonts w:eastAsiaTheme="minorEastAsia" w:cs="MS Gothic"/>
        </w:rPr>
      </w:pPr>
      <w:r w:rsidRPr="00EE43C6">
        <w:rPr>
          <w:rFonts w:eastAsiaTheme="minorEastAsia" w:cs="MS Gothic"/>
        </w:rPr>
        <w:t xml:space="preserve">In this context, as </w:t>
      </w:r>
      <w:r w:rsidR="00640D96" w:rsidRPr="00EE43C6">
        <w:rPr>
          <w:rFonts w:eastAsiaTheme="minorEastAsia" w:cs="MS Gothic"/>
        </w:rPr>
        <w:t xml:space="preserve">the </w:t>
      </w:r>
      <w:r w:rsidRPr="00EE43C6">
        <w:rPr>
          <w:rFonts w:eastAsiaTheme="minorEastAsia" w:cs="MS Gothic"/>
        </w:rPr>
        <w:t>implementing agency for the project</w:t>
      </w:r>
      <w:r w:rsidR="00640D96" w:rsidRPr="00EE43C6">
        <w:rPr>
          <w:rFonts w:eastAsiaTheme="minorEastAsia" w:cs="MS Gothic"/>
        </w:rPr>
        <w:t>,</w:t>
      </w:r>
      <w:r w:rsidRPr="00EE43C6">
        <w:rPr>
          <w:rFonts w:eastAsiaTheme="minorEastAsia" w:cs="MS Gothic"/>
        </w:rPr>
        <w:t xml:space="preserve"> MoIT will provide loans to borrowing OIZs, as a sub-borrower and the Project as a selected Project will use </w:t>
      </w:r>
      <w:r w:rsidR="00640D96" w:rsidRPr="00EE43C6">
        <w:rPr>
          <w:rFonts w:eastAsiaTheme="minorEastAsia" w:cs="MS Gothic"/>
        </w:rPr>
        <w:t xml:space="preserve">the </w:t>
      </w:r>
      <w:r w:rsidRPr="00EE43C6">
        <w:rPr>
          <w:rFonts w:eastAsiaTheme="minorEastAsia" w:cs="MS Gothic"/>
        </w:rPr>
        <w:t>loan.</w:t>
      </w:r>
    </w:p>
    <w:p w14:paraId="05E6B73E" w14:textId="549C5D98" w:rsidR="00E56D59" w:rsidRPr="00EE43C6" w:rsidRDefault="0003076D" w:rsidP="003F02FE">
      <w:pPr>
        <w:rPr>
          <w:rFonts w:cs="Wingdings"/>
          <w:szCs w:val="22"/>
        </w:rPr>
      </w:pPr>
      <w:r w:rsidRPr="00EE43C6">
        <w:rPr>
          <w:rFonts w:cs="Wingdings"/>
          <w:szCs w:val="22"/>
        </w:rPr>
        <w:t xml:space="preserve">There are currently </w:t>
      </w:r>
      <w:r w:rsidR="00276E79" w:rsidRPr="00EE43C6">
        <w:rPr>
          <w:rFonts w:cs="Wingdings"/>
          <w:szCs w:val="22"/>
        </w:rPr>
        <w:t>30</w:t>
      </w:r>
      <w:r w:rsidRPr="00EE43C6">
        <w:rPr>
          <w:rFonts w:cs="Wingdings"/>
          <w:szCs w:val="22"/>
        </w:rPr>
        <w:t xml:space="preserve"> people working </w:t>
      </w:r>
      <w:r w:rsidR="009D5DA2" w:rsidRPr="00EE43C6">
        <w:rPr>
          <w:rFonts w:cs="Wingdings"/>
          <w:szCs w:val="22"/>
        </w:rPr>
        <w:t xml:space="preserve">for </w:t>
      </w:r>
      <w:r w:rsidR="00180831" w:rsidRPr="00EE43C6">
        <w:rPr>
          <w:rFonts w:cs="Wingdings"/>
          <w:szCs w:val="22"/>
        </w:rPr>
        <w:t>ground</w:t>
      </w:r>
      <w:r w:rsidR="00764B32" w:rsidRPr="00EE43C6">
        <w:rPr>
          <w:rFonts w:cs="Wingdings"/>
          <w:szCs w:val="22"/>
        </w:rPr>
        <w:t xml:space="preserve"> levelling </w:t>
      </w:r>
      <w:r w:rsidRPr="00EE43C6">
        <w:rPr>
          <w:rFonts w:cs="Wingdings"/>
          <w:szCs w:val="22"/>
        </w:rPr>
        <w:t>at the</w:t>
      </w:r>
      <w:r w:rsidR="00A81342" w:rsidRPr="00EE43C6">
        <w:rPr>
          <w:rFonts w:cs="Wingdings"/>
          <w:szCs w:val="22"/>
        </w:rPr>
        <w:t xml:space="preserve"> Project Area</w:t>
      </w:r>
      <w:r w:rsidR="002E1585" w:rsidRPr="00EE43C6">
        <w:rPr>
          <w:rFonts w:cs="Wingdings"/>
          <w:szCs w:val="22"/>
        </w:rPr>
        <w:t xml:space="preserve"> and i</w:t>
      </w:r>
      <w:r w:rsidR="00624DF0" w:rsidRPr="00EE43C6">
        <w:rPr>
          <w:rFonts w:cs="Wingdings"/>
          <w:szCs w:val="22"/>
        </w:rPr>
        <w:t xml:space="preserve">t </w:t>
      </w:r>
      <w:r w:rsidRPr="00EE43C6">
        <w:rPr>
          <w:rFonts w:cs="Wingdings"/>
          <w:szCs w:val="22"/>
        </w:rPr>
        <w:t xml:space="preserve">is planned to employ a total of </w:t>
      </w:r>
      <w:r w:rsidR="00640A82" w:rsidRPr="00EE43C6">
        <w:rPr>
          <w:rFonts w:cs="Wingdings"/>
          <w:szCs w:val="22"/>
        </w:rPr>
        <w:t>250</w:t>
      </w:r>
      <w:r w:rsidRPr="00EE43C6">
        <w:rPr>
          <w:rFonts w:cs="Wingdings"/>
          <w:szCs w:val="22"/>
        </w:rPr>
        <w:t xml:space="preserve"> people </w:t>
      </w:r>
      <w:r w:rsidR="00FA795F" w:rsidRPr="00EE43C6">
        <w:rPr>
          <w:rFonts w:cs="Wingdings"/>
          <w:szCs w:val="22"/>
        </w:rPr>
        <w:t>at peak time</w:t>
      </w:r>
      <w:r w:rsidR="009D5DA2" w:rsidRPr="00EE43C6">
        <w:rPr>
          <w:rFonts w:cs="Wingdings"/>
          <w:szCs w:val="22"/>
        </w:rPr>
        <w:t xml:space="preserve"> in the construction phase of the Project</w:t>
      </w:r>
      <w:r w:rsidR="00FA795F" w:rsidRPr="00EE43C6">
        <w:rPr>
          <w:rFonts w:cs="Wingdings"/>
          <w:szCs w:val="22"/>
        </w:rPr>
        <w:t>.</w:t>
      </w:r>
      <w:r w:rsidR="002E1585" w:rsidRPr="00EE43C6">
        <w:rPr>
          <w:rFonts w:cs="Wingdings"/>
          <w:szCs w:val="22"/>
        </w:rPr>
        <w:t xml:space="preserve"> </w:t>
      </w:r>
      <w:r w:rsidR="00056A88" w:rsidRPr="00EE43C6">
        <w:rPr>
          <w:rFonts w:cs="Wingdings"/>
          <w:szCs w:val="22"/>
        </w:rPr>
        <w:t xml:space="preserve">During the operation phase, approximately </w:t>
      </w:r>
      <w:r w:rsidR="00640A82" w:rsidRPr="00EE43C6">
        <w:rPr>
          <w:rFonts w:cs="Wingdings"/>
          <w:szCs w:val="22"/>
        </w:rPr>
        <w:t>3</w:t>
      </w:r>
      <w:r w:rsidR="00B10EA4" w:rsidRPr="00EE43C6">
        <w:rPr>
          <w:rFonts w:cs="Wingdings"/>
          <w:szCs w:val="22"/>
        </w:rPr>
        <w:t>,</w:t>
      </w:r>
      <w:r w:rsidR="00640A82" w:rsidRPr="00EE43C6">
        <w:rPr>
          <w:rFonts w:cs="Wingdings"/>
          <w:szCs w:val="22"/>
        </w:rPr>
        <w:t>5</w:t>
      </w:r>
      <w:r w:rsidR="00056A88" w:rsidRPr="00EE43C6">
        <w:rPr>
          <w:rFonts w:cs="Wingdings"/>
          <w:szCs w:val="22"/>
        </w:rPr>
        <w:t>00 people</w:t>
      </w:r>
      <w:r w:rsidR="00306FA9" w:rsidRPr="00EE43C6">
        <w:rPr>
          <w:rFonts w:cs="Wingdings"/>
          <w:szCs w:val="22"/>
        </w:rPr>
        <w:t xml:space="preserve"> </w:t>
      </w:r>
      <w:r w:rsidR="00306FA9" w:rsidRPr="00EE43C6">
        <w:rPr>
          <w:lang w:eastAsia="en-US"/>
        </w:rPr>
        <w:t xml:space="preserve">are planned to be employed by the </w:t>
      </w:r>
      <w:r w:rsidR="0082296A" w:rsidRPr="00EE43C6">
        <w:rPr>
          <w:lang w:eastAsia="en-US"/>
        </w:rPr>
        <w:t>facilities</w:t>
      </w:r>
      <w:r w:rsidR="00306FA9" w:rsidRPr="00EE43C6">
        <w:rPr>
          <w:lang w:eastAsia="en-US"/>
        </w:rPr>
        <w:t xml:space="preserve"> </w:t>
      </w:r>
      <w:r w:rsidR="0082296A" w:rsidRPr="00EE43C6">
        <w:rPr>
          <w:lang w:eastAsia="en-US"/>
        </w:rPr>
        <w:t>within</w:t>
      </w:r>
      <w:r w:rsidR="00306FA9" w:rsidRPr="00EE43C6">
        <w:rPr>
          <w:lang w:eastAsia="en-US"/>
        </w:rPr>
        <w:t xml:space="preserve"> the OIZ.</w:t>
      </w:r>
    </w:p>
    <w:p w14:paraId="1EB5515F" w14:textId="0DBF66EA" w:rsidR="00006221" w:rsidRPr="00EE43C6" w:rsidRDefault="00C4227D" w:rsidP="00006221">
      <w:pPr>
        <w:rPr>
          <w:rFonts w:cs="Wingdings"/>
          <w:szCs w:val="22"/>
        </w:rPr>
      </w:pPr>
      <w:r w:rsidRPr="00EE43C6">
        <w:rPr>
          <w:rFonts w:cs="Wingdings"/>
          <w:szCs w:val="22"/>
        </w:rPr>
        <w:t>Currently, employees use the contracted restaurants for</w:t>
      </w:r>
      <w:r w:rsidR="001A28E1" w:rsidRPr="00EE43C6">
        <w:rPr>
          <w:rFonts w:cs="Wingdings"/>
          <w:szCs w:val="22"/>
        </w:rPr>
        <w:t xml:space="preserve"> </w:t>
      </w:r>
      <w:r w:rsidR="0009230F" w:rsidRPr="00EE43C6">
        <w:rPr>
          <w:rFonts w:cs="Wingdings"/>
          <w:szCs w:val="22"/>
        </w:rPr>
        <w:t>dining</w:t>
      </w:r>
      <w:r w:rsidRPr="00EE43C6">
        <w:rPr>
          <w:rFonts w:cs="Wingdings"/>
          <w:szCs w:val="22"/>
        </w:rPr>
        <w:t xml:space="preserve"> and the Project administrative building for sanitary facilities. It is foreseen that no accommodation facilities will be constructed during the construction activities of the </w:t>
      </w:r>
      <w:r w:rsidR="001A28E1" w:rsidRPr="00EE43C6">
        <w:rPr>
          <w:rFonts w:cs="Wingdings"/>
          <w:szCs w:val="22"/>
        </w:rPr>
        <w:t>Project.</w:t>
      </w:r>
      <w:r w:rsidR="001A28E1" w:rsidRPr="00EE43C6">
        <w:rPr>
          <w:rFonts w:cs="Arial"/>
          <w:szCs w:val="22"/>
        </w:rPr>
        <w:t xml:space="preserve"> However</w:t>
      </w:r>
      <w:r w:rsidRPr="00EE43C6">
        <w:rPr>
          <w:rFonts w:cs="Arial"/>
          <w:szCs w:val="22"/>
        </w:rPr>
        <w:t xml:space="preserve">, containers can be placed on the Project </w:t>
      </w:r>
      <w:r w:rsidR="00FD2C71" w:rsidRPr="00EE43C6">
        <w:rPr>
          <w:rFonts w:cs="Arial"/>
          <w:szCs w:val="22"/>
        </w:rPr>
        <w:t>A</w:t>
      </w:r>
      <w:r w:rsidRPr="00EE43C6">
        <w:rPr>
          <w:rFonts w:cs="Arial"/>
          <w:szCs w:val="22"/>
        </w:rPr>
        <w:t xml:space="preserve">rea for those who will work on the Project to rest, eat and for sanitary facilities. These </w:t>
      </w:r>
      <w:r w:rsidRPr="00EE43C6">
        <w:rPr>
          <w:rFonts w:cs="Arial"/>
          <w:szCs w:val="22"/>
        </w:rPr>
        <w:lastRenderedPageBreak/>
        <w:t>containers will meet standards for worker accommodation prepared by International Finance Corporation (IFC) and European Bank for Reconstruction and Development (EBRD) and approved by the WB</w:t>
      </w:r>
      <w:r w:rsidRPr="00EE43C6">
        <w:rPr>
          <w:rStyle w:val="FootnoteReference"/>
          <w:rFonts w:cs="Arial"/>
          <w:szCs w:val="22"/>
        </w:rPr>
        <w:footnoteReference w:id="3"/>
      </w:r>
      <w:r w:rsidRPr="00EE43C6">
        <w:rPr>
          <w:rFonts w:cs="Arial"/>
          <w:szCs w:val="22"/>
        </w:rPr>
        <w:t xml:space="preserve">. </w:t>
      </w:r>
      <w:r w:rsidR="004D14B4" w:rsidRPr="00EE43C6">
        <w:rPr>
          <w:rFonts w:cs="Wingdings"/>
          <w:szCs w:val="22"/>
        </w:rPr>
        <w:t xml:space="preserve">The Project will be awarded to </w:t>
      </w:r>
      <w:r w:rsidR="00F02518" w:rsidRPr="00EE43C6">
        <w:rPr>
          <w:rFonts w:cs="Wingdings"/>
          <w:szCs w:val="22"/>
        </w:rPr>
        <w:t>the</w:t>
      </w:r>
      <w:r w:rsidR="004D14B4" w:rsidRPr="00EE43C6">
        <w:rPr>
          <w:rFonts w:cs="Wingdings"/>
          <w:szCs w:val="22"/>
        </w:rPr>
        <w:t xml:space="preserve"> </w:t>
      </w:r>
      <w:r w:rsidR="00F02518" w:rsidRPr="00EE43C6">
        <w:rPr>
          <w:rFonts w:cs="Wingdings"/>
          <w:szCs w:val="22"/>
        </w:rPr>
        <w:t xml:space="preserve">TUIOSB </w:t>
      </w:r>
      <w:r w:rsidR="004D14B4" w:rsidRPr="00EE43C6">
        <w:rPr>
          <w:rFonts w:cs="Wingdings"/>
          <w:szCs w:val="22"/>
        </w:rPr>
        <w:t xml:space="preserve">by </w:t>
      </w:r>
      <w:r w:rsidR="00640D96" w:rsidRPr="00EE43C6">
        <w:rPr>
          <w:rFonts w:cs="Wingdings"/>
          <w:szCs w:val="22"/>
        </w:rPr>
        <w:t xml:space="preserve">a </w:t>
      </w:r>
      <w:r w:rsidR="004D14B4" w:rsidRPr="00EE43C6">
        <w:rPr>
          <w:rFonts w:cs="Wingdings"/>
          <w:szCs w:val="22"/>
        </w:rPr>
        <w:t xml:space="preserve">tender, which will be </w:t>
      </w:r>
      <w:r w:rsidR="00FB5D63" w:rsidRPr="00EE43C6">
        <w:rPr>
          <w:rFonts w:cs="Wingdings"/>
          <w:szCs w:val="22"/>
        </w:rPr>
        <w:t xml:space="preserve">directly announced and led </w:t>
      </w:r>
      <w:r w:rsidR="004D14B4" w:rsidRPr="00EE43C6">
        <w:rPr>
          <w:rFonts w:cs="Wingdings"/>
          <w:szCs w:val="22"/>
        </w:rPr>
        <w:t>by the MoIT.</w:t>
      </w:r>
    </w:p>
    <w:p w14:paraId="24AAA2F4" w14:textId="6F928212" w:rsidR="00D73D0C" w:rsidRPr="00EE43C6" w:rsidRDefault="00D73D0C" w:rsidP="00D73D0C">
      <w:pPr>
        <w:rPr>
          <w:rFonts w:cs="MS Gothic"/>
        </w:rPr>
      </w:pPr>
      <w:r w:rsidRPr="2DB09FEA">
        <w:rPr>
          <w:rFonts w:cs="MS Gothic"/>
        </w:rPr>
        <w:t xml:space="preserve">The </w:t>
      </w:r>
      <w:r w:rsidR="00242D2C" w:rsidRPr="2DB09FEA">
        <w:rPr>
          <w:rFonts w:cs="MS Gothic"/>
        </w:rPr>
        <w:t>Construction Supervision</w:t>
      </w:r>
      <w:r w:rsidRPr="2DB09FEA">
        <w:rPr>
          <w:rFonts w:cs="MS Gothic"/>
        </w:rPr>
        <w:t xml:space="preserve"> Consultant, who will be responsible for detecting nonconformities, notifying the </w:t>
      </w:r>
      <w:r w:rsidR="00B7570D" w:rsidRPr="2DB09FEA">
        <w:rPr>
          <w:rFonts w:cs="MS Gothic"/>
        </w:rPr>
        <w:t>TU</w:t>
      </w:r>
      <w:r w:rsidR="00BB3259" w:rsidRPr="2DB09FEA">
        <w:rPr>
          <w:rFonts w:cs="MS Gothic"/>
        </w:rPr>
        <w:t>IOSB</w:t>
      </w:r>
      <w:r w:rsidRPr="2DB09FEA">
        <w:rPr>
          <w:rFonts w:cs="MS Gothic"/>
        </w:rPr>
        <w:t xml:space="preserve"> and monitoring corrective actions within the scope of the Project, will be selected </w:t>
      </w:r>
      <w:r w:rsidR="1F60C66F" w:rsidRPr="2DB09FEA">
        <w:rPr>
          <w:rFonts w:cs="MS Gothic"/>
        </w:rPr>
        <w:t xml:space="preserve"> through</w:t>
      </w:r>
      <w:r w:rsidR="00B01B20" w:rsidRPr="2DB09FEA">
        <w:rPr>
          <w:rFonts w:cs="MS Gothic"/>
        </w:rPr>
        <w:t xml:space="preserve"> tender</w:t>
      </w:r>
      <w:r w:rsidRPr="2DB09FEA">
        <w:rPr>
          <w:rFonts w:cs="MS Gothic"/>
        </w:rPr>
        <w:t xml:space="preserve"> to be opened by the </w:t>
      </w:r>
      <w:r w:rsidR="00BB3259" w:rsidRPr="2DB09FEA">
        <w:rPr>
          <w:rFonts w:cs="MS Gothic"/>
        </w:rPr>
        <w:t>TUIOSB</w:t>
      </w:r>
      <w:r w:rsidRPr="2DB09FEA">
        <w:rPr>
          <w:rFonts w:cs="MS Gothic"/>
        </w:rPr>
        <w:t xml:space="preserve">. </w:t>
      </w:r>
      <w:r w:rsidR="00E60A59">
        <w:rPr>
          <w:rFonts w:cs="MS Gothic"/>
        </w:rPr>
        <w:t xml:space="preserve">In this </w:t>
      </w:r>
      <w:r w:rsidR="00260D60">
        <w:rPr>
          <w:rFonts w:cs="MS Gothic"/>
        </w:rPr>
        <w:t>respect</w:t>
      </w:r>
      <w:r w:rsidR="00E60A59">
        <w:rPr>
          <w:rFonts w:cs="MS Gothic"/>
        </w:rPr>
        <w:t>, t</w:t>
      </w:r>
      <w:r w:rsidR="00E60A59" w:rsidRPr="00E60A59">
        <w:rPr>
          <w:rFonts w:cs="MS Gothic"/>
        </w:rPr>
        <w:t xml:space="preserve">he consultant criteria will be in </w:t>
      </w:r>
      <w:r w:rsidR="00F07899">
        <w:rPr>
          <w:rFonts w:cs="MS Gothic"/>
        </w:rPr>
        <w:t>accordance</w:t>
      </w:r>
      <w:r w:rsidR="00E60A59" w:rsidRPr="00E60A59">
        <w:rPr>
          <w:rFonts w:cs="MS Gothic"/>
        </w:rPr>
        <w:t xml:space="preserve"> with </w:t>
      </w:r>
      <w:r w:rsidR="00103AC5">
        <w:rPr>
          <w:rFonts w:cs="MS Gothic"/>
        </w:rPr>
        <w:t>estab</w:t>
      </w:r>
      <w:r w:rsidR="00F07899">
        <w:rPr>
          <w:rFonts w:cs="MS Gothic"/>
        </w:rPr>
        <w:t xml:space="preserve">lished </w:t>
      </w:r>
      <w:r w:rsidR="00E60A59" w:rsidRPr="00E60A59">
        <w:rPr>
          <w:rFonts w:cs="MS Gothic"/>
        </w:rPr>
        <w:t>criteria</w:t>
      </w:r>
      <w:r w:rsidR="00BF06CD">
        <w:rPr>
          <w:rFonts w:cs="MS Gothic"/>
        </w:rPr>
        <w:t xml:space="preserve"> </w:t>
      </w:r>
      <w:r w:rsidR="00E60A59" w:rsidRPr="00E60A59">
        <w:rPr>
          <w:rFonts w:cs="MS Gothic"/>
        </w:rPr>
        <w:t>for internationally funded projects.</w:t>
      </w:r>
      <w:r w:rsidR="00E60A59" w:rsidRPr="2DB09FEA" w:rsidDel="00E60A59">
        <w:rPr>
          <w:rFonts w:cs="MS Gothic"/>
        </w:rPr>
        <w:t xml:space="preserve"> </w:t>
      </w:r>
      <w:r w:rsidRPr="2DB09FEA">
        <w:rPr>
          <w:rFonts w:cs="MS Gothic"/>
        </w:rPr>
        <w:t xml:space="preserve"> The competence of the </w:t>
      </w:r>
      <w:r w:rsidR="00242D2C" w:rsidRPr="2DB09FEA">
        <w:rPr>
          <w:rFonts w:cs="MS Gothic"/>
        </w:rPr>
        <w:t>Construction Supervision</w:t>
      </w:r>
      <w:r w:rsidRPr="2DB09FEA">
        <w:rPr>
          <w:rFonts w:cs="MS Gothic"/>
        </w:rPr>
        <w:t xml:space="preserve"> Consultant will be </w:t>
      </w:r>
      <w:r w:rsidR="00640D96" w:rsidRPr="2DB09FEA">
        <w:rPr>
          <w:rFonts w:cs="MS Gothic"/>
        </w:rPr>
        <w:t xml:space="preserve">also </w:t>
      </w:r>
      <w:r w:rsidRPr="2DB09FEA">
        <w:rPr>
          <w:rFonts w:cs="MS Gothic"/>
        </w:rPr>
        <w:t>evaluated by the MoIT.</w:t>
      </w:r>
    </w:p>
    <w:p w14:paraId="413A2C21" w14:textId="63F0A14B" w:rsidR="00D73D0C" w:rsidRPr="00EE43C6" w:rsidRDefault="00D73D0C" w:rsidP="00D73D0C">
      <w:pPr>
        <w:rPr>
          <w:rFonts w:cs="Arial"/>
        </w:rPr>
      </w:pPr>
      <w:r w:rsidRPr="3C3DFBEF">
        <w:rPr>
          <w:rFonts w:cs="Arial"/>
        </w:rPr>
        <w:t xml:space="preserve">On the other hand, the tender for the Construction Contractor will be </w:t>
      </w:r>
      <w:r w:rsidR="6BCEDA0B" w:rsidRPr="3C3DFBEF">
        <w:rPr>
          <w:rFonts w:cs="Arial"/>
        </w:rPr>
        <w:t>conducted</w:t>
      </w:r>
      <w:r w:rsidRPr="3C3DFBEF">
        <w:rPr>
          <w:rFonts w:cs="Arial"/>
        </w:rPr>
        <w:t xml:space="preserve"> in accordance with the WB Procurement Regulations and companies that have been banned from public tenders will not be included in the tender process. The result of the tender will be </w:t>
      </w:r>
      <w:r w:rsidR="00640D96" w:rsidRPr="3C3DFBEF">
        <w:rPr>
          <w:rFonts w:cs="Arial"/>
        </w:rPr>
        <w:t xml:space="preserve">determined </w:t>
      </w:r>
      <w:r w:rsidRPr="3C3DFBEF">
        <w:rPr>
          <w:rFonts w:cs="Arial"/>
        </w:rPr>
        <w:t xml:space="preserve">by </w:t>
      </w:r>
      <w:r w:rsidR="00640D96" w:rsidRPr="3C3DFBEF">
        <w:rPr>
          <w:rFonts w:cs="Arial"/>
        </w:rPr>
        <w:t xml:space="preserve">a committee to be consisting of members from </w:t>
      </w:r>
      <w:r w:rsidRPr="3C3DFBEF">
        <w:rPr>
          <w:rFonts w:cs="Arial"/>
        </w:rPr>
        <w:t>the MoIT</w:t>
      </w:r>
      <w:r w:rsidR="00640D96" w:rsidRPr="3C3DFBEF">
        <w:rPr>
          <w:rFonts w:cs="Arial"/>
        </w:rPr>
        <w:t xml:space="preserve"> and TUIOSB</w:t>
      </w:r>
      <w:r w:rsidRPr="3C3DFBEF">
        <w:rPr>
          <w:rFonts w:cs="Arial"/>
        </w:rPr>
        <w:t>.</w:t>
      </w:r>
    </w:p>
    <w:p w14:paraId="6FBBBE62" w14:textId="79E4DDE8" w:rsidR="00D73D0C" w:rsidRPr="00EE43C6" w:rsidRDefault="00D73D0C" w:rsidP="00D73D0C">
      <w:pPr>
        <w:rPr>
          <w:rFonts w:eastAsiaTheme="minorEastAsia" w:cs="MS Gothic"/>
        </w:rPr>
      </w:pPr>
      <w:r w:rsidRPr="00EE43C6">
        <w:rPr>
          <w:rFonts w:eastAsiaTheme="minorEastAsia" w:cs="MS Gothic"/>
        </w:rPr>
        <w:t>Environmental and Social Management Plan (ESMP) describes the measures and controls developed for the management of the potential project impacts, determines the implementation schedule of these mitigation measures, defines the roles and responsibilities for implementation of ESMP as well as reporting and monitoring requirements in line with WB requirement.</w:t>
      </w:r>
      <w:r w:rsidR="00ED3F3D">
        <w:rPr>
          <w:rFonts w:eastAsiaTheme="minorEastAsia" w:cs="MS Gothic"/>
        </w:rPr>
        <w:t xml:space="preserve"> </w:t>
      </w:r>
      <w:r w:rsidR="00326735" w:rsidRPr="00326735">
        <w:rPr>
          <w:rFonts w:eastAsiaTheme="minorEastAsia" w:cs="MS Gothic"/>
        </w:rPr>
        <w:t>Accordingly,</w:t>
      </w:r>
      <w:r w:rsidR="00ED3F3D">
        <w:rPr>
          <w:rFonts w:eastAsiaTheme="minorEastAsia" w:cs="MS Gothic"/>
        </w:rPr>
        <w:t xml:space="preserve"> </w:t>
      </w:r>
      <w:r w:rsidR="00ED3F3D" w:rsidRPr="00ED3F3D">
        <w:rPr>
          <w:rFonts w:eastAsiaTheme="minorEastAsia" w:cs="MS Gothic"/>
        </w:rPr>
        <w:t xml:space="preserve">ESMP will be part of </w:t>
      </w:r>
      <w:r w:rsidR="00ED3F3D">
        <w:rPr>
          <w:rFonts w:eastAsiaTheme="minorEastAsia" w:cs="MS Gothic"/>
        </w:rPr>
        <w:t>t</w:t>
      </w:r>
      <w:r w:rsidR="00ED3F3D" w:rsidRPr="00ED3F3D">
        <w:rPr>
          <w:rFonts w:eastAsiaTheme="minorEastAsia" w:cs="MS Gothic"/>
        </w:rPr>
        <w:t>ender</w:t>
      </w:r>
      <w:r w:rsidR="00ED3F3D" w:rsidRPr="00ED3F3D">
        <w:t xml:space="preserve"> </w:t>
      </w:r>
      <w:r w:rsidR="00ED3F3D" w:rsidRPr="00ED3F3D">
        <w:rPr>
          <w:rFonts w:eastAsiaTheme="minorEastAsia" w:cs="MS Gothic"/>
        </w:rPr>
        <w:t>package</w:t>
      </w:r>
      <w:r w:rsidR="00ED3F3D">
        <w:rPr>
          <w:rFonts w:eastAsiaTheme="minorEastAsia" w:cs="MS Gothic"/>
        </w:rPr>
        <w:t>.</w:t>
      </w:r>
    </w:p>
    <w:p w14:paraId="1083B1FC" w14:textId="3C22E148" w:rsidR="00D73D0C" w:rsidRPr="00EE43C6" w:rsidRDefault="00D73D0C" w:rsidP="00D73D0C">
      <w:pPr>
        <w:rPr>
          <w:rFonts w:eastAsiaTheme="minorEastAsia" w:cs="MS Gothic"/>
        </w:rPr>
      </w:pPr>
      <w:r w:rsidRPr="00EE43C6">
        <w:rPr>
          <w:lang w:eastAsia="en-US"/>
        </w:rPr>
        <w:t xml:space="preserve">According to Environmental and Social Management Framework (ESMF), </w:t>
      </w:r>
      <w:r w:rsidR="00E85AAA" w:rsidRPr="00EE43C6">
        <w:t xml:space="preserve">Project Implementation </w:t>
      </w:r>
      <w:r w:rsidR="00387678" w:rsidRPr="00EE43C6">
        <w:t>Unit (</w:t>
      </w:r>
      <w:r w:rsidR="00666B99" w:rsidRPr="00EE43C6">
        <w:rPr>
          <w:lang w:eastAsia="en-US"/>
        </w:rPr>
        <w:t>PIU</w:t>
      </w:r>
      <w:r w:rsidR="00E85AAA" w:rsidRPr="00EE43C6">
        <w:rPr>
          <w:lang w:eastAsia="en-US"/>
        </w:rPr>
        <w:t>)</w:t>
      </w:r>
      <w:r w:rsidR="00666B99" w:rsidRPr="00EE43C6">
        <w:rPr>
          <w:lang w:eastAsia="en-US"/>
        </w:rPr>
        <w:t xml:space="preserve"> of </w:t>
      </w:r>
      <w:r w:rsidRPr="00EE43C6">
        <w:rPr>
          <w:lang w:eastAsia="en-US"/>
        </w:rPr>
        <w:t xml:space="preserve">MoIT environmental and social experts shall monitor the sites on quarterly basis during construction, </w:t>
      </w:r>
      <w:r w:rsidR="00390F4C" w:rsidRPr="00EE43C6">
        <w:rPr>
          <w:lang w:eastAsia="en-US"/>
        </w:rPr>
        <w:t>and biannually during the operation phase</w:t>
      </w:r>
      <w:r w:rsidRPr="00EE43C6">
        <w:rPr>
          <w:lang w:eastAsia="en-US"/>
        </w:rPr>
        <w:t xml:space="preserve">. More frequent monitoring may be conducted if needed to ensure compliance with the mitigation measures and resolution of any issues that are noted. Monthly monitoring activities carried out by </w:t>
      </w:r>
      <w:r w:rsidR="00BB3259" w:rsidRPr="00EE43C6">
        <w:rPr>
          <w:lang w:eastAsia="en-US"/>
        </w:rPr>
        <w:t>TUI</w:t>
      </w:r>
      <w:r w:rsidR="00AB5ED2" w:rsidRPr="00EE43C6">
        <w:rPr>
          <w:lang w:eastAsia="en-US"/>
        </w:rPr>
        <w:t>O</w:t>
      </w:r>
      <w:r w:rsidR="00BB3259" w:rsidRPr="00EE43C6">
        <w:rPr>
          <w:lang w:eastAsia="en-US"/>
        </w:rPr>
        <w:t>SB</w:t>
      </w:r>
      <w:r w:rsidRPr="00EE43C6">
        <w:rPr>
          <w:lang w:eastAsia="en-US"/>
        </w:rPr>
        <w:t xml:space="preserve"> </w:t>
      </w:r>
      <w:r w:rsidR="009A2893" w:rsidRPr="00EE43C6">
        <w:rPr>
          <w:lang w:eastAsia="en-US"/>
        </w:rPr>
        <w:t xml:space="preserve">as Project Management Unit </w:t>
      </w:r>
      <w:r w:rsidR="00450E4F" w:rsidRPr="00EE43C6">
        <w:rPr>
          <w:lang w:eastAsia="en-US"/>
        </w:rPr>
        <w:t>(PMU)</w:t>
      </w:r>
      <w:r w:rsidRPr="00EE43C6">
        <w:rPr>
          <w:lang w:eastAsia="en-US"/>
        </w:rPr>
        <w:t xml:space="preserve"> for E&amp;S compliance will be reported regularly to </w:t>
      </w:r>
      <w:r w:rsidR="000725DF" w:rsidRPr="00EE43C6">
        <w:rPr>
          <w:lang w:eastAsia="en-US"/>
        </w:rPr>
        <w:t>PIU</w:t>
      </w:r>
      <w:r w:rsidRPr="00EE43C6">
        <w:rPr>
          <w:lang w:eastAsia="en-US"/>
        </w:rPr>
        <w:t xml:space="preserve">. </w:t>
      </w:r>
      <w:r w:rsidR="000725DF" w:rsidRPr="00EE43C6">
        <w:rPr>
          <w:lang w:eastAsia="en-US"/>
        </w:rPr>
        <w:t>PIU</w:t>
      </w:r>
      <w:r w:rsidRPr="00EE43C6">
        <w:rPr>
          <w:lang w:eastAsia="en-US"/>
        </w:rPr>
        <w:t xml:space="preserve"> will carry out its supervision monitoring as required and report to World Bank </w:t>
      </w:r>
      <w:r w:rsidR="003553A9" w:rsidRPr="00EE43C6">
        <w:rPr>
          <w:lang w:eastAsia="en-US"/>
        </w:rPr>
        <w:t>quarterly/biann</w:t>
      </w:r>
      <w:r w:rsidR="003C0C4C" w:rsidRPr="00EE43C6">
        <w:rPr>
          <w:lang w:eastAsia="en-US"/>
        </w:rPr>
        <w:t>ually</w:t>
      </w:r>
      <w:r w:rsidRPr="00EE43C6">
        <w:rPr>
          <w:lang w:eastAsia="en-US"/>
        </w:rPr>
        <w:t xml:space="preserve"> on the progress and updates.</w:t>
      </w:r>
    </w:p>
    <w:p w14:paraId="274FD81B" w14:textId="6BAD42A6" w:rsidR="00D73D0C" w:rsidRPr="00EE43C6" w:rsidRDefault="00D73D0C" w:rsidP="00D73D0C">
      <w:pPr>
        <w:rPr>
          <w:rFonts w:eastAsiaTheme="minorEastAsia" w:cs="MS Gothic"/>
        </w:rPr>
      </w:pPr>
      <w:r w:rsidRPr="00EE43C6">
        <w:rPr>
          <w:rFonts w:eastAsiaTheme="minorEastAsia" w:cs="MS Gothic"/>
        </w:rPr>
        <w:t xml:space="preserve">ESMP is considered as </w:t>
      </w:r>
      <w:r w:rsidR="00640D96" w:rsidRPr="00EE43C6">
        <w:rPr>
          <w:rFonts w:eastAsiaTheme="minorEastAsia" w:cs="MS Gothic"/>
        </w:rPr>
        <w:t xml:space="preserve">a </w:t>
      </w:r>
      <w:r w:rsidRPr="00EE43C6">
        <w:rPr>
          <w:rFonts w:eastAsiaTheme="minorEastAsia" w:cs="MS Gothic"/>
        </w:rPr>
        <w:t xml:space="preserve">living document that requires regular review and update with respect to the potential changes in environmental and social conditions as the project progresses. The </w:t>
      </w:r>
      <w:r w:rsidR="003565C4" w:rsidRPr="00EE43C6">
        <w:rPr>
          <w:rFonts w:eastAsiaTheme="minorEastAsia" w:cs="MS Gothic"/>
        </w:rPr>
        <w:t>TUIOSB</w:t>
      </w:r>
      <w:r w:rsidRPr="00EE43C6">
        <w:rPr>
          <w:rFonts w:eastAsiaTheme="minorEastAsia" w:cs="MS Gothic"/>
        </w:rPr>
        <w:t xml:space="preserve"> together with its sub-contractors are responsible for the implementation of the ESMP. The </w:t>
      </w:r>
      <w:r w:rsidR="00B10C7A" w:rsidRPr="00EE43C6">
        <w:rPr>
          <w:rFonts w:eastAsiaTheme="minorEastAsia" w:cs="MS Gothic"/>
        </w:rPr>
        <w:t>TUIOSB</w:t>
      </w:r>
      <w:r w:rsidRPr="00EE43C6">
        <w:rPr>
          <w:rFonts w:eastAsiaTheme="minorEastAsia" w:cs="MS Gothic"/>
        </w:rPr>
        <w:t xml:space="preserve"> is committed to follow WB ESSs, IFC PS, as well as the Guidelines of the World Bank Group (IFC Environmental, Health and Safety Guidelines (EHSs)).</w:t>
      </w:r>
    </w:p>
    <w:p w14:paraId="3D224931" w14:textId="545A343E" w:rsidR="00D73D0C" w:rsidRPr="00EE43C6" w:rsidRDefault="00D73D0C" w:rsidP="3C3DFBEF">
      <w:pPr>
        <w:rPr>
          <w:rFonts w:cs="Wingdings"/>
        </w:rPr>
      </w:pPr>
      <w:r w:rsidRPr="3C3DFBEF">
        <w:rPr>
          <w:rFonts w:cs="Wingdings"/>
        </w:rPr>
        <w:t xml:space="preserve">This ESMP identifies the potential </w:t>
      </w:r>
      <w:r w:rsidR="33C62D64" w:rsidRPr="3C3DFBEF">
        <w:rPr>
          <w:rFonts w:cs="Wingdings"/>
        </w:rPr>
        <w:t xml:space="preserve">adverse </w:t>
      </w:r>
      <w:r w:rsidRPr="3C3DFBEF">
        <w:rPr>
          <w:rFonts w:cs="Wingdings"/>
        </w:rPr>
        <w:t xml:space="preserve">impacts that may arise during construction and operation phases of the Project and proposed appropriate mitigation measures to effectively address these impacts. In conclusion, the Project can be carried out in an environmentally and </w:t>
      </w:r>
      <w:r w:rsidRPr="3C3DFBEF">
        <w:rPr>
          <w:rFonts w:cs="Wingdings"/>
        </w:rPr>
        <w:lastRenderedPageBreak/>
        <w:t>socially sustainable manner on full implementation of this ESMP as there are no likely major or irreversible negative impacts.</w:t>
      </w:r>
    </w:p>
    <w:p w14:paraId="0DCD59F4" w14:textId="2851BFE9" w:rsidR="00CC712F" w:rsidRPr="00EE43C6" w:rsidRDefault="00FE3010" w:rsidP="3C3DFBEF">
      <w:pPr>
        <w:rPr>
          <w:rFonts w:cs="Wingdings"/>
        </w:rPr>
      </w:pPr>
      <w:r w:rsidRPr="00FE3010">
        <w:rPr>
          <w:rFonts w:eastAsiaTheme="minorEastAsia"/>
          <w:lang w:eastAsia="en-US"/>
        </w:rPr>
        <w:t xml:space="preserve">As spot fuel and oil spills were observed </w:t>
      </w:r>
      <w:r w:rsidR="007D5B4C">
        <w:rPr>
          <w:rFonts w:eastAsiaTheme="minorEastAsia"/>
          <w:lang w:eastAsia="en-US"/>
        </w:rPr>
        <w:t xml:space="preserve">visually </w:t>
      </w:r>
      <w:r w:rsidR="008D4AC4">
        <w:rPr>
          <w:rFonts w:eastAsiaTheme="minorEastAsia"/>
          <w:lang w:eastAsia="en-US"/>
        </w:rPr>
        <w:t>in</w:t>
      </w:r>
      <w:r w:rsidRPr="00FE3010">
        <w:rPr>
          <w:rFonts w:eastAsiaTheme="minorEastAsia"/>
          <w:lang w:eastAsia="en-US"/>
        </w:rPr>
        <w:t xml:space="preserve"> </w:t>
      </w:r>
      <w:r w:rsidR="00926D78" w:rsidRPr="00926D78">
        <w:rPr>
          <w:rFonts w:eastAsiaTheme="minorEastAsia"/>
          <w:lang w:eastAsia="en-US"/>
        </w:rPr>
        <w:t>Lot 105 of the Project Area</w:t>
      </w:r>
      <w:r w:rsidRPr="00FE3010">
        <w:rPr>
          <w:rFonts w:eastAsiaTheme="minorEastAsia"/>
          <w:lang w:eastAsia="en-US"/>
        </w:rPr>
        <w:t xml:space="preserve">, </w:t>
      </w:r>
      <w:r w:rsidR="00814055">
        <w:rPr>
          <w:rFonts w:eastAsiaTheme="minorEastAsia"/>
          <w:lang w:eastAsia="en-US"/>
        </w:rPr>
        <w:t xml:space="preserve">the TUIOSB will </w:t>
      </w:r>
      <w:r w:rsidRPr="00FE3010">
        <w:rPr>
          <w:rFonts w:eastAsiaTheme="minorEastAsia"/>
          <w:lang w:eastAsia="en-US"/>
        </w:rPr>
        <w:t xml:space="preserve">take soil samples in the concerned area </w:t>
      </w:r>
      <w:r w:rsidR="00046752">
        <w:rPr>
          <w:rFonts w:eastAsiaTheme="minorEastAsia"/>
          <w:lang w:eastAsia="en-US"/>
        </w:rPr>
        <w:t xml:space="preserve">(see </w:t>
      </w:r>
      <w:r w:rsidR="00046752">
        <w:rPr>
          <w:rFonts w:eastAsiaTheme="minorEastAsia"/>
          <w:lang w:eastAsia="en-US"/>
        </w:rPr>
        <w:fldChar w:fldCharType="begin"/>
      </w:r>
      <w:r w:rsidR="00046752">
        <w:rPr>
          <w:rFonts w:eastAsiaTheme="minorEastAsia"/>
          <w:lang w:eastAsia="en-US"/>
        </w:rPr>
        <w:instrText xml:space="preserve"> REF _Ref136333735 \h </w:instrText>
      </w:r>
      <w:r w:rsidR="00046752">
        <w:rPr>
          <w:rFonts w:eastAsiaTheme="minorEastAsia"/>
          <w:lang w:eastAsia="en-US"/>
        </w:rPr>
      </w:r>
      <w:r w:rsidR="00046752">
        <w:rPr>
          <w:rFonts w:eastAsiaTheme="minorEastAsia"/>
          <w:lang w:eastAsia="en-US"/>
        </w:rPr>
        <w:fldChar w:fldCharType="separate"/>
      </w:r>
      <w:r w:rsidR="00046752">
        <w:t xml:space="preserve">Table </w:t>
      </w:r>
      <w:r w:rsidR="00046752">
        <w:rPr>
          <w:noProof/>
        </w:rPr>
        <w:t>6</w:t>
      </w:r>
      <w:r w:rsidR="00046752">
        <w:noBreakHyphen/>
      </w:r>
      <w:r w:rsidR="00046752">
        <w:rPr>
          <w:noProof/>
        </w:rPr>
        <w:t>30</w:t>
      </w:r>
      <w:r w:rsidR="00046752">
        <w:rPr>
          <w:rFonts w:eastAsiaTheme="minorEastAsia"/>
          <w:lang w:eastAsia="en-US"/>
        </w:rPr>
        <w:fldChar w:fldCharType="end"/>
      </w:r>
      <w:r w:rsidR="00046752">
        <w:rPr>
          <w:rFonts w:eastAsiaTheme="minorEastAsia"/>
          <w:lang w:eastAsia="en-US"/>
        </w:rPr>
        <w:t xml:space="preserve"> </w:t>
      </w:r>
      <w:r w:rsidR="00046752" w:rsidRPr="00046752">
        <w:rPr>
          <w:rFonts w:eastAsiaTheme="minorEastAsia"/>
          <w:lang w:eastAsia="en-US"/>
        </w:rPr>
        <w:t xml:space="preserve">and </w:t>
      </w:r>
      <w:r w:rsidR="00046752" w:rsidRPr="00046752">
        <w:rPr>
          <w:rFonts w:eastAsiaTheme="minorEastAsia"/>
          <w:lang w:eastAsia="en-US"/>
        </w:rPr>
        <w:fldChar w:fldCharType="begin"/>
      </w:r>
      <w:r w:rsidR="00046752" w:rsidRPr="00046752">
        <w:rPr>
          <w:rFonts w:eastAsiaTheme="minorEastAsia"/>
          <w:lang w:eastAsia="en-US"/>
        </w:rPr>
        <w:instrText xml:space="preserve"> REF _Ref136332452 \h </w:instrText>
      </w:r>
      <w:r w:rsidR="00046752" w:rsidRPr="00046752">
        <w:rPr>
          <w:rFonts w:eastAsiaTheme="minorEastAsia"/>
          <w:lang w:eastAsia="en-US"/>
        </w:rPr>
      </w:r>
      <w:r w:rsidR="00046752" w:rsidRPr="00046752">
        <w:rPr>
          <w:rFonts w:eastAsiaTheme="minorEastAsia"/>
          <w:lang w:eastAsia="en-US"/>
        </w:rPr>
        <w:fldChar w:fldCharType="separate"/>
      </w:r>
      <w:r w:rsidR="00046752" w:rsidRPr="00046752">
        <w:t xml:space="preserve">Figure </w:t>
      </w:r>
      <w:r w:rsidR="00046752" w:rsidRPr="00046752">
        <w:rPr>
          <w:noProof/>
        </w:rPr>
        <w:t>6</w:t>
      </w:r>
      <w:r w:rsidR="00046752" w:rsidRPr="00046752">
        <w:noBreakHyphen/>
      </w:r>
      <w:r w:rsidR="00046752" w:rsidRPr="00046752">
        <w:rPr>
          <w:noProof/>
        </w:rPr>
        <w:t>2</w:t>
      </w:r>
      <w:r w:rsidR="00046752" w:rsidRPr="00046752">
        <w:rPr>
          <w:rFonts w:eastAsiaTheme="minorEastAsia"/>
          <w:lang w:eastAsia="en-US"/>
        </w:rPr>
        <w:fldChar w:fldCharType="end"/>
      </w:r>
      <w:r w:rsidR="00046752" w:rsidRPr="00046752">
        <w:rPr>
          <w:rFonts w:eastAsiaTheme="minorEastAsia"/>
          <w:lang w:eastAsia="en-US"/>
        </w:rPr>
        <w:t xml:space="preserve">) </w:t>
      </w:r>
      <w:r w:rsidRPr="00FE3010">
        <w:rPr>
          <w:rFonts w:eastAsiaTheme="minorEastAsia"/>
          <w:lang w:eastAsia="en-US"/>
        </w:rPr>
        <w:t xml:space="preserve">to be able to assess possible soil contamination in accordance with Regulation on Control of Soil Pollution and Point Source Contaminated Lands. If soil contamination is detected at the area, Soil Management Plan including studies to be carried out in this area will be prepared and ground levelling works within the area will only be started </w:t>
      </w:r>
      <w:r w:rsidR="00814055">
        <w:rPr>
          <w:rFonts w:eastAsiaTheme="minorEastAsia"/>
          <w:lang w:eastAsia="en-US"/>
        </w:rPr>
        <w:t xml:space="preserve">by the contractor </w:t>
      </w:r>
      <w:r w:rsidRPr="00FE3010">
        <w:rPr>
          <w:rFonts w:eastAsiaTheme="minorEastAsia"/>
          <w:lang w:eastAsia="en-US"/>
        </w:rPr>
        <w:t>after the rehabilitation of the area in line with the relevant regulation.</w:t>
      </w:r>
    </w:p>
    <w:p w14:paraId="675EBE48" w14:textId="57F30C27" w:rsidR="00D73D0C" w:rsidRPr="00EE43C6" w:rsidRDefault="000F6185" w:rsidP="00D73D0C">
      <w:pPr>
        <w:rPr>
          <w:rFonts w:eastAsia="Cambria"/>
        </w:rPr>
      </w:pPr>
      <w:r w:rsidRPr="3C3DFBEF">
        <w:rPr>
          <w:rFonts w:eastAsia="Cambria"/>
        </w:rPr>
        <w:t>As part</w:t>
      </w:r>
      <w:r w:rsidR="00D73D0C" w:rsidRPr="3C3DFBEF">
        <w:rPr>
          <w:rFonts w:eastAsia="Cambria"/>
        </w:rPr>
        <w:t xml:space="preserve"> of the mitigation measures, management plans </w:t>
      </w:r>
      <w:r w:rsidR="00D73D0C">
        <w:t xml:space="preserve">and procedures </w:t>
      </w:r>
      <w:r w:rsidR="00D73D0C" w:rsidRPr="3C3DFBEF">
        <w:rPr>
          <w:rFonts w:eastAsia="Cambria"/>
        </w:rPr>
        <w:t xml:space="preserve">on different subjects should be developed. A list of recommended management plans for both </w:t>
      </w:r>
      <w:r w:rsidR="007D5B4C">
        <w:rPr>
          <w:rFonts w:eastAsia="Cambria"/>
        </w:rPr>
        <w:t xml:space="preserve">construction and operation </w:t>
      </w:r>
      <w:r w:rsidR="00D73D0C" w:rsidRPr="3C3DFBEF">
        <w:rPr>
          <w:rFonts w:eastAsia="Cambria"/>
        </w:rPr>
        <w:t>phases of the Project are presented below;</w:t>
      </w:r>
    </w:p>
    <w:p w14:paraId="38B6B60F" w14:textId="77777777" w:rsidR="00D73D0C" w:rsidRPr="00EE43C6" w:rsidRDefault="00D73D0C" w:rsidP="00D73D0C">
      <w:pPr>
        <w:rPr>
          <w:rFonts w:eastAsia="Cambria"/>
        </w:rPr>
      </w:pPr>
      <w:r w:rsidRPr="00EE43C6">
        <w:rPr>
          <w:rFonts w:eastAsia="Cambria"/>
        </w:rPr>
        <w:t>Construction Phase;</w:t>
      </w:r>
    </w:p>
    <w:p w14:paraId="5473387C" w14:textId="77777777" w:rsidR="00D73D0C" w:rsidRPr="00EE43C6" w:rsidRDefault="00D73D0C" w:rsidP="004C60B9">
      <w:pPr>
        <w:pStyle w:val="ListParagraph"/>
        <w:numPr>
          <w:ilvl w:val="0"/>
          <w:numId w:val="64"/>
        </w:numPr>
        <w:tabs>
          <w:tab w:val="left" w:pos="1701"/>
        </w:tabs>
      </w:pPr>
      <w:r w:rsidRPr="00EE43C6">
        <w:t>Waste Management Plan,</w:t>
      </w:r>
    </w:p>
    <w:p w14:paraId="4AB9363A" w14:textId="77777777" w:rsidR="00D73D0C" w:rsidRPr="00EE43C6" w:rsidRDefault="00D73D0C" w:rsidP="004C60B9">
      <w:pPr>
        <w:pStyle w:val="ListParagraph"/>
        <w:numPr>
          <w:ilvl w:val="0"/>
          <w:numId w:val="64"/>
        </w:numPr>
        <w:tabs>
          <w:tab w:val="left" w:pos="1701"/>
        </w:tabs>
      </w:pPr>
      <w:r w:rsidRPr="00EE43C6">
        <w:t>Soil Management Plan,</w:t>
      </w:r>
    </w:p>
    <w:p w14:paraId="3E62234A" w14:textId="77777777" w:rsidR="00D73D0C" w:rsidRPr="00EE43C6" w:rsidRDefault="00D73D0C" w:rsidP="004C60B9">
      <w:pPr>
        <w:pStyle w:val="ListParagraph"/>
        <w:numPr>
          <w:ilvl w:val="0"/>
          <w:numId w:val="64"/>
        </w:numPr>
        <w:tabs>
          <w:tab w:val="left" w:pos="1701"/>
        </w:tabs>
      </w:pPr>
      <w:r w:rsidRPr="00EE43C6">
        <w:t>Dust Management Plan,</w:t>
      </w:r>
    </w:p>
    <w:p w14:paraId="55F0AE04" w14:textId="77777777" w:rsidR="00D73D0C" w:rsidRPr="00EE43C6" w:rsidRDefault="00D73D0C" w:rsidP="004C60B9">
      <w:pPr>
        <w:pStyle w:val="ListParagraph"/>
        <w:numPr>
          <w:ilvl w:val="0"/>
          <w:numId w:val="64"/>
        </w:numPr>
        <w:tabs>
          <w:tab w:val="left" w:pos="1701"/>
        </w:tabs>
      </w:pPr>
      <w:r w:rsidRPr="00EE43C6">
        <w:t>Noise Management Plan,</w:t>
      </w:r>
    </w:p>
    <w:p w14:paraId="6ABD90F1" w14:textId="77777777" w:rsidR="00D73D0C" w:rsidRPr="00EE43C6" w:rsidRDefault="00D73D0C" w:rsidP="004C60B9">
      <w:pPr>
        <w:pStyle w:val="ListParagraph"/>
        <w:numPr>
          <w:ilvl w:val="0"/>
          <w:numId w:val="64"/>
        </w:numPr>
        <w:tabs>
          <w:tab w:val="left" w:pos="1701"/>
        </w:tabs>
      </w:pPr>
      <w:r w:rsidRPr="00EE43C6">
        <w:t>Transport and Traffic Management Plan,</w:t>
      </w:r>
    </w:p>
    <w:p w14:paraId="056E5B40" w14:textId="77777777" w:rsidR="00D73D0C" w:rsidRPr="00EE43C6" w:rsidRDefault="00D73D0C" w:rsidP="004C60B9">
      <w:pPr>
        <w:pStyle w:val="ListParagraph"/>
        <w:numPr>
          <w:ilvl w:val="0"/>
          <w:numId w:val="64"/>
        </w:numPr>
        <w:tabs>
          <w:tab w:val="left" w:pos="1701"/>
        </w:tabs>
      </w:pPr>
      <w:r w:rsidRPr="00EE43C6">
        <w:t>Chemical Spill Emergency Management Plan,</w:t>
      </w:r>
    </w:p>
    <w:p w14:paraId="75AF56BA" w14:textId="77777777" w:rsidR="00D73D0C" w:rsidRPr="00EE43C6" w:rsidRDefault="00D73D0C" w:rsidP="004C60B9">
      <w:pPr>
        <w:pStyle w:val="ListParagraph"/>
        <w:numPr>
          <w:ilvl w:val="0"/>
          <w:numId w:val="64"/>
        </w:numPr>
        <w:tabs>
          <w:tab w:val="left" w:pos="1701"/>
        </w:tabs>
      </w:pPr>
      <w:r w:rsidRPr="00EE43C6">
        <w:t>Pollution Prevention Plan,</w:t>
      </w:r>
    </w:p>
    <w:p w14:paraId="629F0B6A" w14:textId="77777777" w:rsidR="00D73D0C" w:rsidRPr="00EE43C6" w:rsidRDefault="00D73D0C" w:rsidP="004C60B9">
      <w:pPr>
        <w:pStyle w:val="ListParagraph"/>
        <w:numPr>
          <w:ilvl w:val="0"/>
          <w:numId w:val="64"/>
        </w:numPr>
        <w:tabs>
          <w:tab w:val="left" w:pos="1701"/>
        </w:tabs>
      </w:pPr>
      <w:r w:rsidRPr="00EE43C6">
        <w:t>Occupational Health and Safety Management Plan,</w:t>
      </w:r>
    </w:p>
    <w:p w14:paraId="0A85C671" w14:textId="77777777" w:rsidR="00D73D0C" w:rsidRPr="00EE43C6" w:rsidRDefault="00D73D0C" w:rsidP="004C60B9">
      <w:pPr>
        <w:pStyle w:val="ListParagraph"/>
        <w:numPr>
          <w:ilvl w:val="0"/>
          <w:numId w:val="64"/>
        </w:numPr>
        <w:tabs>
          <w:tab w:val="left" w:pos="1701"/>
        </w:tabs>
      </w:pPr>
      <w:r w:rsidRPr="00EE43C6">
        <w:t>Emergency Preparedness and Response Plan,</w:t>
      </w:r>
    </w:p>
    <w:p w14:paraId="491A83DD" w14:textId="77777777" w:rsidR="00D73D0C" w:rsidRPr="00EE43C6" w:rsidRDefault="00D73D0C" w:rsidP="004C60B9">
      <w:pPr>
        <w:pStyle w:val="ListParagraph"/>
        <w:numPr>
          <w:ilvl w:val="0"/>
          <w:numId w:val="64"/>
        </w:numPr>
        <w:tabs>
          <w:tab w:val="left" w:pos="1701"/>
        </w:tabs>
      </w:pPr>
      <w:r w:rsidRPr="00EE43C6">
        <w:t>Community Health, Safety, and Security Management Plan,</w:t>
      </w:r>
    </w:p>
    <w:p w14:paraId="69D6D9B6" w14:textId="4CDEA238" w:rsidR="009F685A" w:rsidRPr="00EE43C6" w:rsidRDefault="005219A5" w:rsidP="004C60B9">
      <w:pPr>
        <w:pStyle w:val="ListParagraph"/>
        <w:numPr>
          <w:ilvl w:val="0"/>
          <w:numId w:val="64"/>
        </w:numPr>
        <w:tabs>
          <w:tab w:val="left" w:pos="1701"/>
        </w:tabs>
      </w:pPr>
      <w:r w:rsidRPr="00EE43C6">
        <w:t>Labour</w:t>
      </w:r>
      <w:r w:rsidR="009F685A" w:rsidRPr="00EE43C6">
        <w:t xml:space="preserve"> Management Plan,</w:t>
      </w:r>
    </w:p>
    <w:p w14:paraId="3DE73486" w14:textId="655AEB2B" w:rsidR="009F685A" w:rsidRPr="00EE43C6" w:rsidRDefault="009F685A" w:rsidP="004C60B9">
      <w:pPr>
        <w:pStyle w:val="ListParagraph"/>
        <w:numPr>
          <w:ilvl w:val="0"/>
          <w:numId w:val="64"/>
        </w:numPr>
        <w:tabs>
          <w:tab w:val="left" w:pos="1701"/>
        </w:tabs>
      </w:pPr>
      <w:r w:rsidRPr="00EE43C6">
        <w:t>Stakeholder Engagement Plan,</w:t>
      </w:r>
    </w:p>
    <w:p w14:paraId="19419293" w14:textId="633C0B3C" w:rsidR="00D73D0C" w:rsidRPr="00EE43C6" w:rsidRDefault="00D73D0C" w:rsidP="004C60B9">
      <w:pPr>
        <w:pStyle w:val="ListParagraph"/>
        <w:numPr>
          <w:ilvl w:val="0"/>
          <w:numId w:val="64"/>
        </w:numPr>
        <w:tabs>
          <w:tab w:val="left" w:pos="1701"/>
        </w:tabs>
      </w:pPr>
      <w:r w:rsidRPr="00EE43C6">
        <w:t>Contractor Management Plan</w:t>
      </w:r>
      <w:r w:rsidR="000D69C9">
        <w:t>,</w:t>
      </w:r>
    </w:p>
    <w:p w14:paraId="1E8577B5" w14:textId="4D27E541" w:rsidR="00C40F4F" w:rsidRPr="00EE43C6" w:rsidRDefault="00C40F4F" w:rsidP="004C60B9">
      <w:pPr>
        <w:pStyle w:val="ListParagraph"/>
        <w:numPr>
          <w:ilvl w:val="0"/>
          <w:numId w:val="64"/>
        </w:numPr>
        <w:tabs>
          <w:tab w:val="left" w:pos="1701"/>
        </w:tabs>
      </w:pPr>
      <w:r>
        <w:t>Invasive Species Management Plan</w:t>
      </w:r>
      <w:r w:rsidR="000D69C9">
        <w:t>.</w:t>
      </w:r>
    </w:p>
    <w:p w14:paraId="03A0CA5A" w14:textId="77777777" w:rsidR="00D73D0C" w:rsidRPr="00EE43C6" w:rsidRDefault="00D73D0C" w:rsidP="00D73D0C">
      <w:pPr>
        <w:rPr>
          <w:rFonts w:eastAsia="Cambria"/>
        </w:rPr>
      </w:pPr>
      <w:r w:rsidRPr="00EE43C6">
        <w:rPr>
          <w:rFonts w:eastAsia="Cambria"/>
        </w:rPr>
        <w:t>Operation Phase;</w:t>
      </w:r>
    </w:p>
    <w:p w14:paraId="4A7F93F8" w14:textId="77777777" w:rsidR="00D73D0C" w:rsidRDefault="00D73D0C" w:rsidP="004C60B9">
      <w:pPr>
        <w:pStyle w:val="ListParagraph"/>
        <w:numPr>
          <w:ilvl w:val="0"/>
          <w:numId w:val="64"/>
        </w:numPr>
        <w:tabs>
          <w:tab w:val="left" w:pos="1701"/>
        </w:tabs>
      </w:pPr>
      <w:r w:rsidRPr="00EE43C6">
        <w:t>Waste Management Plan,</w:t>
      </w:r>
    </w:p>
    <w:p w14:paraId="5F2922D9" w14:textId="2E54CDB2" w:rsidR="0013785F" w:rsidRDefault="0013785F" w:rsidP="004C60B9">
      <w:pPr>
        <w:pStyle w:val="ListParagraph"/>
        <w:numPr>
          <w:ilvl w:val="0"/>
          <w:numId w:val="64"/>
        </w:numPr>
        <w:tabs>
          <w:tab w:val="left" w:pos="1701"/>
        </w:tabs>
      </w:pPr>
      <w:r w:rsidRPr="00EE43C6">
        <w:t>Effluent Management Plan,</w:t>
      </w:r>
    </w:p>
    <w:p w14:paraId="2210B67C" w14:textId="2C84162C" w:rsidR="00831431" w:rsidRDefault="00831431" w:rsidP="004C60B9">
      <w:pPr>
        <w:pStyle w:val="ListParagraph"/>
        <w:numPr>
          <w:ilvl w:val="0"/>
          <w:numId w:val="64"/>
        </w:numPr>
        <w:tabs>
          <w:tab w:val="left" w:pos="1701"/>
        </w:tabs>
      </w:pPr>
      <w:r>
        <w:t>Odour Management Plan,</w:t>
      </w:r>
    </w:p>
    <w:p w14:paraId="0BB4243C" w14:textId="5DC43B36" w:rsidR="00245C3B" w:rsidRPr="00EE43C6" w:rsidRDefault="00245C3B" w:rsidP="004C60B9">
      <w:pPr>
        <w:pStyle w:val="ListParagraph"/>
        <w:numPr>
          <w:ilvl w:val="0"/>
          <w:numId w:val="64"/>
        </w:numPr>
        <w:tabs>
          <w:tab w:val="left" w:pos="1701"/>
        </w:tabs>
      </w:pPr>
      <w:r w:rsidRPr="00245C3B">
        <w:t>Sludge Management Plan</w:t>
      </w:r>
      <w:r>
        <w:t>,</w:t>
      </w:r>
    </w:p>
    <w:p w14:paraId="4456BACC" w14:textId="77777777" w:rsidR="00D73D0C" w:rsidRPr="00EE43C6" w:rsidRDefault="00D73D0C" w:rsidP="004C60B9">
      <w:pPr>
        <w:pStyle w:val="ListParagraph"/>
        <w:numPr>
          <w:ilvl w:val="0"/>
          <w:numId w:val="64"/>
        </w:numPr>
        <w:tabs>
          <w:tab w:val="left" w:pos="1701"/>
        </w:tabs>
      </w:pPr>
      <w:r w:rsidRPr="00EE43C6">
        <w:t>Sustainable Water Management Plan,</w:t>
      </w:r>
    </w:p>
    <w:p w14:paraId="3028C8C8" w14:textId="1C389852" w:rsidR="008C0B0B" w:rsidRPr="00EE43C6" w:rsidRDefault="008C0B0B" w:rsidP="004C60B9">
      <w:pPr>
        <w:pStyle w:val="ListParagraph"/>
        <w:numPr>
          <w:ilvl w:val="0"/>
          <w:numId w:val="64"/>
        </w:numPr>
        <w:tabs>
          <w:tab w:val="left" w:pos="1701"/>
        </w:tabs>
      </w:pPr>
      <w:r w:rsidRPr="00EE43C6">
        <w:t>Transport and Traffic Management Plan,</w:t>
      </w:r>
    </w:p>
    <w:p w14:paraId="544CDD7E" w14:textId="77777777" w:rsidR="00D73D0C" w:rsidRPr="00EE43C6" w:rsidRDefault="00D73D0C" w:rsidP="004C60B9">
      <w:pPr>
        <w:pStyle w:val="ListParagraph"/>
        <w:numPr>
          <w:ilvl w:val="0"/>
          <w:numId w:val="64"/>
        </w:numPr>
        <w:tabs>
          <w:tab w:val="left" w:pos="1701"/>
        </w:tabs>
      </w:pPr>
      <w:r w:rsidRPr="00EE43C6">
        <w:t>Occupational Health and Safety Management Plan,</w:t>
      </w:r>
    </w:p>
    <w:p w14:paraId="23DA1240" w14:textId="77777777" w:rsidR="00D73D0C" w:rsidRPr="00EE43C6" w:rsidRDefault="00D73D0C" w:rsidP="004C60B9">
      <w:pPr>
        <w:pStyle w:val="ListParagraph"/>
        <w:numPr>
          <w:ilvl w:val="0"/>
          <w:numId w:val="64"/>
        </w:numPr>
        <w:tabs>
          <w:tab w:val="left" w:pos="1701"/>
        </w:tabs>
      </w:pPr>
      <w:r w:rsidRPr="00EE43C6">
        <w:t>Emergency Preparedness and Response Plan,</w:t>
      </w:r>
    </w:p>
    <w:p w14:paraId="7FFAF52B" w14:textId="13AEE7DD" w:rsidR="00D73D0C" w:rsidRPr="00EE43C6" w:rsidRDefault="00D73D0C" w:rsidP="004C60B9">
      <w:pPr>
        <w:pStyle w:val="ListParagraph"/>
        <w:numPr>
          <w:ilvl w:val="0"/>
          <w:numId w:val="64"/>
        </w:numPr>
        <w:tabs>
          <w:tab w:val="left" w:pos="1701"/>
        </w:tabs>
      </w:pPr>
      <w:r w:rsidRPr="00EE43C6">
        <w:t>Community Health, Safety, and Security Management Plan</w:t>
      </w:r>
      <w:r w:rsidR="001A5AC8" w:rsidRPr="00EE43C6">
        <w:t>,</w:t>
      </w:r>
    </w:p>
    <w:p w14:paraId="6C1EA9C7" w14:textId="0ED3F1DC" w:rsidR="00BE1BF9" w:rsidRPr="00EE43C6" w:rsidRDefault="00E9125B" w:rsidP="004C60B9">
      <w:pPr>
        <w:pStyle w:val="ListParagraph"/>
        <w:numPr>
          <w:ilvl w:val="0"/>
          <w:numId w:val="64"/>
        </w:numPr>
        <w:tabs>
          <w:tab w:val="left" w:pos="1701"/>
        </w:tabs>
      </w:pPr>
      <w:r w:rsidRPr="00EE43C6">
        <w:t>Labour</w:t>
      </w:r>
      <w:r w:rsidR="001A5AC8" w:rsidRPr="00EE43C6">
        <w:t xml:space="preserve"> Management Plan,</w:t>
      </w:r>
    </w:p>
    <w:p w14:paraId="7BF44B55" w14:textId="77777777" w:rsidR="000D69C9" w:rsidRDefault="009F685A" w:rsidP="004C60B9">
      <w:pPr>
        <w:pStyle w:val="ListParagraph"/>
        <w:numPr>
          <w:ilvl w:val="0"/>
          <w:numId w:val="64"/>
        </w:numPr>
        <w:tabs>
          <w:tab w:val="left" w:pos="1701"/>
        </w:tabs>
      </w:pPr>
      <w:r w:rsidRPr="00EE43C6">
        <w:lastRenderedPageBreak/>
        <w:t>Stakeholder Engagement Plan</w:t>
      </w:r>
      <w:r w:rsidR="000D69C9">
        <w:t>,</w:t>
      </w:r>
    </w:p>
    <w:p w14:paraId="78798D4D" w14:textId="65FB037F" w:rsidR="001A5AC8" w:rsidRPr="00EE43C6" w:rsidRDefault="000D69C9" w:rsidP="004C60B9">
      <w:pPr>
        <w:pStyle w:val="ListParagraph"/>
        <w:numPr>
          <w:ilvl w:val="0"/>
          <w:numId w:val="64"/>
        </w:numPr>
        <w:tabs>
          <w:tab w:val="left" w:pos="1701"/>
        </w:tabs>
      </w:pPr>
      <w:r>
        <w:t>Invasive Species Management Plan</w:t>
      </w:r>
      <w:r w:rsidR="009F685A" w:rsidRPr="00EE43C6">
        <w:t>.</w:t>
      </w:r>
    </w:p>
    <w:p w14:paraId="599C5D3E" w14:textId="77777777" w:rsidR="00D73D0C" w:rsidRPr="00EE43C6" w:rsidRDefault="00D73D0C" w:rsidP="00D73D0C">
      <w:pPr>
        <w:rPr>
          <w:rFonts w:cs="Wingdings"/>
          <w:szCs w:val="22"/>
        </w:rPr>
      </w:pPr>
      <w:r w:rsidRPr="00EE43C6">
        <w:rPr>
          <w:rFonts w:cs="Wingdings"/>
          <w:szCs w:val="22"/>
        </w:rPr>
        <w:t>During the construction period before mitigation measures are implemented:</w:t>
      </w:r>
    </w:p>
    <w:p w14:paraId="5EB1FFA5" w14:textId="3AF1EF09" w:rsidR="00D73D0C" w:rsidRPr="00EE43C6" w:rsidRDefault="00CC4C01" w:rsidP="3C3DFBEF">
      <w:pPr>
        <w:rPr>
          <w:rFonts w:cs="Wingdings"/>
        </w:rPr>
      </w:pPr>
      <w:r w:rsidRPr="3C3DFBEF">
        <w:rPr>
          <w:rFonts w:cs="Wingdings"/>
        </w:rPr>
        <w:t xml:space="preserve">Land use </w:t>
      </w:r>
      <w:r w:rsidR="0063781F" w:rsidRPr="3C3DFBEF">
        <w:rPr>
          <w:rFonts w:cs="Wingdings"/>
        </w:rPr>
        <w:t>and soil quality, w</w:t>
      </w:r>
      <w:r w:rsidRPr="3C3DFBEF">
        <w:rPr>
          <w:rFonts w:cs="Wingdings"/>
        </w:rPr>
        <w:t>aste</w:t>
      </w:r>
      <w:r w:rsidR="007C638F" w:rsidRPr="3C3DFBEF">
        <w:rPr>
          <w:rFonts w:cs="Wingdings"/>
        </w:rPr>
        <w:t xml:space="preserve"> and chemical management</w:t>
      </w:r>
      <w:r w:rsidRPr="3C3DFBEF">
        <w:rPr>
          <w:rFonts w:cs="Wingdings"/>
        </w:rPr>
        <w:t xml:space="preserve">, noise, </w:t>
      </w:r>
      <w:r w:rsidR="00D73D0C" w:rsidRPr="3C3DFBEF">
        <w:rPr>
          <w:rFonts w:cs="Wingdings"/>
        </w:rPr>
        <w:t xml:space="preserve">OHS impacts are rated as high. </w:t>
      </w:r>
      <w:r w:rsidR="00513603" w:rsidRPr="3C3DFBEF">
        <w:rPr>
          <w:rFonts w:cs="Wingdings"/>
        </w:rPr>
        <w:t>Labour</w:t>
      </w:r>
      <w:r w:rsidR="00D73D0C" w:rsidRPr="3C3DFBEF">
        <w:rPr>
          <w:rFonts w:cs="Wingdings"/>
        </w:rPr>
        <w:t xml:space="preserve"> conditions, </w:t>
      </w:r>
      <w:r w:rsidR="00C7410F" w:rsidRPr="3C3DFBEF">
        <w:rPr>
          <w:rFonts w:cs="Wingdings"/>
        </w:rPr>
        <w:t>air quality</w:t>
      </w:r>
      <w:r w:rsidR="00572916" w:rsidRPr="3C3DFBEF">
        <w:rPr>
          <w:rFonts w:cs="Wingdings"/>
        </w:rPr>
        <w:t>,</w:t>
      </w:r>
      <w:r w:rsidR="00C7410F" w:rsidRPr="3C3DFBEF">
        <w:rPr>
          <w:rFonts w:cs="Wingdings"/>
        </w:rPr>
        <w:t xml:space="preserve"> </w:t>
      </w:r>
      <w:r w:rsidR="00ED3F3D" w:rsidRPr="00ED3F3D">
        <w:rPr>
          <w:rFonts w:cs="Wingdings"/>
        </w:rPr>
        <w:t>Community, Health</w:t>
      </w:r>
      <w:r w:rsidR="00705359" w:rsidRPr="00ED3F3D">
        <w:rPr>
          <w:rFonts w:cs="Wingdings"/>
        </w:rPr>
        <w:t>,</w:t>
      </w:r>
      <w:r w:rsidR="00ED3F3D" w:rsidRPr="00ED3F3D">
        <w:rPr>
          <w:rFonts w:cs="Wingdings"/>
        </w:rPr>
        <w:t xml:space="preserve"> and Safety </w:t>
      </w:r>
      <w:r w:rsidR="00ED3F3D">
        <w:rPr>
          <w:rFonts w:cs="Wingdings"/>
        </w:rPr>
        <w:t>(</w:t>
      </w:r>
      <w:r w:rsidR="00D73D0C" w:rsidRPr="3C3DFBEF">
        <w:rPr>
          <w:rFonts w:cs="Wingdings"/>
        </w:rPr>
        <w:t>CHS</w:t>
      </w:r>
      <w:r w:rsidR="00ED3F3D">
        <w:rPr>
          <w:rFonts w:cs="Wingdings"/>
        </w:rPr>
        <w:t>)</w:t>
      </w:r>
      <w:r w:rsidR="0070449D" w:rsidRPr="3C3DFBEF">
        <w:rPr>
          <w:rFonts w:cs="Wingdings"/>
        </w:rPr>
        <w:t xml:space="preserve"> and</w:t>
      </w:r>
      <w:r w:rsidR="00D73D0C" w:rsidRPr="3C3DFBEF">
        <w:rPr>
          <w:rFonts w:cs="Wingdings"/>
        </w:rPr>
        <w:t xml:space="preserve"> traffic and pedestrian safety impacts are rated as medium.</w:t>
      </w:r>
    </w:p>
    <w:p w14:paraId="6DA93AE6" w14:textId="77777777" w:rsidR="00D73D0C" w:rsidRPr="00EE43C6" w:rsidRDefault="00D73D0C" w:rsidP="00D73D0C">
      <w:pPr>
        <w:rPr>
          <w:rFonts w:cs="Wingdings"/>
          <w:szCs w:val="22"/>
        </w:rPr>
      </w:pPr>
      <w:r w:rsidRPr="00EE43C6">
        <w:rPr>
          <w:rFonts w:cs="Wingdings"/>
          <w:szCs w:val="22"/>
        </w:rPr>
        <w:t>During the operation period:</w:t>
      </w:r>
    </w:p>
    <w:p w14:paraId="10458138" w14:textId="47EB95BC" w:rsidR="00D73D0C" w:rsidRPr="00EE43C6" w:rsidRDefault="00D73D0C" w:rsidP="00D73D0C">
      <w:pPr>
        <w:rPr>
          <w:rFonts w:cs="Wingdings"/>
          <w:szCs w:val="22"/>
        </w:rPr>
      </w:pPr>
      <w:r w:rsidRPr="00EE43C6">
        <w:rPr>
          <w:rFonts w:cs="Wingdings"/>
          <w:szCs w:val="22"/>
        </w:rPr>
        <w:t>Water use</w:t>
      </w:r>
      <w:r w:rsidR="007C638F" w:rsidRPr="00EE43C6">
        <w:rPr>
          <w:rFonts w:cs="Wingdings"/>
          <w:szCs w:val="22"/>
        </w:rPr>
        <w:t>,</w:t>
      </w:r>
      <w:r w:rsidRPr="00EE43C6">
        <w:rPr>
          <w:rFonts w:cs="Wingdings"/>
          <w:szCs w:val="22"/>
        </w:rPr>
        <w:t xml:space="preserve"> wastewater, </w:t>
      </w:r>
      <w:r w:rsidR="00C611BE" w:rsidRPr="00EE43C6">
        <w:rPr>
          <w:rFonts w:cs="Wingdings"/>
          <w:szCs w:val="22"/>
        </w:rPr>
        <w:t>waste,</w:t>
      </w:r>
      <w:r w:rsidRPr="00EE43C6">
        <w:rPr>
          <w:rFonts w:cs="Wingdings"/>
          <w:szCs w:val="22"/>
        </w:rPr>
        <w:t xml:space="preserve"> and chemical management impacts are assessed as high. </w:t>
      </w:r>
      <w:r w:rsidR="00513603" w:rsidRPr="00EE43C6">
        <w:rPr>
          <w:rFonts w:cs="Wingdings"/>
          <w:szCs w:val="22"/>
        </w:rPr>
        <w:t>Labour</w:t>
      </w:r>
      <w:r w:rsidR="00095C65" w:rsidRPr="00EE43C6">
        <w:rPr>
          <w:rFonts w:cs="Wingdings"/>
          <w:szCs w:val="22"/>
        </w:rPr>
        <w:t xml:space="preserve"> conditions, </w:t>
      </w:r>
      <w:r w:rsidRPr="00EE43C6">
        <w:rPr>
          <w:rFonts w:cs="Wingdings"/>
          <w:szCs w:val="22"/>
        </w:rPr>
        <w:t>OHS</w:t>
      </w:r>
      <w:r w:rsidR="00C412D0">
        <w:rPr>
          <w:rFonts w:cs="Wingdings"/>
          <w:szCs w:val="22"/>
        </w:rPr>
        <w:t>, odo</w:t>
      </w:r>
      <w:r w:rsidR="000E59B1">
        <w:rPr>
          <w:rFonts w:cs="Wingdings"/>
          <w:szCs w:val="22"/>
        </w:rPr>
        <w:t>ur</w:t>
      </w:r>
      <w:r w:rsidR="00232B8B" w:rsidRPr="00EE43C6">
        <w:rPr>
          <w:rFonts w:cs="Wingdings"/>
          <w:szCs w:val="22"/>
        </w:rPr>
        <w:t xml:space="preserve"> and</w:t>
      </w:r>
      <w:r w:rsidRPr="00EE43C6">
        <w:rPr>
          <w:rFonts w:cs="Wingdings"/>
          <w:szCs w:val="22"/>
        </w:rPr>
        <w:t xml:space="preserve"> CHS impacts are assessed as medium.</w:t>
      </w:r>
    </w:p>
    <w:p w14:paraId="5F20965D" w14:textId="051B2C3E" w:rsidR="00010BBE" w:rsidRPr="00EE43C6" w:rsidRDefault="00010BBE" w:rsidP="00D73D0C">
      <w:pPr>
        <w:rPr>
          <w:rFonts w:cs="Wingdings"/>
          <w:szCs w:val="22"/>
        </w:rPr>
      </w:pPr>
      <w:r w:rsidRPr="00EE43C6">
        <w:rPr>
          <w:rFonts w:cs="Wingdings"/>
          <w:szCs w:val="22"/>
        </w:rPr>
        <w:t>The monitoring process will cover construction and operation phases to monitor the implementation of environmental and social commitments of ESMP requirements.</w:t>
      </w:r>
      <w:r w:rsidR="00CD586D" w:rsidRPr="00EE43C6">
        <w:rPr>
          <w:rFonts w:cs="Wingdings"/>
          <w:szCs w:val="22"/>
        </w:rPr>
        <w:t xml:space="preserve"> </w:t>
      </w:r>
      <w:r w:rsidR="00B71E3C" w:rsidRPr="00EE43C6">
        <w:rPr>
          <w:rFonts w:cs="Wingdings"/>
          <w:szCs w:val="22"/>
        </w:rPr>
        <w:t>Methods for monitoring will include activities such as on-site inspection, grievance mechanism records, training records, interviews with employees, review of documents prepared/implemented by O</w:t>
      </w:r>
      <w:r w:rsidR="0046744F" w:rsidRPr="00EE43C6">
        <w:rPr>
          <w:rFonts w:cs="Wingdings"/>
          <w:szCs w:val="22"/>
        </w:rPr>
        <w:t>IZ</w:t>
      </w:r>
      <w:r w:rsidR="00B71E3C" w:rsidRPr="00EE43C6">
        <w:rPr>
          <w:rFonts w:cs="Wingdings"/>
          <w:szCs w:val="22"/>
        </w:rPr>
        <w:t xml:space="preserve"> and contractors.</w:t>
      </w:r>
    </w:p>
    <w:p w14:paraId="013347A0" w14:textId="5DA3AFCF" w:rsidR="00B71E3C" w:rsidRPr="00EE43C6" w:rsidRDefault="00B71E3C" w:rsidP="00D73D0C">
      <w:pPr>
        <w:rPr>
          <w:rFonts w:cs="Wingdings"/>
          <w:szCs w:val="22"/>
        </w:rPr>
      </w:pPr>
      <w:r w:rsidRPr="00EE43C6">
        <w:rPr>
          <w:rFonts w:cs="Wingdings"/>
          <w:szCs w:val="22"/>
        </w:rPr>
        <w:t>During the construction period:</w:t>
      </w:r>
    </w:p>
    <w:p w14:paraId="23586EF8" w14:textId="378F0F77" w:rsidR="00B71E3C" w:rsidRPr="00EE43C6" w:rsidRDefault="00E13136" w:rsidP="3C3DFBEF">
      <w:pPr>
        <w:rPr>
          <w:rFonts w:cs="Wingdings"/>
        </w:rPr>
      </w:pPr>
      <w:r w:rsidRPr="3C3DFBEF">
        <w:rPr>
          <w:rFonts w:cs="Wingdings"/>
        </w:rPr>
        <w:t xml:space="preserve">Disclosure, labour conditions, OHS, CHS, documentation, land use, land </w:t>
      </w:r>
      <w:r w:rsidR="009660A9" w:rsidRPr="3C3DFBEF">
        <w:rPr>
          <w:rFonts w:cs="Wingdings"/>
        </w:rPr>
        <w:t>acquisition</w:t>
      </w:r>
      <w:r w:rsidRPr="3C3DFBEF">
        <w:rPr>
          <w:rFonts w:cs="Wingdings"/>
        </w:rPr>
        <w:t xml:space="preserve">, grievance mechanism, sustainable development, air quality, noise, waste management, domestic waste, waste oils, waste batteries and accumulators, excavation soil, construction and debris demolition waste, wastewater and water </w:t>
      </w:r>
      <w:r w:rsidR="009660A9" w:rsidRPr="3C3DFBEF">
        <w:rPr>
          <w:rFonts w:cs="Wingdings"/>
        </w:rPr>
        <w:t>management</w:t>
      </w:r>
      <w:r w:rsidRPr="3C3DFBEF">
        <w:rPr>
          <w:rFonts w:cs="Wingdings"/>
        </w:rPr>
        <w:t xml:space="preserve">, hazardous waste </w:t>
      </w:r>
      <w:r w:rsidR="009660A9" w:rsidRPr="3C3DFBEF">
        <w:rPr>
          <w:rFonts w:cs="Wingdings"/>
        </w:rPr>
        <w:t>management</w:t>
      </w:r>
      <w:r w:rsidRPr="3C3DFBEF">
        <w:rPr>
          <w:rFonts w:cs="Wingdings"/>
        </w:rPr>
        <w:t xml:space="preserve">, cultural heritage, direct and indirect threats posed by construction activities against traffic and pedestrians, access to the construction site security fence protection tape, biodiversity </w:t>
      </w:r>
      <w:r w:rsidR="00D46933" w:rsidRPr="3C3DFBEF">
        <w:rPr>
          <w:rFonts w:cs="Wingdings"/>
        </w:rPr>
        <w:t xml:space="preserve">will </w:t>
      </w:r>
      <w:r w:rsidR="009660A9" w:rsidRPr="3C3DFBEF">
        <w:rPr>
          <w:rFonts w:cs="Wingdings"/>
        </w:rPr>
        <w:t>be monitored</w:t>
      </w:r>
      <w:r w:rsidR="00D46933" w:rsidRPr="3C3DFBEF">
        <w:rPr>
          <w:rFonts w:cs="Wingdings"/>
        </w:rPr>
        <w:t>.</w:t>
      </w:r>
    </w:p>
    <w:p w14:paraId="231C26BB" w14:textId="63A34EB0" w:rsidR="00B71E3C" w:rsidRPr="00EE43C6" w:rsidRDefault="00B71E3C" w:rsidP="00D73D0C">
      <w:pPr>
        <w:rPr>
          <w:rFonts w:cs="Wingdings"/>
          <w:szCs w:val="22"/>
        </w:rPr>
      </w:pPr>
      <w:r w:rsidRPr="00EE43C6">
        <w:rPr>
          <w:rFonts w:cs="Wingdings"/>
          <w:szCs w:val="22"/>
        </w:rPr>
        <w:t>During the operation period:</w:t>
      </w:r>
    </w:p>
    <w:p w14:paraId="002B3F3D" w14:textId="33B1A9FB" w:rsidR="00B71E3C" w:rsidRPr="00EE43C6" w:rsidRDefault="006D4761" w:rsidP="00D73D0C">
      <w:pPr>
        <w:rPr>
          <w:rFonts w:cs="Wingdings"/>
          <w:szCs w:val="22"/>
        </w:rPr>
      </w:pPr>
      <w:r w:rsidRPr="00EE43C6">
        <w:rPr>
          <w:rFonts w:cs="Wingdings"/>
          <w:szCs w:val="22"/>
        </w:rPr>
        <w:t xml:space="preserve">Disclosure, labour conditions, OHS, CHS, documentation, grievance mechanism, </w:t>
      </w:r>
      <w:r w:rsidR="00C65935" w:rsidRPr="00EE43C6">
        <w:rPr>
          <w:rFonts w:cs="Wingdings"/>
          <w:szCs w:val="22"/>
        </w:rPr>
        <w:t xml:space="preserve">water use </w:t>
      </w:r>
      <w:r w:rsidRPr="00EE43C6">
        <w:rPr>
          <w:rFonts w:cs="Wingdings"/>
          <w:szCs w:val="22"/>
        </w:rPr>
        <w:t xml:space="preserve">waste </w:t>
      </w:r>
      <w:r w:rsidR="00C65935">
        <w:rPr>
          <w:rFonts w:cs="Wingdings"/>
          <w:szCs w:val="22"/>
        </w:rPr>
        <w:t>and wastewater</w:t>
      </w:r>
      <w:r w:rsidRPr="00EE43C6">
        <w:rPr>
          <w:rFonts w:cs="Wingdings"/>
          <w:szCs w:val="22"/>
        </w:rPr>
        <w:t xml:space="preserve"> will </w:t>
      </w:r>
      <w:r w:rsidR="009660A9" w:rsidRPr="00EE43C6">
        <w:rPr>
          <w:rFonts w:cs="Wingdings"/>
          <w:szCs w:val="22"/>
        </w:rPr>
        <w:t>be monitored</w:t>
      </w:r>
      <w:r w:rsidRPr="00EE43C6">
        <w:rPr>
          <w:rFonts w:cs="Wingdings"/>
          <w:szCs w:val="22"/>
        </w:rPr>
        <w:t>.</w:t>
      </w:r>
    </w:p>
    <w:p w14:paraId="557AF7F7" w14:textId="41D2DF65" w:rsidR="00D73D0C" w:rsidRPr="00EE43C6" w:rsidRDefault="00D73D0C" w:rsidP="00D73D0C">
      <w:pPr>
        <w:rPr>
          <w:rFonts w:cs="Wingdings"/>
          <w:szCs w:val="22"/>
        </w:rPr>
      </w:pPr>
      <w:r w:rsidRPr="00EE43C6">
        <w:rPr>
          <w:rFonts w:cs="Wingdings"/>
          <w:szCs w:val="22"/>
        </w:rPr>
        <w:t xml:space="preserve">Monthly monitoring activities carried out by </w:t>
      </w:r>
      <w:r w:rsidR="003E162C" w:rsidRPr="00EE43C6">
        <w:rPr>
          <w:rFonts w:cs="Wingdings"/>
          <w:szCs w:val="22"/>
        </w:rPr>
        <w:t xml:space="preserve">TUIOSB </w:t>
      </w:r>
      <w:r w:rsidRPr="00EE43C6">
        <w:rPr>
          <w:rFonts w:cs="Wingdings"/>
          <w:szCs w:val="22"/>
        </w:rPr>
        <w:t>for E&amp;S compliance will be reported regularly to MoIT for the monitoring. MoIT will carry out its supervision monitoring as required and report to World Bank semi-annually on the progress and updates. Monitoring reports will aim to identify environmental, social, OHS related risks and impacts. Grievances will also be included in the monitoring reports.</w:t>
      </w:r>
    </w:p>
    <w:p w14:paraId="63422336" w14:textId="25082875" w:rsidR="004D14B4" w:rsidRPr="00EE43C6" w:rsidRDefault="00D73D0C" w:rsidP="00006221">
      <w:pPr>
        <w:rPr>
          <w:rFonts w:cs="Wingdings"/>
          <w:szCs w:val="22"/>
        </w:rPr>
      </w:pPr>
      <w:r w:rsidRPr="2DB09FEA">
        <w:rPr>
          <w:rFonts w:cs="Wingdings"/>
        </w:rPr>
        <w:t xml:space="preserve">As part of the requirements stipulated by WB, ESMP is to be publicly disclosed by the </w:t>
      </w:r>
      <w:r w:rsidR="00A42C64" w:rsidRPr="2DB09FEA">
        <w:rPr>
          <w:rFonts w:cs="Wingdings"/>
        </w:rPr>
        <w:t xml:space="preserve">TUIOSB’s </w:t>
      </w:r>
      <w:r w:rsidRPr="2DB09FEA">
        <w:rPr>
          <w:rFonts w:cs="Wingdings"/>
        </w:rPr>
        <w:t xml:space="preserve">and </w:t>
      </w:r>
      <w:r w:rsidR="0203DE0F" w:rsidRPr="2DB09FEA">
        <w:rPr>
          <w:rFonts w:cs="Wingdings"/>
        </w:rPr>
        <w:t xml:space="preserve">on </w:t>
      </w:r>
      <w:r w:rsidRPr="2DB09FEA">
        <w:rPr>
          <w:rFonts w:cs="Wingdings"/>
        </w:rPr>
        <w:t xml:space="preserve">the WB’s website. ESMP will be reviewed, updated, and approved </w:t>
      </w:r>
      <w:r w:rsidR="18F791DA" w:rsidRPr="2DB09FEA">
        <w:rPr>
          <w:rFonts w:cs="Wingdings"/>
        </w:rPr>
        <w:t>as</w:t>
      </w:r>
      <w:r w:rsidRPr="2DB09FEA">
        <w:rPr>
          <w:rFonts w:cs="Wingdings"/>
        </w:rPr>
        <w:t xml:space="preserve"> necessary. For each approved updated version of this ESMP, the </w:t>
      </w:r>
      <w:r w:rsidR="00A42C64" w:rsidRPr="2DB09FEA">
        <w:rPr>
          <w:rFonts w:cs="Wingdings"/>
        </w:rPr>
        <w:t xml:space="preserve">TUIOSB </w:t>
      </w:r>
      <w:r w:rsidRPr="2DB09FEA">
        <w:rPr>
          <w:rFonts w:cs="Wingdings"/>
        </w:rPr>
        <w:t>will be responsible for the disclosure of the updated documents.</w:t>
      </w:r>
    </w:p>
    <w:p w14:paraId="286DD5F6" w14:textId="1CC8ED3E" w:rsidR="004D14B4" w:rsidRPr="00EE43C6" w:rsidRDefault="004D14B4" w:rsidP="00006221">
      <w:pPr>
        <w:rPr>
          <w:rFonts w:cs="Wingdings"/>
          <w:szCs w:val="22"/>
        </w:rPr>
        <w:sectPr w:rsidR="004D14B4" w:rsidRPr="00EE43C6" w:rsidSect="00D719FE">
          <w:headerReference w:type="default" r:id="rId19"/>
          <w:footerReference w:type="default" r:id="rId20"/>
          <w:pgSz w:w="11900" w:h="16840" w:code="9"/>
          <w:pgMar w:top="1418" w:right="1418" w:bottom="1418" w:left="1418" w:header="709" w:footer="709" w:gutter="0"/>
          <w:pgNumType w:start="1"/>
          <w:cols w:space="708"/>
          <w:docGrid w:linePitch="360"/>
        </w:sectPr>
      </w:pPr>
    </w:p>
    <w:p w14:paraId="7159E210" w14:textId="1E9E6A70" w:rsidR="004339AC" w:rsidRPr="00EE43C6" w:rsidRDefault="004339AC" w:rsidP="00132E74">
      <w:pPr>
        <w:pStyle w:val="Heading1"/>
        <w:ind w:left="426"/>
        <w:rPr>
          <w:caps/>
          <w:noProof w:val="0"/>
          <w:lang w:val="en-GB"/>
        </w:rPr>
      </w:pPr>
      <w:bookmarkStart w:id="39" w:name="_Toc120004660"/>
      <w:bookmarkStart w:id="40" w:name="_Toc120016882"/>
      <w:bookmarkStart w:id="41" w:name="_Toc141445388"/>
      <w:r w:rsidRPr="00EE43C6">
        <w:rPr>
          <w:noProof w:val="0"/>
          <w:lang w:val="en-GB"/>
        </w:rPr>
        <w:lastRenderedPageBreak/>
        <w:t>INTRODUCTION</w:t>
      </w:r>
      <w:bookmarkEnd w:id="20"/>
      <w:bookmarkEnd w:id="39"/>
      <w:bookmarkEnd w:id="40"/>
      <w:bookmarkEnd w:id="41"/>
    </w:p>
    <w:p w14:paraId="5FC2C7FB" w14:textId="2343D476" w:rsidR="009B576B" w:rsidRPr="00EE43C6" w:rsidRDefault="00785AD8" w:rsidP="00585D84">
      <w:pPr>
        <w:rPr>
          <w:rFonts w:eastAsiaTheme="minorEastAsia" w:cs="MS Gothic"/>
        </w:rPr>
      </w:pPr>
      <w:r w:rsidRPr="00EE43C6">
        <w:rPr>
          <w:rFonts w:eastAsiaTheme="minorEastAsia" w:cs="MS Gothic"/>
        </w:rPr>
        <w:t>This plan presents the Environmental and Social Management Plan (ESMP) for</w:t>
      </w:r>
      <w:r w:rsidR="00ED168B" w:rsidRPr="00EE43C6">
        <w:rPr>
          <w:rFonts w:eastAsiaTheme="minorEastAsia" w:cs="MS Gothic"/>
        </w:rPr>
        <w:t xml:space="preserve"> </w:t>
      </w:r>
      <w:r w:rsidR="00ED168B" w:rsidRPr="00EE43C6">
        <w:rPr>
          <w:rFonts w:eastAsiaTheme="minorEastAsia" w:cs="MS Gothic"/>
          <w:i/>
          <w:iCs/>
        </w:rPr>
        <w:t>“</w:t>
      </w:r>
      <w:r w:rsidR="003B6F78" w:rsidRPr="00EE43C6">
        <w:rPr>
          <w:rFonts w:eastAsiaTheme="minorEastAsia" w:cs="MS Gothic"/>
          <w:i/>
          <w:iCs/>
        </w:rPr>
        <w:t>Mersin Tarsus Agricultural Product Processing Specialized Organized Industrial Zone Basic Infrastructure</w:t>
      </w:r>
      <w:r w:rsidR="00ED168B" w:rsidRPr="00EE43C6">
        <w:rPr>
          <w:rFonts w:eastAsiaTheme="minorEastAsia" w:cs="MS Gothic"/>
          <w:i/>
          <w:iCs/>
        </w:rPr>
        <w:t>”</w:t>
      </w:r>
      <w:r w:rsidR="00E470D7" w:rsidRPr="00EE43C6">
        <w:rPr>
          <w:rFonts w:eastAsiaTheme="minorEastAsia" w:cs="MS Gothic"/>
        </w:rPr>
        <w:t xml:space="preserve"> </w:t>
      </w:r>
      <w:r w:rsidR="00851A36" w:rsidRPr="00EE43C6">
        <w:rPr>
          <w:rFonts w:eastAsiaTheme="minorEastAsia" w:cs="MS Gothic"/>
        </w:rPr>
        <w:t>(hereinafter referred to as 'Project')</w:t>
      </w:r>
      <w:r w:rsidR="008D52D6" w:rsidRPr="00EE43C6">
        <w:rPr>
          <w:rFonts w:eastAsiaTheme="minorEastAsia" w:cs="MS Gothic"/>
        </w:rPr>
        <w:t xml:space="preserve"> and is prepared by </w:t>
      </w:r>
      <w:r w:rsidR="00C2359D" w:rsidRPr="00EE43C6">
        <w:rPr>
          <w:rFonts w:eastAsiaTheme="minorEastAsia" w:cs="MS Gothic"/>
        </w:rPr>
        <w:t>2U1K Engineering and Consultancy Inc.</w:t>
      </w:r>
      <w:r w:rsidR="008D52D6" w:rsidRPr="00EE43C6">
        <w:rPr>
          <w:rFonts w:eastAsiaTheme="minorEastAsia" w:cs="MS Gothic"/>
        </w:rPr>
        <w:t xml:space="preserve"> for</w:t>
      </w:r>
      <w:r w:rsidR="00FA23A6" w:rsidRPr="00EE43C6">
        <w:rPr>
          <w:rFonts w:eastAsiaTheme="minorEastAsia" w:cs="MS Gothic"/>
        </w:rPr>
        <w:t xml:space="preserve"> </w:t>
      </w:r>
      <w:r w:rsidR="00FA23A6" w:rsidRPr="00EE43C6">
        <w:rPr>
          <w:rFonts w:eastAsiaTheme="minorEastAsia" w:cs="MS Gothic"/>
          <w:i/>
          <w:iCs/>
        </w:rPr>
        <w:t>“Directorate of Mersin Tarsus Agricultural Product Processing Specialized Organized Industrial Zone”</w:t>
      </w:r>
      <w:r w:rsidR="00915229" w:rsidRPr="00EE43C6">
        <w:rPr>
          <w:rFonts w:eastAsiaTheme="minorEastAsia" w:cs="MS Gothic"/>
        </w:rPr>
        <w:t xml:space="preserve"> </w:t>
      </w:r>
      <w:r w:rsidR="005A68DD" w:rsidRPr="00EE43C6">
        <w:rPr>
          <w:rFonts w:eastAsiaTheme="minorEastAsia" w:cs="MS Gothic"/>
        </w:rPr>
        <w:t>(hereinafter referred to as 'Project Owner</w:t>
      </w:r>
      <w:r w:rsidR="00D428C4" w:rsidRPr="00EE43C6">
        <w:rPr>
          <w:rFonts w:eastAsiaTheme="minorEastAsia" w:cs="MS Gothic"/>
        </w:rPr>
        <w:t xml:space="preserve"> / TUIOSB</w:t>
      </w:r>
      <w:r w:rsidR="005A68DD" w:rsidRPr="00EE43C6">
        <w:rPr>
          <w:rFonts w:eastAsiaTheme="minorEastAsia" w:cs="MS Gothic"/>
        </w:rPr>
        <w:t>').</w:t>
      </w:r>
      <w:r w:rsidR="00EB58D6" w:rsidRPr="00EE43C6">
        <w:rPr>
          <w:rFonts w:eastAsiaTheme="minorEastAsia" w:cs="MS Gothic"/>
        </w:rPr>
        <w:t xml:space="preserve"> The Project is located in Mersin Province, Tarsus District, Kurbanlı </w:t>
      </w:r>
      <w:r w:rsidR="004D7F07" w:rsidRPr="00EE43C6">
        <w:rPr>
          <w:rFonts w:eastAsiaTheme="minorEastAsia" w:cs="MS Gothic"/>
        </w:rPr>
        <w:t xml:space="preserve">and Eskişehir </w:t>
      </w:r>
      <w:r w:rsidR="0059161E" w:rsidRPr="00EE43C6">
        <w:rPr>
          <w:rFonts w:eastAsiaTheme="minorEastAsia" w:cs="MS Gothic"/>
        </w:rPr>
        <w:t>Neighbourhood</w:t>
      </w:r>
      <w:r w:rsidR="004A021B" w:rsidRPr="00EE43C6">
        <w:rPr>
          <w:rFonts w:eastAsiaTheme="minorEastAsia" w:cs="MS Gothic"/>
        </w:rPr>
        <w:t>s</w:t>
      </w:r>
      <w:r w:rsidR="00EB58D6" w:rsidRPr="00EE43C6">
        <w:rPr>
          <w:rFonts w:eastAsiaTheme="minorEastAsia" w:cs="MS Gothic"/>
        </w:rPr>
        <w:t xml:space="preserve">. </w:t>
      </w:r>
      <w:r w:rsidR="00E375F7" w:rsidRPr="00EE43C6">
        <w:rPr>
          <w:rFonts w:eastAsiaTheme="minorEastAsia" w:cs="MS Gothic"/>
        </w:rPr>
        <w:t>The concerned l</w:t>
      </w:r>
      <w:r w:rsidR="00EB58D6" w:rsidRPr="00EE43C6">
        <w:rPr>
          <w:rFonts w:eastAsiaTheme="minorEastAsia" w:cs="MS Gothic"/>
        </w:rPr>
        <w:t xml:space="preserve">and </w:t>
      </w:r>
      <w:r w:rsidR="00E375F7" w:rsidRPr="00EE43C6">
        <w:rPr>
          <w:rFonts w:eastAsiaTheme="minorEastAsia" w:cs="MS Gothic"/>
        </w:rPr>
        <w:t>t</w:t>
      </w:r>
      <w:r w:rsidR="00EB58D6" w:rsidRPr="00EE43C6">
        <w:rPr>
          <w:rFonts w:eastAsiaTheme="minorEastAsia" w:cs="MS Gothic"/>
        </w:rPr>
        <w:t xml:space="preserve">itle </w:t>
      </w:r>
      <w:r w:rsidR="00E375F7" w:rsidRPr="00EE43C6">
        <w:rPr>
          <w:rFonts w:eastAsiaTheme="minorEastAsia" w:cs="MS Gothic"/>
        </w:rPr>
        <w:t>d</w:t>
      </w:r>
      <w:r w:rsidR="00EB58D6" w:rsidRPr="00EE43C6">
        <w:rPr>
          <w:rFonts w:eastAsiaTheme="minorEastAsia" w:cs="MS Gothic"/>
        </w:rPr>
        <w:t xml:space="preserve">eed </w:t>
      </w:r>
      <w:r w:rsidR="00E375F7" w:rsidRPr="00EE43C6">
        <w:rPr>
          <w:rFonts w:eastAsiaTheme="minorEastAsia" w:cs="MS Gothic"/>
        </w:rPr>
        <w:t>r</w:t>
      </w:r>
      <w:r w:rsidR="00EB58D6" w:rsidRPr="00EE43C6">
        <w:rPr>
          <w:rFonts w:eastAsiaTheme="minorEastAsia" w:cs="MS Gothic"/>
        </w:rPr>
        <w:t>ecor</w:t>
      </w:r>
      <w:r w:rsidR="001F2C2B" w:rsidRPr="00EE43C6">
        <w:rPr>
          <w:rFonts w:eastAsiaTheme="minorEastAsia" w:cs="MS Gothic"/>
        </w:rPr>
        <w:t>d</w:t>
      </w:r>
      <w:r w:rsidR="00EB58D6" w:rsidRPr="00EE43C6">
        <w:rPr>
          <w:rFonts w:eastAsiaTheme="minorEastAsia" w:cs="MS Gothic"/>
        </w:rPr>
        <w:t xml:space="preserve">s </w:t>
      </w:r>
      <w:r w:rsidR="00BE5CDC" w:rsidRPr="00EE43C6">
        <w:rPr>
          <w:rFonts w:eastAsiaTheme="minorEastAsia" w:cs="MS Gothic"/>
        </w:rPr>
        <w:t xml:space="preserve">of the Project </w:t>
      </w:r>
      <w:r w:rsidR="00EB58D6" w:rsidRPr="00EE43C6">
        <w:rPr>
          <w:rFonts w:eastAsiaTheme="minorEastAsia" w:cs="MS Gothic"/>
        </w:rPr>
        <w:t>are presented in Appendix-A.</w:t>
      </w:r>
    </w:p>
    <w:p w14:paraId="65999461" w14:textId="711FD7F2" w:rsidR="005050EA" w:rsidRPr="00EE43C6" w:rsidRDefault="00D22C03" w:rsidP="3C3DFBEF">
      <w:pPr>
        <w:rPr>
          <w:rFonts w:cs="Wingdings"/>
        </w:rPr>
      </w:pPr>
      <w:r w:rsidRPr="3C3DFBEF">
        <w:rPr>
          <w:rFonts w:cs="Wingdings"/>
        </w:rPr>
        <w:t xml:space="preserve">The Project will be implemented in two phases as Phase 1 and Phase 2. TUIOSB will use loan only for Project’s Phase 1. The Project’s Phase 2 will be </w:t>
      </w:r>
      <w:r w:rsidR="5A00E994" w:rsidRPr="3C3DFBEF">
        <w:rPr>
          <w:rFonts w:cs="Wingdings"/>
        </w:rPr>
        <w:t>financed</w:t>
      </w:r>
      <w:r w:rsidRPr="3C3DFBEF">
        <w:rPr>
          <w:rFonts w:cs="Wingdings"/>
        </w:rPr>
        <w:t xml:space="preserve"> with the use of Mersin Tarsus Agricultural Product Processing Specialized Organized Industrial Zone (OIZ)’s own equity. In addition, investments will not be made in the Project’s Phase 2 area until </w:t>
      </w:r>
      <w:r w:rsidR="009F3468" w:rsidRPr="3C3DFBEF">
        <w:rPr>
          <w:rFonts w:cs="Wingdings"/>
        </w:rPr>
        <w:t>the</w:t>
      </w:r>
      <w:r w:rsidRPr="3C3DFBEF">
        <w:rPr>
          <w:rFonts w:cs="Wingdings"/>
        </w:rPr>
        <w:t xml:space="preserve"> expropriation process </w:t>
      </w:r>
      <w:r w:rsidR="009F3468" w:rsidRPr="3C3DFBEF">
        <w:rPr>
          <w:rFonts w:cs="Wingdings"/>
        </w:rPr>
        <w:t>of the Project’s Phase 2 area</w:t>
      </w:r>
      <w:r w:rsidRPr="3C3DFBEF">
        <w:rPr>
          <w:rFonts w:cs="Wingdings"/>
        </w:rPr>
        <w:t xml:space="preserve"> is completed. </w:t>
      </w:r>
      <w:bookmarkStart w:id="42" w:name="_Hlk125645634"/>
      <w:r w:rsidR="00D62DDF" w:rsidRPr="3C3DFBEF">
        <w:rPr>
          <w:rFonts w:cs="Wingdings"/>
        </w:rPr>
        <w:t>In the project zoning plan, the total area is 116.29 hectares, and Phase 1 corresponds to 92.64 hectares</w:t>
      </w:r>
      <w:r w:rsidR="00961928" w:rsidRPr="3C3DFBEF">
        <w:rPr>
          <w:rFonts w:cs="Wingdings"/>
        </w:rPr>
        <w:t xml:space="preserve"> where the </w:t>
      </w:r>
      <w:r w:rsidR="0099566F" w:rsidRPr="3C3DFBEF">
        <w:rPr>
          <w:rFonts w:cs="Wingdings"/>
        </w:rPr>
        <w:t xml:space="preserve">first phase of the </w:t>
      </w:r>
      <w:r w:rsidR="00961928" w:rsidRPr="3C3DFBEF">
        <w:rPr>
          <w:rFonts w:cs="Wingdings"/>
        </w:rPr>
        <w:t xml:space="preserve">Project </w:t>
      </w:r>
      <w:r w:rsidR="0099566F" w:rsidRPr="3C3DFBEF">
        <w:rPr>
          <w:rFonts w:cs="Wingdings"/>
        </w:rPr>
        <w:t>will</w:t>
      </w:r>
      <w:r w:rsidR="00961928" w:rsidRPr="3C3DFBEF">
        <w:rPr>
          <w:rFonts w:cs="Wingdings"/>
        </w:rPr>
        <w:t xml:space="preserve"> be implemented</w:t>
      </w:r>
      <w:r w:rsidR="003D105E" w:rsidRPr="3C3DFBEF">
        <w:rPr>
          <w:rFonts w:cs="Wingdings"/>
        </w:rPr>
        <w:t xml:space="preserve"> (Project Area)</w:t>
      </w:r>
      <w:r w:rsidR="00D62DDF" w:rsidRPr="3C3DFBEF">
        <w:rPr>
          <w:rFonts w:cs="Wingdings"/>
        </w:rPr>
        <w:t xml:space="preserve">, Phase 2 </w:t>
      </w:r>
      <w:r w:rsidR="00C42715" w:rsidRPr="3C3DFBEF">
        <w:rPr>
          <w:rFonts w:cs="Wingdings"/>
        </w:rPr>
        <w:t>to</w:t>
      </w:r>
      <w:r w:rsidR="00D62DDF" w:rsidRPr="3C3DFBEF">
        <w:rPr>
          <w:rFonts w:cs="Wingdings"/>
        </w:rPr>
        <w:t xml:space="preserve"> 23.65 hectares</w:t>
      </w:r>
      <w:r w:rsidR="00BD1079" w:rsidRPr="3C3DFBEF">
        <w:rPr>
          <w:rFonts w:cs="Wingdings"/>
        </w:rPr>
        <w:t xml:space="preserve">. </w:t>
      </w:r>
      <w:r w:rsidR="003C0301" w:rsidRPr="3C3DFBEF">
        <w:rPr>
          <w:rFonts w:cs="Wingdings"/>
        </w:rPr>
        <w:t>The l</w:t>
      </w:r>
      <w:r w:rsidR="00B346C3" w:rsidRPr="3C3DFBEF">
        <w:rPr>
          <w:rFonts w:cs="Wingdings"/>
        </w:rPr>
        <w:t xml:space="preserve">ayout </w:t>
      </w:r>
      <w:r w:rsidR="003C0301" w:rsidRPr="3C3DFBEF">
        <w:rPr>
          <w:rFonts w:cs="Wingdings"/>
        </w:rPr>
        <w:t>plan for two</w:t>
      </w:r>
      <w:r w:rsidR="00BD1079" w:rsidRPr="3C3DFBEF">
        <w:rPr>
          <w:rFonts w:cs="Wingdings"/>
        </w:rPr>
        <w:t xml:space="preserve"> phases of the Project</w:t>
      </w:r>
      <w:r w:rsidR="006F0434" w:rsidRPr="3C3DFBEF">
        <w:rPr>
          <w:rFonts w:cs="Wingdings"/>
        </w:rPr>
        <w:t xml:space="preserve"> </w:t>
      </w:r>
      <w:r w:rsidR="008A3EF3" w:rsidRPr="3C3DFBEF">
        <w:rPr>
          <w:rFonts w:cs="Wingdings"/>
        </w:rPr>
        <w:t>is presented</w:t>
      </w:r>
      <w:r w:rsidR="003C0301" w:rsidRPr="3C3DFBEF">
        <w:rPr>
          <w:rFonts w:cs="Wingdings"/>
        </w:rPr>
        <w:t xml:space="preserve"> in</w:t>
      </w:r>
      <w:r w:rsidR="00C8170D" w:rsidRPr="3C3DFBEF">
        <w:rPr>
          <w:rFonts w:cs="Wingdings"/>
        </w:rPr>
        <w:t xml:space="preserve"> </w:t>
      </w:r>
      <w:r w:rsidR="00C8170D" w:rsidRPr="3C3DFBEF">
        <w:rPr>
          <w:rFonts w:cs="Wingdings"/>
        </w:rPr>
        <w:fldChar w:fldCharType="begin"/>
      </w:r>
      <w:r w:rsidR="00C8170D" w:rsidRPr="3C3DFBEF">
        <w:rPr>
          <w:rFonts w:cs="Wingdings"/>
        </w:rPr>
        <w:instrText xml:space="preserve"> REF _Ref124776538 \h  \* MERGEFORMAT </w:instrText>
      </w:r>
      <w:r w:rsidR="00C8170D" w:rsidRPr="3C3DFBEF">
        <w:rPr>
          <w:rFonts w:cs="Wingdings"/>
        </w:rPr>
      </w:r>
      <w:r w:rsidR="00C8170D" w:rsidRPr="3C3DFBEF">
        <w:rPr>
          <w:rFonts w:cs="Wingdings"/>
        </w:rPr>
        <w:fldChar w:fldCharType="separate"/>
      </w:r>
      <w:r w:rsidR="00CE3B94" w:rsidRPr="3C3DFBEF">
        <w:rPr>
          <w:rFonts w:cs="Wingdings"/>
        </w:rPr>
        <w:t>Figure 2</w:t>
      </w:r>
      <w:r w:rsidR="00CE3B94" w:rsidRPr="3C3DFBEF">
        <w:rPr>
          <w:rFonts w:cs="Wingdings"/>
        </w:rPr>
        <w:noBreakHyphen/>
        <w:t>2</w:t>
      </w:r>
      <w:r w:rsidR="00C8170D" w:rsidRPr="3C3DFBEF">
        <w:rPr>
          <w:rFonts w:cs="Wingdings"/>
        </w:rPr>
        <w:fldChar w:fldCharType="end"/>
      </w:r>
      <w:r w:rsidR="00D62DDF" w:rsidRPr="3C3DFBEF">
        <w:rPr>
          <w:rFonts w:cs="Wingdings"/>
        </w:rPr>
        <w:t>.</w:t>
      </w:r>
      <w:bookmarkEnd w:id="42"/>
    </w:p>
    <w:p w14:paraId="01000E13" w14:textId="74EFF378" w:rsidR="00D22C03" w:rsidRPr="00EE43C6" w:rsidRDefault="00691C9B" w:rsidP="00D22C03">
      <w:pPr>
        <w:rPr>
          <w:rFonts w:cs="Wingdings"/>
          <w:szCs w:val="22"/>
        </w:rPr>
      </w:pPr>
      <w:r w:rsidRPr="00EE43C6">
        <w:rPr>
          <w:rFonts w:cs="Wingdings"/>
          <w:szCs w:val="22"/>
        </w:rPr>
        <w:t xml:space="preserve">The Project construction works are planned to last for 12 months. Its operation will have a service lifetime of 50 years. </w:t>
      </w:r>
      <w:r w:rsidR="005050EA" w:rsidRPr="00EE43C6">
        <w:rPr>
          <w:rFonts w:cs="Wingdings"/>
          <w:szCs w:val="22"/>
        </w:rPr>
        <w:t xml:space="preserve">In this context, the following construction works </w:t>
      </w:r>
      <w:r w:rsidR="00556014" w:rsidRPr="00EE43C6">
        <w:rPr>
          <w:rFonts w:cs="Wingdings"/>
          <w:szCs w:val="22"/>
        </w:rPr>
        <w:t xml:space="preserve">of the Project </w:t>
      </w:r>
      <w:r w:rsidR="005050EA" w:rsidRPr="00EE43C6">
        <w:rPr>
          <w:rFonts w:cs="Wingdings"/>
          <w:szCs w:val="22"/>
        </w:rPr>
        <w:t>will be carried out</w:t>
      </w:r>
      <w:r w:rsidR="00BA4873" w:rsidRPr="00EE43C6">
        <w:rPr>
          <w:rFonts w:cs="Wingdings"/>
          <w:szCs w:val="22"/>
        </w:rPr>
        <w:t>.</w:t>
      </w:r>
    </w:p>
    <w:p w14:paraId="754A1682" w14:textId="2B070C1E" w:rsidR="009F40F1" w:rsidRPr="00EE43C6" w:rsidRDefault="00941031" w:rsidP="00941031">
      <w:pPr>
        <w:pStyle w:val="ListParagraph"/>
        <w:numPr>
          <w:ilvl w:val="0"/>
          <w:numId w:val="25"/>
        </w:numPr>
        <w:rPr>
          <w:rFonts w:eastAsiaTheme="minorEastAsia" w:cs="MS Gothic"/>
          <w:noProof w:val="0"/>
        </w:rPr>
      </w:pPr>
      <w:r w:rsidRPr="00EE43C6">
        <w:rPr>
          <w:rFonts w:eastAsiaTheme="minorEastAsia" w:cs="MS Gothic"/>
          <w:noProof w:val="0"/>
        </w:rPr>
        <w:t xml:space="preserve">Clean water </w:t>
      </w:r>
      <w:r w:rsidR="009F40F1" w:rsidRPr="00EE43C6">
        <w:rPr>
          <w:rFonts w:eastAsiaTheme="minorEastAsia" w:cs="MS Gothic"/>
          <w:noProof w:val="0"/>
        </w:rPr>
        <w:t>system,</w:t>
      </w:r>
    </w:p>
    <w:p w14:paraId="560E158C" w14:textId="25F32BDC" w:rsidR="00941031" w:rsidRPr="00EE43C6" w:rsidRDefault="004919E4" w:rsidP="00941031">
      <w:pPr>
        <w:pStyle w:val="ListParagraph"/>
        <w:numPr>
          <w:ilvl w:val="0"/>
          <w:numId w:val="25"/>
        </w:numPr>
        <w:rPr>
          <w:rFonts w:eastAsiaTheme="minorEastAsia" w:cs="MS Gothic"/>
          <w:noProof w:val="0"/>
        </w:rPr>
      </w:pPr>
      <w:r>
        <w:rPr>
          <w:rFonts w:eastAsiaTheme="minorEastAsia" w:cs="MS Gothic"/>
          <w:noProof w:val="0"/>
        </w:rPr>
        <w:t>P</w:t>
      </w:r>
      <w:r w:rsidRPr="004919E4">
        <w:rPr>
          <w:rFonts w:eastAsiaTheme="minorEastAsia" w:cs="MS Gothic"/>
          <w:noProof w:val="0"/>
        </w:rPr>
        <w:t>rocess water (treated wastewater)</w:t>
      </w:r>
      <w:r>
        <w:rPr>
          <w:rFonts w:eastAsiaTheme="minorEastAsia" w:cs="MS Gothic"/>
          <w:noProof w:val="0"/>
        </w:rPr>
        <w:t xml:space="preserve"> </w:t>
      </w:r>
      <w:r w:rsidR="00941031" w:rsidRPr="00EE43C6">
        <w:rPr>
          <w:rFonts w:eastAsiaTheme="minorEastAsia" w:cs="MS Gothic"/>
          <w:noProof w:val="0"/>
        </w:rPr>
        <w:t>system,</w:t>
      </w:r>
    </w:p>
    <w:p w14:paraId="2FC1B3CE" w14:textId="2BFFE2DD" w:rsidR="006C6D62" w:rsidRPr="00EE43C6" w:rsidRDefault="009D51FC" w:rsidP="00854BE8">
      <w:pPr>
        <w:pStyle w:val="ListParagraph"/>
        <w:numPr>
          <w:ilvl w:val="0"/>
          <w:numId w:val="25"/>
        </w:numPr>
        <w:rPr>
          <w:rFonts w:eastAsiaTheme="minorEastAsia" w:cs="MS Gothic"/>
          <w:noProof w:val="0"/>
        </w:rPr>
      </w:pPr>
      <w:r w:rsidRPr="00EE43C6">
        <w:rPr>
          <w:rFonts w:eastAsiaTheme="minorEastAsia" w:cs="MS Gothic"/>
          <w:noProof w:val="0"/>
        </w:rPr>
        <w:t>Sto</w:t>
      </w:r>
      <w:r w:rsidR="00044E03" w:rsidRPr="00EE43C6">
        <w:rPr>
          <w:rFonts w:eastAsiaTheme="minorEastAsia" w:cs="MS Gothic"/>
          <w:noProof w:val="0"/>
        </w:rPr>
        <w:t>r</w:t>
      </w:r>
      <w:r w:rsidRPr="00EE43C6">
        <w:rPr>
          <w:rFonts w:eastAsiaTheme="minorEastAsia" w:cs="MS Gothic"/>
          <w:noProof w:val="0"/>
        </w:rPr>
        <w:t xml:space="preserve">mwater </w:t>
      </w:r>
      <w:r w:rsidR="006C6D62" w:rsidRPr="00EE43C6">
        <w:rPr>
          <w:rFonts w:eastAsiaTheme="minorEastAsia" w:cs="MS Gothic"/>
          <w:noProof w:val="0"/>
        </w:rPr>
        <w:t>collection and distribution system,</w:t>
      </w:r>
    </w:p>
    <w:p w14:paraId="308EECBB" w14:textId="40A118DC" w:rsidR="00991A00" w:rsidRPr="00EE43C6" w:rsidRDefault="006C6D62" w:rsidP="00854BE8">
      <w:pPr>
        <w:pStyle w:val="ListParagraph"/>
        <w:numPr>
          <w:ilvl w:val="0"/>
          <w:numId w:val="25"/>
        </w:numPr>
        <w:rPr>
          <w:rFonts w:eastAsiaTheme="minorEastAsia" w:cs="MS Gothic"/>
          <w:noProof w:val="0"/>
        </w:rPr>
      </w:pPr>
      <w:r w:rsidRPr="00EE43C6">
        <w:rPr>
          <w:rFonts w:eastAsiaTheme="minorEastAsia" w:cs="MS Gothic"/>
          <w:noProof w:val="0"/>
        </w:rPr>
        <w:t>Wastewater collection system,</w:t>
      </w:r>
    </w:p>
    <w:p w14:paraId="04B337DD" w14:textId="1F38F9D7" w:rsidR="006C6D62" w:rsidRPr="00EE43C6" w:rsidRDefault="00112968">
      <w:pPr>
        <w:pStyle w:val="ListParagraph"/>
        <w:numPr>
          <w:ilvl w:val="0"/>
          <w:numId w:val="25"/>
        </w:numPr>
        <w:rPr>
          <w:noProof w:val="0"/>
        </w:rPr>
      </w:pPr>
      <w:r w:rsidRPr="00EE43C6">
        <w:rPr>
          <w:noProof w:val="0"/>
        </w:rPr>
        <w:t>Diver</w:t>
      </w:r>
      <w:r w:rsidR="00F66B14" w:rsidRPr="00EE43C6">
        <w:rPr>
          <w:noProof w:val="0"/>
        </w:rPr>
        <w:t>sion</w:t>
      </w:r>
      <w:r w:rsidR="006C6D62" w:rsidRPr="00EE43C6">
        <w:rPr>
          <w:noProof w:val="0"/>
        </w:rPr>
        <w:t xml:space="preserve"> canal</w:t>
      </w:r>
      <w:r w:rsidR="006C6D62" w:rsidRPr="00882EFF">
        <w:rPr>
          <w:noProof w:val="0"/>
        </w:rPr>
        <w:t>,</w:t>
      </w:r>
    </w:p>
    <w:p w14:paraId="3DDAC218" w14:textId="1F75EA12" w:rsidR="00941031" w:rsidRPr="00EE43C6" w:rsidRDefault="00941031" w:rsidP="00D47A40">
      <w:pPr>
        <w:pStyle w:val="ListParagraph"/>
        <w:numPr>
          <w:ilvl w:val="0"/>
          <w:numId w:val="25"/>
        </w:numPr>
        <w:rPr>
          <w:noProof w:val="0"/>
        </w:rPr>
      </w:pPr>
      <w:r w:rsidRPr="00EE43C6">
        <w:rPr>
          <w:noProof w:val="0"/>
        </w:rPr>
        <w:t xml:space="preserve">HV/LV </w:t>
      </w:r>
      <w:r w:rsidR="00387678" w:rsidRPr="00EE43C6">
        <w:rPr>
          <w:noProof w:val="0"/>
        </w:rPr>
        <w:t>electricity</w:t>
      </w:r>
      <w:r w:rsidRPr="00EE43C6">
        <w:rPr>
          <w:noProof w:val="0"/>
        </w:rPr>
        <w:t xml:space="preserve"> lines</w:t>
      </w:r>
      <w:r w:rsidR="00993A9B" w:rsidRPr="00EE43C6">
        <w:rPr>
          <w:noProof w:val="0"/>
        </w:rPr>
        <w:t xml:space="preserve"> (including </w:t>
      </w:r>
      <w:r w:rsidR="00387678">
        <w:rPr>
          <w:noProof w:val="0"/>
        </w:rPr>
        <w:t>r</w:t>
      </w:r>
      <w:r w:rsidR="00993A9B" w:rsidRPr="00EE43C6">
        <w:rPr>
          <w:noProof w:val="0"/>
        </w:rPr>
        <w:t>ing system to ensure energy continuity in the design of power lines)</w:t>
      </w:r>
      <w:r w:rsidRPr="00EE43C6">
        <w:rPr>
          <w:noProof w:val="0"/>
        </w:rPr>
        <w:t>,</w:t>
      </w:r>
    </w:p>
    <w:p w14:paraId="7B6B25FC" w14:textId="76342542" w:rsidR="00941031" w:rsidRPr="00EE43C6" w:rsidRDefault="00940756" w:rsidP="00D47A40">
      <w:pPr>
        <w:pStyle w:val="ListParagraph"/>
        <w:numPr>
          <w:ilvl w:val="0"/>
          <w:numId w:val="25"/>
        </w:numPr>
        <w:rPr>
          <w:noProof w:val="0"/>
        </w:rPr>
      </w:pPr>
      <w:r w:rsidRPr="00940756">
        <w:rPr>
          <w:noProof w:val="0"/>
        </w:rPr>
        <w:t>Electricity</w:t>
      </w:r>
      <w:r>
        <w:rPr>
          <w:noProof w:val="0"/>
        </w:rPr>
        <w:t xml:space="preserve"> </w:t>
      </w:r>
      <w:r w:rsidR="00941031" w:rsidRPr="00EE43C6">
        <w:rPr>
          <w:noProof w:val="0"/>
        </w:rPr>
        <w:t>Distribution centers,</w:t>
      </w:r>
    </w:p>
    <w:p w14:paraId="0F65D375" w14:textId="2371D927" w:rsidR="00D47A40" w:rsidRPr="00EE43C6" w:rsidRDefault="00D47A40" w:rsidP="00854BE8">
      <w:pPr>
        <w:pStyle w:val="ListParagraph"/>
        <w:numPr>
          <w:ilvl w:val="0"/>
          <w:numId w:val="25"/>
        </w:numPr>
        <w:rPr>
          <w:rFonts w:eastAsiaTheme="minorEastAsia" w:cs="MS Gothic"/>
          <w:noProof w:val="0"/>
        </w:rPr>
      </w:pPr>
      <w:r w:rsidRPr="00EE43C6">
        <w:rPr>
          <w:rFonts w:eastAsiaTheme="minorEastAsia" w:cs="MS Gothic"/>
          <w:noProof w:val="0"/>
        </w:rPr>
        <w:t>Territorial lighting</w:t>
      </w:r>
      <w:r w:rsidR="00941031" w:rsidRPr="00EE43C6">
        <w:rPr>
          <w:rFonts w:eastAsiaTheme="minorEastAsia" w:cs="MS Gothic"/>
          <w:noProof w:val="0"/>
        </w:rPr>
        <w:t>,</w:t>
      </w:r>
    </w:p>
    <w:p w14:paraId="09BF7D24" w14:textId="47C97F8E" w:rsidR="00D47A40" w:rsidRPr="00EE43C6" w:rsidRDefault="00D47A40" w:rsidP="00D47A40">
      <w:pPr>
        <w:pStyle w:val="ListParagraph"/>
        <w:numPr>
          <w:ilvl w:val="1"/>
          <w:numId w:val="25"/>
        </w:numPr>
        <w:rPr>
          <w:rFonts w:eastAsiaTheme="minorEastAsia" w:cs="MS Gothic"/>
          <w:noProof w:val="0"/>
        </w:rPr>
      </w:pPr>
      <w:r w:rsidRPr="00EE43C6">
        <w:rPr>
          <w:rFonts w:eastAsiaTheme="minorEastAsia" w:cs="MS Gothic"/>
          <w:noProof w:val="0"/>
        </w:rPr>
        <w:t>Grounding and lightning protection system</w:t>
      </w:r>
    </w:p>
    <w:p w14:paraId="6A72CBA2" w14:textId="54657010" w:rsidR="006C6D62" w:rsidRPr="00EE43C6" w:rsidRDefault="006C6D62" w:rsidP="00D47A40">
      <w:pPr>
        <w:pStyle w:val="ListParagraph"/>
        <w:numPr>
          <w:ilvl w:val="1"/>
          <w:numId w:val="25"/>
        </w:numPr>
        <w:rPr>
          <w:rFonts w:eastAsiaTheme="minorEastAsia" w:cs="MS Gothic"/>
          <w:noProof w:val="0"/>
        </w:rPr>
      </w:pPr>
      <w:r w:rsidRPr="00EE43C6">
        <w:rPr>
          <w:rFonts w:eastAsiaTheme="minorEastAsia" w:cs="MS Gothic"/>
          <w:noProof w:val="0"/>
        </w:rPr>
        <w:t>Lighting system of vehicles and pedestrian roads,</w:t>
      </w:r>
    </w:p>
    <w:p w14:paraId="50FB0873" w14:textId="75D7A89B" w:rsidR="006C6D62" w:rsidRPr="00EE43C6" w:rsidRDefault="00387678" w:rsidP="00854BE8">
      <w:pPr>
        <w:pStyle w:val="ListParagraph"/>
        <w:numPr>
          <w:ilvl w:val="0"/>
          <w:numId w:val="25"/>
        </w:numPr>
        <w:rPr>
          <w:rFonts w:eastAsiaTheme="minorEastAsia" w:cs="MS Gothic"/>
          <w:noProof w:val="0"/>
        </w:rPr>
      </w:pPr>
      <w:r w:rsidRPr="00EE43C6">
        <w:rPr>
          <w:rFonts w:eastAsiaTheme="minorEastAsia" w:cs="MS Gothic"/>
          <w:noProof w:val="0"/>
        </w:rPr>
        <w:t>Telecommunication</w:t>
      </w:r>
      <w:r w:rsidR="00534054" w:rsidRPr="00EE43C6">
        <w:rPr>
          <w:rFonts w:eastAsiaTheme="minorEastAsia" w:cs="MS Gothic"/>
          <w:noProof w:val="0"/>
        </w:rPr>
        <w:t xml:space="preserve"> lines (</w:t>
      </w:r>
      <w:r w:rsidR="00004421" w:rsidRPr="00EE43C6">
        <w:rPr>
          <w:rFonts w:eastAsiaTheme="minorEastAsia" w:cs="MS Gothic"/>
          <w:noProof w:val="0"/>
        </w:rPr>
        <w:t>fibre</w:t>
      </w:r>
      <w:r w:rsidR="006C6D62" w:rsidRPr="00EE43C6">
        <w:rPr>
          <w:rFonts w:eastAsiaTheme="minorEastAsia" w:cs="MS Gothic"/>
          <w:noProof w:val="0"/>
        </w:rPr>
        <w:t xml:space="preserve"> optic cables and data infrastructure</w:t>
      </w:r>
      <w:r w:rsidR="00534054" w:rsidRPr="00EE43C6">
        <w:rPr>
          <w:rFonts w:eastAsiaTheme="minorEastAsia" w:cs="MS Gothic"/>
          <w:noProof w:val="0"/>
        </w:rPr>
        <w:t>)</w:t>
      </w:r>
      <w:r w:rsidR="006C6D62" w:rsidRPr="00EE43C6">
        <w:rPr>
          <w:rFonts w:eastAsiaTheme="minorEastAsia" w:cs="MS Gothic"/>
          <w:noProof w:val="0"/>
        </w:rPr>
        <w:t>,</w:t>
      </w:r>
    </w:p>
    <w:p w14:paraId="16E3505D" w14:textId="70B46DDC" w:rsidR="006C6D62" w:rsidRPr="00EE43C6" w:rsidRDefault="006C6D62" w:rsidP="00854BE8">
      <w:pPr>
        <w:pStyle w:val="ListParagraph"/>
        <w:numPr>
          <w:ilvl w:val="0"/>
          <w:numId w:val="25"/>
        </w:numPr>
        <w:rPr>
          <w:noProof w:val="0"/>
        </w:rPr>
      </w:pPr>
      <w:r w:rsidRPr="00EE43C6">
        <w:rPr>
          <w:noProof w:val="0"/>
        </w:rPr>
        <w:t>SCADA system, and</w:t>
      </w:r>
    </w:p>
    <w:p w14:paraId="298ECDF0" w14:textId="5C604240" w:rsidR="006C6D62" w:rsidRPr="00EE43C6" w:rsidRDefault="006C6D62" w:rsidP="00854BE8">
      <w:pPr>
        <w:pStyle w:val="ListParagraph"/>
        <w:numPr>
          <w:ilvl w:val="0"/>
          <w:numId w:val="25"/>
        </w:numPr>
        <w:rPr>
          <w:rFonts w:eastAsiaTheme="minorEastAsia" w:cs="MS Gothic"/>
          <w:noProof w:val="0"/>
        </w:rPr>
      </w:pPr>
      <w:r w:rsidRPr="00EE43C6">
        <w:rPr>
          <w:rFonts w:eastAsiaTheme="minorEastAsia" w:cs="MS Gothic"/>
          <w:noProof w:val="0"/>
        </w:rPr>
        <w:t xml:space="preserve">Construction of pedestrian, </w:t>
      </w:r>
      <w:r w:rsidR="00387678" w:rsidRPr="00EE43C6">
        <w:rPr>
          <w:rFonts w:eastAsiaTheme="minorEastAsia" w:cs="MS Gothic"/>
          <w:noProof w:val="0"/>
        </w:rPr>
        <w:t>bicycle,</w:t>
      </w:r>
      <w:r w:rsidRPr="00EE43C6">
        <w:rPr>
          <w:rFonts w:eastAsiaTheme="minorEastAsia" w:cs="MS Gothic"/>
          <w:noProof w:val="0"/>
        </w:rPr>
        <w:t xml:space="preserve"> and road networks</w:t>
      </w:r>
    </w:p>
    <w:p w14:paraId="4EB6CFC3" w14:textId="05A1CAA1" w:rsidR="00203C46" w:rsidRPr="00EE43C6" w:rsidRDefault="00203C46" w:rsidP="00585D84">
      <w:pPr>
        <w:rPr>
          <w:rFonts w:eastAsiaTheme="minorEastAsia" w:cs="MS Gothic"/>
        </w:rPr>
      </w:pPr>
      <w:r w:rsidRPr="00EE43C6">
        <w:rPr>
          <w:rFonts w:eastAsiaTheme="minorEastAsia" w:cs="MS Gothic"/>
        </w:rPr>
        <w:t xml:space="preserve">The </w:t>
      </w:r>
      <w:r w:rsidR="00874C36" w:rsidRPr="00EE43C6">
        <w:rPr>
          <w:rFonts w:eastAsiaTheme="minorEastAsia" w:cs="MS Gothic"/>
        </w:rPr>
        <w:t xml:space="preserve">basic </w:t>
      </w:r>
      <w:r w:rsidRPr="00EE43C6">
        <w:rPr>
          <w:rFonts w:eastAsiaTheme="minorEastAsia" w:cs="MS Gothic"/>
        </w:rPr>
        <w:t xml:space="preserve">infrastructure of the </w:t>
      </w:r>
      <w:r w:rsidR="00874C36" w:rsidRPr="00EE43C6">
        <w:rPr>
          <w:rFonts w:eastAsiaTheme="minorEastAsia" w:cs="MS Gothic"/>
        </w:rPr>
        <w:t>Mersin Tarsus Agricultural Product Processing Specialized Organized Industrial Zone</w:t>
      </w:r>
      <w:r w:rsidR="00CE2A48" w:rsidRPr="00EE43C6">
        <w:rPr>
          <w:rFonts w:eastAsiaTheme="minorEastAsia" w:cs="MS Gothic"/>
        </w:rPr>
        <w:t xml:space="preserve"> </w:t>
      </w:r>
      <w:r w:rsidR="00DB10D3" w:rsidRPr="00EE43C6">
        <w:rPr>
          <w:rFonts w:eastAsiaTheme="minorEastAsia" w:cs="MS Gothic"/>
        </w:rPr>
        <w:t>is planned to</w:t>
      </w:r>
      <w:r w:rsidRPr="00EE43C6">
        <w:rPr>
          <w:rFonts w:eastAsiaTheme="minorEastAsia" w:cs="MS Gothic"/>
        </w:rPr>
        <w:t xml:space="preserve"> be </w:t>
      </w:r>
      <w:r w:rsidR="0095381C" w:rsidRPr="00EE43C6">
        <w:rPr>
          <w:rFonts w:eastAsiaTheme="minorEastAsia" w:cs="MS Gothic"/>
        </w:rPr>
        <w:t>realized</w:t>
      </w:r>
      <w:r w:rsidRPr="00EE43C6">
        <w:rPr>
          <w:rFonts w:eastAsiaTheme="minorEastAsia" w:cs="MS Gothic"/>
        </w:rPr>
        <w:t xml:space="preserve"> with green and technological solutions in order to ensure resource efficiency, create infrastructure integrity, prevent unplanned industrialization and environmental problems, direct urbanization, and use resources rationally</w:t>
      </w:r>
      <w:r w:rsidR="00E8626C" w:rsidRPr="00EE43C6">
        <w:rPr>
          <w:rFonts w:eastAsiaTheme="minorEastAsia" w:cs="MS Gothic"/>
        </w:rPr>
        <w:t>.</w:t>
      </w:r>
    </w:p>
    <w:p w14:paraId="70C86972" w14:textId="411A7C6A" w:rsidR="007B0382" w:rsidRPr="00EE43C6" w:rsidRDefault="007B0382" w:rsidP="009B30FC">
      <w:pPr>
        <w:rPr>
          <w:rFonts w:eastAsiaTheme="minorEastAsia" w:cs="MS Gothic"/>
        </w:rPr>
      </w:pPr>
      <w:r w:rsidRPr="00EE43C6">
        <w:rPr>
          <w:rFonts w:eastAsiaTheme="minorEastAsia" w:cs="MS Gothic"/>
        </w:rPr>
        <w:lastRenderedPageBreak/>
        <w:t xml:space="preserve">Within the scope of </w:t>
      </w:r>
      <w:r w:rsidR="008919A1" w:rsidRPr="00EE43C6">
        <w:rPr>
          <w:rFonts w:eastAsiaTheme="minorEastAsia" w:cs="MS Gothic"/>
        </w:rPr>
        <w:t>the</w:t>
      </w:r>
      <w:r w:rsidRPr="00EE43C6">
        <w:rPr>
          <w:rFonts w:eastAsiaTheme="minorEastAsia" w:cs="MS Gothic"/>
        </w:rPr>
        <w:t xml:space="preserve"> </w:t>
      </w:r>
      <w:r w:rsidR="0005768C" w:rsidRPr="00EE43C6">
        <w:rPr>
          <w:rFonts w:eastAsiaTheme="minorEastAsia" w:cs="MS Gothic"/>
        </w:rPr>
        <w:t>Project,</w:t>
      </w:r>
      <w:r w:rsidRPr="00EE43C6">
        <w:rPr>
          <w:rFonts w:eastAsiaTheme="minorEastAsia" w:cs="MS Gothic"/>
        </w:rPr>
        <w:t xml:space="preserve"> </w:t>
      </w:r>
      <w:r w:rsidR="00226368" w:rsidRPr="00EE43C6">
        <w:rPr>
          <w:rFonts w:eastAsiaTheme="minorEastAsia" w:cs="MS Gothic"/>
        </w:rPr>
        <w:t>977</w:t>
      </w:r>
      <w:r w:rsidR="009243F9" w:rsidRPr="00EE43C6">
        <w:rPr>
          <w:rFonts w:eastAsiaTheme="minorEastAsia" w:cs="MS Gothic"/>
        </w:rPr>
        <w:t>.</w:t>
      </w:r>
      <w:r w:rsidR="00226368" w:rsidRPr="00EE43C6">
        <w:rPr>
          <w:rFonts w:eastAsiaTheme="minorEastAsia" w:cs="MS Gothic"/>
        </w:rPr>
        <w:t>633 m</w:t>
      </w:r>
      <w:r w:rsidR="00345D33" w:rsidRPr="00EE43C6">
        <w:rPr>
          <w:rFonts w:eastAsiaTheme="minorEastAsia" w:cs="MS Gothic"/>
        </w:rPr>
        <w:t xml:space="preserve"> </w:t>
      </w:r>
      <w:r w:rsidR="00A84566" w:rsidRPr="00EE43C6">
        <w:rPr>
          <w:rFonts w:eastAsiaTheme="minorEastAsia" w:cs="MS Gothic"/>
        </w:rPr>
        <w:t xml:space="preserve">diversion </w:t>
      </w:r>
      <w:r w:rsidR="00DE2C90" w:rsidRPr="00EE43C6">
        <w:rPr>
          <w:rFonts w:eastAsiaTheme="minorEastAsia" w:cs="MS Gothic"/>
        </w:rPr>
        <w:t>canal</w:t>
      </w:r>
      <w:r w:rsidR="0005768C" w:rsidRPr="00EE43C6">
        <w:rPr>
          <w:rFonts w:eastAsiaTheme="minorEastAsia" w:cs="MS Gothic"/>
        </w:rPr>
        <w:t>,</w:t>
      </w:r>
      <w:r w:rsidRPr="00EE43C6">
        <w:rPr>
          <w:rFonts w:eastAsiaTheme="minorEastAsia" w:cs="MS Gothic"/>
        </w:rPr>
        <w:t xml:space="preserve"> </w:t>
      </w:r>
      <w:r w:rsidR="00D11A1C" w:rsidRPr="00EE43C6">
        <w:rPr>
          <w:rFonts w:eastAsiaTheme="minorEastAsia" w:cs="MS Gothic"/>
        </w:rPr>
        <w:t>8</w:t>
      </w:r>
      <w:r w:rsidRPr="00EE43C6">
        <w:rPr>
          <w:rFonts w:eastAsiaTheme="minorEastAsia" w:cs="MS Gothic"/>
        </w:rPr>
        <w:t>.</w:t>
      </w:r>
      <w:r w:rsidR="00B76476" w:rsidRPr="00EE43C6">
        <w:rPr>
          <w:rFonts w:eastAsiaTheme="minorEastAsia" w:cs="MS Gothic"/>
        </w:rPr>
        <w:t>8</w:t>
      </w:r>
      <w:r w:rsidR="00D11A1C" w:rsidRPr="00EE43C6">
        <w:rPr>
          <w:rFonts w:eastAsiaTheme="minorEastAsia" w:cs="MS Gothic"/>
        </w:rPr>
        <w:t>5</w:t>
      </w:r>
      <w:r w:rsidRPr="00EE43C6">
        <w:rPr>
          <w:rFonts w:eastAsiaTheme="minorEastAsia" w:cs="MS Gothic"/>
        </w:rPr>
        <w:t xml:space="preserve"> km road, </w:t>
      </w:r>
      <w:r w:rsidR="00D11A1C" w:rsidRPr="00EE43C6">
        <w:rPr>
          <w:rFonts w:eastAsiaTheme="minorEastAsia" w:cs="MS Gothic"/>
        </w:rPr>
        <w:t>8</w:t>
      </w:r>
      <w:r w:rsidRPr="00EE43C6">
        <w:rPr>
          <w:rFonts w:eastAsiaTheme="minorEastAsia" w:cs="MS Gothic"/>
        </w:rPr>
        <w:t>.</w:t>
      </w:r>
      <w:r w:rsidR="00B76476" w:rsidRPr="00EE43C6">
        <w:rPr>
          <w:rFonts w:eastAsiaTheme="minorEastAsia" w:cs="MS Gothic"/>
        </w:rPr>
        <w:t>135</w:t>
      </w:r>
      <w:r w:rsidRPr="00EE43C6">
        <w:rPr>
          <w:rFonts w:eastAsiaTheme="minorEastAsia" w:cs="MS Gothic"/>
        </w:rPr>
        <w:t xml:space="preserve"> km clean water line, </w:t>
      </w:r>
      <w:r w:rsidR="0065557A" w:rsidRPr="00EE43C6">
        <w:rPr>
          <w:rFonts w:eastAsiaTheme="minorEastAsia" w:cs="MS Gothic"/>
        </w:rPr>
        <w:t>9.435</w:t>
      </w:r>
      <w:r w:rsidRPr="00EE43C6">
        <w:rPr>
          <w:rFonts w:eastAsiaTheme="minorEastAsia" w:cs="MS Gothic"/>
        </w:rPr>
        <w:t xml:space="preserve"> km </w:t>
      </w:r>
      <w:r w:rsidR="0025324D" w:rsidRPr="0025324D">
        <w:rPr>
          <w:rFonts w:eastAsiaTheme="minorEastAsia" w:cs="MS Gothic"/>
        </w:rPr>
        <w:t>process water (treated wastewater)</w:t>
      </w:r>
      <w:r w:rsidR="0025324D">
        <w:rPr>
          <w:rFonts w:eastAsiaTheme="minorEastAsia" w:cs="MS Gothic"/>
        </w:rPr>
        <w:t xml:space="preserve"> </w:t>
      </w:r>
      <w:r w:rsidRPr="00EE43C6">
        <w:rPr>
          <w:rFonts w:eastAsiaTheme="minorEastAsia" w:cs="MS Gothic"/>
        </w:rPr>
        <w:t xml:space="preserve">line, </w:t>
      </w:r>
      <w:r w:rsidR="00B750C6" w:rsidRPr="00EE43C6">
        <w:rPr>
          <w:rFonts w:eastAsiaTheme="minorEastAsia" w:cs="MS Gothic"/>
        </w:rPr>
        <w:t>3.998</w:t>
      </w:r>
      <w:r w:rsidR="0034274B" w:rsidRPr="00EE43C6">
        <w:rPr>
          <w:rFonts w:eastAsiaTheme="minorEastAsia" w:cs="MS Gothic"/>
        </w:rPr>
        <w:t xml:space="preserve"> km wastewater line, </w:t>
      </w:r>
      <w:r w:rsidRPr="00EE43C6">
        <w:rPr>
          <w:rFonts w:eastAsiaTheme="minorEastAsia" w:cs="MS Gothic"/>
        </w:rPr>
        <w:t>5.</w:t>
      </w:r>
      <w:r w:rsidR="00735679" w:rsidRPr="00EE43C6">
        <w:rPr>
          <w:rFonts w:eastAsiaTheme="minorEastAsia" w:cs="MS Gothic"/>
        </w:rPr>
        <w:t>05</w:t>
      </w:r>
      <w:r w:rsidRPr="00EE43C6">
        <w:rPr>
          <w:rFonts w:eastAsiaTheme="minorEastAsia" w:cs="MS Gothic"/>
        </w:rPr>
        <w:t xml:space="preserve"> km </w:t>
      </w:r>
      <w:r w:rsidR="00735679" w:rsidRPr="00EE43C6">
        <w:rPr>
          <w:rFonts w:eastAsiaTheme="minorEastAsia" w:cs="MS Gothic"/>
        </w:rPr>
        <w:t>storm</w:t>
      </w:r>
      <w:r w:rsidRPr="00EE43C6">
        <w:rPr>
          <w:rFonts w:eastAsiaTheme="minorEastAsia" w:cs="MS Gothic"/>
        </w:rPr>
        <w:t xml:space="preserve">water line, </w:t>
      </w:r>
      <w:r w:rsidR="003035B9" w:rsidRPr="00EE43C6">
        <w:rPr>
          <w:rFonts w:eastAsiaTheme="minorEastAsia" w:cs="MS Gothic"/>
        </w:rPr>
        <w:t>15.</w:t>
      </w:r>
      <w:r w:rsidR="00574343" w:rsidRPr="00EE43C6">
        <w:rPr>
          <w:rFonts w:eastAsiaTheme="minorEastAsia" w:cs="MS Gothic"/>
        </w:rPr>
        <w:t>370</w:t>
      </w:r>
      <w:r w:rsidR="003035B9" w:rsidRPr="00EE43C6">
        <w:rPr>
          <w:rFonts w:eastAsiaTheme="minorEastAsia" w:cs="MS Gothic"/>
        </w:rPr>
        <w:t xml:space="preserve"> km electricity distribution line, </w:t>
      </w:r>
      <w:r w:rsidR="006D2EB3" w:rsidRPr="00EE43C6">
        <w:rPr>
          <w:rFonts w:eastAsiaTheme="minorEastAsia" w:cs="MS Gothic"/>
        </w:rPr>
        <w:t>3.581</w:t>
      </w:r>
      <w:r w:rsidR="00A31173" w:rsidRPr="00EE43C6">
        <w:rPr>
          <w:rFonts w:eastAsiaTheme="minorEastAsia" w:cs="MS Gothic"/>
        </w:rPr>
        <w:t xml:space="preserve"> km </w:t>
      </w:r>
      <w:r w:rsidR="00B47D6A" w:rsidRPr="00EE43C6">
        <w:rPr>
          <w:rFonts w:eastAsiaTheme="minorEastAsia" w:cs="MS Gothic"/>
        </w:rPr>
        <w:t xml:space="preserve">environmental lighting line, </w:t>
      </w:r>
      <w:r w:rsidR="0077757C">
        <w:rPr>
          <w:rFonts w:eastAsiaTheme="minorEastAsia" w:cs="MS Gothic"/>
        </w:rPr>
        <w:t>four (</w:t>
      </w:r>
      <w:r w:rsidR="00AB36CA" w:rsidRPr="00EE43C6">
        <w:rPr>
          <w:rFonts w:eastAsiaTheme="minorEastAsia" w:cs="MS Gothic"/>
        </w:rPr>
        <w:t>4</w:t>
      </w:r>
      <w:r w:rsidR="0077757C">
        <w:rPr>
          <w:rFonts w:eastAsiaTheme="minorEastAsia" w:cs="MS Gothic"/>
        </w:rPr>
        <w:t>)</w:t>
      </w:r>
      <w:r w:rsidRPr="00EE43C6">
        <w:rPr>
          <w:rFonts w:eastAsiaTheme="minorEastAsia" w:cs="MS Gothic"/>
        </w:rPr>
        <w:t xml:space="preserve"> </w:t>
      </w:r>
      <w:r w:rsidR="00940756">
        <w:rPr>
          <w:rFonts w:eastAsiaTheme="minorEastAsia" w:cs="MS Gothic"/>
        </w:rPr>
        <w:t>e</w:t>
      </w:r>
      <w:r w:rsidR="00940756" w:rsidRPr="00940756">
        <w:rPr>
          <w:rFonts w:eastAsiaTheme="minorEastAsia" w:cs="MS Gothic"/>
        </w:rPr>
        <w:t xml:space="preserve">lectricity </w:t>
      </w:r>
      <w:r w:rsidRPr="00EE43C6">
        <w:rPr>
          <w:rFonts w:eastAsiaTheme="minorEastAsia" w:cs="MS Gothic"/>
        </w:rPr>
        <w:t>distribution centers (D</w:t>
      </w:r>
      <w:r w:rsidR="00AA6F71" w:rsidRPr="00EE43C6">
        <w:rPr>
          <w:rFonts w:eastAsiaTheme="minorEastAsia" w:cs="MS Gothic"/>
        </w:rPr>
        <w:t>C</w:t>
      </w:r>
      <w:r w:rsidRPr="00EE43C6">
        <w:rPr>
          <w:rFonts w:eastAsiaTheme="minorEastAsia" w:cs="MS Gothic"/>
        </w:rPr>
        <w:t>)</w:t>
      </w:r>
      <w:r w:rsidR="00291725" w:rsidRPr="00EE43C6">
        <w:rPr>
          <w:rFonts w:eastAsiaTheme="minorEastAsia" w:cs="MS Gothic"/>
        </w:rPr>
        <w:t>’s</w:t>
      </w:r>
      <w:r w:rsidRPr="00EE43C6">
        <w:rPr>
          <w:rFonts w:eastAsiaTheme="minorEastAsia" w:cs="MS Gothic"/>
        </w:rPr>
        <w:t xml:space="preserve">, 110 lighting </w:t>
      </w:r>
      <w:r w:rsidR="00574343" w:rsidRPr="00EE43C6">
        <w:rPr>
          <w:rFonts w:eastAsiaTheme="minorEastAsia" w:cs="MS Gothic"/>
        </w:rPr>
        <w:t>poles</w:t>
      </w:r>
      <w:r w:rsidR="00592FCB" w:rsidRPr="00EE43C6">
        <w:rPr>
          <w:rFonts w:eastAsiaTheme="minorEastAsia" w:cs="MS Gothic"/>
        </w:rPr>
        <w:t>, 143 LED armatures</w:t>
      </w:r>
      <w:r w:rsidRPr="00EE43C6">
        <w:rPr>
          <w:rFonts w:eastAsiaTheme="minorEastAsia" w:cs="MS Gothic"/>
        </w:rPr>
        <w:t xml:space="preserve">, </w:t>
      </w:r>
      <w:r w:rsidR="0077757C">
        <w:rPr>
          <w:rFonts w:eastAsiaTheme="minorEastAsia" w:cs="MS Gothic"/>
        </w:rPr>
        <w:t>one (</w:t>
      </w:r>
      <w:r w:rsidRPr="00EE43C6">
        <w:rPr>
          <w:rFonts w:eastAsiaTheme="minorEastAsia" w:cs="MS Gothic"/>
        </w:rPr>
        <w:t>1</w:t>
      </w:r>
      <w:r w:rsidR="0077757C">
        <w:rPr>
          <w:rFonts w:eastAsiaTheme="minorEastAsia" w:cs="MS Gothic"/>
        </w:rPr>
        <w:t>)</w:t>
      </w:r>
      <w:r w:rsidRPr="00EE43C6">
        <w:rPr>
          <w:rFonts w:eastAsiaTheme="minorEastAsia" w:cs="MS Gothic"/>
        </w:rPr>
        <w:t xml:space="preserve"> set of SCADA </w:t>
      </w:r>
      <w:r w:rsidR="009D47E4" w:rsidRPr="00EE43C6">
        <w:rPr>
          <w:rFonts w:eastAsiaTheme="minorEastAsia" w:cs="MS Gothic"/>
        </w:rPr>
        <w:t xml:space="preserve">and </w:t>
      </w:r>
      <w:r w:rsidRPr="00EE43C6">
        <w:rPr>
          <w:rFonts w:eastAsiaTheme="minorEastAsia" w:cs="MS Gothic"/>
        </w:rPr>
        <w:t xml:space="preserve">Telecom </w:t>
      </w:r>
      <w:r w:rsidR="009D47E4" w:rsidRPr="00EE43C6">
        <w:rPr>
          <w:rFonts w:eastAsiaTheme="minorEastAsia" w:cs="MS Gothic"/>
        </w:rPr>
        <w:t>i</w:t>
      </w:r>
      <w:r w:rsidRPr="00EE43C6">
        <w:rPr>
          <w:rFonts w:eastAsiaTheme="minorEastAsia" w:cs="MS Gothic"/>
        </w:rPr>
        <w:t xml:space="preserve">nfrastructure </w:t>
      </w:r>
      <w:r w:rsidR="00E173AE" w:rsidRPr="00EE43C6">
        <w:rPr>
          <w:rFonts w:eastAsiaTheme="minorEastAsia" w:cs="MS Gothic"/>
        </w:rPr>
        <w:t xml:space="preserve">systems </w:t>
      </w:r>
      <w:r w:rsidRPr="00EE43C6">
        <w:rPr>
          <w:rFonts w:eastAsiaTheme="minorEastAsia" w:cs="MS Gothic"/>
        </w:rPr>
        <w:t>are planned.</w:t>
      </w:r>
    </w:p>
    <w:p w14:paraId="51BD8CE9" w14:textId="757DCFA0" w:rsidR="009B30FC" w:rsidRPr="00EE43C6" w:rsidRDefault="009B30FC" w:rsidP="3C3DFBEF">
      <w:pPr>
        <w:rPr>
          <w:rFonts w:eastAsiaTheme="minorEastAsia" w:cs="MS Gothic"/>
        </w:rPr>
      </w:pPr>
      <w:r w:rsidRPr="3C3DFBEF">
        <w:rPr>
          <w:rFonts w:eastAsiaTheme="minorEastAsia" w:cs="MS Gothic"/>
        </w:rPr>
        <w:t xml:space="preserve">The Project would </w:t>
      </w:r>
      <w:r w:rsidR="001818AF" w:rsidRPr="3C3DFBEF">
        <w:rPr>
          <w:rFonts w:eastAsiaTheme="minorEastAsia" w:cs="MS Gothic"/>
        </w:rPr>
        <w:t xml:space="preserve">be </w:t>
      </w:r>
      <w:r w:rsidRPr="3C3DFBEF">
        <w:rPr>
          <w:rFonts w:eastAsiaTheme="minorEastAsia" w:cs="MS Gothic"/>
        </w:rPr>
        <w:t>b</w:t>
      </w:r>
      <w:r w:rsidR="39535C2D" w:rsidRPr="3C3DFBEF">
        <w:rPr>
          <w:rFonts w:eastAsiaTheme="minorEastAsia" w:cs="MS Gothic"/>
        </w:rPr>
        <w:t>ased</w:t>
      </w:r>
      <w:r w:rsidRPr="3C3DFBEF">
        <w:rPr>
          <w:rFonts w:eastAsiaTheme="minorEastAsia" w:cs="MS Gothic"/>
        </w:rPr>
        <w:t xml:space="preserve"> on an existing technical assistance relationship between the MoIT and the World Bank Group (WBG) that helped develop a national framework for Green OIZs in </w:t>
      </w:r>
      <w:r w:rsidR="00117757">
        <w:rPr>
          <w:rFonts w:eastAsiaTheme="minorEastAsia" w:cs="MS Gothic"/>
        </w:rPr>
        <w:t>Türkiye</w:t>
      </w:r>
      <w:r w:rsidRPr="3C3DFBEF">
        <w:rPr>
          <w:rFonts w:eastAsiaTheme="minorEastAsia" w:cs="MS Gothic"/>
        </w:rPr>
        <w:t xml:space="preserve"> and carried out preliminary assessments of the potential impact of OIZ investments.</w:t>
      </w:r>
    </w:p>
    <w:p w14:paraId="5505BFC4" w14:textId="62F9A8F3" w:rsidR="009B30FC" w:rsidRPr="00EE43C6" w:rsidRDefault="009B30FC" w:rsidP="009B30FC">
      <w:pPr>
        <w:rPr>
          <w:rFonts w:eastAsiaTheme="minorEastAsia" w:cs="MS Gothic"/>
        </w:rPr>
      </w:pPr>
      <w:r w:rsidRPr="00EE43C6">
        <w:rPr>
          <w:rFonts w:eastAsiaTheme="minorEastAsia" w:cs="MS Gothic"/>
        </w:rPr>
        <w:t xml:space="preserve">In this context, as </w:t>
      </w:r>
      <w:r w:rsidR="001818AF" w:rsidRPr="00EE43C6">
        <w:rPr>
          <w:rFonts w:eastAsiaTheme="minorEastAsia" w:cs="MS Gothic"/>
        </w:rPr>
        <w:t xml:space="preserve">the </w:t>
      </w:r>
      <w:r w:rsidRPr="00EE43C6">
        <w:rPr>
          <w:rFonts w:eastAsiaTheme="minorEastAsia" w:cs="MS Gothic"/>
        </w:rPr>
        <w:t xml:space="preserve">implementing agency for the </w:t>
      </w:r>
      <w:r w:rsidR="00E8526A" w:rsidRPr="00EE43C6">
        <w:rPr>
          <w:rFonts w:eastAsiaTheme="minorEastAsia" w:cs="MS Gothic"/>
        </w:rPr>
        <w:t>P</w:t>
      </w:r>
      <w:r w:rsidRPr="00EE43C6">
        <w:rPr>
          <w:rFonts w:eastAsiaTheme="minorEastAsia" w:cs="MS Gothic"/>
        </w:rPr>
        <w:t>roject</w:t>
      </w:r>
      <w:r w:rsidR="001818AF" w:rsidRPr="00EE43C6">
        <w:rPr>
          <w:rFonts w:eastAsiaTheme="minorEastAsia" w:cs="MS Gothic"/>
        </w:rPr>
        <w:t>,</w:t>
      </w:r>
      <w:r w:rsidRPr="00EE43C6">
        <w:rPr>
          <w:rFonts w:eastAsiaTheme="minorEastAsia" w:cs="MS Gothic"/>
        </w:rPr>
        <w:t xml:space="preserve"> MoIT will provide loans to borrowing OIZs, as a sub-borrower and the Project as a selected Project will use a loan.</w:t>
      </w:r>
    </w:p>
    <w:p w14:paraId="42147A40" w14:textId="77777777" w:rsidR="003B04CC" w:rsidRPr="00EE43C6" w:rsidRDefault="003B04CC" w:rsidP="003B04CC">
      <w:pPr>
        <w:rPr>
          <w:rFonts w:eastAsiaTheme="minorEastAsia" w:cs="MS Gothic"/>
        </w:rPr>
      </w:pPr>
      <w:r w:rsidRPr="00EE43C6">
        <w:rPr>
          <w:rFonts w:eastAsiaTheme="minorEastAsia" w:cs="MS Gothic"/>
        </w:rPr>
        <w:t>Accordingly, the processes envisaged to take place in the Agricultural Product Processing Specialized Organized Industrial Zone include;</w:t>
      </w:r>
    </w:p>
    <w:p w14:paraId="26A2D380"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Nuts, Coffee Processing,</w:t>
      </w:r>
    </w:p>
    <w:p w14:paraId="4F989EB4"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Tahini, Halva Production and Packaging,</w:t>
      </w:r>
    </w:p>
    <w:p w14:paraId="2D0D4AFD"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Spices Processing and Packaging,</w:t>
      </w:r>
    </w:p>
    <w:p w14:paraId="72029F74"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Pulses Drying, Screening and Packaging Plant,</w:t>
      </w:r>
    </w:p>
    <w:p w14:paraId="69AC1348"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Tobacco Processing Plant,</w:t>
      </w:r>
    </w:p>
    <w:p w14:paraId="096CB1F6"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Pasteurized Liquid Egg Production, Fruit Juice Production,</w:t>
      </w:r>
    </w:p>
    <w:p w14:paraId="29F3E710"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Fruit Extracts (Vinegar, Molasses, Pomegranate Syrup, Lemon Sauce)</w:t>
      </w:r>
    </w:p>
    <w:p w14:paraId="0CF4093D"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Processing, Fisheries Processing, Packaging and Storage,</w:t>
      </w:r>
    </w:p>
    <w:p w14:paraId="09131406"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Processing of Medicinal and Aromatic Plants,</w:t>
      </w:r>
    </w:p>
    <w:p w14:paraId="3BF3D9C2"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Herbal Cosmetics Production,</w:t>
      </w:r>
    </w:p>
    <w:p w14:paraId="14F5CE6E"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Canned Food Production,</w:t>
      </w:r>
    </w:p>
    <w:p w14:paraId="34FD1B77"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Seed Sieving, Processing and Packaging,</w:t>
      </w:r>
    </w:p>
    <w:p w14:paraId="6D138556" w14:textId="77777777" w:rsidR="003B04CC" w:rsidRPr="00EE43C6" w:rsidRDefault="003B04CC" w:rsidP="00854BE8">
      <w:pPr>
        <w:pStyle w:val="ListParagraph"/>
        <w:numPr>
          <w:ilvl w:val="0"/>
          <w:numId w:val="23"/>
        </w:numPr>
        <w:rPr>
          <w:rFonts w:eastAsiaTheme="minorEastAsia" w:cs="MS Gothic"/>
          <w:noProof w:val="0"/>
        </w:rPr>
      </w:pPr>
      <w:r w:rsidRPr="00EE43C6">
        <w:rPr>
          <w:rFonts w:eastAsiaTheme="minorEastAsia" w:cs="MS Gothic"/>
          <w:noProof w:val="0"/>
        </w:rPr>
        <w:t>Agricultural Product Processing Machinery Production.</w:t>
      </w:r>
    </w:p>
    <w:p w14:paraId="68C6C65B" w14:textId="1D5B397D" w:rsidR="004339AC" w:rsidRPr="00EE43C6" w:rsidRDefault="004339AC" w:rsidP="00CE3B94">
      <w:pPr>
        <w:pStyle w:val="Heading2"/>
        <w:ind w:hanging="718"/>
        <w:rPr>
          <w:lang w:val="en-GB"/>
        </w:rPr>
      </w:pPr>
      <w:bookmarkStart w:id="43" w:name="_Toc120016883"/>
      <w:bookmarkStart w:id="44" w:name="_Toc120004661"/>
      <w:bookmarkStart w:id="45" w:name="_Toc141445389"/>
      <w:r w:rsidRPr="3C3DFBEF">
        <w:rPr>
          <w:lang w:val="en-GB"/>
        </w:rPr>
        <w:t>Purpose of Environmental and Social Management Plan</w:t>
      </w:r>
      <w:bookmarkEnd w:id="43"/>
      <w:bookmarkEnd w:id="44"/>
      <w:bookmarkEnd w:id="45"/>
    </w:p>
    <w:p w14:paraId="6A40DD39" w14:textId="76931CFD" w:rsidR="00131E8D" w:rsidRPr="00EE43C6" w:rsidRDefault="00131E8D" w:rsidP="3C3DFBEF">
      <w:pPr>
        <w:rPr>
          <w:rFonts w:cs="MS Gothic"/>
        </w:rPr>
      </w:pPr>
      <w:r w:rsidRPr="5F58EB95">
        <w:rPr>
          <w:rFonts w:cs="MS Gothic"/>
        </w:rPr>
        <w:t xml:space="preserve">The ESMP document aims to determine the </w:t>
      </w:r>
      <w:r w:rsidR="0C6F0F51" w:rsidRPr="5F58EB95">
        <w:rPr>
          <w:rFonts w:cs="MS Gothic"/>
        </w:rPr>
        <w:t xml:space="preserve">risks and </w:t>
      </w:r>
      <w:r w:rsidR="36A13817" w:rsidRPr="5F58EB95">
        <w:rPr>
          <w:rFonts w:cs="MS Gothic"/>
        </w:rPr>
        <w:t xml:space="preserve">adverse </w:t>
      </w:r>
      <w:r w:rsidRPr="5F58EB95">
        <w:rPr>
          <w:rFonts w:cs="MS Gothic"/>
        </w:rPr>
        <w:t xml:space="preserve">social and environmental impacts that are likely to occur during the construction and operation phases of the Project, to evaluate these impacts, and to </w:t>
      </w:r>
      <w:r w:rsidR="7E51C1AC" w:rsidRPr="5F58EB95">
        <w:rPr>
          <w:rFonts w:cs="MS Gothic"/>
        </w:rPr>
        <w:t xml:space="preserve">prescribe </w:t>
      </w:r>
      <w:r w:rsidRPr="5F58EB95">
        <w:rPr>
          <w:rFonts w:cs="MS Gothic"/>
        </w:rPr>
        <w:t xml:space="preserve"> actions to mitigate and/or prevent negative impacts.</w:t>
      </w:r>
      <w:r w:rsidR="00326735" w:rsidRPr="5F58EB95">
        <w:rPr>
          <w:rFonts w:cs="MS Gothic"/>
        </w:rPr>
        <w:t xml:space="preserve"> </w:t>
      </w:r>
      <w:r w:rsidR="00997733" w:rsidRPr="5F58EB95">
        <w:rPr>
          <w:rFonts w:cs="MS Gothic"/>
        </w:rPr>
        <w:t>The ESMP also establishes the E&amp;S baseline for the project site</w:t>
      </w:r>
      <w:r w:rsidR="00C21134">
        <w:rPr>
          <w:rFonts w:cs="MS Gothic"/>
        </w:rPr>
        <w:t>,</w:t>
      </w:r>
      <w:r w:rsidR="00750CF9">
        <w:rPr>
          <w:rFonts w:cs="MS Gothic"/>
        </w:rPr>
        <w:t xml:space="preserve"> </w:t>
      </w:r>
      <w:r w:rsidR="00997733" w:rsidRPr="5F58EB95">
        <w:rPr>
          <w:rFonts w:cs="MS Gothic"/>
        </w:rPr>
        <w:t>the organization structure</w:t>
      </w:r>
      <w:r w:rsidR="00476E72">
        <w:rPr>
          <w:rFonts w:cs="MS Gothic"/>
        </w:rPr>
        <w:t>,</w:t>
      </w:r>
      <w:r w:rsidR="00476E72" w:rsidRPr="00476E72">
        <w:rPr>
          <w:rFonts w:cs="MS Gothic"/>
        </w:rPr>
        <w:t xml:space="preserve"> </w:t>
      </w:r>
      <w:r w:rsidR="00476E72" w:rsidRPr="5F58EB95">
        <w:rPr>
          <w:rFonts w:cs="MS Gothic"/>
        </w:rPr>
        <w:t>training, monitoring and reporting requirements</w:t>
      </w:r>
      <w:r w:rsidR="00997733" w:rsidRPr="5F58EB95">
        <w:rPr>
          <w:rFonts w:cs="MS Gothic"/>
        </w:rPr>
        <w:t xml:space="preserve"> of ESMP implementatio</w:t>
      </w:r>
      <w:r w:rsidR="00476E72">
        <w:rPr>
          <w:rFonts w:cs="MS Gothic"/>
        </w:rPr>
        <w:t>n</w:t>
      </w:r>
      <w:r w:rsidR="00997733" w:rsidRPr="5F58EB95">
        <w:rPr>
          <w:rFonts w:cs="MS Gothic"/>
        </w:rPr>
        <w:t>. In addition to this, t</w:t>
      </w:r>
      <w:r w:rsidR="00981B7E" w:rsidRPr="5F58EB95">
        <w:rPr>
          <w:rFonts w:cs="MS Gothic"/>
        </w:rPr>
        <w:t xml:space="preserve">he ESMP describes the mitigations/actions to be taken by the contractor and other relevant parties, responsibilities of the contractor with respect to environmental and social issues. </w:t>
      </w:r>
      <w:r w:rsidR="00326735" w:rsidRPr="5F58EB95">
        <w:rPr>
          <w:rFonts w:cs="MS Gothic"/>
        </w:rPr>
        <w:t>In this context, the ESMP will be part of the tender package and will contain the responsibilities of all relevant parties including the contract.</w:t>
      </w:r>
    </w:p>
    <w:p w14:paraId="65CE409B" w14:textId="4B0C826F" w:rsidR="007F4B4B" w:rsidRPr="00EE43C6" w:rsidRDefault="00F04920" w:rsidP="000D4BDC">
      <w:r>
        <w:t xml:space="preserve">Within the scope of the ESMP, information </w:t>
      </w:r>
      <w:r w:rsidR="5750D4E8">
        <w:t>i</w:t>
      </w:r>
      <w:r>
        <w:t xml:space="preserve">s provided regarding the work items planned to be fulfilled in the contract packages, the methodologies to be applied and the working areas, </w:t>
      </w:r>
      <w:r>
        <w:lastRenderedPageBreak/>
        <w:t xml:space="preserve">determining the social and environmental impacts that are likely to occur during both construction and operation phases. Potential impacts occurring during all phases of contract packages </w:t>
      </w:r>
      <w:r w:rsidR="7ABBC84A">
        <w:t xml:space="preserve">are </w:t>
      </w:r>
      <w:r>
        <w:t xml:space="preserve">described, and measures </w:t>
      </w:r>
      <w:r w:rsidR="003A4037">
        <w:t xml:space="preserve">to be </w:t>
      </w:r>
      <w:r>
        <w:t>taken to prevent impacts and/or minimize negative impacts</w:t>
      </w:r>
      <w:r w:rsidR="00AE6A74">
        <w:t xml:space="preserve"> </w:t>
      </w:r>
      <w:r w:rsidR="035B9288">
        <w:t>a</w:t>
      </w:r>
      <w:r w:rsidR="00AE6A74">
        <w:t>re detailed</w:t>
      </w:r>
      <w:r>
        <w:t xml:space="preserve">. </w:t>
      </w:r>
      <w:r w:rsidR="00CD1188">
        <w:t>In order to</w:t>
      </w:r>
      <w:r>
        <w:t xml:space="preserve"> prevent and minimize the </w:t>
      </w:r>
      <w:r w:rsidR="001D0110">
        <w:t xml:space="preserve">adverse </w:t>
      </w:r>
      <w:r>
        <w:t xml:space="preserve">impacts described in this ESMP, it </w:t>
      </w:r>
      <w:r w:rsidR="47E2DBFB">
        <w:t>is</w:t>
      </w:r>
      <w:r>
        <w:t xml:space="preserve"> intended to monitor and control the impacts </w:t>
      </w:r>
      <w:r w:rsidR="0616D630">
        <w:t>identified</w:t>
      </w:r>
      <w:r>
        <w:t xml:space="preserve"> in ESMP during the implementation of the Project.</w:t>
      </w:r>
      <w:r w:rsidR="00B0189D">
        <w:t xml:space="preserve"> In </w:t>
      </w:r>
      <w:r w:rsidR="0099773A">
        <w:t>this context</w:t>
      </w:r>
      <w:r w:rsidR="00B0189D">
        <w:t>, t</w:t>
      </w:r>
      <w:r w:rsidR="00B0189D" w:rsidRPr="00B0189D">
        <w:t>he ESMP is monitored to assess on a continuous basis the implementation of the ESMP and the effectiveness of the prescribed mitigation measures.</w:t>
      </w:r>
      <w:r w:rsidR="00A40616">
        <w:t xml:space="preserve"> </w:t>
      </w:r>
      <w:r w:rsidR="00E661CC" w:rsidRPr="00E661CC">
        <w:t>Direct and indirect stakeholders of the project are identified and consulted throughout the project about its environmental and social impact and risks. A Stakeholder Engagement Plan (SEP) is worked out accordingly</w:t>
      </w:r>
      <w:r w:rsidR="00E661CC">
        <w:t>.</w:t>
      </w:r>
    </w:p>
    <w:p w14:paraId="39950DD1" w14:textId="6A570CFD" w:rsidR="00B836BB" w:rsidRDefault="00B836BB" w:rsidP="00B836BB">
      <w:r w:rsidRPr="00EE43C6">
        <w:t>In addition, the final version of this ESMP approved by the MoIT and the WB will be made available to all stakeholders during the life of the Project. The ESMP and Stakeholder Engagement Plan (SEP) should be updated</w:t>
      </w:r>
      <w:r w:rsidR="00DB0C2F" w:rsidRPr="00EE43C6">
        <w:t>,</w:t>
      </w:r>
      <w:r w:rsidRPr="00EE43C6">
        <w:t xml:space="preserve"> when necessary, in case there is any change in the Project and should be disclosed and consulted upon and updated if consultations result in changes/updates to any documents.</w:t>
      </w:r>
      <w:r w:rsidR="00637EF9">
        <w:t xml:space="preserve"> </w:t>
      </w:r>
    </w:p>
    <w:p w14:paraId="3C0E580F" w14:textId="2849AF80" w:rsidR="00B836BB" w:rsidRPr="00EE43C6" w:rsidRDefault="00A7624E" w:rsidP="00B836BB">
      <w:r w:rsidRPr="00A7624E">
        <w:t>Since land acquisition was conducted ahead of the project, an Ex-Post Social Audit is prepared to assess whether the process and outcome is compatible with the requirements of the ESS5 and the RPF of the project, and outline necessary gap filling measures if required.</w:t>
      </w:r>
      <w:r w:rsidR="007D7F33">
        <w:t xml:space="preserve"> </w:t>
      </w:r>
      <w:r w:rsidR="00B836BB" w:rsidRPr="00EE43C6">
        <w:t>As part of the mitigation measures, management plans and procedures on different subjects should be developed. A list of recommended management plans for both phases of the Project are presented below;</w:t>
      </w:r>
    </w:p>
    <w:p w14:paraId="66D34983" w14:textId="3B637E14" w:rsidR="004079F6" w:rsidRPr="00EE43C6" w:rsidRDefault="004079F6" w:rsidP="004079F6">
      <w:pPr>
        <w:rPr>
          <w:rFonts w:eastAsia="Cambria"/>
        </w:rPr>
      </w:pPr>
      <w:r w:rsidRPr="00EE43C6">
        <w:rPr>
          <w:rFonts w:eastAsia="Cambria"/>
        </w:rPr>
        <w:t>Construction Phase;</w:t>
      </w:r>
    </w:p>
    <w:p w14:paraId="52B818B4"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Waste Management Plan,</w:t>
      </w:r>
    </w:p>
    <w:p w14:paraId="7B98A3BA"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Soil Management Plan,</w:t>
      </w:r>
    </w:p>
    <w:p w14:paraId="29CE1DD1"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Dust Management Plan,</w:t>
      </w:r>
    </w:p>
    <w:p w14:paraId="635AAF85"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Noise Management Plan,</w:t>
      </w:r>
    </w:p>
    <w:p w14:paraId="5A7C3A6B"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Transport and Traffic Management Plan,</w:t>
      </w:r>
    </w:p>
    <w:p w14:paraId="6AD9F53B"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Chemical Spill Emergency Management Plan,</w:t>
      </w:r>
    </w:p>
    <w:p w14:paraId="46A1DAE2"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Pollution Prevention Plan,</w:t>
      </w:r>
    </w:p>
    <w:p w14:paraId="4A56F315"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Occupational Health and Safety Management Plan,</w:t>
      </w:r>
    </w:p>
    <w:p w14:paraId="04B84473"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Emergency Preparedness and Response Plan,</w:t>
      </w:r>
    </w:p>
    <w:p w14:paraId="2C269EC2"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Community Health, Safety, and Security Management Plan,</w:t>
      </w:r>
    </w:p>
    <w:p w14:paraId="60A54E0B" w14:textId="14335C7C" w:rsidR="00567266" w:rsidRPr="004C60B9" w:rsidRDefault="00EA3188" w:rsidP="004C60B9">
      <w:pPr>
        <w:pStyle w:val="ListParagraph"/>
        <w:numPr>
          <w:ilvl w:val="0"/>
          <w:numId w:val="23"/>
        </w:numPr>
        <w:rPr>
          <w:rFonts w:eastAsiaTheme="minorEastAsia" w:cs="MS Gothic"/>
          <w:noProof w:val="0"/>
        </w:rPr>
      </w:pPr>
      <w:r w:rsidRPr="004C60B9">
        <w:rPr>
          <w:rFonts w:eastAsiaTheme="minorEastAsia" w:cs="MS Gothic"/>
          <w:noProof w:val="0"/>
        </w:rPr>
        <w:t>Labour</w:t>
      </w:r>
      <w:r w:rsidR="00567266" w:rsidRPr="004C60B9">
        <w:rPr>
          <w:rFonts w:eastAsiaTheme="minorEastAsia" w:cs="MS Gothic"/>
          <w:noProof w:val="0"/>
        </w:rPr>
        <w:t xml:space="preserve"> Management Plan,</w:t>
      </w:r>
    </w:p>
    <w:p w14:paraId="40AFE678" w14:textId="77777777" w:rsidR="00567266" w:rsidRPr="004C60B9" w:rsidRDefault="00567266" w:rsidP="004C60B9">
      <w:pPr>
        <w:pStyle w:val="ListParagraph"/>
        <w:numPr>
          <w:ilvl w:val="0"/>
          <w:numId w:val="23"/>
        </w:numPr>
        <w:rPr>
          <w:rFonts w:eastAsiaTheme="minorEastAsia" w:cs="MS Gothic"/>
          <w:noProof w:val="0"/>
        </w:rPr>
      </w:pPr>
      <w:r w:rsidRPr="004C60B9">
        <w:rPr>
          <w:rFonts w:eastAsiaTheme="minorEastAsia" w:cs="MS Gothic"/>
          <w:noProof w:val="0"/>
        </w:rPr>
        <w:t>Stakeholder Engagement Plan,</w:t>
      </w:r>
    </w:p>
    <w:p w14:paraId="1125A717" w14:textId="30B11512" w:rsidR="000D69C9"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Contractor Management Plan</w:t>
      </w:r>
      <w:r w:rsidR="000D69C9" w:rsidRPr="004C60B9">
        <w:rPr>
          <w:rFonts w:eastAsiaTheme="minorEastAsia" w:cs="MS Gothic"/>
          <w:noProof w:val="0"/>
        </w:rPr>
        <w:t>,</w:t>
      </w:r>
    </w:p>
    <w:p w14:paraId="372967B4" w14:textId="6C87CC2F" w:rsidR="004079F6" w:rsidRPr="004C60B9" w:rsidRDefault="000D69C9" w:rsidP="004C60B9">
      <w:pPr>
        <w:pStyle w:val="ListParagraph"/>
        <w:numPr>
          <w:ilvl w:val="0"/>
          <w:numId w:val="23"/>
        </w:numPr>
        <w:rPr>
          <w:rFonts w:eastAsiaTheme="minorEastAsia" w:cs="MS Gothic"/>
          <w:noProof w:val="0"/>
        </w:rPr>
      </w:pPr>
      <w:r w:rsidRPr="004C60B9">
        <w:rPr>
          <w:rFonts w:eastAsiaTheme="minorEastAsia" w:cs="MS Gothic"/>
          <w:noProof w:val="0"/>
        </w:rPr>
        <w:t>Invasive Species Management Plan</w:t>
      </w:r>
      <w:r w:rsidR="004079F6" w:rsidRPr="004C60B9">
        <w:rPr>
          <w:rFonts w:eastAsiaTheme="minorEastAsia" w:cs="MS Gothic"/>
          <w:noProof w:val="0"/>
        </w:rPr>
        <w:t>.</w:t>
      </w:r>
    </w:p>
    <w:p w14:paraId="03CF8A4F" w14:textId="77777777" w:rsidR="004C60B9" w:rsidRDefault="004C60B9">
      <w:pPr>
        <w:spacing w:before="0" w:after="200" w:line="276" w:lineRule="auto"/>
        <w:jc w:val="left"/>
        <w:rPr>
          <w:rFonts w:eastAsia="Cambria"/>
        </w:rPr>
      </w:pPr>
      <w:r>
        <w:rPr>
          <w:rFonts w:eastAsia="Cambria"/>
        </w:rPr>
        <w:br w:type="page"/>
      </w:r>
    </w:p>
    <w:p w14:paraId="4A7C43A0" w14:textId="2C6041F8" w:rsidR="004079F6" w:rsidRPr="00EE43C6" w:rsidRDefault="004079F6" w:rsidP="004079F6">
      <w:pPr>
        <w:rPr>
          <w:rFonts w:eastAsia="Cambria"/>
        </w:rPr>
      </w:pPr>
      <w:r w:rsidRPr="00EE43C6">
        <w:rPr>
          <w:rFonts w:eastAsia="Cambria"/>
        </w:rPr>
        <w:lastRenderedPageBreak/>
        <w:t>Operation Phase;</w:t>
      </w:r>
    </w:p>
    <w:p w14:paraId="1C3B25CC"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Waste Management Plan,</w:t>
      </w:r>
    </w:p>
    <w:p w14:paraId="3E612588" w14:textId="77777777" w:rsidR="006A5AD2" w:rsidRPr="004C60B9" w:rsidRDefault="006A5AD2" w:rsidP="004C60B9">
      <w:pPr>
        <w:pStyle w:val="ListParagraph"/>
        <w:numPr>
          <w:ilvl w:val="0"/>
          <w:numId w:val="23"/>
        </w:numPr>
        <w:rPr>
          <w:rFonts w:eastAsiaTheme="minorEastAsia" w:cs="MS Gothic"/>
          <w:noProof w:val="0"/>
        </w:rPr>
      </w:pPr>
      <w:r w:rsidRPr="004C60B9">
        <w:rPr>
          <w:rFonts w:eastAsiaTheme="minorEastAsia" w:cs="MS Gothic"/>
          <w:noProof w:val="0"/>
        </w:rPr>
        <w:t>Effluent Management Plan,</w:t>
      </w:r>
    </w:p>
    <w:p w14:paraId="01914DC5" w14:textId="6756D180" w:rsidR="006A5AD2" w:rsidRPr="004C60B9" w:rsidRDefault="006A5AD2" w:rsidP="004C60B9">
      <w:pPr>
        <w:pStyle w:val="ListParagraph"/>
        <w:numPr>
          <w:ilvl w:val="0"/>
          <w:numId w:val="23"/>
        </w:numPr>
        <w:rPr>
          <w:rFonts w:eastAsiaTheme="minorEastAsia" w:cs="MS Gothic"/>
          <w:noProof w:val="0"/>
        </w:rPr>
      </w:pPr>
      <w:r w:rsidRPr="004C60B9">
        <w:rPr>
          <w:rFonts w:eastAsiaTheme="minorEastAsia" w:cs="MS Gothic"/>
          <w:noProof w:val="0"/>
        </w:rPr>
        <w:t>Odour Management Plan,</w:t>
      </w:r>
    </w:p>
    <w:p w14:paraId="5D8F3317" w14:textId="498F0638" w:rsidR="00245C3B" w:rsidRPr="004C60B9" w:rsidRDefault="00245C3B" w:rsidP="004C60B9">
      <w:pPr>
        <w:pStyle w:val="ListParagraph"/>
        <w:numPr>
          <w:ilvl w:val="0"/>
          <w:numId w:val="23"/>
        </w:numPr>
        <w:rPr>
          <w:rFonts w:eastAsiaTheme="minorEastAsia" w:cs="MS Gothic"/>
          <w:noProof w:val="0"/>
        </w:rPr>
      </w:pPr>
      <w:r w:rsidRPr="004C60B9">
        <w:rPr>
          <w:rFonts w:eastAsiaTheme="minorEastAsia" w:cs="MS Gothic"/>
          <w:noProof w:val="0"/>
        </w:rPr>
        <w:t>Sludge Management Plan,</w:t>
      </w:r>
    </w:p>
    <w:p w14:paraId="2425C054"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Sustainable Water Management Plan,</w:t>
      </w:r>
    </w:p>
    <w:p w14:paraId="5750195A" w14:textId="77777777" w:rsidR="00567266" w:rsidRPr="004C60B9" w:rsidRDefault="00567266" w:rsidP="004C60B9">
      <w:pPr>
        <w:pStyle w:val="ListParagraph"/>
        <w:numPr>
          <w:ilvl w:val="0"/>
          <w:numId w:val="23"/>
        </w:numPr>
        <w:rPr>
          <w:rFonts w:eastAsiaTheme="minorEastAsia" w:cs="MS Gothic"/>
          <w:noProof w:val="0"/>
        </w:rPr>
      </w:pPr>
      <w:r w:rsidRPr="004C60B9">
        <w:rPr>
          <w:rFonts w:eastAsiaTheme="minorEastAsia" w:cs="MS Gothic"/>
          <w:noProof w:val="0"/>
        </w:rPr>
        <w:t>Transport and Traffic Management Plan,</w:t>
      </w:r>
    </w:p>
    <w:p w14:paraId="36E96C6F"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Occupational Health and Safety Management Plan,</w:t>
      </w:r>
    </w:p>
    <w:p w14:paraId="33F1B6E4"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Emergency Preparedness and Response Plan,</w:t>
      </w:r>
    </w:p>
    <w:p w14:paraId="5B021720" w14:textId="77777777" w:rsidR="004079F6" w:rsidRPr="004C60B9" w:rsidRDefault="004079F6" w:rsidP="004C60B9">
      <w:pPr>
        <w:pStyle w:val="ListParagraph"/>
        <w:numPr>
          <w:ilvl w:val="0"/>
          <w:numId w:val="23"/>
        </w:numPr>
        <w:rPr>
          <w:rFonts w:eastAsiaTheme="minorEastAsia" w:cs="MS Gothic"/>
          <w:noProof w:val="0"/>
        </w:rPr>
      </w:pPr>
      <w:r w:rsidRPr="004C60B9">
        <w:rPr>
          <w:rFonts w:eastAsiaTheme="minorEastAsia" w:cs="MS Gothic"/>
          <w:noProof w:val="0"/>
        </w:rPr>
        <w:t>Community Health, Safety, and Security Management Plan</w:t>
      </w:r>
      <w:r w:rsidR="00567266" w:rsidRPr="004C60B9">
        <w:rPr>
          <w:rFonts w:eastAsiaTheme="minorEastAsia" w:cs="MS Gothic"/>
          <w:noProof w:val="0"/>
        </w:rPr>
        <w:t>,</w:t>
      </w:r>
    </w:p>
    <w:p w14:paraId="65F057F2" w14:textId="2623BDF6" w:rsidR="00567266" w:rsidRPr="004C60B9" w:rsidRDefault="00EA3188" w:rsidP="004C60B9">
      <w:pPr>
        <w:pStyle w:val="ListParagraph"/>
        <w:numPr>
          <w:ilvl w:val="0"/>
          <w:numId w:val="23"/>
        </w:numPr>
        <w:rPr>
          <w:rFonts w:eastAsiaTheme="minorEastAsia" w:cs="MS Gothic"/>
          <w:noProof w:val="0"/>
        </w:rPr>
      </w:pPr>
      <w:r w:rsidRPr="004C60B9">
        <w:rPr>
          <w:rFonts w:eastAsiaTheme="minorEastAsia" w:cs="MS Gothic"/>
          <w:noProof w:val="0"/>
        </w:rPr>
        <w:t>Labour</w:t>
      </w:r>
      <w:r w:rsidR="00567266" w:rsidRPr="004C60B9">
        <w:rPr>
          <w:rFonts w:eastAsiaTheme="minorEastAsia" w:cs="MS Gothic"/>
          <w:noProof w:val="0"/>
        </w:rPr>
        <w:t xml:space="preserve"> Management Plan,</w:t>
      </w:r>
    </w:p>
    <w:p w14:paraId="5F0E4B30" w14:textId="11768200" w:rsidR="000D69C9" w:rsidRPr="004C60B9" w:rsidRDefault="00567266" w:rsidP="004C60B9">
      <w:pPr>
        <w:pStyle w:val="ListParagraph"/>
        <w:numPr>
          <w:ilvl w:val="0"/>
          <w:numId w:val="23"/>
        </w:numPr>
        <w:rPr>
          <w:rFonts w:eastAsiaTheme="minorEastAsia" w:cs="MS Gothic"/>
          <w:noProof w:val="0"/>
        </w:rPr>
      </w:pPr>
      <w:r w:rsidRPr="004C60B9">
        <w:rPr>
          <w:rFonts w:eastAsiaTheme="minorEastAsia" w:cs="MS Gothic"/>
          <w:noProof w:val="0"/>
        </w:rPr>
        <w:t>Stakeholder Engagement Plan</w:t>
      </w:r>
      <w:r w:rsidR="000D69C9" w:rsidRPr="004C60B9">
        <w:rPr>
          <w:rFonts w:eastAsiaTheme="minorEastAsia" w:cs="MS Gothic"/>
          <w:noProof w:val="0"/>
        </w:rPr>
        <w:t>,</w:t>
      </w:r>
    </w:p>
    <w:p w14:paraId="40C7DEE7" w14:textId="426756B7" w:rsidR="00567266" w:rsidRPr="004C60B9" w:rsidRDefault="000D69C9" w:rsidP="004C60B9">
      <w:pPr>
        <w:pStyle w:val="ListParagraph"/>
        <w:numPr>
          <w:ilvl w:val="0"/>
          <w:numId w:val="23"/>
        </w:numPr>
        <w:rPr>
          <w:rFonts w:eastAsiaTheme="minorEastAsia" w:cs="MS Gothic"/>
          <w:noProof w:val="0"/>
        </w:rPr>
      </w:pPr>
      <w:r w:rsidRPr="004C60B9">
        <w:rPr>
          <w:rFonts w:eastAsiaTheme="minorEastAsia" w:cs="MS Gothic"/>
          <w:noProof w:val="0"/>
        </w:rPr>
        <w:t>Invasive Species Management Plan</w:t>
      </w:r>
      <w:r w:rsidR="00567266" w:rsidRPr="004C60B9">
        <w:rPr>
          <w:rFonts w:eastAsiaTheme="minorEastAsia" w:cs="MS Gothic"/>
          <w:noProof w:val="0"/>
        </w:rPr>
        <w:t>.</w:t>
      </w:r>
    </w:p>
    <w:p w14:paraId="6FAE18B2" w14:textId="6CD83190" w:rsidR="004079F6" w:rsidRPr="00EE43C6" w:rsidRDefault="004079F6" w:rsidP="004079F6">
      <w:r w:rsidRPr="00EE43C6">
        <w:t xml:space="preserve">The Contractor prepares the required management plans for both the construction phase of the Project and the commissioning before the operation phase of the Project and presents </w:t>
      </w:r>
      <w:r w:rsidR="001F04F4" w:rsidRPr="00EE43C6">
        <w:t>them</w:t>
      </w:r>
      <w:r w:rsidRPr="00EE43C6">
        <w:t xml:space="preserve"> to the </w:t>
      </w:r>
      <w:r w:rsidR="00017C5E" w:rsidRPr="00EE43C6">
        <w:t xml:space="preserve">Construction Supervision </w:t>
      </w:r>
      <w:r w:rsidRPr="00EE43C6">
        <w:t>Consultant.</w:t>
      </w:r>
    </w:p>
    <w:p w14:paraId="04F65AAE" w14:textId="71619059" w:rsidR="004079F6" w:rsidRPr="00EE43C6" w:rsidRDefault="004079F6" w:rsidP="004079F6">
      <w:r w:rsidRPr="00EE43C6">
        <w:t xml:space="preserve">The Contractor starts construction once the </w:t>
      </w:r>
      <w:r w:rsidR="00017C5E" w:rsidRPr="00EE43C6">
        <w:t xml:space="preserve">Construction Supervision </w:t>
      </w:r>
      <w:r w:rsidRPr="00EE43C6">
        <w:t xml:space="preserve">Consultant approves the required management plans for the construction phase of the Project. The </w:t>
      </w:r>
      <w:r w:rsidR="00017C5E" w:rsidRPr="00EE43C6">
        <w:t xml:space="preserve">Construction Supervision </w:t>
      </w:r>
      <w:r w:rsidRPr="00EE43C6">
        <w:t xml:space="preserve">Consultant forwards the approved management plans to the </w:t>
      </w:r>
      <w:r w:rsidR="00A84F01" w:rsidRPr="00EE43C6">
        <w:t>TUIOSB</w:t>
      </w:r>
      <w:r w:rsidRPr="00EE43C6">
        <w:t xml:space="preserve">. The </w:t>
      </w:r>
      <w:r w:rsidR="00A84F01" w:rsidRPr="00EE43C6">
        <w:t xml:space="preserve">TUIOSB </w:t>
      </w:r>
      <w:r w:rsidRPr="00EE43C6">
        <w:t>reviews the concerned management plans and submits them to the MoIT.</w:t>
      </w:r>
    </w:p>
    <w:p w14:paraId="2B6A17A3" w14:textId="38A5DEEA" w:rsidR="00B836BB" w:rsidRDefault="004079F6" w:rsidP="00B836BB">
      <w:r>
        <w:t xml:space="preserve">The Contractor presents the required management plans for the commissioning of the Project to the </w:t>
      </w:r>
      <w:r w:rsidR="00017C5E">
        <w:t xml:space="preserve">Construction Supervision </w:t>
      </w:r>
      <w:r>
        <w:t xml:space="preserve">Consultant three (3) </w:t>
      </w:r>
      <w:r w:rsidR="00CD3FD2">
        <w:t>months before</w:t>
      </w:r>
      <w:r>
        <w:t xml:space="preserve"> commissioning of the Project). Once the </w:t>
      </w:r>
      <w:r w:rsidR="00010CB8">
        <w:t xml:space="preserve">Construction Supervision </w:t>
      </w:r>
      <w:r>
        <w:t xml:space="preserve">Consultant approves these plans, the Project begins to </w:t>
      </w:r>
      <w:r w:rsidR="00315C16">
        <w:t>operate all sub-project components</w:t>
      </w:r>
      <w:r>
        <w:t xml:space="preserve">. The </w:t>
      </w:r>
      <w:r w:rsidR="00010CB8">
        <w:t xml:space="preserve">Construction Supervision </w:t>
      </w:r>
      <w:r>
        <w:t xml:space="preserve">Consultant forwards the approved management plans to the </w:t>
      </w:r>
      <w:r w:rsidR="00A84F01">
        <w:t>TUIOSB</w:t>
      </w:r>
      <w:r>
        <w:t xml:space="preserve">. The </w:t>
      </w:r>
      <w:r w:rsidR="00A84F01">
        <w:t xml:space="preserve">TUIOSB </w:t>
      </w:r>
      <w:r>
        <w:t>reviews the concerned management plans and submits them to the MoIT.</w:t>
      </w:r>
    </w:p>
    <w:p w14:paraId="14C2E5E3" w14:textId="64F6E50A" w:rsidR="004339AC" w:rsidRPr="00EE43C6" w:rsidRDefault="00E7760B" w:rsidP="00CE3B94">
      <w:pPr>
        <w:pStyle w:val="Heading2"/>
        <w:ind w:hanging="718"/>
        <w:rPr>
          <w:lang w:val="en-GB"/>
        </w:rPr>
      </w:pPr>
      <w:bookmarkStart w:id="46" w:name="_Toc136452352"/>
      <w:bookmarkStart w:id="47" w:name="_Toc137564857"/>
      <w:bookmarkStart w:id="48" w:name="_Toc141367229"/>
      <w:bookmarkStart w:id="49" w:name="_Toc141367527"/>
      <w:bookmarkStart w:id="50" w:name="_Toc120186494"/>
      <w:bookmarkStart w:id="51" w:name="_Toc120204430"/>
      <w:bookmarkStart w:id="52" w:name="_Toc82779389"/>
      <w:bookmarkStart w:id="53" w:name="_Toc82704765"/>
      <w:bookmarkStart w:id="54" w:name="_Toc80633513"/>
      <w:bookmarkStart w:id="55" w:name="_Toc120016884"/>
      <w:bookmarkStart w:id="56" w:name="_Toc120004662"/>
      <w:bookmarkStart w:id="57" w:name="_Toc141445390"/>
      <w:bookmarkEnd w:id="46"/>
      <w:bookmarkEnd w:id="47"/>
      <w:bookmarkEnd w:id="48"/>
      <w:bookmarkEnd w:id="49"/>
      <w:bookmarkEnd w:id="50"/>
      <w:bookmarkEnd w:id="51"/>
      <w:bookmarkEnd w:id="52"/>
      <w:bookmarkEnd w:id="53"/>
      <w:r w:rsidRPr="00EE43C6">
        <w:rPr>
          <w:lang w:val="en-GB"/>
        </w:rPr>
        <w:t>Review of ESMP</w:t>
      </w:r>
      <w:bookmarkEnd w:id="54"/>
      <w:bookmarkEnd w:id="55"/>
      <w:bookmarkEnd w:id="56"/>
      <w:bookmarkEnd w:id="57"/>
    </w:p>
    <w:p w14:paraId="5435EFA5" w14:textId="77777777" w:rsidR="0048006C" w:rsidRPr="00EE43C6" w:rsidRDefault="0048006C" w:rsidP="0048006C">
      <w:pPr>
        <w:rPr>
          <w:rFonts w:cs="MS Gothic"/>
          <w:szCs w:val="22"/>
        </w:rPr>
      </w:pPr>
      <w:r w:rsidRPr="00EE43C6">
        <w:rPr>
          <w:rFonts w:cs="MS Gothic"/>
          <w:szCs w:val="22"/>
        </w:rPr>
        <w:t>ESMP will be periodically reviewed to address changes in the responsible parties’ organization, process, or regulatory requirements.</w:t>
      </w:r>
    </w:p>
    <w:p w14:paraId="3437782A" w14:textId="4DC103E2" w:rsidR="0048006C" w:rsidRPr="00EE43C6" w:rsidRDefault="0048006C" w:rsidP="0048006C">
      <w:pPr>
        <w:rPr>
          <w:rFonts w:cs="MS Gothic"/>
          <w:szCs w:val="22"/>
        </w:rPr>
      </w:pPr>
      <w:r w:rsidRPr="00EE43C6">
        <w:rPr>
          <w:rFonts w:cs="Arial"/>
          <w:szCs w:val="22"/>
        </w:rPr>
        <w:t xml:space="preserve">The Project Management Unit (PMU), which will be formed by the </w:t>
      </w:r>
      <w:r w:rsidRPr="00EE43C6">
        <w:t>TUIOSB</w:t>
      </w:r>
      <w:r w:rsidRPr="00EE43C6">
        <w:rPr>
          <w:rFonts w:cs="Arial"/>
          <w:szCs w:val="22"/>
        </w:rPr>
        <w:t>,</w:t>
      </w:r>
      <w:r w:rsidR="00F53DE7" w:rsidRPr="00EE43C6">
        <w:rPr>
          <w:rFonts w:cs="Arial"/>
          <w:szCs w:val="22"/>
        </w:rPr>
        <w:t xml:space="preserve"> and detailed in </w:t>
      </w:r>
      <w:r w:rsidR="00FD56E0" w:rsidRPr="00FD56E0">
        <w:rPr>
          <w:rFonts w:cs="Arial"/>
          <w:szCs w:val="22"/>
        </w:rPr>
        <w:fldChar w:fldCharType="begin"/>
      </w:r>
      <w:r w:rsidR="00FD56E0" w:rsidRPr="00FD56E0">
        <w:rPr>
          <w:rFonts w:cs="Arial"/>
          <w:szCs w:val="22"/>
        </w:rPr>
        <w:instrText xml:space="preserve"> REF _Ref140160617 \h </w:instrText>
      </w:r>
      <w:r w:rsidR="00FD56E0" w:rsidRPr="00FD56E0">
        <w:rPr>
          <w:rFonts w:cs="Arial"/>
          <w:szCs w:val="22"/>
        </w:rPr>
      </w:r>
      <w:r w:rsidR="00FD56E0" w:rsidRPr="00FD56E0">
        <w:rPr>
          <w:rFonts w:cs="Arial"/>
          <w:szCs w:val="22"/>
        </w:rPr>
        <w:fldChar w:fldCharType="separate"/>
      </w:r>
      <w:r w:rsidR="00FD56E0" w:rsidRPr="00FD56E0">
        <w:rPr>
          <w:rFonts w:eastAsia="Calibri" w:cs="Arial"/>
        </w:rPr>
        <w:t>Figure 9</w:t>
      </w:r>
      <w:r w:rsidR="00FD56E0" w:rsidRPr="00FD56E0">
        <w:rPr>
          <w:rFonts w:eastAsia="Calibri" w:cs="Arial"/>
        </w:rPr>
        <w:noBreakHyphen/>
        <w:t>2</w:t>
      </w:r>
      <w:r w:rsidR="00FD56E0" w:rsidRPr="00FD56E0">
        <w:rPr>
          <w:rFonts w:cs="Arial"/>
          <w:szCs w:val="22"/>
        </w:rPr>
        <w:fldChar w:fldCharType="end"/>
      </w:r>
      <w:r w:rsidR="00C04416" w:rsidRPr="00B61DD7">
        <w:rPr>
          <w:rFonts w:cs="Arial"/>
          <w:szCs w:val="22"/>
        </w:rPr>
        <w:fldChar w:fldCharType="begin"/>
      </w:r>
      <w:r w:rsidR="00C04416" w:rsidRPr="00B61DD7">
        <w:rPr>
          <w:rFonts w:cs="Arial"/>
          <w:szCs w:val="22"/>
        </w:rPr>
        <w:instrText xml:space="preserve"> REF _Ref136247472 \h </w:instrText>
      </w:r>
      <w:r w:rsidR="00C04416" w:rsidRPr="00B61DD7">
        <w:rPr>
          <w:rFonts w:cs="Arial"/>
          <w:szCs w:val="22"/>
        </w:rPr>
      </w:r>
      <w:r w:rsidR="00C04416" w:rsidRPr="00B61DD7">
        <w:rPr>
          <w:rFonts w:cs="Arial"/>
          <w:szCs w:val="22"/>
        </w:rPr>
        <w:fldChar w:fldCharType="end"/>
      </w:r>
      <w:r w:rsidRPr="00B61DD7">
        <w:rPr>
          <w:rFonts w:cs="Arial"/>
          <w:szCs w:val="22"/>
        </w:rPr>
        <w:t xml:space="preserve"> </w:t>
      </w:r>
      <w:r w:rsidRPr="00EE43C6">
        <w:rPr>
          <w:rFonts w:cs="Arial"/>
          <w:szCs w:val="22"/>
        </w:rPr>
        <w:t xml:space="preserve">will be responsible for the implementation of this ESMP and SEP. The MoIT Directorate General for Industrial Zones, World Bank </w:t>
      </w:r>
      <w:r w:rsidR="00117757">
        <w:rPr>
          <w:rFonts w:cs="Arial"/>
          <w:szCs w:val="22"/>
        </w:rPr>
        <w:t>Türkiye</w:t>
      </w:r>
      <w:r w:rsidRPr="00EE43C6">
        <w:rPr>
          <w:rFonts w:cs="Arial"/>
          <w:szCs w:val="22"/>
        </w:rPr>
        <w:t xml:space="preserve"> Organized Industrial Zones Project Implementation Unit (PIU) will continue to have existing environmental experts, OHS expert/specialist and social experts to be responsible for coordinating the implementation of the Environmental and Social Framework. Environmental specialists, OHS specialist and social specialists will supervise the </w:t>
      </w:r>
      <w:r w:rsidRPr="00EE43C6">
        <w:t>TUIOSB</w:t>
      </w:r>
      <w:r w:rsidRPr="00EE43C6">
        <w:rPr>
          <w:rFonts w:cs="Arial"/>
          <w:szCs w:val="22"/>
        </w:rPr>
        <w:t xml:space="preserve"> on WB safeguard requirements, provide consultancy for the implementation of the Environmental and Social Management Plan </w:t>
      </w:r>
      <w:r w:rsidRPr="00EE43C6">
        <w:rPr>
          <w:rFonts w:cs="Arial"/>
          <w:szCs w:val="22"/>
        </w:rPr>
        <w:lastRenderedPageBreak/>
        <w:t xml:space="preserve">(ESMP), and monitor the implementation of ESMP and SEP together with the opinion and grievance mechanism for affected groups. In this context, the </w:t>
      </w:r>
      <w:r w:rsidR="00010CB8" w:rsidRPr="00EE43C6">
        <w:rPr>
          <w:rFonts w:cs="Arial"/>
          <w:szCs w:val="22"/>
        </w:rPr>
        <w:t xml:space="preserve">Construction Supervision </w:t>
      </w:r>
      <w:r w:rsidRPr="00EE43C6">
        <w:rPr>
          <w:rFonts w:cs="Arial"/>
          <w:szCs w:val="22"/>
        </w:rPr>
        <w:t xml:space="preserve">Consultant will be appointed to </w:t>
      </w:r>
      <w:r w:rsidR="0045516D">
        <w:rPr>
          <w:rFonts w:cs="Arial"/>
          <w:szCs w:val="22"/>
        </w:rPr>
        <w:t xml:space="preserve">execute </w:t>
      </w:r>
      <w:r w:rsidRPr="00EE43C6">
        <w:rPr>
          <w:rFonts w:cs="Arial"/>
          <w:szCs w:val="22"/>
        </w:rPr>
        <w:t xml:space="preserve">these </w:t>
      </w:r>
      <w:r w:rsidR="002A00E4">
        <w:rPr>
          <w:rFonts w:cs="Arial"/>
          <w:szCs w:val="22"/>
        </w:rPr>
        <w:t>functions</w:t>
      </w:r>
      <w:r w:rsidRPr="00EE43C6">
        <w:rPr>
          <w:rFonts w:cs="Arial"/>
          <w:szCs w:val="22"/>
        </w:rPr>
        <w:t>.</w:t>
      </w:r>
    </w:p>
    <w:p w14:paraId="4F09BA53" w14:textId="4FA76857" w:rsidR="0048006C" w:rsidRPr="00EE43C6" w:rsidRDefault="0048006C" w:rsidP="0048006C">
      <w:pPr>
        <w:rPr>
          <w:rFonts w:cs="MS Gothic"/>
          <w:szCs w:val="22"/>
        </w:rPr>
      </w:pPr>
      <w:r w:rsidRPr="00EE43C6">
        <w:rPr>
          <w:rFonts w:cs="MS Gothic"/>
          <w:szCs w:val="22"/>
        </w:rPr>
        <w:t xml:space="preserve">Following any reviews, the </w:t>
      </w:r>
      <w:r w:rsidRPr="00EE43C6">
        <w:t>TUIOSB</w:t>
      </w:r>
      <w:r w:rsidRPr="00EE43C6">
        <w:rPr>
          <w:rFonts w:cs="MS Gothic"/>
          <w:szCs w:val="22"/>
        </w:rPr>
        <w:t xml:space="preserve"> will provide coordination through the PIU</w:t>
      </w:r>
      <w:r w:rsidRPr="00EE43C6" w:rsidDel="00BA4773">
        <w:rPr>
          <w:rFonts w:cs="MS Gothic"/>
          <w:szCs w:val="22"/>
        </w:rPr>
        <w:t xml:space="preserve"> </w:t>
      </w:r>
      <w:r w:rsidRPr="00EE43C6">
        <w:rPr>
          <w:rFonts w:cs="MS Gothic"/>
          <w:szCs w:val="22"/>
        </w:rPr>
        <w:t>to make any necessary amendments to the ESMP, with the updates communicated to all responsible parties and employees involved in the Project.</w:t>
      </w:r>
    </w:p>
    <w:p w14:paraId="1D9B2D95" w14:textId="77777777" w:rsidR="004339AC" w:rsidRPr="00EE43C6" w:rsidRDefault="004339AC" w:rsidP="00CE3B94">
      <w:pPr>
        <w:pStyle w:val="Heading2"/>
        <w:ind w:hanging="718"/>
        <w:rPr>
          <w:lang w:val="en-GB"/>
        </w:rPr>
      </w:pPr>
      <w:bookmarkStart w:id="58" w:name="_Toc80633514"/>
      <w:bookmarkStart w:id="59" w:name="_Toc120016885"/>
      <w:bookmarkStart w:id="60" w:name="_Toc120004663"/>
      <w:bookmarkStart w:id="61" w:name="_Toc141445391"/>
      <w:r w:rsidRPr="3C3DFBEF">
        <w:rPr>
          <w:lang w:val="en-GB"/>
        </w:rPr>
        <w:t>Training</w:t>
      </w:r>
      <w:bookmarkEnd w:id="58"/>
      <w:bookmarkEnd w:id="59"/>
      <w:bookmarkEnd w:id="60"/>
      <w:bookmarkEnd w:id="61"/>
    </w:p>
    <w:p w14:paraId="079BB924" w14:textId="41A7C956" w:rsidR="00776A3E" w:rsidRPr="00EE43C6" w:rsidRDefault="00776A3E" w:rsidP="00776A3E">
      <w:pPr>
        <w:rPr>
          <w:rFonts w:cs="MS Gothic"/>
        </w:rPr>
      </w:pPr>
      <w:r w:rsidRPr="00EE43C6">
        <w:t>The TUIOSB</w:t>
      </w:r>
      <w:r w:rsidRPr="3C3DFBEF">
        <w:rPr>
          <w:rFonts w:cs="MS Gothic"/>
        </w:rPr>
        <w:t xml:space="preserve"> </w:t>
      </w:r>
      <w:r w:rsidRPr="00EE43C6">
        <w:rPr>
          <w:rFonts w:cs="Arial"/>
        </w:rPr>
        <w:t xml:space="preserve">will implement a training and awareness program covering ESMP commitments, which covers project related environmental and social impacts and risks, and corresponding measures applied to avoid, reduce, and mitigate the risks and potential adverse impacts. 2U1K will organize and conduct, together with the TUIOSB, a workshop for this training in accordance with the scope of work in its current contract. As a minimum requirement, this program will be implemented as training for employees and contractor responsible for the implementation of ESMP. The trainings will be given to the employees and the </w:t>
      </w:r>
      <w:r w:rsidR="00DC0C4F" w:rsidRPr="00EE43C6">
        <w:rPr>
          <w:rFonts w:cs="Arial"/>
        </w:rPr>
        <w:t xml:space="preserve">Construction </w:t>
      </w:r>
      <w:r w:rsidR="00982A95" w:rsidRPr="00EE43C6">
        <w:rPr>
          <w:rFonts w:cs="Arial"/>
        </w:rPr>
        <w:t>Supervision Consultant</w:t>
      </w:r>
      <w:r w:rsidR="00982A95" w:rsidRPr="00EE43C6" w:rsidDel="00982A95">
        <w:rPr>
          <w:rFonts w:cs="Arial"/>
        </w:rPr>
        <w:t xml:space="preserve"> </w:t>
      </w:r>
      <w:r w:rsidRPr="00EE43C6">
        <w:rPr>
          <w:rFonts w:cs="Arial"/>
        </w:rPr>
        <w:t xml:space="preserve">by the Consultant before the construction process starts. </w:t>
      </w:r>
      <w:r w:rsidR="00BB4E48" w:rsidRPr="00EE43C6">
        <w:rPr>
          <w:rFonts w:cs="Arial"/>
        </w:rPr>
        <w:t>After the contract with the construction contractor is signed, the Construction Supervision Consultant will give these training</w:t>
      </w:r>
      <w:r w:rsidR="00D64B10" w:rsidRPr="00EE43C6">
        <w:rPr>
          <w:rFonts w:cs="Arial"/>
        </w:rPr>
        <w:t>s</w:t>
      </w:r>
      <w:r w:rsidR="00BB4E48" w:rsidRPr="00EE43C6">
        <w:rPr>
          <w:rFonts w:cs="Arial"/>
        </w:rPr>
        <w:t xml:space="preserve"> </w:t>
      </w:r>
      <w:r w:rsidR="00936387" w:rsidRPr="00EE43C6">
        <w:rPr>
          <w:rFonts w:cs="Arial"/>
        </w:rPr>
        <w:t xml:space="preserve">specified in </w:t>
      </w:r>
      <w:r w:rsidR="00936387" w:rsidRPr="00EE43C6">
        <w:rPr>
          <w:rFonts w:cs="Arial"/>
        </w:rPr>
        <w:fldChar w:fldCharType="begin"/>
      </w:r>
      <w:r w:rsidR="00936387" w:rsidRPr="00EE43C6">
        <w:rPr>
          <w:rFonts w:cs="Arial"/>
        </w:rPr>
        <w:instrText xml:space="preserve"> REF _Ref121393755 \h </w:instrText>
      </w:r>
      <w:r w:rsidR="00936387" w:rsidRPr="00EE43C6">
        <w:rPr>
          <w:rFonts w:cs="Arial"/>
        </w:rPr>
      </w:r>
      <w:r w:rsidR="00936387" w:rsidRPr="00EE43C6">
        <w:rPr>
          <w:rFonts w:cs="Arial"/>
        </w:rPr>
        <w:fldChar w:fldCharType="separate"/>
      </w:r>
      <w:r w:rsidR="00936387" w:rsidRPr="00EE43C6">
        <w:t>Table 1</w:t>
      </w:r>
      <w:r w:rsidR="00936387" w:rsidRPr="00EE43C6">
        <w:noBreakHyphen/>
        <w:t>1</w:t>
      </w:r>
      <w:r w:rsidR="00936387" w:rsidRPr="00EE43C6">
        <w:rPr>
          <w:rFonts w:cs="Arial"/>
        </w:rPr>
        <w:fldChar w:fldCharType="end"/>
      </w:r>
      <w:r w:rsidR="00936387" w:rsidRPr="00EE43C6">
        <w:rPr>
          <w:rFonts w:cs="Arial"/>
        </w:rPr>
        <w:t xml:space="preserve"> </w:t>
      </w:r>
      <w:r w:rsidR="00BB4E48" w:rsidRPr="00EE43C6">
        <w:rPr>
          <w:rFonts w:cs="Arial"/>
        </w:rPr>
        <w:t>to the construction contractor before commencement of construction activities.</w:t>
      </w:r>
      <w:r w:rsidR="00D64B10" w:rsidRPr="00EE43C6">
        <w:rPr>
          <w:rFonts w:cs="Arial"/>
        </w:rPr>
        <w:t xml:space="preserve"> </w:t>
      </w:r>
      <w:r w:rsidRPr="00EE43C6">
        <w:rPr>
          <w:rFonts w:cs="Arial"/>
        </w:rPr>
        <w:t>The trainings will last at most two days and will be organized twice a year. Depending on</w:t>
      </w:r>
      <w:r w:rsidR="00492E9F">
        <w:rPr>
          <w:rFonts w:cs="Arial"/>
        </w:rPr>
        <w:t xml:space="preserve"> </w:t>
      </w:r>
      <w:r w:rsidR="00492E9F" w:rsidRPr="00492E9F">
        <w:rPr>
          <w:rFonts w:cs="Arial"/>
        </w:rPr>
        <w:t>Environmental and Social Monitoring Report</w:t>
      </w:r>
      <w:r w:rsidR="008166CC">
        <w:rPr>
          <w:rFonts w:cs="Arial"/>
        </w:rPr>
        <w:t>s</w:t>
      </w:r>
      <w:r w:rsidRPr="00EE43C6">
        <w:rPr>
          <w:rFonts w:cs="Arial"/>
        </w:rPr>
        <w:t xml:space="preserve"> </w:t>
      </w:r>
      <w:r w:rsidR="008166CC">
        <w:rPr>
          <w:rFonts w:cs="Arial"/>
        </w:rPr>
        <w:t>(</w:t>
      </w:r>
      <w:r w:rsidR="00307457" w:rsidRPr="5F58EB95">
        <w:rPr>
          <w:rFonts w:cs="Arial"/>
        </w:rPr>
        <w:t>ESMRs</w:t>
      </w:r>
      <w:r w:rsidR="008166CC">
        <w:rPr>
          <w:rFonts w:cs="Arial"/>
        </w:rPr>
        <w:t>)</w:t>
      </w:r>
      <w:r w:rsidR="00307457" w:rsidRPr="5F58EB95">
        <w:rPr>
          <w:rFonts w:cs="Arial"/>
        </w:rPr>
        <w:t xml:space="preserve"> </w:t>
      </w:r>
      <w:r w:rsidR="002F4E0C" w:rsidRPr="5F58EB95">
        <w:rPr>
          <w:rFonts w:cs="Arial"/>
        </w:rPr>
        <w:t xml:space="preserve">in which are </w:t>
      </w:r>
      <w:r w:rsidR="00307457" w:rsidRPr="5F58EB95">
        <w:rPr>
          <w:rFonts w:cs="Arial"/>
        </w:rPr>
        <w:t>report</w:t>
      </w:r>
      <w:r w:rsidR="002F4E0C" w:rsidRPr="5F58EB95">
        <w:rPr>
          <w:rFonts w:cs="Arial"/>
        </w:rPr>
        <w:t>ed</w:t>
      </w:r>
      <w:r w:rsidRPr="5F58EB95">
        <w:rPr>
          <w:rFonts w:cs="Arial"/>
        </w:rPr>
        <w:t xml:space="preserve"> </w:t>
      </w:r>
      <w:r w:rsidRPr="00EE43C6">
        <w:rPr>
          <w:rFonts w:cs="Arial"/>
        </w:rPr>
        <w:t xml:space="preserve">the </w:t>
      </w:r>
      <w:r w:rsidR="0099723A" w:rsidRPr="5F58EB95">
        <w:rPr>
          <w:rFonts w:cs="Arial"/>
        </w:rPr>
        <w:t xml:space="preserve">effectiveness of the </w:t>
      </w:r>
      <w:r w:rsidR="008948B1" w:rsidRPr="5F58EB95">
        <w:rPr>
          <w:rFonts w:cs="Arial"/>
        </w:rPr>
        <w:t xml:space="preserve">ESMP </w:t>
      </w:r>
      <w:r w:rsidR="0099723A" w:rsidRPr="5F58EB95">
        <w:rPr>
          <w:rFonts w:cs="Arial"/>
        </w:rPr>
        <w:t>mitigation measures determined through the monitoring process</w:t>
      </w:r>
      <w:r w:rsidRPr="00EE43C6">
        <w:rPr>
          <w:rFonts w:cs="Arial"/>
        </w:rPr>
        <w:t xml:space="preserve">, further training programs may need to be performed in order to achieve required target, if the ESMP implementation </w:t>
      </w:r>
      <w:r w:rsidR="001D5032" w:rsidRPr="00EE43C6">
        <w:rPr>
          <w:rFonts w:cs="Arial"/>
        </w:rPr>
        <w:t xml:space="preserve">will </w:t>
      </w:r>
      <w:r w:rsidRPr="00EE43C6">
        <w:rPr>
          <w:rFonts w:cs="Arial"/>
        </w:rPr>
        <w:t xml:space="preserve">not </w:t>
      </w:r>
      <w:r w:rsidR="00454875" w:rsidRPr="00EE43C6">
        <w:rPr>
          <w:rFonts w:cs="Arial"/>
        </w:rPr>
        <w:t>be</w:t>
      </w:r>
      <w:r w:rsidRPr="00EE43C6">
        <w:rPr>
          <w:rFonts w:cs="Arial"/>
        </w:rPr>
        <w:t xml:space="preserve"> at desired level or failed. The necessary training will be provided to the personnel </w:t>
      </w:r>
      <w:r w:rsidR="003F74EA" w:rsidRPr="5F58EB95">
        <w:rPr>
          <w:rFonts w:cs="Arial"/>
        </w:rPr>
        <w:t>soon a</w:t>
      </w:r>
      <w:r w:rsidR="00DA200D" w:rsidRPr="5F58EB95">
        <w:rPr>
          <w:rFonts w:cs="Arial"/>
        </w:rPr>
        <w:t>fte</w:t>
      </w:r>
      <w:r w:rsidR="003F74EA" w:rsidRPr="5F58EB95">
        <w:rPr>
          <w:rFonts w:cs="Arial"/>
        </w:rPr>
        <w:t>r</w:t>
      </w:r>
      <w:r w:rsidRPr="00EE43C6">
        <w:rPr>
          <w:rFonts w:cs="Arial"/>
        </w:rPr>
        <w:t xml:space="preserve"> recruitment, and grading and evaluation should be carried out at the end of the training provided. </w:t>
      </w:r>
      <w:r w:rsidR="00CF63C1" w:rsidRPr="00EE43C6">
        <w:rPr>
          <w:rFonts w:cs="Arial"/>
        </w:rPr>
        <w:t xml:space="preserve">Construction </w:t>
      </w:r>
      <w:r w:rsidRPr="00EE43C6">
        <w:rPr>
          <w:rFonts w:cs="Arial"/>
        </w:rPr>
        <w:t xml:space="preserve">Supervision </w:t>
      </w:r>
      <w:r w:rsidR="00CF63C1" w:rsidRPr="00EE43C6">
        <w:rPr>
          <w:rFonts w:cs="Arial"/>
        </w:rPr>
        <w:t xml:space="preserve">Consultant </w:t>
      </w:r>
      <w:r w:rsidRPr="00EE43C6">
        <w:rPr>
          <w:rFonts w:cs="Arial"/>
        </w:rPr>
        <w:t>will check the relevance of the training program and the training evaluation. According to the results of the evaluation, the training program can be modified, or trainers can be replaced, or training can be repeated, if needed, upon determining whether the training is effective. This is intended to enhance the personnel's competency.</w:t>
      </w:r>
    </w:p>
    <w:p w14:paraId="7C1A53FF" w14:textId="77777777" w:rsidR="00776A3E" w:rsidRPr="00EE43C6" w:rsidRDefault="00776A3E" w:rsidP="00776A3E">
      <w:r w:rsidRPr="00EE43C6">
        <w:t>The training program/modules will address a range of issues, including but not limited to:</w:t>
      </w:r>
    </w:p>
    <w:p w14:paraId="19154723" w14:textId="77777777" w:rsidR="00776A3E" w:rsidRPr="00EE43C6" w:rsidRDefault="00776A3E" w:rsidP="00776A3E">
      <w:pPr>
        <w:pStyle w:val="ListParagraph"/>
        <w:numPr>
          <w:ilvl w:val="0"/>
          <w:numId w:val="5"/>
        </w:numPr>
        <w:spacing w:before="120"/>
        <w:ind w:left="714" w:hanging="357"/>
        <w:contextualSpacing w:val="0"/>
        <w:rPr>
          <w:noProof w:val="0"/>
        </w:rPr>
      </w:pPr>
      <w:r w:rsidRPr="00EE43C6">
        <w:rPr>
          <w:noProof w:val="0"/>
          <w:color w:val="auto"/>
        </w:rPr>
        <w:t>Purpose of ESMP regarding the project activities,</w:t>
      </w:r>
    </w:p>
    <w:p w14:paraId="6056D9F6" w14:textId="77777777" w:rsidR="00776A3E" w:rsidRPr="00EE43C6" w:rsidRDefault="00776A3E" w:rsidP="00776A3E">
      <w:pPr>
        <w:pStyle w:val="ListParagraph"/>
        <w:numPr>
          <w:ilvl w:val="0"/>
          <w:numId w:val="5"/>
        </w:numPr>
        <w:spacing w:before="120"/>
        <w:ind w:left="714" w:hanging="357"/>
        <w:contextualSpacing w:val="0"/>
        <w:rPr>
          <w:noProof w:val="0"/>
        </w:rPr>
      </w:pPr>
      <w:r w:rsidRPr="00EE43C6">
        <w:rPr>
          <w:noProof w:val="0"/>
          <w:color w:val="auto"/>
        </w:rPr>
        <w:t>Requirements in management plans, mitigation measures to be applied and monitoring activities to be performed within the scope of this plan,</w:t>
      </w:r>
    </w:p>
    <w:p w14:paraId="7EF4A0CF" w14:textId="77777777" w:rsidR="00776A3E" w:rsidRPr="00EE43C6" w:rsidRDefault="00776A3E" w:rsidP="00776A3E">
      <w:pPr>
        <w:pStyle w:val="ListParagraph"/>
        <w:numPr>
          <w:ilvl w:val="0"/>
          <w:numId w:val="5"/>
        </w:numPr>
        <w:spacing w:before="120"/>
        <w:ind w:left="714" w:hanging="357"/>
        <w:contextualSpacing w:val="0"/>
        <w:rPr>
          <w:noProof w:val="0"/>
        </w:rPr>
      </w:pPr>
      <w:r w:rsidRPr="00EE43C6">
        <w:rPr>
          <w:noProof w:val="0"/>
          <w:color w:val="auto"/>
        </w:rPr>
        <w:t>Understanding of the sensitive environmental and social receptors within the project area and its vicinity,</w:t>
      </w:r>
    </w:p>
    <w:p w14:paraId="09CA1B5D" w14:textId="77777777" w:rsidR="00776A3E" w:rsidRPr="00EE43C6" w:rsidRDefault="00776A3E" w:rsidP="00776A3E">
      <w:pPr>
        <w:pStyle w:val="ListParagraph"/>
        <w:numPr>
          <w:ilvl w:val="0"/>
          <w:numId w:val="5"/>
        </w:numPr>
        <w:spacing w:before="120"/>
        <w:ind w:left="714" w:hanging="357"/>
        <w:contextualSpacing w:val="0"/>
        <w:rPr>
          <w:noProof w:val="0"/>
          <w:color w:val="auto"/>
        </w:rPr>
      </w:pPr>
      <w:r w:rsidRPr="00EE43C6">
        <w:rPr>
          <w:noProof w:val="0"/>
          <w:color w:val="auto"/>
        </w:rPr>
        <w:t>Awareness raising about the potential risk and impacts from the project activities,</w:t>
      </w:r>
    </w:p>
    <w:p w14:paraId="2988837F" w14:textId="77777777" w:rsidR="00776A3E" w:rsidRPr="00EE43C6" w:rsidRDefault="00776A3E" w:rsidP="00776A3E">
      <w:pPr>
        <w:pStyle w:val="ListParagraph"/>
        <w:numPr>
          <w:ilvl w:val="0"/>
          <w:numId w:val="5"/>
        </w:numPr>
        <w:spacing w:before="120"/>
        <w:ind w:left="714" w:hanging="357"/>
        <w:rPr>
          <w:noProof w:val="0"/>
        </w:rPr>
      </w:pPr>
      <w:r w:rsidRPr="00EE43C6">
        <w:rPr>
          <w:noProof w:val="0"/>
          <w:color w:val="auto"/>
        </w:rPr>
        <w:t>Grievance mechanism developed within the scope of the project, process, procedures and service standards, grievance mechanism contact channels and employee rights,</w:t>
      </w:r>
    </w:p>
    <w:p w14:paraId="75296844" w14:textId="77777777" w:rsidR="00776A3E" w:rsidRPr="00EE43C6" w:rsidRDefault="00776A3E" w:rsidP="00776A3E">
      <w:pPr>
        <w:pStyle w:val="ListParagraph"/>
        <w:numPr>
          <w:ilvl w:val="0"/>
          <w:numId w:val="5"/>
        </w:numPr>
        <w:spacing w:before="100" w:after="100"/>
        <w:ind w:left="714" w:hanging="357"/>
        <w:contextualSpacing w:val="0"/>
        <w:rPr>
          <w:noProof w:val="0"/>
          <w:color w:val="auto"/>
        </w:rPr>
      </w:pPr>
      <w:r w:rsidRPr="00EE43C6">
        <w:rPr>
          <w:noProof w:val="0"/>
          <w:color w:val="auto"/>
        </w:rPr>
        <w:t>Occupational health and safety, first aid, emergency preparedness,</w:t>
      </w:r>
    </w:p>
    <w:p w14:paraId="5091DD55" w14:textId="77777777" w:rsidR="00776A3E" w:rsidRPr="00EE43C6" w:rsidRDefault="00776A3E" w:rsidP="00776A3E">
      <w:pPr>
        <w:pStyle w:val="ListParagraph"/>
        <w:numPr>
          <w:ilvl w:val="0"/>
          <w:numId w:val="5"/>
        </w:numPr>
        <w:spacing w:before="100" w:after="100"/>
        <w:ind w:left="714" w:hanging="357"/>
        <w:contextualSpacing w:val="0"/>
        <w:rPr>
          <w:noProof w:val="0"/>
          <w:color w:val="auto"/>
        </w:rPr>
      </w:pPr>
      <w:r w:rsidRPr="00EE43C6">
        <w:rPr>
          <w:noProof w:val="0"/>
          <w:color w:val="auto"/>
        </w:rPr>
        <w:lastRenderedPageBreak/>
        <w:t>COVID-19 related precautions and protection measures,</w:t>
      </w:r>
    </w:p>
    <w:p w14:paraId="06E4DDA0" w14:textId="77777777" w:rsidR="00776A3E" w:rsidRPr="00EE43C6" w:rsidRDefault="00776A3E" w:rsidP="00776A3E">
      <w:pPr>
        <w:pStyle w:val="ListParagraph"/>
        <w:numPr>
          <w:ilvl w:val="0"/>
          <w:numId w:val="5"/>
        </w:numPr>
        <w:spacing w:before="100" w:after="100"/>
        <w:ind w:left="714" w:hanging="357"/>
        <w:contextualSpacing w:val="0"/>
        <w:rPr>
          <w:noProof w:val="0"/>
          <w:color w:val="auto"/>
        </w:rPr>
      </w:pPr>
      <w:r w:rsidRPr="00EE43C6">
        <w:rPr>
          <w:noProof w:val="0"/>
          <w:color w:val="auto"/>
        </w:rPr>
        <w:t>Code of conduct and dress code,</w:t>
      </w:r>
    </w:p>
    <w:p w14:paraId="1516EB24" w14:textId="77777777" w:rsidR="00776A3E" w:rsidRPr="00EE43C6" w:rsidRDefault="00776A3E" w:rsidP="00776A3E">
      <w:pPr>
        <w:pStyle w:val="ListParagraph"/>
        <w:numPr>
          <w:ilvl w:val="0"/>
          <w:numId w:val="5"/>
        </w:numPr>
        <w:spacing w:before="100" w:after="100"/>
        <w:ind w:left="714" w:hanging="357"/>
        <w:contextualSpacing w:val="0"/>
        <w:rPr>
          <w:noProof w:val="0"/>
          <w:color w:val="auto"/>
        </w:rPr>
      </w:pPr>
      <w:r w:rsidRPr="00EE43C6">
        <w:rPr>
          <w:noProof w:val="0"/>
          <w:color w:val="auto"/>
        </w:rPr>
        <w:t>Communication with the local community,</w:t>
      </w:r>
    </w:p>
    <w:p w14:paraId="2B477768" w14:textId="530AF18F" w:rsidR="00776A3E" w:rsidRPr="00EE43C6" w:rsidRDefault="00776A3E" w:rsidP="00776A3E">
      <w:pPr>
        <w:pStyle w:val="ListParagraph"/>
        <w:numPr>
          <w:ilvl w:val="0"/>
          <w:numId w:val="5"/>
        </w:numPr>
        <w:spacing w:before="100" w:after="100"/>
        <w:ind w:left="714" w:hanging="357"/>
        <w:contextualSpacing w:val="0"/>
        <w:rPr>
          <w:noProof w:val="0"/>
        </w:rPr>
      </w:pPr>
      <w:r w:rsidRPr="00EE43C6">
        <w:rPr>
          <w:noProof w:val="0"/>
          <w:color w:val="auto"/>
        </w:rPr>
        <w:t xml:space="preserve">Code of conduct training, including gender-based violence, sexual harassment, sexual </w:t>
      </w:r>
      <w:r w:rsidR="002C5AB4" w:rsidRPr="00EE43C6">
        <w:rPr>
          <w:noProof w:val="0"/>
          <w:color w:val="auto"/>
        </w:rPr>
        <w:t>exploitation,</w:t>
      </w:r>
      <w:r w:rsidRPr="00EE43C6">
        <w:rPr>
          <w:noProof w:val="0"/>
          <w:color w:val="auto"/>
        </w:rPr>
        <w:t xml:space="preserve"> and abuse,</w:t>
      </w:r>
    </w:p>
    <w:p w14:paraId="6FBC9484" w14:textId="77777777" w:rsidR="00776A3E" w:rsidRPr="00EE43C6" w:rsidRDefault="00776A3E" w:rsidP="00776A3E">
      <w:pPr>
        <w:pStyle w:val="ListParagraph"/>
        <w:numPr>
          <w:ilvl w:val="0"/>
          <w:numId w:val="5"/>
        </w:numPr>
        <w:spacing w:before="100" w:after="100"/>
        <w:ind w:left="714" w:hanging="357"/>
        <w:contextualSpacing w:val="0"/>
        <w:rPr>
          <w:noProof w:val="0"/>
          <w:color w:val="auto"/>
        </w:rPr>
      </w:pPr>
      <w:r w:rsidRPr="00EE43C6">
        <w:rPr>
          <w:noProof w:val="0"/>
          <w:color w:val="auto"/>
        </w:rPr>
        <w:t>Traffic and road safety principles, and</w:t>
      </w:r>
    </w:p>
    <w:p w14:paraId="309A6D96" w14:textId="113ADE0D" w:rsidR="00776A3E" w:rsidRPr="00EE43C6" w:rsidRDefault="00776A3E" w:rsidP="00776A3E">
      <w:pPr>
        <w:pStyle w:val="ListParagraph"/>
        <w:numPr>
          <w:ilvl w:val="0"/>
          <w:numId w:val="5"/>
        </w:numPr>
        <w:spacing w:before="100" w:after="100"/>
        <w:ind w:left="714" w:hanging="357"/>
        <w:contextualSpacing w:val="0"/>
        <w:rPr>
          <w:b/>
          <w:bCs/>
          <w:noProof w:val="0"/>
          <w:color w:val="auto"/>
        </w:rPr>
      </w:pPr>
      <w:r w:rsidRPr="00EE43C6">
        <w:rPr>
          <w:noProof w:val="0"/>
          <w:color w:val="auto"/>
        </w:rPr>
        <w:t xml:space="preserve">Training aiming at the sorting, </w:t>
      </w:r>
      <w:r w:rsidR="002C5AB4" w:rsidRPr="00EE43C6">
        <w:rPr>
          <w:noProof w:val="0"/>
          <w:color w:val="auto"/>
        </w:rPr>
        <w:t>storage,</w:t>
      </w:r>
      <w:r w:rsidRPr="00EE43C6">
        <w:rPr>
          <w:noProof w:val="0"/>
          <w:color w:val="auto"/>
        </w:rPr>
        <w:t xml:space="preserve"> and environmental planning of waste.</w:t>
      </w:r>
    </w:p>
    <w:p w14:paraId="2F6AE10B" w14:textId="588E2228" w:rsidR="00776A3E" w:rsidRPr="00EE43C6" w:rsidRDefault="00776A3E" w:rsidP="00776A3E">
      <w:pPr>
        <w:rPr>
          <w:rFonts w:cs="MS Gothic"/>
        </w:rPr>
      </w:pPr>
      <w:r w:rsidRPr="00EE43C6">
        <w:rPr>
          <w:rFonts w:cs="MS Gothic"/>
        </w:rPr>
        <w:t>The TUIOSB will ensure that all personnel responsible for the implementation of this ESMP are competent in terms of education, training, and experience. All personnel will be provided with environmental and social training appropriate to their scope of activity and level of responsibility.</w:t>
      </w:r>
    </w:p>
    <w:p w14:paraId="32483CC3" w14:textId="4ADBA5BC" w:rsidR="00776A3E" w:rsidRPr="00EE43C6" w:rsidRDefault="00776A3E" w:rsidP="00776A3E">
      <w:pPr>
        <w:rPr>
          <w:rFonts w:cs="MS Gothic"/>
        </w:rPr>
      </w:pPr>
      <w:r w:rsidRPr="00EE43C6">
        <w:rPr>
          <w:rFonts w:cs="Arial"/>
        </w:rPr>
        <w:t>The institutional capacity of TUIOSB will be strengthened through the trainings to be delivered by the environmental, social, stakeholder engagement and OHS specialist</w:t>
      </w:r>
      <w:r w:rsidR="00454875" w:rsidRPr="00EE43C6">
        <w:rPr>
          <w:rFonts w:cs="Arial"/>
        </w:rPr>
        <w:t>s</w:t>
      </w:r>
      <w:r w:rsidRPr="00EE43C6">
        <w:rPr>
          <w:rFonts w:cs="Arial"/>
        </w:rPr>
        <w:t xml:space="preserve"> of the MoIT PIU In case needed, MoIT PIU can hire external consultants, who have knowledge and experience about ESSs, to support the trainings for TUIOSB officials/staff in order to increase their awareness of risks and mitigate the impacts of the Project. Information regarding proposed training program is provided in </w:t>
      </w:r>
      <w:r w:rsidRPr="00EE43C6">
        <w:rPr>
          <w:rFonts w:cs="Arial"/>
        </w:rPr>
        <w:fldChar w:fldCharType="begin"/>
      </w:r>
      <w:r w:rsidRPr="00EE43C6">
        <w:rPr>
          <w:rFonts w:cs="Arial"/>
        </w:rPr>
        <w:instrText xml:space="preserve"> REF _Ref121393755 \h </w:instrText>
      </w:r>
      <w:r w:rsidRPr="00EE43C6">
        <w:rPr>
          <w:rFonts w:cs="Arial"/>
        </w:rPr>
      </w:r>
      <w:r w:rsidRPr="00EE43C6">
        <w:rPr>
          <w:rFonts w:cs="Arial"/>
        </w:rPr>
        <w:fldChar w:fldCharType="separate"/>
      </w:r>
      <w:r w:rsidR="00CE3B94" w:rsidRPr="00EE43C6">
        <w:t>Table 1</w:t>
      </w:r>
      <w:r w:rsidR="00CE3B94" w:rsidRPr="00EE43C6">
        <w:noBreakHyphen/>
        <w:t>1</w:t>
      </w:r>
      <w:r w:rsidRPr="00EE43C6">
        <w:rPr>
          <w:rFonts w:cs="Arial"/>
        </w:rPr>
        <w:fldChar w:fldCharType="end"/>
      </w:r>
      <w:r w:rsidRPr="00EE43C6">
        <w:rPr>
          <w:rFonts w:cs="Arial"/>
        </w:rPr>
        <w:t>.</w:t>
      </w:r>
    </w:p>
    <w:p w14:paraId="184FCF8C" w14:textId="18E611C3" w:rsidR="00776A3E" w:rsidRPr="00EE43C6" w:rsidRDefault="00776A3E" w:rsidP="00776A3E">
      <w:pPr>
        <w:pStyle w:val="Caption"/>
        <w:rPr>
          <w:noProof w:val="0"/>
        </w:rPr>
      </w:pPr>
      <w:bookmarkStart w:id="62" w:name="_Ref121393755"/>
      <w:bookmarkStart w:id="63" w:name="_Toc122089675"/>
      <w:bookmarkStart w:id="64" w:name="_Toc141445492"/>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1</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w:t>
      </w:r>
      <w:r w:rsidR="006D2DE8">
        <w:rPr>
          <w:noProof w:val="0"/>
        </w:rPr>
        <w:fldChar w:fldCharType="end"/>
      </w:r>
      <w:bookmarkEnd w:id="62"/>
      <w:r w:rsidRPr="00EE43C6">
        <w:rPr>
          <w:noProof w:val="0"/>
        </w:rPr>
        <w:t xml:space="preserve">. </w:t>
      </w:r>
      <w:r w:rsidRPr="00EE43C6">
        <w:rPr>
          <w:b w:val="0"/>
          <w:bCs w:val="0"/>
          <w:noProof w:val="0"/>
          <w:color w:val="auto"/>
        </w:rPr>
        <w:t>Training Program</w:t>
      </w:r>
      <w:bookmarkEnd w:id="63"/>
      <w:bookmarkEnd w:id="64"/>
    </w:p>
    <w:tbl>
      <w:tblPr>
        <w:tblStyle w:val="TableGrid"/>
        <w:tblW w:w="5000" w:type="pct"/>
        <w:tblLook w:val="04A0" w:firstRow="1" w:lastRow="0" w:firstColumn="1" w:lastColumn="0" w:noHBand="0" w:noVBand="1"/>
      </w:tblPr>
      <w:tblGrid>
        <w:gridCol w:w="587"/>
        <w:gridCol w:w="3284"/>
        <w:gridCol w:w="1713"/>
        <w:gridCol w:w="2151"/>
        <w:gridCol w:w="1319"/>
      </w:tblGrid>
      <w:tr w:rsidR="00776A3E" w:rsidRPr="00EE43C6" w14:paraId="2A93880A" w14:textId="77777777" w:rsidTr="2DB09FEA">
        <w:trPr>
          <w:cantSplit/>
          <w:trHeight w:val="284"/>
          <w:tblHeader/>
        </w:trPr>
        <w:tc>
          <w:tcPr>
            <w:tcW w:w="316" w:type="pct"/>
            <w:shd w:val="clear" w:color="auto" w:fill="4E81BD"/>
            <w:vAlign w:val="center"/>
          </w:tcPr>
          <w:p w14:paraId="48D9E502" w14:textId="77777777" w:rsidR="00776A3E" w:rsidRPr="00EE43C6" w:rsidRDefault="00776A3E" w:rsidP="00CE3B94">
            <w:pPr>
              <w:spacing w:before="0" w:after="0" w:line="240" w:lineRule="auto"/>
              <w:jc w:val="center"/>
              <w:rPr>
                <w:rFonts w:cs="Arial"/>
                <w:b/>
                <w:bCs/>
                <w:color w:val="FFFFFF" w:themeColor="background1"/>
                <w:sz w:val="18"/>
                <w:szCs w:val="18"/>
              </w:rPr>
            </w:pPr>
            <w:r w:rsidRPr="00EE43C6">
              <w:rPr>
                <w:rFonts w:cs="Arial"/>
                <w:b/>
                <w:bCs/>
                <w:color w:val="FFFFFF" w:themeColor="background1"/>
                <w:sz w:val="18"/>
                <w:szCs w:val="18"/>
              </w:rPr>
              <w:t>Item No</w:t>
            </w:r>
          </w:p>
        </w:tc>
        <w:tc>
          <w:tcPr>
            <w:tcW w:w="1816" w:type="pct"/>
            <w:shd w:val="clear" w:color="auto" w:fill="4E81BD"/>
            <w:vAlign w:val="center"/>
          </w:tcPr>
          <w:p w14:paraId="6A334B93" w14:textId="77777777" w:rsidR="00776A3E" w:rsidRPr="00EE43C6" w:rsidRDefault="00776A3E" w:rsidP="00CE3B94">
            <w:pPr>
              <w:spacing w:before="0" w:after="0" w:line="240" w:lineRule="auto"/>
              <w:jc w:val="center"/>
              <w:rPr>
                <w:rFonts w:cs="Arial"/>
                <w:b/>
                <w:bCs/>
                <w:color w:val="FFFFFF" w:themeColor="background1"/>
                <w:sz w:val="18"/>
                <w:szCs w:val="18"/>
              </w:rPr>
            </w:pPr>
            <w:r w:rsidRPr="00EE43C6">
              <w:rPr>
                <w:rFonts w:cs="Arial"/>
                <w:b/>
                <w:bCs/>
                <w:color w:val="FFFFFF" w:themeColor="background1"/>
                <w:sz w:val="18"/>
                <w:szCs w:val="18"/>
              </w:rPr>
              <w:t>Heading of the Training</w:t>
            </w:r>
          </w:p>
        </w:tc>
        <w:tc>
          <w:tcPr>
            <w:tcW w:w="948" w:type="pct"/>
            <w:shd w:val="clear" w:color="auto" w:fill="4E81BD"/>
            <w:vAlign w:val="center"/>
          </w:tcPr>
          <w:p w14:paraId="4CE73C0A" w14:textId="77777777" w:rsidR="00776A3E" w:rsidRPr="00EE43C6" w:rsidRDefault="00776A3E" w:rsidP="00CE3B94">
            <w:pPr>
              <w:spacing w:before="0" w:after="0" w:line="240" w:lineRule="auto"/>
              <w:jc w:val="center"/>
              <w:rPr>
                <w:rFonts w:cs="Arial"/>
                <w:b/>
                <w:bCs/>
                <w:color w:val="FFFFFF" w:themeColor="background1"/>
                <w:sz w:val="18"/>
                <w:szCs w:val="18"/>
              </w:rPr>
            </w:pPr>
            <w:r w:rsidRPr="00EE43C6">
              <w:rPr>
                <w:rFonts w:cs="Arial"/>
                <w:b/>
                <w:bCs/>
                <w:color w:val="FFFFFF" w:themeColor="background1"/>
                <w:sz w:val="18"/>
                <w:szCs w:val="18"/>
              </w:rPr>
              <w:t>Target Group</w:t>
            </w:r>
          </w:p>
        </w:tc>
        <w:tc>
          <w:tcPr>
            <w:tcW w:w="1185" w:type="pct"/>
            <w:shd w:val="clear" w:color="auto" w:fill="4E81BD"/>
            <w:vAlign w:val="center"/>
          </w:tcPr>
          <w:p w14:paraId="5DF72C37" w14:textId="77777777" w:rsidR="00776A3E" w:rsidRPr="00EE43C6" w:rsidRDefault="00776A3E" w:rsidP="00CE3B94">
            <w:pPr>
              <w:spacing w:before="0" w:after="0" w:line="240" w:lineRule="auto"/>
              <w:jc w:val="center"/>
              <w:rPr>
                <w:rFonts w:cs="Arial"/>
                <w:b/>
                <w:bCs/>
                <w:color w:val="FFFFFF" w:themeColor="background1"/>
                <w:sz w:val="18"/>
                <w:szCs w:val="18"/>
              </w:rPr>
            </w:pPr>
            <w:r w:rsidRPr="00EE43C6">
              <w:rPr>
                <w:rFonts w:cs="Arial"/>
                <w:b/>
                <w:bCs/>
                <w:color w:val="FFFFFF" w:themeColor="background1"/>
                <w:sz w:val="18"/>
                <w:szCs w:val="18"/>
              </w:rPr>
              <w:t>Timing and Duration</w:t>
            </w:r>
          </w:p>
        </w:tc>
        <w:tc>
          <w:tcPr>
            <w:tcW w:w="730" w:type="pct"/>
            <w:shd w:val="clear" w:color="auto" w:fill="4E81BD"/>
            <w:vAlign w:val="center"/>
          </w:tcPr>
          <w:p w14:paraId="6E6818FD" w14:textId="05160C52" w:rsidR="00776A3E" w:rsidRPr="00EE43C6" w:rsidRDefault="00776A3E" w:rsidP="00CE3B94">
            <w:pPr>
              <w:spacing w:before="0" w:after="0" w:line="240" w:lineRule="auto"/>
              <w:jc w:val="center"/>
              <w:rPr>
                <w:rFonts w:cs="Arial"/>
                <w:b/>
                <w:bCs/>
                <w:color w:val="FFFFFF" w:themeColor="background1"/>
                <w:sz w:val="18"/>
                <w:szCs w:val="18"/>
              </w:rPr>
            </w:pPr>
            <w:r w:rsidRPr="00EE43C6">
              <w:rPr>
                <w:rFonts w:cs="Arial"/>
                <w:b/>
                <w:bCs/>
                <w:color w:val="FFFFFF" w:themeColor="background1"/>
                <w:sz w:val="18"/>
                <w:szCs w:val="18"/>
              </w:rPr>
              <w:t>Cost</w:t>
            </w:r>
            <w:r w:rsidR="00AF19AE">
              <w:rPr>
                <w:rFonts w:cs="Arial"/>
                <w:b/>
                <w:bCs/>
                <w:color w:val="FFFFFF" w:themeColor="background1"/>
                <w:sz w:val="18"/>
                <w:szCs w:val="18"/>
              </w:rPr>
              <w:t>***</w:t>
            </w:r>
          </w:p>
        </w:tc>
      </w:tr>
      <w:tr w:rsidR="00776A3E" w:rsidRPr="00EE43C6" w14:paraId="46A81DB2" w14:textId="77777777" w:rsidTr="2DB09FEA">
        <w:trPr>
          <w:cantSplit/>
          <w:trHeight w:val="284"/>
        </w:trPr>
        <w:tc>
          <w:tcPr>
            <w:tcW w:w="316" w:type="pct"/>
            <w:vAlign w:val="center"/>
          </w:tcPr>
          <w:p w14:paraId="78D6B149" w14:textId="77777777" w:rsidR="00776A3E" w:rsidRPr="00EE43C6" w:rsidRDefault="00776A3E" w:rsidP="00CE3B94">
            <w:pPr>
              <w:spacing w:before="0" w:after="0" w:line="240" w:lineRule="auto"/>
              <w:jc w:val="left"/>
              <w:rPr>
                <w:rFonts w:cs="Arial"/>
                <w:b/>
                <w:bCs/>
                <w:sz w:val="18"/>
                <w:szCs w:val="18"/>
              </w:rPr>
            </w:pPr>
            <w:r w:rsidRPr="00EE43C6">
              <w:rPr>
                <w:rFonts w:cs="Arial"/>
                <w:b/>
                <w:bCs/>
                <w:sz w:val="18"/>
                <w:szCs w:val="18"/>
              </w:rPr>
              <w:t>1</w:t>
            </w:r>
          </w:p>
        </w:tc>
        <w:tc>
          <w:tcPr>
            <w:tcW w:w="1816" w:type="pct"/>
            <w:vAlign w:val="center"/>
          </w:tcPr>
          <w:p w14:paraId="5F5C2C90" w14:textId="77777777" w:rsidR="00776A3E" w:rsidRPr="00EE43C6" w:rsidRDefault="00776A3E" w:rsidP="00CE3B94">
            <w:pPr>
              <w:spacing w:before="0" w:after="0" w:line="240" w:lineRule="auto"/>
              <w:jc w:val="left"/>
              <w:rPr>
                <w:rFonts w:cs="Arial"/>
                <w:b/>
                <w:bCs/>
                <w:sz w:val="18"/>
                <w:szCs w:val="18"/>
                <w:u w:val="single"/>
              </w:rPr>
            </w:pPr>
            <w:r w:rsidRPr="00EE43C6">
              <w:rPr>
                <w:rFonts w:cs="Arial"/>
                <w:b/>
                <w:bCs/>
                <w:sz w:val="18"/>
                <w:szCs w:val="18"/>
                <w:u w:val="single"/>
              </w:rPr>
              <w:t xml:space="preserve">Environmental and Social Framework: </w:t>
            </w:r>
          </w:p>
          <w:p w14:paraId="6E2671A4" w14:textId="4D4434AA" w:rsidR="00776A3E" w:rsidRPr="00EE43C6" w:rsidRDefault="00776A3E" w:rsidP="2DB09FEA">
            <w:pPr>
              <w:pStyle w:val="ListParagraph"/>
              <w:numPr>
                <w:ilvl w:val="0"/>
                <w:numId w:val="21"/>
              </w:numPr>
              <w:spacing w:before="60" w:after="60" w:line="240" w:lineRule="auto"/>
              <w:ind w:left="250" w:hanging="284"/>
              <w:jc w:val="left"/>
              <w:rPr>
                <w:noProof w:val="0"/>
                <w:sz w:val="18"/>
                <w:szCs w:val="18"/>
              </w:rPr>
            </w:pPr>
            <w:r w:rsidRPr="2DB09FEA">
              <w:rPr>
                <w:noProof w:val="0"/>
                <w:sz w:val="18"/>
                <w:szCs w:val="18"/>
              </w:rPr>
              <w:t>Training on ESF</w:t>
            </w:r>
            <w:r w:rsidR="00FF2A8B">
              <w:rPr>
                <w:noProof w:val="0"/>
                <w:sz w:val="18"/>
                <w:szCs w:val="18"/>
              </w:rPr>
              <w:t>,</w:t>
            </w:r>
            <w:r w:rsidRPr="2DB09FEA">
              <w:rPr>
                <w:noProof w:val="0"/>
                <w:sz w:val="18"/>
                <w:szCs w:val="18"/>
              </w:rPr>
              <w:t xml:space="preserve"> and the ESSs </w:t>
            </w:r>
            <w:r w:rsidR="00932505">
              <w:rPr>
                <w:noProof w:val="0"/>
                <w:sz w:val="18"/>
                <w:szCs w:val="18"/>
              </w:rPr>
              <w:t xml:space="preserve">relevant for the Project </w:t>
            </w:r>
            <w:r w:rsidRPr="2DB09FEA">
              <w:rPr>
                <w:noProof w:val="0"/>
                <w:sz w:val="18"/>
                <w:szCs w:val="18"/>
              </w:rPr>
              <w:t>including preparation of ESMP</w:t>
            </w:r>
          </w:p>
          <w:p w14:paraId="53E29EE8"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Implementation of the project specific ESMP, LMP, SEP and GM</w:t>
            </w:r>
          </w:p>
        </w:tc>
        <w:tc>
          <w:tcPr>
            <w:tcW w:w="948" w:type="pct"/>
            <w:vAlign w:val="center"/>
          </w:tcPr>
          <w:p w14:paraId="37F70DB6" w14:textId="4D0D7699" w:rsidR="00776A3E" w:rsidRPr="00EE43C6" w:rsidRDefault="00776A3E" w:rsidP="00CE3B94">
            <w:pPr>
              <w:spacing w:before="0" w:after="0" w:line="240" w:lineRule="auto"/>
              <w:jc w:val="left"/>
              <w:rPr>
                <w:rFonts w:cs="Arial"/>
                <w:sz w:val="18"/>
                <w:szCs w:val="18"/>
              </w:rPr>
            </w:pPr>
            <w:r w:rsidRPr="00EE43C6">
              <w:rPr>
                <w:rFonts w:cs="Arial"/>
                <w:sz w:val="18"/>
                <w:szCs w:val="18"/>
              </w:rPr>
              <w:t xml:space="preserve">Personnel of </w:t>
            </w:r>
            <w:r w:rsidR="00B13535" w:rsidRPr="00EE43C6">
              <w:rPr>
                <w:rFonts w:cs="Arial"/>
                <w:sz w:val="18"/>
                <w:szCs w:val="18"/>
              </w:rPr>
              <w:t>TUIOSB</w:t>
            </w:r>
          </w:p>
          <w:p w14:paraId="76279E37" w14:textId="77777777" w:rsidR="00776A3E" w:rsidRPr="00EE43C6" w:rsidRDefault="00776A3E" w:rsidP="00CE3B94">
            <w:pPr>
              <w:spacing w:before="0" w:after="0" w:line="240" w:lineRule="auto"/>
              <w:jc w:val="left"/>
              <w:rPr>
                <w:rFonts w:cs="Arial"/>
                <w:sz w:val="18"/>
                <w:szCs w:val="18"/>
              </w:rPr>
            </w:pPr>
          </w:p>
          <w:p w14:paraId="68EDA228" w14:textId="77777777" w:rsidR="00776A3E" w:rsidRPr="00EE43C6" w:rsidRDefault="00776A3E" w:rsidP="00CE3B94">
            <w:pPr>
              <w:spacing w:before="0" w:after="0" w:line="240" w:lineRule="auto"/>
              <w:jc w:val="left"/>
              <w:rPr>
                <w:rFonts w:cs="Arial"/>
                <w:sz w:val="18"/>
                <w:szCs w:val="18"/>
              </w:rPr>
            </w:pPr>
          </w:p>
          <w:p w14:paraId="7F72D43C" w14:textId="2AEB0D6D" w:rsidR="00776A3E" w:rsidRPr="00EE43C6" w:rsidRDefault="00776A3E" w:rsidP="00CE3B94">
            <w:pPr>
              <w:spacing w:before="0" w:after="0" w:line="240" w:lineRule="auto"/>
              <w:jc w:val="left"/>
              <w:rPr>
                <w:rFonts w:cs="Arial"/>
                <w:sz w:val="18"/>
                <w:szCs w:val="18"/>
              </w:rPr>
            </w:pPr>
            <w:r w:rsidRPr="00EE43C6">
              <w:rPr>
                <w:rFonts w:cs="Arial"/>
                <w:sz w:val="18"/>
                <w:szCs w:val="18"/>
              </w:rPr>
              <w:t xml:space="preserve">Personnel of the </w:t>
            </w:r>
            <w:r w:rsidR="003C0E49" w:rsidRPr="00EE43C6">
              <w:rPr>
                <w:rFonts w:cs="Arial"/>
                <w:sz w:val="18"/>
                <w:szCs w:val="18"/>
              </w:rPr>
              <w:t>Construction Supervision Consultant</w:t>
            </w:r>
            <w:r w:rsidR="00556BBD" w:rsidRPr="00EE43C6">
              <w:rPr>
                <w:rFonts w:cs="Arial"/>
                <w:sz w:val="18"/>
                <w:szCs w:val="18"/>
              </w:rPr>
              <w:t>**</w:t>
            </w:r>
          </w:p>
        </w:tc>
        <w:tc>
          <w:tcPr>
            <w:tcW w:w="1185" w:type="pct"/>
            <w:vAlign w:val="center"/>
          </w:tcPr>
          <w:p w14:paraId="7344FDBA" w14:textId="77777777" w:rsidR="00776A3E" w:rsidRPr="00EE43C6" w:rsidRDefault="00776A3E" w:rsidP="00CE3B94">
            <w:pPr>
              <w:spacing w:before="0" w:after="0" w:line="240" w:lineRule="auto"/>
              <w:jc w:val="left"/>
              <w:rPr>
                <w:rFonts w:cs="Arial"/>
                <w:sz w:val="18"/>
                <w:szCs w:val="18"/>
              </w:rPr>
            </w:pPr>
            <w:r w:rsidRPr="00EE43C6">
              <w:rPr>
                <w:rFonts w:cs="Arial"/>
                <w:sz w:val="18"/>
                <w:szCs w:val="18"/>
              </w:rPr>
              <w:t>Immediately after award of the contract.</w:t>
            </w:r>
          </w:p>
          <w:p w14:paraId="38C6B332" w14:textId="77777777" w:rsidR="00776A3E" w:rsidRPr="00EE43C6" w:rsidRDefault="00776A3E" w:rsidP="00CE3B94">
            <w:pPr>
              <w:spacing w:before="0" w:after="0" w:line="240" w:lineRule="auto"/>
              <w:jc w:val="left"/>
              <w:rPr>
                <w:rFonts w:cs="Arial"/>
                <w:sz w:val="18"/>
                <w:szCs w:val="18"/>
              </w:rPr>
            </w:pPr>
            <w:r w:rsidRPr="00EE43C6">
              <w:rPr>
                <w:rFonts w:cs="Arial"/>
                <w:sz w:val="18"/>
                <w:szCs w:val="18"/>
              </w:rPr>
              <w:t>(5 days)</w:t>
            </w:r>
          </w:p>
        </w:tc>
        <w:tc>
          <w:tcPr>
            <w:tcW w:w="730" w:type="pct"/>
            <w:vAlign w:val="center"/>
          </w:tcPr>
          <w:p w14:paraId="39D54AEC" w14:textId="77777777" w:rsidR="00776A3E" w:rsidRPr="00EE43C6" w:rsidRDefault="00776A3E" w:rsidP="00CE3B94">
            <w:pPr>
              <w:spacing w:before="0" w:after="0" w:line="240" w:lineRule="auto"/>
              <w:jc w:val="center"/>
              <w:rPr>
                <w:rFonts w:cs="Arial"/>
                <w:sz w:val="18"/>
                <w:szCs w:val="18"/>
              </w:rPr>
            </w:pPr>
            <w:r w:rsidRPr="00EE43C6">
              <w:rPr>
                <w:rFonts w:cs="Arial"/>
                <w:sz w:val="18"/>
                <w:szCs w:val="18"/>
              </w:rPr>
              <w:t>3,500 Euro*</w:t>
            </w:r>
          </w:p>
        </w:tc>
      </w:tr>
      <w:tr w:rsidR="00776A3E" w:rsidRPr="00EE43C6" w14:paraId="343D483A" w14:textId="77777777" w:rsidTr="2DB09FEA">
        <w:trPr>
          <w:cantSplit/>
          <w:trHeight w:val="284"/>
        </w:trPr>
        <w:tc>
          <w:tcPr>
            <w:tcW w:w="316" w:type="pct"/>
            <w:vAlign w:val="center"/>
          </w:tcPr>
          <w:p w14:paraId="3A8806F6" w14:textId="77777777" w:rsidR="00776A3E" w:rsidRPr="00EE43C6" w:rsidRDefault="00776A3E" w:rsidP="00CE3B94">
            <w:pPr>
              <w:spacing w:before="0" w:after="0" w:line="240" w:lineRule="auto"/>
              <w:jc w:val="left"/>
              <w:rPr>
                <w:rFonts w:cs="Arial"/>
                <w:b/>
                <w:bCs/>
                <w:sz w:val="18"/>
                <w:szCs w:val="18"/>
              </w:rPr>
            </w:pPr>
            <w:r w:rsidRPr="00EE43C6">
              <w:rPr>
                <w:rFonts w:cs="Arial"/>
                <w:b/>
                <w:bCs/>
                <w:sz w:val="18"/>
                <w:szCs w:val="18"/>
              </w:rPr>
              <w:t>2</w:t>
            </w:r>
          </w:p>
        </w:tc>
        <w:tc>
          <w:tcPr>
            <w:tcW w:w="1816" w:type="pct"/>
            <w:vAlign w:val="center"/>
          </w:tcPr>
          <w:p w14:paraId="0F7FE848" w14:textId="77777777" w:rsidR="00776A3E" w:rsidRPr="00EE43C6" w:rsidRDefault="00776A3E" w:rsidP="00CE3B94">
            <w:pPr>
              <w:spacing w:before="0" w:after="0" w:line="240" w:lineRule="auto"/>
              <w:jc w:val="left"/>
              <w:rPr>
                <w:rFonts w:cs="Arial"/>
                <w:b/>
                <w:bCs/>
                <w:sz w:val="18"/>
                <w:szCs w:val="18"/>
                <w:u w:val="single"/>
              </w:rPr>
            </w:pPr>
            <w:r w:rsidRPr="00EE43C6">
              <w:rPr>
                <w:rFonts w:cs="Arial"/>
                <w:b/>
                <w:bCs/>
                <w:sz w:val="18"/>
                <w:szCs w:val="18"/>
                <w:u w:val="single"/>
              </w:rPr>
              <w:t>Occupational Health and Safety:</w:t>
            </w:r>
          </w:p>
          <w:p w14:paraId="38FECEA0"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Workplace risk management</w:t>
            </w:r>
          </w:p>
          <w:p w14:paraId="22499A02"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Prevention of accidents at work sites</w:t>
            </w:r>
          </w:p>
          <w:p w14:paraId="7CA5F5F2"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Use of Personal Protection Equipment’s (PPEs)</w:t>
            </w:r>
          </w:p>
          <w:p w14:paraId="05D9401A"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 xml:space="preserve">Health and safety standards </w:t>
            </w:r>
          </w:p>
          <w:p w14:paraId="7A7CCA3B"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Hazardous waste management</w:t>
            </w:r>
          </w:p>
          <w:p w14:paraId="206740C2"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Solid and liquid waste management</w:t>
            </w:r>
          </w:p>
          <w:p w14:paraId="342C07C0"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Preparedness and response to emergency situation</w:t>
            </w:r>
          </w:p>
          <w:p w14:paraId="18323036"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Awareness on communicable diseases (i.e. Covid-19, HIV/AIDS etc.)</w:t>
            </w:r>
          </w:p>
        </w:tc>
        <w:tc>
          <w:tcPr>
            <w:tcW w:w="948" w:type="pct"/>
            <w:vAlign w:val="center"/>
          </w:tcPr>
          <w:p w14:paraId="58704AD4" w14:textId="166EC6CC" w:rsidR="00776A3E" w:rsidRPr="00EE43C6" w:rsidRDefault="00776A3E" w:rsidP="00CE3B94">
            <w:pPr>
              <w:spacing w:before="0" w:after="0" w:line="240" w:lineRule="auto"/>
              <w:jc w:val="left"/>
              <w:rPr>
                <w:rFonts w:cs="Arial"/>
                <w:sz w:val="18"/>
                <w:szCs w:val="18"/>
              </w:rPr>
            </w:pPr>
            <w:r w:rsidRPr="00EE43C6">
              <w:rPr>
                <w:rFonts w:cs="Arial"/>
                <w:sz w:val="18"/>
                <w:szCs w:val="18"/>
              </w:rPr>
              <w:t xml:space="preserve">Personnel of the </w:t>
            </w:r>
            <w:r w:rsidR="003C0E49" w:rsidRPr="00EE43C6">
              <w:rPr>
                <w:rFonts w:cs="Arial"/>
                <w:sz w:val="18"/>
                <w:szCs w:val="18"/>
              </w:rPr>
              <w:t>Construction Supervision Consultant</w:t>
            </w:r>
            <w:r w:rsidR="00556BBD" w:rsidRPr="00EE43C6">
              <w:rPr>
                <w:rFonts w:cs="Arial"/>
                <w:sz w:val="18"/>
                <w:szCs w:val="18"/>
              </w:rPr>
              <w:t>**</w:t>
            </w:r>
          </w:p>
          <w:p w14:paraId="66F37E3B" w14:textId="77777777" w:rsidR="00776A3E" w:rsidRPr="00EE43C6" w:rsidRDefault="00776A3E" w:rsidP="00CE3B94">
            <w:pPr>
              <w:spacing w:before="0" w:after="0" w:line="240" w:lineRule="auto"/>
              <w:jc w:val="left"/>
              <w:rPr>
                <w:rFonts w:cs="Arial"/>
                <w:sz w:val="18"/>
                <w:szCs w:val="18"/>
              </w:rPr>
            </w:pPr>
          </w:p>
          <w:p w14:paraId="263E87C2" w14:textId="77777777" w:rsidR="00776A3E" w:rsidRPr="00EE43C6" w:rsidRDefault="00776A3E" w:rsidP="00CE3B94">
            <w:pPr>
              <w:spacing w:before="0" w:after="0" w:line="240" w:lineRule="auto"/>
              <w:jc w:val="left"/>
              <w:rPr>
                <w:rFonts w:cs="Arial"/>
                <w:sz w:val="18"/>
                <w:szCs w:val="18"/>
              </w:rPr>
            </w:pPr>
          </w:p>
          <w:p w14:paraId="47EAEDA6" w14:textId="44770F7D" w:rsidR="00776A3E" w:rsidRPr="00EE43C6" w:rsidRDefault="00776A3E" w:rsidP="00CE3B94">
            <w:pPr>
              <w:spacing w:before="0" w:after="0" w:line="240" w:lineRule="auto"/>
              <w:jc w:val="left"/>
              <w:rPr>
                <w:rFonts w:cs="Arial"/>
                <w:sz w:val="18"/>
                <w:szCs w:val="18"/>
              </w:rPr>
            </w:pPr>
            <w:r w:rsidRPr="00EE43C6">
              <w:rPr>
                <w:rFonts w:cs="Arial"/>
                <w:sz w:val="18"/>
                <w:szCs w:val="18"/>
              </w:rPr>
              <w:t xml:space="preserve">Personnel of </w:t>
            </w:r>
            <w:r w:rsidR="00784690" w:rsidRPr="00EE43C6">
              <w:rPr>
                <w:rFonts w:cs="Arial"/>
                <w:sz w:val="18"/>
                <w:szCs w:val="18"/>
              </w:rPr>
              <w:t>TUIOSB</w:t>
            </w:r>
          </w:p>
        </w:tc>
        <w:tc>
          <w:tcPr>
            <w:tcW w:w="1185" w:type="pct"/>
            <w:vAlign w:val="center"/>
          </w:tcPr>
          <w:p w14:paraId="1AABE0C9" w14:textId="77777777" w:rsidR="00776A3E" w:rsidRPr="00EE43C6" w:rsidRDefault="00776A3E" w:rsidP="00CE3B94">
            <w:pPr>
              <w:spacing w:before="0" w:after="0" w:line="240" w:lineRule="auto"/>
              <w:jc w:val="left"/>
              <w:rPr>
                <w:rFonts w:cs="Arial"/>
                <w:sz w:val="18"/>
                <w:szCs w:val="18"/>
              </w:rPr>
            </w:pPr>
            <w:r w:rsidRPr="00EE43C6">
              <w:rPr>
                <w:rFonts w:cs="Arial"/>
                <w:sz w:val="18"/>
                <w:szCs w:val="18"/>
              </w:rPr>
              <w:t xml:space="preserve">Immediately after award of the contract. </w:t>
            </w:r>
          </w:p>
          <w:p w14:paraId="4EDB2C93" w14:textId="77777777" w:rsidR="00776A3E" w:rsidRPr="00EE43C6" w:rsidRDefault="00776A3E" w:rsidP="00CE3B94">
            <w:pPr>
              <w:spacing w:before="0" w:after="0" w:line="240" w:lineRule="auto"/>
              <w:jc w:val="left"/>
              <w:rPr>
                <w:rFonts w:cs="Arial"/>
                <w:sz w:val="18"/>
                <w:szCs w:val="18"/>
              </w:rPr>
            </w:pPr>
            <w:r w:rsidRPr="00EE43C6">
              <w:rPr>
                <w:rFonts w:cs="Arial"/>
                <w:sz w:val="18"/>
                <w:szCs w:val="18"/>
              </w:rPr>
              <w:t>(2 days)</w:t>
            </w:r>
          </w:p>
        </w:tc>
        <w:tc>
          <w:tcPr>
            <w:tcW w:w="730" w:type="pct"/>
            <w:vAlign w:val="center"/>
          </w:tcPr>
          <w:p w14:paraId="4949EE06" w14:textId="77777777" w:rsidR="00776A3E" w:rsidRPr="00EE43C6" w:rsidRDefault="00776A3E" w:rsidP="00CE3B94">
            <w:pPr>
              <w:spacing w:before="0" w:after="0" w:line="240" w:lineRule="auto"/>
              <w:jc w:val="center"/>
              <w:rPr>
                <w:rFonts w:cs="Arial"/>
                <w:sz w:val="18"/>
                <w:szCs w:val="18"/>
              </w:rPr>
            </w:pPr>
            <w:r w:rsidRPr="00EE43C6">
              <w:rPr>
                <w:rFonts w:cs="Arial"/>
                <w:sz w:val="18"/>
                <w:szCs w:val="18"/>
              </w:rPr>
              <w:t>1,800 Euro*</w:t>
            </w:r>
          </w:p>
        </w:tc>
      </w:tr>
      <w:tr w:rsidR="00776A3E" w:rsidRPr="00EE43C6" w14:paraId="094B4717" w14:textId="77777777" w:rsidTr="2DB09FEA">
        <w:trPr>
          <w:cantSplit/>
          <w:trHeight w:val="284"/>
        </w:trPr>
        <w:tc>
          <w:tcPr>
            <w:tcW w:w="316" w:type="pct"/>
            <w:vAlign w:val="center"/>
          </w:tcPr>
          <w:p w14:paraId="2E08B010" w14:textId="77777777" w:rsidR="00776A3E" w:rsidRPr="00EE43C6" w:rsidRDefault="00776A3E" w:rsidP="00CE3B94">
            <w:pPr>
              <w:spacing w:before="0" w:after="0" w:line="240" w:lineRule="auto"/>
              <w:jc w:val="left"/>
              <w:rPr>
                <w:rFonts w:cs="Arial"/>
                <w:b/>
                <w:bCs/>
                <w:sz w:val="18"/>
                <w:szCs w:val="18"/>
              </w:rPr>
            </w:pPr>
            <w:r w:rsidRPr="00EE43C6">
              <w:rPr>
                <w:rFonts w:cs="Arial"/>
                <w:b/>
                <w:bCs/>
                <w:sz w:val="18"/>
                <w:szCs w:val="18"/>
              </w:rPr>
              <w:lastRenderedPageBreak/>
              <w:t>3</w:t>
            </w:r>
          </w:p>
        </w:tc>
        <w:tc>
          <w:tcPr>
            <w:tcW w:w="1816" w:type="pct"/>
            <w:vAlign w:val="center"/>
          </w:tcPr>
          <w:p w14:paraId="1E572B3C" w14:textId="77777777" w:rsidR="00776A3E" w:rsidRPr="00EE43C6" w:rsidRDefault="00776A3E" w:rsidP="00CE3B94">
            <w:pPr>
              <w:spacing w:before="0" w:after="0" w:line="240" w:lineRule="auto"/>
              <w:jc w:val="left"/>
              <w:rPr>
                <w:rFonts w:cs="Arial"/>
                <w:b/>
                <w:bCs/>
                <w:sz w:val="18"/>
                <w:szCs w:val="18"/>
                <w:u w:val="single"/>
              </w:rPr>
            </w:pPr>
            <w:r w:rsidRPr="00EE43C6">
              <w:rPr>
                <w:rFonts w:cs="Arial"/>
                <w:b/>
                <w:bCs/>
                <w:sz w:val="18"/>
                <w:szCs w:val="18"/>
                <w:u w:val="single"/>
              </w:rPr>
              <w:t>Labour and Working Conditions:</w:t>
            </w:r>
          </w:p>
          <w:p w14:paraId="112252F9"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Implementation of LMP</w:t>
            </w:r>
          </w:p>
          <w:p w14:paraId="6CD5DA72"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Terms and conditions of employment according to national working laws and regulations</w:t>
            </w:r>
          </w:p>
          <w:p w14:paraId="632A25E6"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Contractor and sub-contractor codes of conduct</w:t>
            </w:r>
          </w:p>
          <w:p w14:paraId="62FCC457"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Worker’s organizations</w:t>
            </w:r>
          </w:p>
          <w:p w14:paraId="16052B01" w14:textId="7EB9163D"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 xml:space="preserve">Child </w:t>
            </w:r>
            <w:r w:rsidR="00F64A35" w:rsidRPr="00EE43C6">
              <w:rPr>
                <w:noProof w:val="0"/>
                <w:sz w:val="18"/>
                <w:szCs w:val="18"/>
              </w:rPr>
              <w:t>labour</w:t>
            </w:r>
            <w:r w:rsidRPr="00EE43C6">
              <w:rPr>
                <w:noProof w:val="0"/>
                <w:sz w:val="18"/>
                <w:szCs w:val="18"/>
              </w:rPr>
              <w:t xml:space="preserve"> and forced </w:t>
            </w:r>
            <w:r w:rsidR="00F64A35" w:rsidRPr="00EE43C6">
              <w:rPr>
                <w:noProof w:val="0"/>
                <w:sz w:val="18"/>
                <w:szCs w:val="18"/>
              </w:rPr>
              <w:t>labour</w:t>
            </w:r>
            <w:r w:rsidRPr="00EE43C6">
              <w:rPr>
                <w:noProof w:val="0"/>
                <w:sz w:val="18"/>
                <w:szCs w:val="18"/>
              </w:rPr>
              <w:t xml:space="preserve"> issues</w:t>
            </w:r>
          </w:p>
          <w:p w14:paraId="5F4F8055"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Workers Grievance Mechanism</w:t>
            </w:r>
          </w:p>
        </w:tc>
        <w:tc>
          <w:tcPr>
            <w:tcW w:w="948" w:type="pct"/>
            <w:vAlign w:val="center"/>
          </w:tcPr>
          <w:p w14:paraId="07FB14D9" w14:textId="32CD3C6E" w:rsidR="00776A3E" w:rsidRPr="00EE43C6" w:rsidRDefault="00776A3E" w:rsidP="00CE3B94">
            <w:pPr>
              <w:spacing w:before="0" w:after="0" w:line="240" w:lineRule="auto"/>
              <w:jc w:val="left"/>
              <w:rPr>
                <w:rFonts w:cs="Arial"/>
                <w:sz w:val="18"/>
                <w:szCs w:val="18"/>
              </w:rPr>
            </w:pPr>
            <w:r w:rsidRPr="00EE43C6">
              <w:rPr>
                <w:rFonts w:cs="Arial"/>
                <w:sz w:val="18"/>
                <w:szCs w:val="18"/>
              </w:rPr>
              <w:t xml:space="preserve">Personnel of the </w:t>
            </w:r>
            <w:r w:rsidR="003C0E49" w:rsidRPr="00EE43C6">
              <w:rPr>
                <w:rFonts w:cs="Arial"/>
                <w:sz w:val="18"/>
                <w:szCs w:val="18"/>
              </w:rPr>
              <w:t>Construction Supervision Consultant</w:t>
            </w:r>
            <w:r w:rsidR="00556BBD" w:rsidRPr="00EE43C6">
              <w:rPr>
                <w:rFonts w:cs="Arial"/>
                <w:sz w:val="18"/>
                <w:szCs w:val="18"/>
              </w:rPr>
              <w:t>**</w:t>
            </w:r>
          </w:p>
          <w:p w14:paraId="465B85C0" w14:textId="77777777" w:rsidR="00776A3E" w:rsidRPr="00EE43C6" w:rsidRDefault="00776A3E" w:rsidP="00CE3B94">
            <w:pPr>
              <w:spacing w:before="0" w:after="0" w:line="240" w:lineRule="auto"/>
              <w:jc w:val="left"/>
              <w:rPr>
                <w:rFonts w:cs="Arial"/>
                <w:sz w:val="18"/>
                <w:szCs w:val="18"/>
              </w:rPr>
            </w:pPr>
          </w:p>
          <w:p w14:paraId="2F089820" w14:textId="77777777" w:rsidR="00776A3E" w:rsidRPr="00EE43C6" w:rsidRDefault="00776A3E" w:rsidP="00CE3B94">
            <w:pPr>
              <w:spacing w:before="0" w:after="0" w:line="240" w:lineRule="auto"/>
              <w:jc w:val="left"/>
              <w:rPr>
                <w:rFonts w:cs="Arial"/>
                <w:sz w:val="18"/>
                <w:szCs w:val="18"/>
              </w:rPr>
            </w:pPr>
          </w:p>
          <w:p w14:paraId="77C0DAB0" w14:textId="08E1E3B7" w:rsidR="00776A3E" w:rsidRPr="00EE43C6" w:rsidRDefault="00776A3E" w:rsidP="00CE3B94">
            <w:pPr>
              <w:spacing w:before="0" w:after="0" w:line="240" w:lineRule="auto"/>
              <w:jc w:val="left"/>
              <w:rPr>
                <w:rFonts w:cs="Arial"/>
                <w:sz w:val="18"/>
                <w:szCs w:val="18"/>
              </w:rPr>
            </w:pPr>
            <w:r w:rsidRPr="00EE43C6">
              <w:rPr>
                <w:rFonts w:cs="Arial"/>
                <w:sz w:val="18"/>
                <w:szCs w:val="18"/>
              </w:rPr>
              <w:t xml:space="preserve">Personnel of </w:t>
            </w:r>
            <w:r w:rsidR="00784690" w:rsidRPr="00EE43C6">
              <w:rPr>
                <w:rFonts w:cs="Arial"/>
                <w:sz w:val="18"/>
                <w:szCs w:val="18"/>
              </w:rPr>
              <w:t>TUIOSB</w:t>
            </w:r>
          </w:p>
        </w:tc>
        <w:tc>
          <w:tcPr>
            <w:tcW w:w="1185" w:type="pct"/>
            <w:vAlign w:val="center"/>
          </w:tcPr>
          <w:p w14:paraId="3C9294B0" w14:textId="77777777" w:rsidR="00776A3E" w:rsidRPr="00EE43C6" w:rsidRDefault="00776A3E" w:rsidP="00CE3B94">
            <w:pPr>
              <w:spacing w:before="0" w:after="0" w:line="240" w:lineRule="auto"/>
              <w:jc w:val="left"/>
              <w:rPr>
                <w:rFonts w:cs="Arial"/>
                <w:sz w:val="18"/>
                <w:szCs w:val="18"/>
              </w:rPr>
            </w:pPr>
            <w:r w:rsidRPr="00EE43C6">
              <w:rPr>
                <w:rFonts w:cs="Arial"/>
                <w:sz w:val="18"/>
                <w:szCs w:val="18"/>
              </w:rPr>
              <w:t xml:space="preserve">Immediately after award of the contract. </w:t>
            </w:r>
          </w:p>
          <w:p w14:paraId="5E5EFC6D" w14:textId="77777777" w:rsidR="00776A3E" w:rsidRPr="00EE43C6" w:rsidRDefault="00776A3E" w:rsidP="00CE3B94">
            <w:pPr>
              <w:spacing w:before="0" w:after="0" w:line="240" w:lineRule="auto"/>
              <w:jc w:val="left"/>
              <w:rPr>
                <w:rFonts w:cs="Arial"/>
                <w:sz w:val="18"/>
                <w:szCs w:val="18"/>
              </w:rPr>
            </w:pPr>
            <w:r w:rsidRPr="00EE43C6">
              <w:rPr>
                <w:rFonts w:cs="Arial"/>
                <w:sz w:val="18"/>
                <w:szCs w:val="18"/>
              </w:rPr>
              <w:t>(1 day)</w:t>
            </w:r>
          </w:p>
        </w:tc>
        <w:tc>
          <w:tcPr>
            <w:tcW w:w="730" w:type="pct"/>
            <w:vAlign w:val="center"/>
          </w:tcPr>
          <w:p w14:paraId="7D06CF4A" w14:textId="77777777" w:rsidR="00776A3E" w:rsidRPr="00EE43C6" w:rsidRDefault="00776A3E" w:rsidP="00CE3B94">
            <w:pPr>
              <w:spacing w:before="0" w:after="0" w:line="240" w:lineRule="auto"/>
              <w:jc w:val="center"/>
              <w:rPr>
                <w:rFonts w:cs="Arial"/>
                <w:sz w:val="18"/>
                <w:szCs w:val="18"/>
              </w:rPr>
            </w:pPr>
            <w:r w:rsidRPr="00EE43C6">
              <w:rPr>
                <w:rFonts w:cs="Arial"/>
                <w:sz w:val="18"/>
                <w:szCs w:val="18"/>
              </w:rPr>
              <w:t>800 Euro*</w:t>
            </w:r>
          </w:p>
        </w:tc>
      </w:tr>
      <w:tr w:rsidR="00776A3E" w:rsidRPr="00EE43C6" w14:paraId="2878422A" w14:textId="77777777" w:rsidTr="2DB09FEA">
        <w:trPr>
          <w:cantSplit/>
          <w:trHeight w:val="284"/>
        </w:trPr>
        <w:tc>
          <w:tcPr>
            <w:tcW w:w="316" w:type="pct"/>
            <w:vAlign w:val="center"/>
          </w:tcPr>
          <w:p w14:paraId="27F304EA" w14:textId="77777777" w:rsidR="00776A3E" w:rsidRPr="00EE43C6" w:rsidRDefault="00776A3E" w:rsidP="00CE3B94">
            <w:pPr>
              <w:spacing w:before="0" w:after="0" w:line="240" w:lineRule="auto"/>
              <w:jc w:val="left"/>
              <w:rPr>
                <w:rFonts w:cs="Arial"/>
                <w:b/>
                <w:bCs/>
                <w:sz w:val="18"/>
                <w:szCs w:val="18"/>
              </w:rPr>
            </w:pPr>
            <w:r w:rsidRPr="00EE43C6">
              <w:rPr>
                <w:rFonts w:cs="Arial"/>
                <w:b/>
                <w:bCs/>
                <w:sz w:val="18"/>
                <w:szCs w:val="18"/>
              </w:rPr>
              <w:t>4</w:t>
            </w:r>
          </w:p>
        </w:tc>
        <w:tc>
          <w:tcPr>
            <w:tcW w:w="1816" w:type="pct"/>
            <w:vAlign w:val="center"/>
          </w:tcPr>
          <w:p w14:paraId="31104A65" w14:textId="0FFD4989" w:rsidR="00776A3E" w:rsidRPr="00EE43C6" w:rsidRDefault="004E2D51" w:rsidP="00CE3B94">
            <w:pPr>
              <w:spacing w:before="0" w:after="0" w:line="240" w:lineRule="auto"/>
              <w:jc w:val="left"/>
              <w:rPr>
                <w:rFonts w:cs="Arial"/>
                <w:b/>
                <w:bCs/>
                <w:sz w:val="18"/>
                <w:szCs w:val="18"/>
                <w:u w:val="single"/>
              </w:rPr>
            </w:pPr>
            <w:r>
              <w:rPr>
                <w:rFonts w:cs="Arial"/>
                <w:b/>
                <w:bCs/>
                <w:sz w:val="18"/>
                <w:szCs w:val="18"/>
                <w:u w:val="single"/>
              </w:rPr>
              <w:t xml:space="preserve">Public </w:t>
            </w:r>
            <w:r w:rsidR="00776A3E" w:rsidRPr="3C3DFBEF">
              <w:rPr>
                <w:rFonts w:cs="Arial"/>
                <w:b/>
                <w:bCs/>
                <w:sz w:val="18"/>
                <w:szCs w:val="18"/>
                <w:u w:val="single"/>
              </w:rPr>
              <w:t>Grievance Mechanism</w:t>
            </w:r>
            <w:r w:rsidR="6EB1908D" w:rsidRPr="3C3DFBEF">
              <w:rPr>
                <w:rFonts w:cs="Arial"/>
                <w:b/>
                <w:bCs/>
                <w:sz w:val="18"/>
                <w:szCs w:val="18"/>
                <w:u w:val="single"/>
              </w:rPr>
              <w:t>s</w:t>
            </w:r>
            <w:r w:rsidR="00776A3E" w:rsidRPr="3C3DFBEF">
              <w:rPr>
                <w:rFonts w:cs="Arial"/>
                <w:b/>
                <w:bCs/>
                <w:sz w:val="18"/>
                <w:szCs w:val="18"/>
                <w:u w:val="single"/>
              </w:rPr>
              <w:t>:</w:t>
            </w:r>
          </w:p>
          <w:p w14:paraId="5902BFCF" w14:textId="63DA88C1" w:rsidR="00776A3E" w:rsidRPr="00EE43C6" w:rsidRDefault="00776A3E" w:rsidP="3C3DFBEF">
            <w:pPr>
              <w:pStyle w:val="ListParagraph"/>
              <w:numPr>
                <w:ilvl w:val="0"/>
                <w:numId w:val="21"/>
              </w:numPr>
              <w:spacing w:before="60" w:after="60" w:line="240" w:lineRule="auto"/>
              <w:ind w:left="250" w:hanging="284"/>
              <w:jc w:val="left"/>
              <w:rPr>
                <w:noProof w:val="0"/>
                <w:sz w:val="18"/>
                <w:szCs w:val="18"/>
              </w:rPr>
            </w:pPr>
            <w:r w:rsidRPr="3C3DFBEF">
              <w:rPr>
                <w:noProof w:val="0"/>
                <w:sz w:val="18"/>
                <w:szCs w:val="18"/>
              </w:rPr>
              <w:t xml:space="preserve">Implementation of GM </w:t>
            </w:r>
          </w:p>
          <w:p w14:paraId="59854E1A"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Registration and processing procedure</w:t>
            </w:r>
          </w:p>
          <w:p w14:paraId="6A12167B"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 xml:space="preserve">Grievance procedure </w:t>
            </w:r>
          </w:p>
          <w:p w14:paraId="52F5611F" w14:textId="77777777" w:rsidR="00776A3E" w:rsidRPr="00EE43C6" w:rsidRDefault="00776A3E" w:rsidP="00854BE8">
            <w:pPr>
              <w:pStyle w:val="ListParagraph"/>
              <w:numPr>
                <w:ilvl w:val="0"/>
                <w:numId w:val="21"/>
              </w:numPr>
              <w:spacing w:before="60" w:after="60" w:line="240" w:lineRule="auto"/>
              <w:ind w:left="250" w:hanging="284"/>
              <w:contextualSpacing w:val="0"/>
              <w:jc w:val="left"/>
              <w:rPr>
                <w:noProof w:val="0"/>
                <w:sz w:val="18"/>
                <w:szCs w:val="18"/>
              </w:rPr>
            </w:pPr>
            <w:r w:rsidRPr="00EE43C6">
              <w:rPr>
                <w:noProof w:val="0"/>
                <w:sz w:val="18"/>
                <w:szCs w:val="18"/>
              </w:rPr>
              <w:t>Documenting and processing grievances</w:t>
            </w:r>
          </w:p>
        </w:tc>
        <w:tc>
          <w:tcPr>
            <w:tcW w:w="948" w:type="pct"/>
            <w:vAlign w:val="center"/>
          </w:tcPr>
          <w:p w14:paraId="3518B145" w14:textId="364B6575" w:rsidR="00776A3E" w:rsidRPr="00EE43C6" w:rsidRDefault="00776A3E" w:rsidP="00CE3B94">
            <w:pPr>
              <w:spacing w:before="0" w:after="0" w:line="240" w:lineRule="auto"/>
              <w:jc w:val="left"/>
              <w:rPr>
                <w:rFonts w:cs="Arial"/>
                <w:sz w:val="18"/>
                <w:szCs w:val="18"/>
              </w:rPr>
            </w:pPr>
            <w:r w:rsidRPr="00EE43C6">
              <w:rPr>
                <w:rFonts w:cs="Arial"/>
                <w:sz w:val="18"/>
                <w:szCs w:val="18"/>
              </w:rPr>
              <w:t xml:space="preserve">Personnel of the </w:t>
            </w:r>
            <w:r w:rsidR="003C0E49" w:rsidRPr="00EE43C6">
              <w:rPr>
                <w:rFonts w:cs="Arial"/>
                <w:sz w:val="18"/>
                <w:szCs w:val="18"/>
              </w:rPr>
              <w:t>Construction Supervision Consultant</w:t>
            </w:r>
            <w:r w:rsidR="00556BBD" w:rsidRPr="00EE43C6">
              <w:rPr>
                <w:rFonts w:cs="Arial"/>
                <w:sz w:val="18"/>
                <w:szCs w:val="18"/>
              </w:rPr>
              <w:t>**</w:t>
            </w:r>
          </w:p>
        </w:tc>
        <w:tc>
          <w:tcPr>
            <w:tcW w:w="1185" w:type="pct"/>
            <w:vAlign w:val="center"/>
          </w:tcPr>
          <w:p w14:paraId="0F558434" w14:textId="77777777" w:rsidR="00776A3E" w:rsidRPr="00EE43C6" w:rsidRDefault="00776A3E" w:rsidP="00CE3B94">
            <w:pPr>
              <w:spacing w:before="0" w:after="0" w:line="240" w:lineRule="auto"/>
              <w:jc w:val="left"/>
              <w:rPr>
                <w:rFonts w:cs="Arial"/>
                <w:sz w:val="18"/>
                <w:szCs w:val="18"/>
              </w:rPr>
            </w:pPr>
            <w:r w:rsidRPr="00EE43C6">
              <w:rPr>
                <w:rFonts w:cs="Arial"/>
                <w:sz w:val="18"/>
                <w:szCs w:val="18"/>
              </w:rPr>
              <w:t xml:space="preserve">Immediately after award of the contract. </w:t>
            </w:r>
          </w:p>
          <w:p w14:paraId="5EBD7417" w14:textId="77777777" w:rsidR="00776A3E" w:rsidRPr="00EE43C6" w:rsidRDefault="00776A3E" w:rsidP="00CE3B94">
            <w:pPr>
              <w:spacing w:before="0" w:after="0" w:line="240" w:lineRule="auto"/>
              <w:jc w:val="left"/>
              <w:rPr>
                <w:rFonts w:cs="Arial"/>
                <w:sz w:val="18"/>
                <w:szCs w:val="18"/>
              </w:rPr>
            </w:pPr>
            <w:r w:rsidRPr="00EE43C6">
              <w:rPr>
                <w:rFonts w:cs="Arial"/>
                <w:sz w:val="18"/>
                <w:szCs w:val="18"/>
              </w:rPr>
              <w:t>(1 day)</w:t>
            </w:r>
          </w:p>
        </w:tc>
        <w:tc>
          <w:tcPr>
            <w:tcW w:w="730" w:type="pct"/>
            <w:vAlign w:val="center"/>
          </w:tcPr>
          <w:p w14:paraId="251B6ED9" w14:textId="2CA46433" w:rsidR="00776A3E" w:rsidRPr="00EE43C6" w:rsidRDefault="001F1656" w:rsidP="00CE3B94">
            <w:pPr>
              <w:spacing w:before="0" w:after="0" w:line="240" w:lineRule="auto"/>
              <w:jc w:val="center"/>
              <w:rPr>
                <w:rFonts w:cs="Arial"/>
                <w:sz w:val="18"/>
                <w:szCs w:val="18"/>
              </w:rPr>
            </w:pPr>
            <w:r>
              <w:rPr>
                <w:rFonts w:cs="Arial"/>
                <w:sz w:val="18"/>
                <w:szCs w:val="18"/>
              </w:rPr>
              <w:t>300</w:t>
            </w:r>
            <w:r w:rsidR="00776A3E" w:rsidRPr="00EE43C6">
              <w:rPr>
                <w:rFonts w:cs="Arial"/>
                <w:sz w:val="18"/>
                <w:szCs w:val="18"/>
              </w:rPr>
              <w:t xml:space="preserve"> Euro*</w:t>
            </w:r>
          </w:p>
        </w:tc>
      </w:tr>
      <w:tr w:rsidR="00D814B9" w:rsidRPr="00EE43C6" w14:paraId="3833C651" w14:textId="77777777" w:rsidTr="2DB09FEA">
        <w:trPr>
          <w:cantSplit/>
          <w:trHeight w:val="284"/>
        </w:trPr>
        <w:tc>
          <w:tcPr>
            <w:tcW w:w="316" w:type="pct"/>
            <w:vAlign w:val="center"/>
          </w:tcPr>
          <w:p w14:paraId="24CB7D96" w14:textId="485B6215" w:rsidR="004E2D51" w:rsidRPr="00EE43C6" w:rsidRDefault="004E2D51" w:rsidP="00CE3B94">
            <w:pPr>
              <w:spacing w:before="0" w:after="0" w:line="240" w:lineRule="auto"/>
              <w:jc w:val="left"/>
              <w:rPr>
                <w:rFonts w:cs="Arial"/>
                <w:b/>
                <w:bCs/>
                <w:sz w:val="18"/>
                <w:szCs w:val="18"/>
              </w:rPr>
            </w:pPr>
            <w:r>
              <w:rPr>
                <w:rFonts w:cs="Arial"/>
                <w:b/>
                <w:bCs/>
                <w:sz w:val="18"/>
                <w:szCs w:val="18"/>
              </w:rPr>
              <w:t>5</w:t>
            </w:r>
          </w:p>
        </w:tc>
        <w:tc>
          <w:tcPr>
            <w:tcW w:w="1816" w:type="pct"/>
            <w:vAlign w:val="center"/>
          </w:tcPr>
          <w:p w14:paraId="0A72D8D2" w14:textId="77777777" w:rsidR="004E2D51" w:rsidRDefault="004E2D51" w:rsidP="00CE3B94">
            <w:pPr>
              <w:spacing w:before="0" w:after="0" w:line="240" w:lineRule="auto"/>
              <w:jc w:val="left"/>
              <w:rPr>
                <w:rFonts w:cs="Arial"/>
                <w:b/>
                <w:bCs/>
                <w:sz w:val="18"/>
                <w:szCs w:val="18"/>
                <w:u w:val="single"/>
              </w:rPr>
            </w:pPr>
            <w:r>
              <w:rPr>
                <w:rFonts w:cs="Arial"/>
                <w:b/>
                <w:bCs/>
                <w:sz w:val="18"/>
                <w:szCs w:val="18"/>
                <w:u w:val="single"/>
              </w:rPr>
              <w:t>Worker</w:t>
            </w:r>
            <w:r w:rsidR="00BD2FB7">
              <w:rPr>
                <w:rFonts w:cs="Arial"/>
                <w:b/>
                <w:bCs/>
                <w:sz w:val="18"/>
                <w:szCs w:val="18"/>
                <w:u w:val="single"/>
              </w:rPr>
              <w:t xml:space="preserve"> Grievance </w:t>
            </w:r>
            <w:r w:rsidR="00FE65E7">
              <w:rPr>
                <w:rFonts w:cs="Arial"/>
                <w:b/>
                <w:bCs/>
                <w:sz w:val="18"/>
                <w:szCs w:val="18"/>
                <w:u w:val="single"/>
              </w:rPr>
              <w:t>Mechanism</w:t>
            </w:r>
          </w:p>
          <w:p w14:paraId="3051FCFF" w14:textId="77777777" w:rsidR="001A4CBE" w:rsidRPr="00EE43C6" w:rsidRDefault="001A4CBE" w:rsidP="001A4CBE">
            <w:pPr>
              <w:pStyle w:val="ListParagraph"/>
              <w:numPr>
                <w:ilvl w:val="0"/>
                <w:numId w:val="21"/>
              </w:numPr>
              <w:spacing w:before="60" w:after="60" w:line="240" w:lineRule="auto"/>
              <w:ind w:left="250" w:hanging="284"/>
              <w:jc w:val="left"/>
              <w:rPr>
                <w:noProof w:val="0"/>
                <w:sz w:val="18"/>
                <w:szCs w:val="18"/>
              </w:rPr>
            </w:pPr>
            <w:r w:rsidRPr="3C3DFBEF">
              <w:rPr>
                <w:noProof w:val="0"/>
                <w:sz w:val="18"/>
                <w:szCs w:val="18"/>
              </w:rPr>
              <w:t xml:space="preserve">Implementation of GM </w:t>
            </w:r>
          </w:p>
          <w:p w14:paraId="54638F96" w14:textId="77777777" w:rsidR="001A4CBE" w:rsidRPr="00EE43C6" w:rsidRDefault="001A4CBE" w:rsidP="001A4CBE">
            <w:pPr>
              <w:pStyle w:val="ListParagraph"/>
              <w:numPr>
                <w:ilvl w:val="0"/>
                <w:numId w:val="21"/>
              </w:numPr>
              <w:spacing w:before="60" w:after="60" w:line="240" w:lineRule="auto"/>
              <w:ind w:left="250" w:hanging="284"/>
              <w:jc w:val="left"/>
              <w:rPr>
                <w:noProof w:val="0"/>
                <w:sz w:val="18"/>
                <w:szCs w:val="18"/>
              </w:rPr>
            </w:pPr>
            <w:r w:rsidRPr="00EE43C6">
              <w:rPr>
                <w:noProof w:val="0"/>
                <w:sz w:val="18"/>
                <w:szCs w:val="18"/>
              </w:rPr>
              <w:t>Registration and processing procedure</w:t>
            </w:r>
          </w:p>
          <w:p w14:paraId="0A885C3D" w14:textId="77777777" w:rsidR="001A4CBE" w:rsidRPr="00EE43C6" w:rsidRDefault="001A4CBE" w:rsidP="001A4CBE">
            <w:pPr>
              <w:pStyle w:val="ListParagraph"/>
              <w:numPr>
                <w:ilvl w:val="0"/>
                <w:numId w:val="21"/>
              </w:numPr>
              <w:spacing w:before="60" w:after="60" w:line="240" w:lineRule="auto"/>
              <w:ind w:left="250" w:hanging="284"/>
              <w:jc w:val="left"/>
              <w:rPr>
                <w:noProof w:val="0"/>
                <w:sz w:val="18"/>
                <w:szCs w:val="18"/>
              </w:rPr>
            </w:pPr>
            <w:r w:rsidRPr="00EE43C6">
              <w:rPr>
                <w:noProof w:val="0"/>
                <w:sz w:val="18"/>
                <w:szCs w:val="18"/>
              </w:rPr>
              <w:t xml:space="preserve">Grievance procedure </w:t>
            </w:r>
          </w:p>
          <w:p w14:paraId="2D9DA295" w14:textId="08982758" w:rsidR="001F1656" w:rsidRPr="00076380" w:rsidRDefault="001A4CBE" w:rsidP="00076380">
            <w:pPr>
              <w:pStyle w:val="ListParagraph"/>
              <w:numPr>
                <w:ilvl w:val="0"/>
                <w:numId w:val="21"/>
              </w:numPr>
              <w:spacing w:before="60" w:after="60" w:line="240" w:lineRule="auto"/>
              <w:ind w:left="250" w:hanging="284"/>
              <w:jc w:val="left"/>
              <w:rPr>
                <w:noProof w:val="0"/>
                <w:sz w:val="18"/>
                <w:szCs w:val="18"/>
              </w:rPr>
            </w:pPr>
            <w:r w:rsidRPr="00EE43C6">
              <w:rPr>
                <w:noProof w:val="0"/>
                <w:sz w:val="18"/>
                <w:szCs w:val="18"/>
              </w:rPr>
              <w:t>Documenting and processing grievances</w:t>
            </w:r>
          </w:p>
        </w:tc>
        <w:tc>
          <w:tcPr>
            <w:tcW w:w="948" w:type="pct"/>
            <w:vAlign w:val="center"/>
          </w:tcPr>
          <w:p w14:paraId="137305B9" w14:textId="05160FDB" w:rsidR="004E2D51" w:rsidRPr="00EE43C6" w:rsidRDefault="007D5B10" w:rsidP="00CE3B94">
            <w:pPr>
              <w:spacing w:before="0" w:after="0" w:line="240" w:lineRule="auto"/>
              <w:jc w:val="left"/>
              <w:rPr>
                <w:rFonts w:cs="Arial"/>
                <w:sz w:val="18"/>
                <w:szCs w:val="18"/>
              </w:rPr>
            </w:pPr>
            <w:r w:rsidRPr="00EE43C6">
              <w:rPr>
                <w:rFonts w:cs="Arial"/>
                <w:sz w:val="18"/>
                <w:szCs w:val="18"/>
              </w:rPr>
              <w:t>Personnel of the Construction Supervision Consultant**</w:t>
            </w:r>
          </w:p>
        </w:tc>
        <w:tc>
          <w:tcPr>
            <w:tcW w:w="1185" w:type="pct"/>
            <w:vAlign w:val="center"/>
          </w:tcPr>
          <w:p w14:paraId="1DFA86BC" w14:textId="77777777" w:rsidR="007D5B10" w:rsidRPr="00EE43C6" w:rsidRDefault="007D5B10" w:rsidP="007D5B10">
            <w:pPr>
              <w:spacing w:before="0" w:after="0" w:line="240" w:lineRule="auto"/>
              <w:jc w:val="left"/>
              <w:rPr>
                <w:rFonts w:cs="Arial"/>
                <w:sz w:val="18"/>
                <w:szCs w:val="18"/>
              </w:rPr>
            </w:pPr>
            <w:r w:rsidRPr="00EE43C6">
              <w:rPr>
                <w:rFonts w:cs="Arial"/>
                <w:sz w:val="18"/>
                <w:szCs w:val="18"/>
              </w:rPr>
              <w:t xml:space="preserve">Immediately after award of the contract. </w:t>
            </w:r>
          </w:p>
          <w:p w14:paraId="3EAF4AA5" w14:textId="2F0F9557" w:rsidR="004E2D51" w:rsidRPr="00EE43C6" w:rsidRDefault="007D5B10" w:rsidP="007D5B10">
            <w:pPr>
              <w:spacing w:before="0" w:after="0" w:line="240" w:lineRule="auto"/>
              <w:jc w:val="left"/>
              <w:rPr>
                <w:rFonts w:cs="Arial"/>
                <w:sz w:val="18"/>
                <w:szCs w:val="18"/>
              </w:rPr>
            </w:pPr>
            <w:r w:rsidRPr="00EE43C6">
              <w:rPr>
                <w:rFonts w:cs="Arial"/>
                <w:sz w:val="18"/>
                <w:szCs w:val="18"/>
              </w:rPr>
              <w:t>(1 day)</w:t>
            </w:r>
          </w:p>
        </w:tc>
        <w:tc>
          <w:tcPr>
            <w:tcW w:w="730" w:type="pct"/>
            <w:vAlign w:val="center"/>
          </w:tcPr>
          <w:p w14:paraId="65CF7DDF" w14:textId="1E4B388A" w:rsidR="001F1656" w:rsidRPr="00EE43C6" w:rsidRDefault="00E33B7D" w:rsidP="00CD0ED3">
            <w:pPr>
              <w:spacing w:before="0" w:after="0" w:line="240" w:lineRule="auto"/>
              <w:jc w:val="center"/>
              <w:rPr>
                <w:rFonts w:cs="Arial"/>
                <w:sz w:val="18"/>
                <w:szCs w:val="18"/>
              </w:rPr>
            </w:pPr>
            <w:r>
              <w:rPr>
                <w:rFonts w:cs="Arial"/>
                <w:sz w:val="18"/>
                <w:szCs w:val="18"/>
              </w:rPr>
              <w:t>300</w:t>
            </w:r>
            <w:r w:rsidRPr="00EE43C6">
              <w:rPr>
                <w:rFonts w:cs="Arial"/>
                <w:sz w:val="18"/>
                <w:szCs w:val="18"/>
              </w:rPr>
              <w:t xml:space="preserve"> Euro</w:t>
            </w:r>
            <w:r w:rsidR="00D70BDE" w:rsidRPr="00EE43C6">
              <w:rPr>
                <w:rFonts w:cs="Arial"/>
                <w:sz w:val="18"/>
                <w:szCs w:val="18"/>
              </w:rPr>
              <w:t>*</w:t>
            </w:r>
          </w:p>
        </w:tc>
      </w:tr>
      <w:tr w:rsidR="00776A3E" w:rsidRPr="00EE43C6" w14:paraId="4DCFE0E0" w14:textId="77777777" w:rsidTr="2DB09FEA">
        <w:trPr>
          <w:cantSplit/>
          <w:trHeight w:val="284"/>
        </w:trPr>
        <w:tc>
          <w:tcPr>
            <w:tcW w:w="4270" w:type="pct"/>
            <w:gridSpan w:val="4"/>
            <w:vAlign w:val="center"/>
          </w:tcPr>
          <w:p w14:paraId="288F1C1A" w14:textId="77777777" w:rsidR="00776A3E" w:rsidRPr="00EE43C6" w:rsidRDefault="00776A3E" w:rsidP="00CE3B94">
            <w:pPr>
              <w:spacing w:before="0" w:after="0" w:line="240" w:lineRule="auto"/>
              <w:jc w:val="right"/>
              <w:rPr>
                <w:rFonts w:cs="Arial"/>
                <w:b/>
                <w:bCs/>
                <w:sz w:val="18"/>
                <w:szCs w:val="18"/>
              </w:rPr>
            </w:pPr>
            <w:r w:rsidRPr="00EE43C6">
              <w:rPr>
                <w:rFonts w:cs="Arial"/>
                <w:b/>
                <w:bCs/>
                <w:sz w:val="18"/>
                <w:szCs w:val="18"/>
              </w:rPr>
              <w:t>Total:</w:t>
            </w:r>
          </w:p>
        </w:tc>
        <w:tc>
          <w:tcPr>
            <w:tcW w:w="730" w:type="pct"/>
            <w:vAlign w:val="center"/>
          </w:tcPr>
          <w:p w14:paraId="1535D8EE" w14:textId="77777777" w:rsidR="00776A3E" w:rsidRPr="00EE43C6" w:rsidRDefault="00776A3E" w:rsidP="00CE3B94">
            <w:pPr>
              <w:spacing w:before="0" w:after="0" w:line="240" w:lineRule="auto"/>
              <w:jc w:val="center"/>
              <w:rPr>
                <w:rFonts w:cs="Arial"/>
                <w:b/>
                <w:bCs/>
                <w:sz w:val="18"/>
                <w:szCs w:val="18"/>
              </w:rPr>
            </w:pPr>
            <w:r w:rsidRPr="00EE43C6">
              <w:rPr>
                <w:rFonts w:cs="Arial"/>
                <w:b/>
                <w:bCs/>
                <w:sz w:val="18"/>
                <w:szCs w:val="18"/>
              </w:rPr>
              <w:t>6,700 Euro*</w:t>
            </w:r>
          </w:p>
        </w:tc>
      </w:tr>
    </w:tbl>
    <w:p w14:paraId="640DE686" w14:textId="56B1FAF7" w:rsidR="004339AC" w:rsidRPr="00EE43C6" w:rsidRDefault="00776A3E" w:rsidP="00B747EE">
      <w:pPr>
        <w:spacing w:before="0" w:after="60"/>
        <w:rPr>
          <w:rFonts w:cs="MS Gothic"/>
          <w:i/>
          <w:iCs/>
          <w:sz w:val="16"/>
          <w:szCs w:val="18"/>
        </w:rPr>
      </w:pPr>
      <w:r w:rsidRPr="00EE43C6">
        <w:rPr>
          <w:rFonts w:cs="MS Gothic"/>
          <w:i/>
          <w:iCs/>
          <w:sz w:val="16"/>
          <w:szCs w:val="18"/>
        </w:rPr>
        <w:t>*Including transportation and accommodation costs.</w:t>
      </w:r>
    </w:p>
    <w:p w14:paraId="04F5C647" w14:textId="36772FE0" w:rsidR="00556BBD" w:rsidRPr="00EE43C6" w:rsidRDefault="00556BBD" w:rsidP="00994B36">
      <w:pPr>
        <w:spacing w:before="0" w:after="60"/>
        <w:rPr>
          <w:rFonts w:cs="MS Gothic"/>
          <w:i/>
          <w:iCs/>
          <w:sz w:val="16"/>
          <w:szCs w:val="18"/>
        </w:rPr>
      </w:pPr>
      <w:r w:rsidRPr="00EE43C6">
        <w:rPr>
          <w:rFonts w:cs="MS Gothic"/>
          <w:i/>
          <w:iCs/>
          <w:sz w:val="16"/>
          <w:szCs w:val="18"/>
        </w:rPr>
        <w:t>**</w:t>
      </w:r>
      <w:r w:rsidR="007A65FD" w:rsidRPr="00EE43C6">
        <w:rPr>
          <w:rFonts w:cs="MS Gothic"/>
          <w:i/>
          <w:iCs/>
          <w:sz w:val="16"/>
          <w:szCs w:val="18"/>
        </w:rPr>
        <w:t>After the Contract with the construction contractor is signed, the construction supervision consultant will give this training to the construction contractor before commencement of construction activities.</w:t>
      </w:r>
    </w:p>
    <w:p w14:paraId="0AA43109" w14:textId="5CCFB8B9" w:rsidR="00AF19AE" w:rsidRPr="00EE43C6" w:rsidRDefault="00267CE1" w:rsidP="00F91207">
      <w:pPr>
        <w:spacing w:before="0"/>
        <w:rPr>
          <w:rFonts w:cs="MS Gothic"/>
          <w:i/>
          <w:iCs/>
          <w:sz w:val="16"/>
          <w:szCs w:val="18"/>
        </w:rPr>
      </w:pPr>
      <w:r>
        <w:rPr>
          <w:rFonts w:cs="MS Gothic"/>
          <w:i/>
          <w:iCs/>
          <w:sz w:val="16"/>
          <w:szCs w:val="18"/>
        </w:rPr>
        <w:t>***</w:t>
      </w:r>
      <w:r w:rsidR="00AF19AE">
        <w:rPr>
          <w:rFonts w:cs="MS Gothic"/>
          <w:i/>
          <w:iCs/>
          <w:sz w:val="16"/>
          <w:szCs w:val="18"/>
        </w:rPr>
        <w:t xml:space="preserve">Costs are indicative and </w:t>
      </w:r>
      <w:r w:rsidR="00C27B29">
        <w:rPr>
          <w:rFonts w:cs="MS Gothic"/>
          <w:i/>
          <w:iCs/>
          <w:sz w:val="16"/>
          <w:szCs w:val="18"/>
        </w:rPr>
        <w:t>may</w:t>
      </w:r>
      <w:r w:rsidR="00AD1FAE">
        <w:rPr>
          <w:rFonts w:cs="MS Gothic"/>
          <w:i/>
          <w:iCs/>
          <w:sz w:val="16"/>
          <w:szCs w:val="18"/>
        </w:rPr>
        <w:t xml:space="preserve"> </w:t>
      </w:r>
      <w:r w:rsidR="00DA558D">
        <w:rPr>
          <w:rFonts w:cs="MS Gothic"/>
          <w:i/>
          <w:iCs/>
          <w:sz w:val="16"/>
          <w:szCs w:val="18"/>
        </w:rPr>
        <w:t xml:space="preserve">change </w:t>
      </w:r>
      <w:r w:rsidR="00F4660A" w:rsidRPr="00F4660A">
        <w:rPr>
          <w:rFonts w:cs="MS Gothic"/>
          <w:i/>
          <w:iCs/>
          <w:sz w:val="16"/>
          <w:szCs w:val="18"/>
        </w:rPr>
        <w:t>during</w:t>
      </w:r>
      <w:r w:rsidR="00DA558D">
        <w:rPr>
          <w:rFonts w:cs="MS Gothic"/>
          <w:i/>
          <w:iCs/>
          <w:sz w:val="16"/>
          <w:szCs w:val="18"/>
        </w:rPr>
        <w:t xml:space="preserve"> the </w:t>
      </w:r>
      <w:r w:rsidR="00F4660A" w:rsidRPr="00F4660A">
        <w:rPr>
          <w:rFonts w:cs="MS Gothic"/>
          <w:i/>
          <w:iCs/>
          <w:sz w:val="16"/>
          <w:szCs w:val="18"/>
        </w:rPr>
        <w:t>tendering process</w:t>
      </w:r>
      <w:r w:rsidR="0079104B">
        <w:rPr>
          <w:rFonts w:cs="MS Gothic"/>
          <w:i/>
          <w:iCs/>
          <w:sz w:val="16"/>
          <w:szCs w:val="18"/>
        </w:rPr>
        <w:t>.</w:t>
      </w:r>
    </w:p>
    <w:p w14:paraId="04519027" w14:textId="0D1150E7" w:rsidR="004339AC" w:rsidRPr="00EE43C6" w:rsidRDefault="00044BC4" w:rsidP="00132E74">
      <w:pPr>
        <w:pStyle w:val="Heading1"/>
        <w:ind w:left="426"/>
        <w:rPr>
          <w:noProof w:val="0"/>
          <w:lang w:val="en-GB"/>
        </w:rPr>
      </w:pPr>
      <w:bookmarkStart w:id="65" w:name="_Toc80633515"/>
      <w:bookmarkStart w:id="66" w:name="_Toc120004664"/>
      <w:bookmarkStart w:id="67" w:name="_Toc120016886"/>
      <w:bookmarkStart w:id="68" w:name="_Toc141445392"/>
      <w:r w:rsidRPr="00EE43C6">
        <w:rPr>
          <w:caps/>
          <w:noProof w:val="0"/>
          <w:lang w:val="en-GB"/>
        </w:rPr>
        <w:lastRenderedPageBreak/>
        <w:t xml:space="preserve">PROJECT </w:t>
      </w:r>
      <w:r w:rsidRPr="00EE43C6">
        <w:rPr>
          <w:noProof w:val="0"/>
          <w:lang w:val="en-GB"/>
        </w:rPr>
        <w:t>DESCRIPTION</w:t>
      </w:r>
      <w:bookmarkEnd w:id="65"/>
      <w:bookmarkEnd w:id="66"/>
      <w:bookmarkEnd w:id="67"/>
      <w:bookmarkEnd w:id="68"/>
    </w:p>
    <w:p w14:paraId="4813EA1B" w14:textId="77777777" w:rsidR="004339AC" w:rsidRPr="00EE43C6" w:rsidRDefault="004339AC" w:rsidP="005B5CD4">
      <w:pPr>
        <w:pStyle w:val="Heading2"/>
        <w:rPr>
          <w:lang w:val="en-GB"/>
        </w:rPr>
      </w:pPr>
      <w:bookmarkStart w:id="69" w:name="_Toc80633516"/>
      <w:bookmarkStart w:id="70" w:name="_Toc120016887"/>
      <w:bookmarkStart w:id="71" w:name="_Toc120004665"/>
      <w:bookmarkStart w:id="72" w:name="_Toc141445393"/>
      <w:r w:rsidRPr="00EE43C6">
        <w:rPr>
          <w:lang w:val="en-GB"/>
        </w:rPr>
        <w:t>Project Location</w:t>
      </w:r>
      <w:bookmarkEnd w:id="69"/>
      <w:bookmarkEnd w:id="70"/>
      <w:bookmarkEnd w:id="71"/>
      <w:bookmarkEnd w:id="72"/>
    </w:p>
    <w:p w14:paraId="19037FD1" w14:textId="29FCB36D" w:rsidR="00C838DE" w:rsidRPr="00EE43C6" w:rsidRDefault="008713A9" w:rsidP="5F58EB95">
      <w:pPr>
        <w:spacing w:after="120"/>
        <w:rPr>
          <w:rFonts w:eastAsiaTheme="minorEastAsia"/>
          <w:lang w:eastAsia="en-US"/>
        </w:rPr>
      </w:pPr>
      <w:r w:rsidRPr="5F58EB95">
        <w:rPr>
          <w:rFonts w:eastAsiaTheme="minorEastAsia"/>
          <w:lang w:eastAsia="en-US"/>
        </w:rPr>
        <w:t xml:space="preserve">The Project is planned to be established by the TUIOSB at </w:t>
      </w:r>
      <w:r w:rsidR="00DB45C4" w:rsidRPr="5F58EB95">
        <w:rPr>
          <w:rFonts w:eastAsiaTheme="minorEastAsia"/>
          <w:lang w:eastAsia="en-US"/>
        </w:rPr>
        <w:t xml:space="preserve">Mersin Province, Tarsus District, Kurbanlı </w:t>
      </w:r>
      <w:r w:rsidR="00B81B41" w:rsidRPr="5F58EB95">
        <w:rPr>
          <w:rFonts w:eastAsiaTheme="minorEastAsia"/>
          <w:lang w:eastAsia="en-US"/>
        </w:rPr>
        <w:t xml:space="preserve">and Eskişehir </w:t>
      </w:r>
      <w:r w:rsidR="00E72295" w:rsidRPr="5F58EB95">
        <w:rPr>
          <w:rFonts w:eastAsiaTheme="minorEastAsia"/>
          <w:lang w:eastAsia="en-US"/>
        </w:rPr>
        <w:t>Neighbourhoods</w:t>
      </w:r>
      <w:r w:rsidR="00DB45C4" w:rsidRPr="5F58EB95">
        <w:rPr>
          <w:rFonts w:eastAsiaTheme="minorEastAsia"/>
          <w:lang w:eastAsia="en-US"/>
        </w:rPr>
        <w:t xml:space="preserve">, Evci </w:t>
      </w:r>
      <w:r w:rsidR="00754B4C" w:rsidRPr="5F58EB95">
        <w:rPr>
          <w:rFonts w:eastAsiaTheme="minorEastAsia"/>
          <w:lang w:eastAsia="en-US"/>
        </w:rPr>
        <w:t>Creek</w:t>
      </w:r>
      <w:r w:rsidR="00DB45C4" w:rsidRPr="5F58EB95">
        <w:rPr>
          <w:rFonts w:eastAsiaTheme="minorEastAsia"/>
          <w:lang w:eastAsia="en-US"/>
        </w:rPr>
        <w:t>, Kum Gedigi</w:t>
      </w:r>
      <w:r w:rsidR="00E12DE1" w:rsidRPr="5F58EB95">
        <w:rPr>
          <w:rFonts w:eastAsiaTheme="minorEastAsia"/>
          <w:lang w:eastAsia="en-US"/>
        </w:rPr>
        <w:t xml:space="preserve"> local</w:t>
      </w:r>
      <w:r w:rsidR="00E571A1" w:rsidRPr="5F58EB95">
        <w:rPr>
          <w:rFonts w:eastAsiaTheme="minorEastAsia"/>
          <w:lang w:eastAsia="en-US"/>
        </w:rPr>
        <w:t xml:space="preserve"> at </w:t>
      </w:r>
      <w:r w:rsidR="00B81B41" w:rsidRPr="5F58EB95">
        <w:rPr>
          <w:rFonts w:eastAsiaTheme="minorEastAsia"/>
          <w:lang w:eastAsia="en-US"/>
        </w:rPr>
        <w:t>37°02'45.9" North Latitude and 34°55'18.3" East Longitude.</w:t>
      </w:r>
      <w:r w:rsidR="00C838DE" w:rsidRPr="5F58EB95">
        <w:rPr>
          <w:rFonts w:eastAsiaTheme="minorEastAsia"/>
          <w:lang w:eastAsia="en-US"/>
        </w:rPr>
        <w:t xml:space="preserve"> </w:t>
      </w:r>
      <w:r w:rsidR="00C838DE" w:rsidRPr="3C3DFBEF">
        <w:rPr>
          <w:rFonts w:cs="Wingdings"/>
        </w:rPr>
        <w:t xml:space="preserve">The Project will be implemented in two phases as Phase 1 and Phase 2. The Project Area is the area where the first phase of the Project will be </w:t>
      </w:r>
      <w:r w:rsidR="00C838DE" w:rsidRPr="5F58EB95">
        <w:rPr>
          <w:rFonts w:eastAsiaTheme="minorEastAsia" w:cs="Wingdings"/>
        </w:rPr>
        <w:t>implemented</w:t>
      </w:r>
      <w:r w:rsidR="00C872BB" w:rsidRPr="5F58EB95">
        <w:rPr>
          <w:rFonts w:eastAsiaTheme="minorEastAsia"/>
          <w:lang w:eastAsia="en-US"/>
        </w:rPr>
        <w:t xml:space="preserve"> </w:t>
      </w:r>
      <w:r w:rsidR="004D2831" w:rsidRPr="5F58EB95">
        <w:rPr>
          <w:rFonts w:eastAsiaTheme="minorEastAsia"/>
          <w:lang w:eastAsia="en-US"/>
        </w:rPr>
        <w:t xml:space="preserve">(see </w:t>
      </w:r>
      <w:r w:rsidR="004D2831" w:rsidRPr="5F58EB95">
        <w:rPr>
          <w:rFonts w:eastAsiaTheme="minorEastAsia"/>
          <w:lang w:eastAsia="en-US"/>
        </w:rPr>
        <w:fldChar w:fldCharType="begin"/>
      </w:r>
      <w:r w:rsidR="004D2831" w:rsidRPr="5F58EB95">
        <w:rPr>
          <w:rFonts w:eastAsiaTheme="minorEastAsia"/>
          <w:lang w:eastAsia="en-US"/>
        </w:rPr>
        <w:instrText xml:space="preserve"> REF _Ref125646188 \h </w:instrText>
      </w:r>
      <w:r w:rsidR="004D2831" w:rsidRPr="5F58EB95">
        <w:rPr>
          <w:rFonts w:eastAsiaTheme="minorEastAsia"/>
          <w:lang w:eastAsia="en-US"/>
        </w:rPr>
      </w:r>
      <w:r w:rsidR="004D2831" w:rsidRPr="5F58EB95">
        <w:rPr>
          <w:rFonts w:eastAsiaTheme="minorEastAsia"/>
        </w:rPr>
        <w:fldChar w:fldCharType="separate"/>
      </w:r>
      <w:r w:rsidR="00CE3B94" w:rsidRPr="00EE43C6">
        <w:t>Figure 2</w:t>
      </w:r>
      <w:r w:rsidR="00CE3B94" w:rsidRPr="00EE43C6">
        <w:noBreakHyphen/>
        <w:t>1</w:t>
      </w:r>
      <w:r w:rsidR="004D2831" w:rsidRPr="5F58EB95">
        <w:rPr>
          <w:rFonts w:eastAsiaTheme="minorEastAsia"/>
          <w:lang w:eastAsia="en-US"/>
        </w:rPr>
        <w:fldChar w:fldCharType="end"/>
      </w:r>
      <w:r w:rsidR="004D2831" w:rsidRPr="3C3DFBEF">
        <w:rPr>
          <w:rFonts w:cs="Wingdings"/>
        </w:rPr>
        <w:t>)</w:t>
      </w:r>
      <w:r w:rsidR="00C838DE" w:rsidRPr="3C3DFBEF">
        <w:rPr>
          <w:rFonts w:cs="Wingdings"/>
        </w:rPr>
        <w:t xml:space="preserve">. </w:t>
      </w:r>
      <w:r w:rsidR="00C838DE" w:rsidRPr="5F58EB95">
        <w:rPr>
          <w:rFonts w:eastAsiaTheme="minorEastAsia"/>
          <w:lang w:eastAsia="en-US"/>
        </w:rPr>
        <w:t xml:space="preserve">The  title deed information </w:t>
      </w:r>
      <w:r w:rsidR="3BBC1DFF" w:rsidRPr="5F58EB95">
        <w:rPr>
          <w:rFonts w:eastAsiaTheme="minorEastAsia"/>
          <w:lang w:eastAsia="en-US"/>
        </w:rPr>
        <w:t xml:space="preserve">of the Project’s land area is as </w:t>
      </w:r>
      <w:r w:rsidR="00C838DE" w:rsidRPr="5F58EB95">
        <w:rPr>
          <w:rFonts w:eastAsiaTheme="minorEastAsia"/>
          <w:lang w:eastAsia="en-US"/>
        </w:rPr>
        <w:t xml:space="preserve"> follows; lot 102: parcel no. 5, lot 104: parcel no. 1 and 2, lot 107: parcel no. 3, lot 189: parcel no. 3 and 4, lot 198: parcel no.8, lot 204: parcel no. 1, lot 205: parcel no. 1,2 and 3, lot 105: parcel no. 1 and 2 (see Appendix-A).</w:t>
      </w:r>
      <w:r w:rsidR="000F3C0E" w:rsidRPr="5F58EB95">
        <w:rPr>
          <w:rFonts w:eastAsiaTheme="minorEastAsia"/>
          <w:lang w:eastAsia="en-US"/>
        </w:rPr>
        <w:t xml:space="preserve"> </w:t>
      </w:r>
      <w:r w:rsidR="005D0DFC" w:rsidRPr="5F58EB95">
        <w:rPr>
          <w:rFonts w:eastAsiaTheme="minorEastAsia"/>
          <w:lang w:eastAsia="en-US"/>
        </w:rPr>
        <w:t>Land acquisition was implemented as the project area ha</w:t>
      </w:r>
      <w:r w:rsidR="3C691999" w:rsidRPr="5F58EB95">
        <w:rPr>
          <w:rFonts w:eastAsiaTheme="minorEastAsia"/>
          <w:lang w:eastAsia="en-US"/>
        </w:rPr>
        <w:t>d</w:t>
      </w:r>
      <w:r w:rsidR="005D0DFC" w:rsidRPr="5F58EB95">
        <w:rPr>
          <w:rFonts w:eastAsiaTheme="minorEastAsia"/>
          <w:lang w:eastAsia="en-US"/>
        </w:rPr>
        <w:t xml:space="preserve"> multiple owners. The project required </w:t>
      </w:r>
      <w:r w:rsidR="0071548A" w:rsidRPr="5F58EB95">
        <w:rPr>
          <w:rFonts w:eastAsiaTheme="minorEastAsia"/>
          <w:lang w:eastAsia="en-US"/>
        </w:rPr>
        <w:t>additional land</w:t>
      </w:r>
      <w:r w:rsidR="005D0DFC" w:rsidRPr="5F58EB95">
        <w:rPr>
          <w:rFonts w:eastAsiaTheme="minorEastAsia"/>
          <w:lang w:eastAsia="en-US"/>
        </w:rPr>
        <w:t xml:space="preserve">, of which 13 parcels were public lands and </w:t>
      </w:r>
      <w:r w:rsidR="0071548A" w:rsidRPr="5F58EB95">
        <w:rPr>
          <w:rFonts w:eastAsiaTheme="minorEastAsia"/>
          <w:lang w:eastAsia="en-US"/>
        </w:rPr>
        <w:t>3</w:t>
      </w:r>
      <w:r w:rsidR="005D0DFC" w:rsidRPr="5F58EB95">
        <w:rPr>
          <w:rFonts w:eastAsiaTheme="minorEastAsia"/>
          <w:lang w:eastAsia="en-US"/>
        </w:rPr>
        <w:t xml:space="preserve"> parcels were private land </w:t>
      </w:r>
      <w:r w:rsidR="0071548A" w:rsidRPr="5F58EB95">
        <w:rPr>
          <w:rFonts w:eastAsiaTheme="minorEastAsia"/>
          <w:lang w:eastAsia="en-US"/>
        </w:rPr>
        <w:t xml:space="preserve">and one of them </w:t>
      </w:r>
      <w:r w:rsidR="005D0DFC" w:rsidRPr="5F58EB95">
        <w:rPr>
          <w:rFonts w:eastAsiaTheme="minorEastAsia"/>
          <w:lang w:eastAsia="en-US"/>
        </w:rPr>
        <w:t xml:space="preserve">with multiple owners. The agreements were reached with all the shareholders of the private lands, and the shares were acquired with willing buyer-willing seller. </w:t>
      </w:r>
      <w:r w:rsidR="00BC70F9" w:rsidRPr="5F58EB95">
        <w:rPr>
          <w:rFonts w:eastAsiaTheme="minorEastAsia"/>
          <w:lang w:eastAsia="en-US"/>
        </w:rPr>
        <w:t xml:space="preserve">Detailed information on the related expropriation and procurement processes is given in </w:t>
      </w:r>
      <w:r w:rsidR="00840B23" w:rsidRPr="5F58EB95">
        <w:rPr>
          <w:rFonts w:eastAsiaTheme="minorEastAsia"/>
          <w:lang w:eastAsia="en-US"/>
        </w:rPr>
        <w:fldChar w:fldCharType="begin"/>
      </w:r>
      <w:r w:rsidRPr="5F58EB95">
        <w:rPr>
          <w:rFonts w:eastAsiaTheme="minorEastAsia"/>
          <w:lang w:eastAsia="en-US"/>
        </w:rPr>
        <w:instrText xml:space="preserve"> REF _Ref135992984 \h </w:instrText>
      </w:r>
      <w:r w:rsidR="00840B23" w:rsidRPr="5F58EB95">
        <w:rPr>
          <w:rFonts w:eastAsiaTheme="minorEastAsia"/>
          <w:lang w:eastAsia="en-US"/>
        </w:rPr>
      </w:r>
      <w:r w:rsidR="00840B23" w:rsidRPr="5F58EB95">
        <w:rPr>
          <w:rFonts w:eastAsiaTheme="minorEastAsia"/>
          <w:lang w:eastAsia="en-US"/>
        </w:rPr>
        <w:fldChar w:fldCharType="separate"/>
      </w:r>
      <w:r w:rsidR="00276244">
        <w:t>Table 6</w:t>
      </w:r>
      <w:r w:rsidR="00DD4769">
        <w:t>-</w:t>
      </w:r>
      <w:r w:rsidR="00276244">
        <w:t>31</w:t>
      </w:r>
      <w:r w:rsidR="00840B23" w:rsidRPr="5F58EB95">
        <w:rPr>
          <w:rFonts w:eastAsiaTheme="minorEastAsia"/>
          <w:lang w:eastAsia="en-US"/>
        </w:rPr>
        <w:fldChar w:fldCharType="end"/>
      </w:r>
      <w:r w:rsidR="00840B23" w:rsidRPr="5F58EB95">
        <w:rPr>
          <w:rFonts w:eastAsiaTheme="minorEastAsia"/>
          <w:lang w:eastAsia="en-US"/>
        </w:rPr>
        <w:t>.</w:t>
      </w:r>
    </w:p>
    <w:p w14:paraId="490F56A2" w14:textId="45F2F4A7" w:rsidR="00EC49C0" w:rsidRPr="00EE43C6" w:rsidRDefault="00FF3AFD" w:rsidP="000D4806">
      <w:pPr>
        <w:spacing w:before="0" w:after="60"/>
        <w:jc w:val="center"/>
        <w:rPr>
          <w:rFonts w:eastAsiaTheme="minorEastAsia"/>
          <w:lang w:eastAsia="en-US"/>
        </w:rPr>
      </w:pPr>
      <w:r w:rsidRPr="00EE43C6">
        <w:rPr>
          <w:rFonts w:eastAsiaTheme="minorEastAsia"/>
          <w:noProof/>
        </w:rPr>
        <w:drawing>
          <wp:inline distT="0" distB="0" distL="0" distR="0" wp14:anchorId="14A086E8" wp14:editId="1CFAAE1B">
            <wp:extent cx="5760000" cy="4075800"/>
            <wp:effectExtent l="38100" t="38100" r="31750" b="3937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1" cstate="screen">
                      <a:extLst>
                        <a:ext uri="{28A0092B-C50C-407E-A947-70E740481C1C}">
                          <a14:useLocalDpi xmlns:a14="http://schemas.microsoft.com/office/drawing/2010/main"/>
                        </a:ext>
                      </a:extLst>
                    </a:blip>
                    <a:stretch>
                      <a:fillRect/>
                    </a:stretch>
                  </pic:blipFill>
                  <pic:spPr>
                    <a:xfrm>
                      <a:off x="0" y="0"/>
                      <a:ext cx="5760000" cy="4075800"/>
                    </a:xfrm>
                    <a:prstGeom prst="rect">
                      <a:avLst/>
                    </a:prstGeom>
                    <a:ln w="38100">
                      <a:solidFill>
                        <a:schemeClr val="tx1"/>
                      </a:solidFill>
                    </a:ln>
                  </pic:spPr>
                </pic:pic>
              </a:graphicData>
            </a:graphic>
          </wp:inline>
        </w:drawing>
      </w:r>
    </w:p>
    <w:p w14:paraId="178D8FEE" w14:textId="2FD6875F" w:rsidR="00A61212" w:rsidRPr="00EE43C6" w:rsidRDefault="00EC49C0" w:rsidP="00EC49C0">
      <w:pPr>
        <w:pStyle w:val="Caption"/>
        <w:rPr>
          <w:rFonts w:eastAsiaTheme="minorEastAsia"/>
          <w:noProof w:val="0"/>
        </w:rPr>
      </w:pPr>
      <w:bookmarkStart w:id="73" w:name="_Ref125646188"/>
      <w:bookmarkStart w:id="74" w:name="_Toc141445546"/>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1</w:t>
      </w:r>
      <w:r w:rsidR="0096150F">
        <w:rPr>
          <w:noProof w:val="0"/>
          <w:color w:val="00B050"/>
        </w:rPr>
        <w:fldChar w:fldCharType="end"/>
      </w:r>
      <w:bookmarkEnd w:id="73"/>
      <w:r w:rsidRPr="00EE43C6">
        <w:rPr>
          <w:noProof w:val="0"/>
          <w:color w:val="00B050"/>
        </w:rPr>
        <w:t xml:space="preserve">. </w:t>
      </w:r>
      <w:r w:rsidR="00404D16" w:rsidRPr="00EE43C6">
        <w:rPr>
          <w:rFonts w:eastAsiaTheme="minorEastAsia"/>
          <w:b w:val="0"/>
          <w:bCs w:val="0"/>
          <w:noProof w:val="0"/>
          <w:color w:val="auto"/>
        </w:rPr>
        <w:t xml:space="preserve">The </w:t>
      </w:r>
      <w:r w:rsidRPr="00EE43C6">
        <w:rPr>
          <w:rFonts w:eastAsiaTheme="minorEastAsia"/>
          <w:b w:val="0"/>
          <w:bCs w:val="0"/>
          <w:noProof w:val="0"/>
          <w:color w:val="auto"/>
        </w:rPr>
        <w:t>Project Location</w:t>
      </w:r>
      <w:bookmarkEnd w:id="74"/>
    </w:p>
    <w:p w14:paraId="4001A40D" w14:textId="0CACB584" w:rsidR="00B47CB5" w:rsidRPr="00EE43C6" w:rsidRDefault="00673E2F" w:rsidP="00EC49C0">
      <w:pPr>
        <w:spacing w:after="60"/>
        <w:rPr>
          <w:rFonts w:eastAsiaTheme="minorEastAsia"/>
          <w:lang w:eastAsia="en-US"/>
        </w:rPr>
      </w:pPr>
      <w:r w:rsidRPr="00EE43C6">
        <w:rPr>
          <w:rFonts w:cs="Wingdings"/>
          <w:szCs w:val="22"/>
        </w:rPr>
        <w:t xml:space="preserve">In the project zoning plan, the total area is 116.29 hectares, and Phase 1 corresponds to 92.64 hectares, Phase 2 to 23.65 hectares. The layout showing the two phases of the Project is presented in </w:t>
      </w:r>
      <w:r w:rsidRPr="00EE43C6">
        <w:rPr>
          <w:rFonts w:eastAsiaTheme="minorEastAsia"/>
          <w:lang w:eastAsia="en-US"/>
        </w:rPr>
        <w:fldChar w:fldCharType="begin"/>
      </w:r>
      <w:r w:rsidRPr="00EE43C6">
        <w:rPr>
          <w:rFonts w:eastAsiaTheme="minorEastAsia" w:cs="Wingdings"/>
          <w:szCs w:val="22"/>
        </w:rPr>
        <w:instrText xml:space="preserve"> REF _Ref124776538 \h  \* MERGEFORMAT </w:instrText>
      </w:r>
      <w:r w:rsidRPr="00EE43C6">
        <w:rPr>
          <w:rFonts w:eastAsiaTheme="minorEastAsia"/>
          <w:lang w:eastAsia="en-US"/>
        </w:rPr>
      </w:r>
      <w:r w:rsidRPr="00EE43C6">
        <w:rPr>
          <w:rFonts w:eastAsiaTheme="minorEastAsia"/>
          <w:lang w:eastAsia="en-US"/>
        </w:rPr>
        <w:fldChar w:fldCharType="separate"/>
      </w:r>
      <w:r w:rsidR="00CE3B94" w:rsidRPr="00EE43C6">
        <w:rPr>
          <w:rFonts w:eastAsiaTheme="minorEastAsia" w:cs="Wingdings"/>
          <w:szCs w:val="22"/>
        </w:rPr>
        <w:t>Figure 2</w:t>
      </w:r>
      <w:r w:rsidR="00CE3B94" w:rsidRPr="00EE43C6">
        <w:rPr>
          <w:rFonts w:eastAsiaTheme="minorEastAsia" w:cs="Wingdings"/>
          <w:szCs w:val="22"/>
        </w:rPr>
        <w:noBreakHyphen/>
        <w:t>2</w:t>
      </w:r>
      <w:r w:rsidRPr="00EE43C6">
        <w:rPr>
          <w:rFonts w:eastAsiaTheme="minorEastAsia"/>
          <w:lang w:eastAsia="en-US"/>
        </w:rPr>
        <w:fldChar w:fldCharType="end"/>
      </w:r>
      <w:r w:rsidRPr="00EE43C6">
        <w:rPr>
          <w:rFonts w:eastAsiaTheme="minorEastAsia"/>
          <w:lang w:eastAsia="en-US"/>
        </w:rPr>
        <w:t>.</w:t>
      </w:r>
    </w:p>
    <w:p w14:paraId="01FAE491" w14:textId="05800BDB" w:rsidR="002C2849" w:rsidRPr="00EE43C6" w:rsidRDefault="00014D15" w:rsidP="000D4806">
      <w:pPr>
        <w:spacing w:before="0" w:after="60"/>
        <w:jc w:val="center"/>
        <w:rPr>
          <w:rFonts w:eastAsiaTheme="minorEastAsia"/>
          <w:lang w:eastAsia="en-US"/>
        </w:rPr>
      </w:pPr>
      <w:r w:rsidRPr="00EE43C6">
        <w:rPr>
          <w:noProof/>
        </w:rPr>
        <w:lastRenderedPageBreak/>
        <w:drawing>
          <wp:inline distT="0" distB="0" distL="0" distR="0" wp14:anchorId="5B945D13" wp14:editId="2DD616A3">
            <wp:extent cx="5755640" cy="8133715"/>
            <wp:effectExtent l="38100" t="38100" r="35560" b="3873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55640" cy="8133715"/>
                    </a:xfrm>
                    <a:prstGeom prst="rect">
                      <a:avLst/>
                    </a:prstGeom>
                    <a:ln w="38100">
                      <a:solidFill>
                        <a:sysClr val="windowText" lastClr="000000"/>
                      </a:solidFill>
                    </a:ln>
                  </pic:spPr>
                </pic:pic>
              </a:graphicData>
            </a:graphic>
          </wp:inline>
        </w:drawing>
      </w:r>
    </w:p>
    <w:p w14:paraId="73A9F395" w14:textId="4C6F35ED" w:rsidR="00724731" w:rsidRPr="00EE43C6" w:rsidRDefault="00724731" w:rsidP="00724731">
      <w:pPr>
        <w:pStyle w:val="Caption"/>
        <w:rPr>
          <w:rFonts w:eastAsiaTheme="minorEastAsia"/>
          <w:noProof w:val="0"/>
        </w:rPr>
      </w:pPr>
      <w:bookmarkStart w:id="75" w:name="_Ref124776538"/>
      <w:bookmarkStart w:id="76" w:name="_Toc141445547"/>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2</w:t>
      </w:r>
      <w:r w:rsidR="0096150F">
        <w:rPr>
          <w:noProof w:val="0"/>
          <w:color w:val="00B050"/>
        </w:rPr>
        <w:fldChar w:fldCharType="end"/>
      </w:r>
      <w:bookmarkEnd w:id="75"/>
      <w:r w:rsidRPr="00EE43C6">
        <w:rPr>
          <w:noProof w:val="0"/>
          <w:color w:val="00B050"/>
        </w:rPr>
        <w:t xml:space="preserve">. </w:t>
      </w:r>
      <w:r w:rsidR="00513F8B" w:rsidRPr="00EE43C6">
        <w:rPr>
          <w:rFonts w:eastAsiaTheme="minorEastAsia"/>
          <w:b w:val="0"/>
          <w:bCs w:val="0"/>
          <w:noProof w:val="0"/>
          <w:color w:val="auto"/>
        </w:rPr>
        <w:t>The Layout showing the Two Phases of the Project</w:t>
      </w:r>
      <w:bookmarkEnd w:id="76"/>
    </w:p>
    <w:p w14:paraId="419F8955" w14:textId="54C26F2C" w:rsidR="00F30CAF" w:rsidRPr="00EE43C6" w:rsidRDefault="00CB2224" w:rsidP="00244284">
      <w:pPr>
        <w:spacing w:after="60"/>
      </w:pPr>
      <w:r w:rsidRPr="2DB09FEA">
        <w:rPr>
          <w:rFonts w:eastAsiaTheme="minorEastAsia"/>
          <w:lang w:eastAsia="en-US"/>
        </w:rPr>
        <w:lastRenderedPageBreak/>
        <w:t xml:space="preserve">The Kurbanlı </w:t>
      </w:r>
      <w:r w:rsidR="00E72295" w:rsidRPr="2DB09FEA">
        <w:rPr>
          <w:rFonts w:eastAsiaTheme="minorEastAsia"/>
          <w:lang w:eastAsia="en-US"/>
        </w:rPr>
        <w:t>Neighbourhood</w:t>
      </w:r>
      <w:r w:rsidRPr="2DB09FEA">
        <w:rPr>
          <w:rFonts w:eastAsiaTheme="minorEastAsia"/>
          <w:lang w:eastAsia="en-US"/>
        </w:rPr>
        <w:t xml:space="preserve"> </w:t>
      </w:r>
      <w:r w:rsidR="74333D39" w:rsidRPr="2DB09FEA">
        <w:rPr>
          <w:rFonts w:eastAsiaTheme="minorEastAsia"/>
          <w:lang w:eastAsia="en-US"/>
        </w:rPr>
        <w:t xml:space="preserve">is located </w:t>
      </w:r>
      <w:r w:rsidRPr="2DB09FEA">
        <w:rPr>
          <w:rFonts w:eastAsiaTheme="minorEastAsia"/>
          <w:lang w:eastAsia="en-US"/>
        </w:rPr>
        <w:t xml:space="preserve">approximately </w:t>
      </w:r>
      <w:r w:rsidR="00C33E70" w:rsidRPr="2DB09FEA">
        <w:rPr>
          <w:rFonts w:eastAsiaTheme="minorEastAsia"/>
          <w:lang w:eastAsia="en-US"/>
        </w:rPr>
        <w:t>375</w:t>
      </w:r>
      <w:r w:rsidRPr="2DB09FEA">
        <w:rPr>
          <w:rFonts w:eastAsiaTheme="minorEastAsia"/>
          <w:lang w:eastAsia="en-US"/>
        </w:rPr>
        <w:t xml:space="preserve"> meters south of the </w:t>
      </w:r>
      <w:r w:rsidR="001474D6" w:rsidRPr="2DB09FEA">
        <w:rPr>
          <w:rFonts w:eastAsiaTheme="minorEastAsia"/>
          <w:lang w:eastAsia="en-US"/>
        </w:rPr>
        <w:t>P</w:t>
      </w:r>
      <w:r w:rsidRPr="2DB09FEA">
        <w:rPr>
          <w:rFonts w:eastAsiaTheme="minorEastAsia"/>
          <w:lang w:eastAsia="en-US"/>
        </w:rPr>
        <w:t xml:space="preserve">roject </w:t>
      </w:r>
      <w:r w:rsidR="001474D6" w:rsidRPr="2DB09FEA">
        <w:rPr>
          <w:rFonts w:eastAsiaTheme="minorEastAsia"/>
          <w:lang w:eastAsia="en-US"/>
        </w:rPr>
        <w:t>A</w:t>
      </w:r>
      <w:r w:rsidRPr="2DB09FEA">
        <w:rPr>
          <w:rFonts w:eastAsiaTheme="minorEastAsia"/>
          <w:lang w:eastAsia="en-US"/>
        </w:rPr>
        <w:t xml:space="preserve">rea, </w:t>
      </w:r>
      <w:r w:rsidR="00563A60" w:rsidRPr="2DB09FEA">
        <w:rPr>
          <w:rFonts w:eastAsiaTheme="minorEastAsia"/>
          <w:lang w:eastAsia="en-US"/>
        </w:rPr>
        <w:t xml:space="preserve">Sağlıklı </w:t>
      </w:r>
      <w:r w:rsidR="00E72295" w:rsidRPr="2DB09FEA">
        <w:rPr>
          <w:rFonts w:eastAsiaTheme="minorEastAsia"/>
          <w:lang w:eastAsia="en-US"/>
        </w:rPr>
        <w:t>Neighbourhood</w:t>
      </w:r>
      <w:r w:rsidR="00563A60" w:rsidRPr="2DB09FEA">
        <w:rPr>
          <w:rFonts w:eastAsiaTheme="minorEastAsia"/>
          <w:lang w:eastAsia="en-US"/>
        </w:rPr>
        <w:t xml:space="preserve"> </w:t>
      </w:r>
      <w:r w:rsidRPr="2DB09FEA">
        <w:rPr>
          <w:rFonts w:eastAsiaTheme="minorEastAsia"/>
          <w:lang w:eastAsia="en-US"/>
        </w:rPr>
        <w:t xml:space="preserve">approximately </w:t>
      </w:r>
      <w:r w:rsidR="00CF2CFC" w:rsidRPr="2DB09FEA">
        <w:rPr>
          <w:rFonts w:eastAsiaTheme="minorEastAsia"/>
          <w:lang w:eastAsia="en-US"/>
        </w:rPr>
        <w:t>465</w:t>
      </w:r>
      <w:r w:rsidRPr="2DB09FEA">
        <w:rPr>
          <w:rFonts w:eastAsiaTheme="minorEastAsia"/>
          <w:lang w:eastAsia="en-US"/>
        </w:rPr>
        <w:t xml:space="preserve"> meters west and Eskişehir </w:t>
      </w:r>
      <w:r w:rsidR="00E72295" w:rsidRPr="2DB09FEA">
        <w:rPr>
          <w:rFonts w:eastAsiaTheme="minorEastAsia"/>
          <w:lang w:eastAsia="en-US"/>
        </w:rPr>
        <w:t>Neighbourhood</w:t>
      </w:r>
      <w:r w:rsidR="00D372B1" w:rsidRPr="2DB09FEA">
        <w:rPr>
          <w:rFonts w:eastAsiaTheme="minorEastAsia"/>
          <w:lang w:eastAsia="en-US"/>
        </w:rPr>
        <w:t xml:space="preserve"> </w:t>
      </w:r>
      <w:r w:rsidR="00F17597" w:rsidRPr="2DB09FEA">
        <w:rPr>
          <w:rFonts w:eastAsiaTheme="minorEastAsia"/>
          <w:lang w:eastAsia="en-US"/>
        </w:rPr>
        <w:t>702</w:t>
      </w:r>
      <w:r w:rsidRPr="2DB09FEA">
        <w:rPr>
          <w:rFonts w:eastAsiaTheme="minorEastAsia"/>
          <w:lang w:eastAsia="en-US"/>
        </w:rPr>
        <w:t xml:space="preserve"> meters east of the </w:t>
      </w:r>
      <w:r w:rsidR="00D372B1" w:rsidRPr="2DB09FEA">
        <w:rPr>
          <w:rFonts w:eastAsiaTheme="minorEastAsia"/>
          <w:lang w:eastAsia="en-US"/>
        </w:rPr>
        <w:t>P</w:t>
      </w:r>
      <w:r w:rsidRPr="2DB09FEA">
        <w:rPr>
          <w:rFonts w:eastAsiaTheme="minorEastAsia"/>
          <w:lang w:eastAsia="en-US"/>
        </w:rPr>
        <w:t xml:space="preserve">roject </w:t>
      </w:r>
      <w:r w:rsidR="00D372B1" w:rsidRPr="2DB09FEA">
        <w:rPr>
          <w:rFonts w:eastAsiaTheme="minorEastAsia"/>
          <w:lang w:eastAsia="en-US"/>
        </w:rPr>
        <w:t>A</w:t>
      </w:r>
      <w:r w:rsidRPr="2DB09FEA">
        <w:rPr>
          <w:rFonts w:eastAsiaTheme="minorEastAsia"/>
          <w:lang w:eastAsia="en-US"/>
        </w:rPr>
        <w:t>rea</w:t>
      </w:r>
      <w:r w:rsidR="00101390" w:rsidRPr="2DB09FEA">
        <w:rPr>
          <w:rFonts w:eastAsiaTheme="minorEastAsia"/>
          <w:lang w:eastAsia="en-US"/>
        </w:rPr>
        <w:t xml:space="preserve"> (see </w:t>
      </w:r>
      <w:r w:rsidR="00F2775D" w:rsidRPr="2DB09FEA">
        <w:rPr>
          <w:rFonts w:eastAsiaTheme="minorEastAsia"/>
          <w:lang w:eastAsia="en-US"/>
        </w:rPr>
        <w:fldChar w:fldCharType="begin"/>
      </w:r>
      <w:r w:rsidR="00F2775D" w:rsidRPr="2DB09FEA">
        <w:rPr>
          <w:rFonts w:eastAsiaTheme="minorEastAsia"/>
          <w:lang w:eastAsia="en-US"/>
        </w:rPr>
        <w:instrText xml:space="preserve"> REF _Ref124778818 \h  \* MERGEFORMAT </w:instrText>
      </w:r>
      <w:r w:rsidR="00F2775D" w:rsidRPr="2DB09FEA">
        <w:rPr>
          <w:rFonts w:eastAsiaTheme="minorEastAsia"/>
          <w:lang w:eastAsia="en-US"/>
        </w:rPr>
      </w:r>
      <w:r w:rsidR="00F2775D" w:rsidRPr="2DB09FEA">
        <w:rPr>
          <w:rFonts w:eastAsiaTheme="minorEastAsia"/>
          <w:lang w:eastAsia="en-US"/>
        </w:rPr>
        <w:fldChar w:fldCharType="separate"/>
      </w:r>
      <w:r w:rsidR="002B7172" w:rsidRPr="2DB09FEA">
        <w:rPr>
          <w:rFonts w:eastAsiaTheme="minorEastAsia"/>
          <w:lang w:eastAsia="en-US"/>
        </w:rPr>
        <w:t>Figure 2</w:t>
      </w:r>
      <w:r w:rsidR="002B7172" w:rsidRPr="2DB09FEA">
        <w:rPr>
          <w:rFonts w:eastAsiaTheme="minorEastAsia"/>
          <w:lang w:eastAsia="en-US"/>
        </w:rPr>
        <w:noBreakHyphen/>
        <w:t>5</w:t>
      </w:r>
      <w:r w:rsidR="00F2775D" w:rsidRPr="2DB09FEA">
        <w:rPr>
          <w:rFonts w:eastAsiaTheme="minorEastAsia"/>
          <w:lang w:eastAsia="en-US"/>
        </w:rPr>
        <w:fldChar w:fldCharType="end"/>
      </w:r>
      <w:r w:rsidR="00101390" w:rsidRPr="2DB09FEA">
        <w:rPr>
          <w:rFonts w:eastAsiaTheme="minorEastAsia"/>
          <w:lang w:eastAsia="en-US"/>
        </w:rPr>
        <w:t>)</w:t>
      </w:r>
      <w:r w:rsidRPr="2DB09FEA">
        <w:rPr>
          <w:rFonts w:eastAsiaTheme="minorEastAsia"/>
          <w:lang w:eastAsia="en-US"/>
        </w:rPr>
        <w:t>.</w:t>
      </w:r>
      <w:r w:rsidR="00FF655C" w:rsidRPr="2DB09FEA">
        <w:rPr>
          <w:rFonts w:eastAsiaTheme="minorEastAsia"/>
          <w:lang w:eastAsia="en-US"/>
        </w:rPr>
        <w:t xml:space="preserve"> </w:t>
      </w:r>
      <w:r w:rsidR="00C21BD5" w:rsidRPr="2DB09FEA">
        <w:rPr>
          <w:rFonts w:eastAsiaTheme="minorEastAsia"/>
          <w:lang w:eastAsia="en-US"/>
        </w:rPr>
        <w:t>Also</w:t>
      </w:r>
      <w:r w:rsidR="00C21BD5" w:rsidRPr="00EE43C6">
        <w:t xml:space="preserve">, </w:t>
      </w:r>
      <w:r w:rsidR="00B24970" w:rsidRPr="00EE43C6">
        <w:t>the</w:t>
      </w:r>
      <w:r w:rsidR="00C21BD5" w:rsidRPr="00EE43C6">
        <w:t xml:space="preserve"> </w:t>
      </w:r>
      <w:r w:rsidR="00363716" w:rsidRPr="00EE43C6">
        <w:t>q</w:t>
      </w:r>
      <w:r w:rsidR="00C501C9" w:rsidRPr="00EE43C6">
        <w:t>uarr</w:t>
      </w:r>
      <w:r w:rsidR="001A6076" w:rsidRPr="00EE43C6">
        <w:t xml:space="preserve">ies </w:t>
      </w:r>
      <w:r w:rsidR="009749F5" w:rsidRPr="00EE43C6">
        <w:t>operate</w:t>
      </w:r>
      <w:r w:rsidR="001A6076" w:rsidRPr="00EE43C6">
        <w:t xml:space="preserve"> </w:t>
      </w:r>
      <w:r w:rsidR="00D65EC9" w:rsidRPr="00EE43C6">
        <w:t>at</w:t>
      </w:r>
      <w:r w:rsidR="001A6076" w:rsidRPr="00EE43C6">
        <w:t xml:space="preserve"> </w:t>
      </w:r>
      <w:r w:rsidR="00D05A22" w:rsidRPr="00EE43C6">
        <w:t xml:space="preserve">nearest </w:t>
      </w:r>
      <w:r w:rsidR="00C21BD5" w:rsidRPr="00EE43C6">
        <w:t xml:space="preserve">30 meters </w:t>
      </w:r>
      <w:r w:rsidR="00E6697D" w:rsidRPr="00EE43C6">
        <w:t>west of the Project Area</w:t>
      </w:r>
      <w:r w:rsidR="00CB60D9" w:rsidRPr="00EE43C6">
        <w:t xml:space="preserve"> (see </w:t>
      </w:r>
      <w:r w:rsidR="00B24970" w:rsidRPr="2DB09FEA">
        <w:rPr>
          <w:rFonts w:eastAsiaTheme="minorEastAsia"/>
          <w:lang w:eastAsia="en-US"/>
        </w:rPr>
        <w:fldChar w:fldCharType="begin"/>
      </w:r>
      <w:r w:rsidR="00B24970" w:rsidRPr="2DB09FEA">
        <w:rPr>
          <w:rFonts w:eastAsiaTheme="minorEastAsia"/>
          <w:lang w:eastAsia="en-US"/>
        </w:rPr>
        <w:instrText xml:space="preserve"> REF _Ref125706669 \h  \* MERGEFORMAT </w:instrText>
      </w:r>
      <w:r w:rsidR="00B24970" w:rsidRPr="2DB09FEA">
        <w:rPr>
          <w:rFonts w:eastAsiaTheme="minorEastAsia"/>
          <w:lang w:eastAsia="en-US"/>
        </w:rPr>
      </w:r>
      <w:r w:rsidR="00B24970" w:rsidRPr="2DB09FEA">
        <w:rPr>
          <w:rFonts w:eastAsiaTheme="minorEastAsia"/>
          <w:lang w:eastAsia="en-US"/>
        </w:rPr>
        <w:fldChar w:fldCharType="separate"/>
      </w:r>
      <w:r w:rsidR="002B7172" w:rsidRPr="2DB09FEA">
        <w:rPr>
          <w:rFonts w:eastAsiaTheme="minorEastAsia"/>
          <w:lang w:eastAsia="en-US"/>
        </w:rPr>
        <w:t>Figure 2</w:t>
      </w:r>
      <w:r w:rsidR="002B7172" w:rsidRPr="2DB09FEA">
        <w:rPr>
          <w:rFonts w:eastAsiaTheme="minorEastAsia"/>
          <w:lang w:eastAsia="en-US"/>
        </w:rPr>
        <w:noBreakHyphen/>
        <w:t>3</w:t>
      </w:r>
      <w:r w:rsidR="00B24970" w:rsidRPr="2DB09FEA">
        <w:rPr>
          <w:rFonts w:eastAsiaTheme="minorEastAsia"/>
          <w:lang w:eastAsia="en-US"/>
        </w:rPr>
        <w:fldChar w:fldCharType="end"/>
      </w:r>
      <w:r w:rsidR="001D6B11" w:rsidRPr="2DB09FEA">
        <w:rPr>
          <w:rFonts w:eastAsiaTheme="minorEastAsia"/>
          <w:lang w:eastAsia="en-US"/>
        </w:rPr>
        <w:t xml:space="preserve"> and</w:t>
      </w:r>
      <w:r w:rsidR="001D6B11" w:rsidRPr="00EE43C6">
        <w:t xml:space="preserve"> </w:t>
      </w:r>
      <w:r w:rsidR="001D6B11" w:rsidRPr="00EE43C6">
        <w:fldChar w:fldCharType="begin"/>
      </w:r>
      <w:r w:rsidR="001D6B11" w:rsidRPr="00EE43C6">
        <w:instrText xml:space="preserve"> REF _Ref124778818 \h  \* MERGEFORMAT </w:instrText>
      </w:r>
      <w:r w:rsidR="001D6B11" w:rsidRPr="00EE43C6">
        <w:fldChar w:fldCharType="separate"/>
      </w:r>
      <w:r w:rsidR="002B7172" w:rsidRPr="00EE43C6">
        <w:t>Figure 2</w:t>
      </w:r>
      <w:r w:rsidR="002B7172" w:rsidRPr="00EE43C6">
        <w:noBreakHyphen/>
        <w:t>5</w:t>
      </w:r>
      <w:r w:rsidR="001D6B11" w:rsidRPr="00EE43C6">
        <w:fldChar w:fldCharType="end"/>
      </w:r>
      <w:r w:rsidR="00CB60D9" w:rsidRPr="00EE43C6">
        <w:t>)</w:t>
      </w:r>
      <w:r w:rsidR="008C50EE" w:rsidRPr="00EE43C6">
        <w:t>.</w:t>
      </w:r>
    </w:p>
    <w:p w14:paraId="3497FCF2" w14:textId="47DEA33F" w:rsidR="00CB60D9" w:rsidRPr="00EE43C6" w:rsidRDefault="00CB60D9" w:rsidP="00244284">
      <w:pPr>
        <w:spacing w:after="60"/>
      </w:pPr>
      <w:r w:rsidRPr="00EE43C6">
        <w:rPr>
          <w:noProof/>
        </w:rPr>
        <w:drawing>
          <wp:inline distT="0" distB="0" distL="0" distR="0" wp14:anchorId="43297FDA" wp14:editId="5F354569">
            <wp:extent cx="5755640" cy="2305050"/>
            <wp:effectExtent l="38100" t="38100" r="35560" b="3810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755640" cy="230505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6BDD20C9" w14:textId="138DC568" w:rsidR="004D676E" w:rsidRPr="00EE43C6" w:rsidRDefault="00C23176" w:rsidP="00C23176">
      <w:pPr>
        <w:pStyle w:val="Caption"/>
        <w:rPr>
          <w:noProof w:val="0"/>
        </w:rPr>
      </w:pPr>
      <w:bookmarkStart w:id="77" w:name="_Ref125706669"/>
      <w:bookmarkStart w:id="78" w:name="_Toc141445548"/>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3</w:t>
      </w:r>
      <w:r w:rsidR="0096150F">
        <w:rPr>
          <w:noProof w:val="0"/>
          <w:color w:val="00B050"/>
        </w:rPr>
        <w:fldChar w:fldCharType="end"/>
      </w:r>
      <w:bookmarkEnd w:id="77"/>
      <w:r w:rsidRPr="00EE43C6">
        <w:rPr>
          <w:noProof w:val="0"/>
          <w:color w:val="00B050"/>
        </w:rPr>
        <w:t xml:space="preserve">. </w:t>
      </w:r>
      <w:r w:rsidR="00564C05" w:rsidRPr="00EE43C6">
        <w:rPr>
          <w:b w:val="0"/>
          <w:bCs w:val="0"/>
          <w:noProof w:val="0"/>
          <w:color w:val="auto"/>
        </w:rPr>
        <w:t xml:space="preserve">The </w:t>
      </w:r>
      <w:r w:rsidR="004D676E" w:rsidRPr="00EE43C6">
        <w:rPr>
          <w:b w:val="0"/>
          <w:bCs w:val="0"/>
          <w:noProof w:val="0"/>
          <w:color w:val="auto"/>
        </w:rPr>
        <w:t xml:space="preserve">Quarries </w:t>
      </w:r>
      <w:r w:rsidR="0086144A" w:rsidRPr="00EE43C6">
        <w:rPr>
          <w:b w:val="0"/>
          <w:bCs w:val="0"/>
          <w:noProof w:val="0"/>
          <w:color w:val="auto"/>
        </w:rPr>
        <w:t>Adjacent to</w:t>
      </w:r>
      <w:r w:rsidR="004D676E" w:rsidRPr="00EE43C6">
        <w:rPr>
          <w:b w:val="0"/>
          <w:bCs w:val="0"/>
          <w:noProof w:val="0"/>
          <w:color w:val="auto"/>
        </w:rPr>
        <w:t xml:space="preserve"> P</w:t>
      </w:r>
      <w:r w:rsidRPr="00EE43C6">
        <w:rPr>
          <w:b w:val="0"/>
          <w:bCs w:val="0"/>
          <w:noProof w:val="0"/>
          <w:color w:val="auto"/>
        </w:rPr>
        <w:t>roject Area</w:t>
      </w:r>
      <w:bookmarkEnd w:id="78"/>
    </w:p>
    <w:p w14:paraId="025F1EF3" w14:textId="6C168C64" w:rsidR="0057520B" w:rsidRPr="00EE43C6" w:rsidRDefault="00D65EC9" w:rsidP="00244284">
      <w:pPr>
        <w:spacing w:after="60"/>
      </w:pPr>
      <w:r w:rsidRPr="00EE43C6">
        <w:t xml:space="preserve">The </w:t>
      </w:r>
      <w:r w:rsidR="00295DC4" w:rsidRPr="00EE43C6">
        <w:t xml:space="preserve">house </w:t>
      </w:r>
      <w:r w:rsidR="00844137" w:rsidRPr="00EE43C6">
        <w:t>identified as</w:t>
      </w:r>
      <w:r w:rsidR="001D0763" w:rsidRPr="00EE43C6">
        <w:t xml:space="preserve"> </w:t>
      </w:r>
      <w:r w:rsidRPr="00EE43C6">
        <w:t>closes</w:t>
      </w:r>
      <w:r w:rsidR="001D0763" w:rsidRPr="00EE43C6">
        <w:t xml:space="preserve">t sensitive receptor </w:t>
      </w:r>
      <w:r w:rsidR="006015C5" w:rsidRPr="00EE43C6">
        <w:t>the</w:t>
      </w:r>
      <w:r w:rsidR="001D0763" w:rsidRPr="00EE43C6">
        <w:t xml:space="preserve"> </w:t>
      </w:r>
      <w:bookmarkStart w:id="79" w:name="_Hlk126243590"/>
      <w:r w:rsidR="001D0763" w:rsidRPr="00EE43C6">
        <w:t>23 meters southwest of the Project Area</w:t>
      </w:r>
      <w:r w:rsidR="00310F55" w:rsidRPr="00EE43C6">
        <w:t xml:space="preserve"> </w:t>
      </w:r>
      <w:bookmarkEnd w:id="79"/>
      <w:r w:rsidR="00310F55" w:rsidRPr="00EE43C6">
        <w:t xml:space="preserve">can been seen in </w:t>
      </w:r>
      <w:r w:rsidR="00AA39CD" w:rsidRPr="00EE43C6">
        <w:fldChar w:fldCharType="begin"/>
      </w:r>
      <w:r w:rsidR="00AA39CD" w:rsidRPr="00EE43C6">
        <w:instrText xml:space="preserve"> REF _Ref125706849 \h  \* MERGEFORMAT </w:instrText>
      </w:r>
      <w:r w:rsidR="00AA39CD" w:rsidRPr="00EE43C6">
        <w:fldChar w:fldCharType="separate"/>
      </w:r>
      <w:r w:rsidR="002B7172" w:rsidRPr="00EE43C6">
        <w:t>Figure 2</w:t>
      </w:r>
      <w:r w:rsidR="002B7172" w:rsidRPr="00EE43C6">
        <w:noBreakHyphen/>
        <w:t>4</w:t>
      </w:r>
      <w:r w:rsidR="00AA39CD" w:rsidRPr="00EE43C6">
        <w:fldChar w:fldCharType="end"/>
      </w:r>
      <w:r w:rsidR="001D0763" w:rsidRPr="00EE43C6">
        <w:t>.</w:t>
      </w:r>
    </w:p>
    <w:p w14:paraId="3CE1E346" w14:textId="563D77F5" w:rsidR="0057520B" w:rsidRPr="00EE43C6" w:rsidRDefault="0057520B" w:rsidP="00244284">
      <w:pPr>
        <w:spacing w:after="60"/>
      </w:pPr>
      <w:r w:rsidRPr="00EE43C6">
        <w:rPr>
          <w:noProof/>
        </w:rPr>
        <w:drawing>
          <wp:inline distT="0" distB="0" distL="0" distR="0" wp14:anchorId="0F2FC960" wp14:editId="447C4BF1">
            <wp:extent cx="5755640" cy="2314575"/>
            <wp:effectExtent l="38100" t="38100" r="35560" b="47625"/>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755640" cy="2314575"/>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796BA624" w14:textId="6F6DFE79" w:rsidR="00310F55" w:rsidRPr="00EE43C6" w:rsidRDefault="00AA39CD" w:rsidP="00AA39CD">
      <w:pPr>
        <w:pStyle w:val="Caption"/>
        <w:rPr>
          <w:rFonts w:eastAsiaTheme="minorEastAsia"/>
          <w:noProof w:val="0"/>
        </w:rPr>
      </w:pPr>
      <w:bookmarkStart w:id="80" w:name="_Ref125706849"/>
      <w:bookmarkStart w:id="81" w:name="_Toc141445549"/>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4</w:t>
      </w:r>
      <w:r w:rsidR="0096150F">
        <w:rPr>
          <w:noProof w:val="0"/>
          <w:color w:val="00B050"/>
        </w:rPr>
        <w:fldChar w:fldCharType="end"/>
      </w:r>
      <w:bookmarkEnd w:id="80"/>
      <w:r w:rsidRPr="00EE43C6">
        <w:rPr>
          <w:noProof w:val="0"/>
          <w:color w:val="00B050"/>
        </w:rPr>
        <w:t xml:space="preserve">. </w:t>
      </w:r>
      <w:r w:rsidR="00310F55" w:rsidRPr="00EE43C6">
        <w:rPr>
          <w:rFonts w:eastAsiaTheme="minorEastAsia"/>
          <w:b w:val="0"/>
          <w:bCs w:val="0"/>
          <w:noProof w:val="0"/>
          <w:color w:val="auto"/>
        </w:rPr>
        <w:t xml:space="preserve">The </w:t>
      </w:r>
      <w:r w:rsidRPr="00EE43C6">
        <w:rPr>
          <w:rFonts w:eastAsiaTheme="minorEastAsia"/>
          <w:b w:val="0"/>
          <w:bCs w:val="0"/>
          <w:noProof w:val="0"/>
          <w:color w:val="auto"/>
        </w:rPr>
        <w:t>C</w:t>
      </w:r>
      <w:r w:rsidR="00310F55" w:rsidRPr="00EE43C6">
        <w:rPr>
          <w:rFonts w:eastAsiaTheme="minorEastAsia"/>
          <w:b w:val="0"/>
          <w:bCs w:val="0"/>
          <w:noProof w:val="0"/>
          <w:color w:val="auto"/>
        </w:rPr>
        <w:t xml:space="preserve">losest </w:t>
      </w:r>
      <w:r w:rsidRPr="00EE43C6">
        <w:rPr>
          <w:rFonts w:eastAsiaTheme="minorEastAsia"/>
          <w:b w:val="0"/>
          <w:bCs w:val="0"/>
          <w:noProof w:val="0"/>
          <w:color w:val="auto"/>
        </w:rPr>
        <w:t>S</w:t>
      </w:r>
      <w:r w:rsidR="00310F55" w:rsidRPr="00EE43C6">
        <w:rPr>
          <w:rFonts w:eastAsiaTheme="minorEastAsia"/>
          <w:b w:val="0"/>
          <w:bCs w:val="0"/>
          <w:noProof w:val="0"/>
          <w:color w:val="auto"/>
        </w:rPr>
        <w:t xml:space="preserve">ensitive </w:t>
      </w:r>
      <w:r w:rsidRPr="00EE43C6">
        <w:rPr>
          <w:rFonts w:eastAsiaTheme="minorEastAsia"/>
          <w:b w:val="0"/>
          <w:bCs w:val="0"/>
          <w:noProof w:val="0"/>
          <w:color w:val="auto"/>
        </w:rPr>
        <w:t>R</w:t>
      </w:r>
      <w:r w:rsidR="00310F55" w:rsidRPr="00EE43C6">
        <w:rPr>
          <w:rFonts w:eastAsiaTheme="minorEastAsia"/>
          <w:b w:val="0"/>
          <w:bCs w:val="0"/>
          <w:noProof w:val="0"/>
          <w:color w:val="auto"/>
        </w:rPr>
        <w:t xml:space="preserve">eceptor </w:t>
      </w:r>
      <w:r w:rsidRPr="00EE43C6">
        <w:rPr>
          <w:rFonts w:eastAsiaTheme="minorEastAsia"/>
          <w:b w:val="0"/>
          <w:bCs w:val="0"/>
          <w:noProof w:val="0"/>
          <w:color w:val="auto"/>
        </w:rPr>
        <w:t>to the Project Area</w:t>
      </w:r>
      <w:bookmarkEnd w:id="81"/>
    </w:p>
    <w:p w14:paraId="001366E6" w14:textId="53FFC086" w:rsidR="00CB2224" w:rsidRPr="00EE43C6" w:rsidRDefault="00FF655C" w:rsidP="00244284">
      <w:pPr>
        <w:spacing w:after="60"/>
        <w:rPr>
          <w:rFonts w:eastAsiaTheme="minorEastAsia"/>
          <w:lang w:eastAsia="en-US"/>
        </w:rPr>
      </w:pPr>
      <w:r w:rsidRPr="00EE43C6">
        <w:rPr>
          <w:rFonts w:eastAsiaTheme="minorEastAsia"/>
          <w:lang w:eastAsia="en-US"/>
        </w:rPr>
        <w:t xml:space="preserve">The map showing the </w:t>
      </w:r>
      <w:r w:rsidR="004B1FBB" w:rsidRPr="00EE43C6">
        <w:rPr>
          <w:rFonts w:eastAsiaTheme="minorEastAsia"/>
          <w:lang w:eastAsia="en-US"/>
        </w:rPr>
        <w:t xml:space="preserve">concerned </w:t>
      </w:r>
      <w:r w:rsidRPr="00EE43C6">
        <w:rPr>
          <w:rFonts w:eastAsiaTheme="minorEastAsia"/>
          <w:lang w:eastAsia="en-US"/>
        </w:rPr>
        <w:t xml:space="preserve">closest settlements </w:t>
      </w:r>
      <w:r w:rsidR="00187688" w:rsidRPr="00EE43C6">
        <w:rPr>
          <w:rFonts w:eastAsiaTheme="minorEastAsia"/>
          <w:lang w:eastAsia="en-US"/>
        </w:rPr>
        <w:t>and sensitive receptor</w:t>
      </w:r>
      <w:r w:rsidRPr="00EE43C6">
        <w:rPr>
          <w:rFonts w:eastAsiaTheme="minorEastAsia"/>
          <w:lang w:eastAsia="en-US"/>
        </w:rPr>
        <w:t xml:space="preserve"> to the Project Area is in </w:t>
      </w:r>
      <w:r w:rsidRPr="00EE43C6">
        <w:rPr>
          <w:rFonts w:eastAsiaTheme="minorEastAsia"/>
          <w:lang w:eastAsia="en-US"/>
        </w:rPr>
        <w:fldChar w:fldCharType="begin"/>
      </w:r>
      <w:r w:rsidRPr="00EE43C6">
        <w:rPr>
          <w:rFonts w:eastAsiaTheme="minorEastAsia"/>
          <w:lang w:eastAsia="en-US"/>
        </w:rPr>
        <w:instrText xml:space="preserve"> REF _Ref124778818 \h  \* MERGEFORMAT </w:instrText>
      </w:r>
      <w:r w:rsidRPr="00EE43C6">
        <w:rPr>
          <w:rFonts w:eastAsiaTheme="minorEastAsia"/>
          <w:lang w:eastAsia="en-US"/>
        </w:rPr>
      </w:r>
      <w:r w:rsidRPr="00EE43C6">
        <w:rPr>
          <w:rFonts w:eastAsiaTheme="minorEastAsia"/>
          <w:lang w:eastAsia="en-US"/>
        </w:rPr>
        <w:fldChar w:fldCharType="separate"/>
      </w:r>
      <w:r w:rsidR="002B7172" w:rsidRPr="00EE43C6">
        <w:rPr>
          <w:rFonts w:eastAsiaTheme="minorEastAsia"/>
          <w:lang w:eastAsia="en-US"/>
        </w:rPr>
        <w:t>Figure 2</w:t>
      </w:r>
      <w:r w:rsidR="002B7172" w:rsidRPr="00EE43C6">
        <w:rPr>
          <w:rFonts w:eastAsiaTheme="minorEastAsia"/>
          <w:lang w:eastAsia="en-US"/>
        </w:rPr>
        <w:noBreakHyphen/>
        <w:t>5</w:t>
      </w:r>
      <w:r w:rsidRPr="00EE43C6">
        <w:rPr>
          <w:rFonts w:eastAsiaTheme="minorEastAsia"/>
          <w:lang w:eastAsia="en-US"/>
        </w:rPr>
        <w:fldChar w:fldCharType="end"/>
      </w:r>
      <w:r w:rsidRPr="00EE43C6">
        <w:rPr>
          <w:rFonts w:eastAsiaTheme="minorEastAsia"/>
          <w:lang w:eastAsia="en-US"/>
        </w:rPr>
        <w:t>.</w:t>
      </w:r>
    </w:p>
    <w:p w14:paraId="012B8114" w14:textId="1C537593" w:rsidR="00FF655C" w:rsidRPr="00EE43C6" w:rsidRDefault="003F7666" w:rsidP="000D4806">
      <w:pPr>
        <w:spacing w:before="0" w:after="60"/>
        <w:jc w:val="center"/>
        <w:rPr>
          <w:rFonts w:eastAsiaTheme="minorEastAsia"/>
          <w:lang w:eastAsia="en-US"/>
        </w:rPr>
      </w:pPr>
      <w:r w:rsidRPr="00EE43C6">
        <w:rPr>
          <w:noProof/>
        </w:rPr>
        <w:lastRenderedPageBreak/>
        <w:drawing>
          <wp:inline distT="0" distB="0" distL="0" distR="0" wp14:anchorId="7B15A3FE" wp14:editId="3EC4AFE8">
            <wp:extent cx="5755640" cy="8133715"/>
            <wp:effectExtent l="38100" t="38100" r="35560" b="3873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55640" cy="8133715"/>
                    </a:xfrm>
                    <a:prstGeom prst="rect">
                      <a:avLst/>
                    </a:prstGeom>
                    <a:ln w="38100">
                      <a:solidFill>
                        <a:sysClr val="windowText" lastClr="000000"/>
                      </a:solidFill>
                    </a:ln>
                  </pic:spPr>
                </pic:pic>
              </a:graphicData>
            </a:graphic>
          </wp:inline>
        </w:drawing>
      </w:r>
    </w:p>
    <w:p w14:paraId="1DB2985A" w14:textId="6F3D06A2" w:rsidR="00FF655C" w:rsidRPr="00EE43C6" w:rsidRDefault="00FF655C" w:rsidP="00FF655C">
      <w:pPr>
        <w:pStyle w:val="Caption"/>
        <w:rPr>
          <w:rFonts w:eastAsiaTheme="minorEastAsia"/>
          <w:noProof w:val="0"/>
        </w:rPr>
      </w:pPr>
      <w:bookmarkStart w:id="82" w:name="_Ref124778818"/>
      <w:bookmarkStart w:id="83" w:name="_Toc141445550"/>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5</w:t>
      </w:r>
      <w:r w:rsidR="0096150F">
        <w:rPr>
          <w:noProof w:val="0"/>
          <w:color w:val="00B050"/>
        </w:rPr>
        <w:fldChar w:fldCharType="end"/>
      </w:r>
      <w:bookmarkEnd w:id="82"/>
      <w:r w:rsidRPr="00EE43C6">
        <w:rPr>
          <w:noProof w:val="0"/>
          <w:color w:val="00B050"/>
        </w:rPr>
        <w:t xml:space="preserve">. </w:t>
      </w:r>
      <w:r w:rsidRPr="00EE43C6">
        <w:rPr>
          <w:b w:val="0"/>
          <w:bCs w:val="0"/>
          <w:noProof w:val="0"/>
          <w:color w:val="auto"/>
        </w:rPr>
        <w:t xml:space="preserve">The </w:t>
      </w:r>
      <w:r w:rsidR="00560DF7" w:rsidRPr="00EE43C6">
        <w:rPr>
          <w:b w:val="0"/>
          <w:bCs w:val="0"/>
          <w:noProof w:val="0"/>
          <w:color w:val="auto"/>
        </w:rPr>
        <w:t>C</w:t>
      </w:r>
      <w:r w:rsidRPr="00EE43C6">
        <w:rPr>
          <w:rFonts w:eastAsiaTheme="minorEastAsia"/>
          <w:b w:val="0"/>
          <w:bCs w:val="0"/>
          <w:noProof w:val="0"/>
          <w:color w:val="auto"/>
        </w:rPr>
        <w:t xml:space="preserve">losest Settlement </w:t>
      </w:r>
      <w:r w:rsidR="00F935F5" w:rsidRPr="00EE43C6">
        <w:rPr>
          <w:rFonts w:eastAsiaTheme="minorEastAsia"/>
          <w:b w:val="0"/>
          <w:bCs w:val="0"/>
          <w:noProof w:val="0"/>
          <w:color w:val="auto"/>
        </w:rPr>
        <w:t xml:space="preserve">and Sensitive Receptor </w:t>
      </w:r>
      <w:r w:rsidRPr="00EE43C6">
        <w:rPr>
          <w:rFonts w:eastAsiaTheme="minorEastAsia"/>
          <w:b w:val="0"/>
          <w:bCs w:val="0"/>
          <w:noProof w:val="0"/>
          <w:color w:val="auto"/>
        </w:rPr>
        <w:t>to the Project Area</w:t>
      </w:r>
      <w:bookmarkEnd w:id="83"/>
    </w:p>
    <w:p w14:paraId="1B328D1C" w14:textId="035F3896" w:rsidR="001D40F3" w:rsidRPr="00EE43C6" w:rsidRDefault="00244284" w:rsidP="00244284">
      <w:pPr>
        <w:spacing w:after="60"/>
        <w:rPr>
          <w:rFonts w:eastAsiaTheme="minorEastAsia"/>
          <w:lang w:eastAsia="en-US"/>
        </w:rPr>
      </w:pPr>
      <w:r w:rsidRPr="00EE43C6">
        <w:rPr>
          <w:rFonts w:eastAsiaTheme="minorEastAsia"/>
          <w:lang w:eastAsia="en-US"/>
        </w:rPr>
        <w:lastRenderedPageBreak/>
        <w:t>The Project Area is 250 m away from Adana-Aksaray Road (D750) (Old Ankara Road) and connection is provided to Tarsus-Ankara Highway (E90) via the connection located 4.5 km south of the Project Area. There is a connection to Adana-Mersin and Adana-Erdemli Highway from 4.5 km south of the Project Area. In addition to this</w:t>
      </w:r>
      <w:r w:rsidR="00DE7CF5" w:rsidRPr="00EE43C6">
        <w:rPr>
          <w:rFonts w:eastAsiaTheme="minorEastAsia"/>
          <w:lang w:eastAsia="en-US"/>
        </w:rPr>
        <w:t>, t</w:t>
      </w:r>
      <w:r w:rsidRPr="00EE43C6">
        <w:rPr>
          <w:rFonts w:eastAsiaTheme="minorEastAsia"/>
          <w:lang w:eastAsia="en-US"/>
        </w:rPr>
        <w:t xml:space="preserve">he </w:t>
      </w:r>
      <w:r w:rsidR="00DE7CF5" w:rsidRPr="00EE43C6">
        <w:rPr>
          <w:rFonts w:eastAsiaTheme="minorEastAsia"/>
          <w:lang w:eastAsia="en-US"/>
        </w:rPr>
        <w:t>P</w:t>
      </w:r>
      <w:r w:rsidRPr="00EE43C6">
        <w:rPr>
          <w:rFonts w:eastAsiaTheme="minorEastAsia"/>
          <w:lang w:eastAsia="en-US"/>
        </w:rPr>
        <w:t xml:space="preserve">roject </w:t>
      </w:r>
      <w:r w:rsidR="00DE7CF5" w:rsidRPr="00EE43C6">
        <w:rPr>
          <w:rFonts w:eastAsiaTheme="minorEastAsia"/>
          <w:lang w:eastAsia="en-US"/>
        </w:rPr>
        <w:t>A</w:t>
      </w:r>
      <w:r w:rsidRPr="00EE43C6">
        <w:rPr>
          <w:rFonts w:eastAsiaTheme="minorEastAsia"/>
          <w:lang w:eastAsia="en-US"/>
        </w:rPr>
        <w:t>rea is 43.4 km from Adana Airport</w:t>
      </w:r>
      <w:r w:rsidR="00D84EEE" w:rsidRPr="00EE43C6">
        <w:rPr>
          <w:rFonts w:eastAsiaTheme="minorEastAsia"/>
          <w:lang w:eastAsia="en-US"/>
        </w:rPr>
        <w:t xml:space="preserve"> and </w:t>
      </w:r>
      <w:r w:rsidR="004129FF" w:rsidRPr="00EE43C6">
        <w:rPr>
          <w:rFonts w:eastAsiaTheme="minorEastAsia"/>
          <w:lang w:eastAsia="en-US"/>
        </w:rPr>
        <w:t>the related t</w:t>
      </w:r>
      <w:r w:rsidRPr="00EE43C6">
        <w:rPr>
          <w:rFonts w:eastAsiaTheme="minorEastAsia"/>
          <w:lang w:eastAsia="en-US"/>
        </w:rPr>
        <w:t xml:space="preserve">ransportation is provided via the Adana-Mersin Highway located in the south of the </w:t>
      </w:r>
      <w:r w:rsidR="00A50826" w:rsidRPr="00EE43C6">
        <w:rPr>
          <w:rFonts w:eastAsiaTheme="minorEastAsia"/>
          <w:lang w:eastAsia="en-US"/>
        </w:rPr>
        <w:t>P</w:t>
      </w:r>
      <w:r w:rsidRPr="00EE43C6">
        <w:rPr>
          <w:rFonts w:eastAsiaTheme="minorEastAsia"/>
          <w:lang w:eastAsia="en-US"/>
        </w:rPr>
        <w:t xml:space="preserve">roject </w:t>
      </w:r>
      <w:r w:rsidR="00A50826" w:rsidRPr="00EE43C6">
        <w:rPr>
          <w:rFonts w:eastAsiaTheme="minorEastAsia"/>
          <w:lang w:eastAsia="en-US"/>
        </w:rPr>
        <w:t>A</w:t>
      </w:r>
      <w:r w:rsidRPr="00EE43C6">
        <w:rPr>
          <w:rFonts w:eastAsiaTheme="minorEastAsia"/>
          <w:lang w:eastAsia="en-US"/>
        </w:rPr>
        <w:t xml:space="preserve">rea by road. The </w:t>
      </w:r>
      <w:r w:rsidR="00D84EEE" w:rsidRPr="00EE43C6">
        <w:rPr>
          <w:rFonts w:eastAsiaTheme="minorEastAsia"/>
          <w:lang w:eastAsia="en-US"/>
        </w:rPr>
        <w:t>P</w:t>
      </w:r>
      <w:r w:rsidRPr="00EE43C6">
        <w:rPr>
          <w:rFonts w:eastAsiaTheme="minorEastAsia"/>
          <w:lang w:eastAsia="en-US"/>
        </w:rPr>
        <w:t xml:space="preserve">roject </w:t>
      </w:r>
      <w:r w:rsidR="00D84EEE" w:rsidRPr="00EE43C6">
        <w:rPr>
          <w:rFonts w:eastAsiaTheme="minorEastAsia"/>
          <w:lang w:eastAsia="en-US"/>
        </w:rPr>
        <w:t>A</w:t>
      </w:r>
      <w:r w:rsidRPr="00EE43C6">
        <w:rPr>
          <w:rFonts w:eastAsiaTheme="minorEastAsia"/>
          <w:lang w:eastAsia="en-US"/>
        </w:rPr>
        <w:t>rea is 54.5 km from Mersin Port</w:t>
      </w:r>
      <w:r w:rsidR="004129FF" w:rsidRPr="00EE43C6">
        <w:rPr>
          <w:rFonts w:eastAsiaTheme="minorEastAsia"/>
          <w:lang w:eastAsia="en-US"/>
        </w:rPr>
        <w:t xml:space="preserve"> and the related t</w:t>
      </w:r>
      <w:r w:rsidRPr="00EE43C6">
        <w:rPr>
          <w:rFonts w:eastAsiaTheme="minorEastAsia"/>
          <w:lang w:eastAsia="en-US"/>
        </w:rPr>
        <w:t xml:space="preserve">ransportation is provided via the Adana-Erdemli Highway located in the south of the </w:t>
      </w:r>
      <w:r w:rsidR="004129FF" w:rsidRPr="00EE43C6">
        <w:rPr>
          <w:rFonts w:eastAsiaTheme="minorEastAsia"/>
          <w:lang w:eastAsia="en-US"/>
        </w:rPr>
        <w:t>P</w:t>
      </w:r>
      <w:r w:rsidRPr="00EE43C6">
        <w:rPr>
          <w:rFonts w:eastAsiaTheme="minorEastAsia"/>
          <w:lang w:eastAsia="en-US"/>
        </w:rPr>
        <w:t xml:space="preserve">roject </w:t>
      </w:r>
      <w:r w:rsidR="004129FF" w:rsidRPr="00EE43C6">
        <w:rPr>
          <w:rFonts w:eastAsiaTheme="minorEastAsia"/>
          <w:lang w:eastAsia="en-US"/>
        </w:rPr>
        <w:t>A</w:t>
      </w:r>
      <w:r w:rsidRPr="00EE43C6">
        <w:rPr>
          <w:rFonts w:eastAsiaTheme="minorEastAsia"/>
          <w:lang w:eastAsia="en-US"/>
        </w:rPr>
        <w:t xml:space="preserve">rea by road. The </w:t>
      </w:r>
      <w:r w:rsidR="00FA282F" w:rsidRPr="00EE43C6">
        <w:rPr>
          <w:rFonts w:eastAsiaTheme="minorEastAsia"/>
          <w:lang w:eastAsia="en-US"/>
        </w:rPr>
        <w:t>P</w:t>
      </w:r>
      <w:r w:rsidRPr="00EE43C6">
        <w:rPr>
          <w:rFonts w:eastAsiaTheme="minorEastAsia"/>
          <w:lang w:eastAsia="en-US"/>
        </w:rPr>
        <w:t xml:space="preserve">roject </w:t>
      </w:r>
      <w:r w:rsidR="00FA282F" w:rsidRPr="00EE43C6">
        <w:rPr>
          <w:rFonts w:eastAsiaTheme="minorEastAsia"/>
          <w:lang w:eastAsia="en-US"/>
        </w:rPr>
        <w:t>A</w:t>
      </w:r>
      <w:r w:rsidRPr="00EE43C6">
        <w:rPr>
          <w:rFonts w:eastAsiaTheme="minorEastAsia"/>
          <w:lang w:eastAsia="en-US"/>
        </w:rPr>
        <w:t>rea is 17.8 km from Tarsus Train Station</w:t>
      </w:r>
      <w:r w:rsidR="00FA282F" w:rsidRPr="00EE43C6">
        <w:rPr>
          <w:rFonts w:eastAsiaTheme="minorEastAsia"/>
          <w:lang w:eastAsia="en-US"/>
        </w:rPr>
        <w:t xml:space="preserve"> and the related t</w:t>
      </w:r>
      <w:r w:rsidRPr="00EE43C6">
        <w:rPr>
          <w:rFonts w:eastAsiaTheme="minorEastAsia"/>
          <w:lang w:eastAsia="en-US"/>
        </w:rPr>
        <w:t xml:space="preserve">ransportation is provided via the Adana-Aksaray Road, which passes by the </w:t>
      </w:r>
      <w:r w:rsidR="00FA282F" w:rsidRPr="00EE43C6">
        <w:rPr>
          <w:rFonts w:eastAsiaTheme="minorEastAsia"/>
          <w:lang w:eastAsia="en-US"/>
        </w:rPr>
        <w:t>P</w:t>
      </w:r>
      <w:r w:rsidRPr="00EE43C6">
        <w:rPr>
          <w:rFonts w:eastAsiaTheme="minorEastAsia"/>
          <w:lang w:eastAsia="en-US"/>
        </w:rPr>
        <w:t xml:space="preserve">roject </w:t>
      </w:r>
      <w:r w:rsidR="00FA282F" w:rsidRPr="00EE43C6">
        <w:rPr>
          <w:rFonts w:eastAsiaTheme="minorEastAsia"/>
          <w:lang w:eastAsia="en-US"/>
        </w:rPr>
        <w:t>A</w:t>
      </w:r>
      <w:r w:rsidRPr="00EE43C6">
        <w:rPr>
          <w:rFonts w:eastAsiaTheme="minorEastAsia"/>
          <w:lang w:eastAsia="en-US"/>
        </w:rPr>
        <w:t>rea by road.</w:t>
      </w:r>
    </w:p>
    <w:p w14:paraId="1E2F5326" w14:textId="509010B8" w:rsidR="00396B68" w:rsidRDefault="0010549E" w:rsidP="5F58EB95">
      <w:pPr>
        <w:spacing w:after="60"/>
        <w:rPr>
          <w:rFonts w:eastAsiaTheme="minorEastAsia"/>
          <w:lang w:eastAsia="en-US"/>
        </w:rPr>
      </w:pPr>
      <w:r w:rsidRPr="5F58EB95">
        <w:rPr>
          <w:rFonts w:eastAsiaTheme="minorEastAsia"/>
          <w:lang w:eastAsia="en-US"/>
        </w:rPr>
        <w:t xml:space="preserve">Firstly, TUIOSB was planned to be establish on an area of 58 hectares in 2018, and then the total area </w:t>
      </w:r>
      <w:r w:rsidR="4D56DA6E" w:rsidRPr="5F58EB95">
        <w:rPr>
          <w:rFonts w:eastAsiaTheme="minorEastAsia"/>
          <w:lang w:eastAsia="en-US"/>
        </w:rPr>
        <w:t xml:space="preserve">was </w:t>
      </w:r>
      <w:r w:rsidRPr="5F58EB95">
        <w:rPr>
          <w:rFonts w:eastAsiaTheme="minorEastAsia"/>
          <w:lang w:eastAsia="en-US"/>
        </w:rPr>
        <w:t>increased to 116 hectares with the additional area approved by the Ministry of Industry and Technology General Directorate of Industrial Zones with the letter dated March 4, 2022 and numbered 3424023</w:t>
      </w:r>
      <w:r w:rsidR="00616174" w:rsidRPr="5F58EB95">
        <w:rPr>
          <w:rFonts w:eastAsiaTheme="minorEastAsia"/>
          <w:lang w:eastAsia="en-US"/>
        </w:rPr>
        <w:t xml:space="preserve"> However, not all of the owners of the private lands  could  be reached</w:t>
      </w:r>
      <w:r w:rsidR="27CF626B" w:rsidRPr="5F58EB95">
        <w:rPr>
          <w:rFonts w:eastAsiaTheme="minorEastAsia"/>
          <w:lang w:eastAsia="en-US"/>
        </w:rPr>
        <w:t xml:space="preserve"> and </w:t>
      </w:r>
      <w:r w:rsidR="00616174" w:rsidRPr="5F58EB95">
        <w:rPr>
          <w:rFonts w:eastAsiaTheme="minorEastAsia"/>
          <w:lang w:eastAsia="en-US"/>
        </w:rPr>
        <w:t xml:space="preserve">land acquisition </w:t>
      </w:r>
      <w:r w:rsidR="354ECB57" w:rsidRPr="5F58EB95">
        <w:rPr>
          <w:rFonts w:eastAsiaTheme="minorEastAsia"/>
          <w:lang w:eastAsia="en-US"/>
        </w:rPr>
        <w:t xml:space="preserve">undertaken.. Hence, the project was divided into two phases with </w:t>
      </w:r>
      <w:r w:rsidR="00616174" w:rsidRPr="5F58EB95">
        <w:rPr>
          <w:rFonts w:eastAsiaTheme="minorEastAsia"/>
          <w:lang w:eastAsia="en-US"/>
        </w:rPr>
        <w:t xml:space="preserve"> Phase 1 expanded to approximately 92 hectares. The remaining area of approximately 24 hectares was defined as Phase 2 of the project. Phase 2 will be realised with the Project Owner's own resources as mentioned before. The area referred to as Phase 1 in the following sections of this report is the final expanded version. The list of 16 parcels comprising 92 hectares is given in Section 6.13 below</w:t>
      </w:r>
      <w:r w:rsidR="00F30DFA" w:rsidRPr="5F58EB95">
        <w:rPr>
          <w:rFonts w:eastAsiaTheme="minorEastAsia"/>
          <w:lang w:eastAsia="en-US"/>
        </w:rPr>
        <w:t>.</w:t>
      </w:r>
    </w:p>
    <w:p w14:paraId="373D5792" w14:textId="21A92B0E" w:rsidR="0010549E" w:rsidRPr="00EE43C6" w:rsidRDefault="0010549E" w:rsidP="00244284">
      <w:pPr>
        <w:spacing w:after="60"/>
      </w:pPr>
      <w:r w:rsidRPr="2DB09FEA">
        <w:rPr>
          <w:rFonts w:eastAsiaTheme="minorEastAsia"/>
          <w:lang w:eastAsia="en-US"/>
        </w:rPr>
        <w:t>The planning studies of TUIOSB was prepared in accordance with the provisions of the Organized Industrial Zones Law No. 4562, the Zoning Law No. 3194, the Regulation on the Production of Spatial Plans, the 1/100,000 scaled Territorial Plan and Plan Provisions of the Mersin-Adana Planning Zone and the OIZ Implementation Regulation.</w:t>
      </w:r>
      <w:r w:rsidR="00D33FD2" w:rsidRPr="2DB09FEA">
        <w:rPr>
          <w:rFonts w:eastAsiaTheme="minorEastAsia"/>
          <w:lang w:eastAsia="en-US"/>
        </w:rPr>
        <w:t xml:space="preserve"> </w:t>
      </w:r>
      <w:r w:rsidR="00D33FD2">
        <w:t>The Project’s location on the territorial plan i</w:t>
      </w:r>
      <w:r w:rsidR="00A34F96">
        <w:t>s</w:t>
      </w:r>
      <w:r w:rsidR="00D33FD2">
        <w:t xml:space="preserve"> shown in</w:t>
      </w:r>
      <w:r w:rsidR="00BD1132">
        <w:t xml:space="preserve"> </w:t>
      </w:r>
      <w:r>
        <w:fldChar w:fldCharType="begin"/>
      </w:r>
      <w:r>
        <w:instrText xml:space="preserve"> REF _Ref136451193 \h </w:instrText>
      </w:r>
      <w:r>
        <w:fldChar w:fldCharType="separate"/>
      </w:r>
      <w:r w:rsidR="00BD1132">
        <w:t>Figure 26</w:t>
      </w:r>
      <w:r>
        <w:fldChar w:fldCharType="end"/>
      </w:r>
      <w:r w:rsidR="00D33FD2">
        <w:t>.</w:t>
      </w:r>
    </w:p>
    <w:p w14:paraId="4234C7AA" w14:textId="7D2C9990" w:rsidR="007534FA" w:rsidRPr="00EE43C6" w:rsidRDefault="002D1473" w:rsidP="002D1473">
      <w:pPr>
        <w:spacing w:before="0" w:after="60"/>
        <w:jc w:val="center"/>
      </w:pPr>
      <w:r w:rsidRPr="00EE43C6">
        <w:rPr>
          <w:noProof/>
        </w:rPr>
        <w:lastRenderedPageBreak/>
        <w:drawing>
          <wp:inline distT="0" distB="0" distL="0" distR="0" wp14:anchorId="330C3282" wp14:editId="14B10271">
            <wp:extent cx="5256000" cy="7804392"/>
            <wp:effectExtent l="38100" t="38100" r="40005" b="44450"/>
            <wp:docPr id="43" name="Resim 4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10;&#10;Description automatically generated"/>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5256000" cy="7804392"/>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56551481" w14:textId="67122A36" w:rsidR="00D33FD2" w:rsidRPr="00EE43C6" w:rsidRDefault="007534FA" w:rsidP="007534FA">
      <w:pPr>
        <w:pStyle w:val="Caption"/>
        <w:rPr>
          <w:rFonts w:eastAsiaTheme="minorEastAsia"/>
          <w:noProof w:val="0"/>
        </w:rPr>
      </w:pPr>
      <w:bookmarkStart w:id="84" w:name="_Ref136451193"/>
      <w:bookmarkStart w:id="85" w:name="_Ref124779956"/>
      <w:bookmarkStart w:id="86" w:name="_Toc141445551"/>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6</w:t>
      </w:r>
      <w:r w:rsidR="0096150F">
        <w:rPr>
          <w:noProof w:val="0"/>
          <w:color w:val="00B050"/>
        </w:rPr>
        <w:fldChar w:fldCharType="end"/>
      </w:r>
      <w:bookmarkEnd w:id="84"/>
      <w:bookmarkEnd w:id="85"/>
      <w:r w:rsidRPr="00EE43C6">
        <w:rPr>
          <w:noProof w:val="0"/>
          <w:color w:val="00B050"/>
        </w:rPr>
        <w:t xml:space="preserve">. </w:t>
      </w:r>
      <w:r w:rsidRPr="00EE43C6">
        <w:rPr>
          <w:rFonts w:eastAsiaTheme="minorEastAsia"/>
          <w:b w:val="0"/>
          <w:bCs w:val="0"/>
          <w:noProof w:val="0"/>
          <w:color w:val="auto"/>
        </w:rPr>
        <w:t>1/100,000 scale territorial plan of Mersin-Adana planning zone showing 5 km around of the Project</w:t>
      </w:r>
      <w:r w:rsidR="00D67859" w:rsidRPr="00EE43C6">
        <w:rPr>
          <w:rStyle w:val="FootnoteReference"/>
          <w:rFonts w:eastAsiaTheme="minorEastAsia"/>
          <w:b w:val="0"/>
          <w:bCs w:val="0"/>
          <w:noProof w:val="0"/>
          <w:color w:val="auto"/>
        </w:rPr>
        <w:footnoteReference w:id="4"/>
      </w:r>
      <w:bookmarkEnd w:id="86"/>
    </w:p>
    <w:p w14:paraId="785387C6" w14:textId="77777777" w:rsidR="004339AC" w:rsidRPr="00EE43C6" w:rsidRDefault="004339AC" w:rsidP="005B5CD4">
      <w:pPr>
        <w:pStyle w:val="Heading2"/>
        <w:rPr>
          <w:lang w:val="en-GB"/>
        </w:rPr>
      </w:pPr>
      <w:bookmarkStart w:id="87" w:name="_Toc80633517"/>
      <w:bookmarkStart w:id="88" w:name="_Toc120016888"/>
      <w:bookmarkStart w:id="89" w:name="_Toc120004666"/>
      <w:bookmarkStart w:id="90" w:name="_Toc141445394"/>
      <w:r w:rsidRPr="00EE43C6">
        <w:rPr>
          <w:lang w:val="en-GB"/>
        </w:rPr>
        <w:lastRenderedPageBreak/>
        <w:t>Purpose of the Project</w:t>
      </w:r>
      <w:bookmarkEnd w:id="87"/>
      <w:bookmarkEnd w:id="88"/>
      <w:bookmarkEnd w:id="89"/>
      <w:bookmarkEnd w:id="90"/>
    </w:p>
    <w:p w14:paraId="56824478" w14:textId="2C54B81E" w:rsidR="0092692B" w:rsidRPr="00EE43C6" w:rsidRDefault="0092692B" w:rsidP="000D0F88">
      <w:pPr>
        <w:rPr>
          <w:rFonts w:cs="Arial"/>
          <w:szCs w:val="22"/>
        </w:rPr>
      </w:pPr>
      <w:r w:rsidRPr="00EE43C6">
        <w:rPr>
          <w:rFonts w:cs="Arial"/>
          <w:szCs w:val="22"/>
        </w:rPr>
        <w:t xml:space="preserve">Pursuant to the Organized Industrial Zones Law No. 4562 and the Organized Industrial Zones Implementation Regulation, it is obliged to establish infrastructure as an institution within the legal framework </w:t>
      </w:r>
      <w:r w:rsidR="00C42020" w:rsidRPr="00EE43C6">
        <w:rPr>
          <w:rFonts w:cs="Arial"/>
          <w:szCs w:val="22"/>
        </w:rPr>
        <w:t>in</w:t>
      </w:r>
      <w:r w:rsidRPr="00EE43C6">
        <w:rPr>
          <w:rFonts w:cs="Arial"/>
          <w:szCs w:val="22"/>
        </w:rPr>
        <w:t xml:space="preserve"> the approved borders of </w:t>
      </w:r>
      <w:r w:rsidR="000C0A71" w:rsidRPr="00EE43C6">
        <w:rPr>
          <w:rFonts w:cs="Arial"/>
          <w:szCs w:val="22"/>
        </w:rPr>
        <w:t>the Project</w:t>
      </w:r>
      <w:r w:rsidRPr="00EE43C6">
        <w:rPr>
          <w:rFonts w:cs="Arial"/>
          <w:szCs w:val="22"/>
        </w:rPr>
        <w:t>.</w:t>
      </w:r>
    </w:p>
    <w:p w14:paraId="32501169" w14:textId="48D257E7" w:rsidR="00300FA8" w:rsidRPr="00EE43C6" w:rsidRDefault="000D0F88" w:rsidP="004339AC">
      <w:pPr>
        <w:rPr>
          <w:rFonts w:cs="Arial"/>
          <w:szCs w:val="22"/>
        </w:rPr>
      </w:pPr>
      <w:r w:rsidRPr="00EE43C6">
        <w:rPr>
          <w:rFonts w:cs="Arial"/>
          <w:szCs w:val="22"/>
        </w:rPr>
        <w:t xml:space="preserve">The </w:t>
      </w:r>
      <w:r w:rsidR="00C42020" w:rsidRPr="00EE43C6">
        <w:rPr>
          <w:rFonts w:cs="Arial"/>
          <w:szCs w:val="22"/>
        </w:rPr>
        <w:t>P</w:t>
      </w:r>
      <w:r w:rsidRPr="00EE43C6">
        <w:rPr>
          <w:rFonts w:cs="Arial"/>
          <w:szCs w:val="22"/>
        </w:rPr>
        <w:t xml:space="preserve">roject covers the infrastructure manufacturing of the newly established </w:t>
      </w:r>
      <w:r w:rsidR="00C42020" w:rsidRPr="00EE43C6">
        <w:rPr>
          <w:rFonts w:cs="Arial"/>
          <w:szCs w:val="22"/>
        </w:rPr>
        <w:t xml:space="preserve">Mersin </w:t>
      </w:r>
      <w:r w:rsidRPr="00EE43C6">
        <w:rPr>
          <w:rFonts w:cs="Arial"/>
          <w:szCs w:val="22"/>
        </w:rPr>
        <w:t xml:space="preserve">Tarsus Agricultural Product Processing Specialized Organized Industrial Zone. In summary, the </w:t>
      </w:r>
      <w:r w:rsidR="008D1B55" w:rsidRPr="00EE43C6">
        <w:rPr>
          <w:rFonts w:cs="Arial"/>
          <w:szCs w:val="22"/>
        </w:rPr>
        <w:t>P</w:t>
      </w:r>
      <w:r w:rsidRPr="00EE43C6">
        <w:rPr>
          <w:rFonts w:cs="Arial"/>
          <w:szCs w:val="22"/>
        </w:rPr>
        <w:t>roject aims to increase the competitiveness of companies by improving the investment environment, as well as making a positive contribution to the environment in order to create the technical/physical infrastructure of the OIZ and increase its attractiveness for investors.</w:t>
      </w:r>
    </w:p>
    <w:p w14:paraId="3B6D66BE" w14:textId="528352E9" w:rsidR="0010105E" w:rsidRPr="00EE43C6" w:rsidRDefault="00732600" w:rsidP="3C3DFBEF">
      <w:pPr>
        <w:spacing w:after="120"/>
        <w:rPr>
          <w:rFonts w:cs="Arial"/>
        </w:rPr>
      </w:pPr>
      <w:r w:rsidRPr="3C3DFBEF">
        <w:rPr>
          <w:rFonts w:cs="Arial"/>
        </w:rPr>
        <w:t xml:space="preserve">In this context, </w:t>
      </w:r>
      <w:r w:rsidR="002D5492" w:rsidRPr="3C3DFBEF">
        <w:rPr>
          <w:rFonts w:cs="Arial"/>
        </w:rPr>
        <w:t>the wastewater of the facilities that will operate in the OIZ will be treated at the WWTP to be constructed and given to the receiving environment.</w:t>
      </w:r>
      <w:r w:rsidR="0039132F" w:rsidRPr="3C3DFBEF">
        <w:rPr>
          <w:rFonts w:cs="Arial"/>
        </w:rPr>
        <w:t xml:space="preserve"> </w:t>
      </w:r>
      <w:r w:rsidR="00E92EEB" w:rsidRPr="3C3DFBEF">
        <w:rPr>
          <w:rFonts w:cs="Arial"/>
        </w:rPr>
        <w:t>The WWTP</w:t>
      </w:r>
      <w:r w:rsidR="0039132F" w:rsidRPr="3C3DFBEF">
        <w:rPr>
          <w:rFonts w:cs="Arial"/>
        </w:rPr>
        <w:t xml:space="preserve"> </w:t>
      </w:r>
      <w:r w:rsidR="00931FBA" w:rsidRPr="3C3DFBEF">
        <w:rPr>
          <w:rFonts w:cs="Arial"/>
        </w:rPr>
        <w:t xml:space="preserve">is not the part of the Project and not within the scope of loan usage. </w:t>
      </w:r>
      <w:bookmarkStart w:id="91" w:name="_Hlk130550071"/>
      <w:r w:rsidR="00D81FF3" w:rsidRPr="3C3DFBEF">
        <w:rPr>
          <w:rFonts w:cs="Arial"/>
        </w:rPr>
        <w:t>The WWTP will</w:t>
      </w:r>
      <w:r w:rsidR="002B653A" w:rsidRPr="3C3DFBEF">
        <w:rPr>
          <w:rFonts w:cs="Arial"/>
        </w:rPr>
        <w:t xml:space="preserve"> be</w:t>
      </w:r>
      <w:r w:rsidR="00D81FF3" w:rsidRPr="3C3DFBEF">
        <w:rPr>
          <w:rFonts w:cs="Arial"/>
        </w:rPr>
        <w:t xml:space="preserve"> </w:t>
      </w:r>
      <w:r w:rsidR="002B653A" w:rsidRPr="3C3DFBEF">
        <w:rPr>
          <w:rFonts w:cs="Arial"/>
        </w:rPr>
        <w:t>built</w:t>
      </w:r>
      <w:r w:rsidR="00D81FF3" w:rsidRPr="3C3DFBEF">
        <w:rPr>
          <w:rFonts w:cs="Arial"/>
        </w:rPr>
        <w:t xml:space="preserve"> in parallel with the construction of the infrastructure lines and is planned to be completed at the same time.</w:t>
      </w:r>
      <w:r w:rsidR="0003317F" w:rsidRPr="3C3DFBEF">
        <w:rPr>
          <w:rFonts w:cs="Arial"/>
        </w:rPr>
        <w:t xml:space="preserve"> </w:t>
      </w:r>
      <w:bookmarkEnd w:id="91"/>
      <w:r w:rsidR="0003317F" w:rsidRPr="3C3DFBEF">
        <w:rPr>
          <w:rFonts w:cs="Arial"/>
        </w:rPr>
        <w:t xml:space="preserve">The planned Project time schedule is presented in </w:t>
      </w:r>
      <w:r w:rsidR="0003317F" w:rsidRPr="3C3DFBEF">
        <w:rPr>
          <w:rFonts w:cs="Arial"/>
        </w:rPr>
        <w:fldChar w:fldCharType="begin"/>
      </w:r>
      <w:r w:rsidR="0003317F" w:rsidRPr="3C3DFBEF">
        <w:rPr>
          <w:rFonts w:cs="Arial"/>
        </w:rPr>
        <w:instrText xml:space="preserve"> REF _Ref127873825 \h  \* MERGEFORMAT </w:instrText>
      </w:r>
      <w:r w:rsidR="0003317F" w:rsidRPr="3C3DFBEF">
        <w:rPr>
          <w:rFonts w:cs="Arial"/>
        </w:rPr>
      </w:r>
      <w:r w:rsidR="0003317F" w:rsidRPr="3C3DFBEF">
        <w:rPr>
          <w:rFonts w:cs="Arial"/>
        </w:rPr>
        <w:fldChar w:fldCharType="separate"/>
      </w:r>
      <w:r w:rsidR="0003317F" w:rsidRPr="3C3DFBEF">
        <w:rPr>
          <w:rFonts w:cs="Arial"/>
        </w:rPr>
        <w:t>Figure 2</w:t>
      </w:r>
      <w:r w:rsidR="0003317F" w:rsidRPr="3C3DFBEF">
        <w:rPr>
          <w:rFonts w:cs="Arial"/>
        </w:rPr>
        <w:noBreakHyphen/>
        <w:t>7</w:t>
      </w:r>
      <w:r w:rsidR="0003317F" w:rsidRPr="3C3DFBEF">
        <w:rPr>
          <w:rFonts w:cs="Arial"/>
        </w:rPr>
        <w:fldChar w:fldCharType="end"/>
      </w:r>
      <w:r w:rsidR="0003317F" w:rsidRPr="3C3DFBEF">
        <w:rPr>
          <w:rFonts w:cs="Arial"/>
        </w:rPr>
        <w:t>.</w:t>
      </w:r>
    </w:p>
    <w:p w14:paraId="498EAD66" w14:textId="05517CCD" w:rsidR="00433461" w:rsidRPr="00EE43C6" w:rsidRDefault="00433461" w:rsidP="00D411CE">
      <w:pPr>
        <w:spacing w:before="120" w:after="60"/>
        <w:jc w:val="center"/>
        <w:rPr>
          <w:rFonts w:cs="Arial"/>
          <w:szCs w:val="22"/>
        </w:rPr>
      </w:pPr>
      <w:r w:rsidRPr="00EE43C6">
        <w:rPr>
          <w:rFonts w:cs="Arial"/>
          <w:noProof/>
          <w:szCs w:val="22"/>
        </w:rPr>
        <w:drawing>
          <wp:inline distT="0" distB="0" distL="0" distR="0" wp14:anchorId="7F4BEAA7" wp14:editId="47240A88">
            <wp:extent cx="5003235" cy="2814320"/>
            <wp:effectExtent l="38100" t="38100" r="45085" b="4318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03235" cy="2814320"/>
                    </a:xfrm>
                    <a:prstGeom prst="rect">
                      <a:avLst/>
                    </a:prstGeom>
                    <a:ln w="38100">
                      <a:solidFill>
                        <a:schemeClr val="tx1"/>
                      </a:solidFill>
                    </a:ln>
                  </pic:spPr>
                </pic:pic>
              </a:graphicData>
            </a:graphic>
          </wp:inline>
        </w:drawing>
      </w:r>
    </w:p>
    <w:p w14:paraId="1CB7DFC8" w14:textId="00A6C611" w:rsidR="00C42662" w:rsidRPr="00EE43C6" w:rsidRDefault="00433461" w:rsidP="00846BED">
      <w:pPr>
        <w:pStyle w:val="Caption"/>
        <w:rPr>
          <w:rFonts w:cs="Arial"/>
          <w:noProof w:val="0"/>
          <w:szCs w:val="22"/>
        </w:rPr>
      </w:pPr>
      <w:bookmarkStart w:id="92" w:name="_Ref127873825"/>
      <w:bookmarkStart w:id="93" w:name="_Toc141445552"/>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7</w:t>
      </w:r>
      <w:r w:rsidR="0096150F">
        <w:rPr>
          <w:noProof w:val="0"/>
          <w:color w:val="00B050"/>
        </w:rPr>
        <w:fldChar w:fldCharType="end"/>
      </w:r>
      <w:bookmarkEnd w:id="92"/>
      <w:r w:rsidRPr="00EE43C6">
        <w:rPr>
          <w:noProof w:val="0"/>
          <w:color w:val="00B050"/>
        </w:rPr>
        <w:t xml:space="preserve">. </w:t>
      </w:r>
      <w:r w:rsidR="00C42662" w:rsidRPr="00EE43C6">
        <w:rPr>
          <w:rFonts w:cs="Arial"/>
          <w:b w:val="0"/>
          <w:bCs w:val="0"/>
          <w:noProof w:val="0"/>
          <w:color w:val="auto"/>
          <w:szCs w:val="22"/>
        </w:rPr>
        <w:t>The Project Time Schedule</w:t>
      </w:r>
      <w:bookmarkEnd w:id="93"/>
    </w:p>
    <w:p w14:paraId="1C711617" w14:textId="4C330073" w:rsidR="004339AC" w:rsidRPr="00EE43C6" w:rsidRDefault="00960E75" w:rsidP="00B91168">
      <w:pPr>
        <w:pStyle w:val="Heading2"/>
        <w:ind w:hanging="718"/>
        <w:rPr>
          <w:lang w:val="en-GB"/>
        </w:rPr>
      </w:pPr>
      <w:bookmarkStart w:id="94" w:name="_Toc127980490"/>
      <w:bookmarkStart w:id="95" w:name="_Toc127980600"/>
      <w:bookmarkStart w:id="96" w:name="_Toc120016889"/>
      <w:bookmarkStart w:id="97" w:name="_Toc120004667"/>
      <w:bookmarkStart w:id="98" w:name="_Toc141445395"/>
      <w:bookmarkEnd w:id="94"/>
      <w:bookmarkEnd w:id="95"/>
      <w:r w:rsidRPr="00EE43C6">
        <w:rPr>
          <w:lang w:val="en-GB"/>
        </w:rPr>
        <w:t>Project Component</w:t>
      </w:r>
      <w:r w:rsidR="000D66C9" w:rsidRPr="00EE43C6">
        <w:rPr>
          <w:lang w:val="en-GB"/>
        </w:rPr>
        <w:t>s</w:t>
      </w:r>
      <w:bookmarkEnd w:id="96"/>
      <w:bookmarkEnd w:id="97"/>
      <w:bookmarkEnd w:id="98"/>
    </w:p>
    <w:p w14:paraId="19AB33DB" w14:textId="74716AFD" w:rsidR="00DF67C1" w:rsidRPr="00EE43C6" w:rsidRDefault="00EE7FFC" w:rsidP="00651762">
      <w:r w:rsidRPr="00EE43C6">
        <w:t xml:space="preserve">Components of infrastructure investments within the scope of the </w:t>
      </w:r>
      <w:r w:rsidR="00CA17EA" w:rsidRPr="00EE43C6">
        <w:t>P</w:t>
      </w:r>
      <w:r w:rsidRPr="00EE43C6">
        <w:t>roject</w:t>
      </w:r>
      <w:r w:rsidR="001818AF" w:rsidRPr="00EE43C6">
        <w:t xml:space="preserve"> are</w:t>
      </w:r>
      <w:r w:rsidRPr="00EE43C6">
        <w:t xml:space="preserve"> </w:t>
      </w:r>
      <w:r w:rsidR="000010AD" w:rsidRPr="00EE43C6">
        <w:t>clean (</w:t>
      </w:r>
      <w:r w:rsidR="001818AF" w:rsidRPr="00EE43C6">
        <w:t>potable</w:t>
      </w:r>
      <w:r w:rsidR="000010AD" w:rsidRPr="00EE43C6">
        <w:t>)</w:t>
      </w:r>
      <w:r w:rsidR="001818AF" w:rsidRPr="00EE43C6">
        <w:t xml:space="preserve"> </w:t>
      </w:r>
      <w:r w:rsidRPr="00EE43C6">
        <w:t xml:space="preserve">water </w:t>
      </w:r>
      <w:r w:rsidR="009C78AE" w:rsidRPr="00EE43C6">
        <w:t xml:space="preserve">network, </w:t>
      </w:r>
      <w:r w:rsidR="009C78AE" w:rsidRPr="0025324D">
        <w:t>process</w:t>
      </w:r>
      <w:r w:rsidR="0025324D" w:rsidRPr="0025324D">
        <w:t xml:space="preserve"> water (treated wastewater)</w:t>
      </w:r>
      <w:r w:rsidR="0025324D">
        <w:t xml:space="preserve"> </w:t>
      </w:r>
      <w:r w:rsidRPr="00EE43C6">
        <w:t xml:space="preserve">network, </w:t>
      </w:r>
      <w:r w:rsidR="001818AF" w:rsidRPr="00EE43C6">
        <w:t>stor</w:t>
      </w:r>
      <w:r w:rsidR="000010AD" w:rsidRPr="00EE43C6">
        <w:t>m</w:t>
      </w:r>
      <w:r w:rsidR="001818AF" w:rsidRPr="00EE43C6">
        <w:t xml:space="preserve">water </w:t>
      </w:r>
      <w:r w:rsidRPr="00EE43C6">
        <w:t>network, wastewater network, road, telecommunication lines</w:t>
      </w:r>
      <w:r w:rsidR="00A867A9" w:rsidRPr="00EE43C6">
        <w:t>,</w:t>
      </w:r>
      <w:r w:rsidRPr="00EE43C6">
        <w:t xml:space="preserve"> electric network</w:t>
      </w:r>
      <w:r w:rsidR="00A867A9" w:rsidRPr="00EE43C6">
        <w:t>, diversion canal</w:t>
      </w:r>
      <w:r w:rsidR="00CA6A4C" w:rsidRPr="00EE43C6">
        <w:t xml:space="preserve">, </w:t>
      </w:r>
      <w:r w:rsidR="004D669C" w:rsidRPr="00EE43C6">
        <w:t xml:space="preserve">ring system to </w:t>
      </w:r>
      <w:r w:rsidR="002A2D2D" w:rsidRPr="00EE43C6">
        <w:t>ensure energy continuity in the design of power lines,</w:t>
      </w:r>
      <w:r w:rsidR="004D669C" w:rsidRPr="00EE43C6">
        <w:t xml:space="preserve"> </w:t>
      </w:r>
      <w:r w:rsidR="00CA6A4C" w:rsidRPr="00EE43C6">
        <w:t>territorial lighting</w:t>
      </w:r>
      <w:r w:rsidR="00C3594B" w:rsidRPr="00EE43C6">
        <w:t xml:space="preserve"> </w:t>
      </w:r>
      <w:r w:rsidR="004B223C" w:rsidRPr="00EE43C6">
        <w:t>(</w:t>
      </w:r>
      <w:r w:rsidR="00C3594B" w:rsidRPr="00EE43C6">
        <w:t xml:space="preserve">including </w:t>
      </w:r>
      <w:r w:rsidR="00A17842" w:rsidRPr="00EE43C6">
        <w:t xml:space="preserve">grounding and lighting protection, </w:t>
      </w:r>
      <w:r w:rsidR="004B223C" w:rsidRPr="00EE43C6">
        <w:t>l</w:t>
      </w:r>
      <w:r w:rsidR="00A17842" w:rsidRPr="00EE43C6">
        <w:t>ighting system on road</w:t>
      </w:r>
      <w:r w:rsidR="004B223C" w:rsidRPr="00EE43C6">
        <w:t>s)</w:t>
      </w:r>
      <w:r w:rsidR="004627AE" w:rsidRPr="00EE43C6">
        <w:t xml:space="preserve"> </w:t>
      </w:r>
      <w:r w:rsidR="003C15A5" w:rsidRPr="00EE43C6">
        <w:t>and SCADA system</w:t>
      </w:r>
      <w:r w:rsidR="001A4E9F" w:rsidRPr="00EE43C6">
        <w:t>s</w:t>
      </w:r>
      <w:r w:rsidRPr="00EE43C6">
        <w:t>.</w:t>
      </w:r>
    </w:p>
    <w:p w14:paraId="7E1F2435" w14:textId="77777777" w:rsidR="00DF67C1" w:rsidRPr="00EE43C6" w:rsidRDefault="00DF67C1" w:rsidP="00DF67C1">
      <w:r w:rsidRPr="00EE43C6">
        <w:t>Since the infrastructure will be built from scratch, there will be no decommissioning. All excavations/constructions will be carried out in designated roads which are specified in the zoning plan.  The details of the activities are:</w:t>
      </w:r>
    </w:p>
    <w:p w14:paraId="0BBCF0B4" w14:textId="0DDBF4FB" w:rsidR="00DF67C1" w:rsidRPr="00EE43C6" w:rsidRDefault="00DF67C1" w:rsidP="00F81525">
      <w:pPr>
        <w:spacing w:after="120"/>
        <w:rPr>
          <w:u w:val="single"/>
        </w:rPr>
      </w:pPr>
      <w:r w:rsidRPr="00EE43C6">
        <w:rPr>
          <w:u w:val="single"/>
        </w:rPr>
        <w:lastRenderedPageBreak/>
        <w:t xml:space="preserve">Construction of </w:t>
      </w:r>
      <w:r w:rsidR="00940756" w:rsidRPr="00940756">
        <w:rPr>
          <w:u w:val="single"/>
        </w:rPr>
        <w:t xml:space="preserve">electricity </w:t>
      </w:r>
      <w:r w:rsidRPr="00EE43C6">
        <w:rPr>
          <w:u w:val="single"/>
        </w:rPr>
        <w:t>distribution centers</w:t>
      </w:r>
    </w:p>
    <w:p w14:paraId="6A6AEF26" w14:textId="7AC4A32B" w:rsidR="00DF67C1" w:rsidRPr="00EE43C6" w:rsidRDefault="006E6EAE" w:rsidP="00F81525">
      <w:pPr>
        <w:spacing w:after="120"/>
      </w:pPr>
      <w:r w:rsidRPr="00EE43C6">
        <w:t xml:space="preserve">Four </w:t>
      </w:r>
      <w:r w:rsidR="00BA0278" w:rsidRPr="00EE43C6">
        <w:t>(</w:t>
      </w:r>
      <w:r w:rsidRPr="00EE43C6">
        <w:t>4</w:t>
      </w:r>
      <w:r w:rsidR="00BA0278" w:rsidRPr="00EE43C6">
        <w:t>)</w:t>
      </w:r>
      <w:r w:rsidRPr="00EE43C6">
        <w:t xml:space="preserve"> of </w:t>
      </w:r>
      <w:r w:rsidR="00AC0F25" w:rsidRPr="00EE43C6">
        <w:t>five</w:t>
      </w:r>
      <w:r w:rsidR="00D451FC" w:rsidRPr="00EE43C6">
        <w:t xml:space="preserve"> (</w:t>
      </w:r>
      <w:r w:rsidR="00AC0F25" w:rsidRPr="00EE43C6">
        <w:t>5</w:t>
      </w:r>
      <w:r w:rsidR="00D451FC" w:rsidRPr="00EE43C6">
        <w:t>)</w:t>
      </w:r>
      <w:r w:rsidR="00DF67C1" w:rsidRPr="00EE43C6">
        <w:t xml:space="preserve"> </w:t>
      </w:r>
      <w:r w:rsidR="00940756" w:rsidRPr="00940756">
        <w:t xml:space="preserve">electricity </w:t>
      </w:r>
      <w:r w:rsidR="00DF67C1" w:rsidRPr="00EE43C6">
        <w:t xml:space="preserve">distribution centers </w:t>
      </w:r>
      <w:r w:rsidR="00AA0B8B" w:rsidRPr="00EE43C6">
        <w:t>(</w:t>
      </w:r>
      <w:r w:rsidR="00993A9B" w:rsidRPr="00EE43C6">
        <w:t xml:space="preserve">the remained one </w:t>
      </w:r>
      <w:r w:rsidR="00D03FD8">
        <w:t xml:space="preserve">(1) </w:t>
      </w:r>
      <w:r w:rsidR="00993A9B" w:rsidRPr="00EE43C6">
        <w:t xml:space="preserve">planned to be constructed in Phase 2) </w:t>
      </w:r>
      <w:r w:rsidR="00DF67C1" w:rsidRPr="00EE43C6">
        <w:t>will be constructed</w:t>
      </w:r>
      <w:r w:rsidR="00D451FC" w:rsidRPr="00EE43C6">
        <w:t xml:space="preserve"> at the Project</w:t>
      </w:r>
      <w:r w:rsidR="00AC0F25" w:rsidRPr="00EE43C6">
        <w:t>’s</w:t>
      </w:r>
      <w:r w:rsidR="00D451FC" w:rsidRPr="00EE43C6">
        <w:t xml:space="preserve"> </w:t>
      </w:r>
      <w:r w:rsidR="00AC0F25" w:rsidRPr="00EE43C6">
        <w:t>P</w:t>
      </w:r>
      <w:r w:rsidR="00D451FC" w:rsidRPr="00EE43C6">
        <w:t>hase 1</w:t>
      </w:r>
      <w:r w:rsidR="00DF67C1" w:rsidRPr="00EE43C6">
        <w:t>, and one ready-made prefabricated structure will be established</w:t>
      </w:r>
      <w:r w:rsidR="00D451FC" w:rsidRPr="00EE43C6">
        <w:t xml:space="preserve"> (see </w:t>
      </w:r>
      <w:r w:rsidR="00D451FC" w:rsidRPr="00EE43C6">
        <w:fldChar w:fldCharType="begin"/>
      </w:r>
      <w:r w:rsidR="00D451FC" w:rsidRPr="00EE43C6">
        <w:instrText xml:space="preserve"> REF _Ref127881081 \h  \* MERGEFORMAT </w:instrText>
      </w:r>
      <w:r w:rsidR="00D451FC" w:rsidRPr="00EE43C6">
        <w:fldChar w:fldCharType="separate"/>
      </w:r>
      <w:r w:rsidR="005C1864" w:rsidRPr="00EE43C6">
        <w:t>Figure 2</w:t>
      </w:r>
      <w:r w:rsidR="005C1864" w:rsidRPr="00EE43C6">
        <w:noBreakHyphen/>
        <w:t>8</w:t>
      </w:r>
      <w:r w:rsidR="00D451FC" w:rsidRPr="00EE43C6">
        <w:fldChar w:fldCharType="end"/>
      </w:r>
      <w:r w:rsidR="00D451FC" w:rsidRPr="00EE43C6">
        <w:t>)</w:t>
      </w:r>
      <w:r w:rsidR="00DF67C1" w:rsidRPr="00EE43C6">
        <w:t>.</w:t>
      </w:r>
    </w:p>
    <w:p w14:paraId="236562C4" w14:textId="7DA36374" w:rsidR="00DF67C1" w:rsidRPr="00EE43C6" w:rsidRDefault="00DF67C1" w:rsidP="00F81525">
      <w:pPr>
        <w:spacing w:after="120"/>
        <w:rPr>
          <w:u w:val="single"/>
        </w:rPr>
      </w:pPr>
      <w:r w:rsidRPr="00EE43C6">
        <w:rPr>
          <w:u w:val="single"/>
        </w:rPr>
        <w:t>Construction of HV/LV electricity lines</w:t>
      </w:r>
    </w:p>
    <w:p w14:paraId="038ACA81" w14:textId="59735450" w:rsidR="00DF67C1" w:rsidRPr="00EE43C6" w:rsidRDefault="002A263E" w:rsidP="004F65B8">
      <w:pPr>
        <w:spacing w:after="120"/>
      </w:pPr>
      <w:r w:rsidRPr="00EE43C6">
        <w:t xml:space="preserve">A total of </w:t>
      </w:r>
      <w:r w:rsidR="00455401" w:rsidRPr="00EE43C6">
        <w:t>15.</w:t>
      </w:r>
      <w:r w:rsidR="00984F82" w:rsidRPr="00EE43C6">
        <w:t>370</w:t>
      </w:r>
      <w:r w:rsidR="00455401" w:rsidRPr="00EE43C6">
        <w:t xml:space="preserve"> km </w:t>
      </w:r>
      <w:r w:rsidRPr="00EE43C6">
        <w:t xml:space="preserve">of </w:t>
      </w:r>
      <w:r w:rsidR="00455401" w:rsidRPr="00EE43C6">
        <w:t>electricity distribution line</w:t>
      </w:r>
      <w:r w:rsidR="00AD0C7A" w:rsidRPr="00EE43C6">
        <w:t>s</w:t>
      </w:r>
      <w:r w:rsidR="00455401" w:rsidRPr="00EE43C6">
        <w:t xml:space="preserve"> </w:t>
      </w:r>
      <w:r w:rsidR="00AD0C7A" w:rsidRPr="00EE43C6">
        <w:t>are</w:t>
      </w:r>
      <w:r w:rsidR="00E244FE" w:rsidRPr="00EE43C6">
        <w:t xml:space="preserve"> planned</w:t>
      </w:r>
      <w:r w:rsidR="00F61D31" w:rsidRPr="00EE43C6">
        <w:t xml:space="preserve"> </w:t>
      </w:r>
      <w:r w:rsidR="00186C37" w:rsidRPr="00EE43C6">
        <w:t>within</w:t>
      </w:r>
      <w:r w:rsidR="00AD0C7A" w:rsidRPr="00EE43C6">
        <w:t xml:space="preserve"> the </w:t>
      </w:r>
      <w:r w:rsidR="00186C37" w:rsidRPr="00EE43C6">
        <w:t>scope of</w:t>
      </w:r>
      <w:r w:rsidR="00AD0C7A" w:rsidRPr="00EE43C6">
        <w:t xml:space="preserve"> the Project</w:t>
      </w:r>
      <w:r w:rsidR="00E244FE" w:rsidRPr="00EE43C6">
        <w:t>.</w:t>
      </w:r>
      <w:r w:rsidR="00455401" w:rsidRPr="00EE43C6">
        <w:t xml:space="preserve"> </w:t>
      </w:r>
      <w:r w:rsidR="00DF67C1" w:rsidRPr="00EE43C6">
        <w:t xml:space="preserve">Medium voltage main supply lines will be laid between the </w:t>
      </w:r>
      <w:r w:rsidR="00D21CC3" w:rsidRPr="00EE43C6">
        <w:t>four</w:t>
      </w:r>
      <w:r w:rsidR="00265170" w:rsidRPr="00EE43C6">
        <w:t xml:space="preserve"> </w:t>
      </w:r>
      <w:r w:rsidR="00DE324E" w:rsidRPr="00EE43C6">
        <w:t>(</w:t>
      </w:r>
      <w:r w:rsidR="00265170" w:rsidRPr="00EE43C6">
        <w:t>4</w:t>
      </w:r>
      <w:r w:rsidR="00A467FA" w:rsidRPr="00EE43C6">
        <w:t>)</w:t>
      </w:r>
      <w:r w:rsidR="00D21CC3" w:rsidRPr="00EE43C6">
        <w:t xml:space="preserve"> </w:t>
      </w:r>
      <w:r w:rsidR="00940756" w:rsidRPr="00940756">
        <w:t xml:space="preserve">electricity </w:t>
      </w:r>
      <w:r w:rsidR="00DF67C1" w:rsidRPr="00EE43C6">
        <w:t xml:space="preserve">distribution centers, </w:t>
      </w:r>
      <w:r w:rsidR="00853DEC" w:rsidRPr="00EE43C6">
        <w:t>parcels,</w:t>
      </w:r>
      <w:r w:rsidR="00DF67C1" w:rsidRPr="00EE43C6">
        <w:t xml:space="preserve"> and territorial lighting. For the laying of the cables, an excavation will be made along the route with a depth of 70 cm and a width of 50 cm, cables will be placed in these trenches and the top will be covered.</w:t>
      </w:r>
      <w:r w:rsidR="00D77B4A" w:rsidRPr="00EE43C6">
        <w:t xml:space="preserve"> </w:t>
      </w:r>
      <w:r w:rsidR="00747A81" w:rsidRPr="00EE43C6">
        <w:t xml:space="preserve">Ring system will be </w:t>
      </w:r>
      <w:r w:rsidR="0041184F" w:rsidRPr="00EE43C6">
        <w:t>built to</w:t>
      </w:r>
      <w:r w:rsidR="00747A81" w:rsidRPr="00EE43C6">
        <w:t xml:space="preserve"> ensure energy continuity in the design of power lines. </w:t>
      </w:r>
      <w:r w:rsidR="00D77B4A" w:rsidRPr="00EE43C6">
        <w:t xml:space="preserve">The Electric Network Layout Plan of the Project is presented in </w:t>
      </w:r>
      <w:r w:rsidR="00D77B4A" w:rsidRPr="00EE43C6">
        <w:fldChar w:fldCharType="begin"/>
      </w:r>
      <w:r w:rsidR="00D77B4A" w:rsidRPr="00EE43C6">
        <w:instrText xml:space="preserve"> REF _Ref124864533 \h  \* MERGEFORMAT </w:instrText>
      </w:r>
      <w:r w:rsidR="00D77B4A" w:rsidRPr="00EE43C6">
        <w:fldChar w:fldCharType="separate"/>
      </w:r>
      <w:r w:rsidR="005C1864" w:rsidRPr="00EE43C6">
        <w:t>Figure 2</w:t>
      </w:r>
      <w:r w:rsidR="005C1864" w:rsidRPr="00EE43C6">
        <w:noBreakHyphen/>
        <w:t>8</w:t>
      </w:r>
      <w:r w:rsidR="00D77B4A" w:rsidRPr="00EE43C6">
        <w:fldChar w:fldCharType="end"/>
      </w:r>
      <w:r w:rsidR="00D77B4A" w:rsidRPr="00EE43C6">
        <w:t>.</w:t>
      </w:r>
    </w:p>
    <w:p w14:paraId="263ADACF" w14:textId="119A84FD" w:rsidR="00A62EF0" w:rsidRPr="00EE43C6" w:rsidRDefault="00AF2185" w:rsidP="00197A2E">
      <w:pPr>
        <w:spacing w:before="120" w:after="0"/>
        <w:jc w:val="center"/>
      </w:pPr>
      <w:r w:rsidRPr="00EE43C6">
        <w:rPr>
          <w:noProof/>
        </w:rPr>
        <w:drawing>
          <wp:inline distT="0" distB="0" distL="0" distR="0" wp14:anchorId="6FEC97E7" wp14:editId="25AB9784">
            <wp:extent cx="3384000" cy="5507689"/>
            <wp:effectExtent l="38100" t="38100" r="45085" b="3619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4000" cy="5507689"/>
                    </a:xfrm>
                    <a:prstGeom prst="rect">
                      <a:avLst/>
                    </a:prstGeom>
                    <a:ln w="38100">
                      <a:solidFill>
                        <a:schemeClr val="tx1"/>
                      </a:solidFill>
                    </a:ln>
                  </pic:spPr>
                </pic:pic>
              </a:graphicData>
            </a:graphic>
          </wp:inline>
        </w:drawing>
      </w:r>
    </w:p>
    <w:p w14:paraId="536AB19E" w14:textId="3AE0662A" w:rsidR="005A2B9B" w:rsidRPr="00EE43C6" w:rsidRDefault="005A2B9B" w:rsidP="00C818CE">
      <w:pPr>
        <w:pStyle w:val="Caption"/>
        <w:spacing w:after="240"/>
        <w:rPr>
          <w:noProof w:val="0"/>
          <w:color w:val="00B050"/>
        </w:rPr>
      </w:pPr>
      <w:bookmarkStart w:id="99" w:name="_Ref127881081"/>
      <w:bookmarkStart w:id="100" w:name="_Ref124864533"/>
      <w:bookmarkStart w:id="101" w:name="_Toc141445553"/>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8</w:t>
      </w:r>
      <w:r w:rsidR="0096150F">
        <w:rPr>
          <w:noProof w:val="0"/>
          <w:color w:val="00B050"/>
        </w:rPr>
        <w:fldChar w:fldCharType="end"/>
      </w:r>
      <w:bookmarkEnd w:id="99"/>
      <w:bookmarkEnd w:id="100"/>
      <w:r w:rsidRPr="00EE43C6">
        <w:rPr>
          <w:noProof w:val="0"/>
          <w:color w:val="00B050"/>
        </w:rPr>
        <w:t xml:space="preserve">. </w:t>
      </w:r>
      <w:r w:rsidRPr="00EE43C6">
        <w:rPr>
          <w:b w:val="0"/>
          <w:bCs w:val="0"/>
          <w:noProof w:val="0"/>
          <w:color w:val="auto"/>
        </w:rPr>
        <w:t>The Project Electric Network Layout Plan</w:t>
      </w:r>
      <w:bookmarkEnd w:id="101"/>
    </w:p>
    <w:p w14:paraId="7E876D68" w14:textId="2585F594" w:rsidR="00DF67C1" w:rsidRPr="00EE43C6" w:rsidRDefault="00DF67C1" w:rsidP="00F81525">
      <w:pPr>
        <w:spacing w:before="0" w:after="120"/>
        <w:contextualSpacing/>
        <w:rPr>
          <w:u w:val="single"/>
        </w:rPr>
      </w:pPr>
      <w:r w:rsidRPr="00EE43C6">
        <w:rPr>
          <w:u w:val="single"/>
        </w:rPr>
        <w:lastRenderedPageBreak/>
        <w:t>Construction of telecommunication lines</w:t>
      </w:r>
    </w:p>
    <w:p w14:paraId="2C7D37FA" w14:textId="452C9016" w:rsidR="00DF67C1" w:rsidRPr="00EE43C6" w:rsidRDefault="00D03FD8" w:rsidP="00DF67C1">
      <w:r>
        <w:t>One (</w:t>
      </w:r>
      <w:r w:rsidR="00A5055C" w:rsidRPr="00EE43C6">
        <w:t>1</w:t>
      </w:r>
      <w:r>
        <w:t>)</w:t>
      </w:r>
      <w:r w:rsidR="00A5055C" w:rsidRPr="00EE43C6">
        <w:t xml:space="preserve"> set of Telecom infrastructure will be </w:t>
      </w:r>
      <w:r w:rsidR="00641C24" w:rsidRPr="00EE43C6">
        <w:t>implemented i</w:t>
      </w:r>
      <w:r w:rsidR="00A66CA2" w:rsidRPr="00EE43C6">
        <w:t>n Project</w:t>
      </w:r>
      <w:r w:rsidR="00A5055C" w:rsidRPr="00EE43C6">
        <w:t xml:space="preserve">. </w:t>
      </w:r>
      <w:r w:rsidR="0045605E" w:rsidRPr="00EE43C6">
        <w:t>Fibr</w:t>
      </w:r>
      <w:r w:rsidR="00545F99">
        <w:t>e</w:t>
      </w:r>
      <w:r w:rsidR="00DF67C1" w:rsidRPr="00EE43C6">
        <w:t xml:space="preserve"> optic lines will be laid through excavations with a depth of 50 cm and a width of 15 cm.</w:t>
      </w:r>
    </w:p>
    <w:p w14:paraId="5AD93BC6" w14:textId="0B565DD6" w:rsidR="00DF67C1" w:rsidRPr="00EE43C6" w:rsidRDefault="00DF67C1" w:rsidP="00F81525">
      <w:pPr>
        <w:spacing w:after="120"/>
        <w:contextualSpacing/>
        <w:rPr>
          <w:u w:val="single"/>
        </w:rPr>
      </w:pPr>
      <w:r w:rsidRPr="00EE43C6">
        <w:rPr>
          <w:u w:val="single"/>
        </w:rPr>
        <w:t>Establishment of territorial lighting</w:t>
      </w:r>
    </w:p>
    <w:p w14:paraId="5AD6FF7B" w14:textId="6E1E4D72" w:rsidR="00DF67C1" w:rsidRPr="00EE43C6" w:rsidRDefault="00B85B51" w:rsidP="002E5004">
      <w:pPr>
        <w:spacing w:after="120"/>
      </w:pPr>
      <w:r w:rsidRPr="00EE43C6">
        <w:t xml:space="preserve">Within the scope of the Project, </w:t>
      </w:r>
      <w:r w:rsidR="004D17AA" w:rsidRPr="00EE43C6">
        <w:t xml:space="preserve">110 lighting poles </w:t>
      </w:r>
      <w:r w:rsidR="00F66727" w:rsidRPr="00EE43C6">
        <w:t xml:space="preserve">and </w:t>
      </w:r>
      <w:r w:rsidR="00824D3E" w:rsidRPr="00EE43C6">
        <w:t>143 LED armatures</w:t>
      </w:r>
      <w:r w:rsidR="004D17AA" w:rsidRPr="00EE43C6">
        <w:t xml:space="preserve"> </w:t>
      </w:r>
      <w:r w:rsidR="00716514" w:rsidRPr="00EE43C6">
        <w:t xml:space="preserve">are planned. </w:t>
      </w:r>
      <w:r w:rsidR="00DF67C1" w:rsidRPr="00EE43C6">
        <w:t>The pits where the foundation concrete will be poured will be excavated and then anchor rods will be placed in this pit to prepare the foundation for the pole and then the lighting poles will be established.</w:t>
      </w:r>
      <w:r w:rsidR="005A46D1" w:rsidRPr="00EE43C6">
        <w:t xml:space="preserve"> </w:t>
      </w:r>
      <w:r w:rsidR="00A961AF" w:rsidRPr="00EE43C6">
        <w:t xml:space="preserve">Grounding and lighting protection will be also constructed. </w:t>
      </w:r>
      <w:r w:rsidR="005A46D1" w:rsidRPr="00EE43C6">
        <w:t>The Lighting Network Layout Plan of the Project is as follows.</w:t>
      </w:r>
    </w:p>
    <w:p w14:paraId="64D42409" w14:textId="6D25FEBB" w:rsidR="00501A5C" w:rsidRPr="00EE43C6" w:rsidRDefault="00CD611A" w:rsidP="002E5004">
      <w:pPr>
        <w:spacing w:before="120" w:after="0"/>
        <w:jc w:val="center"/>
      </w:pPr>
      <w:r w:rsidRPr="00EE43C6">
        <w:rPr>
          <w:noProof/>
        </w:rPr>
        <w:drawing>
          <wp:inline distT="0" distB="0" distL="0" distR="0" wp14:anchorId="65AA3462" wp14:editId="5BAF8211">
            <wp:extent cx="3612779" cy="6183543"/>
            <wp:effectExtent l="38100" t="38100" r="45085" b="4635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12779" cy="6183543"/>
                    </a:xfrm>
                    <a:prstGeom prst="rect">
                      <a:avLst/>
                    </a:prstGeom>
                    <a:ln w="38100">
                      <a:solidFill>
                        <a:schemeClr val="tx1"/>
                      </a:solidFill>
                    </a:ln>
                  </pic:spPr>
                </pic:pic>
              </a:graphicData>
            </a:graphic>
          </wp:inline>
        </w:drawing>
      </w:r>
    </w:p>
    <w:p w14:paraId="3A51F7B2" w14:textId="123B82AC" w:rsidR="00CE3B94" w:rsidRPr="00EE43C6" w:rsidRDefault="00A62EF0" w:rsidP="00B97C43">
      <w:pPr>
        <w:pStyle w:val="Caption"/>
        <w:spacing w:after="240"/>
        <w:rPr>
          <w:noProof w:val="0"/>
          <w:u w:val="single"/>
        </w:rPr>
      </w:pPr>
      <w:bookmarkStart w:id="102" w:name="_Toc141445554"/>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9</w:t>
      </w:r>
      <w:r w:rsidR="0096150F">
        <w:rPr>
          <w:noProof w:val="0"/>
          <w:color w:val="00B050"/>
        </w:rPr>
        <w:fldChar w:fldCharType="end"/>
      </w:r>
      <w:r w:rsidRPr="00EE43C6">
        <w:rPr>
          <w:noProof w:val="0"/>
          <w:color w:val="00B050"/>
        </w:rPr>
        <w:t xml:space="preserve">. </w:t>
      </w:r>
      <w:r w:rsidRPr="00EE43C6">
        <w:rPr>
          <w:b w:val="0"/>
          <w:bCs w:val="0"/>
          <w:noProof w:val="0"/>
          <w:color w:val="auto"/>
        </w:rPr>
        <w:t xml:space="preserve">The Project </w:t>
      </w:r>
      <w:r w:rsidR="002532F4" w:rsidRPr="00EE43C6">
        <w:rPr>
          <w:b w:val="0"/>
          <w:bCs w:val="0"/>
          <w:noProof w:val="0"/>
          <w:color w:val="auto"/>
        </w:rPr>
        <w:t>Lighting Network Layout Plan</w:t>
      </w:r>
      <w:bookmarkEnd w:id="102"/>
    </w:p>
    <w:p w14:paraId="051408C0" w14:textId="033C45E4" w:rsidR="00DF67C1" w:rsidRPr="00EE43C6" w:rsidRDefault="00DF67C1" w:rsidP="00F81525">
      <w:pPr>
        <w:spacing w:after="120"/>
        <w:contextualSpacing/>
        <w:rPr>
          <w:u w:val="single"/>
        </w:rPr>
      </w:pPr>
      <w:r w:rsidRPr="00EE43C6">
        <w:rPr>
          <w:u w:val="single"/>
        </w:rPr>
        <w:lastRenderedPageBreak/>
        <w:t xml:space="preserve">Construction of </w:t>
      </w:r>
      <w:r w:rsidR="006F71F8" w:rsidRPr="00EE43C6">
        <w:rPr>
          <w:u w:val="single"/>
        </w:rPr>
        <w:t xml:space="preserve">clean </w:t>
      </w:r>
      <w:r w:rsidRPr="00EE43C6">
        <w:rPr>
          <w:u w:val="single"/>
        </w:rPr>
        <w:t>water pipelines/networks</w:t>
      </w:r>
    </w:p>
    <w:p w14:paraId="6CA052E9" w14:textId="51576907" w:rsidR="00DF67C1" w:rsidRPr="00EE43C6" w:rsidRDefault="00772952" w:rsidP="00B83B1A">
      <w:pPr>
        <w:spacing w:after="120"/>
      </w:pPr>
      <w:r w:rsidRPr="00EE43C6">
        <w:t xml:space="preserve">Within the scope of the </w:t>
      </w:r>
      <w:r w:rsidR="00506C8E" w:rsidRPr="00EE43C6">
        <w:t>Project</w:t>
      </w:r>
      <w:r w:rsidRPr="00EE43C6">
        <w:t>, it</w:t>
      </w:r>
      <w:r w:rsidR="00506C8E" w:rsidRPr="00EE43C6">
        <w:t xml:space="preserve"> is planned to have </w:t>
      </w:r>
      <w:r w:rsidR="00096030" w:rsidRPr="00EE43C6">
        <w:t xml:space="preserve">total of </w:t>
      </w:r>
      <w:r w:rsidR="00907EBF" w:rsidRPr="00EE43C6">
        <w:t>8.</w:t>
      </w:r>
      <w:r w:rsidRPr="00EE43C6">
        <w:t>135</w:t>
      </w:r>
      <w:r w:rsidR="00907EBF" w:rsidRPr="00EE43C6">
        <w:t xml:space="preserve"> km clean water </w:t>
      </w:r>
      <w:r w:rsidR="006F71F8" w:rsidRPr="00EE43C6">
        <w:t>pipe</w:t>
      </w:r>
      <w:r w:rsidR="00907EBF" w:rsidRPr="00EE43C6">
        <w:t xml:space="preserve">line. </w:t>
      </w:r>
      <w:r w:rsidR="00DF67C1" w:rsidRPr="00EE43C6">
        <w:t xml:space="preserve">Excavations with a depth of approximately 2 m and a width of approximately 1 m will be made along the routes to lay the </w:t>
      </w:r>
      <w:r w:rsidR="00025885" w:rsidRPr="00EE43C6">
        <w:t xml:space="preserve">water </w:t>
      </w:r>
      <w:r w:rsidR="00DF67C1" w:rsidRPr="00EE43C6">
        <w:t>pipes.</w:t>
      </w:r>
      <w:r w:rsidR="001D7CAD" w:rsidRPr="00EE43C6">
        <w:t xml:space="preserve"> The Clean Water Network Layout Plan of the Project </w:t>
      </w:r>
      <w:r w:rsidR="000130F2" w:rsidRPr="00EE43C6">
        <w:t xml:space="preserve">is seen in </w:t>
      </w:r>
      <w:r w:rsidR="000130F2" w:rsidRPr="00EE43C6">
        <w:fldChar w:fldCharType="begin"/>
      </w:r>
      <w:r w:rsidR="000130F2" w:rsidRPr="00EE43C6">
        <w:instrText xml:space="preserve"> REF _Ref124864350 \h  \* MERGEFORMAT </w:instrText>
      </w:r>
      <w:r w:rsidR="000130F2" w:rsidRPr="00EE43C6">
        <w:fldChar w:fldCharType="separate"/>
      </w:r>
      <w:r w:rsidR="00B97C43" w:rsidRPr="00EE43C6">
        <w:t>Figure 2</w:t>
      </w:r>
      <w:r w:rsidR="00B97C43" w:rsidRPr="00EE43C6">
        <w:noBreakHyphen/>
        <w:t>10</w:t>
      </w:r>
      <w:r w:rsidR="000130F2" w:rsidRPr="00EE43C6">
        <w:fldChar w:fldCharType="end"/>
      </w:r>
      <w:r w:rsidR="000130F2" w:rsidRPr="00EE43C6">
        <w:t>.</w:t>
      </w:r>
    </w:p>
    <w:p w14:paraId="2F9DE5C2" w14:textId="25E03590" w:rsidR="00501A5C" w:rsidRPr="00EE43C6" w:rsidRDefault="00CF60B4" w:rsidP="00B83B1A">
      <w:pPr>
        <w:spacing w:before="120" w:after="0"/>
        <w:jc w:val="center"/>
      </w:pPr>
      <w:r w:rsidRPr="00EE43C6">
        <w:rPr>
          <w:noProof/>
        </w:rPr>
        <w:drawing>
          <wp:inline distT="0" distB="0" distL="0" distR="0" wp14:anchorId="25739800" wp14:editId="709F9400">
            <wp:extent cx="3869459" cy="7190305"/>
            <wp:effectExtent l="38100" t="38100" r="36195" b="2984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69459" cy="7190305"/>
                    </a:xfrm>
                    <a:prstGeom prst="rect">
                      <a:avLst/>
                    </a:prstGeom>
                    <a:ln w="38100">
                      <a:solidFill>
                        <a:schemeClr val="tx1"/>
                      </a:solidFill>
                    </a:ln>
                  </pic:spPr>
                </pic:pic>
              </a:graphicData>
            </a:graphic>
          </wp:inline>
        </w:drawing>
      </w:r>
    </w:p>
    <w:p w14:paraId="2FA9F4BF" w14:textId="6CDF5BE1" w:rsidR="006535B7" w:rsidRPr="00EE43C6" w:rsidRDefault="00501A5C" w:rsidP="004725C5">
      <w:pPr>
        <w:pStyle w:val="Caption"/>
        <w:spacing w:after="240"/>
        <w:rPr>
          <w:noProof w:val="0"/>
        </w:rPr>
      </w:pPr>
      <w:bookmarkStart w:id="103" w:name="_Ref124864350"/>
      <w:bookmarkStart w:id="104" w:name="_Toc141445555"/>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10</w:t>
      </w:r>
      <w:r w:rsidR="0096150F">
        <w:rPr>
          <w:noProof w:val="0"/>
          <w:color w:val="00B050"/>
        </w:rPr>
        <w:fldChar w:fldCharType="end"/>
      </w:r>
      <w:bookmarkEnd w:id="103"/>
      <w:r w:rsidRPr="00EE43C6">
        <w:rPr>
          <w:noProof w:val="0"/>
          <w:color w:val="00B050"/>
        </w:rPr>
        <w:t xml:space="preserve">. </w:t>
      </w:r>
      <w:r w:rsidR="006535B7" w:rsidRPr="00EE43C6">
        <w:rPr>
          <w:b w:val="0"/>
          <w:bCs w:val="0"/>
          <w:noProof w:val="0"/>
          <w:color w:val="auto"/>
        </w:rPr>
        <w:t xml:space="preserve">The Project </w:t>
      </w:r>
      <w:r w:rsidR="009B5CC6" w:rsidRPr="00EE43C6">
        <w:rPr>
          <w:b w:val="0"/>
          <w:bCs w:val="0"/>
          <w:noProof w:val="0"/>
          <w:color w:val="auto"/>
        </w:rPr>
        <w:t>Cle</w:t>
      </w:r>
      <w:r w:rsidR="00ED1946" w:rsidRPr="00EE43C6">
        <w:rPr>
          <w:b w:val="0"/>
          <w:bCs w:val="0"/>
          <w:noProof w:val="0"/>
          <w:color w:val="auto"/>
        </w:rPr>
        <w:t>a</w:t>
      </w:r>
      <w:r w:rsidR="009B5CC6" w:rsidRPr="00EE43C6">
        <w:rPr>
          <w:b w:val="0"/>
          <w:bCs w:val="0"/>
          <w:noProof w:val="0"/>
          <w:color w:val="auto"/>
        </w:rPr>
        <w:t>n</w:t>
      </w:r>
      <w:r w:rsidR="006535B7" w:rsidRPr="00EE43C6">
        <w:rPr>
          <w:b w:val="0"/>
          <w:bCs w:val="0"/>
          <w:noProof w:val="0"/>
          <w:color w:val="auto"/>
        </w:rPr>
        <w:t xml:space="preserve"> Water Network </w:t>
      </w:r>
      <w:r w:rsidR="00A679E7" w:rsidRPr="00EE43C6">
        <w:rPr>
          <w:b w:val="0"/>
          <w:bCs w:val="0"/>
          <w:noProof w:val="0"/>
          <w:color w:val="auto"/>
        </w:rPr>
        <w:t xml:space="preserve">Layout </w:t>
      </w:r>
      <w:r w:rsidR="00063722" w:rsidRPr="00EE43C6">
        <w:rPr>
          <w:b w:val="0"/>
          <w:bCs w:val="0"/>
          <w:noProof w:val="0"/>
          <w:color w:val="auto"/>
        </w:rPr>
        <w:t>Plan</w:t>
      </w:r>
      <w:bookmarkEnd w:id="104"/>
    </w:p>
    <w:p w14:paraId="5D99B871" w14:textId="5FECDF5F" w:rsidR="00DF67C1" w:rsidRPr="00EE43C6" w:rsidRDefault="00DF67C1" w:rsidP="00F81525">
      <w:pPr>
        <w:spacing w:after="120"/>
        <w:contextualSpacing/>
        <w:rPr>
          <w:u w:val="single"/>
        </w:rPr>
      </w:pPr>
      <w:r w:rsidRPr="00EE43C6">
        <w:rPr>
          <w:u w:val="single"/>
        </w:rPr>
        <w:lastRenderedPageBreak/>
        <w:t xml:space="preserve">Construction of </w:t>
      </w:r>
      <w:r w:rsidR="00774CA2">
        <w:rPr>
          <w:u w:val="single"/>
        </w:rPr>
        <w:t>process water</w:t>
      </w:r>
      <w:r w:rsidR="001818AF" w:rsidRPr="00EE43C6">
        <w:rPr>
          <w:u w:val="single"/>
        </w:rPr>
        <w:t xml:space="preserve"> </w:t>
      </w:r>
      <w:r w:rsidR="00774CA2">
        <w:rPr>
          <w:u w:val="single"/>
        </w:rPr>
        <w:t>(</w:t>
      </w:r>
      <w:r w:rsidR="00CC60F4">
        <w:rPr>
          <w:u w:val="single"/>
        </w:rPr>
        <w:t xml:space="preserve">treated </w:t>
      </w:r>
      <w:r w:rsidR="004C679D">
        <w:rPr>
          <w:u w:val="single"/>
        </w:rPr>
        <w:t>waste</w:t>
      </w:r>
      <w:r w:rsidR="00CC60F4">
        <w:rPr>
          <w:u w:val="single"/>
        </w:rPr>
        <w:t>water</w:t>
      </w:r>
      <w:r w:rsidR="00774CA2">
        <w:rPr>
          <w:u w:val="single"/>
        </w:rPr>
        <w:t>)</w:t>
      </w:r>
      <w:r w:rsidR="00CC60F4">
        <w:rPr>
          <w:u w:val="single"/>
        </w:rPr>
        <w:t xml:space="preserve"> </w:t>
      </w:r>
      <w:r w:rsidRPr="00EE43C6">
        <w:rPr>
          <w:u w:val="single"/>
        </w:rPr>
        <w:t>pipelines/networks</w:t>
      </w:r>
    </w:p>
    <w:p w14:paraId="6D45B45E" w14:textId="464C9B7C" w:rsidR="00DF67C1" w:rsidRPr="00EE43C6" w:rsidRDefault="00AA1EF3" w:rsidP="00B83B1A">
      <w:pPr>
        <w:spacing w:after="120"/>
      </w:pPr>
      <w:r w:rsidRPr="00EE43C6">
        <w:t>I</w:t>
      </w:r>
      <w:r w:rsidR="00993A9B" w:rsidRPr="00EE43C6">
        <w:t xml:space="preserve">t is planned to have total of </w:t>
      </w:r>
      <w:r w:rsidRPr="00EE43C6">
        <w:t xml:space="preserve">9.435 km </w:t>
      </w:r>
      <w:r w:rsidR="006C069E">
        <w:t>process water (tr</w:t>
      </w:r>
      <w:r w:rsidR="004C679D">
        <w:t>eated wastewater</w:t>
      </w:r>
      <w:r w:rsidR="006C069E">
        <w:t>)</w:t>
      </w:r>
      <w:r w:rsidR="004C679D">
        <w:t xml:space="preserve"> </w:t>
      </w:r>
      <w:r w:rsidRPr="00EE43C6">
        <w:t xml:space="preserve">pipelines. </w:t>
      </w:r>
      <w:r w:rsidR="00DF67C1" w:rsidRPr="00EE43C6">
        <w:t xml:space="preserve">Excavations with a depth of approximately 2 m and a width of approximately 1 m will be made along the routes to lay the </w:t>
      </w:r>
      <w:r w:rsidR="00985850">
        <w:t>concerned</w:t>
      </w:r>
      <w:r w:rsidR="004C679D">
        <w:t xml:space="preserve"> </w:t>
      </w:r>
      <w:r w:rsidR="00DF67C1" w:rsidRPr="00EE43C6">
        <w:t>pipes.</w:t>
      </w:r>
      <w:r w:rsidR="000553E4" w:rsidRPr="00EE43C6">
        <w:t xml:space="preserve"> </w:t>
      </w:r>
      <w:r w:rsidR="005067F7">
        <w:t xml:space="preserve">Collected </w:t>
      </w:r>
      <w:r w:rsidR="00636D5C">
        <w:t>wa</w:t>
      </w:r>
      <w:r w:rsidR="0045333D">
        <w:t>ste</w:t>
      </w:r>
      <w:r w:rsidR="005067F7">
        <w:t>water</w:t>
      </w:r>
      <w:r w:rsidR="00687A1B" w:rsidRPr="00687A1B">
        <w:t xml:space="preserve"> </w:t>
      </w:r>
      <w:r w:rsidR="0045333D">
        <w:t>from</w:t>
      </w:r>
      <w:r w:rsidR="002A339D">
        <w:t xml:space="preserve"> </w:t>
      </w:r>
      <w:r w:rsidR="002A339D" w:rsidRPr="002A339D">
        <w:t>sink and bath</w:t>
      </w:r>
      <w:r w:rsidR="00AD3981">
        <w:t xml:space="preserve"> that </w:t>
      </w:r>
      <w:r w:rsidR="00687A1B" w:rsidRPr="00687A1B">
        <w:t xml:space="preserve">along the </w:t>
      </w:r>
      <w:r w:rsidR="00CE474B">
        <w:t>concerned</w:t>
      </w:r>
      <w:r w:rsidR="00687A1B" w:rsidRPr="00687A1B">
        <w:t xml:space="preserve"> line of the OIZ will be directed to the </w:t>
      </w:r>
      <w:r w:rsidR="00D31713">
        <w:t xml:space="preserve">relevant section of the </w:t>
      </w:r>
      <w:r w:rsidR="00687A1B" w:rsidRPr="00687A1B">
        <w:t>WWTP</w:t>
      </w:r>
      <w:r w:rsidR="00B9530F">
        <w:t xml:space="preserve">, which </w:t>
      </w:r>
      <w:r w:rsidR="00687A1B" w:rsidRPr="00687A1B">
        <w:t>will treat all the wastewater originating from the O</w:t>
      </w:r>
      <w:r w:rsidR="00D84163">
        <w:t>IZ</w:t>
      </w:r>
      <w:r w:rsidR="0054371F">
        <w:t>. A</w:t>
      </w:r>
      <w:r w:rsidR="00687A1B" w:rsidRPr="00687A1B">
        <w:t xml:space="preserve">fter being treated, </w:t>
      </w:r>
      <w:r w:rsidR="0054371F">
        <w:t xml:space="preserve">treated </w:t>
      </w:r>
      <w:r w:rsidR="00E101B3">
        <w:t xml:space="preserve">wastewater </w:t>
      </w:r>
      <w:r w:rsidR="00687A1B" w:rsidRPr="00687A1B">
        <w:t xml:space="preserve">will be directed to </w:t>
      </w:r>
      <w:r w:rsidR="0054371F">
        <w:t>the</w:t>
      </w:r>
      <w:r w:rsidR="00687A1B" w:rsidRPr="00687A1B">
        <w:t xml:space="preserve"> </w:t>
      </w:r>
      <w:r w:rsidR="0054371F">
        <w:t>reservoir</w:t>
      </w:r>
      <w:r w:rsidR="00687A1B" w:rsidRPr="00687A1B">
        <w:t xml:space="preserve"> with capacity of 1</w:t>
      </w:r>
      <w:r w:rsidR="00243172">
        <w:t>,</w:t>
      </w:r>
      <w:r w:rsidR="00687A1B" w:rsidRPr="00687A1B">
        <w:t>500 m</w:t>
      </w:r>
      <w:r w:rsidR="00687A1B" w:rsidRPr="00D84163">
        <w:rPr>
          <w:vertAlign w:val="superscript"/>
        </w:rPr>
        <w:t>3</w:t>
      </w:r>
      <w:r w:rsidR="0054371F">
        <w:t xml:space="preserve"> </w:t>
      </w:r>
      <w:r w:rsidR="00E73F1B">
        <w:t xml:space="preserve">and </w:t>
      </w:r>
      <w:r w:rsidR="00E25E6A">
        <w:t xml:space="preserve">is planned to be </w:t>
      </w:r>
      <w:r w:rsidR="00D84163" w:rsidRPr="00687A1B">
        <w:t>reused</w:t>
      </w:r>
      <w:r w:rsidR="009D2E93">
        <w:t xml:space="preserve"> </w:t>
      </w:r>
      <w:r w:rsidR="009E18FF" w:rsidRPr="001119E2">
        <w:t xml:space="preserve">within the OIZ </w:t>
      </w:r>
      <w:r w:rsidR="009E18FF">
        <w:t xml:space="preserve">for </w:t>
      </w:r>
      <w:r w:rsidR="00E25E6A">
        <w:t>purposes other than</w:t>
      </w:r>
      <w:r w:rsidR="001119E2" w:rsidRPr="001119E2">
        <w:t xml:space="preserve"> production or </w:t>
      </w:r>
      <w:r w:rsidR="00753203">
        <w:t>potable water</w:t>
      </w:r>
      <w:r w:rsidR="00D84163" w:rsidRPr="00687A1B">
        <w:t>.</w:t>
      </w:r>
      <w:r w:rsidR="002739A1" w:rsidRPr="00EE43C6">
        <w:t xml:space="preserve"> </w:t>
      </w:r>
      <w:r w:rsidR="000553E4" w:rsidRPr="00EE43C6">
        <w:t xml:space="preserve">The </w:t>
      </w:r>
      <w:r w:rsidR="00B9530F">
        <w:t>P</w:t>
      </w:r>
      <w:r w:rsidR="00B9530F" w:rsidRPr="00B9530F">
        <w:t xml:space="preserve">rocess </w:t>
      </w:r>
      <w:r w:rsidR="00B9530F">
        <w:t>W</w:t>
      </w:r>
      <w:r w:rsidR="00B9530F" w:rsidRPr="00B9530F">
        <w:t>ater (</w:t>
      </w:r>
      <w:r w:rsidR="00B9530F">
        <w:t>T</w:t>
      </w:r>
      <w:r w:rsidR="00B9530F" w:rsidRPr="00B9530F">
        <w:t xml:space="preserve">reated </w:t>
      </w:r>
      <w:r w:rsidR="00B9530F">
        <w:t>W</w:t>
      </w:r>
      <w:r w:rsidR="00B9530F" w:rsidRPr="00B9530F">
        <w:t>astewater)</w:t>
      </w:r>
      <w:r w:rsidR="00B9530F">
        <w:t xml:space="preserve"> </w:t>
      </w:r>
      <w:r w:rsidR="000553E4" w:rsidRPr="00EE43C6">
        <w:t xml:space="preserve">Network Layout Plan is </w:t>
      </w:r>
      <w:r w:rsidR="00602332" w:rsidRPr="00EE43C6">
        <w:t>in</w:t>
      </w:r>
      <w:r w:rsidR="007E261C" w:rsidRPr="00EE43C6">
        <w:t xml:space="preserve"> </w:t>
      </w:r>
      <w:r w:rsidR="00602332" w:rsidRPr="00EE43C6">
        <w:fldChar w:fldCharType="begin"/>
      </w:r>
      <w:r w:rsidR="00602332" w:rsidRPr="00EE43C6">
        <w:instrText xml:space="preserve"> REF _Ref124864253 \h  \* MERGEFORMAT </w:instrText>
      </w:r>
      <w:r w:rsidR="00602332" w:rsidRPr="00EE43C6">
        <w:fldChar w:fldCharType="separate"/>
      </w:r>
      <w:r w:rsidR="00B97C43" w:rsidRPr="00EE43C6">
        <w:t>Figure 2</w:t>
      </w:r>
      <w:r w:rsidR="00B97C43" w:rsidRPr="00EE43C6">
        <w:noBreakHyphen/>
        <w:t>11</w:t>
      </w:r>
      <w:r w:rsidR="00602332" w:rsidRPr="00EE43C6">
        <w:fldChar w:fldCharType="end"/>
      </w:r>
      <w:r w:rsidR="00602332" w:rsidRPr="00EE43C6">
        <w:t>.</w:t>
      </w:r>
    </w:p>
    <w:p w14:paraId="24AEAD17" w14:textId="6038E028" w:rsidR="00501A5C" w:rsidRPr="00EE43C6" w:rsidRDefault="00B85FE3" w:rsidP="00B83B1A">
      <w:pPr>
        <w:spacing w:before="120" w:after="0"/>
        <w:jc w:val="center"/>
      </w:pPr>
      <w:r w:rsidRPr="00EE43C6">
        <w:rPr>
          <w:noProof/>
        </w:rPr>
        <w:drawing>
          <wp:inline distT="0" distB="0" distL="0" distR="0" wp14:anchorId="00FC4796" wp14:editId="6CD8787C">
            <wp:extent cx="3492000" cy="6499252"/>
            <wp:effectExtent l="38100" t="38100" r="32385" b="349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92000" cy="6499252"/>
                    </a:xfrm>
                    <a:prstGeom prst="rect">
                      <a:avLst/>
                    </a:prstGeom>
                    <a:ln w="38100">
                      <a:solidFill>
                        <a:schemeClr val="tx1"/>
                      </a:solidFill>
                    </a:ln>
                  </pic:spPr>
                </pic:pic>
              </a:graphicData>
            </a:graphic>
          </wp:inline>
        </w:drawing>
      </w:r>
    </w:p>
    <w:p w14:paraId="41BEE2EC" w14:textId="19E88CB3" w:rsidR="004B506B" w:rsidRPr="00EE43C6" w:rsidRDefault="00501A5C" w:rsidP="00501A5C">
      <w:pPr>
        <w:pStyle w:val="Caption"/>
        <w:rPr>
          <w:noProof w:val="0"/>
        </w:rPr>
      </w:pPr>
      <w:bookmarkStart w:id="105" w:name="_Ref124864253"/>
      <w:bookmarkStart w:id="106" w:name="_Toc141445556"/>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11</w:t>
      </w:r>
      <w:r w:rsidR="0096150F">
        <w:rPr>
          <w:noProof w:val="0"/>
          <w:color w:val="00B050"/>
        </w:rPr>
        <w:fldChar w:fldCharType="end"/>
      </w:r>
      <w:bookmarkEnd w:id="105"/>
      <w:r w:rsidRPr="00EE43C6">
        <w:rPr>
          <w:noProof w:val="0"/>
          <w:color w:val="00B050"/>
        </w:rPr>
        <w:t xml:space="preserve">. </w:t>
      </w:r>
      <w:r w:rsidR="00517B62" w:rsidRPr="00EE43C6">
        <w:rPr>
          <w:b w:val="0"/>
          <w:bCs w:val="0"/>
          <w:noProof w:val="0"/>
          <w:color w:val="auto"/>
        </w:rPr>
        <w:t xml:space="preserve">The Project </w:t>
      </w:r>
      <w:r w:rsidR="002F2709">
        <w:rPr>
          <w:b w:val="0"/>
          <w:bCs w:val="0"/>
          <w:noProof w:val="0"/>
          <w:color w:val="auto"/>
        </w:rPr>
        <w:t>P</w:t>
      </w:r>
      <w:r w:rsidR="002F2709" w:rsidRPr="002F2709">
        <w:rPr>
          <w:b w:val="0"/>
          <w:bCs w:val="0"/>
          <w:noProof w:val="0"/>
          <w:color w:val="auto"/>
        </w:rPr>
        <w:t xml:space="preserve">rocess </w:t>
      </w:r>
      <w:r w:rsidR="002F2709">
        <w:rPr>
          <w:b w:val="0"/>
          <w:bCs w:val="0"/>
          <w:noProof w:val="0"/>
          <w:color w:val="auto"/>
        </w:rPr>
        <w:t>W</w:t>
      </w:r>
      <w:r w:rsidR="002F2709" w:rsidRPr="002F2709">
        <w:rPr>
          <w:b w:val="0"/>
          <w:bCs w:val="0"/>
          <w:noProof w:val="0"/>
          <w:color w:val="auto"/>
        </w:rPr>
        <w:t>ater (</w:t>
      </w:r>
      <w:r w:rsidR="002F2709">
        <w:rPr>
          <w:b w:val="0"/>
          <w:bCs w:val="0"/>
          <w:noProof w:val="0"/>
          <w:color w:val="auto"/>
        </w:rPr>
        <w:t>T</w:t>
      </w:r>
      <w:r w:rsidR="002F2709" w:rsidRPr="002F2709">
        <w:rPr>
          <w:b w:val="0"/>
          <w:bCs w:val="0"/>
          <w:noProof w:val="0"/>
          <w:color w:val="auto"/>
        </w:rPr>
        <w:t xml:space="preserve">reated </w:t>
      </w:r>
      <w:r w:rsidR="002F2709">
        <w:rPr>
          <w:b w:val="0"/>
          <w:bCs w:val="0"/>
          <w:noProof w:val="0"/>
          <w:color w:val="auto"/>
        </w:rPr>
        <w:t>W</w:t>
      </w:r>
      <w:r w:rsidR="002F2709" w:rsidRPr="002F2709">
        <w:rPr>
          <w:b w:val="0"/>
          <w:bCs w:val="0"/>
          <w:noProof w:val="0"/>
          <w:color w:val="auto"/>
        </w:rPr>
        <w:t>astewater)</w:t>
      </w:r>
      <w:r w:rsidR="002F2709">
        <w:rPr>
          <w:b w:val="0"/>
          <w:bCs w:val="0"/>
          <w:noProof w:val="0"/>
          <w:color w:val="auto"/>
        </w:rPr>
        <w:t xml:space="preserve"> </w:t>
      </w:r>
      <w:r w:rsidR="00517B62" w:rsidRPr="00EE43C6">
        <w:rPr>
          <w:b w:val="0"/>
          <w:bCs w:val="0"/>
          <w:noProof w:val="0"/>
          <w:color w:val="auto"/>
        </w:rPr>
        <w:t xml:space="preserve">Network </w:t>
      </w:r>
      <w:r w:rsidR="00A679E7" w:rsidRPr="00EE43C6">
        <w:rPr>
          <w:b w:val="0"/>
          <w:bCs w:val="0"/>
          <w:noProof w:val="0"/>
          <w:color w:val="auto"/>
        </w:rPr>
        <w:t xml:space="preserve">Layout </w:t>
      </w:r>
      <w:r w:rsidR="00063722" w:rsidRPr="00EE43C6">
        <w:rPr>
          <w:b w:val="0"/>
          <w:bCs w:val="0"/>
          <w:noProof w:val="0"/>
          <w:color w:val="auto"/>
        </w:rPr>
        <w:t>Plan</w:t>
      </w:r>
      <w:bookmarkEnd w:id="106"/>
    </w:p>
    <w:p w14:paraId="26257AE1" w14:textId="53B0EBD2" w:rsidR="00DF67C1" w:rsidRPr="00EE43C6" w:rsidRDefault="00DF67C1" w:rsidP="00CE3B94">
      <w:pPr>
        <w:rPr>
          <w:u w:val="single"/>
        </w:rPr>
      </w:pPr>
      <w:r w:rsidRPr="00EE43C6">
        <w:rPr>
          <w:u w:val="single"/>
        </w:rPr>
        <w:lastRenderedPageBreak/>
        <w:t xml:space="preserve">Construction of </w:t>
      </w:r>
      <w:r w:rsidR="00B57417" w:rsidRPr="00EE43C6">
        <w:rPr>
          <w:u w:val="single"/>
        </w:rPr>
        <w:t>storm</w:t>
      </w:r>
      <w:r w:rsidRPr="00EE43C6">
        <w:rPr>
          <w:u w:val="single"/>
        </w:rPr>
        <w:t>water pipelines/networks</w:t>
      </w:r>
    </w:p>
    <w:p w14:paraId="06E7BF9E" w14:textId="56B12038" w:rsidR="00DF67C1" w:rsidRPr="00EE43C6" w:rsidRDefault="00E807F4" w:rsidP="004E052F">
      <w:pPr>
        <w:spacing w:after="120"/>
      </w:pPr>
      <w:r w:rsidRPr="00EE43C6">
        <w:t>There</w:t>
      </w:r>
      <w:r w:rsidR="009E5344" w:rsidRPr="00EE43C6">
        <w:t xml:space="preserve"> is</w:t>
      </w:r>
      <w:r w:rsidR="00D5796A" w:rsidRPr="00EE43C6">
        <w:t xml:space="preserve"> </w:t>
      </w:r>
      <w:r w:rsidRPr="00EE43C6">
        <w:t xml:space="preserve">a total of </w:t>
      </w:r>
      <w:r w:rsidR="00490591" w:rsidRPr="00EE43C6">
        <w:t>5.</w:t>
      </w:r>
      <w:r w:rsidR="00474863" w:rsidRPr="00EE43C6">
        <w:t>05</w:t>
      </w:r>
      <w:r w:rsidR="00490591" w:rsidRPr="00EE43C6">
        <w:t xml:space="preserve"> km </w:t>
      </w:r>
      <w:r w:rsidRPr="00EE43C6">
        <w:t xml:space="preserve">of </w:t>
      </w:r>
      <w:r w:rsidR="00474863" w:rsidRPr="00EE43C6">
        <w:t>storm</w:t>
      </w:r>
      <w:r w:rsidR="00490591" w:rsidRPr="00EE43C6">
        <w:t xml:space="preserve">water </w:t>
      </w:r>
      <w:r w:rsidRPr="00EE43C6">
        <w:t xml:space="preserve">line </w:t>
      </w:r>
      <w:r w:rsidR="0045605E" w:rsidRPr="00EE43C6">
        <w:t>withi</w:t>
      </w:r>
      <w:r w:rsidRPr="00EE43C6">
        <w:t>n the Project</w:t>
      </w:r>
      <w:r w:rsidR="00D378A3" w:rsidRPr="00EE43C6">
        <w:t>’s construction activities</w:t>
      </w:r>
      <w:r w:rsidRPr="00EE43C6">
        <w:t>.</w:t>
      </w:r>
      <w:r w:rsidR="00D5796A" w:rsidRPr="00EE43C6">
        <w:t xml:space="preserve"> </w:t>
      </w:r>
      <w:r w:rsidR="00DF67C1" w:rsidRPr="00EE43C6">
        <w:t xml:space="preserve">Excavations with a depth of approximately 2.5 m and a width of approximately 2 m will be made along the routes to lay the </w:t>
      </w:r>
      <w:r w:rsidR="001E756D" w:rsidRPr="00EE43C6">
        <w:t>stormwater</w:t>
      </w:r>
      <w:r w:rsidR="00847084" w:rsidRPr="00EE43C6">
        <w:t xml:space="preserve"> </w:t>
      </w:r>
      <w:r w:rsidR="00DF67C1" w:rsidRPr="00EE43C6">
        <w:t>pipes.</w:t>
      </w:r>
      <w:r w:rsidR="0041191E" w:rsidRPr="00EE43C6">
        <w:t xml:space="preserve"> </w:t>
      </w:r>
      <w:r w:rsidR="00992651" w:rsidRPr="00EE43C6">
        <w:t>Also, 977.633 m</w:t>
      </w:r>
      <w:r w:rsidR="00246760" w:rsidRPr="00EE43C6">
        <w:t xml:space="preserve"> of</w:t>
      </w:r>
      <w:r w:rsidR="00992651" w:rsidRPr="00EE43C6">
        <w:t xml:space="preserve"> diversion canal </w:t>
      </w:r>
      <w:r w:rsidR="000F56A5" w:rsidRPr="00EE43C6">
        <w:t>will be built</w:t>
      </w:r>
      <w:r w:rsidR="007512DC" w:rsidRPr="00EE43C6">
        <w:t xml:space="preserve"> on the Evcisuyu Stream within the Project Area</w:t>
      </w:r>
      <w:r w:rsidR="000F56A5" w:rsidRPr="00EE43C6">
        <w:t xml:space="preserve">. </w:t>
      </w:r>
      <w:r w:rsidR="00C211B2">
        <w:t>S</w:t>
      </w:r>
      <w:r w:rsidR="00987B10" w:rsidRPr="00987B10">
        <w:t xml:space="preserve">tormwater will be collected with </w:t>
      </w:r>
      <w:r w:rsidR="00B821A5">
        <w:t>the constructed</w:t>
      </w:r>
      <w:r w:rsidR="00987B10" w:rsidRPr="00987B10">
        <w:t xml:space="preserve"> stormwater network and will be </w:t>
      </w:r>
      <w:r w:rsidR="00B24F51">
        <w:t>diverted</w:t>
      </w:r>
      <w:r w:rsidR="00987B10" w:rsidRPr="00987B10">
        <w:t xml:space="preserve"> to a storage tank with a capacity of 1</w:t>
      </w:r>
      <w:r w:rsidR="00B821A5">
        <w:t>,</w:t>
      </w:r>
      <w:r w:rsidR="00987B10" w:rsidRPr="00987B10">
        <w:t>800</w:t>
      </w:r>
      <w:r w:rsidR="00B821A5">
        <w:t xml:space="preserve"> </w:t>
      </w:r>
      <w:r w:rsidR="00987B10" w:rsidRPr="00987B10">
        <w:t>m</w:t>
      </w:r>
      <w:r w:rsidR="00987B10" w:rsidRPr="00882EFF">
        <w:rPr>
          <w:vertAlign w:val="superscript"/>
        </w:rPr>
        <w:t>3</w:t>
      </w:r>
      <w:r w:rsidR="00987B10" w:rsidRPr="00987B10">
        <w:t xml:space="preserve">. The collected stormwater will be used for irrigation activities. </w:t>
      </w:r>
      <w:r w:rsidR="006B773C">
        <w:t>When</w:t>
      </w:r>
      <w:r w:rsidR="00987B10" w:rsidRPr="00987B10">
        <w:t xml:space="preserve"> the collection tank is full, stormwater will be </w:t>
      </w:r>
      <w:r w:rsidR="00B24F51">
        <w:t>transferred</w:t>
      </w:r>
      <w:r w:rsidR="00987B10" w:rsidRPr="00987B10">
        <w:t xml:space="preserve"> to the receiving body </w:t>
      </w:r>
      <w:r w:rsidR="00B24F51">
        <w:t xml:space="preserve">as Evcisuyu Stream </w:t>
      </w:r>
      <w:r w:rsidR="00987B10" w:rsidRPr="00987B10">
        <w:t>to discharge.</w:t>
      </w:r>
      <w:r w:rsidR="00B821A5">
        <w:t xml:space="preserve"> </w:t>
      </w:r>
      <w:r w:rsidR="00B821A5" w:rsidRPr="00EE43C6">
        <w:t xml:space="preserve">It is aimed to drain excessive surface run-off from extreme precipitation or flooding by diverting the collected stormwater along the concerned line to diversion canal and three (3) discharge locations in the Project Area. </w:t>
      </w:r>
      <w:r w:rsidR="0041191E" w:rsidRPr="00EE43C6">
        <w:t xml:space="preserve">The </w:t>
      </w:r>
      <w:r w:rsidR="00B93A43" w:rsidRPr="00EE43C6">
        <w:t>Stormwater</w:t>
      </w:r>
      <w:r w:rsidR="00BF3A21" w:rsidRPr="00EE43C6">
        <w:t xml:space="preserve"> Network Layout Plan </w:t>
      </w:r>
      <w:r w:rsidR="00AB5856" w:rsidRPr="00EE43C6">
        <w:t xml:space="preserve">is provided in </w:t>
      </w:r>
      <w:r w:rsidR="00AB5856" w:rsidRPr="00EE43C6">
        <w:fldChar w:fldCharType="begin"/>
      </w:r>
      <w:r w:rsidR="00AB5856" w:rsidRPr="00EE43C6">
        <w:instrText xml:space="preserve"> REF _Ref124864100 \h  \* MERGEFORMAT </w:instrText>
      </w:r>
      <w:r w:rsidR="00AB5856" w:rsidRPr="00EE43C6">
        <w:fldChar w:fldCharType="separate"/>
      </w:r>
      <w:r w:rsidR="00B97C43" w:rsidRPr="00EE43C6">
        <w:t>Figure 2</w:t>
      </w:r>
      <w:r w:rsidR="00B97C43" w:rsidRPr="00EE43C6">
        <w:noBreakHyphen/>
        <w:t>12</w:t>
      </w:r>
      <w:r w:rsidR="00AB5856" w:rsidRPr="00EE43C6">
        <w:fldChar w:fldCharType="end"/>
      </w:r>
      <w:r w:rsidR="00AB5856" w:rsidRPr="00EE43C6">
        <w:t>.</w:t>
      </w:r>
    </w:p>
    <w:p w14:paraId="300D0D83" w14:textId="39975A0E" w:rsidR="00501A5C" w:rsidRPr="00EE43C6" w:rsidRDefault="00EA1111" w:rsidP="003249D5">
      <w:pPr>
        <w:spacing w:before="120" w:after="0"/>
        <w:jc w:val="center"/>
      </w:pPr>
      <w:r w:rsidRPr="00EE43C6">
        <w:rPr>
          <w:noProof/>
        </w:rPr>
        <w:drawing>
          <wp:inline distT="0" distB="0" distL="0" distR="0" wp14:anchorId="7E6699FB" wp14:editId="34D7C88E">
            <wp:extent cx="3276000" cy="6041445"/>
            <wp:effectExtent l="38100" t="38100" r="38735" b="3556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6000" cy="6041445"/>
                    </a:xfrm>
                    <a:prstGeom prst="rect">
                      <a:avLst/>
                    </a:prstGeom>
                    <a:ln w="38100">
                      <a:solidFill>
                        <a:schemeClr val="tx1"/>
                      </a:solidFill>
                    </a:ln>
                  </pic:spPr>
                </pic:pic>
              </a:graphicData>
            </a:graphic>
          </wp:inline>
        </w:drawing>
      </w:r>
    </w:p>
    <w:p w14:paraId="2FA60F6D" w14:textId="781E04AE" w:rsidR="00266F16" w:rsidRPr="00EE43C6" w:rsidRDefault="00501A5C" w:rsidP="00501A5C">
      <w:pPr>
        <w:pStyle w:val="Caption"/>
        <w:rPr>
          <w:noProof w:val="0"/>
        </w:rPr>
      </w:pPr>
      <w:bookmarkStart w:id="107" w:name="_Ref124864100"/>
      <w:bookmarkStart w:id="108" w:name="_Toc141445557"/>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12</w:t>
      </w:r>
      <w:r w:rsidR="0096150F">
        <w:rPr>
          <w:noProof w:val="0"/>
          <w:color w:val="00B050"/>
        </w:rPr>
        <w:fldChar w:fldCharType="end"/>
      </w:r>
      <w:bookmarkEnd w:id="107"/>
      <w:r w:rsidRPr="00EE43C6">
        <w:rPr>
          <w:noProof w:val="0"/>
          <w:color w:val="00B050"/>
        </w:rPr>
        <w:t xml:space="preserve">. </w:t>
      </w:r>
      <w:r w:rsidR="00266F16" w:rsidRPr="00EE43C6">
        <w:rPr>
          <w:b w:val="0"/>
          <w:bCs w:val="0"/>
          <w:noProof w:val="0"/>
          <w:color w:val="auto"/>
        </w:rPr>
        <w:t xml:space="preserve">The Project </w:t>
      </w:r>
      <w:r w:rsidR="00B93A43" w:rsidRPr="00EE43C6">
        <w:rPr>
          <w:b w:val="0"/>
          <w:bCs w:val="0"/>
          <w:noProof w:val="0"/>
          <w:color w:val="auto"/>
        </w:rPr>
        <w:t>Stormwater</w:t>
      </w:r>
      <w:r w:rsidR="00266F16" w:rsidRPr="00EE43C6">
        <w:rPr>
          <w:b w:val="0"/>
          <w:bCs w:val="0"/>
          <w:noProof w:val="0"/>
          <w:color w:val="auto"/>
        </w:rPr>
        <w:t xml:space="preserve"> Network </w:t>
      </w:r>
      <w:r w:rsidR="00A679E7" w:rsidRPr="00EE43C6">
        <w:rPr>
          <w:b w:val="0"/>
          <w:bCs w:val="0"/>
          <w:noProof w:val="0"/>
          <w:color w:val="auto"/>
        </w:rPr>
        <w:t xml:space="preserve">Layout </w:t>
      </w:r>
      <w:r w:rsidR="00063722" w:rsidRPr="00EE43C6">
        <w:rPr>
          <w:b w:val="0"/>
          <w:bCs w:val="0"/>
          <w:noProof w:val="0"/>
          <w:color w:val="auto"/>
        </w:rPr>
        <w:t>Plan</w:t>
      </w:r>
      <w:bookmarkEnd w:id="108"/>
    </w:p>
    <w:p w14:paraId="03AEB485" w14:textId="2563222E" w:rsidR="00DF67C1" w:rsidRPr="00EE43C6" w:rsidRDefault="00DF67C1" w:rsidP="00CE3B94">
      <w:pPr>
        <w:rPr>
          <w:u w:val="single"/>
        </w:rPr>
      </w:pPr>
      <w:r w:rsidRPr="00EE43C6">
        <w:rPr>
          <w:u w:val="single"/>
        </w:rPr>
        <w:lastRenderedPageBreak/>
        <w:t xml:space="preserve">Construction of </w:t>
      </w:r>
      <w:r w:rsidR="00AA1EF3" w:rsidRPr="00EE43C6">
        <w:rPr>
          <w:u w:val="single"/>
        </w:rPr>
        <w:t xml:space="preserve">wastewater </w:t>
      </w:r>
      <w:r w:rsidRPr="00EE43C6">
        <w:rPr>
          <w:u w:val="single"/>
        </w:rPr>
        <w:t>pipelines/networks</w:t>
      </w:r>
    </w:p>
    <w:p w14:paraId="604FF48F" w14:textId="390E1B18" w:rsidR="00DF67C1" w:rsidRPr="00EE43C6" w:rsidRDefault="00FE178D" w:rsidP="00B83B1A">
      <w:pPr>
        <w:spacing w:after="120"/>
      </w:pPr>
      <w:r w:rsidRPr="00EE43C6">
        <w:t>According to</w:t>
      </w:r>
      <w:r w:rsidR="00F854EE" w:rsidRPr="00EE43C6">
        <w:t xml:space="preserve"> the Project</w:t>
      </w:r>
      <w:r w:rsidR="002120EA" w:rsidRPr="00EE43C6">
        <w:t xml:space="preserve">’s </w:t>
      </w:r>
      <w:r w:rsidRPr="00EE43C6">
        <w:t>construction planning</w:t>
      </w:r>
      <w:r w:rsidR="00F854EE" w:rsidRPr="00EE43C6">
        <w:t xml:space="preserve">, </w:t>
      </w:r>
      <w:r w:rsidRPr="00EE43C6">
        <w:t>3</w:t>
      </w:r>
      <w:r w:rsidR="002363FE" w:rsidRPr="00EE43C6">
        <w:t>.</w:t>
      </w:r>
      <w:r w:rsidRPr="00EE43C6">
        <w:t>998</w:t>
      </w:r>
      <w:r w:rsidR="002363FE" w:rsidRPr="00EE43C6">
        <w:t xml:space="preserve"> km wastewater </w:t>
      </w:r>
      <w:r w:rsidR="003365A0" w:rsidRPr="00EE43C6">
        <w:t>pipe</w:t>
      </w:r>
      <w:r w:rsidR="002363FE" w:rsidRPr="00EE43C6">
        <w:t>line are planned.</w:t>
      </w:r>
      <w:r w:rsidR="00F854EE" w:rsidRPr="00EE43C6">
        <w:t xml:space="preserve"> </w:t>
      </w:r>
      <w:r w:rsidR="00DF67C1" w:rsidRPr="00EE43C6">
        <w:t xml:space="preserve">Excavations with a depth of approximately 3.5 m and a width of approximately 1.5 m will be made along the routes to lay the </w:t>
      </w:r>
      <w:r w:rsidR="003836EC" w:rsidRPr="00EE43C6">
        <w:t xml:space="preserve">sewer </w:t>
      </w:r>
      <w:r w:rsidR="00DF67C1" w:rsidRPr="00EE43C6">
        <w:t>pipes.</w:t>
      </w:r>
      <w:r w:rsidR="009E5FDC" w:rsidRPr="00EE43C6">
        <w:t xml:space="preserve"> The </w:t>
      </w:r>
      <w:r w:rsidR="000619FE" w:rsidRPr="00EE43C6">
        <w:t>W</w:t>
      </w:r>
      <w:r w:rsidR="009E5FDC" w:rsidRPr="00EE43C6">
        <w:t xml:space="preserve">astewater </w:t>
      </w:r>
      <w:r w:rsidR="0041191E" w:rsidRPr="00EE43C6">
        <w:t xml:space="preserve">Network </w:t>
      </w:r>
      <w:r w:rsidR="000619FE" w:rsidRPr="00EE43C6">
        <w:t>L</w:t>
      </w:r>
      <w:r w:rsidR="009E5FDC" w:rsidRPr="00EE43C6">
        <w:t xml:space="preserve">ayout </w:t>
      </w:r>
      <w:r w:rsidR="000619FE" w:rsidRPr="00EE43C6">
        <w:t>P</w:t>
      </w:r>
      <w:r w:rsidR="009E5FDC" w:rsidRPr="00EE43C6">
        <w:t xml:space="preserve">lan of the </w:t>
      </w:r>
      <w:r w:rsidR="008C3A81" w:rsidRPr="00EE43C6">
        <w:t xml:space="preserve">Project is seen in </w:t>
      </w:r>
      <w:r w:rsidR="008C3A81" w:rsidRPr="00EE43C6">
        <w:fldChar w:fldCharType="begin"/>
      </w:r>
      <w:r w:rsidR="008C3A81" w:rsidRPr="00EE43C6">
        <w:instrText xml:space="preserve"> REF _Ref124863865 \h  \* MERGEFORMAT </w:instrText>
      </w:r>
      <w:r w:rsidR="008C3A81" w:rsidRPr="00EE43C6">
        <w:fldChar w:fldCharType="separate"/>
      </w:r>
      <w:r w:rsidR="000A7EDC" w:rsidRPr="00EE43C6">
        <w:t>Figure 2</w:t>
      </w:r>
      <w:r w:rsidR="000A7EDC" w:rsidRPr="00EE43C6">
        <w:noBreakHyphen/>
        <w:t>13</w:t>
      </w:r>
      <w:r w:rsidR="008C3A81" w:rsidRPr="00EE43C6">
        <w:fldChar w:fldCharType="end"/>
      </w:r>
      <w:r w:rsidR="008C3A81" w:rsidRPr="00EE43C6">
        <w:t>.</w:t>
      </w:r>
    </w:p>
    <w:p w14:paraId="13E505D6" w14:textId="43A6BF38" w:rsidR="00501A5C" w:rsidRPr="00EE43C6" w:rsidRDefault="009E6279" w:rsidP="00B83B1A">
      <w:pPr>
        <w:spacing w:before="120" w:after="0"/>
        <w:jc w:val="center"/>
      </w:pPr>
      <w:r w:rsidRPr="00EE43C6">
        <w:rPr>
          <w:noProof/>
        </w:rPr>
        <w:drawing>
          <wp:inline distT="0" distB="0" distL="0" distR="0" wp14:anchorId="6F029557" wp14:editId="16BACCED">
            <wp:extent cx="3852000" cy="7235857"/>
            <wp:effectExtent l="38100" t="38100" r="34290" b="4127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52000" cy="7235857"/>
                    </a:xfrm>
                    <a:prstGeom prst="rect">
                      <a:avLst/>
                    </a:prstGeom>
                    <a:ln w="38100">
                      <a:solidFill>
                        <a:schemeClr val="tx1"/>
                      </a:solidFill>
                    </a:ln>
                  </pic:spPr>
                </pic:pic>
              </a:graphicData>
            </a:graphic>
          </wp:inline>
        </w:drawing>
      </w:r>
    </w:p>
    <w:p w14:paraId="08A8FEA1" w14:textId="67B118FD" w:rsidR="009B5CC6" w:rsidRPr="00EE43C6" w:rsidRDefault="00501A5C" w:rsidP="00501A5C">
      <w:pPr>
        <w:pStyle w:val="Caption"/>
        <w:rPr>
          <w:noProof w:val="0"/>
        </w:rPr>
      </w:pPr>
      <w:bookmarkStart w:id="109" w:name="_Ref124863865"/>
      <w:bookmarkStart w:id="110" w:name="_Toc141445558"/>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13</w:t>
      </w:r>
      <w:r w:rsidR="0096150F">
        <w:rPr>
          <w:noProof w:val="0"/>
          <w:color w:val="00B050"/>
        </w:rPr>
        <w:fldChar w:fldCharType="end"/>
      </w:r>
      <w:bookmarkEnd w:id="109"/>
      <w:r w:rsidRPr="00EE43C6">
        <w:rPr>
          <w:noProof w:val="0"/>
          <w:color w:val="00B050"/>
        </w:rPr>
        <w:t xml:space="preserve">. </w:t>
      </w:r>
      <w:r w:rsidR="009B5CC6" w:rsidRPr="00EE43C6">
        <w:rPr>
          <w:b w:val="0"/>
          <w:bCs w:val="0"/>
          <w:noProof w:val="0"/>
          <w:color w:val="auto"/>
        </w:rPr>
        <w:t xml:space="preserve">The Project Wastewater Network </w:t>
      </w:r>
      <w:r w:rsidR="00A679E7" w:rsidRPr="00EE43C6">
        <w:rPr>
          <w:b w:val="0"/>
          <w:bCs w:val="0"/>
          <w:noProof w:val="0"/>
          <w:color w:val="auto"/>
        </w:rPr>
        <w:t xml:space="preserve">Layout </w:t>
      </w:r>
      <w:r w:rsidR="00063722" w:rsidRPr="00EE43C6">
        <w:rPr>
          <w:b w:val="0"/>
          <w:bCs w:val="0"/>
          <w:noProof w:val="0"/>
          <w:color w:val="auto"/>
        </w:rPr>
        <w:t>Plan</w:t>
      </w:r>
      <w:bookmarkEnd w:id="110"/>
    </w:p>
    <w:p w14:paraId="718DDA8F" w14:textId="3B93B924" w:rsidR="00DF67C1" w:rsidRPr="00EE43C6" w:rsidRDefault="00DF67C1" w:rsidP="00CE3B94">
      <w:pPr>
        <w:rPr>
          <w:u w:val="single"/>
        </w:rPr>
      </w:pPr>
      <w:r w:rsidRPr="00EE43C6">
        <w:rPr>
          <w:u w:val="single"/>
        </w:rPr>
        <w:lastRenderedPageBreak/>
        <w:t>Construction of road networks</w:t>
      </w:r>
    </w:p>
    <w:p w14:paraId="2996A6CF" w14:textId="455B6255" w:rsidR="00DF67C1" w:rsidRPr="00EE43C6" w:rsidRDefault="00052EF8" w:rsidP="00872283">
      <w:pPr>
        <w:spacing w:after="120"/>
      </w:pPr>
      <w:r w:rsidRPr="00EE43C6">
        <w:t>A total of 8.</w:t>
      </w:r>
      <w:r w:rsidR="00CD6CD1" w:rsidRPr="00EE43C6">
        <w:t>8</w:t>
      </w:r>
      <w:r w:rsidRPr="00EE43C6">
        <w:t xml:space="preserve">5 km of road </w:t>
      </w:r>
      <w:r w:rsidR="002603EE" w:rsidRPr="00EE43C6">
        <w:t>is</w:t>
      </w:r>
      <w:r w:rsidR="00E130BC" w:rsidRPr="00EE43C6">
        <w:t xml:space="preserve"> planned to </w:t>
      </w:r>
      <w:r w:rsidRPr="00EE43C6">
        <w:t xml:space="preserve">be built </w:t>
      </w:r>
      <w:r w:rsidR="00907AA7" w:rsidRPr="00EE43C6">
        <w:t>within</w:t>
      </w:r>
      <w:r w:rsidRPr="00EE43C6">
        <w:t xml:space="preserve"> </w:t>
      </w:r>
      <w:r w:rsidR="00E130BC" w:rsidRPr="00EE43C6">
        <w:t xml:space="preserve">the </w:t>
      </w:r>
      <w:r w:rsidR="00907AA7" w:rsidRPr="00EE43C6">
        <w:t xml:space="preserve">scope of the </w:t>
      </w:r>
      <w:r w:rsidR="00E130BC" w:rsidRPr="00EE43C6">
        <w:t>Project</w:t>
      </w:r>
      <w:r w:rsidRPr="00EE43C6">
        <w:t>.</w:t>
      </w:r>
      <w:r w:rsidR="00E130BC" w:rsidRPr="00EE43C6">
        <w:t xml:space="preserve"> </w:t>
      </w:r>
      <w:r w:rsidR="008F1084" w:rsidRPr="00EE43C6">
        <w:t xml:space="preserve">The road </w:t>
      </w:r>
      <w:r w:rsidR="00BB33BB" w:rsidRPr="00EE43C6">
        <w:t xml:space="preserve">separating the Project Area </w:t>
      </w:r>
      <w:r w:rsidR="008F1084" w:rsidRPr="00EE43C6">
        <w:t>will be constructed as an intersection</w:t>
      </w:r>
      <w:r w:rsidR="0083593B" w:rsidRPr="00EE43C6">
        <w:t xml:space="preserve"> with traffic lights</w:t>
      </w:r>
      <w:r w:rsidR="008F1084" w:rsidRPr="00EE43C6">
        <w:t>.</w:t>
      </w:r>
      <w:r w:rsidR="00CD36CB" w:rsidRPr="00EE43C6">
        <w:t xml:space="preserve"> </w:t>
      </w:r>
      <w:r w:rsidR="009B4C44" w:rsidRPr="00EE43C6">
        <w:t xml:space="preserve">All </w:t>
      </w:r>
      <w:r w:rsidR="00FA6C5D" w:rsidRPr="00EE43C6">
        <w:t xml:space="preserve">road is </w:t>
      </w:r>
      <w:r w:rsidR="003379E4" w:rsidRPr="00EE43C6">
        <w:t xml:space="preserve">planned to be </w:t>
      </w:r>
      <w:r w:rsidR="00FA6C5D" w:rsidRPr="00EE43C6">
        <w:t xml:space="preserve">covered with bituminous asphalt. </w:t>
      </w:r>
      <w:r w:rsidR="00CD36CB" w:rsidRPr="00EE43C6">
        <w:t xml:space="preserve">The </w:t>
      </w:r>
      <w:r w:rsidR="00003BAE" w:rsidRPr="00EE43C6">
        <w:t>R</w:t>
      </w:r>
      <w:r w:rsidR="00CD36CB" w:rsidRPr="00EE43C6">
        <w:t xml:space="preserve">oad </w:t>
      </w:r>
      <w:r w:rsidR="00003BAE" w:rsidRPr="00EE43C6">
        <w:t>L</w:t>
      </w:r>
      <w:r w:rsidR="00CD36CB" w:rsidRPr="00EE43C6">
        <w:t xml:space="preserve">ayout </w:t>
      </w:r>
      <w:r w:rsidR="00003BAE" w:rsidRPr="00EE43C6">
        <w:t>P</w:t>
      </w:r>
      <w:r w:rsidR="00CD36CB" w:rsidRPr="00EE43C6">
        <w:t xml:space="preserve">lan of the Project is presented in </w:t>
      </w:r>
      <w:r w:rsidR="00CD36CB" w:rsidRPr="00EE43C6">
        <w:fldChar w:fldCharType="begin"/>
      </w:r>
      <w:r w:rsidR="00CD36CB" w:rsidRPr="00EE43C6">
        <w:instrText xml:space="preserve"> REF _Ref124863188 \h  \* MERGEFORMAT </w:instrText>
      </w:r>
      <w:r w:rsidR="00CD36CB" w:rsidRPr="00EE43C6">
        <w:fldChar w:fldCharType="separate"/>
      </w:r>
      <w:r w:rsidR="002D486D" w:rsidRPr="00EE43C6">
        <w:t>Figure 2</w:t>
      </w:r>
      <w:r w:rsidR="002D486D" w:rsidRPr="00EE43C6">
        <w:noBreakHyphen/>
        <w:t>14</w:t>
      </w:r>
      <w:r w:rsidR="00CD36CB" w:rsidRPr="00EE43C6">
        <w:fldChar w:fldCharType="end"/>
      </w:r>
      <w:r w:rsidR="00AC71DB" w:rsidRPr="00EE43C6">
        <w:t>.</w:t>
      </w:r>
    </w:p>
    <w:p w14:paraId="12C9D414" w14:textId="422760D6" w:rsidR="001776BE" w:rsidRPr="00EE43C6" w:rsidRDefault="009D3378" w:rsidP="00872283">
      <w:pPr>
        <w:spacing w:before="120" w:after="0"/>
        <w:jc w:val="center"/>
      </w:pPr>
      <w:r w:rsidRPr="00EE43C6">
        <w:rPr>
          <w:noProof/>
        </w:rPr>
        <w:drawing>
          <wp:inline distT="0" distB="0" distL="0" distR="0" wp14:anchorId="7BBAC044" wp14:editId="05135365">
            <wp:extent cx="3721298" cy="6911999"/>
            <wp:effectExtent l="38100" t="38100" r="31750" b="412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21298" cy="6911999"/>
                    </a:xfrm>
                    <a:prstGeom prst="rect">
                      <a:avLst/>
                    </a:prstGeom>
                    <a:ln w="38100">
                      <a:solidFill>
                        <a:schemeClr val="tx1"/>
                      </a:solidFill>
                    </a:ln>
                  </pic:spPr>
                </pic:pic>
              </a:graphicData>
            </a:graphic>
          </wp:inline>
        </w:drawing>
      </w:r>
    </w:p>
    <w:p w14:paraId="2DBB96F8" w14:textId="1332D635" w:rsidR="00DE7ECB" w:rsidRPr="00EE43C6" w:rsidRDefault="00376F2D" w:rsidP="00757092">
      <w:pPr>
        <w:pStyle w:val="Caption"/>
        <w:rPr>
          <w:b w:val="0"/>
          <w:bCs w:val="0"/>
          <w:noProof w:val="0"/>
          <w:color w:val="auto"/>
        </w:rPr>
      </w:pPr>
      <w:bookmarkStart w:id="111" w:name="_Ref124863188"/>
      <w:bookmarkStart w:id="112" w:name="_Toc141445559"/>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2</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14</w:t>
      </w:r>
      <w:r w:rsidR="0096150F">
        <w:rPr>
          <w:noProof w:val="0"/>
          <w:color w:val="00B050"/>
        </w:rPr>
        <w:fldChar w:fldCharType="end"/>
      </w:r>
      <w:bookmarkEnd w:id="111"/>
      <w:r w:rsidRPr="00EE43C6">
        <w:rPr>
          <w:noProof w:val="0"/>
          <w:color w:val="00B050"/>
        </w:rPr>
        <w:t xml:space="preserve">. </w:t>
      </w:r>
      <w:r w:rsidR="00F218E2" w:rsidRPr="00EE43C6">
        <w:rPr>
          <w:b w:val="0"/>
          <w:bCs w:val="0"/>
          <w:noProof w:val="0"/>
          <w:color w:val="auto"/>
        </w:rPr>
        <w:t xml:space="preserve">The Project Road </w:t>
      </w:r>
      <w:r w:rsidR="00D10B20" w:rsidRPr="00EE43C6">
        <w:rPr>
          <w:b w:val="0"/>
          <w:bCs w:val="0"/>
          <w:noProof w:val="0"/>
          <w:color w:val="auto"/>
        </w:rPr>
        <w:t>Layout</w:t>
      </w:r>
      <w:r w:rsidR="00544138" w:rsidRPr="00EE43C6">
        <w:rPr>
          <w:b w:val="0"/>
          <w:bCs w:val="0"/>
          <w:noProof w:val="0"/>
          <w:color w:val="auto"/>
        </w:rPr>
        <w:t xml:space="preserve"> </w:t>
      </w:r>
      <w:r w:rsidR="00063722" w:rsidRPr="00EE43C6">
        <w:rPr>
          <w:b w:val="0"/>
          <w:bCs w:val="0"/>
          <w:noProof w:val="0"/>
          <w:color w:val="auto"/>
        </w:rPr>
        <w:t>Plan</w:t>
      </w:r>
      <w:bookmarkEnd w:id="112"/>
    </w:p>
    <w:p w14:paraId="76E1071C" w14:textId="2FB5C106" w:rsidR="00E206EC" w:rsidRPr="00EE43C6" w:rsidRDefault="00E16C9D" w:rsidP="00591B1C">
      <w:pPr>
        <w:rPr>
          <w:lang w:eastAsia="en-US"/>
        </w:rPr>
      </w:pPr>
      <w:r w:rsidRPr="00EE43C6">
        <w:rPr>
          <w:lang w:eastAsia="en-US"/>
        </w:rPr>
        <w:t xml:space="preserve">In addition to this, </w:t>
      </w:r>
      <w:r w:rsidR="0088039B" w:rsidRPr="00EE43C6">
        <w:rPr>
          <w:lang w:eastAsia="en-US"/>
        </w:rPr>
        <w:t>SCADA system</w:t>
      </w:r>
      <w:r w:rsidRPr="00EE43C6">
        <w:rPr>
          <w:lang w:eastAsia="en-US"/>
        </w:rPr>
        <w:t xml:space="preserve"> will be implemented within the scope of the Project.</w:t>
      </w:r>
    </w:p>
    <w:p w14:paraId="37AB5B19" w14:textId="626FD23B" w:rsidR="00E206EC" w:rsidRPr="00EE43C6" w:rsidRDefault="00E206EC" w:rsidP="00591B1C">
      <w:pPr>
        <w:sectPr w:rsidR="00E206EC" w:rsidRPr="00EE43C6" w:rsidSect="00872283">
          <w:pgSz w:w="11900" w:h="16840" w:code="9"/>
          <w:pgMar w:top="1418" w:right="1418" w:bottom="1418" w:left="1418" w:header="709" w:footer="709" w:gutter="0"/>
          <w:cols w:space="708"/>
          <w:docGrid w:linePitch="360"/>
        </w:sectPr>
      </w:pPr>
    </w:p>
    <w:p w14:paraId="58565A71" w14:textId="2B829CC9" w:rsidR="00894DBF" w:rsidRPr="00EE43C6" w:rsidRDefault="00894DBF" w:rsidP="00757092">
      <w:pPr>
        <w:pStyle w:val="Heading2"/>
        <w:spacing w:before="0"/>
        <w:ind w:left="720" w:hanging="720"/>
        <w:rPr>
          <w:lang w:val="en-GB"/>
        </w:rPr>
      </w:pPr>
      <w:bookmarkStart w:id="113" w:name="_Toc120186502"/>
      <w:bookmarkStart w:id="114" w:name="_Toc120204438"/>
      <w:bookmarkStart w:id="115" w:name="_Toc120016905"/>
      <w:bookmarkStart w:id="116" w:name="_Toc120004683"/>
      <w:bookmarkStart w:id="117" w:name="_Toc141445396"/>
      <w:bookmarkEnd w:id="113"/>
      <w:bookmarkEnd w:id="114"/>
      <w:r w:rsidRPr="00EE43C6">
        <w:rPr>
          <w:lang w:val="en-GB"/>
        </w:rPr>
        <w:lastRenderedPageBreak/>
        <w:t xml:space="preserve">Permits and Management System of the Project </w:t>
      </w:r>
      <w:r w:rsidR="00653FEE" w:rsidRPr="00EE43C6">
        <w:rPr>
          <w:lang w:val="en-GB"/>
        </w:rPr>
        <w:t>Owner</w:t>
      </w:r>
      <w:bookmarkEnd w:id="115"/>
      <w:bookmarkEnd w:id="116"/>
      <w:bookmarkEnd w:id="117"/>
    </w:p>
    <w:p w14:paraId="009676FC" w14:textId="01F7822C" w:rsidR="00082C63" w:rsidRPr="00EE43C6" w:rsidRDefault="00082C63" w:rsidP="00082C63">
      <w:pPr>
        <w:pStyle w:val="Heading3"/>
        <w:rPr>
          <w:noProof w:val="0"/>
        </w:rPr>
      </w:pPr>
      <w:bookmarkStart w:id="118" w:name="_Toc120016906"/>
      <w:bookmarkStart w:id="119" w:name="_Toc110520526"/>
      <w:bookmarkStart w:id="120" w:name="_Toc120004684"/>
      <w:bookmarkStart w:id="121" w:name="_Toc141445397"/>
      <w:r w:rsidRPr="00EE43C6">
        <w:rPr>
          <w:noProof w:val="0"/>
        </w:rPr>
        <w:t xml:space="preserve">Management Systems of the Project </w:t>
      </w:r>
      <w:r w:rsidR="00653FEE" w:rsidRPr="00EE43C6">
        <w:rPr>
          <w:noProof w:val="0"/>
        </w:rPr>
        <w:t>Owner</w:t>
      </w:r>
      <w:bookmarkEnd w:id="118"/>
      <w:bookmarkEnd w:id="119"/>
      <w:bookmarkEnd w:id="120"/>
      <w:bookmarkEnd w:id="121"/>
    </w:p>
    <w:p w14:paraId="7B3356A2" w14:textId="6B6A6238" w:rsidR="00A66336" w:rsidRPr="00EE43C6" w:rsidRDefault="00A66336" w:rsidP="00A66336">
      <w:r w:rsidRPr="00EE43C6">
        <w:t>The Project Owner (TUIOSB) plans to secure ISO 14001:2015 (Environmental Management System) certificate, ISO 9001:2015 (Quality Management System) certificate, and ISO 45001:2018 (Occupational Health and Safety Management System) certificate</w:t>
      </w:r>
      <w:r w:rsidRPr="00EE43C6">
        <w:rPr>
          <w:rFonts w:cs="MS Gothic"/>
          <w:szCs w:val="22"/>
        </w:rPr>
        <w:t>.</w:t>
      </w:r>
    </w:p>
    <w:p w14:paraId="0C457BC6" w14:textId="009A0CED" w:rsidR="00082C63" w:rsidRPr="00EE43C6" w:rsidRDefault="00E56470" w:rsidP="00082C63">
      <w:pPr>
        <w:spacing w:after="80"/>
        <w:rPr>
          <w:rFonts w:cs="MS Gothic"/>
          <w:szCs w:val="22"/>
        </w:rPr>
      </w:pPr>
      <w:r w:rsidRPr="00EE43C6">
        <w:rPr>
          <w:rFonts w:cs="MS Gothic"/>
          <w:szCs w:val="22"/>
        </w:rPr>
        <w:t>In addition to these quality systems, a project-specific Environmental and Social Management and Monitoring Plan (ESMMP) is being developed for the construction and operation phases of the Project as a part of this Study. The ESMMP presents the mitigation measures for the expected environmental and social impacts of the Project. Accordingly, the ESMMP identifies the need for the development and implementation of several management plans as part of the Management Systems of the TUIOSB. In this respect, TUIOSB will revise its own Environmental and Operational Management System in line with the requirements stipulated in the ESMMP.</w:t>
      </w:r>
    </w:p>
    <w:p w14:paraId="3D228AA4" w14:textId="69488F77" w:rsidR="00F97F49" w:rsidRPr="00EE43C6" w:rsidRDefault="00F97F49" w:rsidP="00F97F49">
      <w:pPr>
        <w:pStyle w:val="Heading3"/>
        <w:rPr>
          <w:noProof w:val="0"/>
        </w:rPr>
      </w:pPr>
      <w:bookmarkStart w:id="122" w:name="_Toc120016907"/>
      <w:bookmarkStart w:id="123" w:name="_Toc120004685"/>
      <w:bookmarkStart w:id="124" w:name="_Toc141445398"/>
      <w:r w:rsidRPr="00EE43C6">
        <w:rPr>
          <w:noProof w:val="0"/>
        </w:rPr>
        <w:t>Permits</w:t>
      </w:r>
      <w:bookmarkEnd w:id="122"/>
      <w:bookmarkEnd w:id="123"/>
      <w:bookmarkEnd w:id="124"/>
      <w:r w:rsidRPr="00EE43C6">
        <w:rPr>
          <w:noProof w:val="0"/>
        </w:rPr>
        <w:t xml:space="preserve"> </w:t>
      </w:r>
    </w:p>
    <w:p w14:paraId="7A8E4AC0" w14:textId="062BD1CE" w:rsidR="000D36F3" w:rsidRPr="00EE43C6" w:rsidRDefault="00B60401" w:rsidP="00F97F49">
      <w:r w:rsidRPr="00EE43C6">
        <w:t xml:space="preserve">The Environmental Impact Assessment (EIA) </w:t>
      </w:r>
      <w:r w:rsidR="00A35AAC" w:rsidRPr="00EE43C6">
        <w:t>Positive Certificate</w:t>
      </w:r>
      <w:r w:rsidR="001C170D" w:rsidRPr="00EE43C6">
        <w:t>s</w:t>
      </w:r>
      <w:r w:rsidR="00A35AAC" w:rsidRPr="00EE43C6">
        <w:t xml:space="preserve"> </w:t>
      </w:r>
      <w:r w:rsidR="00412663" w:rsidRPr="00EE43C6">
        <w:t>of the Project</w:t>
      </w:r>
      <w:r w:rsidR="004A4BBC" w:rsidRPr="00EE43C6">
        <w:t xml:space="preserve"> </w:t>
      </w:r>
      <w:r w:rsidR="00C708DB" w:rsidRPr="00EE43C6">
        <w:t>w</w:t>
      </w:r>
      <w:r w:rsidR="00C72411" w:rsidRPr="00EE43C6">
        <w:t>e</w:t>
      </w:r>
      <w:r w:rsidR="00D961B2" w:rsidRPr="00EE43C6">
        <w:t>re</w:t>
      </w:r>
      <w:r w:rsidR="00C708DB" w:rsidRPr="00EE43C6">
        <w:t xml:space="preserve"> secured by the Ministry of Environment, Urbanization and Climate Change (MoEUCC)</w:t>
      </w:r>
      <w:r w:rsidR="00412663" w:rsidRPr="00EE43C6">
        <w:t xml:space="preserve"> </w:t>
      </w:r>
      <w:r w:rsidR="00A35AAC" w:rsidRPr="00EE43C6">
        <w:t>(see Appendix-B)</w:t>
      </w:r>
      <w:r w:rsidR="00604277" w:rsidRPr="00EE43C6">
        <w:t>.</w:t>
      </w:r>
    </w:p>
    <w:p w14:paraId="69A39028" w14:textId="77777777" w:rsidR="00BC3F5F" w:rsidRPr="00EE43C6" w:rsidRDefault="00BC3F5F" w:rsidP="00BC3F5F">
      <w:r w:rsidRPr="00EE43C6">
        <w:t>In the scope of national requirements, further permits via the opinions of the relevant official authorities were secured specifically for the Project.</w:t>
      </w:r>
    </w:p>
    <w:p w14:paraId="42DE2BE4" w14:textId="77777777" w:rsidR="00BC3F5F" w:rsidRPr="00EE43C6" w:rsidRDefault="00BC3F5F" w:rsidP="00BC3F5F">
      <w:r w:rsidRPr="00EE43C6">
        <w:t>In this context, 2U1K has determined that the following permissions have been secured.</w:t>
      </w:r>
    </w:p>
    <w:p w14:paraId="650B1D1B" w14:textId="72CAEF33" w:rsidR="00880463" w:rsidRPr="00EE43C6" w:rsidRDefault="00AD52B1" w:rsidP="00854BE8">
      <w:pPr>
        <w:pStyle w:val="ListParagraph"/>
        <w:numPr>
          <w:ilvl w:val="0"/>
          <w:numId w:val="24"/>
        </w:numPr>
        <w:rPr>
          <w:noProof w:val="0"/>
        </w:rPr>
      </w:pPr>
      <w:r w:rsidRPr="00EE43C6">
        <w:rPr>
          <w:noProof w:val="0"/>
        </w:rPr>
        <w:t>Non-Agricultural Usage Permit</w:t>
      </w:r>
      <w:r w:rsidR="000C0ED2" w:rsidRPr="00EE43C6">
        <w:rPr>
          <w:noProof w:val="0"/>
        </w:rPr>
        <w:t>s</w:t>
      </w:r>
      <w:r w:rsidR="00BA1DE4" w:rsidRPr="00EE43C6">
        <w:rPr>
          <w:noProof w:val="0"/>
        </w:rPr>
        <w:t>,</w:t>
      </w:r>
    </w:p>
    <w:p w14:paraId="40C0489C" w14:textId="1CF8865C" w:rsidR="00707C8B" w:rsidRPr="00EE43C6" w:rsidRDefault="00707C8B" w:rsidP="00854BE8">
      <w:pPr>
        <w:pStyle w:val="ListParagraph"/>
        <w:numPr>
          <w:ilvl w:val="0"/>
          <w:numId w:val="24"/>
        </w:numPr>
        <w:rPr>
          <w:noProof w:val="0"/>
        </w:rPr>
      </w:pPr>
      <w:r w:rsidRPr="00EE43C6">
        <w:rPr>
          <w:noProof w:val="0"/>
        </w:rPr>
        <w:t>Official letter of Evcisuyu Stream Improvement Project Approval Letter from DSI 6</w:t>
      </w:r>
      <w:r w:rsidRPr="00EE43C6">
        <w:rPr>
          <w:noProof w:val="0"/>
          <w:vertAlign w:val="superscript"/>
        </w:rPr>
        <w:t>th</w:t>
      </w:r>
      <w:r w:rsidRPr="00EE43C6">
        <w:rPr>
          <w:noProof w:val="0"/>
        </w:rPr>
        <w:t xml:space="preserve"> Regional Directorate,</w:t>
      </w:r>
    </w:p>
    <w:p w14:paraId="031AD7A1" w14:textId="77777777" w:rsidR="00D847D5" w:rsidRPr="00EE43C6" w:rsidRDefault="00AF1E6D" w:rsidP="00854BE8">
      <w:pPr>
        <w:pStyle w:val="ListParagraph"/>
        <w:numPr>
          <w:ilvl w:val="0"/>
          <w:numId w:val="24"/>
        </w:numPr>
        <w:rPr>
          <w:noProof w:val="0"/>
        </w:rPr>
      </w:pPr>
      <w:r w:rsidRPr="00EE43C6">
        <w:rPr>
          <w:noProof w:val="0"/>
        </w:rPr>
        <w:t xml:space="preserve">Water Allocation Letter </w:t>
      </w:r>
      <w:r w:rsidR="00D847D5" w:rsidRPr="00EE43C6">
        <w:rPr>
          <w:noProof w:val="0"/>
        </w:rPr>
        <w:t>from DSI</w:t>
      </w:r>
    </w:p>
    <w:p w14:paraId="764EADCE" w14:textId="34B3E420" w:rsidR="00AF1E6D" w:rsidRPr="00EE43C6" w:rsidRDefault="00AF1E6D" w:rsidP="00854BE8">
      <w:pPr>
        <w:pStyle w:val="ListParagraph"/>
        <w:numPr>
          <w:ilvl w:val="0"/>
          <w:numId w:val="24"/>
        </w:numPr>
        <w:rPr>
          <w:noProof w:val="0"/>
        </w:rPr>
      </w:pPr>
      <w:r w:rsidRPr="00EE43C6">
        <w:rPr>
          <w:noProof w:val="0"/>
        </w:rPr>
        <w:t xml:space="preserve">Groundwater Exploration Document </w:t>
      </w:r>
      <w:r w:rsidR="005E24BF" w:rsidRPr="00EE43C6">
        <w:rPr>
          <w:noProof w:val="0"/>
        </w:rPr>
        <w:t>from DSI and</w:t>
      </w:r>
      <w:r w:rsidR="00F47DC7" w:rsidRPr="00EE43C6">
        <w:rPr>
          <w:noProof w:val="0"/>
        </w:rPr>
        <w:t>,</w:t>
      </w:r>
    </w:p>
    <w:p w14:paraId="74C7A77A" w14:textId="67A91E31" w:rsidR="00F47DC7" w:rsidRPr="00EE43C6" w:rsidRDefault="00F47DC7" w:rsidP="00854BE8">
      <w:pPr>
        <w:pStyle w:val="ListParagraph"/>
        <w:numPr>
          <w:ilvl w:val="0"/>
          <w:numId w:val="24"/>
        </w:numPr>
        <w:rPr>
          <w:noProof w:val="0"/>
        </w:rPr>
      </w:pPr>
      <w:r w:rsidRPr="00EE43C6">
        <w:rPr>
          <w:noProof w:val="0"/>
        </w:rPr>
        <w:t xml:space="preserve">One Year Extension of Groundwater Exploration </w:t>
      </w:r>
      <w:r w:rsidR="00FE4D3E" w:rsidRPr="00EE43C6">
        <w:rPr>
          <w:noProof w:val="0"/>
        </w:rPr>
        <w:t>Document</w:t>
      </w:r>
      <w:r w:rsidRPr="00EE43C6">
        <w:rPr>
          <w:noProof w:val="0"/>
        </w:rPr>
        <w:t xml:space="preserve"> from DSI</w:t>
      </w:r>
      <w:r w:rsidR="00E469A0" w:rsidRPr="00EE43C6">
        <w:rPr>
          <w:noProof w:val="0"/>
        </w:rPr>
        <w:t xml:space="preserve"> (valid until 24.11.2023)</w:t>
      </w:r>
      <w:r w:rsidRPr="00EE43C6">
        <w:rPr>
          <w:noProof w:val="0"/>
        </w:rPr>
        <w:t>.</w:t>
      </w:r>
    </w:p>
    <w:p w14:paraId="5546BA32" w14:textId="4662F2E1" w:rsidR="007C1A65" w:rsidRPr="00EE43C6" w:rsidRDefault="007C1A65" w:rsidP="007C1A65">
      <w:r w:rsidRPr="00EE43C6">
        <w:t>All permits, opinion letters above mentioned and obtained within the scope of the Project presented in Appendix-C.</w:t>
      </w:r>
    </w:p>
    <w:p w14:paraId="57A4453A" w14:textId="77777777" w:rsidR="00CE3B94" w:rsidRPr="00EE43C6" w:rsidRDefault="00CE3B94">
      <w:pPr>
        <w:spacing w:before="0" w:after="200" w:line="276" w:lineRule="auto"/>
        <w:jc w:val="left"/>
        <w:rPr>
          <w:rFonts w:cs="Arial"/>
          <w:b/>
          <w:bCs/>
          <w:color w:val="4F81BD"/>
          <w:sz w:val="24"/>
        </w:rPr>
      </w:pPr>
      <w:bookmarkStart w:id="125" w:name="_Toc98425284"/>
      <w:bookmarkStart w:id="126" w:name="_Toc98429126"/>
      <w:bookmarkStart w:id="127" w:name="_Toc82779396"/>
      <w:bookmarkStart w:id="128" w:name="_Toc82704772"/>
      <w:bookmarkStart w:id="129" w:name="_Toc80633520"/>
      <w:bookmarkStart w:id="130" w:name="_Toc120016908"/>
      <w:bookmarkStart w:id="131" w:name="_Toc120004686"/>
      <w:bookmarkEnd w:id="125"/>
      <w:bookmarkEnd w:id="126"/>
      <w:bookmarkEnd w:id="127"/>
      <w:bookmarkEnd w:id="128"/>
      <w:r w:rsidRPr="00EE43C6">
        <w:br w:type="page"/>
      </w:r>
    </w:p>
    <w:p w14:paraId="680D6E1B" w14:textId="77777777" w:rsidR="004339AC" w:rsidRPr="00EE43C6" w:rsidRDefault="004339AC" w:rsidP="00132E74">
      <w:pPr>
        <w:pStyle w:val="Heading1"/>
        <w:ind w:left="426"/>
        <w:rPr>
          <w:noProof w:val="0"/>
          <w:lang w:val="en-GB"/>
        </w:rPr>
      </w:pPr>
      <w:bookmarkStart w:id="132" w:name="_Toc141367240"/>
      <w:bookmarkStart w:id="133" w:name="_Toc141367538"/>
      <w:bookmarkStart w:id="134" w:name="_Toc141367241"/>
      <w:bookmarkStart w:id="135" w:name="_Toc141367539"/>
      <w:bookmarkStart w:id="136" w:name="_Toc141367242"/>
      <w:bookmarkStart w:id="137" w:name="_Toc141367540"/>
      <w:bookmarkStart w:id="138" w:name="_Toc141367243"/>
      <w:bookmarkStart w:id="139" w:name="_Toc141367541"/>
      <w:bookmarkStart w:id="140" w:name="_Toc141367244"/>
      <w:bookmarkStart w:id="141" w:name="_Toc141367542"/>
      <w:bookmarkStart w:id="142" w:name="_Toc141367245"/>
      <w:bookmarkStart w:id="143" w:name="_Toc141367543"/>
      <w:bookmarkStart w:id="144" w:name="_Toc141367246"/>
      <w:bookmarkStart w:id="145" w:name="_Toc141367544"/>
      <w:bookmarkStart w:id="146" w:name="_Toc83648082"/>
      <w:bookmarkStart w:id="147" w:name="_Toc83648081"/>
      <w:bookmarkStart w:id="148" w:name="_Toc82779398"/>
      <w:bookmarkStart w:id="149" w:name="_Toc82704774"/>
      <w:bookmarkStart w:id="150" w:name="_Toc83648080"/>
      <w:bookmarkStart w:id="151" w:name="_Toc80633524"/>
      <w:bookmarkStart w:id="152" w:name="_Toc120016910"/>
      <w:bookmarkStart w:id="153" w:name="_Toc120004688"/>
      <w:bookmarkStart w:id="154" w:name="_Toc141445399"/>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EE43C6">
        <w:rPr>
          <w:noProof w:val="0"/>
          <w:lang w:val="en-GB"/>
        </w:rPr>
        <w:lastRenderedPageBreak/>
        <w:t>LEGAL FRAMEWORK</w:t>
      </w:r>
      <w:bookmarkEnd w:id="151"/>
      <w:bookmarkEnd w:id="152"/>
      <w:bookmarkEnd w:id="153"/>
      <w:bookmarkEnd w:id="154"/>
    </w:p>
    <w:p w14:paraId="6645E024" w14:textId="2F2AF4CF" w:rsidR="00B6088C" w:rsidRPr="00EE43C6" w:rsidRDefault="006C5A9E" w:rsidP="00B6088C">
      <w:pPr>
        <w:rPr>
          <w:rFonts w:cs="MS Gothic"/>
        </w:rPr>
      </w:pPr>
      <w:bookmarkStart w:id="155" w:name="_Toc80633525"/>
      <w:bookmarkStart w:id="156" w:name="_Toc58519540"/>
      <w:r w:rsidRPr="00EE43C6">
        <w:rPr>
          <w:rFonts w:cs="MS Gothic"/>
        </w:rPr>
        <w:t>This section outlines the regulatory framework for construction and operation phase</w:t>
      </w:r>
      <w:r w:rsidR="00E8233A" w:rsidRPr="00EE43C6">
        <w:rPr>
          <w:rFonts w:cs="MS Gothic"/>
        </w:rPr>
        <w:t>s</w:t>
      </w:r>
      <w:r w:rsidRPr="00EE43C6">
        <w:rPr>
          <w:rFonts w:cs="MS Gothic"/>
        </w:rPr>
        <w:t xml:space="preserve"> the Project in line with national and international requirements which </w:t>
      </w:r>
      <w:r w:rsidR="00E8233A" w:rsidRPr="00EE43C6">
        <w:rPr>
          <w:rFonts w:cs="MS Gothic"/>
        </w:rPr>
        <w:t xml:space="preserve">are </w:t>
      </w:r>
      <w:r w:rsidRPr="00EE43C6">
        <w:rPr>
          <w:rFonts w:cs="MS Gothic"/>
        </w:rPr>
        <w:t>given below.</w:t>
      </w:r>
    </w:p>
    <w:p w14:paraId="21B4B938" w14:textId="77777777" w:rsidR="004339AC" w:rsidRPr="00EE43C6" w:rsidRDefault="004339AC" w:rsidP="00CE3B94">
      <w:pPr>
        <w:pStyle w:val="Heading2"/>
        <w:ind w:hanging="718"/>
        <w:rPr>
          <w:lang w:val="en-GB"/>
        </w:rPr>
      </w:pPr>
      <w:bookmarkStart w:id="157" w:name="_Toc120016911"/>
      <w:bookmarkStart w:id="158" w:name="_Toc120004689"/>
      <w:bookmarkStart w:id="159" w:name="_Toc141445400"/>
      <w:r w:rsidRPr="00EE43C6">
        <w:rPr>
          <w:lang w:val="en-GB"/>
        </w:rPr>
        <w:t>National Legal Framework</w:t>
      </w:r>
      <w:bookmarkEnd w:id="155"/>
      <w:bookmarkEnd w:id="156"/>
      <w:bookmarkEnd w:id="157"/>
      <w:bookmarkEnd w:id="158"/>
      <w:bookmarkEnd w:id="159"/>
    </w:p>
    <w:p w14:paraId="4581E014" w14:textId="1459DBB4" w:rsidR="00C77E6E" w:rsidRPr="00EE43C6" w:rsidRDefault="00C77E6E" w:rsidP="00C77E6E">
      <w:pPr>
        <w:rPr>
          <w:rFonts w:cs="MS Gothic"/>
          <w:szCs w:val="22"/>
        </w:rPr>
      </w:pPr>
      <w:r w:rsidRPr="00EE43C6">
        <w:rPr>
          <w:rFonts w:cs="MS Gothic"/>
          <w:szCs w:val="22"/>
        </w:rPr>
        <w:t xml:space="preserve">The Environmental Law, which was published in the </w:t>
      </w:r>
      <w:r w:rsidR="00FE06CA" w:rsidRPr="00EE43C6">
        <w:rPr>
          <w:rFonts w:cs="MS Gothic"/>
          <w:szCs w:val="22"/>
        </w:rPr>
        <w:t xml:space="preserve">OG. </w:t>
      </w:r>
      <w:r w:rsidRPr="00EE43C6">
        <w:rPr>
          <w:rFonts w:cs="MS Gothic"/>
          <w:szCs w:val="22"/>
        </w:rPr>
        <w:t xml:space="preserve">No. 18132 and dated 11 August 1983 and amended in the </w:t>
      </w:r>
      <w:r w:rsidR="00FE06CA" w:rsidRPr="00EE43C6">
        <w:rPr>
          <w:rFonts w:cs="MS Gothic"/>
          <w:szCs w:val="22"/>
        </w:rPr>
        <w:t xml:space="preserve">OG. </w:t>
      </w:r>
      <w:r w:rsidRPr="00EE43C6">
        <w:rPr>
          <w:rFonts w:cs="MS Gothic"/>
          <w:szCs w:val="22"/>
        </w:rPr>
        <w:t xml:space="preserve">dated 29 Mays 2013 (by Law No. 6486), establishes the underlying legal framework of the environmental legislation in </w:t>
      </w:r>
      <w:r w:rsidR="00117757">
        <w:rPr>
          <w:rFonts w:cs="MS Gothic"/>
          <w:szCs w:val="22"/>
        </w:rPr>
        <w:t>Türkiye</w:t>
      </w:r>
      <w:r w:rsidRPr="00EE43C6">
        <w:rPr>
          <w:rFonts w:cs="MS Gothic"/>
          <w:szCs w:val="22"/>
        </w:rPr>
        <w:t xml:space="preserve"> and is supported by a large number of regulations. Article 10 of the Environmental Law constitutes the main framework of the Environmental Impact Assessment Regulation (EIA Regulation) published in the </w:t>
      </w:r>
      <w:r w:rsidR="00FE06CA" w:rsidRPr="00EE43C6">
        <w:rPr>
          <w:rFonts w:cs="MS Gothic"/>
          <w:szCs w:val="22"/>
        </w:rPr>
        <w:t xml:space="preserve">OG. </w:t>
      </w:r>
      <w:r w:rsidRPr="00EE43C6">
        <w:rPr>
          <w:rFonts w:cs="MS Gothic"/>
          <w:szCs w:val="22"/>
        </w:rPr>
        <w:t xml:space="preserve">No. </w:t>
      </w:r>
      <w:r w:rsidR="00653A96" w:rsidRPr="00EE43C6">
        <w:rPr>
          <w:rFonts w:cs="MS Gothic"/>
          <w:szCs w:val="22"/>
        </w:rPr>
        <w:t xml:space="preserve">31907 </w:t>
      </w:r>
      <w:r w:rsidRPr="00EE43C6">
        <w:rPr>
          <w:rFonts w:cs="MS Gothic"/>
          <w:szCs w:val="22"/>
        </w:rPr>
        <w:t>and dated 2</w:t>
      </w:r>
      <w:r w:rsidR="00653A96" w:rsidRPr="00EE43C6">
        <w:rPr>
          <w:rFonts w:cs="MS Gothic"/>
          <w:szCs w:val="22"/>
        </w:rPr>
        <w:t>9</w:t>
      </w:r>
      <w:r w:rsidRPr="00EE43C6">
        <w:rPr>
          <w:rFonts w:cs="MS Gothic"/>
          <w:szCs w:val="22"/>
        </w:rPr>
        <w:t xml:space="preserve"> </w:t>
      </w:r>
      <w:r w:rsidR="00653A96" w:rsidRPr="00EE43C6">
        <w:rPr>
          <w:rFonts w:cs="MS Gothic"/>
          <w:szCs w:val="22"/>
        </w:rPr>
        <w:t xml:space="preserve">July </w:t>
      </w:r>
      <w:r w:rsidRPr="00EE43C6">
        <w:rPr>
          <w:rFonts w:cs="MS Gothic"/>
          <w:szCs w:val="22"/>
        </w:rPr>
        <w:t>20</w:t>
      </w:r>
      <w:r w:rsidR="00653A96" w:rsidRPr="00EE43C6">
        <w:rPr>
          <w:rFonts w:cs="MS Gothic"/>
          <w:szCs w:val="22"/>
        </w:rPr>
        <w:t>22</w:t>
      </w:r>
      <w:r w:rsidR="001D203D" w:rsidRPr="00EE43C6">
        <w:rPr>
          <w:rFonts w:cs="MS Gothic"/>
          <w:szCs w:val="22"/>
        </w:rPr>
        <w:t>.</w:t>
      </w:r>
    </w:p>
    <w:p w14:paraId="227E4745" w14:textId="77777777" w:rsidR="00C77E6E" w:rsidRPr="00EE43C6" w:rsidRDefault="00C77E6E" w:rsidP="00C77E6E">
      <w:pPr>
        <w:rPr>
          <w:rFonts w:cs="MS Gothic"/>
          <w:szCs w:val="22"/>
        </w:rPr>
      </w:pPr>
      <w:r w:rsidRPr="00EE43C6">
        <w:rPr>
          <w:rFonts w:cs="MS Gothic"/>
          <w:szCs w:val="22"/>
        </w:rPr>
        <w:t>Environmental Impact Assessment (EIA) encompasses the identification of potential positive and negative effects of the planned projects on the environment, the measures to be taken to avoid adverse effects or minimize them to a degree not harmful to the environment, the determination and assessment of the selected location and technology alternatives, and the efforts to be maintained for the monitoring and control of the implementation of projects.</w:t>
      </w:r>
    </w:p>
    <w:p w14:paraId="2D3261A7" w14:textId="16FBD98B" w:rsidR="00B6088C" w:rsidRPr="00EE43C6" w:rsidRDefault="0075386E" w:rsidP="00B6088C">
      <w:pPr>
        <w:rPr>
          <w:rFonts w:cs="MS Gothic"/>
          <w:szCs w:val="22"/>
        </w:rPr>
      </w:pPr>
      <w:r w:rsidRPr="00EE43C6">
        <w:rPr>
          <w:rFonts w:cs="MS Gothic"/>
          <w:szCs w:val="22"/>
        </w:rPr>
        <w:t xml:space="preserve">The purpose of EIA Regulation is to regulate the administrative and technical procedures and principles to be followed throughout the EIA process. This Regulation covers the aspects for which type of projects the EIA Application File, EIA Report and </w:t>
      </w:r>
      <w:r w:rsidR="00844043" w:rsidRPr="00EE43C6">
        <w:rPr>
          <w:rFonts w:cs="MS Gothic"/>
          <w:szCs w:val="22"/>
        </w:rPr>
        <w:t xml:space="preserve">Project Identification Document </w:t>
      </w:r>
      <w:r w:rsidR="00CE5F83" w:rsidRPr="00EE43C6">
        <w:rPr>
          <w:rFonts w:cs="MS Gothic"/>
          <w:szCs w:val="22"/>
        </w:rPr>
        <w:t>(PID)</w:t>
      </w:r>
      <w:r w:rsidRPr="00EE43C6">
        <w:rPr>
          <w:rFonts w:cs="MS Gothic"/>
          <w:szCs w:val="22"/>
        </w:rPr>
        <w:t xml:space="preserve"> will be required and the issues addressed by these files, the administrative and technical procedures and principles to be followed during the EIA process, the monitoring and supervision of the projects covered by EIA during the application, pre-construction, construction, operational and post-operational phases, and the necessary training activities for the effective and widespread implementation of the EIA system in environmental management and for the strengthening of its organizational structure. Annex-1 to the Regulation includes the List of Projects Which EIA Applies to, while Annex-2 includes the List of Projects Which Selection Criteria Apply to. </w:t>
      </w:r>
      <w:bookmarkStart w:id="160" w:name="_Hlk124764546"/>
      <w:r w:rsidRPr="00EE43C6">
        <w:rPr>
          <w:rFonts w:cs="MS Gothic"/>
          <w:szCs w:val="22"/>
        </w:rPr>
        <w:t>The Ministry of Environment, Urbanization and Climate Change (MoEUCC)</w:t>
      </w:r>
      <w:bookmarkEnd w:id="160"/>
      <w:r w:rsidRPr="00EE43C6">
        <w:rPr>
          <w:rFonts w:cs="MS Gothic"/>
          <w:szCs w:val="22"/>
        </w:rPr>
        <w:t xml:space="preserve"> has the authority to make </w:t>
      </w:r>
      <w:r w:rsidR="00333216" w:rsidRPr="00EE43C6">
        <w:rPr>
          <w:rFonts w:cs="MS Gothic"/>
          <w:szCs w:val="22"/>
        </w:rPr>
        <w:t>“</w:t>
      </w:r>
      <w:r w:rsidRPr="00EE43C6">
        <w:rPr>
          <w:rFonts w:cs="MS Gothic"/>
          <w:szCs w:val="22"/>
        </w:rPr>
        <w:t>EIA Positive</w:t>
      </w:r>
      <w:r w:rsidR="00333216" w:rsidRPr="00EE43C6">
        <w:rPr>
          <w:rFonts w:cs="MS Gothic"/>
          <w:szCs w:val="22"/>
        </w:rPr>
        <w:t>”</w:t>
      </w:r>
      <w:r w:rsidRPr="00EE43C6">
        <w:rPr>
          <w:rFonts w:cs="MS Gothic"/>
          <w:szCs w:val="22"/>
        </w:rPr>
        <w:t xml:space="preserve">, </w:t>
      </w:r>
      <w:r w:rsidR="00333216" w:rsidRPr="00EE43C6">
        <w:rPr>
          <w:rFonts w:cs="MS Gothic"/>
          <w:szCs w:val="22"/>
        </w:rPr>
        <w:t>“</w:t>
      </w:r>
      <w:r w:rsidRPr="00EE43C6">
        <w:rPr>
          <w:rFonts w:cs="MS Gothic"/>
          <w:szCs w:val="22"/>
        </w:rPr>
        <w:t>EIA Negative</w:t>
      </w:r>
      <w:r w:rsidR="00333216" w:rsidRPr="00EE43C6">
        <w:rPr>
          <w:rFonts w:cs="MS Gothic"/>
          <w:szCs w:val="22"/>
        </w:rPr>
        <w:t>”</w:t>
      </w:r>
      <w:r w:rsidRPr="00EE43C6">
        <w:rPr>
          <w:rFonts w:cs="MS Gothic"/>
          <w:szCs w:val="22"/>
        </w:rPr>
        <w:t xml:space="preserve">, </w:t>
      </w:r>
      <w:r w:rsidR="00333216" w:rsidRPr="00EE43C6">
        <w:rPr>
          <w:rFonts w:cs="MS Gothic"/>
          <w:szCs w:val="22"/>
        </w:rPr>
        <w:t>“</w:t>
      </w:r>
      <w:r w:rsidRPr="00EE43C6">
        <w:rPr>
          <w:rFonts w:cs="MS Gothic"/>
          <w:szCs w:val="22"/>
        </w:rPr>
        <w:t>EIA Required</w:t>
      </w:r>
      <w:r w:rsidR="00333216" w:rsidRPr="00EE43C6">
        <w:rPr>
          <w:rFonts w:cs="MS Gothic"/>
          <w:szCs w:val="22"/>
        </w:rPr>
        <w:t>”</w:t>
      </w:r>
      <w:r w:rsidRPr="00EE43C6">
        <w:rPr>
          <w:rFonts w:cs="MS Gothic"/>
          <w:szCs w:val="22"/>
        </w:rPr>
        <w:t xml:space="preserve"> or </w:t>
      </w:r>
      <w:r w:rsidR="00333216" w:rsidRPr="00EE43C6">
        <w:rPr>
          <w:rFonts w:cs="MS Gothic"/>
          <w:szCs w:val="22"/>
        </w:rPr>
        <w:t>“</w:t>
      </w:r>
      <w:r w:rsidRPr="00EE43C6">
        <w:rPr>
          <w:rFonts w:cs="MS Gothic"/>
          <w:szCs w:val="22"/>
        </w:rPr>
        <w:t>EIA Not Required</w:t>
      </w:r>
      <w:r w:rsidR="00333216" w:rsidRPr="00EE43C6">
        <w:rPr>
          <w:rFonts w:cs="MS Gothic"/>
          <w:szCs w:val="22"/>
        </w:rPr>
        <w:t>”</w:t>
      </w:r>
      <w:r w:rsidRPr="00EE43C6">
        <w:rPr>
          <w:rFonts w:cs="MS Gothic"/>
          <w:szCs w:val="22"/>
        </w:rPr>
        <w:t xml:space="preserve"> decisions about the projects subject to this Regulation. However, the Ministry may delegate, when deemed necessary, its authority to render an </w:t>
      </w:r>
      <w:r w:rsidR="00333216" w:rsidRPr="00EE43C6">
        <w:rPr>
          <w:rFonts w:cs="MS Gothic"/>
          <w:szCs w:val="22"/>
        </w:rPr>
        <w:t>“</w:t>
      </w:r>
      <w:r w:rsidRPr="00EE43C6">
        <w:rPr>
          <w:rFonts w:cs="MS Gothic"/>
          <w:szCs w:val="22"/>
        </w:rPr>
        <w:t>EIA Required</w:t>
      </w:r>
      <w:r w:rsidR="00333216" w:rsidRPr="00EE43C6">
        <w:rPr>
          <w:rFonts w:cs="MS Gothic"/>
          <w:szCs w:val="22"/>
        </w:rPr>
        <w:t>”</w:t>
      </w:r>
      <w:r w:rsidRPr="00EE43C6">
        <w:rPr>
          <w:rFonts w:cs="MS Gothic"/>
          <w:szCs w:val="22"/>
        </w:rPr>
        <w:t xml:space="preserve"> or </w:t>
      </w:r>
      <w:r w:rsidR="00333216" w:rsidRPr="00EE43C6">
        <w:rPr>
          <w:rFonts w:cs="MS Gothic"/>
          <w:szCs w:val="22"/>
        </w:rPr>
        <w:t>“</w:t>
      </w:r>
      <w:r w:rsidRPr="00EE43C6">
        <w:rPr>
          <w:rFonts w:cs="MS Gothic"/>
          <w:szCs w:val="22"/>
        </w:rPr>
        <w:t>EIA Not Required</w:t>
      </w:r>
      <w:r w:rsidR="00333216" w:rsidRPr="00EE43C6">
        <w:rPr>
          <w:rFonts w:cs="MS Gothic"/>
          <w:szCs w:val="22"/>
        </w:rPr>
        <w:t>”</w:t>
      </w:r>
      <w:r w:rsidRPr="00EE43C6">
        <w:rPr>
          <w:rFonts w:cs="MS Gothic"/>
          <w:szCs w:val="22"/>
        </w:rPr>
        <w:t xml:space="preserve"> decision to a Governor</w:t>
      </w:r>
      <w:r w:rsidR="00333216" w:rsidRPr="00EE43C6">
        <w:rPr>
          <w:rFonts w:cs="MS Gothic"/>
          <w:szCs w:val="22"/>
        </w:rPr>
        <w:t>’</w:t>
      </w:r>
      <w:r w:rsidRPr="00EE43C6">
        <w:rPr>
          <w:rFonts w:cs="MS Gothic"/>
          <w:szCs w:val="22"/>
        </w:rPr>
        <w:t>s Office in line with the principle of the breadth of authority, with the limits of authority determined.</w:t>
      </w:r>
    </w:p>
    <w:p w14:paraId="04E8850E" w14:textId="5616E331" w:rsidR="00CE5F83" w:rsidRPr="00EE43C6" w:rsidRDefault="00374FC7" w:rsidP="00B6088C">
      <w:pPr>
        <w:rPr>
          <w:rFonts w:cs="MS Gothic"/>
          <w:szCs w:val="22"/>
        </w:rPr>
      </w:pPr>
      <w:r w:rsidRPr="00EE43C6">
        <w:rPr>
          <w:rFonts w:cs="MS Gothic"/>
          <w:szCs w:val="22"/>
        </w:rPr>
        <w:t xml:space="preserve">Pursuant to the </w:t>
      </w:r>
      <w:r w:rsidR="00E8233A" w:rsidRPr="00EE43C6">
        <w:rPr>
          <w:rFonts w:cs="MS Gothic"/>
          <w:szCs w:val="22"/>
        </w:rPr>
        <w:t>R</w:t>
      </w:r>
      <w:r w:rsidRPr="00EE43C6">
        <w:rPr>
          <w:rFonts w:cs="MS Gothic"/>
          <w:szCs w:val="22"/>
        </w:rPr>
        <w:t xml:space="preserve">egulation, an EIA Report must be prepared for the projects included in Annex-1, for the projects included in Annex-2 and for which the </w:t>
      </w:r>
      <w:r w:rsidR="00333216" w:rsidRPr="00EE43C6">
        <w:rPr>
          <w:rFonts w:cs="MS Gothic"/>
          <w:szCs w:val="22"/>
        </w:rPr>
        <w:t>“</w:t>
      </w:r>
      <w:r w:rsidRPr="00EE43C6">
        <w:rPr>
          <w:rFonts w:cs="MS Gothic"/>
          <w:szCs w:val="22"/>
        </w:rPr>
        <w:t>EIA Required</w:t>
      </w:r>
      <w:r w:rsidR="00333216" w:rsidRPr="00EE43C6">
        <w:rPr>
          <w:rFonts w:cs="MS Gothic"/>
          <w:szCs w:val="22"/>
        </w:rPr>
        <w:t>”</w:t>
      </w:r>
      <w:r w:rsidRPr="00EE43C6">
        <w:rPr>
          <w:rFonts w:cs="MS Gothic"/>
          <w:szCs w:val="22"/>
        </w:rPr>
        <w:t xml:space="preserve"> decision is rendered, and for the projects that are considered excluded from EIA, but whose new capacity is equal to or above the threshold value given in the list of Annex-1 but in case of any planned capacity increase.</w:t>
      </w:r>
    </w:p>
    <w:p w14:paraId="6942C05A" w14:textId="77777777" w:rsidR="00757092" w:rsidRPr="00EE43C6" w:rsidRDefault="00757092">
      <w:pPr>
        <w:spacing w:before="0" w:after="200" w:line="276" w:lineRule="auto"/>
        <w:jc w:val="left"/>
        <w:rPr>
          <w:rFonts w:cs="MS Gothic"/>
          <w:szCs w:val="22"/>
        </w:rPr>
      </w:pPr>
      <w:r w:rsidRPr="00EE43C6">
        <w:rPr>
          <w:rFonts w:cs="MS Gothic"/>
          <w:szCs w:val="22"/>
        </w:rPr>
        <w:br w:type="page"/>
      </w:r>
    </w:p>
    <w:p w14:paraId="4C6419AF" w14:textId="564E4994" w:rsidR="000B199B" w:rsidRPr="00EE43C6" w:rsidRDefault="00474DA1" w:rsidP="3C3DFBEF">
      <w:pPr>
        <w:rPr>
          <w:rFonts w:cs="MS Gothic"/>
        </w:rPr>
      </w:pPr>
      <w:r w:rsidRPr="3C3DFBEF">
        <w:rPr>
          <w:rFonts w:cs="MS Gothic"/>
        </w:rPr>
        <w:lastRenderedPageBreak/>
        <w:t xml:space="preserve">Within the scope of EIA, for the projects included in the Annex-1 list, a public </w:t>
      </w:r>
      <w:r w:rsidR="7A109CB1" w:rsidRPr="3C3DFBEF">
        <w:rPr>
          <w:rFonts w:cs="MS Gothic"/>
        </w:rPr>
        <w:t xml:space="preserve">consultation </w:t>
      </w:r>
      <w:r w:rsidRPr="3C3DFBEF">
        <w:rPr>
          <w:rFonts w:cs="MS Gothic"/>
        </w:rPr>
        <w:t xml:space="preserve">meeting is held to inform the public about the investment and to receive their opinions and suggestions regarding the project with the participation of the </w:t>
      </w:r>
      <w:r w:rsidR="00827D8E" w:rsidRPr="3C3DFBEF">
        <w:rPr>
          <w:rFonts w:cs="MS Gothic"/>
        </w:rPr>
        <w:t>project</w:t>
      </w:r>
      <w:r w:rsidRPr="3C3DFBEF">
        <w:rPr>
          <w:rFonts w:cs="MS Gothic"/>
        </w:rPr>
        <w:t xml:space="preserve"> and the institutions and organizations authorized by the MoEUCC on the date determined by the MoEUCC and at the place and time determined by the Governorship. Public </w:t>
      </w:r>
      <w:r w:rsidR="2670582A" w:rsidRPr="3C3DFBEF">
        <w:rPr>
          <w:rFonts w:cs="MS Gothic"/>
        </w:rPr>
        <w:t>consultation</w:t>
      </w:r>
      <w:r w:rsidRPr="3C3DFBEF">
        <w:rPr>
          <w:rFonts w:cs="MS Gothic"/>
        </w:rPr>
        <w:t xml:space="preserve"> meetings are not held for the projects included in the Annex-2 list.</w:t>
      </w:r>
    </w:p>
    <w:p w14:paraId="4746E305" w14:textId="77777777" w:rsidR="00035674" w:rsidRDefault="007F5BE5" w:rsidP="3C3DFBEF">
      <w:pPr>
        <w:rPr>
          <w:rFonts w:cs="MS Gothic"/>
        </w:rPr>
      </w:pPr>
      <w:r w:rsidRPr="3C3DFBEF">
        <w:rPr>
          <w:rFonts w:cs="MS Gothic"/>
        </w:rPr>
        <w:t xml:space="preserve">In this context, </w:t>
      </w:r>
      <w:r w:rsidR="00DC5EB0" w:rsidRPr="3C3DFBEF">
        <w:rPr>
          <w:rFonts w:cs="MS Gothic"/>
        </w:rPr>
        <w:t xml:space="preserve">TUIOSB is considered within the scope of EIA Regulation </w:t>
      </w:r>
      <w:r w:rsidR="00E21EF2" w:rsidRPr="3C3DFBEF">
        <w:rPr>
          <w:rFonts w:cs="MS Gothic"/>
        </w:rPr>
        <w:t>OG. No</w:t>
      </w:r>
      <w:r w:rsidR="007E2E63" w:rsidRPr="3C3DFBEF">
        <w:rPr>
          <w:rFonts w:cs="MS Gothic"/>
        </w:rPr>
        <w:t>.</w:t>
      </w:r>
      <w:r w:rsidR="00E21EF2" w:rsidRPr="3C3DFBEF">
        <w:rPr>
          <w:rFonts w:cs="MS Gothic"/>
        </w:rPr>
        <w:t xml:space="preserve"> 29186 and </w:t>
      </w:r>
      <w:r w:rsidR="00DC5EB0" w:rsidRPr="3C3DFBEF">
        <w:rPr>
          <w:rFonts w:cs="MS Gothic"/>
        </w:rPr>
        <w:t>dated 25.11.2014 Annex-1 List Article 33-Specialized Organized Industrial Zones</w:t>
      </w:r>
      <w:r w:rsidR="003F20A5" w:rsidRPr="3C3DFBEF">
        <w:rPr>
          <w:rFonts w:cs="MS Gothic"/>
        </w:rPr>
        <w:t>,</w:t>
      </w:r>
      <w:r w:rsidR="00795E43" w:rsidRPr="3C3DFBEF">
        <w:rPr>
          <w:rFonts w:cs="MS Gothic"/>
        </w:rPr>
        <w:t xml:space="preserve"> </w:t>
      </w:r>
      <w:r w:rsidR="007060F0" w:rsidRPr="3C3DFBEF">
        <w:rPr>
          <w:rFonts w:cs="Arial"/>
        </w:rPr>
        <w:t>and therefore, the Environmental Impact Assessment (EIA) was prepared, then EIA positive decision has been secured.</w:t>
      </w:r>
      <w:r w:rsidR="00167900" w:rsidRPr="3C3DFBEF">
        <w:rPr>
          <w:rFonts w:cs="Arial"/>
        </w:rPr>
        <w:t xml:space="preserve"> </w:t>
      </w:r>
      <w:r w:rsidR="00DC5EB0" w:rsidRPr="3C3DFBEF">
        <w:rPr>
          <w:rFonts w:cs="MS Gothic"/>
        </w:rPr>
        <w:t>TUIOSB has EIA Positive Certificate dated 10.05.2018 and decision number</w:t>
      </w:r>
      <w:r w:rsidR="00607600" w:rsidRPr="3C3DFBEF">
        <w:rPr>
          <w:rFonts w:cs="MS Gothic"/>
        </w:rPr>
        <w:t>ed</w:t>
      </w:r>
      <w:r w:rsidR="00DC5EB0" w:rsidRPr="3C3DFBEF">
        <w:rPr>
          <w:rFonts w:cs="MS Gothic"/>
        </w:rPr>
        <w:t xml:space="preserve"> 5072</w:t>
      </w:r>
      <w:r w:rsidR="00EC4F9E" w:rsidRPr="3C3DFBEF">
        <w:rPr>
          <w:rFonts w:cs="MS Gothic"/>
        </w:rPr>
        <w:t xml:space="preserve"> </w:t>
      </w:r>
      <w:r w:rsidR="00EC4F9E">
        <w:t>(see Appendix-B)</w:t>
      </w:r>
      <w:r w:rsidR="00DC5EB0" w:rsidRPr="3C3DFBEF">
        <w:rPr>
          <w:rFonts w:cs="MS Gothic"/>
        </w:rPr>
        <w:t xml:space="preserve">. After the land acquisition of the existing area was finalized, an additional area was determined due to high demand in the TUIOSB area, and an EIA Positive decision was </w:t>
      </w:r>
      <w:r w:rsidR="00597372" w:rsidRPr="3C3DFBEF">
        <w:rPr>
          <w:rFonts w:cs="MS Gothic"/>
        </w:rPr>
        <w:t>secured</w:t>
      </w:r>
      <w:r w:rsidR="00DC5EB0" w:rsidRPr="3C3DFBEF">
        <w:rPr>
          <w:rFonts w:cs="MS Gothic"/>
        </w:rPr>
        <w:t xml:space="preserve"> for the additional area dated 11.02.2022 and numbered 6564</w:t>
      </w:r>
      <w:r w:rsidR="00EC4F9E" w:rsidRPr="3C3DFBEF">
        <w:rPr>
          <w:rFonts w:cs="MS Gothic"/>
        </w:rPr>
        <w:t xml:space="preserve"> </w:t>
      </w:r>
      <w:r w:rsidR="00EC4F9E">
        <w:t>(see Appendix-B)</w:t>
      </w:r>
      <w:r w:rsidR="00DC5EB0" w:rsidRPr="3C3DFBEF">
        <w:rPr>
          <w:rFonts w:cs="MS Gothic"/>
        </w:rPr>
        <w:t>.</w:t>
      </w:r>
    </w:p>
    <w:p w14:paraId="209782C8" w14:textId="14698DA8" w:rsidR="006F365E" w:rsidRDefault="007716D9" w:rsidP="3C3DFBEF">
      <w:pPr>
        <w:rPr>
          <w:rFonts w:cs="MS Gothic"/>
        </w:rPr>
      </w:pPr>
      <w:r w:rsidRPr="5F58EB95">
        <w:rPr>
          <w:rFonts w:cs="MS Gothic"/>
        </w:rPr>
        <w:t>101</w:t>
      </w:r>
      <w:r w:rsidR="006F365E" w:rsidRPr="5F58EB95">
        <w:rPr>
          <w:rFonts w:cs="MS Gothic"/>
        </w:rPr>
        <w:t xml:space="preserve"> hectares included agricultural land, stony, </w:t>
      </w:r>
      <w:r w:rsidR="00BA67FB" w:rsidRPr="5F58EB95">
        <w:rPr>
          <w:rFonts w:cs="MS Gothic"/>
        </w:rPr>
        <w:t>brushy,</w:t>
      </w:r>
      <w:r w:rsidR="006F365E" w:rsidRPr="5F58EB95">
        <w:rPr>
          <w:rFonts w:cs="MS Gothic"/>
        </w:rPr>
        <w:t xml:space="preserve"> and raw land</w:t>
      </w:r>
      <w:r w:rsidR="456F3E40" w:rsidRPr="5F58EB95">
        <w:rPr>
          <w:rFonts w:cs="MS Gothic"/>
        </w:rPr>
        <w:t xml:space="preserve"> were acquired, of which on 9</w:t>
      </w:r>
      <w:r w:rsidR="6CF22AB5" w:rsidRPr="5F58EB95">
        <w:rPr>
          <w:rFonts w:cs="MS Gothic"/>
        </w:rPr>
        <w:t>2 hectares will be used in Phase 1 of the Project, and the remaining 9 hectares will be included in Phase 2</w:t>
      </w:r>
      <w:r w:rsidR="006F365E" w:rsidRPr="5F58EB95">
        <w:rPr>
          <w:rFonts w:cs="MS Gothic"/>
        </w:rPr>
        <w:t>. The acquisition methods (expropriation, purchase or agreement) of the land sold is given in the Table 6 31.</w:t>
      </w:r>
    </w:p>
    <w:p w14:paraId="30F6470D" w14:textId="606F7B4A" w:rsidR="004274D6" w:rsidRPr="00EE43C6" w:rsidRDefault="00477183" w:rsidP="3C3DFBEF">
      <w:pPr>
        <w:rPr>
          <w:rFonts w:cs="MS Gothic"/>
        </w:rPr>
      </w:pPr>
      <w:r w:rsidRPr="2DB09FEA">
        <w:rPr>
          <w:rFonts w:cs="MS Gothic"/>
        </w:rPr>
        <w:t xml:space="preserve">In </w:t>
      </w:r>
      <w:r w:rsidR="00E1797C" w:rsidRPr="2DB09FEA">
        <w:rPr>
          <w:rFonts w:cs="MS Gothic"/>
        </w:rPr>
        <w:t>the current situation</w:t>
      </w:r>
      <w:r w:rsidR="00CD6160" w:rsidRPr="2DB09FEA">
        <w:rPr>
          <w:rFonts w:cs="MS Gothic"/>
        </w:rPr>
        <w:t xml:space="preserve">, </w:t>
      </w:r>
      <w:r w:rsidR="004274D6" w:rsidRPr="2DB09FEA">
        <w:rPr>
          <w:rFonts w:cs="Arial"/>
        </w:rPr>
        <w:t xml:space="preserve">the activities under this Project are included in Annex-1 List </w:t>
      </w:r>
      <w:r w:rsidR="003E78E5" w:rsidRPr="2DB09FEA">
        <w:rPr>
          <w:rFonts w:cs="MS Gothic"/>
        </w:rPr>
        <w:t>Article 31-Specialized Organized Industrial Zones</w:t>
      </w:r>
      <w:r w:rsidR="003E78E5" w:rsidRPr="2DB09FEA">
        <w:rPr>
          <w:rFonts w:cs="Arial"/>
        </w:rPr>
        <w:t xml:space="preserve"> </w:t>
      </w:r>
      <w:r w:rsidR="004274D6" w:rsidRPr="2DB09FEA">
        <w:rPr>
          <w:rFonts w:cs="Arial"/>
        </w:rPr>
        <w:t xml:space="preserve">of the Regulation on the Environmental Impact </w:t>
      </w:r>
      <w:r w:rsidR="004274D6">
        <w:t xml:space="preserve">Assessment published in the OG. No. 31907 and dated 29 July 2022 according to the </w:t>
      </w:r>
      <w:r w:rsidR="00587635">
        <w:t>Turkish</w:t>
      </w:r>
      <w:r w:rsidR="004274D6">
        <w:t xml:space="preserve"> EIA legislation</w:t>
      </w:r>
      <w:r w:rsidR="007060F0">
        <w:t xml:space="preserve">. </w:t>
      </w:r>
      <w:r w:rsidRPr="2DB09FEA">
        <w:rPr>
          <w:rFonts w:cs="MS Gothic"/>
        </w:rPr>
        <w:t>As a result, s</w:t>
      </w:r>
      <w:r w:rsidR="000E6944" w:rsidRPr="2DB09FEA">
        <w:rPr>
          <w:rFonts w:cs="MS Gothic"/>
        </w:rPr>
        <w:t xml:space="preserve">ince </w:t>
      </w:r>
      <w:r w:rsidR="002D5341" w:rsidRPr="2DB09FEA">
        <w:rPr>
          <w:rFonts w:cs="MS Gothic"/>
        </w:rPr>
        <w:t xml:space="preserve">EIA positive decision </w:t>
      </w:r>
      <w:r w:rsidR="000E6944" w:rsidRPr="2DB09FEA">
        <w:rPr>
          <w:rFonts w:cs="MS Gothic"/>
        </w:rPr>
        <w:t xml:space="preserve">has already </w:t>
      </w:r>
      <w:r w:rsidR="002D5341" w:rsidRPr="2DB09FEA">
        <w:rPr>
          <w:rFonts w:cs="MS Gothic"/>
        </w:rPr>
        <w:t xml:space="preserve">been secured for </w:t>
      </w:r>
      <w:r w:rsidR="000E6944" w:rsidRPr="2DB09FEA">
        <w:rPr>
          <w:rFonts w:cs="MS Gothic"/>
        </w:rPr>
        <w:t xml:space="preserve">the </w:t>
      </w:r>
      <w:r w:rsidR="009501D3" w:rsidRPr="2DB09FEA">
        <w:rPr>
          <w:rFonts w:cs="MS Gothic"/>
        </w:rPr>
        <w:t xml:space="preserve">activities </w:t>
      </w:r>
      <w:r w:rsidR="001213B4" w:rsidRPr="2DB09FEA">
        <w:rPr>
          <w:rFonts w:cs="MS Gothic"/>
        </w:rPr>
        <w:t>under the</w:t>
      </w:r>
      <w:r w:rsidR="000E6944" w:rsidRPr="2DB09FEA">
        <w:rPr>
          <w:rFonts w:cs="MS Gothic"/>
        </w:rPr>
        <w:t xml:space="preserve"> Project, there is no need for an additional EIA opinion</w:t>
      </w:r>
      <w:r w:rsidR="00BD1CBB" w:rsidRPr="2DB09FEA">
        <w:rPr>
          <w:rFonts w:cs="MS Gothic"/>
        </w:rPr>
        <w:t xml:space="preserve"> from the concerned authority</w:t>
      </w:r>
      <w:r w:rsidR="000E6944" w:rsidRPr="2DB09FEA">
        <w:rPr>
          <w:rFonts w:cs="MS Gothic"/>
        </w:rPr>
        <w:t>.</w:t>
      </w:r>
      <w:r w:rsidR="007060F0" w:rsidRPr="2DB09FEA">
        <w:rPr>
          <w:rFonts w:cs="MS Gothic"/>
        </w:rPr>
        <w:t xml:space="preserve"> </w:t>
      </w:r>
      <w:r w:rsidR="004274D6">
        <w:t xml:space="preserve">However, </w:t>
      </w:r>
      <w:r w:rsidR="00322FED">
        <w:t xml:space="preserve">according to E&amp;S Screening report, Environmental and social risks are determined </w:t>
      </w:r>
      <w:r w:rsidR="0052209D">
        <w:t>within the scope of</w:t>
      </w:r>
      <w:r w:rsidR="00322FED">
        <w:t xml:space="preserve"> the WB ESSs and ESMF of the Project.</w:t>
      </w:r>
      <w:r w:rsidR="00F714A0">
        <w:t xml:space="preserve"> </w:t>
      </w:r>
      <w:r w:rsidR="00322FED">
        <w:t>The overall environmental and social risk of the subproject were rated in “Moderate” risk group</w:t>
      </w:r>
      <w:r w:rsidR="004274D6" w:rsidRPr="2DB09FEA">
        <w:rPr>
          <w:rFonts w:cs="Arial"/>
        </w:rPr>
        <w:t xml:space="preserve">., </w:t>
      </w:r>
      <w:r w:rsidR="7C361C48" w:rsidRPr="2DB09FEA">
        <w:rPr>
          <w:rFonts w:cs="Arial"/>
        </w:rPr>
        <w:t xml:space="preserve"> </w:t>
      </w:r>
      <w:r w:rsidR="004274D6" w:rsidRPr="2DB09FEA">
        <w:rPr>
          <w:rFonts w:cs="Arial"/>
        </w:rPr>
        <w:t xml:space="preserve"> </w:t>
      </w:r>
      <w:r w:rsidR="6E381FEB" w:rsidRPr="2DB09FEA">
        <w:rPr>
          <w:rFonts w:cs="Arial"/>
        </w:rPr>
        <w:t xml:space="preserve">A </w:t>
      </w:r>
      <w:r w:rsidR="004274D6" w:rsidRPr="2DB09FEA">
        <w:rPr>
          <w:rFonts w:cs="Arial"/>
        </w:rPr>
        <w:t xml:space="preserve">public </w:t>
      </w:r>
      <w:r w:rsidR="5B620D32" w:rsidRPr="2DB09FEA">
        <w:rPr>
          <w:rFonts w:cs="Arial"/>
        </w:rPr>
        <w:t xml:space="preserve">consultation </w:t>
      </w:r>
      <w:r w:rsidR="004274D6" w:rsidRPr="2DB09FEA">
        <w:rPr>
          <w:rFonts w:cs="Arial"/>
        </w:rPr>
        <w:t xml:space="preserve">meeting will be held with </w:t>
      </w:r>
      <w:r w:rsidR="741A842D" w:rsidRPr="2DB09FEA">
        <w:rPr>
          <w:rFonts w:cs="Arial"/>
        </w:rPr>
        <w:t xml:space="preserve">stakeholders, </w:t>
      </w:r>
      <w:r w:rsidR="004274D6" w:rsidRPr="2DB09FEA">
        <w:rPr>
          <w:rFonts w:cs="Arial"/>
        </w:rPr>
        <w:t xml:space="preserve"> affected</w:t>
      </w:r>
      <w:r w:rsidR="41275857" w:rsidRPr="2DB09FEA">
        <w:rPr>
          <w:rFonts w:cs="Arial"/>
        </w:rPr>
        <w:t xml:space="preserve"> and </w:t>
      </w:r>
      <w:r w:rsidR="004274D6" w:rsidRPr="2DB09FEA">
        <w:rPr>
          <w:rFonts w:cs="Arial"/>
        </w:rPr>
        <w:t xml:space="preserve"> interested groups and local NGOs after the draft ESMP report is prepared.</w:t>
      </w:r>
    </w:p>
    <w:p w14:paraId="73C3FD93" w14:textId="0BEFB2B9" w:rsidR="008D5EF3" w:rsidRPr="00EE43C6" w:rsidRDefault="00A2395B" w:rsidP="008D5EF3">
      <w:pPr>
        <w:rPr>
          <w:rFonts w:cs="MS Gothic"/>
          <w:kern w:val="32"/>
          <w:szCs w:val="22"/>
        </w:rPr>
      </w:pPr>
      <w:r w:rsidRPr="00EE43C6">
        <w:rPr>
          <w:kern w:val="32"/>
          <w:szCs w:val="22"/>
        </w:rPr>
        <w:fldChar w:fldCharType="begin"/>
      </w:r>
      <w:r w:rsidRPr="00EE43C6">
        <w:rPr>
          <w:kern w:val="32"/>
          <w:szCs w:val="22"/>
        </w:rPr>
        <w:instrText xml:space="preserve"> REF _Ref118897310 \h </w:instrText>
      </w:r>
      <w:r w:rsidRPr="00EE43C6">
        <w:rPr>
          <w:kern w:val="32"/>
          <w:szCs w:val="22"/>
        </w:rPr>
      </w:r>
      <w:r w:rsidRPr="00EE43C6">
        <w:rPr>
          <w:kern w:val="32"/>
          <w:szCs w:val="22"/>
        </w:rPr>
        <w:fldChar w:fldCharType="separate"/>
      </w:r>
      <w:r w:rsidR="00CE3B94" w:rsidRPr="00EE43C6">
        <w:t>Table 3</w:t>
      </w:r>
      <w:r w:rsidR="00CE3B94" w:rsidRPr="00EE43C6">
        <w:noBreakHyphen/>
        <w:t>1</w:t>
      </w:r>
      <w:r w:rsidRPr="00EE43C6">
        <w:rPr>
          <w:kern w:val="32"/>
          <w:szCs w:val="22"/>
        </w:rPr>
        <w:fldChar w:fldCharType="end"/>
      </w:r>
      <w:r w:rsidRPr="00EE43C6">
        <w:rPr>
          <w:kern w:val="32"/>
          <w:szCs w:val="22"/>
        </w:rPr>
        <w:t xml:space="preserve"> </w:t>
      </w:r>
      <w:r w:rsidR="008D5EF3" w:rsidRPr="00EE43C6">
        <w:rPr>
          <w:kern w:val="32"/>
          <w:szCs w:val="22"/>
        </w:rPr>
        <w:t>presents the summary of national laws and regulations aiming to minimize the potential environmental and social impacts that may arise during the construction and operation activities of the Project.</w:t>
      </w:r>
    </w:p>
    <w:p w14:paraId="40E3E43E" w14:textId="7470E6F6" w:rsidR="008D5EF3" w:rsidRPr="00EE43C6" w:rsidRDefault="006E5E2D" w:rsidP="3C3DFBEF">
      <w:pPr>
        <w:pStyle w:val="Caption"/>
        <w:rPr>
          <w:rFonts w:cs="MS Gothic"/>
          <w:noProof w:val="0"/>
          <w:kern w:val="32"/>
        </w:rPr>
      </w:pPr>
      <w:bookmarkStart w:id="161" w:name="_Ref120188129"/>
      <w:bookmarkStart w:id="162" w:name="_Ref118897310"/>
      <w:bookmarkStart w:id="163" w:name="_Toc80633484"/>
      <w:bookmarkStart w:id="164" w:name="_Toc58519664"/>
      <w:bookmarkStart w:id="165" w:name="_Toc102086946"/>
      <w:bookmarkStart w:id="166" w:name="_Toc111118935"/>
      <w:bookmarkStart w:id="167" w:name="_Toc120016845"/>
      <w:bookmarkStart w:id="168" w:name="_Toc120004623"/>
      <w:bookmarkStart w:id="169" w:name="_Toc141445493"/>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3</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w:t>
      </w:r>
      <w:r w:rsidR="006D2DE8">
        <w:rPr>
          <w:noProof w:val="0"/>
        </w:rPr>
        <w:fldChar w:fldCharType="end"/>
      </w:r>
      <w:bookmarkEnd w:id="161"/>
      <w:bookmarkEnd w:id="162"/>
      <w:r w:rsidRPr="00EE43C6">
        <w:rPr>
          <w:noProof w:val="0"/>
        </w:rPr>
        <w:t xml:space="preserve">. </w:t>
      </w:r>
      <w:r w:rsidR="008D5EF3" w:rsidRPr="00EE43C6">
        <w:rPr>
          <w:b w:val="0"/>
          <w:bCs w:val="0"/>
          <w:noProof w:val="0"/>
          <w:color w:val="auto"/>
        </w:rPr>
        <w:t>National Environmental and Social Legal and Policy Framework</w:t>
      </w:r>
      <w:bookmarkEnd w:id="163"/>
      <w:bookmarkEnd w:id="164"/>
      <w:bookmarkEnd w:id="165"/>
      <w:bookmarkEnd w:id="166"/>
      <w:bookmarkEnd w:id="167"/>
      <w:bookmarkEnd w:id="168"/>
      <w:bookmarkEnd w:id="169"/>
    </w:p>
    <w:tbl>
      <w:tblPr>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362"/>
        <w:gridCol w:w="4821"/>
      </w:tblGrid>
      <w:tr w:rsidR="00A61E86" w:rsidRPr="00EE43C6" w14:paraId="0AC28DD2" w14:textId="67B8B2D0" w:rsidTr="2DB09FEA">
        <w:trPr>
          <w:tblHeader/>
        </w:trPr>
        <w:tc>
          <w:tcPr>
            <w:tcW w:w="5000" w:type="pct"/>
            <w:gridSpan w:val="3"/>
            <w:tcBorders>
              <w:bottom w:val="single" w:sz="4" w:space="0" w:color="auto"/>
            </w:tcBorders>
            <w:shd w:val="clear" w:color="auto" w:fill="4F81BD" w:themeFill="accent1"/>
            <w:vAlign w:val="center"/>
          </w:tcPr>
          <w:p w14:paraId="33B0BFBD" w14:textId="419C44E6" w:rsidR="00A61E86" w:rsidRPr="00EE43C6" w:rsidRDefault="00A61E86" w:rsidP="003C297A">
            <w:pPr>
              <w:spacing w:before="40" w:after="40" w:line="240" w:lineRule="auto"/>
              <w:jc w:val="left"/>
              <w:rPr>
                <w:rFonts w:cs="Arial"/>
                <w:b/>
                <w:bCs/>
                <w:color w:val="FFFFFF"/>
                <w:sz w:val="18"/>
                <w:szCs w:val="18"/>
              </w:rPr>
            </w:pPr>
            <w:r w:rsidRPr="00EE43C6">
              <w:rPr>
                <w:rFonts w:cs="Arial"/>
                <w:b/>
                <w:bCs/>
                <w:color w:val="FFFFFF"/>
                <w:sz w:val="18"/>
                <w:szCs w:val="18"/>
              </w:rPr>
              <w:t>National Environmental, Legal and Political Framework</w:t>
            </w:r>
          </w:p>
        </w:tc>
      </w:tr>
      <w:tr w:rsidR="00A61E86" w:rsidRPr="00EE43C6" w14:paraId="164686F9" w14:textId="1EB877E6" w:rsidTr="00E67C71">
        <w:tc>
          <w:tcPr>
            <w:tcW w:w="2422" w:type="pct"/>
            <w:gridSpan w:val="2"/>
            <w:tcBorders>
              <w:bottom w:val="single" w:sz="4" w:space="0" w:color="auto"/>
            </w:tcBorders>
            <w:shd w:val="clear" w:color="auto" w:fill="DBE5F1" w:themeFill="accent1" w:themeFillTint="33"/>
            <w:vAlign w:val="center"/>
          </w:tcPr>
          <w:p w14:paraId="18BC9901" w14:textId="25A5C01B" w:rsidR="00A61E86" w:rsidRPr="00EE43C6" w:rsidRDefault="00A61E86" w:rsidP="003C297A">
            <w:pPr>
              <w:spacing w:before="40" w:after="40" w:line="240" w:lineRule="auto"/>
              <w:jc w:val="left"/>
              <w:rPr>
                <w:rFonts w:cs="MS Gothic"/>
                <w:b/>
                <w:sz w:val="18"/>
                <w:szCs w:val="18"/>
              </w:rPr>
            </w:pPr>
            <w:r w:rsidRPr="00EE43C6">
              <w:rPr>
                <w:rFonts w:cs="Arial"/>
                <w:b/>
                <w:bCs/>
                <w:sz w:val="18"/>
                <w:szCs w:val="18"/>
              </w:rPr>
              <w:t>General</w:t>
            </w:r>
          </w:p>
        </w:tc>
        <w:tc>
          <w:tcPr>
            <w:tcW w:w="2578" w:type="pct"/>
            <w:tcBorders>
              <w:bottom w:val="single" w:sz="4" w:space="0" w:color="auto"/>
            </w:tcBorders>
            <w:shd w:val="clear" w:color="auto" w:fill="DBE5F1" w:themeFill="accent1" w:themeFillTint="33"/>
          </w:tcPr>
          <w:p w14:paraId="25DC7BE9" w14:textId="29F10E26" w:rsidR="00A61E86" w:rsidRPr="00EE43C6" w:rsidRDefault="00A61E86" w:rsidP="003C297A">
            <w:pPr>
              <w:spacing w:before="40" w:after="40" w:line="240" w:lineRule="auto"/>
              <w:jc w:val="left"/>
              <w:rPr>
                <w:rFonts w:cs="Arial"/>
                <w:b/>
                <w:bCs/>
                <w:sz w:val="18"/>
                <w:szCs w:val="18"/>
              </w:rPr>
            </w:pPr>
            <w:r w:rsidRPr="00EE43C6">
              <w:rPr>
                <w:rFonts w:cs="Arial"/>
                <w:b/>
                <w:bCs/>
                <w:sz w:val="18"/>
                <w:szCs w:val="18"/>
              </w:rPr>
              <w:t>Relevancy/Implications for the Project</w:t>
            </w:r>
          </w:p>
        </w:tc>
      </w:tr>
      <w:tr w:rsidR="00A61E86" w:rsidRPr="00EE43C6" w14:paraId="1FC83B87" w14:textId="168A6CD1" w:rsidTr="00E67C71">
        <w:tc>
          <w:tcPr>
            <w:tcW w:w="1159" w:type="pct"/>
            <w:shd w:val="clear" w:color="auto" w:fill="auto"/>
            <w:vAlign w:val="center"/>
          </w:tcPr>
          <w:p w14:paraId="7A07D0F6" w14:textId="36202D7E" w:rsidR="00A61E86" w:rsidRPr="00EE43C6" w:rsidRDefault="00A61E86" w:rsidP="003C297A">
            <w:pPr>
              <w:spacing w:before="40" w:after="40" w:line="240" w:lineRule="auto"/>
              <w:jc w:val="left"/>
              <w:rPr>
                <w:rFonts w:cs="MS Gothic"/>
                <w:sz w:val="18"/>
                <w:szCs w:val="18"/>
              </w:rPr>
            </w:pPr>
            <w:r w:rsidRPr="00EE43C6">
              <w:rPr>
                <w:rFonts w:cs="Arial"/>
                <w:sz w:val="18"/>
                <w:szCs w:val="18"/>
              </w:rPr>
              <w:t>Law on Organized Industrial Zones</w:t>
            </w:r>
          </w:p>
        </w:tc>
        <w:tc>
          <w:tcPr>
            <w:tcW w:w="1263" w:type="pct"/>
            <w:shd w:val="clear" w:color="auto" w:fill="auto"/>
            <w:vAlign w:val="center"/>
          </w:tcPr>
          <w:p w14:paraId="7062F7C5" w14:textId="01650285" w:rsidR="00A61E86" w:rsidRPr="00EE43C6" w:rsidRDefault="00A61E86" w:rsidP="00792F7A">
            <w:pPr>
              <w:spacing w:before="40" w:after="40" w:line="240" w:lineRule="auto"/>
              <w:jc w:val="left"/>
              <w:rPr>
                <w:rFonts w:cs="MS Gothic"/>
                <w:sz w:val="18"/>
                <w:szCs w:val="18"/>
              </w:rPr>
            </w:pPr>
            <w:r w:rsidRPr="00EE43C6">
              <w:rPr>
                <w:rFonts w:cs="Arial"/>
                <w:sz w:val="18"/>
                <w:szCs w:val="18"/>
              </w:rPr>
              <w:t>Law No. 4562; OG. No. 24021 dated 15.04.2000</w:t>
            </w:r>
          </w:p>
        </w:tc>
        <w:tc>
          <w:tcPr>
            <w:tcW w:w="2578" w:type="pct"/>
          </w:tcPr>
          <w:p w14:paraId="577D593A" w14:textId="501822E7" w:rsidR="00A61E86" w:rsidRPr="00EE43C6" w:rsidRDefault="008515EB" w:rsidP="00441B12">
            <w:pPr>
              <w:spacing w:before="40" w:after="40" w:line="240" w:lineRule="auto"/>
              <w:rPr>
                <w:rFonts w:cs="Arial"/>
                <w:sz w:val="18"/>
                <w:szCs w:val="18"/>
              </w:rPr>
            </w:pPr>
            <w:r w:rsidRPr="00EE43C6">
              <w:rPr>
                <w:rFonts w:cs="Arial"/>
                <w:sz w:val="18"/>
                <w:szCs w:val="18"/>
              </w:rPr>
              <w:t>As</w:t>
            </w:r>
            <w:r w:rsidR="002F1B56" w:rsidRPr="00EE43C6">
              <w:rPr>
                <w:rFonts w:cs="Arial"/>
                <w:sz w:val="18"/>
                <w:szCs w:val="18"/>
              </w:rPr>
              <w:t xml:space="preserve"> the Project is basic infrastructure Project of OIZ, which includes facilities operating in the same sector group and sub-sectors within this sector group, the provisions of this</w:t>
            </w:r>
            <w:r w:rsidR="001B74F0" w:rsidRPr="00EE43C6">
              <w:rPr>
                <w:rFonts w:cs="Arial"/>
                <w:sz w:val="18"/>
                <w:szCs w:val="18"/>
              </w:rPr>
              <w:t xml:space="preserve"> general</w:t>
            </w:r>
            <w:r w:rsidR="002F1B56" w:rsidRPr="00EE43C6">
              <w:rPr>
                <w:rFonts w:cs="Arial"/>
                <w:sz w:val="18"/>
                <w:szCs w:val="18"/>
              </w:rPr>
              <w:t xml:space="preserve"> law </w:t>
            </w:r>
            <w:r w:rsidR="00C40C83" w:rsidRPr="00EE43C6">
              <w:rPr>
                <w:rFonts w:cs="Arial"/>
                <w:sz w:val="18"/>
                <w:szCs w:val="18"/>
              </w:rPr>
              <w:t xml:space="preserve">for the OIZ </w:t>
            </w:r>
            <w:r w:rsidR="002A4689" w:rsidRPr="00EE43C6">
              <w:rPr>
                <w:rFonts w:cs="Arial"/>
                <w:sz w:val="18"/>
                <w:szCs w:val="18"/>
              </w:rPr>
              <w:t>should</w:t>
            </w:r>
            <w:r w:rsidR="002F1B56" w:rsidRPr="00EE43C6">
              <w:rPr>
                <w:rFonts w:cs="Arial"/>
                <w:sz w:val="18"/>
                <w:szCs w:val="18"/>
              </w:rPr>
              <w:t xml:space="preserve"> be followed.</w:t>
            </w:r>
          </w:p>
        </w:tc>
      </w:tr>
      <w:tr w:rsidR="00A61E86" w:rsidRPr="00EE43C6" w14:paraId="524906A9" w14:textId="7ED4F4F6" w:rsidTr="00E67C71">
        <w:tc>
          <w:tcPr>
            <w:tcW w:w="2422" w:type="pct"/>
            <w:gridSpan w:val="2"/>
            <w:shd w:val="clear" w:color="auto" w:fill="DBE5F1" w:themeFill="accent1" w:themeFillTint="33"/>
            <w:vAlign w:val="center"/>
          </w:tcPr>
          <w:p w14:paraId="64C7710E" w14:textId="366646EA" w:rsidR="00A61E86" w:rsidRPr="00EE43C6" w:rsidRDefault="00A61E86" w:rsidP="00A61E86">
            <w:pPr>
              <w:spacing w:before="40" w:after="40" w:line="240" w:lineRule="auto"/>
              <w:jc w:val="left"/>
              <w:rPr>
                <w:rFonts w:cs="MS Gothic"/>
                <w:b/>
                <w:sz w:val="18"/>
                <w:szCs w:val="18"/>
              </w:rPr>
            </w:pPr>
            <w:r w:rsidRPr="00EE43C6">
              <w:rPr>
                <w:rFonts w:cs="Arial"/>
                <w:b/>
                <w:bCs/>
                <w:sz w:val="18"/>
                <w:szCs w:val="18"/>
              </w:rPr>
              <w:t xml:space="preserve">Environmental Impact Assessment </w:t>
            </w:r>
          </w:p>
        </w:tc>
        <w:tc>
          <w:tcPr>
            <w:tcW w:w="2578" w:type="pct"/>
            <w:shd w:val="clear" w:color="auto" w:fill="DBE5F1" w:themeFill="accent1" w:themeFillTint="33"/>
          </w:tcPr>
          <w:p w14:paraId="4AC67AFA" w14:textId="1C0FFCBD" w:rsidR="00A61E86" w:rsidRPr="00EE43C6" w:rsidRDefault="00A61E86" w:rsidP="00A61E86">
            <w:pPr>
              <w:spacing w:before="40" w:after="40" w:line="240" w:lineRule="auto"/>
              <w:jc w:val="left"/>
              <w:rPr>
                <w:rFonts w:cs="Arial"/>
                <w:b/>
                <w:bCs/>
                <w:sz w:val="18"/>
                <w:szCs w:val="18"/>
              </w:rPr>
            </w:pPr>
            <w:r w:rsidRPr="00EE43C6">
              <w:rPr>
                <w:rFonts w:cs="Arial"/>
                <w:b/>
                <w:bCs/>
                <w:sz w:val="18"/>
                <w:szCs w:val="18"/>
              </w:rPr>
              <w:t>Relevancy/Implications for the Project</w:t>
            </w:r>
          </w:p>
        </w:tc>
      </w:tr>
      <w:tr w:rsidR="00A61E86" w:rsidRPr="00EE43C6" w14:paraId="34F2A3BF" w14:textId="3B689B2B" w:rsidTr="00E67C71">
        <w:tc>
          <w:tcPr>
            <w:tcW w:w="1159" w:type="pct"/>
            <w:shd w:val="clear" w:color="auto" w:fill="auto"/>
            <w:vAlign w:val="center"/>
          </w:tcPr>
          <w:p w14:paraId="5691511E" w14:textId="0CBB51E2" w:rsidR="00A61E86" w:rsidRPr="00EE43C6" w:rsidRDefault="00A61E86" w:rsidP="00A61E86">
            <w:pPr>
              <w:spacing w:before="40" w:after="40" w:line="240" w:lineRule="auto"/>
              <w:jc w:val="left"/>
              <w:rPr>
                <w:rFonts w:cs="MS Gothic"/>
                <w:sz w:val="18"/>
                <w:szCs w:val="18"/>
              </w:rPr>
            </w:pPr>
            <w:r w:rsidRPr="00EE43C6">
              <w:rPr>
                <w:rFonts w:cs="Arial"/>
                <w:sz w:val="18"/>
                <w:szCs w:val="18"/>
              </w:rPr>
              <w:t>Environmental Law</w:t>
            </w:r>
          </w:p>
        </w:tc>
        <w:tc>
          <w:tcPr>
            <w:tcW w:w="1263" w:type="pct"/>
            <w:shd w:val="clear" w:color="auto" w:fill="auto"/>
            <w:vAlign w:val="center"/>
          </w:tcPr>
          <w:p w14:paraId="1FE1CFEE" w14:textId="0940FA89" w:rsidR="00A61E86" w:rsidRPr="00EE43C6" w:rsidRDefault="00A61E86" w:rsidP="00A61E86">
            <w:pPr>
              <w:spacing w:before="40" w:after="40" w:line="240" w:lineRule="auto"/>
              <w:jc w:val="left"/>
              <w:rPr>
                <w:rFonts w:cs="MS Gothic"/>
                <w:sz w:val="18"/>
                <w:szCs w:val="18"/>
              </w:rPr>
            </w:pPr>
            <w:r w:rsidRPr="00EE43C6">
              <w:rPr>
                <w:rFonts w:cs="Arial"/>
                <w:sz w:val="18"/>
                <w:szCs w:val="18"/>
              </w:rPr>
              <w:t>Law No: 2872; Date of Ratification: 1983</w:t>
            </w:r>
          </w:p>
        </w:tc>
        <w:tc>
          <w:tcPr>
            <w:tcW w:w="2578" w:type="pct"/>
          </w:tcPr>
          <w:p w14:paraId="37158C00" w14:textId="72BD2AE2" w:rsidR="00A61E86" w:rsidRPr="00EE43C6" w:rsidRDefault="00736DE8" w:rsidP="00441B12">
            <w:pPr>
              <w:spacing w:before="40" w:after="40" w:line="240" w:lineRule="auto"/>
              <w:rPr>
                <w:rFonts w:cs="Arial"/>
                <w:sz w:val="18"/>
                <w:szCs w:val="18"/>
              </w:rPr>
            </w:pPr>
            <w:r w:rsidRPr="00EE43C6">
              <w:rPr>
                <w:rFonts w:cs="Arial"/>
                <w:sz w:val="18"/>
                <w:szCs w:val="18"/>
              </w:rPr>
              <w:t xml:space="preserve">It is the general law that </w:t>
            </w:r>
            <w:r w:rsidR="006827F7" w:rsidRPr="00EE43C6">
              <w:rPr>
                <w:rFonts w:cs="Arial"/>
                <w:sz w:val="18"/>
                <w:szCs w:val="18"/>
              </w:rPr>
              <w:t>regulates</w:t>
            </w:r>
            <w:r w:rsidRPr="00EE43C6">
              <w:rPr>
                <w:rFonts w:cs="Arial"/>
                <w:sz w:val="18"/>
                <w:szCs w:val="18"/>
              </w:rPr>
              <w:t xml:space="preserve"> the </w:t>
            </w:r>
            <w:r w:rsidR="000E0499" w:rsidRPr="00EE43C6">
              <w:rPr>
                <w:rFonts w:cs="Arial"/>
                <w:sz w:val="18"/>
                <w:szCs w:val="18"/>
              </w:rPr>
              <w:t xml:space="preserve">main </w:t>
            </w:r>
            <w:r w:rsidRPr="00EE43C6">
              <w:rPr>
                <w:rFonts w:cs="Arial"/>
                <w:sz w:val="18"/>
                <w:szCs w:val="18"/>
              </w:rPr>
              <w:t xml:space="preserve">environmental </w:t>
            </w:r>
            <w:r w:rsidR="000E0499" w:rsidRPr="00EE43C6">
              <w:rPr>
                <w:rFonts w:cs="Arial"/>
                <w:sz w:val="18"/>
                <w:szCs w:val="18"/>
              </w:rPr>
              <w:t>rules</w:t>
            </w:r>
            <w:r w:rsidRPr="00EE43C6">
              <w:rPr>
                <w:rFonts w:cs="Arial"/>
                <w:sz w:val="18"/>
                <w:szCs w:val="18"/>
              </w:rPr>
              <w:t xml:space="preserve"> for all activities to be carried out during the life</w:t>
            </w:r>
            <w:r w:rsidR="0035137B" w:rsidRPr="00EE43C6">
              <w:rPr>
                <w:rFonts w:cs="Arial"/>
                <w:sz w:val="18"/>
                <w:szCs w:val="18"/>
              </w:rPr>
              <w:t>time</w:t>
            </w:r>
            <w:r w:rsidRPr="00EE43C6">
              <w:rPr>
                <w:rFonts w:cs="Arial"/>
                <w:sz w:val="18"/>
                <w:szCs w:val="18"/>
              </w:rPr>
              <w:t xml:space="preserve"> of the </w:t>
            </w:r>
            <w:r w:rsidR="0035137B" w:rsidRPr="00EE43C6">
              <w:rPr>
                <w:rFonts w:cs="Arial"/>
                <w:sz w:val="18"/>
                <w:szCs w:val="18"/>
              </w:rPr>
              <w:t>P</w:t>
            </w:r>
            <w:r w:rsidRPr="00EE43C6">
              <w:rPr>
                <w:rFonts w:cs="Arial"/>
                <w:sz w:val="18"/>
                <w:szCs w:val="18"/>
              </w:rPr>
              <w:t>roject.</w:t>
            </w:r>
          </w:p>
        </w:tc>
      </w:tr>
      <w:tr w:rsidR="00A61E86" w:rsidRPr="00EE43C6" w14:paraId="51C8332E" w14:textId="50A8AB80" w:rsidTr="00E67C71">
        <w:tc>
          <w:tcPr>
            <w:tcW w:w="1159" w:type="pct"/>
            <w:shd w:val="clear" w:color="auto" w:fill="auto"/>
            <w:vAlign w:val="center"/>
          </w:tcPr>
          <w:p w14:paraId="5B809866" w14:textId="1CD80C6C" w:rsidR="00A61E86" w:rsidRPr="00EE43C6" w:rsidRDefault="00A61E86" w:rsidP="00A61E86">
            <w:pPr>
              <w:spacing w:before="40" w:after="40" w:line="240" w:lineRule="auto"/>
              <w:jc w:val="left"/>
              <w:rPr>
                <w:rFonts w:cs="MS Gothic"/>
                <w:sz w:val="18"/>
                <w:szCs w:val="18"/>
              </w:rPr>
            </w:pPr>
            <w:r w:rsidRPr="00EE43C6">
              <w:rPr>
                <w:rFonts w:cs="Arial"/>
                <w:sz w:val="18"/>
                <w:szCs w:val="18"/>
              </w:rPr>
              <w:lastRenderedPageBreak/>
              <w:t>Regulation on Environmental Impact Assessment</w:t>
            </w:r>
          </w:p>
        </w:tc>
        <w:tc>
          <w:tcPr>
            <w:tcW w:w="1263" w:type="pct"/>
            <w:shd w:val="clear" w:color="auto" w:fill="auto"/>
            <w:vAlign w:val="center"/>
          </w:tcPr>
          <w:p w14:paraId="6F635BDD" w14:textId="29F42469" w:rsidR="00A61E86" w:rsidRPr="00EE43C6" w:rsidRDefault="00A61E86" w:rsidP="00A61E86">
            <w:pPr>
              <w:spacing w:before="40" w:after="40" w:line="240" w:lineRule="auto"/>
              <w:jc w:val="left"/>
              <w:rPr>
                <w:rFonts w:cs="MS Gothic"/>
                <w:sz w:val="18"/>
                <w:szCs w:val="18"/>
              </w:rPr>
            </w:pPr>
            <w:r w:rsidRPr="00EE43C6">
              <w:rPr>
                <w:rFonts w:cs="Arial"/>
                <w:sz w:val="18"/>
                <w:szCs w:val="18"/>
              </w:rPr>
              <w:t>OG. No. 31907 dated 29 July, 2022</w:t>
            </w:r>
          </w:p>
        </w:tc>
        <w:tc>
          <w:tcPr>
            <w:tcW w:w="2578" w:type="pct"/>
          </w:tcPr>
          <w:p w14:paraId="71C81C9F" w14:textId="1DE7AF24" w:rsidR="00A61E86" w:rsidRPr="00EE43C6" w:rsidRDefault="00047876" w:rsidP="00441B12">
            <w:pPr>
              <w:spacing w:before="40" w:after="40" w:line="240" w:lineRule="auto"/>
              <w:rPr>
                <w:rFonts w:cs="Arial"/>
                <w:sz w:val="16"/>
                <w:szCs w:val="16"/>
              </w:rPr>
            </w:pPr>
            <w:r w:rsidRPr="00EE43C6">
              <w:rPr>
                <w:rFonts w:cs="Arial"/>
                <w:sz w:val="18"/>
                <w:szCs w:val="18"/>
              </w:rPr>
              <w:t xml:space="preserve">It is the regulation that </w:t>
            </w:r>
            <w:r w:rsidR="00796B6B" w:rsidRPr="00EE43C6">
              <w:rPr>
                <w:rFonts w:cs="Arial"/>
                <w:sz w:val="18"/>
                <w:szCs w:val="18"/>
              </w:rPr>
              <w:t>regulates</w:t>
            </w:r>
            <w:r w:rsidRPr="00EE43C6">
              <w:rPr>
                <w:rFonts w:cs="Arial"/>
                <w:sz w:val="18"/>
                <w:szCs w:val="18"/>
              </w:rPr>
              <w:t xml:space="preserve"> the national environmental impact assessment processes</w:t>
            </w:r>
            <w:r w:rsidR="00FE2178" w:rsidRPr="00EE43C6">
              <w:rPr>
                <w:rFonts w:cs="Arial"/>
                <w:sz w:val="18"/>
                <w:szCs w:val="18"/>
              </w:rPr>
              <w:t xml:space="preserve"> of the Project</w:t>
            </w:r>
            <w:r w:rsidRPr="00EE43C6">
              <w:rPr>
                <w:rFonts w:cs="Arial"/>
                <w:sz w:val="18"/>
                <w:szCs w:val="18"/>
              </w:rPr>
              <w:t xml:space="preserve"> including the basic infrastructure works of the OIZ.</w:t>
            </w:r>
            <w:r w:rsidR="00747ED1" w:rsidRPr="00EE43C6">
              <w:rPr>
                <w:rFonts w:cs="Arial"/>
                <w:sz w:val="18"/>
                <w:szCs w:val="18"/>
              </w:rPr>
              <w:t xml:space="preserve"> In this context, </w:t>
            </w:r>
            <w:r w:rsidR="009048ED" w:rsidRPr="00EE43C6">
              <w:rPr>
                <w:rFonts w:cs="Arial"/>
                <w:sz w:val="18"/>
                <w:szCs w:val="18"/>
              </w:rPr>
              <w:t>EIA</w:t>
            </w:r>
            <w:r w:rsidR="00D05E00" w:rsidRPr="00EE43C6">
              <w:rPr>
                <w:rFonts w:cs="Arial"/>
                <w:sz w:val="18"/>
                <w:szCs w:val="18"/>
              </w:rPr>
              <w:t xml:space="preserve"> </w:t>
            </w:r>
            <w:r w:rsidR="005D68F8" w:rsidRPr="00EE43C6">
              <w:rPr>
                <w:rFonts w:cs="Arial"/>
                <w:sz w:val="18"/>
                <w:szCs w:val="18"/>
              </w:rPr>
              <w:t>studies</w:t>
            </w:r>
            <w:r w:rsidR="009048ED" w:rsidRPr="00EE43C6">
              <w:rPr>
                <w:rFonts w:cs="Arial"/>
                <w:sz w:val="18"/>
                <w:szCs w:val="18"/>
              </w:rPr>
              <w:t xml:space="preserve"> of the OIZ</w:t>
            </w:r>
            <w:r w:rsidR="002B3BAD" w:rsidRPr="00EE43C6">
              <w:rPr>
                <w:rFonts w:cs="Arial"/>
                <w:sz w:val="18"/>
                <w:szCs w:val="18"/>
              </w:rPr>
              <w:t xml:space="preserve"> </w:t>
            </w:r>
            <w:r w:rsidR="00526EA0" w:rsidRPr="00EE43C6">
              <w:rPr>
                <w:rFonts w:cs="Arial"/>
                <w:sz w:val="18"/>
                <w:szCs w:val="18"/>
              </w:rPr>
              <w:t>were</w:t>
            </w:r>
            <w:r w:rsidR="00E3517A" w:rsidRPr="00EE43C6">
              <w:rPr>
                <w:rFonts w:cs="Arial"/>
                <w:sz w:val="18"/>
                <w:szCs w:val="18"/>
              </w:rPr>
              <w:t xml:space="preserve"> </w:t>
            </w:r>
            <w:r w:rsidR="001258EE" w:rsidRPr="00EE43C6">
              <w:rPr>
                <w:rFonts w:cs="Arial"/>
                <w:sz w:val="18"/>
                <w:szCs w:val="18"/>
              </w:rPr>
              <w:t xml:space="preserve">carried </w:t>
            </w:r>
            <w:r w:rsidR="00C411EB" w:rsidRPr="00EE43C6">
              <w:rPr>
                <w:rFonts w:cs="Arial"/>
                <w:sz w:val="18"/>
                <w:szCs w:val="18"/>
              </w:rPr>
              <w:t>out,</w:t>
            </w:r>
            <w:r w:rsidR="001258EE" w:rsidRPr="00EE43C6">
              <w:rPr>
                <w:rFonts w:cs="Arial"/>
                <w:sz w:val="18"/>
                <w:szCs w:val="18"/>
              </w:rPr>
              <w:t xml:space="preserve"> EIA </w:t>
            </w:r>
            <w:r w:rsidR="00517B7B" w:rsidRPr="00EE43C6">
              <w:rPr>
                <w:rFonts w:cs="Arial"/>
                <w:sz w:val="18"/>
                <w:szCs w:val="18"/>
              </w:rPr>
              <w:t>Positive Certificates of the OIZ</w:t>
            </w:r>
            <w:r w:rsidR="00C411EB" w:rsidRPr="00EE43C6">
              <w:rPr>
                <w:rFonts w:cs="Arial"/>
                <w:sz w:val="18"/>
                <w:szCs w:val="18"/>
              </w:rPr>
              <w:t xml:space="preserve"> </w:t>
            </w:r>
            <w:r w:rsidR="00517B7B" w:rsidRPr="00EE43C6">
              <w:rPr>
                <w:rFonts w:cs="Arial"/>
                <w:sz w:val="18"/>
                <w:szCs w:val="18"/>
              </w:rPr>
              <w:t xml:space="preserve">were </w:t>
            </w:r>
            <w:r w:rsidR="00C411EB" w:rsidRPr="00EE43C6">
              <w:rPr>
                <w:rFonts w:cs="Arial"/>
                <w:sz w:val="18"/>
                <w:szCs w:val="18"/>
              </w:rPr>
              <w:t>secured. (see Appendix</w:t>
            </w:r>
            <w:r w:rsidR="00526EA0" w:rsidRPr="00EE43C6">
              <w:rPr>
                <w:rFonts w:cs="Arial"/>
                <w:sz w:val="18"/>
                <w:szCs w:val="18"/>
              </w:rPr>
              <w:t>-B</w:t>
            </w:r>
            <w:r w:rsidR="00C411EB" w:rsidRPr="00EE43C6">
              <w:rPr>
                <w:rFonts w:cs="Arial"/>
                <w:sz w:val="18"/>
                <w:szCs w:val="18"/>
              </w:rPr>
              <w:t>)</w:t>
            </w:r>
          </w:p>
        </w:tc>
      </w:tr>
      <w:tr w:rsidR="00A61E86" w:rsidRPr="00EE43C6" w14:paraId="15950058" w14:textId="24FEF8C6" w:rsidTr="00E67C71">
        <w:tc>
          <w:tcPr>
            <w:tcW w:w="1159" w:type="pct"/>
            <w:shd w:val="clear" w:color="auto" w:fill="auto"/>
            <w:vAlign w:val="center"/>
          </w:tcPr>
          <w:p w14:paraId="08605C55" w14:textId="0E058015"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Environmental Permit and License</w:t>
            </w:r>
          </w:p>
        </w:tc>
        <w:tc>
          <w:tcPr>
            <w:tcW w:w="1263" w:type="pct"/>
            <w:shd w:val="clear" w:color="auto" w:fill="auto"/>
            <w:vAlign w:val="center"/>
          </w:tcPr>
          <w:p w14:paraId="73C2DC94" w14:textId="01678E31" w:rsidR="00A61E86" w:rsidRPr="00EE43C6" w:rsidRDefault="00A61E86" w:rsidP="00A61E86">
            <w:pPr>
              <w:spacing w:before="40" w:after="40" w:line="240" w:lineRule="auto"/>
              <w:jc w:val="left"/>
              <w:rPr>
                <w:rFonts w:cs="MS Gothic"/>
                <w:sz w:val="18"/>
                <w:szCs w:val="18"/>
              </w:rPr>
            </w:pPr>
            <w:r w:rsidRPr="00EE43C6">
              <w:rPr>
                <w:rFonts w:cs="Arial"/>
                <w:sz w:val="18"/>
                <w:szCs w:val="18"/>
              </w:rPr>
              <w:t>OG. No. 29115 dated 10 September 2014</w:t>
            </w:r>
          </w:p>
        </w:tc>
        <w:tc>
          <w:tcPr>
            <w:tcW w:w="2578" w:type="pct"/>
          </w:tcPr>
          <w:p w14:paraId="649A84E4" w14:textId="719E2565" w:rsidR="00A61E86" w:rsidRPr="00EE43C6" w:rsidRDefault="00312852" w:rsidP="00470961">
            <w:pPr>
              <w:spacing w:before="40" w:after="40" w:line="240" w:lineRule="auto"/>
              <w:rPr>
                <w:rFonts w:cs="Arial"/>
                <w:sz w:val="18"/>
                <w:szCs w:val="18"/>
              </w:rPr>
            </w:pPr>
            <w:r w:rsidRPr="00EE43C6">
              <w:rPr>
                <w:rFonts w:cs="Arial"/>
                <w:sz w:val="18"/>
                <w:szCs w:val="18"/>
              </w:rPr>
              <w:t xml:space="preserve">It is the regulation that </w:t>
            </w:r>
            <w:r w:rsidR="00796B6B" w:rsidRPr="00EE43C6">
              <w:rPr>
                <w:rFonts w:cs="Arial"/>
                <w:sz w:val="18"/>
                <w:szCs w:val="18"/>
              </w:rPr>
              <w:t>regulates</w:t>
            </w:r>
            <w:r w:rsidRPr="00EE43C6">
              <w:rPr>
                <w:rFonts w:cs="Arial"/>
                <w:sz w:val="18"/>
                <w:szCs w:val="18"/>
              </w:rPr>
              <w:t xml:space="preserve"> the national environmental permit and license </w:t>
            </w:r>
            <w:r w:rsidR="005E4EAC" w:rsidRPr="00EE43C6">
              <w:rPr>
                <w:rFonts w:cs="Arial"/>
                <w:sz w:val="18"/>
                <w:szCs w:val="18"/>
              </w:rPr>
              <w:t>pro</w:t>
            </w:r>
            <w:r w:rsidR="00470961" w:rsidRPr="00EE43C6">
              <w:rPr>
                <w:rFonts w:cs="Arial"/>
                <w:sz w:val="18"/>
                <w:szCs w:val="18"/>
              </w:rPr>
              <w:t xml:space="preserve">cesses of the </w:t>
            </w:r>
            <w:r w:rsidR="00887FDC" w:rsidRPr="00EE43C6">
              <w:rPr>
                <w:rFonts w:cs="Arial"/>
                <w:sz w:val="18"/>
                <w:szCs w:val="18"/>
              </w:rPr>
              <w:t>OIZ’s</w:t>
            </w:r>
            <w:r w:rsidR="00133DB6" w:rsidRPr="00EE43C6">
              <w:rPr>
                <w:rFonts w:cs="Arial"/>
                <w:sz w:val="18"/>
                <w:szCs w:val="18"/>
              </w:rPr>
              <w:t xml:space="preserve"> operation phase</w:t>
            </w:r>
            <w:r w:rsidR="00482CD4" w:rsidRPr="00EE43C6">
              <w:rPr>
                <w:rFonts w:cs="Arial"/>
                <w:sz w:val="18"/>
                <w:szCs w:val="18"/>
              </w:rPr>
              <w:t xml:space="preserve">. </w:t>
            </w:r>
            <w:r w:rsidR="00FD48E3" w:rsidRPr="00EE43C6">
              <w:rPr>
                <w:rFonts w:cs="Arial"/>
                <w:sz w:val="18"/>
                <w:szCs w:val="18"/>
              </w:rPr>
              <w:t xml:space="preserve">As </w:t>
            </w:r>
            <w:r w:rsidR="000772D9" w:rsidRPr="00EE43C6">
              <w:rPr>
                <w:rFonts w:cs="Arial"/>
                <w:sz w:val="18"/>
                <w:szCs w:val="18"/>
              </w:rPr>
              <w:t xml:space="preserve">an </w:t>
            </w:r>
            <w:r w:rsidR="00FD48E3" w:rsidRPr="00EE43C6">
              <w:rPr>
                <w:rFonts w:cs="Arial"/>
                <w:sz w:val="18"/>
                <w:szCs w:val="18"/>
              </w:rPr>
              <w:t xml:space="preserve">associated facility </w:t>
            </w:r>
            <w:r w:rsidR="0052297E" w:rsidRPr="00EE43C6">
              <w:rPr>
                <w:rFonts w:cs="Arial"/>
                <w:sz w:val="18"/>
                <w:szCs w:val="18"/>
              </w:rPr>
              <w:t xml:space="preserve">WWTP of the </w:t>
            </w:r>
            <w:r w:rsidR="001D32A4" w:rsidRPr="00EE43C6">
              <w:rPr>
                <w:rFonts w:cs="Arial"/>
                <w:sz w:val="18"/>
                <w:szCs w:val="18"/>
              </w:rPr>
              <w:t>OIZ</w:t>
            </w:r>
            <w:r w:rsidR="0052297E" w:rsidRPr="00EE43C6">
              <w:rPr>
                <w:rFonts w:cs="Arial"/>
                <w:sz w:val="18"/>
                <w:szCs w:val="18"/>
              </w:rPr>
              <w:t xml:space="preserve"> </w:t>
            </w:r>
            <w:r w:rsidR="000772D9" w:rsidRPr="00EE43C6">
              <w:rPr>
                <w:rFonts w:cs="Arial"/>
                <w:sz w:val="18"/>
                <w:szCs w:val="18"/>
              </w:rPr>
              <w:t>and facilities within the OIZ should follow the provision of the regulation.</w:t>
            </w:r>
          </w:p>
        </w:tc>
      </w:tr>
      <w:tr w:rsidR="00A61E86" w:rsidRPr="00EE43C6" w14:paraId="420B71DB" w14:textId="16E90B2D" w:rsidTr="00E67C71">
        <w:tc>
          <w:tcPr>
            <w:tcW w:w="2422" w:type="pct"/>
            <w:gridSpan w:val="2"/>
            <w:shd w:val="clear" w:color="auto" w:fill="DBE5F1" w:themeFill="accent1" w:themeFillTint="33"/>
            <w:vAlign w:val="center"/>
          </w:tcPr>
          <w:p w14:paraId="103AFD13" w14:textId="4D09D5BB" w:rsidR="00A61E86" w:rsidRPr="00EE43C6" w:rsidRDefault="00A61E86" w:rsidP="00A61E86">
            <w:pPr>
              <w:spacing w:before="40" w:after="40" w:line="240" w:lineRule="auto"/>
              <w:jc w:val="left"/>
              <w:rPr>
                <w:rFonts w:cs="MS Gothic"/>
                <w:b/>
                <w:sz w:val="18"/>
                <w:szCs w:val="18"/>
              </w:rPr>
            </w:pPr>
            <w:r w:rsidRPr="00EE43C6">
              <w:rPr>
                <w:rFonts w:cs="Arial"/>
                <w:b/>
                <w:bCs/>
                <w:sz w:val="18"/>
                <w:szCs w:val="18"/>
              </w:rPr>
              <w:t>Water</w:t>
            </w:r>
          </w:p>
        </w:tc>
        <w:tc>
          <w:tcPr>
            <w:tcW w:w="2578" w:type="pct"/>
            <w:shd w:val="clear" w:color="auto" w:fill="DBE5F1" w:themeFill="accent1" w:themeFillTint="33"/>
          </w:tcPr>
          <w:p w14:paraId="055E89DA" w14:textId="1FF5DAE5" w:rsidR="00A61E86" w:rsidRPr="00EE43C6" w:rsidRDefault="00A61E86" w:rsidP="00A61E86">
            <w:pPr>
              <w:spacing w:before="40" w:after="40" w:line="240" w:lineRule="auto"/>
              <w:jc w:val="left"/>
              <w:rPr>
                <w:rFonts w:cs="Arial"/>
                <w:b/>
                <w:bCs/>
                <w:sz w:val="18"/>
                <w:szCs w:val="18"/>
              </w:rPr>
            </w:pPr>
            <w:r w:rsidRPr="00EE43C6">
              <w:rPr>
                <w:rFonts w:cs="Arial"/>
                <w:b/>
                <w:bCs/>
                <w:sz w:val="18"/>
                <w:szCs w:val="18"/>
              </w:rPr>
              <w:t>Relevancy/Implications for the Project</w:t>
            </w:r>
          </w:p>
        </w:tc>
      </w:tr>
      <w:tr w:rsidR="00A61E86" w:rsidRPr="00EE43C6" w14:paraId="440A94F7" w14:textId="16DB3522" w:rsidTr="00E67C71">
        <w:tc>
          <w:tcPr>
            <w:tcW w:w="1159" w:type="pct"/>
            <w:shd w:val="clear" w:color="auto" w:fill="auto"/>
            <w:vAlign w:val="center"/>
          </w:tcPr>
          <w:p w14:paraId="4C1BC1FD" w14:textId="27615CFC" w:rsidR="00A61E86" w:rsidRPr="00EE43C6" w:rsidRDefault="00A61E86" w:rsidP="00A61E86">
            <w:pPr>
              <w:spacing w:before="40" w:after="40" w:line="240" w:lineRule="auto"/>
              <w:jc w:val="left"/>
              <w:rPr>
                <w:rFonts w:cs="MS Gothic"/>
                <w:b/>
                <w:sz w:val="18"/>
                <w:szCs w:val="18"/>
              </w:rPr>
            </w:pPr>
            <w:r w:rsidRPr="00EE43C6">
              <w:rPr>
                <w:rFonts w:cs="Arial"/>
                <w:sz w:val="18"/>
                <w:szCs w:val="18"/>
              </w:rPr>
              <w:t>Groundwater Law</w:t>
            </w:r>
          </w:p>
        </w:tc>
        <w:tc>
          <w:tcPr>
            <w:tcW w:w="1263" w:type="pct"/>
            <w:shd w:val="clear" w:color="auto" w:fill="auto"/>
            <w:vAlign w:val="center"/>
          </w:tcPr>
          <w:p w14:paraId="5FEDE22C" w14:textId="2A595BE9" w:rsidR="00A61E86" w:rsidRPr="00EE43C6" w:rsidRDefault="00A61E86" w:rsidP="00A61E86">
            <w:pPr>
              <w:spacing w:before="40" w:after="40" w:line="240" w:lineRule="auto"/>
              <w:jc w:val="left"/>
              <w:rPr>
                <w:rFonts w:cs="MS Gothic"/>
                <w:b/>
                <w:sz w:val="18"/>
                <w:szCs w:val="18"/>
              </w:rPr>
            </w:pPr>
            <w:r w:rsidRPr="00EE43C6">
              <w:rPr>
                <w:rFonts w:cs="Arial"/>
                <w:sz w:val="18"/>
                <w:szCs w:val="18"/>
              </w:rPr>
              <w:t>Law No: 167</w:t>
            </w:r>
            <w:r w:rsidR="00B15B6D">
              <w:rPr>
                <w:rFonts w:cs="Arial"/>
                <w:sz w:val="18"/>
                <w:szCs w:val="18"/>
              </w:rPr>
              <w:t>;</w:t>
            </w:r>
            <w:r w:rsidRPr="00EE43C6">
              <w:rPr>
                <w:rFonts w:cs="Arial"/>
                <w:sz w:val="18"/>
                <w:szCs w:val="18"/>
              </w:rPr>
              <w:t xml:space="preserve"> Date of Ratification: 1960</w:t>
            </w:r>
          </w:p>
        </w:tc>
        <w:tc>
          <w:tcPr>
            <w:tcW w:w="2578" w:type="pct"/>
          </w:tcPr>
          <w:p w14:paraId="72921105" w14:textId="465C482A" w:rsidR="00A61E86" w:rsidRPr="00EE43C6" w:rsidRDefault="00D10891" w:rsidP="00D10891">
            <w:pPr>
              <w:spacing w:before="40" w:after="40" w:line="240" w:lineRule="auto"/>
              <w:rPr>
                <w:rFonts w:cs="Arial"/>
                <w:sz w:val="16"/>
                <w:szCs w:val="16"/>
              </w:rPr>
            </w:pPr>
            <w:r w:rsidRPr="00EE43C6">
              <w:rPr>
                <w:rFonts w:cs="Arial"/>
                <w:sz w:val="18"/>
                <w:szCs w:val="18"/>
              </w:rPr>
              <w:t xml:space="preserve">It is the general law on the use of groundwater. </w:t>
            </w:r>
            <w:r w:rsidR="00F30899" w:rsidRPr="00EE43C6">
              <w:rPr>
                <w:rFonts w:cs="Arial"/>
                <w:sz w:val="18"/>
                <w:szCs w:val="18"/>
              </w:rPr>
              <w:t>Thus, c</w:t>
            </w:r>
            <w:r w:rsidRPr="00EE43C6">
              <w:rPr>
                <w:rFonts w:cs="Arial"/>
                <w:sz w:val="18"/>
                <w:szCs w:val="18"/>
              </w:rPr>
              <w:t>ompliance with this law should be ensured due to the well</w:t>
            </w:r>
            <w:r w:rsidR="00DB2F04" w:rsidRPr="00EE43C6">
              <w:rPr>
                <w:rFonts w:cs="Arial"/>
                <w:sz w:val="18"/>
                <w:szCs w:val="18"/>
              </w:rPr>
              <w:t>s</w:t>
            </w:r>
            <w:r w:rsidRPr="00EE43C6">
              <w:rPr>
                <w:rFonts w:cs="Arial"/>
                <w:sz w:val="18"/>
                <w:szCs w:val="18"/>
              </w:rPr>
              <w:t xml:space="preserve"> used</w:t>
            </w:r>
            <w:r w:rsidR="00DB2F04" w:rsidRPr="00EE43C6">
              <w:rPr>
                <w:rFonts w:cs="Arial"/>
                <w:sz w:val="18"/>
                <w:szCs w:val="18"/>
              </w:rPr>
              <w:t xml:space="preserve"> (or </w:t>
            </w:r>
            <w:r w:rsidR="00EC75F4" w:rsidRPr="00EE43C6">
              <w:rPr>
                <w:rFonts w:cs="Arial"/>
                <w:sz w:val="18"/>
                <w:szCs w:val="18"/>
              </w:rPr>
              <w:t xml:space="preserve">planned </w:t>
            </w:r>
            <w:r w:rsidR="00DB2F04" w:rsidRPr="00EE43C6">
              <w:rPr>
                <w:rFonts w:cs="Arial"/>
                <w:sz w:val="18"/>
                <w:szCs w:val="18"/>
              </w:rPr>
              <w:t xml:space="preserve">to be used) </w:t>
            </w:r>
            <w:r w:rsidR="00DB3CC0" w:rsidRPr="00EE43C6">
              <w:rPr>
                <w:rFonts w:cs="Arial"/>
                <w:sz w:val="18"/>
                <w:szCs w:val="18"/>
              </w:rPr>
              <w:t>within the Project’s AoI</w:t>
            </w:r>
            <w:r w:rsidR="00140EA7" w:rsidRPr="00EE43C6">
              <w:rPr>
                <w:rFonts w:cs="Arial"/>
                <w:sz w:val="18"/>
                <w:szCs w:val="18"/>
              </w:rPr>
              <w:t>.</w:t>
            </w:r>
          </w:p>
        </w:tc>
      </w:tr>
      <w:tr w:rsidR="00A61E86" w:rsidRPr="00EE43C6" w14:paraId="1CE60776" w14:textId="68A3EB71" w:rsidTr="00E67C71">
        <w:tc>
          <w:tcPr>
            <w:tcW w:w="1159" w:type="pct"/>
            <w:shd w:val="clear" w:color="auto" w:fill="auto"/>
            <w:vAlign w:val="center"/>
          </w:tcPr>
          <w:p w14:paraId="65019F8B" w14:textId="7754DF40"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Control of Water Pollution</w:t>
            </w:r>
          </w:p>
        </w:tc>
        <w:tc>
          <w:tcPr>
            <w:tcW w:w="1263" w:type="pct"/>
            <w:shd w:val="clear" w:color="auto" w:fill="auto"/>
            <w:vAlign w:val="center"/>
          </w:tcPr>
          <w:p w14:paraId="2C8F1638" w14:textId="77777777" w:rsidR="00A61E86" w:rsidRPr="00EE43C6" w:rsidRDefault="00A61E86" w:rsidP="00A61E86">
            <w:pPr>
              <w:spacing w:before="40" w:after="40" w:line="240" w:lineRule="auto"/>
              <w:jc w:val="left"/>
              <w:rPr>
                <w:rFonts w:cs="Arial"/>
                <w:sz w:val="18"/>
                <w:szCs w:val="18"/>
              </w:rPr>
            </w:pPr>
            <w:r w:rsidRPr="00EE43C6">
              <w:rPr>
                <w:rFonts w:cs="Arial"/>
                <w:sz w:val="18"/>
                <w:szCs w:val="18"/>
              </w:rPr>
              <w:t>OG. No. 25687 dated 31 December 2004</w:t>
            </w:r>
          </w:p>
          <w:p w14:paraId="0A529335" w14:textId="5E24D276" w:rsidR="00A61E86" w:rsidRPr="00EE43C6" w:rsidRDefault="00A61E86" w:rsidP="00A61E86">
            <w:pPr>
              <w:spacing w:before="40" w:after="40" w:line="240" w:lineRule="auto"/>
              <w:jc w:val="left"/>
              <w:rPr>
                <w:rFonts w:cs="MS Gothic"/>
                <w:sz w:val="18"/>
                <w:szCs w:val="18"/>
              </w:rPr>
            </w:pPr>
            <w:r w:rsidRPr="00EE43C6">
              <w:rPr>
                <w:rFonts w:cs="MS Gothic"/>
                <w:sz w:val="18"/>
                <w:szCs w:val="18"/>
              </w:rPr>
              <w:t>(</w:t>
            </w:r>
            <w:r w:rsidR="008429D6">
              <w:rPr>
                <w:rFonts w:cs="MS Gothic"/>
                <w:sz w:val="18"/>
                <w:szCs w:val="18"/>
              </w:rPr>
              <w:t xml:space="preserve">Last </w:t>
            </w:r>
            <w:r w:rsidR="008429D6" w:rsidRPr="001D6BDD">
              <w:rPr>
                <w:rFonts w:cs="MS Gothic"/>
                <w:sz w:val="18"/>
                <w:szCs w:val="18"/>
              </w:rPr>
              <w:t>amendment</w:t>
            </w:r>
            <w:r w:rsidRPr="00EE43C6">
              <w:rPr>
                <w:rFonts w:cs="MS Gothic"/>
                <w:sz w:val="18"/>
                <w:szCs w:val="18"/>
              </w:rPr>
              <w:t xml:space="preserve"> on </w:t>
            </w:r>
            <w:r w:rsidR="00F30871" w:rsidRPr="00EE43C6">
              <w:rPr>
                <w:rFonts w:cs="MS Gothic"/>
                <w:sz w:val="18"/>
                <w:szCs w:val="18"/>
              </w:rPr>
              <w:t>1</w:t>
            </w:r>
            <w:r w:rsidR="00F30871">
              <w:rPr>
                <w:rFonts w:cs="MS Gothic"/>
                <w:sz w:val="18"/>
                <w:szCs w:val="18"/>
              </w:rPr>
              <w:t>2</w:t>
            </w:r>
            <w:r w:rsidR="00F30871" w:rsidRPr="00EE43C6">
              <w:rPr>
                <w:rFonts w:cs="MS Gothic"/>
                <w:sz w:val="18"/>
                <w:szCs w:val="18"/>
              </w:rPr>
              <w:t xml:space="preserve"> </w:t>
            </w:r>
            <w:r w:rsidR="00F30871">
              <w:rPr>
                <w:rFonts w:cs="MS Gothic"/>
                <w:sz w:val="18"/>
                <w:szCs w:val="18"/>
              </w:rPr>
              <w:t>May</w:t>
            </w:r>
            <w:r w:rsidR="00F30871" w:rsidRPr="00EE43C6">
              <w:rPr>
                <w:rFonts w:cs="MS Gothic"/>
                <w:sz w:val="18"/>
                <w:szCs w:val="18"/>
              </w:rPr>
              <w:t xml:space="preserve"> 202</w:t>
            </w:r>
            <w:r w:rsidR="00F30871">
              <w:rPr>
                <w:rFonts w:cs="MS Gothic"/>
                <w:sz w:val="18"/>
                <w:szCs w:val="18"/>
              </w:rPr>
              <w:t>3</w:t>
            </w:r>
            <w:r w:rsidR="00F30871" w:rsidRPr="00EE43C6">
              <w:rPr>
                <w:rFonts w:cs="MS Gothic"/>
                <w:sz w:val="18"/>
                <w:szCs w:val="18"/>
              </w:rPr>
              <w:t xml:space="preserve"> </w:t>
            </w:r>
            <w:r w:rsidRPr="00EE43C6">
              <w:rPr>
                <w:rFonts w:cs="MS Gothic"/>
                <w:sz w:val="18"/>
                <w:szCs w:val="18"/>
              </w:rPr>
              <w:t>with OG. No. 32</w:t>
            </w:r>
            <w:r w:rsidR="00F30871">
              <w:rPr>
                <w:rFonts w:cs="MS Gothic"/>
                <w:sz w:val="18"/>
                <w:szCs w:val="18"/>
              </w:rPr>
              <w:t>188</w:t>
            </w:r>
            <w:r w:rsidRPr="00EE43C6">
              <w:rPr>
                <w:rFonts w:cs="MS Gothic"/>
                <w:sz w:val="18"/>
                <w:szCs w:val="18"/>
              </w:rPr>
              <w:t xml:space="preserve">) </w:t>
            </w:r>
          </w:p>
        </w:tc>
        <w:tc>
          <w:tcPr>
            <w:tcW w:w="2578" w:type="pct"/>
          </w:tcPr>
          <w:p w14:paraId="738C4D5A" w14:textId="0F484C16" w:rsidR="00A61E86" w:rsidRPr="00EE43C6" w:rsidRDefault="008515EB" w:rsidP="00E12D22">
            <w:pPr>
              <w:spacing w:before="40" w:after="40" w:line="240" w:lineRule="auto"/>
              <w:rPr>
                <w:rFonts w:cs="Arial"/>
                <w:sz w:val="16"/>
                <w:szCs w:val="16"/>
              </w:rPr>
            </w:pPr>
            <w:r w:rsidRPr="00EE43C6">
              <w:rPr>
                <w:rFonts w:cs="Arial"/>
                <w:sz w:val="18"/>
                <w:szCs w:val="18"/>
              </w:rPr>
              <w:t>T</w:t>
            </w:r>
            <w:r w:rsidR="00BC7BA5" w:rsidRPr="00EE43C6">
              <w:rPr>
                <w:rFonts w:cs="Arial"/>
                <w:sz w:val="18"/>
                <w:szCs w:val="18"/>
              </w:rPr>
              <w:t>he Project</w:t>
            </w:r>
            <w:r w:rsidR="00DD29A3" w:rsidRPr="00EE43C6">
              <w:rPr>
                <w:rFonts w:cs="Arial"/>
                <w:sz w:val="18"/>
                <w:szCs w:val="18"/>
              </w:rPr>
              <w:t xml:space="preserve"> is subject to th</w:t>
            </w:r>
            <w:r w:rsidR="00CE005C" w:rsidRPr="00EE43C6">
              <w:rPr>
                <w:rFonts w:cs="Arial"/>
                <w:sz w:val="18"/>
                <w:szCs w:val="18"/>
              </w:rPr>
              <w:t>e</w:t>
            </w:r>
            <w:r w:rsidR="00DD29A3" w:rsidRPr="00EE43C6">
              <w:rPr>
                <w:rFonts w:cs="Arial"/>
                <w:sz w:val="18"/>
                <w:szCs w:val="18"/>
              </w:rPr>
              <w:t xml:space="preserve"> regulation due to activities that </w:t>
            </w:r>
            <w:r w:rsidR="00B865B3" w:rsidRPr="00EE43C6">
              <w:rPr>
                <w:rFonts w:cs="Arial"/>
                <w:sz w:val="18"/>
                <w:szCs w:val="18"/>
              </w:rPr>
              <w:t>may</w:t>
            </w:r>
            <w:r w:rsidR="00DD29A3" w:rsidRPr="00EE43C6">
              <w:rPr>
                <w:rFonts w:cs="Arial"/>
                <w:sz w:val="18"/>
                <w:szCs w:val="18"/>
              </w:rPr>
              <w:t xml:space="preserve"> cause water pollution </w:t>
            </w:r>
            <w:r w:rsidR="00403D20" w:rsidRPr="00EE43C6">
              <w:rPr>
                <w:rFonts w:cs="Arial"/>
                <w:sz w:val="18"/>
                <w:szCs w:val="18"/>
              </w:rPr>
              <w:t xml:space="preserve">within the Project’s AoI </w:t>
            </w:r>
            <w:r w:rsidR="00DD29A3" w:rsidRPr="00EE43C6">
              <w:rPr>
                <w:rFonts w:cs="Arial"/>
                <w:sz w:val="18"/>
                <w:szCs w:val="18"/>
              </w:rPr>
              <w:t>during the life</w:t>
            </w:r>
            <w:r w:rsidR="00BC7BA5" w:rsidRPr="00EE43C6">
              <w:rPr>
                <w:rFonts w:cs="Arial"/>
                <w:sz w:val="18"/>
                <w:szCs w:val="18"/>
              </w:rPr>
              <w:t>time</w:t>
            </w:r>
            <w:r w:rsidR="00DD29A3" w:rsidRPr="00EE43C6">
              <w:rPr>
                <w:rFonts w:cs="Arial"/>
                <w:sz w:val="18"/>
                <w:szCs w:val="18"/>
              </w:rPr>
              <w:t xml:space="preserve"> of the </w:t>
            </w:r>
            <w:r w:rsidR="00B865B3" w:rsidRPr="00EE43C6">
              <w:rPr>
                <w:rFonts w:cs="Arial"/>
                <w:sz w:val="18"/>
                <w:szCs w:val="18"/>
              </w:rPr>
              <w:t>P</w:t>
            </w:r>
            <w:r w:rsidR="00DD29A3" w:rsidRPr="00EE43C6">
              <w:rPr>
                <w:rFonts w:cs="Arial"/>
                <w:sz w:val="18"/>
                <w:szCs w:val="18"/>
              </w:rPr>
              <w:t>roject.</w:t>
            </w:r>
          </w:p>
        </w:tc>
      </w:tr>
      <w:tr w:rsidR="00A61E86" w:rsidRPr="00EE43C6" w14:paraId="52F8B2B2" w14:textId="688066D6" w:rsidTr="00E67C71">
        <w:tc>
          <w:tcPr>
            <w:tcW w:w="1159" w:type="pct"/>
            <w:shd w:val="clear" w:color="auto" w:fill="auto"/>
            <w:vAlign w:val="center"/>
          </w:tcPr>
          <w:p w14:paraId="3FB8FDFA" w14:textId="0288CBD3"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the Monitoring of Surface Waters and Groundwater</w:t>
            </w:r>
          </w:p>
        </w:tc>
        <w:tc>
          <w:tcPr>
            <w:tcW w:w="1263" w:type="pct"/>
            <w:shd w:val="clear" w:color="auto" w:fill="auto"/>
            <w:vAlign w:val="center"/>
          </w:tcPr>
          <w:p w14:paraId="36F43DEE" w14:textId="32B3F4C5" w:rsidR="00A61E86" w:rsidRPr="00EE43C6" w:rsidRDefault="00A61E86" w:rsidP="00A61E86">
            <w:pPr>
              <w:spacing w:before="40" w:after="40" w:line="240" w:lineRule="auto"/>
              <w:jc w:val="left"/>
              <w:rPr>
                <w:rFonts w:cs="MS Gothic"/>
                <w:sz w:val="18"/>
                <w:szCs w:val="18"/>
              </w:rPr>
            </w:pPr>
            <w:r w:rsidRPr="00EE43C6">
              <w:rPr>
                <w:rFonts w:cs="Arial"/>
                <w:sz w:val="18"/>
                <w:szCs w:val="18"/>
              </w:rPr>
              <w:t>OG. No. 28910 dated 11 February 2014</w:t>
            </w:r>
          </w:p>
        </w:tc>
        <w:tc>
          <w:tcPr>
            <w:tcW w:w="2578" w:type="pct"/>
          </w:tcPr>
          <w:p w14:paraId="20F60460" w14:textId="0CDABB2D" w:rsidR="00A61E86" w:rsidRPr="00EE43C6" w:rsidRDefault="008515EB" w:rsidP="00E63FF2">
            <w:pPr>
              <w:spacing w:before="40" w:after="40" w:line="240" w:lineRule="auto"/>
              <w:rPr>
                <w:rFonts w:cs="Arial"/>
                <w:sz w:val="18"/>
                <w:szCs w:val="18"/>
              </w:rPr>
            </w:pPr>
            <w:r w:rsidRPr="00EE43C6">
              <w:rPr>
                <w:rFonts w:cs="Arial"/>
                <w:sz w:val="18"/>
                <w:szCs w:val="18"/>
              </w:rPr>
              <w:t>C</w:t>
            </w:r>
            <w:r w:rsidR="00D11818" w:rsidRPr="00EE43C6">
              <w:rPr>
                <w:rFonts w:cs="Arial"/>
                <w:sz w:val="18"/>
                <w:szCs w:val="18"/>
              </w:rPr>
              <w:t>ompliance with this regulation should be ensured due to the well</w:t>
            </w:r>
            <w:r w:rsidR="003940F1" w:rsidRPr="00EE43C6">
              <w:rPr>
                <w:rFonts w:cs="Arial"/>
                <w:sz w:val="18"/>
                <w:szCs w:val="18"/>
              </w:rPr>
              <w:t>s</w:t>
            </w:r>
            <w:r w:rsidR="00D11818" w:rsidRPr="00EE43C6">
              <w:rPr>
                <w:rFonts w:cs="Arial"/>
                <w:sz w:val="18"/>
                <w:szCs w:val="18"/>
              </w:rPr>
              <w:t xml:space="preserve"> used</w:t>
            </w:r>
            <w:r w:rsidR="003940F1" w:rsidRPr="00EE43C6">
              <w:rPr>
                <w:rFonts w:cs="Arial"/>
                <w:sz w:val="18"/>
                <w:szCs w:val="18"/>
              </w:rPr>
              <w:t xml:space="preserve"> (or </w:t>
            </w:r>
            <w:r w:rsidR="00E87546" w:rsidRPr="00EE43C6">
              <w:rPr>
                <w:rFonts w:cs="Arial"/>
                <w:sz w:val="18"/>
                <w:szCs w:val="18"/>
              </w:rPr>
              <w:t xml:space="preserve">planned </w:t>
            </w:r>
            <w:r w:rsidR="003940F1" w:rsidRPr="00EE43C6">
              <w:rPr>
                <w:rFonts w:cs="Arial"/>
                <w:sz w:val="18"/>
                <w:szCs w:val="18"/>
              </w:rPr>
              <w:t>to be used)</w:t>
            </w:r>
            <w:r w:rsidR="00D11818" w:rsidRPr="00EE43C6">
              <w:rPr>
                <w:rFonts w:cs="Arial"/>
                <w:sz w:val="18"/>
                <w:szCs w:val="18"/>
              </w:rPr>
              <w:t xml:space="preserve"> within the scope of the Project.</w:t>
            </w:r>
          </w:p>
        </w:tc>
      </w:tr>
      <w:tr w:rsidR="00A61E86" w:rsidRPr="00EE43C6" w14:paraId="1C5A54B5" w14:textId="1912882E" w:rsidTr="00E67C71">
        <w:tc>
          <w:tcPr>
            <w:tcW w:w="1159" w:type="pct"/>
            <w:shd w:val="clear" w:color="auto" w:fill="auto"/>
            <w:vAlign w:val="center"/>
          </w:tcPr>
          <w:p w14:paraId="29EC2B56" w14:textId="6B644399"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Water Intended for Human Consumption</w:t>
            </w:r>
          </w:p>
        </w:tc>
        <w:tc>
          <w:tcPr>
            <w:tcW w:w="1263" w:type="pct"/>
            <w:shd w:val="clear" w:color="auto" w:fill="auto"/>
            <w:vAlign w:val="center"/>
          </w:tcPr>
          <w:p w14:paraId="64473F75" w14:textId="6060CC66" w:rsidR="00A61E86" w:rsidRPr="00EE43C6" w:rsidRDefault="00A61E86" w:rsidP="00A61E86">
            <w:pPr>
              <w:spacing w:before="40" w:after="40" w:line="240" w:lineRule="auto"/>
              <w:jc w:val="left"/>
              <w:rPr>
                <w:rFonts w:cs="MS Gothic"/>
                <w:sz w:val="18"/>
                <w:szCs w:val="18"/>
              </w:rPr>
            </w:pPr>
            <w:r w:rsidRPr="00EE43C6">
              <w:rPr>
                <w:rFonts w:cs="Arial"/>
                <w:sz w:val="18"/>
                <w:szCs w:val="18"/>
              </w:rPr>
              <w:t>OG. No. 25730 dated 17 February 2005</w:t>
            </w:r>
          </w:p>
        </w:tc>
        <w:tc>
          <w:tcPr>
            <w:tcW w:w="2578" w:type="pct"/>
          </w:tcPr>
          <w:p w14:paraId="76FF141D" w14:textId="4E19DC14" w:rsidR="00A61E86" w:rsidRPr="00EE43C6" w:rsidRDefault="008515EB" w:rsidP="00B74DAD">
            <w:pPr>
              <w:spacing w:before="40" w:after="40" w:line="240" w:lineRule="auto"/>
              <w:rPr>
                <w:rFonts w:cs="Arial"/>
                <w:sz w:val="16"/>
                <w:szCs w:val="16"/>
              </w:rPr>
            </w:pPr>
            <w:r w:rsidRPr="00EE43C6">
              <w:rPr>
                <w:rFonts w:cs="Arial"/>
                <w:sz w:val="18"/>
                <w:szCs w:val="18"/>
              </w:rPr>
              <w:t>C</w:t>
            </w:r>
            <w:r w:rsidR="00B74DAD" w:rsidRPr="00EE43C6">
              <w:rPr>
                <w:rFonts w:cs="Arial"/>
                <w:sz w:val="18"/>
                <w:szCs w:val="18"/>
              </w:rPr>
              <w:t xml:space="preserve">ompliance with this regulation should be ensured due to </w:t>
            </w:r>
            <w:r w:rsidR="00F377C9" w:rsidRPr="00EE43C6">
              <w:rPr>
                <w:rFonts w:cs="Arial"/>
                <w:sz w:val="18"/>
                <w:szCs w:val="18"/>
              </w:rPr>
              <w:t xml:space="preserve">the </w:t>
            </w:r>
            <w:r w:rsidR="0091523F" w:rsidRPr="00EE43C6">
              <w:rPr>
                <w:rFonts w:cs="Arial"/>
                <w:sz w:val="18"/>
                <w:szCs w:val="18"/>
              </w:rPr>
              <w:t xml:space="preserve">monitoring of the </w:t>
            </w:r>
            <w:r w:rsidR="00F377C9" w:rsidRPr="00EE43C6">
              <w:rPr>
                <w:rFonts w:cs="Arial"/>
                <w:sz w:val="18"/>
                <w:szCs w:val="18"/>
              </w:rPr>
              <w:t xml:space="preserve">suitability </w:t>
            </w:r>
            <w:r w:rsidR="008A1F01" w:rsidRPr="00EE43C6">
              <w:rPr>
                <w:rFonts w:cs="Arial"/>
                <w:sz w:val="18"/>
                <w:szCs w:val="18"/>
              </w:rPr>
              <w:t xml:space="preserve">for human consumption </w:t>
            </w:r>
            <w:r w:rsidR="00F377C9" w:rsidRPr="00EE43C6">
              <w:rPr>
                <w:rFonts w:cs="Arial"/>
                <w:sz w:val="18"/>
                <w:szCs w:val="18"/>
              </w:rPr>
              <w:t xml:space="preserve">of </w:t>
            </w:r>
            <w:r w:rsidR="00B74DAD" w:rsidRPr="00EE43C6">
              <w:rPr>
                <w:rFonts w:cs="Arial"/>
                <w:sz w:val="18"/>
                <w:szCs w:val="18"/>
              </w:rPr>
              <w:t>the well</w:t>
            </w:r>
            <w:r w:rsidR="00E87546" w:rsidRPr="00EE43C6">
              <w:rPr>
                <w:rFonts w:cs="Arial"/>
                <w:sz w:val="18"/>
                <w:szCs w:val="18"/>
              </w:rPr>
              <w:t>s</w:t>
            </w:r>
            <w:r w:rsidR="00B74DAD" w:rsidRPr="00EE43C6">
              <w:rPr>
                <w:rFonts w:cs="Arial"/>
                <w:sz w:val="18"/>
                <w:szCs w:val="18"/>
              </w:rPr>
              <w:t xml:space="preserve"> used </w:t>
            </w:r>
            <w:r w:rsidR="00E87546" w:rsidRPr="00EE43C6">
              <w:rPr>
                <w:rFonts w:cs="Arial"/>
                <w:sz w:val="18"/>
                <w:szCs w:val="18"/>
              </w:rPr>
              <w:t xml:space="preserve">(or planned to be used) </w:t>
            </w:r>
            <w:r w:rsidR="009B2DEA" w:rsidRPr="00EE43C6">
              <w:rPr>
                <w:rFonts w:cs="Arial"/>
                <w:sz w:val="18"/>
                <w:szCs w:val="18"/>
              </w:rPr>
              <w:t xml:space="preserve">and </w:t>
            </w:r>
            <w:r w:rsidR="00C13778" w:rsidRPr="00EE43C6">
              <w:rPr>
                <w:rFonts w:cs="Arial"/>
                <w:sz w:val="18"/>
                <w:szCs w:val="18"/>
              </w:rPr>
              <w:t xml:space="preserve">packaging water </w:t>
            </w:r>
            <w:r w:rsidR="00B74DAD" w:rsidRPr="00EE43C6">
              <w:rPr>
                <w:rFonts w:cs="Arial"/>
                <w:sz w:val="18"/>
                <w:szCs w:val="18"/>
              </w:rPr>
              <w:t>within the scope of the Project</w:t>
            </w:r>
            <w:r w:rsidR="001E228F" w:rsidRPr="00EE43C6">
              <w:rPr>
                <w:rFonts w:cs="Arial"/>
                <w:sz w:val="18"/>
                <w:szCs w:val="18"/>
              </w:rPr>
              <w:t>.</w:t>
            </w:r>
          </w:p>
        </w:tc>
      </w:tr>
      <w:tr w:rsidR="00A61E86" w:rsidRPr="00EE43C6" w14:paraId="66EB8514" w14:textId="32B3A0B6" w:rsidTr="00E67C71">
        <w:tc>
          <w:tcPr>
            <w:tcW w:w="1159" w:type="pct"/>
            <w:shd w:val="clear" w:color="auto" w:fill="auto"/>
            <w:vAlign w:val="center"/>
          </w:tcPr>
          <w:p w14:paraId="1E1BEE91" w14:textId="7F900B63"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Surface Water Quality</w:t>
            </w:r>
          </w:p>
        </w:tc>
        <w:tc>
          <w:tcPr>
            <w:tcW w:w="1263" w:type="pct"/>
            <w:shd w:val="clear" w:color="auto" w:fill="auto"/>
            <w:vAlign w:val="center"/>
          </w:tcPr>
          <w:p w14:paraId="3062BE9A" w14:textId="77777777" w:rsidR="00A61E86" w:rsidRDefault="00A61E86" w:rsidP="00A61E86">
            <w:pPr>
              <w:spacing w:before="40" w:after="40" w:line="240" w:lineRule="auto"/>
              <w:jc w:val="left"/>
              <w:rPr>
                <w:rFonts w:cs="Arial"/>
                <w:sz w:val="18"/>
                <w:szCs w:val="18"/>
              </w:rPr>
            </w:pPr>
            <w:r w:rsidRPr="00EE43C6">
              <w:rPr>
                <w:rFonts w:cs="Arial"/>
                <w:sz w:val="18"/>
                <w:szCs w:val="18"/>
              </w:rPr>
              <w:t>OG. No. 28483 dated 30 November 2012</w:t>
            </w:r>
          </w:p>
          <w:p w14:paraId="309BDFF5" w14:textId="291E816A" w:rsidR="00D64F8F" w:rsidRPr="00EE43C6" w:rsidRDefault="00D64F8F" w:rsidP="00A61E86">
            <w:pPr>
              <w:spacing w:before="40" w:after="40" w:line="240" w:lineRule="auto"/>
              <w:jc w:val="left"/>
              <w:rPr>
                <w:rFonts w:cs="MS Gothic"/>
                <w:sz w:val="18"/>
                <w:szCs w:val="18"/>
              </w:rPr>
            </w:pPr>
            <w:r>
              <w:rPr>
                <w:rFonts w:cs="MS Gothic"/>
                <w:sz w:val="18"/>
                <w:szCs w:val="18"/>
              </w:rPr>
              <w:t>(</w:t>
            </w:r>
            <w:r w:rsidR="008429D6">
              <w:rPr>
                <w:rFonts w:cs="MS Gothic"/>
                <w:sz w:val="18"/>
                <w:szCs w:val="18"/>
              </w:rPr>
              <w:t xml:space="preserve">Last </w:t>
            </w:r>
            <w:r w:rsidR="008429D6" w:rsidRPr="001D6BDD">
              <w:rPr>
                <w:rFonts w:cs="MS Gothic"/>
                <w:sz w:val="18"/>
                <w:szCs w:val="18"/>
              </w:rPr>
              <w:t>amendment</w:t>
            </w:r>
            <w:r w:rsidRPr="00EE43C6">
              <w:rPr>
                <w:rFonts w:cs="MS Gothic"/>
                <w:sz w:val="18"/>
                <w:szCs w:val="18"/>
              </w:rPr>
              <w:t xml:space="preserve"> on 1 </w:t>
            </w:r>
            <w:r w:rsidR="00B765B4">
              <w:rPr>
                <w:rFonts w:cs="MS Gothic"/>
                <w:sz w:val="18"/>
                <w:szCs w:val="18"/>
              </w:rPr>
              <w:t>February</w:t>
            </w:r>
            <w:r w:rsidRPr="00EE43C6">
              <w:rPr>
                <w:rFonts w:cs="MS Gothic"/>
                <w:sz w:val="18"/>
                <w:szCs w:val="18"/>
              </w:rPr>
              <w:t xml:space="preserve"> 202</w:t>
            </w:r>
            <w:r>
              <w:rPr>
                <w:rFonts w:cs="MS Gothic"/>
                <w:sz w:val="18"/>
                <w:szCs w:val="18"/>
              </w:rPr>
              <w:t>3</w:t>
            </w:r>
            <w:r w:rsidRPr="00EE43C6">
              <w:rPr>
                <w:rFonts w:cs="MS Gothic"/>
                <w:sz w:val="18"/>
                <w:szCs w:val="18"/>
              </w:rPr>
              <w:t xml:space="preserve"> with OG. No. 32</w:t>
            </w:r>
            <w:r w:rsidR="00B765B4">
              <w:rPr>
                <w:rFonts w:cs="MS Gothic"/>
                <w:sz w:val="18"/>
                <w:szCs w:val="18"/>
              </w:rPr>
              <w:t>091</w:t>
            </w:r>
            <w:r w:rsidRPr="00EE43C6">
              <w:rPr>
                <w:rFonts w:cs="MS Gothic"/>
                <w:sz w:val="18"/>
                <w:szCs w:val="18"/>
              </w:rPr>
              <w:t>)</w:t>
            </w:r>
          </w:p>
        </w:tc>
        <w:tc>
          <w:tcPr>
            <w:tcW w:w="2578" w:type="pct"/>
          </w:tcPr>
          <w:p w14:paraId="3029297B" w14:textId="491D3D63" w:rsidR="00A61E86" w:rsidRPr="00EE43C6" w:rsidRDefault="008515EB" w:rsidP="00640F68">
            <w:pPr>
              <w:spacing w:before="40" w:after="40" w:line="240" w:lineRule="auto"/>
              <w:rPr>
                <w:rFonts w:cs="Arial"/>
                <w:sz w:val="16"/>
                <w:szCs w:val="16"/>
              </w:rPr>
            </w:pPr>
            <w:r w:rsidRPr="00EE43C6">
              <w:rPr>
                <w:rFonts w:cs="Arial"/>
                <w:sz w:val="18"/>
                <w:szCs w:val="18"/>
              </w:rPr>
              <w:t>D</w:t>
            </w:r>
            <w:r w:rsidR="00EA62D2" w:rsidRPr="00EE43C6">
              <w:rPr>
                <w:rFonts w:cs="Arial"/>
                <w:sz w:val="18"/>
                <w:szCs w:val="18"/>
              </w:rPr>
              <w:t xml:space="preserve">ue to the effluent sourced from </w:t>
            </w:r>
            <w:r w:rsidR="004921B0" w:rsidRPr="00EE43C6">
              <w:rPr>
                <w:rFonts w:cs="Arial"/>
                <w:sz w:val="18"/>
                <w:szCs w:val="18"/>
              </w:rPr>
              <w:t>WWTP of the OIZ</w:t>
            </w:r>
            <w:r w:rsidR="008A61FF" w:rsidRPr="00EE43C6">
              <w:rPr>
                <w:rFonts w:cs="Arial"/>
                <w:sz w:val="18"/>
                <w:szCs w:val="18"/>
              </w:rPr>
              <w:t xml:space="preserve"> (</w:t>
            </w:r>
            <w:r w:rsidR="00EA62D2" w:rsidRPr="00EE43C6">
              <w:rPr>
                <w:rFonts w:cs="Arial"/>
                <w:sz w:val="18"/>
                <w:szCs w:val="18"/>
              </w:rPr>
              <w:t>associated facility</w:t>
            </w:r>
            <w:r w:rsidR="008A61FF" w:rsidRPr="00EE43C6">
              <w:rPr>
                <w:rFonts w:cs="Arial"/>
                <w:sz w:val="18"/>
                <w:szCs w:val="18"/>
              </w:rPr>
              <w:t>)</w:t>
            </w:r>
            <w:r w:rsidR="004C44E0" w:rsidRPr="00EE43C6">
              <w:rPr>
                <w:rFonts w:cs="Arial"/>
                <w:sz w:val="18"/>
                <w:szCs w:val="18"/>
              </w:rPr>
              <w:t xml:space="preserve"> within the Project’s AoI</w:t>
            </w:r>
            <w:r w:rsidR="00715A13" w:rsidRPr="00EE43C6">
              <w:rPr>
                <w:rFonts w:cs="Arial"/>
                <w:sz w:val="18"/>
                <w:szCs w:val="18"/>
              </w:rPr>
              <w:t xml:space="preserve">, it </w:t>
            </w:r>
            <w:r w:rsidR="004921B0" w:rsidRPr="00EE43C6">
              <w:rPr>
                <w:rFonts w:cs="Arial"/>
                <w:sz w:val="18"/>
                <w:szCs w:val="18"/>
              </w:rPr>
              <w:t xml:space="preserve">should </w:t>
            </w:r>
            <w:r w:rsidR="00715A13" w:rsidRPr="00EE43C6">
              <w:rPr>
                <w:rFonts w:cs="Arial"/>
                <w:sz w:val="18"/>
                <w:szCs w:val="18"/>
              </w:rPr>
              <w:t>comply</w:t>
            </w:r>
            <w:r w:rsidR="004921B0" w:rsidRPr="00EE43C6">
              <w:rPr>
                <w:rFonts w:cs="Arial"/>
                <w:sz w:val="18"/>
                <w:szCs w:val="18"/>
              </w:rPr>
              <w:t xml:space="preserve"> the provision of the regulation</w:t>
            </w:r>
            <w:r w:rsidR="00E44096" w:rsidRPr="00EE43C6">
              <w:rPr>
                <w:rFonts w:cs="Arial"/>
                <w:sz w:val="18"/>
                <w:szCs w:val="18"/>
              </w:rPr>
              <w:t>.</w:t>
            </w:r>
          </w:p>
        </w:tc>
      </w:tr>
      <w:tr w:rsidR="00A61E86" w:rsidRPr="00EE43C6" w14:paraId="605D896B" w14:textId="36291279" w:rsidTr="00E67C71">
        <w:tc>
          <w:tcPr>
            <w:tcW w:w="1159" w:type="pct"/>
            <w:shd w:val="clear" w:color="auto" w:fill="auto"/>
            <w:vAlign w:val="center"/>
          </w:tcPr>
          <w:p w14:paraId="1DD733BB" w14:textId="58DDF393"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the Quality and Treatment of Water intended for Potable Water Supply</w:t>
            </w:r>
          </w:p>
        </w:tc>
        <w:tc>
          <w:tcPr>
            <w:tcW w:w="1263" w:type="pct"/>
            <w:shd w:val="clear" w:color="auto" w:fill="auto"/>
            <w:vAlign w:val="center"/>
          </w:tcPr>
          <w:p w14:paraId="63E842F4" w14:textId="74B8AAF1" w:rsidR="00A61E86" w:rsidRPr="00EE43C6" w:rsidRDefault="00A61E86" w:rsidP="00A61E86">
            <w:pPr>
              <w:spacing w:before="40" w:after="40" w:line="240" w:lineRule="auto"/>
              <w:jc w:val="left"/>
              <w:rPr>
                <w:rFonts w:cs="Arial"/>
                <w:sz w:val="18"/>
                <w:szCs w:val="18"/>
              </w:rPr>
            </w:pPr>
            <w:r w:rsidRPr="00EE43C6">
              <w:rPr>
                <w:rFonts w:cs="Arial"/>
                <w:sz w:val="18"/>
                <w:szCs w:val="18"/>
              </w:rPr>
              <w:t>OG. No. 30823 dated 06 July 2019</w:t>
            </w:r>
          </w:p>
        </w:tc>
        <w:tc>
          <w:tcPr>
            <w:tcW w:w="2578" w:type="pct"/>
          </w:tcPr>
          <w:p w14:paraId="60B68E09" w14:textId="59822E61" w:rsidR="00A61E86" w:rsidRPr="00EE43C6" w:rsidRDefault="008515EB" w:rsidP="00115C86">
            <w:pPr>
              <w:spacing w:before="40" w:after="40" w:line="240" w:lineRule="auto"/>
              <w:rPr>
                <w:rFonts w:cs="Arial"/>
                <w:sz w:val="16"/>
                <w:szCs w:val="16"/>
              </w:rPr>
            </w:pPr>
            <w:r w:rsidRPr="00EE43C6">
              <w:rPr>
                <w:rFonts w:cs="Arial"/>
                <w:sz w:val="18"/>
                <w:szCs w:val="18"/>
              </w:rPr>
              <w:t>C</w:t>
            </w:r>
            <w:r w:rsidR="00BF01BF" w:rsidRPr="00EE43C6">
              <w:rPr>
                <w:rFonts w:cs="Arial"/>
                <w:sz w:val="18"/>
                <w:szCs w:val="18"/>
              </w:rPr>
              <w:t xml:space="preserve">ompliance with this regulation should be ensured due to the </w:t>
            </w:r>
            <w:r w:rsidR="007976D9" w:rsidRPr="00EE43C6">
              <w:rPr>
                <w:rFonts w:cs="Arial"/>
                <w:sz w:val="18"/>
                <w:szCs w:val="18"/>
              </w:rPr>
              <w:t>controlling</w:t>
            </w:r>
            <w:r w:rsidR="00BF01BF" w:rsidRPr="00EE43C6">
              <w:rPr>
                <w:rFonts w:cs="Arial"/>
                <w:sz w:val="18"/>
                <w:szCs w:val="18"/>
              </w:rPr>
              <w:t xml:space="preserve"> of the suitability </w:t>
            </w:r>
            <w:r w:rsidR="007976D9" w:rsidRPr="00EE43C6">
              <w:rPr>
                <w:rFonts w:cs="Arial"/>
                <w:sz w:val="18"/>
                <w:szCs w:val="18"/>
              </w:rPr>
              <w:t>as potable water supply</w:t>
            </w:r>
            <w:r w:rsidR="00BF01BF" w:rsidRPr="00EE43C6">
              <w:rPr>
                <w:rFonts w:cs="Arial"/>
                <w:sz w:val="18"/>
                <w:szCs w:val="18"/>
              </w:rPr>
              <w:t xml:space="preserve"> </w:t>
            </w:r>
            <w:r w:rsidR="00626217" w:rsidRPr="00EE43C6">
              <w:rPr>
                <w:rFonts w:cs="Arial"/>
                <w:sz w:val="18"/>
                <w:szCs w:val="18"/>
              </w:rPr>
              <w:t>from</w:t>
            </w:r>
            <w:r w:rsidR="00BF01BF" w:rsidRPr="00EE43C6">
              <w:rPr>
                <w:rFonts w:cs="Arial"/>
                <w:sz w:val="18"/>
                <w:szCs w:val="18"/>
              </w:rPr>
              <w:t xml:space="preserve"> the wells used (or planned to be used) and packaging water within the scope of the Project.</w:t>
            </w:r>
          </w:p>
        </w:tc>
      </w:tr>
      <w:tr w:rsidR="00A61E86" w:rsidRPr="00EE43C6" w14:paraId="25352DC8" w14:textId="5673E68E" w:rsidTr="00E67C71">
        <w:tc>
          <w:tcPr>
            <w:tcW w:w="1159" w:type="pct"/>
            <w:shd w:val="clear" w:color="auto" w:fill="auto"/>
            <w:vAlign w:val="center"/>
          </w:tcPr>
          <w:p w14:paraId="59E79E3B" w14:textId="66B1CF23"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Protection of Drinking-Potable Water Basins</w:t>
            </w:r>
          </w:p>
        </w:tc>
        <w:tc>
          <w:tcPr>
            <w:tcW w:w="1263" w:type="pct"/>
            <w:shd w:val="clear" w:color="auto" w:fill="auto"/>
            <w:vAlign w:val="center"/>
          </w:tcPr>
          <w:p w14:paraId="25AE27AF" w14:textId="6C0369E4" w:rsidR="00A61E86" w:rsidRPr="00EE43C6" w:rsidRDefault="00A61E86" w:rsidP="00A61E86">
            <w:pPr>
              <w:spacing w:before="40" w:after="40" w:line="240" w:lineRule="auto"/>
              <w:jc w:val="left"/>
              <w:rPr>
                <w:rFonts w:cs="Arial"/>
                <w:sz w:val="18"/>
                <w:szCs w:val="18"/>
              </w:rPr>
            </w:pPr>
            <w:r w:rsidRPr="00EE43C6">
              <w:rPr>
                <w:rFonts w:cs="Arial"/>
                <w:sz w:val="18"/>
                <w:szCs w:val="18"/>
              </w:rPr>
              <w:t>OG. No. 30224 dated 28 October 2017</w:t>
            </w:r>
          </w:p>
        </w:tc>
        <w:tc>
          <w:tcPr>
            <w:tcW w:w="2578" w:type="pct"/>
          </w:tcPr>
          <w:p w14:paraId="3760B605" w14:textId="779E4433" w:rsidR="00A61E86" w:rsidRPr="00EE43C6" w:rsidRDefault="008515EB" w:rsidP="00C96C0F">
            <w:pPr>
              <w:spacing w:before="40" w:after="40" w:line="240" w:lineRule="auto"/>
              <w:rPr>
                <w:rFonts w:cs="Arial"/>
                <w:sz w:val="18"/>
                <w:szCs w:val="18"/>
              </w:rPr>
            </w:pPr>
            <w:r w:rsidRPr="00EE43C6">
              <w:rPr>
                <w:rFonts w:cs="Arial"/>
                <w:sz w:val="18"/>
                <w:szCs w:val="18"/>
              </w:rPr>
              <w:t>D</w:t>
            </w:r>
            <w:r w:rsidR="00250C48" w:rsidRPr="00EE43C6">
              <w:rPr>
                <w:rFonts w:cs="Arial"/>
                <w:sz w:val="18"/>
                <w:szCs w:val="18"/>
              </w:rPr>
              <w:t xml:space="preserve">ue to the existence of the wells used (or planned to be used) and the </w:t>
            </w:r>
            <w:r w:rsidR="004710A5" w:rsidRPr="00EE43C6">
              <w:rPr>
                <w:rFonts w:cs="Arial"/>
                <w:sz w:val="18"/>
                <w:szCs w:val="18"/>
              </w:rPr>
              <w:t xml:space="preserve">potential </w:t>
            </w:r>
            <w:r w:rsidR="00250C48" w:rsidRPr="00EE43C6">
              <w:rPr>
                <w:rFonts w:cs="Arial"/>
                <w:sz w:val="18"/>
                <w:szCs w:val="18"/>
              </w:rPr>
              <w:t>impacts of WWTP effluent as an associated facility</w:t>
            </w:r>
            <w:r w:rsidR="00781230" w:rsidRPr="00EE43C6">
              <w:rPr>
                <w:rFonts w:cs="Arial"/>
                <w:sz w:val="18"/>
                <w:szCs w:val="18"/>
              </w:rPr>
              <w:t xml:space="preserve"> within the Project’s AoI</w:t>
            </w:r>
            <w:r w:rsidR="00250C48" w:rsidRPr="00EE43C6">
              <w:rPr>
                <w:rFonts w:cs="Arial"/>
                <w:sz w:val="18"/>
                <w:szCs w:val="18"/>
              </w:rPr>
              <w:t>, the provisions of the regulation should be complied with.</w:t>
            </w:r>
          </w:p>
        </w:tc>
      </w:tr>
      <w:tr w:rsidR="00A61E86" w:rsidRPr="00EE43C6" w14:paraId="7CC2C44B" w14:textId="1433AEE4" w:rsidTr="00E67C71">
        <w:tc>
          <w:tcPr>
            <w:tcW w:w="1159" w:type="pct"/>
            <w:shd w:val="clear" w:color="auto" w:fill="auto"/>
            <w:vAlign w:val="center"/>
          </w:tcPr>
          <w:p w14:paraId="6E18BEE6" w14:textId="68F52C26"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Control of Water Losses in Water Supply and Distribution Systems</w:t>
            </w:r>
          </w:p>
        </w:tc>
        <w:tc>
          <w:tcPr>
            <w:tcW w:w="1263" w:type="pct"/>
            <w:shd w:val="clear" w:color="auto" w:fill="auto"/>
            <w:vAlign w:val="center"/>
          </w:tcPr>
          <w:p w14:paraId="46607058" w14:textId="3214BF1B" w:rsidR="00A61E86" w:rsidRPr="00EE43C6" w:rsidRDefault="00A61E86" w:rsidP="00A61E86">
            <w:pPr>
              <w:spacing w:before="40" w:after="40" w:line="240" w:lineRule="auto"/>
              <w:jc w:val="left"/>
              <w:rPr>
                <w:rFonts w:cs="Arial"/>
                <w:sz w:val="18"/>
                <w:szCs w:val="18"/>
              </w:rPr>
            </w:pPr>
            <w:r w:rsidRPr="00EE43C6">
              <w:rPr>
                <w:rFonts w:cs="Arial"/>
                <w:sz w:val="18"/>
                <w:szCs w:val="18"/>
              </w:rPr>
              <w:t>OG. No. 28994 dated 08 May 2014</w:t>
            </w:r>
          </w:p>
        </w:tc>
        <w:tc>
          <w:tcPr>
            <w:tcW w:w="2578" w:type="pct"/>
          </w:tcPr>
          <w:p w14:paraId="1DC928D6" w14:textId="02EAB924" w:rsidR="00A61E86" w:rsidRPr="00EE43C6" w:rsidRDefault="008515EB" w:rsidP="000657E7">
            <w:pPr>
              <w:spacing w:before="40" w:after="40" w:line="240" w:lineRule="auto"/>
              <w:rPr>
                <w:rFonts w:cs="Arial"/>
                <w:sz w:val="18"/>
                <w:szCs w:val="18"/>
              </w:rPr>
            </w:pPr>
            <w:r w:rsidRPr="00EE43C6">
              <w:rPr>
                <w:rFonts w:cs="Arial"/>
                <w:sz w:val="18"/>
                <w:szCs w:val="18"/>
              </w:rPr>
              <w:t>D</w:t>
            </w:r>
            <w:r w:rsidR="00FD3540" w:rsidRPr="00EE43C6">
              <w:rPr>
                <w:rFonts w:cs="Arial"/>
                <w:sz w:val="18"/>
                <w:szCs w:val="18"/>
              </w:rPr>
              <w:t>ue to the</w:t>
            </w:r>
            <w:r w:rsidR="00193DB9" w:rsidRPr="00EE43C6">
              <w:rPr>
                <w:rFonts w:cs="Arial"/>
                <w:sz w:val="18"/>
                <w:szCs w:val="18"/>
              </w:rPr>
              <w:t xml:space="preserve"> potential</w:t>
            </w:r>
            <w:r w:rsidR="00FD3540" w:rsidRPr="00EE43C6">
              <w:rPr>
                <w:rFonts w:cs="Arial"/>
                <w:sz w:val="18"/>
                <w:szCs w:val="18"/>
              </w:rPr>
              <w:t xml:space="preserve"> </w:t>
            </w:r>
            <w:r w:rsidR="007730E9" w:rsidRPr="00EE43C6">
              <w:rPr>
                <w:rFonts w:cs="Arial"/>
                <w:sz w:val="18"/>
                <w:szCs w:val="18"/>
              </w:rPr>
              <w:t>impacts</w:t>
            </w:r>
            <w:r w:rsidR="00FD3540" w:rsidRPr="00EE43C6">
              <w:rPr>
                <w:rFonts w:cs="Arial"/>
                <w:sz w:val="18"/>
                <w:szCs w:val="18"/>
              </w:rPr>
              <w:t xml:space="preserve"> of the wells used (or planned to be used)</w:t>
            </w:r>
            <w:r w:rsidR="00B57F6B" w:rsidRPr="00EE43C6">
              <w:rPr>
                <w:rFonts w:cs="Arial"/>
                <w:sz w:val="18"/>
                <w:szCs w:val="18"/>
              </w:rPr>
              <w:t xml:space="preserve"> on </w:t>
            </w:r>
            <w:r w:rsidR="00D21AE8" w:rsidRPr="00EE43C6">
              <w:rPr>
                <w:rFonts w:cs="Arial"/>
                <w:sz w:val="18"/>
                <w:szCs w:val="18"/>
              </w:rPr>
              <w:t>groundwater</w:t>
            </w:r>
            <w:r w:rsidR="00781230" w:rsidRPr="00EE43C6">
              <w:rPr>
                <w:rFonts w:cs="Arial"/>
                <w:sz w:val="18"/>
                <w:szCs w:val="18"/>
              </w:rPr>
              <w:t xml:space="preserve"> within the Project’s AoI</w:t>
            </w:r>
            <w:r w:rsidR="00FD3540" w:rsidRPr="00EE43C6">
              <w:rPr>
                <w:rFonts w:cs="Arial"/>
                <w:sz w:val="18"/>
                <w:szCs w:val="18"/>
              </w:rPr>
              <w:t>, the provisions of the regulation should be complied with.</w:t>
            </w:r>
          </w:p>
        </w:tc>
      </w:tr>
      <w:tr w:rsidR="00A61E86" w:rsidRPr="00EE43C6" w14:paraId="2E7923A1" w14:textId="49306292" w:rsidTr="00E67C71">
        <w:tc>
          <w:tcPr>
            <w:tcW w:w="1159" w:type="pct"/>
            <w:shd w:val="clear" w:color="auto" w:fill="auto"/>
            <w:vAlign w:val="center"/>
          </w:tcPr>
          <w:p w14:paraId="5E269A43" w14:textId="16375673"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the Protection of Water Against Agricultural Nitrate Pollution</w:t>
            </w:r>
          </w:p>
        </w:tc>
        <w:tc>
          <w:tcPr>
            <w:tcW w:w="1263" w:type="pct"/>
            <w:shd w:val="clear" w:color="auto" w:fill="auto"/>
            <w:vAlign w:val="center"/>
          </w:tcPr>
          <w:p w14:paraId="09F8F26E" w14:textId="3482C43C" w:rsidR="00A61E86" w:rsidRPr="00EE43C6" w:rsidRDefault="00A61E86" w:rsidP="00A61E86">
            <w:pPr>
              <w:spacing w:before="40" w:after="40" w:line="240" w:lineRule="auto"/>
              <w:jc w:val="left"/>
              <w:rPr>
                <w:rFonts w:cs="Arial"/>
                <w:sz w:val="18"/>
                <w:szCs w:val="18"/>
              </w:rPr>
            </w:pPr>
            <w:r w:rsidRPr="00EE43C6">
              <w:rPr>
                <w:rFonts w:cs="Arial"/>
                <w:sz w:val="18"/>
                <w:szCs w:val="18"/>
              </w:rPr>
              <w:t>OG. No. 29779 dated 23 July 2016</w:t>
            </w:r>
          </w:p>
        </w:tc>
        <w:tc>
          <w:tcPr>
            <w:tcW w:w="2578" w:type="pct"/>
          </w:tcPr>
          <w:p w14:paraId="60426A28" w14:textId="5658FB4D" w:rsidR="00A61E86" w:rsidRPr="00EE43C6" w:rsidRDefault="008515EB" w:rsidP="00193DB9">
            <w:pPr>
              <w:spacing w:before="40" w:after="40" w:line="240" w:lineRule="auto"/>
              <w:rPr>
                <w:rFonts w:cs="Arial"/>
                <w:sz w:val="18"/>
                <w:szCs w:val="18"/>
              </w:rPr>
            </w:pPr>
            <w:r w:rsidRPr="00EE43C6">
              <w:rPr>
                <w:rFonts w:cs="Arial"/>
                <w:sz w:val="18"/>
                <w:szCs w:val="18"/>
              </w:rPr>
              <w:t>D</w:t>
            </w:r>
            <w:r w:rsidR="00193DB9" w:rsidRPr="00EE43C6">
              <w:rPr>
                <w:rFonts w:cs="Arial"/>
                <w:sz w:val="18"/>
                <w:szCs w:val="18"/>
              </w:rPr>
              <w:t>ue to the potential impacts of WWTP effluent as an associated facility</w:t>
            </w:r>
            <w:r w:rsidR="00781230" w:rsidRPr="00EE43C6">
              <w:rPr>
                <w:rFonts w:cs="Arial"/>
                <w:sz w:val="18"/>
                <w:szCs w:val="18"/>
              </w:rPr>
              <w:t xml:space="preserve"> within the Project’s AoI</w:t>
            </w:r>
            <w:r w:rsidR="00193DB9" w:rsidRPr="00EE43C6">
              <w:rPr>
                <w:rFonts w:cs="Arial"/>
                <w:sz w:val="18"/>
                <w:szCs w:val="18"/>
              </w:rPr>
              <w:t>, the provisions of the regulation should be complied with.</w:t>
            </w:r>
          </w:p>
        </w:tc>
      </w:tr>
      <w:tr w:rsidR="00A61E86" w:rsidRPr="00EE43C6" w14:paraId="4CB7A815" w14:textId="6EEF68AE" w:rsidTr="00E67C71">
        <w:tc>
          <w:tcPr>
            <w:tcW w:w="1159" w:type="pct"/>
            <w:shd w:val="clear" w:color="auto" w:fill="auto"/>
            <w:vAlign w:val="center"/>
          </w:tcPr>
          <w:p w14:paraId="20B0F632" w14:textId="001E2069"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the Control of Pollution caused by Hazardous Materials in and around Water Sources</w:t>
            </w:r>
          </w:p>
        </w:tc>
        <w:tc>
          <w:tcPr>
            <w:tcW w:w="1263" w:type="pct"/>
            <w:shd w:val="clear" w:color="auto" w:fill="auto"/>
            <w:vAlign w:val="center"/>
          </w:tcPr>
          <w:p w14:paraId="3FE19902" w14:textId="167C0E11" w:rsidR="00A61E86" w:rsidRPr="00EE43C6" w:rsidRDefault="00A61E86" w:rsidP="00A61E86">
            <w:pPr>
              <w:spacing w:before="40" w:after="40" w:line="240" w:lineRule="auto"/>
              <w:jc w:val="left"/>
              <w:rPr>
                <w:rFonts w:cs="Arial"/>
                <w:sz w:val="18"/>
                <w:szCs w:val="18"/>
              </w:rPr>
            </w:pPr>
            <w:r w:rsidRPr="00EE43C6">
              <w:rPr>
                <w:rFonts w:cs="Arial"/>
                <w:sz w:val="18"/>
                <w:szCs w:val="18"/>
              </w:rPr>
              <w:t>OG. No. 26005 dated 26 November 2005</w:t>
            </w:r>
          </w:p>
        </w:tc>
        <w:tc>
          <w:tcPr>
            <w:tcW w:w="2578" w:type="pct"/>
          </w:tcPr>
          <w:p w14:paraId="718FC77B" w14:textId="67F674FD" w:rsidR="00A61E86" w:rsidRPr="00EE43C6" w:rsidRDefault="008515EB" w:rsidP="001958D1">
            <w:pPr>
              <w:spacing w:before="40" w:after="40" w:line="240" w:lineRule="auto"/>
              <w:rPr>
                <w:rFonts w:cs="Arial"/>
                <w:sz w:val="16"/>
                <w:szCs w:val="16"/>
              </w:rPr>
            </w:pPr>
            <w:r w:rsidRPr="00EE43C6">
              <w:rPr>
                <w:rFonts w:cs="Arial"/>
                <w:sz w:val="18"/>
                <w:szCs w:val="18"/>
              </w:rPr>
              <w:t>T</w:t>
            </w:r>
            <w:r w:rsidR="003B45A2" w:rsidRPr="00EE43C6">
              <w:rPr>
                <w:rFonts w:cs="Arial"/>
                <w:sz w:val="18"/>
                <w:szCs w:val="18"/>
              </w:rPr>
              <w:t xml:space="preserve">he Project is subject to the regulation due to the impacts on the water and its surroundings that may occur </w:t>
            </w:r>
            <w:r w:rsidR="00686301" w:rsidRPr="00EE43C6">
              <w:rPr>
                <w:rFonts w:cs="Arial"/>
                <w:sz w:val="18"/>
                <w:szCs w:val="18"/>
              </w:rPr>
              <w:t xml:space="preserve">during </w:t>
            </w:r>
            <w:r w:rsidR="003B45A2" w:rsidRPr="00EE43C6">
              <w:rPr>
                <w:rFonts w:cs="Arial"/>
                <w:sz w:val="18"/>
                <w:szCs w:val="18"/>
              </w:rPr>
              <w:t xml:space="preserve">the </w:t>
            </w:r>
            <w:r w:rsidR="00686301" w:rsidRPr="00EE43C6">
              <w:rPr>
                <w:rFonts w:cs="Arial"/>
                <w:sz w:val="18"/>
                <w:szCs w:val="18"/>
              </w:rPr>
              <w:t xml:space="preserve">Project lifetime </w:t>
            </w:r>
            <w:r w:rsidR="003B45A2" w:rsidRPr="00EE43C6">
              <w:rPr>
                <w:rFonts w:cs="Arial"/>
                <w:sz w:val="18"/>
                <w:szCs w:val="18"/>
              </w:rPr>
              <w:t>activities</w:t>
            </w:r>
            <w:r w:rsidR="00781230" w:rsidRPr="00EE43C6">
              <w:rPr>
                <w:rFonts w:cs="Arial"/>
                <w:sz w:val="18"/>
                <w:szCs w:val="18"/>
              </w:rPr>
              <w:t xml:space="preserve"> within the Project’s AoI</w:t>
            </w:r>
            <w:r w:rsidR="003B45A2" w:rsidRPr="00EE43C6">
              <w:rPr>
                <w:rFonts w:cs="Arial"/>
                <w:sz w:val="18"/>
                <w:szCs w:val="18"/>
              </w:rPr>
              <w:t>.</w:t>
            </w:r>
          </w:p>
        </w:tc>
      </w:tr>
      <w:tr w:rsidR="00A61E86" w:rsidRPr="00EE43C6" w14:paraId="49A6EB2B" w14:textId="33E4A5A8" w:rsidTr="00E67C71">
        <w:tc>
          <w:tcPr>
            <w:tcW w:w="1159" w:type="pct"/>
            <w:shd w:val="clear" w:color="auto" w:fill="auto"/>
            <w:vAlign w:val="center"/>
          </w:tcPr>
          <w:p w14:paraId="26080D84" w14:textId="189DB8D1" w:rsidR="00A61E86" w:rsidRPr="00EE43C6" w:rsidRDefault="00A61E86" w:rsidP="00A61E86">
            <w:pPr>
              <w:spacing w:before="40" w:after="40" w:line="240" w:lineRule="auto"/>
              <w:jc w:val="left"/>
              <w:rPr>
                <w:rFonts w:cs="Arial"/>
                <w:sz w:val="18"/>
                <w:szCs w:val="18"/>
              </w:rPr>
            </w:pPr>
            <w:r w:rsidRPr="00EE43C6">
              <w:rPr>
                <w:rFonts w:cs="Arial"/>
                <w:sz w:val="18"/>
                <w:szCs w:val="18"/>
              </w:rPr>
              <w:t xml:space="preserve">Regulation on Protection of Groundwater Against </w:t>
            </w:r>
            <w:r w:rsidRPr="00EE43C6">
              <w:rPr>
                <w:rFonts w:cs="Arial"/>
                <w:sz w:val="18"/>
                <w:szCs w:val="18"/>
              </w:rPr>
              <w:lastRenderedPageBreak/>
              <w:t>Pollution and Deterioration</w:t>
            </w:r>
          </w:p>
        </w:tc>
        <w:tc>
          <w:tcPr>
            <w:tcW w:w="1263" w:type="pct"/>
            <w:shd w:val="clear" w:color="auto" w:fill="auto"/>
            <w:vAlign w:val="center"/>
          </w:tcPr>
          <w:p w14:paraId="4FE30E5B" w14:textId="77777777" w:rsidR="00A61E86" w:rsidRDefault="00A61E86" w:rsidP="00A61E86">
            <w:pPr>
              <w:spacing w:before="40" w:after="40" w:line="240" w:lineRule="auto"/>
              <w:jc w:val="left"/>
              <w:rPr>
                <w:rFonts w:cs="Arial"/>
                <w:sz w:val="18"/>
                <w:szCs w:val="18"/>
              </w:rPr>
            </w:pPr>
            <w:r w:rsidRPr="00EE43C6">
              <w:rPr>
                <w:rFonts w:cs="Arial"/>
                <w:sz w:val="18"/>
                <w:szCs w:val="18"/>
              </w:rPr>
              <w:lastRenderedPageBreak/>
              <w:t>OG. No. 28257 dated 07 April 2012</w:t>
            </w:r>
          </w:p>
          <w:p w14:paraId="1DFB382D" w14:textId="4DCCFA68" w:rsidR="006A7113" w:rsidRPr="00EE43C6" w:rsidRDefault="006A7113" w:rsidP="00A61E86">
            <w:pPr>
              <w:spacing w:before="40" w:after="40" w:line="240" w:lineRule="auto"/>
              <w:jc w:val="left"/>
              <w:rPr>
                <w:rFonts w:cs="Arial"/>
                <w:sz w:val="18"/>
                <w:szCs w:val="18"/>
              </w:rPr>
            </w:pPr>
            <w:r>
              <w:rPr>
                <w:rFonts w:cs="MS Gothic"/>
                <w:sz w:val="18"/>
                <w:szCs w:val="18"/>
              </w:rPr>
              <w:lastRenderedPageBreak/>
              <w:t>(</w:t>
            </w:r>
            <w:r w:rsidR="008429D6">
              <w:rPr>
                <w:rFonts w:cs="MS Gothic"/>
                <w:sz w:val="18"/>
                <w:szCs w:val="18"/>
              </w:rPr>
              <w:t xml:space="preserve">Last </w:t>
            </w:r>
            <w:r w:rsidR="008429D6" w:rsidRPr="001D6BDD">
              <w:rPr>
                <w:rFonts w:cs="MS Gothic"/>
                <w:sz w:val="18"/>
                <w:szCs w:val="18"/>
              </w:rPr>
              <w:t>amendment</w:t>
            </w:r>
            <w:r w:rsidRPr="00EE43C6">
              <w:rPr>
                <w:rFonts w:cs="MS Gothic"/>
                <w:sz w:val="18"/>
                <w:szCs w:val="18"/>
              </w:rPr>
              <w:t xml:space="preserve"> on 1</w:t>
            </w:r>
            <w:r>
              <w:rPr>
                <w:rFonts w:cs="MS Gothic"/>
                <w:sz w:val="18"/>
                <w:szCs w:val="18"/>
              </w:rPr>
              <w:t>2</w:t>
            </w:r>
            <w:r w:rsidRPr="00EE43C6">
              <w:rPr>
                <w:rFonts w:cs="MS Gothic"/>
                <w:sz w:val="18"/>
                <w:szCs w:val="18"/>
              </w:rPr>
              <w:t xml:space="preserve"> </w:t>
            </w:r>
            <w:r>
              <w:rPr>
                <w:rFonts w:cs="MS Gothic"/>
                <w:sz w:val="18"/>
                <w:szCs w:val="18"/>
              </w:rPr>
              <w:t>May</w:t>
            </w:r>
            <w:r w:rsidRPr="00EE43C6">
              <w:rPr>
                <w:rFonts w:cs="MS Gothic"/>
                <w:sz w:val="18"/>
                <w:szCs w:val="18"/>
              </w:rPr>
              <w:t xml:space="preserve"> 202</w:t>
            </w:r>
            <w:r>
              <w:rPr>
                <w:rFonts w:cs="MS Gothic"/>
                <w:sz w:val="18"/>
                <w:szCs w:val="18"/>
              </w:rPr>
              <w:t>3</w:t>
            </w:r>
            <w:r w:rsidRPr="00EE43C6">
              <w:rPr>
                <w:rFonts w:cs="MS Gothic"/>
                <w:sz w:val="18"/>
                <w:szCs w:val="18"/>
              </w:rPr>
              <w:t xml:space="preserve"> with OG. No. 32</w:t>
            </w:r>
            <w:r>
              <w:rPr>
                <w:rFonts w:cs="MS Gothic"/>
                <w:sz w:val="18"/>
                <w:szCs w:val="18"/>
              </w:rPr>
              <w:t>188</w:t>
            </w:r>
            <w:r w:rsidRPr="00EE43C6">
              <w:rPr>
                <w:rFonts w:cs="MS Gothic"/>
                <w:sz w:val="18"/>
                <w:szCs w:val="18"/>
              </w:rPr>
              <w:t>)</w:t>
            </w:r>
          </w:p>
        </w:tc>
        <w:tc>
          <w:tcPr>
            <w:tcW w:w="2578" w:type="pct"/>
          </w:tcPr>
          <w:p w14:paraId="65B3EE21" w14:textId="29F7B83C" w:rsidR="00A61E86" w:rsidRPr="00EE43C6" w:rsidRDefault="008515EB" w:rsidP="00EF2725">
            <w:pPr>
              <w:spacing w:before="40" w:after="40" w:line="240" w:lineRule="auto"/>
              <w:rPr>
                <w:rFonts w:cs="Arial"/>
                <w:sz w:val="16"/>
                <w:szCs w:val="16"/>
              </w:rPr>
            </w:pPr>
            <w:r w:rsidRPr="00EE43C6">
              <w:rPr>
                <w:rFonts w:cs="Arial"/>
                <w:sz w:val="18"/>
                <w:szCs w:val="18"/>
              </w:rPr>
              <w:lastRenderedPageBreak/>
              <w:t>D</w:t>
            </w:r>
            <w:r w:rsidR="00C73D7C" w:rsidRPr="00EE43C6">
              <w:rPr>
                <w:rFonts w:cs="Arial"/>
                <w:sz w:val="18"/>
                <w:szCs w:val="18"/>
              </w:rPr>
              <w:t xml:space="preserve">ue to the </w:t>
            </w:r>
            <w:r w:rsidR="004710A5" w:rsidRPr="00EE43C6">
              <w:rPr>
                <w:rFonts w:cs="Arial"/>
                <w:sz w:val="18"/>
                <w:szCs w:val="18"/>
              </w:rPr>
              <w:t xml:space="preserve">potential </w:t>
            </w:r>
            <w:r w:rsidR="00C73D7C" w:rsidRPr="00EE43C6">
              <w:rPr>
                <w:rFonts w:cs="Arial"/>
                <w:sz w:val="18"/>
                <w:szCs w:val="18"/>
              </w:rPr>
              <w:t>impacts of WWTP</w:t>
            </w:r>
            <w:r w:rsidR="00A633D3" w:rsidRPr="00EE43C6">
              <w:rPr>
                <w:rFonts w:cs="Arial"/>
                <w:sz w:val="18"/>
                <w:szCs w:val="18"/>
              </w:rPr>
              <w:t>’s</w:t>
            </w:r>
            <w:r w:rsidR="00C73D7C" w:rsidRPr="00EE43C6">
              <w:rPr>
                <w:rFonts w:cs="Arial"/>
                <w:sz w:val="18"/>
                <w:szCs w:val="18"/>
              </w:rPr>
              <w:t xml:space="preserve"> </w:t>
            </w:r>
            <w:r w:rsidR="00C159D3" w:rsidRPr="00EE43C6">
              <w:rPr>
                <w:rFonts w:cs="Arial"/>
                <w:sz w:val="18"/>
                <w:szCs w:val="18"/>
              </w:rPr>
              <w:t xml:space="preserve">(associated facility) </w:t>
            </w:r>
            <w:r w:rsidR="00C73D7C" w:rsidRPr="00EE43C6">
              <w:rPr>
                <w:rFonts w:cs="Arial"/>
                <w:sz w:val="18"/>
                <w:szCs w:val="18"/>
              </w:rPr>
              <w:t xml:space="preserve">effluent </w:t>
            </w:r>
            <w:r w:rsidR="00C159D3" w:rsidRPr="00EE43C6">
              <w:rPr>
                <w:rFonts w:cs="Arial"/>
                <w:sz w:val="18"/>
                <w:szCs w:val="18"/>
              </w:rPr>
              <w:t>to the groundwater</w:t>
            </w:r>
            <w:r w:rsidR="0083313C" w:rsidRPr="00EE43C6">
              <w:rPr>
                <w:rFonts w:cs="Arial"/>
                <w:sz w:val="18"/>
                <w:szCs w:val="18"/>
              </w:rPr>
              <w:t xml:space="preserve"> within the Project’s AoI</w:t>
            </w:r>
            <w:r w:rsidR="00C73D7C" w:rsidRPr="00EE43C6">
              <w:rPr>
                <w:rFonts w:cs="Arial"/>
                <w:sz w:val="18"/>
                <w:szCs w:val="18"/>
              </w:rPr>
              <w:t>, the provisions of the regulation should be complied with.</w:t>
            </w:r>
          </w:p>
        </w:tc>
      </w:tr>
      <w:tr w:rsidR="00A61E86" w:rsidRPr="00EE43C6" w14:paraId="0FF542F8" w14:textId="0063909A" w:rsidTr="00E67C71">
        <w:tc>
          <w:tcPr>
            <w:tcW w:w="1159" w:type="pct"/>
            <w:shd w:val="clear" w:color="auto" w:fill="auto"/>
            <w:vAlign w:val="center"/>
          </w:tcPr>
          <w:p w14:paraId="6B6F32B0" w14:textId="7D52376A"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the Procedures and Principles to be Followed in Setting the Tariffs for Wastewater Infrastructure and Municipal Solid Waste Disposal Facilities</w:t>
            </w:r>
          </w:p>
        </w:tc>
        <w:tc>
          <w:tcPr>
            <w:tcW w:w="1263" w:type="pct"/>
            <w:shd w:val="clear" w:color="auto" w:fill="auto"/>
            <w:vAlign w:val="center"/>
          </w:tcPr>
          <w:p w14:paraId="23F88439" w14:textId="1009CBC9" w:rsidR="00A61E86" w:rsidRPr="00EE43C6" w:rsidRDefault="00A61E86" w:rsidP="00A61E86">
            <w:pPr>
              <w:spacing w:before="40" w:after="40" w:line="240" w:lineRule="auto"/>
              <w:jc w:val="left"/>
              <w:rPr>
                <w:rFonts w:cs="Arial"/>
                <w:sz w:val="18"/>
                <w:szCs w:val="18"/>
              </w:rPr>
            </w:pPr>
            <w:r w:rsidRPr="00EE43C6">
              <w:rPr>
                <w:rFonts w:cs="Arial"/>
                <w:sz w:val="18"/>
                <w:szCs w:val="18"/>
              </w:rPr>
              <w:t>OG. No. 27742 dated 27 October 2010</w:t>
            </w:r>
          </w:p>
        </w:tc>
        <w:tc>
          <w:tcPr>
            <w:tcW w:w="2578" w:type="pct"/>
          </w:tcPr>
          <w:p w14:paraId="06AF06CA" w14:textId="4ADFD36E" w:rsidR="00A61E86" w:rsidRPr="00EE43C6" w:rsidRDefault="008515EB" w:rsidP="003A75FF">
            <w:pPr>
              <w:spacing w:before="40" w:after="40" w:line="240" w:lineRule="auto"/>
              <w:rPr>
                <w:rFonts w:cs="Arial"/>
                <w:sz w:val="16"/>
                <w:szCs w:val="16"/>
              </w:rPr>
            </w:pPr>
            <w:r w:rsidRPr="00EE43C6">
              <w:rPr>
                <w:rFonts w:cs="Arial"/>
                <w:sz w:val="18"/>
                <w:szCs w:val="18"/>
              </w:rPr>
              <w:t>D</w:t>
            </w:r>
            <w:r w:rsidR="009C2210" w:rsidRPr="00EE43C6">
              <w:rPr>
                <w:rFonts w:cs="Arial"/>
                <w:sz w:val="18"/>
                <w:szCs w:val="18"/>
              </w:rPr>
              <w:t xml:space="preserve">ue to the existence of WWTP’s (associated facility), </w:t>
            </w:r>
            <w:r w:rsidR="0083313C" w:rsidRPr="00EE43C6">
              <w:rPr>
                <w:rFonts w:cs="Arial"/>
                <w:sz w:val="18"/>
                <w:szCs w:val="18"/>
              </w:rPr>
              <w:t xml:space="preserve">within the Project’s AoI, </w:t>
            </w:r>
            <w:r w:rsidR="009C2210" w:rsidRPr="00EE43C6">
              <w:rPr>
                <w:rFonts w:cs="Arial"/>
                <w:sz w:val="18"/>
                <w:szCs w:val="18"/>
              </w:rPr>
              <w:t>the provisions of the regulation should be complied with</w:t>
            </w:r>
            <w:r w:rsidR="0083313C" w:rsidRPr="00EE43C6">
              <w:rPr>
                <w:rFonts w:cs="Arial"/>
                <w:sz w:val="18"/>
                <w:szCs w:val="18"/>
              </w:rPr>
              <w:t>.</w:t>
            </w:r>
          </w:p>
        </w:tc>
      </w:tr>
      <w:tr w:rsidR="00A61E86" w:rsidRPr="00EE43C6" w14:paraId="77DF220B" w14:textId="03A4389F" w:rsidTr="00E67C71">
        <w:tc>
          <w:tcPr>
            <w:tcW w:w="1159" w:type="pct"/>
            <w:shd w:val="clear" w:color="auto" w:fill="auto"/>
            <w:vAlign w:val="center"/>
          </w:tcPr>
          <w:p w14:paraId="3A602414" w14:textId="64CC0357"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Wastewater Collection and Disposal Systems</w:t>
            </w:r>
          </w:p>
        </w:tc>
        <w:tc>
          <w:tcPr>
            <w:tcW w:w="1263" w:type="pct"/>
            <w:shd w:val="clear" w:color="auto" w:fill="auto"/>
            <w:vAlign w:val="center"/>
          </w:tcPr>
          <w:p w14:paraId="1554F8F2" w14:textId="55790922" w:rsidR="00A61E86" w:rsidRPr="00EE43C6" w:rsidRDefault="00A61E86" w:rsidP="00A61E86">
            <w:pPr>
              <w:spacing w:before="40" w:after="40" w:line="240" w:lineRule="auto"/>
              <w:jc w:val="left"/>
              <w:rPr>
                <w:rFonts w:cs="Arial"/>
                <w:sz w:val="18"/>
                <w:szCs w:val="18"/>
              </w:rPr>
            </w:pPr>
            <w:r w:rsidRPr="00EE43C6">
              <w:rPr>
                <w:rFonts w:cs="Arial"/>
                <w:sz w:val="18"/>
                <w:szCs w:val="18"/>
              </w:rPr>
              <w:t>OG. No. 29940 dated 06 January 2017</w:t>
            </w:r>
          </w:p>
        </w:tc>
        <w:tc>
          <w:tcPr>
            <w:tcW w:w="2578" w:type="pct"/>
          </w:tcPr>
          <w:p w14:paraId="4E1CE752" w14:textId="3D3FEB82" w:rsidR="00A61E86" w:rsidRPr="00EE43C6" w:rsidRDefault="008515EB" w:rsidP="00E5282D">
            <w:pPr>
              <w:spacing w:before="40" w:after="40" w:line="240" w:lineRule="auto"/>
              <w:rPr>
                <w:rFonts w:cs="Arial"/>
                <w:sz w:val="16"/>
                <w:szCs w:val="16"/>
              </w:rPr>
            </w:pPr>
            <w:r w:rsidRPr="00EE43C6">
              <w:rPr>
                <w:rFonts w:cs="Arial"/>
                <w:sz w:val="18"/>
                <w:szCs w:val="18"/>
              </w:rPr>
              <w:t>D</w:t>
            </w:r>
            <w:r w:rsidR="00E5282D" w:rsidRPr="00EE43C6">
              <w:rPr>
                <w:rFonts w:cs="Arial"/>
                <w:sz w:val="18"/>
                <w:szCs w:val="18"/>
              </w:rPr>
              <w:t xml:space="preserve">ue to the existence of WWTP’s (associated facility), </w:t>
            </w:r>
            <w:r w:rsidR="0083313C" w:rsidRPr="00EE43C6">
              <w:rPr>
                <w:rFonts w:cs="Arial"/>
                <w:sz w:val="18"/>
                <w:szCs w:val="18"/>
              </w:rPr>
              <w:t xml:space="preserve">within the Project’s AoI, </w:t>
            </w:r>
            <w:r w:rsidR="00E5282D" w:rsidRPr="00EE43C6">
              <w:rPr>
                <w:rFonts w:cs="Arial"/>
                <w:sz w:val="18"/>
                <w:szCs w:val="18"/>
              </w:rPr>
              <w:t>the provisions of the regulation should be complied with.</w:t>
            </w:r>
          </w:p>
        </w:tc>
      </w:tr>
      <w:tr w:rsidR="00A61E86" w:rsidRPr="00EE43C6" w14:paraId="076B755B" w14:textId="5A34E7A6" w:rsidTr="00E67C71">
        <w:tc>
          <w:tcPr>
            <w:tcW w:w="1159" w:type="pct"/>
            <w:shd w:val="clear" w:color="auto" w:fill="auto"/>
            <w:vAlign w:val="center"/>
          </w:tcPr>
          <w:p w14:paraId="3A078C5E" w14:textId="4CF80051"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Preparation, Implementation and Following up Flood Management Plans</w:t>
            </w:r>
          </w:p>
        </w:tc>
        <w:tc>
          <w:tcPr>
            <w:tcW w:w="1263" w:type="pct"/>
            <w:shd w:val="clear" w:color="auto" w:fill="auto"/>
            <w:vAlign w:val="center"/>
          </w:tcPr>
          <w:p w14:paraId="4EA0BC7A" w14:textId="5AA4880D" w:rsidR="00A61E86" w:rsidRPr="00EE43C6" w:rsidRDefault="00A61E86" w:rsidP="00A61E86">
            <w:pPr>
              <w:spacing w:before="40" w:after="40" w:line="240" w:lineRule="auto"/>
              <w:jc w:val="left"/>
              <w:rPr>
                <w:rFonts w:cs="Arial"/>
                <w:sz w:val="18"/>
                <w:szCs w:val="18"/>
              </w:rPr>
            </w:pPr>
            <w:r w:rsidRPr="00EE43C6">
              <w:rPr>
                <w:rFonts w:cs="Arial"/>
                <w:sz w:val="18"/>
                <w:szCs w:val="18"/>
              </w:rPr>
              <w:t>OG. No. 29710 dated 12 May 2016</w:t>
            </w:r>
          </w:p>
        </w:tc>
        <w:tc>
          <w:tcPr>
            <w:tcW w:w="2578" w:type="pct"/>
          </w:tcPr>
          <w:p w14:paraId="3AA7A8AA" w14:textId="0C7FC760" w:rsidR="00A61E86" w:rsidRPr="00EE43C6" w:rsidRDefault="008515EB" w:rsidP="00F63456">
            <w:pPr>
              <w:spacing w:before="40" w:after="40" w:line="240" w:lineRule="auto"/>
              <w:rPr>
                <w:rFonts w:cs="Arial"/>
                <w:sz w:val="18"/>
                <w:szCs w:val="18"/>
              </w:rPr>
            </w:pPr>
            <w:r w:rsidRPr="00EE43C6">
              <w:rPr>
                <w:rFonts w:cs="Arial"/>
                <w:sz w:val="18"/>
                <w:szCs w:val="18"/>
              </w:rPr>
              <w:t>T</w:t>
            </w:r>
            <w:r w:rsidR="006A359D" w:rsidRPr="00EE43C6">
              <w:rPr>
                <w:rFonts w:cs="Arial"/>
                <w:sz w:val="18"/>
                <w:szCs w:val="18"/>
              </w:rPr>
              <w:t xml:space="preserve">he Project as a basic infrastructure project </w:t>
            </w:r>
            <w:r w:rsidR="007907FF" w:rsidRPr="00EE43C6">
              <w:rPr>
                <w:rFonts w:cs="Arial"/>
                <w:sz w:val="18"/>
                <w:szCs w:val="18"/>
              </w:rPr>
              <w:t xml:space="preserve">with stormwater management </w:t>
            </w:r>
            <w:r w:rsidR="006A359D" w:rsidRPr="00EE43C6">
              <w:rPr>
                <w:rFonts w:cs="Arial"/>
                <w:sz w:val="18"/>
                <w:szCs w:val="18"/>
              </w:rPr>
              <w:t>should comply with the provisions of the regulation in order to reduce the flood risk</w:t>
            </w:r>
            <w:r w:rsidR="00712CE4" w:rsidRPr="00EE43C6">
              <w:rPr>
                <w:rFonts w:cs="Arial"/>
                <w:sz w:val="18"/>
                <w:szCs w:val="18"/>
              </w:rPr>
              <w:t xml:space="preserve"> </w:t>
            </w:r>
            <w:r w:rsidR="00D219B1" w:rsidRPr="00EE43C6">
              <w:rPr>
                <w:rFonts w:cs="Arial"/>
                <w:sz w:val="18"/>
                <w:szCs w:val="18"/>
              </w:rPr>
              <w:t>with</w:t>
            </w:r>
            <w:r w:rsidR="00712CE4" w:rsidRPr="00EE43C6">
              <w:rPr>
                <w:rFonts w:cs="Arial"/>
                <w:sz w:val="18"/>
                <w:szCs w:val="18"/>
              </w:rPr>
              <w:t xml:space="preserve">in the </w:t>
            </w:r>
            <w:r w:rsidR="00D219B1" w:rsidRPr="00EE43C6">
              <w:rPr>
                <w:rFonts w:cs="Arial"/>
                <w:sz w:val="18"/>
                <w:szCs w:val="18"/>
              </w:rPr>
              <w:t>Project’s AoI</w:t>
            </w:r>
            <w:r w:rsidR="006A359D" w:rsidRPr="00EE43C6">
              <w:rPr>
                <w:rFonts w:cs="Arial"/>
                <w:sz w:val="18"/>
                <w:szCs w:val="18"/>
              </w:rPr>
              <w:t>.</w:t>
            </w:r>
          </w:p>
        </w:tc>
      </w:tr>
      <w:tr w:rsidR="00A61E86" w:rsidRPr="00EE43C6" w14:paraId="789C1ABC" w14:textId="4CFE6809" w:rsidTr="00E67C71">
        <w:tc>
          <w:tcPr>
            <w:tcW w:w="1159" w:type="pct"/>
            <w:shd w:val="clear" w:color="auto" w:fill="auto"/>
            <w:vAlign w:val="center"/>
          </w:tcPr>
          <w:p w14:paraId="538AFC28" w14:textId="300E2192"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the Control of Flood and Sedimentation</w:t>
            </w:r>
          </w:p>
        </w:tc>
        <w:tc>
          <w:tcPr>
            <w:tcW w:w="1263" w:type="pct"/>
            <w:shd w:val="clear" w:color="auto" w:fill="auto"/>
            <w:vAlign w:val="center"/>
          </w:tcPr>
          <w:p w14:paraId="15F87B3A" w14:textId="4468DB8D" w:rsidR="00A61E86" w:rsidRPr="00EE43C6" w:rsidRDefault="00A61E86" w:rsidP="00A61E86">
            <w:pPr>
              <w:spacing w:before="40" w:after="40" w:line="240" w:lineRule="auto"/>
              <w:jc w:val="left"/>
              <w:rPr>
                <w:rFonts w:cs="Arial"/>
                <w:sz w:val="18"/>
                <w:szCs w:val="18"/>
              </w:rPr>
            </w:pPr>
            <w:r w:rsidRPr="00EE43C6">
              <w:rPr>
                <w:rFonts w:cs="Arial"/>
                <w:sz w:val="18"/>
                <w:szCs w:val="18"/>
              </w:rPr>
              <w:t>OG. No. 30763 dated 03 May 2019</w:t>
            </w:r>
          </w:p>
        </w:tc>
        <w:tc>
          <w:tcPr>
            <w:tcW w:w="2578" w:type="pct"/>
          </w:tcPr>
          <w:p w14:paraId="56E9F8C9" w14:textId="351F1DE0" w:rsidR="00A61E86" w:rsidRPr="00EE43C6" w:rsidRDefault="008515EB" w:rsidP="00F63456">
            <w:pPr>
              <w:spacing w:before="40" w:after="40" w:line="240" w:lineRule="auto"/>
              <w:rPr>
                <w:rFonts w:cs="Arial"/>
                <w:sz w:val="18"/>
                <w:szCs w:val="18"/>
              </w:rPr>
            </w:pPr>
            <w:r w:rsidRPr="00EE43C6">
              <w:rPr>
                <w:rFonts w:cs="Arial"/>
                <w:sz w:val="18"/>
                <w:szCs w:val="18"/>
              </w:rPr>
              <w:t>T</w:t>
            </w:r>
            <w:r w:rsidR="001F3049" w:rsidRPr="00EE43C6">
              <w:rPr>
                <w:rFonts w:cs="Arial"/>
                <w:sz w:val="18"/>
                <w:szCs w:val="18"/>
              </w:rPr>
              <w:t xml:space="preserve">he Project as a basic infrastructure project </w:t>
            </w:r>
            <w:r w:rsidR="00316CDA" w:rsidRPr="00EE43C6">
              <w:rPr>
                <w:rFonts w:cs="Arial"/>
                <w:sz w:val="18"/>
                <w:szCs w:val="18"/>
              </w:rPr>
              <w:t xml:space="preserve">with stormwater management </w:t>
            </w:r>
            <w:r w:rsidR="00D219B1" w:rsidRPr="00EE43C6">
              <w:rPr>
                <w:rFonts w:cs="Arial"/>
                <w:sz w:val="18"/>
                <w:szCs w:val="18"/>
              </w:rPr>
              <w:t xml:space="preserve">within the Project’s AoI </w:t>
            </w:r>
            <w:r w:rsidR="001F3049" w:rsidRPr="00EE43C6">
              <w:rPr>
                <w:rFonts w:cs="Arial"/>
                <w:sz w:val="18"/>
                <w:szCs w:val="18"/>
              </w:rPr>
              <w:t>should comply with the provisions of the regulation</w:t>
            </w:r>
            <w:r w:rsidR="00316CDA" w:rsidRPr="00EE43C6">
              <w:rPr>
                <w:rFonts w:cs="Arial"/>
                <w:sz w:val="18"/>
                <w:szCs w:val="18"/>
              </w:rPr>
              <w:t>.</w:t>
            </w:r>
          </w:p>
        </w:tc>
      </w:tr>
      <w:tr w:rsidR="00A61E86" w:rsidRPr="00EE43C6" w14:paraId="00F1C28F" w14:textId="68FA16DA" w:rsidTr="00E67C71">
        <w:tc>
          <w:tcPr>
            <w:tcW w:w="2422" w:type="pct"/>
            <w:gridSpan w:val="2"/>
            <w:shd w:val="clear" w:color="auto" w:fill="DBE5F1" w:themeFill="accent1" w:themeFillTint="33"/>
            <w:vAlign w:val="center"/>
          </w:tcPr>
          <w:p w14:paraId="50705821" w14:textId="00823714" w:rsidR="00A61E86" w:rsidRPr="00EE43C6" w:rsidRDefault="00A61E86" w:rsidP="00A61E86">
            <w:pPr>
              <w:spacing w:before="40" w:after="40" w:line="240" w:lineRule="auto"/>
              <w:jc w:val="left"/>
              <w:rPr>
                <w:rFonts w:cs="MS Gothic"/>
                <w:b/>
                <w:sz w:val="18"/>
                <w:szCs w:val="18"/>
              </w:rPr>
            </w:pPr>
            <w:r w:rsidRPr="00EE43C6">
              <w:rPr>
                <w:rFonts w:cs="Arial"/>
                <w:b/>
                <w:bCs/>
                <w:sz w:val="18"/>
                <w:szCs w:val="18"/>
              </w:rPr>
              <w:t>Air</w:t>
            </w:r>
          </w:p>
        </w:tc>
        <w:tc>
          <w:tcPr>
            <w:tcW w:w="2578" w:type="pct"/>
            <w:shd w:val="clear" w:color="auto" w:fill="DBE5F1" w:themeFill="accent1" w:themeFillTint="33"/>
          </w:tcPr>
          <w:p w14:paraId="5D4B8F3F" w14:textId="1A937F02" w:rsidR="00A61E86" w:rsidRPr="00EE43C6" w:rsidRDefault="00A61E86" w:rsidP="00A61E86">
            <w:pPr>
              <w:spacing w:before="40" w:after="40" w:line="240" w:lineRule="auto"/>
              <w:jc w:val="left"/>
              <w:rPr>
                <w:rFonts w:cs="Arial"/>
                <w:b/>
                <w:bCs/>
                <w:sz w:val="18"/>
                <w:szCs w:val="18"/>
              </w:rPr>
            </w:pPr>
            <w:r w:rsidRPr="00EE43C6">
              <w:rPr>
                <w:rFonts w:cs="Arial"/>
                <w:b/>
                <w:bCs/>
                <w:sz w:val="18"/>
                <w:szCs w:val="18"/>
              </w:rPr>
              <w:t>Relevancy/Implications for the Project</w:t>
            </w:r>
          </w:p>
        </w:tc>
      </w:tr>
      <w:tr w:rsidR="00A61E86" w:rsidRPr="00EE43C6" w14:paraId="5B8E66C2" w14:textId="36C34CDD" w:rsidTr="00E67C71">
        <w:tc>
          <w:tcPr>
            <w:tcW w:w="1159" w:type="pct"/>
            <w:tcBorders>
              <w:bottom w:val="single" w:sz="4" w:space="0" w:color="auto"/>
            </w:tcBorders>
            <w:shd w:val="clear" w:color="auto" w:fill="auto"/>
            <w:vAlign w:val="center"/>
          </w:tcPr>
          <w:p w14:paraId="55C18FE3" w14:textId="41754C70"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Air Quality Assessment and Management</w:t>
            </w:r>
          </w:p>
        </w:tc>
        <w:tc>
          <w:tcPr>
            <w:tcW w:w="1263" w:type="pct"/>
            <w:tcBorders>
              <w:bottom w:val="single" w:sz="4" w:space="0" w:color="auto"/>
            </w:tcBorders>
            <w:shd w:val="clear" w:color="auto" w:fill="auto"/>
            <w:vAlign w:val="center"/>
          </w:tcPr>
          <w:p w14:paraId="7DB9CA2F" w14:textId="41FD041D" w:rsidR="00A61E86" w:rsidRPr="00EE43C6" w:rsidRDefault="00A61E86" w:rsidP="00A61E86">
            <w:pPr>
              <w:spacing w:before="40" w:after="40" w:line="240" w:lineRule="auto"/>
              <w:jc w:val="left"/>
              <w:rPr>
                <w:rFonts w:cs="MS Gothic"/>
                <w:sz w:val="18"/>
                <w:szCs w:val="18"/>
              </w:rPr>
            </w:pPr>
            <w:r w:rsidRPr="00EE43C6">
              <w:rPr>
                <w:rFonts w:cs="Arial"/>
                <w:sz w:val="18"/>
                <w:szCs w:val="18"/>
              </w:rPr>
              <w:t>OG. No. 26898 dated 06 June 2008</w:t>
            </w:r>
          </w:p>
        </w:tc>
        <w:tc>
          <w:tcPr>
            <w:tcW w:w="2578" w:type="pct"/>
            <w:tcBorders>
              <w:bottom w:val="single" w:sz="4" w:space="0" w:color="auto"/>
            </w:tcBorders>
          </w:tcPr>
          <w:p w14:paraId="7D68801D" w14:textId="7F203E00" w:rsidR="00A61E86" w:rsidRPr="00EE43C6" w:rsidRDefault="008515EB" w:rsidP="00F63456">
            <w:pPr>
              <w:spacing w:before="40" w:after="40" w:line="240" w:lineRule="auto"/>
              <w:rPr>
                <w:rFonts w:cs="Arial"/>
                <w:sz w:val="18"/>
                <w:szCs w:val="18"/>
              </w:rPr>
            </w:pPr>
            <w:r w:rsidRPr="00EE43C6">
              <w:rPr>
                <w:rFonts w:cs="Arial"/>
                <w:sz w:val="18"/>
                <w:szCs w:val="18"/>
              </w:rPr>
              <w:t>The</w:t>
            </w:r>
            <w:r w:rsidR="00D25CF4" w:rsidRPr="00EE43C6">
              <w:rPr>
                <w:rFonts w:cs="Arial"/>
                <w:sz w:val="18"/>
                <w:szCs w:val="18"/>
              </w:rPr>
              <w:t xml:space="preserve"> Project is subject to this regulation due to activities that may </w:t>
            </w:r>
            <w:r w:rsidR="006574D2" w:rsidRPr="00EE43C6">
              <w:rPr>
                <w:rFonts w:cs="Arial"/>
                <w:sz w:val="18"/>
                <w:szCs w:val="18"/>
              </w:rPr>
              <w:t xml:space="preserve">cause </w:t>
            </w:r>
            <w:r w:rsidR="00A6241A" w:rsidRPr="00EE43C6">
              <w:rPr>
                <w:rFonts w:cs="Arial"/>
                <w:sz w:val="18"/>
                <w:szCs w:val="18"/>
              </w:rPr>
              <w:t xml:space="preserve">the deterioration of the </w:t>
            </w:r>
            <w:r w:rsidR="00D25CF4" w:rsidRPr="00EE43C6">
              <w:rPr>
                <w:rFonts w:cs="Arial"/>
                <w:sz w:val="18"/>
                <w:szCs w:val="18"/>
              </w:rPr>
              <w:t xml:space="preserve">air </w:t>
            </w:r>
            <w:r w:rsidR="006574D2" w:rsidRPr="00EE43C6">
              <w:rPr>
                <w:rFonts w:cs="Arial"/>
                <w:sz w:val="18"/>
                <w:szCs w:val="18"/>
              </w:rPr>
              <w:t xml:space="preserve">quality </w:t>
            </w:r>
            <w:r w:rsidR="00D25CF4" w:rsidRPr="00EE43C6">
              <w:rPr>
                <w:rFonts w:cs="Arial"/>
                <w:sz w:val="18"/>
                <w:szCs w:val="18"/>
              </w:rPr>
              <w:t xml:space="preserve">during </w:t>
            </w:r>
            <w:r w:rsidR="00CE005C" w:rsidRPr="00EE43C6">
              <w:rPr>
                <w:rFonts w:cs="Arial"/>
                <w:sz w:val="18"/>
                <w:szCs w:val="18"/>
              </w:rPr>
              <w:t xml:space="preserve">the lifetime of the Project, </w:t>
            </w:r>
            <w:r w:rsidR="00A6241A" w:rsidRPr="00EE43C6">
              <w:rPr>
                <w:rFonts w:cs="Arial"/>
                <w:sz w:val="18"/>
                <w:szCs w:val="18"/>
              </w:rPr>
              <w:t xml:space="preserve">especially the construction phase </w:t>
            </w:r>
            <w:r w:rsidR="00D25CF4" w:rsidRPr="00EE43C6">
              <w:rPr>
                <w:rFonts w:cs="Arial"/>
                <w:sz w:val="18"/>
                <w:szCs w:val="18"/>
              </w:rPr>
              <w:t>of the Project</w:t>
            </w:r>
            <w:r w:rsidR="00093764" w:rsidRPr="00EE43C6">
              <w:rPr>
                <w:rFonts w:cs="Arial"/>
                <w:sz w:val="18"/>
                <w:szCs w:val="18"/>
              </w:rPr>
              <w:t xml:space="preserve"> within the Project’s AoI</w:t>
            </w:r>
            <w:r w:rsidR="00D25CF4" w:rsidRPr="00EE43C6">
              <w:rPr>
                <w:rFonts w:cs="Arial"/>
                <w:sz w:val="18"/>
                <w:szCs w:val="18"/>
              </w:rPr>
              <w:t>.</w:t>
            </w:r>
          </w:p>
        </w:tc>
      </w:tr>
      <w:tr w:rsidR="00A61E86" w:rsidRPr="00EE43C6" w14:paraId="2BEA9459" w14:textId="2D07E3D4" w:rsidTr="00E67C71">
        <w:tc>
          <w:tcPr>
            <w:tcW w:w="1159" w:type="pct"/>
            <w:tcBorders>
              <w:bottom w:val="single" w:sz="4" w:space="0" w:color="auto"/>
            </w:tcBorders>
            <w:shd w:val="clear" w:color="auto" w:fill="auto"/>
            <w:vAlign w:val="center"/>
          </w:tcPr>
          <w:p w14:paraId="0108F9B8" w14:textId="0BA77B2B" w:rsidR="00A61E86" w:rsidRPr="00EE43C6" w:rsidRDefault="00A61E86" w:rsidP="00A61E86">
            <w:pPr>
              <w:spacing w:before="40" w:after="40" w:line="240" w:lineRule="auto"/>
              <w:jc w:val="left"/>
              <w:rPr>
                <w:rFonts w:cs="MS Gothic"/>
                <w:sz w:val="18"/>
                <w:szCs w:val="18"/>
              </w:rPr>
            </w:pPr>
            <w:r w:rsidRPr="00EE43C6">
              <w:rPr>
                <w:sz w:val="18"/>
                <w:szCs w:val="18"/>
                <w:lang w:eastAsia="tr-TR"/>
              </w:rPr>
              <w:t>Regulation on Control of Exhaust Gas Emission</w:t>
            </w:r>
          </w:p>
        </w:tc>
        <w:tc>
          <w:tcPr>
            <w:tcW w:w="1263" w:type="pct"/>
            <w:tcBorders>
              <w:bottom w:val="single" w:sz="4" w:space="0" w:color="auto"/>
            </w:tcBorders>
            <w:shd w:val="clear" w:color="auto" w:fill="auto"/>
            <w:vAlign w:val="center"/>
          </w:tcPr>
          <w:p w14:paraId="5060C822" w14:textId="76F3AF7F" w:rsidR="00A61E86" w:rsidRPr="00EE43C6" w:rsidRDefault="00A61E86" w:rsidP="00A61E86">
            <w:pPr>
              <w:spacing w:before="40" w:after="40" w:line="240" w:lineRule="auto"/>
              <w:jc w:val="left"/>
              <w:rPr>
                <w:rFonts w:cs="MS Gothic"/>
                <w:sz w:val="18"/>
                <w:szCs w:val="18"/>
              </w:rPr>
            </w:pPr>
            <w:r w:rsidRPr="00EE43C6">
              <w:rPr>
                <w:rFonts w:cs="Arial"/>
                <w:sz w:val="18"/>
                <w:szCs w:val="18"/>
              </w:rPr>
              <w:t xml:space="preserve">OG. </w:t>
            </w:r>
            <w:r w:rsidRPr="00EE43C6">
              <w:rPr>
                <w:iCs/>
                <w:sz w:val="18"/>
                <w:szCs w:val="18"/>
              </w:rPr>
              <w:t xml:space="preserve">No. </w:t>
            </w:r>
            <w:r w:rsidRPr="00EE43C6">
              <w:rPr>
                <w:rFonts w:cs="Arial"/>
                <w:sz w:val="18"/>
                <w:szCs w:val="18"/>
              </w:rPr>
              <w:t>30004</w:t>
            </w:r>
            <w:r w:rsidRPr="00EE43C6">
              <w:rPr>
                <w:iCs/>
                <w:sz w:val="18"/>
                <w:szCs w:val="18"/>
              </w:rPr>
              <w:t xml:space="preserve"> dated </w:t>
            </w:r>
            <w:r w:rsidRPr="00EE43C6">
              <w:rPr>
                <w:rFonts w:cs="Arial"/>
                <w:sz w:val="18"/>
                <w:szCs w:val="18"/>
              </w:rPr>
              <w:t>11 March 2017</w:t>
            </w:r>
          </w:p>
        </w:tc>
        <w:tc>
          <w:tcPr>
            <w:tcW w:w="2578" w:type="pct"/>
            <w:tcBorders>
              <w:bottom w:val="single" w:sz="4" w:space="0" w:color="auto"/>
            </w:tcBorders>
          </w:tcPr>
          <w:p w14:paraId="22BC0945" w14:textId="16AFEB5C" w:rsidR="00A61E86" w:rsidRPr="00EE43C6" w:rsidRDefault="008515EB" w:rsidP="00F63456">
            <w:pPr>
              <w:spacing w:before="40" w:after="40" w:line="240" w:lineRule="auto"/>
              <w:rPr>
                <w:rFonts w:cs="Arial"/>
                <w:sz w:val="18"/>
                <w:szCs w:val="18"/>
              </w:rPr>
            </w:pPr>
            <w:r w:rsidRPr="00EE43C6">
              <w:rPr>
                <w:rFonts w:cs="Arial"/>
                <w:sz w:val="18"/>
                <w:szCs w:val="18"/>
              </w:rPr>
              <w:t>T</w:t>
            </w:r>
            <w:r w:rsidR="00C14EA9" w:rsidRPr="00EE43C6">
              <w:rPr>
                <w:rFonts w:cs="Arial"/>
                <w:sz w:val="18"/>
                <w:szCs w:val="18"/>
              </w:rPr>
              <w:t>he Project is subject to th</w:t>
            </w:r>
            <w:r w:rsidR="00CE005C" w:rsidRPr="00EE43C6">
              <w:rPr>
                <w:rFonts w:cs="Arial"/>
                <w:sz w:val="18"/>
                <w:szCs w:val="18"/>
              </w:rPr>
              <w:t>e</w:t>
            </w:r>
            <w:r w:rsidR="00C14EA9" w:rsidRPr="00EE43C6">
              <w:rPr>
                <w:rFonts w:cs="Arial"/>
                <w:sz w:val="18"/>
                <w:szCs w:val="18"/>
              </w:rPr>
              <w:t xml:space="preserve"> regulation due to activities </w:t>
            </w:r>
            <w:r w:rsidR="00945A0D" w:rsidRPr="00EE43C6">
              <w:rPr>
                <w:rFonts w:cs="Arial"/>
                <w:sz w:val="18"/>
                <w:szCs w:val="18"/>
              </w:rPr>
              <w:t xml:space="preserve">sourced from vehicles </w:t>
            </w:r>
            <w:r w:rsidR="00C14EA9" w:rsidRPr="00EE43C6">
              <w:rPr>
                <w:rFonts w:cs="Arial"/>
                <w:sz w:val="18"/>
                <w:szCs w:val="18"/>
              </w:rPr>
              <w:t xml:space="preserve">that may cause </w:t>
            </w:r>
            <w:r w:rsidR="00CE005C" w:rsidRPr="00EE43C6">
              <w:rPr>
                <w:rFonts w:cs="Arial"/>
                <w:sz w:val="18"/>
                <w:szCs w:val="18"/>
              </w:rPr>
              <w:t>gas</w:t>
            </w:r>
            <w:r w:rsidR="00C14EA9" w:rsidRPr="00EE43C6">
              <w:rPr>
                <w:rFonts w:cs="Arial"/>
                <w:sz w:val="18"/>
                <w:szCs w:val="18"/>
              </w:rPr>
              <w:t xml:space="preserve"> </w:t>
            </w:r>
            <w:r w:rsidR="00CE005C" w:rsidRPr="00EE43C6">
              <w:rPr>
                <w:rFonts w:cs="Arial"/>
                <w:sz w:val="18"/>
                <w:szCs w:val="18"/>
              </w:rPr>
              <w:t>emissions</w:t>
            </w:r>
            <w:r w:rsidR="00C14EA9" w:rsidRPr="00EE43C6">
              <w:rPr>
                <w:rFonts w:cs="Arial"/>
                <w:sz w:val="18"/>
                <w:szCs w:val="18"/>
              </w:rPr>
              <w:t xml:space="preserve"> during the lifetime of the Project</w:t>
            </w:r>
            <w:r w:rsidR="006264C5" w:rsidRPr="00EE43C6">
              <w:rPr>
                <w:rFonts w:cs="Arial"/>
                <w:sz w:val="18"/>
                <w:szCs w:val="18"/>
              </w:rPr>
              <w:t xml:space="preserve"> within the Project’s AoI</w:t>
            </w:r>
            <w:r w:rsidR="00C14EA9" w:rsidRPr="00EE43C6">
              <w:rPr>
                <w:rFonts w:cs="Arial"/>
                <w:sz w:val="18"/>
                <w:szCs w:val="18"/>
              </w:rPr>
              <w:t>.</w:t>
            </w:r>
          </w:p>
        </w:tc>
      </w:tr>
      <w:tr w:rsidR="00A61E86" w:rsidRPr="00EE43C6" w14:paraId="5BAED9BC" w14:textId="22BC59F6" w:rsidTr="00E67C71">
        <w:tc>
          <w:tcPr>
            <w:tcW w:w="1159" w:type="pct"/>
            <w:tcBorders>
              <w:bottom w:val="single" w:sz="4" w:space="0" w:color="auto"/>
            </w:tcBorders>
            <w:shd w:val="clear" w:color="auto" w:fill="auto"/>
            <w:vAlign w:val="center"/>
          </w:tcPr>
          <w:p w14:paraId="12EF2317" w14:textId="780B09B2" w:rsidR="00A61E86" w:rsidRPr="00EE43C6" w:rsidRDefault="00A61E86" w:rsidP="00A61E86">
            <w:pPr>
              <w:spacing w:before="40" w:after="40" w:line="240" w:lineRule="auto"/>
              <w:jc w:val="left"/>
              <w:rPr>
                <w:sz w:val="18"/>
                <w:szCs w:val="18"/>
                <w:lang w:eastAsia="tr-TR"/>
              </w:rPr>
            </w:pPr>
            <w:r w:rsidRPr="00EE43C6">
              <w:rPr>
                <w:sz w:val="18"/>
                <w:szCs w:val="18"/>
                <w:lang w:eastAsia="tr-TR"/>
              </w:rPr>
              <w:t>Regulation on Control of Industrial Air Pollution</w:t>
            </w:r>
          </w:p>
        </w:tc>
        <w:tc>
          <w:tcPr>
            <w:tcW w:w="1263" w:type="pct"/>
            <w:tcBorders>
              <w:bottom w:val="single" w:sz="4" w:space="0" w:color="auto"/>
            </w:tcBorders>
            <w:shd w:val="clear" w:color="auto" w:fill="auto"/>
            <w:vAlign w:val="center"/>
          </w:tcPr>
          <w:p w14:paraId="7B21D32A" w14:textId="3555CFF0" w:rsidR="00A61E86" w:rsidRPr="00EE43C6" w:rsidRDefault="00A61E86" w:rsidP="00A61E86">
            <w:pPr>
              <w:spacing w:before="40" w:after="40" w:line="240" w:lineRule="auto"/>
              <w:jc w:val="left"/>
              <w:rPr>
                <w:rFonts w:cs="Arial"/>
                <w:sz w:val="18"/>
                <w:szCs w:val="18"/>
              </w:rPr>
            </w:pPr>
            <w:r w:rsidRPr="00EE43C6">
              <w:rPr>
                <w:rFonts w:cs="Arial"/>
                <w:sz w:val="18"/>
                <w:szCs w:val="18"/>
              </w:rPr>
              <w:t xml:space="preserve">OG. </w:t>
            </w:r>
            <w:r w:rsidRPr="00EE43C6">
              <w:rPr>
                <w:iCs/>
                <w:sz w:val="18"/>
                <w:szCs w:val="18"/>
              </w:rPr>
              <w:t xml:space="preserve">No. </w:t>
            </w:r>
            <w:r w:rsidRPr="00EE43C6">
              <w:rPr>
                <w:rFonts w:cs="Arial"/>
                <w:sz w:val="18"/>
                <w:szCs w:val="18"/>
              </w:rPr>
              <w:t>27277</w:t>
            </w:r>
            <w:r w:rsidRPr="00EE43C6">
              <w:rPr>
                <w:iCs/>
                <w:sz w:val="18"/>
                <w:szCs w:val="18"/>
              </w:rPr>
              <w:t xml:space="preserve"> dated 03</w:t>
            </w:r>
            <w:r w:rsidRPr="00EE43C6">
              <w:rPr>
                <w:rFonts w:cs="Arial"/>
                <w:sz w:val="18"/>
                <w:szCs w:val="18"/>
              </w:rPr>
              <w:t xml:space="preserve"> July 2009</w:t>
            </w:r>
          </w:p>
        </w:tc>
        <w:tc>
          <w:tcPr>
            <w:tcW w:w="2578" w:type="pct"/>
            <w:tcBorders>
              <w:bottom w:val="single" w:sz="4" w:space="0" w:color="auto"/>
            </w:tcBorders>
          </w:tcPr>
          <w:p w14:paraId="2ED3E731" w14:textId="396FF3D5" w:rsidR="00A61E86" w:rsidRPr="00EE43C6" w:rsidRDefault="008515EB" w:rsidP="00F63456">
            <w:pPr>
              <w:spacing w:before="40" w:after="40" w:line="240" w:lineRule="auto"/>
              <w:rPr>
                <w:rFonts w:cs="Arial"/>
                <w:sz w:val="18"/>
                <w:szCs w:val="18"/>
              </w:rPr>
            </w:pPr>
            <w:r w:rsidRPr="00EE43C6">
              <w:rPr>
                <w:rFonts w:cs="Arial"/>
                <w:sz w:val="18"/>
                <w:szCs w:val="18"/>
              </w:rPr>
              <w:t>The</w:t>
            </w:r>
            <w:r w:rsidR="0023445F" w:rsidRPr="00EE43C6">
              <w:rPr>
                <w:rFonts w:cs="Arial"/>
                <w:sz w:val="18"/>
                <w:szCs w:val="18"/>
              </w:rPr>
              <w:t xml:space="preserve"> Project is subject to the regulation due to activities that may cause air pollution during the lifetime of the Project</w:t>
            </w:r>
            <w:r w:rsidR="006D354E" w:rsidRPr="00EE43C6">
              <w:rPr>
                <w:rFonts w:cs="Arial"/>
                <w:sz w:val="18"/>
                <w:szCs w:val="18"/>
              </w:rPr>
              <w:t>, especially the construction phase of the Project</w:t>
            </w:r>
            <w:r w:rsidR="001D4A31" w:rsidRPr="00EE43C6">
              <w:rPr>
                <w:rFonts w:cs="Arial"/>
                <w:sz w:val="18"/>
                <w:szCs w:val="18"/>
              </w:rPr>
              <w:t xml:space="preserve"> within the Project’s AoI</w:t>
            </w:r>
            <w:r w:rsidR="006D354E" w:rsidRPr="00EE43C6">
              <w:rPr>
                <w:rFonts w:cs="Arial"/>
                <w:sz w:val="18"/>
                <w:szCs w:val="18"/>
              </w:rPr>
              <w:t>.</w:t>
            </w:r>
          </w:p>
        </w:tc>
      </w:tr>
      <w:tr w:rsidR="00C3417C" w:rsidRPr="00EE43C6" w14:paraId="225C0B4E" w14:textId="77777777" w:rsidTr="00E67C71">
        <w:tc>
          <w:tcPr>
            <w:tcW w:w="2422" w:type="pct"/>
            <w:gridSpan w:val="2"/>
            <w:shd w:val="clear" w:color="auto" w:fill="DBE5F1" w:themeFill="accent1" w:themeFillTint="33"/>
            <w:vAlign w:val="center"/>
          </w:tcPr>
          <w:p w14:paraId="231A1151" w14:textId="08CFDA4D" w:rsidR="00C3417C" w:rsidRPr="00EE43C6" w:rsidRDefault="00C3417C">
            <w:pPr>
              <w:spacing w:before="40" w:after="40" w:line="240" w:lineRule="auto"/>
              <w:jc w:val="left"/>
              <w:rPr>
                <w:rFonts w:cs="MS Gothic"/>
                <w:b/>
                <w:sz w:val="18"/>
                <w:szCs w:val="18"/>
              </w:rPr>
            </w:pPr>
            <w:r>
              <w:rPr>
                <w:rFonts w:cs="Arial"/>
                <w:b/>
                <w:bCs/>
                <w:sz w:val="18"/>
                <w:szCs w:val="18"/>
              </w:rPr>
              <w:t>Odour</w:t>
            </w:r>
          </w:p>
        </w:tc>
        <w:tc>
          <w:tcPr>
            <w:tcW w:w="2578" w:type="pct"/>
            <w:shd w:val="clear" w:color="auto" w:fill="DBE5F1" w:themeFill="accent1" w:themeFillTint="33"/>
          </w:tcPr>
          <w:p w14:paraId="3A1713B6" w14:textId="77777777" w:rsidR="00C3417C" w:rsidRPr="00EE43C6" w:rsidRDefault="00C3417C">
            <w:pPr>
              <w:spacing w:before="40" w:after="40" w:line="240" w:lineRule="auto"/>
              <w:rPr>
                <w:rFonts w:cs="Arial"/>
                <w:b/>
                <w:bCs/>
                <w:sz w:val="16"/>
                <w:szCs w:val="16"/>
              </w:rPr>
            </w:pPr>
            <w:r w:rsidRPr="00EE43C6">
              <w:rPr>
                <w:rFonts w:cs="Arial"/>
                <w:b/>
                <w:bCs/>
                <w:sz w:val="18"/>
                <w:szCs w:val="18"/>
              </w:rPr>
              <w:t>Relevancy/Implications for the Project</w:t>
            </w:r>
          </w:p>
        </w:tc>
      </w:tr>
      <w:tr w:rsidR="00A649C3" w:rsidRPr="00EE43C6" w14:paraId="41E4BE89" w14:textId="77777777" w:rsidTr="00E67C71">
        <w:tc>
          <w:tcPr>
            <w:tcW w:w="1159" w:type="pct"/>
            <w:tcBorders>
              <w:bottom w:val="single" w:sz="4" w:space="0" w:color="auto"/>
            </w:tcBorders>
            <w:shd w:val="clear" w:color="auto" w:fill="auto"/>
            <w:vAlign w:val="center"/>
          </w:tcPr>
          <w:p w14:paraId="612BC86D" w14:textId="027D0BB8" w:rsidR="00A649C3" w:rsidRPr="00EE43C6" w:rsidRDefault="00A649C3" w:rsidP="00A61E86">
            <w:pPr>
              <w:spacing w:before="40" w:after="40" w:line="240" w:lineRule="auto"/>
              <w:jc w:val="left"/>
              <w:rPr>
                <w:sz w:val="18"/>
                <w:szCs w:val="18"/>
                <w:lang w:eastAsia="tr-TR"/>
              </w:rPr>
            </w:pPr>
            <w:r w:rsidRPr="00A649C3">
              <w:rPr>
                <w:sz w:val="18"/>
                <w:szCs w:val="18"/>
                <w:lang w:eastAsia="tr-TR"/>
              </w:rPr>
              <w:t>Regulation on the Control of Odour-Creating Emissions</w:t>
            </w:r>
          </w:p>
        </w:tc>
        <w:tc>
          <w:tcPr>
            <w:tcW w:w="1263" w:type="pct"/>
            <w:tcBorders>
              <w:bottom w:val="single" w:sz="4" w:space="0" w:color="auto"/>
            </w:tcBorders>
            <w:shd w:val="clear" w:color="auto" w:fill="auto"/>
            <w:vAlign w:val="center"/>
          </w:tcPr>
          <w:p w14:paraId="67B4E346" w14:textId="5B5EAC3D" w:rsidR="00A649C3" w:rsidRPr="00EE43C6" w:rsidRDefault="00C927F4" w:rsidP="00A61E86">
            <w:pPr>
              <w:spacing w:before="40" w:after="40" w:line="240" w:lineRule="auto"/>
              <w:jc w:val="left"/>
              <w:rPr>
                <w:rFonts w:cs="Arial"/>
                <w:sz w:val="18"/>
                <w:szCs w:val="18"/>
              </w:rPr>
            </w:pPr>
            <w:r w:rsidRPr="00EE43C6">
              <w:rPr>
                <w:rFonts w:cs="Arial"/>
                <w:sz w:val="18"/>
                <w:szCs w:val="18"/>
              </w:rPr>
              <w:t xml:space="preserve">OG. No. </w:t>
            </w:r>
            <w:r>
              <w:rPr>
                <w:rFonts w:cs="Arial"/>
                <w:sz w:val="18"/>
                <w:szCs w:val="18"/>
              </w:rPr>
              <w:t>28712</w:t>
            </w:r>
            <w:r w:rsidRPr="00EE43C6">
              <w:rPr>
                <w:rFonts w:cs="Arial"/>
                <w:sz w:val="18"/>
                <w:szCs w:val="18"/>
              </w:rPr>
              <w:t xml:space="preserve"> dated </w:t>
            </w:r>
            <w:r>
              <w:rPr>
                <w:rFonts w:cs="Arial"/>
                <w:sz w:val="18"/>
                <w:szCs w:val="18"/>
              </w:rPr>
              <w:t>19</w:t>
            </w:r>
            <w:r w:rsidRPr="00EE43C6">
              <w:rPr>
                <w:rFonts w:cs="Arial"/>
                <w:sz w:val="18"/>
                <w:szCs w:val="18"/>
              </w:rPr>
              <w:t xml:space="preserve"> July 2</w:t>
            </w:r>
            <w:r>
              <w:rPr>
                <w:rFonts w:cs="Arial"/>
                <w:sz w:val="18"/>
                <w:szCs w:val="18"/>
              </w:rPr>
              <w:t>013</w:t>
            </w:r>
          </w:p>
        </w:tc>
        <w:tc>
          <w:tcPr>
            <w:tcW w:w="2578" w:type="pct"/>
            <w:tcBorders>
              <w:bottom w:val="single" w:sz="4" w:space="0" w:color="auto"/>
            </w:tcBorders>
          </w:tcPr>
          <w:p w14:paraId="217FE0EE" w14:textId="68228AFE" w:rsidR="00A649C3" w:rsidRPr="00EE43C6" w:rsidRDefault="00226CD1" w:rsidP="00F63456">
            <w:pPr>
              <w:spacing w:before="40" w:after="40" w:line="240" w:lineRule="auto"/>
              <w:rPr>
                <w:rFonts w:cs="Arial"/>
                <w:sz w:val="18"/>
                <w:szCs w:val="18"/>
              </w:rPr>
            </w:pPr>
            <w:r w:rsidRPr="00226CD1">
              <w:rPr>
                <w:rFonts w:cs="Arial"/>
                <w:sz w:val="18"/>
                <w:szCs w:val="18"/>
              </w:rPr>
              <w:t xml:space="preserve">The Project is subject to the regulation due to activities </w:t>
            </w:r>
            <w:r w:rsidR="00AC4425">
              <w:rPr>
                <w:rFonts w:cs="Arial"/>
                <w:sz w:val="18"/>
                <w:szCs w:val="18"/>
              </w:rPr>
              <w:t xml:space="preserve">especially </w:t>
            </w:r>
            <w:r w:rsidR="00C3417C">
              <w:rPr>
                <w:rFonts w:cs="Arial"/>
                <w:sz w:val="18"/>
                <w:szCs w:val="18"/>
              </w:rPr>
              <w:t xml:space="preserve">to be </w:t>
            </w:r>
            <w:r w:rsidR="00E40BCB">
              <w:rPr>
                <w:rFonts w:cs="Arial"/>
                <w:sz w:val="18"/>
                <w:szCs w:val="18"/>
              </w:rPr>
              <w:t xml:space="preserve">sourced from WWTP </w:t>
            </w:r>
            <w:r w:rsidRPr="00226CD1">
              <w:rPr>
                <w:rFonts w:cs="Arial"/>
                <w:sz w:val="18"/>
                <w:szCs w:val="18"/>
              </w:rPr>
              <w:t xml:space="preserve">that may cause </w:t>
            </w:r>
            <w:r>
              <w:rPr>
                <w:rFonts w:cs="Arial"/>
                <w:sz w:val="18"/>
                <w:szCs w:val="18"/>
              </w:rPr>
              <w:t>odour nuisance</w:t>
            </w:r>
            <w:r w:rsidRPr="00226CD1">
              <w:rPr>
                <w:rFonts w:cs="Arial"/>
                <w:sz w:val="18"/>
                <w:szCs w:val="18"/>
              </w:rPr>
              <w:t xml:space="preserve"> within the Project’s AoI during the lifetime of the Project.</w:t>
            </w:r>
          </w:p>
        </w:tc>
      </w:tr>
      <w:tr w:rsidR="00A61E86" w:rsidRPr="00EE43C6" w14:paraId="7411E4FD" w14:textId="12591ED1" w:rsidTr="00E67C71">
        <w:tc>
          <w:tcPr>
            <w:tcW w:w="2422" w:type="pct"/>
            <w:gridSpan w:val="2"/>
            <w:shd w:val="clear" w:color="auto" w:fill="DBE5F1" w:themeFill="accent1" w:themeFillTint="33"/>
            <w:vAlign w:val="center"/>
          </w:tcPr>
          <w:p w14:paraId="49203805" w14:textId="1E879C5C" w:rsidR="00A61E86" w:rsidRPr="00EE43C6" w:rsidRDefault="00A61E86" w:rsidP="00A61E86">
            <w:pPr>
              <w:spacing w:before="40" w:after="40" w:line="240" w:lineRule="auto"/>
              <w:jc w:val="left"/>
              <w:rPr>
                <w:rFonts w:cs="MS Gothic"/>
                <w:b/>
                <w:sz w:val="18"/>
                <w:szCs w:val="18"/>
              </w:rPr>
            </w:pPr>
            <w:r w:rsidRPr="00EE43C6">
              <w:rPr>
                <w:rFonts w:cs="Arial"/>
                <w:b/>
                <w:bCs/>
                <w:sz w:val="18"/>
                <w:szCs w:val="18"/>
              </w:rPr>
              <w:t>Soil</w:t>
            </w:r>
          </w:p>
        </w:tc>
        <w:tc>
          <w:tcPr>
            <w:tcW w:w="2578" w:type="pct"/>
            <w:shd w:val="clear" w:color="auto" w:fill="DBE5F1" w:themeFill="accent1" w:themeFillTint="33"/>
          </w:tcPr>
          <w:p w14:paraId="7FFFED7F" w14:textId="22A879FB" w:rsidR="00A61E86" w:rsidRPr="00EE43C6" w:rsidRDefault="00AD1293" w:rsidP="00F63456">
            <w:pPr>
              <w:spacing w:before="40" w:after="40" w:line="240" w:lineRule="auto"/>
              <w:rPr>
                <w:rFonts w:cs="Arial"/>
                <w:b/>
                <w:bCs/>
                <w:sz w:val="16"/>
                <w:szCs w:val="16"/>
              </w:rPr>
            </w:pPr>
            <w:r w:rsidRPr="00EE43C6">
              <w:rPr>
                <w:rFonts w:cs="Arial"/>
                <w:b/>
                <w:bCs/>
                <w:sz w:val="18"/>
                <w:szCs w:val="18"/>
              </w:rPr>
              <w:t>Relevancy/Implications for the Project</w:t>
            </w:r>
          </w:p>
        </w:tc>
      </w:tr>
      <w:tr w:rsidR="00A61E86" w:rsidRPr="00EE43C6" w14:paraId="7F6C218E" w14:textId="18471C79" w:rsidTr="00E67C71">
        <w:tc>
          <w:tcPr>
            <w:tcW w:w="1159" w:type="pct"/>
            <w:shd w:val="clear" w:color="auto" w:fill="FFFFFF" w:themeFill="background1"/>
            <w:vAlign w:val="center"/>
          </w:tcPr>
          <w:p w14:paraId="6D8AC18F" w14:textId="538641B3" w:rsidR="00A61E86" w:rsidRPr="00EE43C6" w:rsidRDefault="00A61E86" w:rsidP="00A61E86">
            <w:pPr>
              <w:spacing w:before="40" w:after="40" w:line="240" w:lineRule="auto"/>
              <w:jc w:val="left"/>
              <w:rPr>
                <w:rFonts w:cs="MS Gothic"/>
                <w:sz w:val="18"/>
                <w:szCs w:val="18"/>
              </w:rPr>
            </w:pPr>
            <w:r w:rsidRPr="00EE43C6">
              <w:rPr>
                <w:rFonts w:cs="Arial"/>
                <w:sz w:val="18"/>
                <w:szCs w:val="18"/>
              </w:rPr>
              <w:t>Soil Conservation and Land Use Law and Applicable Regulation</w:t>
            </w:r>
          </w:p>
        </w:tc>
        <w:tc>
          <w:tcPr>
            <w:tcW w:w="1263" w:type="pct"/>
            <w:shd w:val="clear" w:color="auto" w:fill="FFFFFF" w:themeFill="background1"/>
            <w:vAlign w:val="center"/>
          </w:tcPr>
          <w:p w14:paraId="6D5805B6" w14:textId="58E7A5FA" w:rsidR="00A61E86" w:rsidRDefault="00E10EF4" w:rsidP="00A61E86">
            <w:pPr>
              <w:spacing w:before="40" w:after="40" w:line="240" w:lineRule="auto"/>
              <w:jc w:val="left"/>
              <w:rPr>
                <w:rFonts w:cs="Arial"/>
                <w:sz w:val="18"/>
                <w:szCs w:val="18"/>
              </w:rPr>
            </w:pPr>
            <w:r>
              <w:rPr>
                <w:rFonts w:cs="Arial"/>
                <w:sz w:val="18"/>
                <w:szCs w:val="18"/>
              </w:rPr>
              <w:t xml:space="preserve">Law No: </w:t>
            </w:r>
            <w:r w:rsidRPr="00C71F96">
              <w:rPr>
                <w:rFonts w:cs="Arial"/>
                <w:sz w:val="18"/>
                <w:szCs w:val="18"/>
              </w:rPr>
              <w:t>5</w:t>
            </w:r>
            <w:r>
              <w:rPr>
                <w:rFonts w:cs="Arial"/>
                <w:sz w:val="18"/>
                <w:szCs w:val="18"/>
              </w:rPr>
              <w:t>403</w:t>
            </w:r>
            <w:r w:rsidR="00B15B6D">
              <w:rPr>
                <w:rFonts w:cs="Arial"/>
                <w:sz w:val="18"/>
                <w:szCs w:val="18"/>
              </w:rPr>
              <w:t>;</w:t>
            </w:r>
            <w:r>
              <w:rPr>
                <w:rFonts w:cs="Arial"/>
                <w:sz w:val="18"/>
                <w:szCs w:val="18"/>
              </w:rPr>
              <w:t xml:space="preserve"> </w:t>
            </w:r>
            <w:r w:rsidR="00A61E86" w:rsidRPr="00EE43C6">
              <w:rPr>
                <w:rFonts w:cs="Arial"/>
                <w:sz w:val="18"/>
                <w:szCs w:val="18"/>
              </w:rPr>
              <w:t>OG. No. 25880 dated 03 July 2005</w:t>
            </w:r>
          </w:p>
          <w:p w14:paraId="7F306A54" w14:textId="32340E11" w:rsidR="00F72613" w:rsidRPr="00EE43C6" w:rsidRDefault="00F72613" w:rsidP="00A61E86">
            <w:pPr>
              <w:spacing w:before="40" w:after="40" w:line="240" w:lineRule="auto"/>
              <w:jc w:val="left"/>
              <w:rPr>
                <w:rFonts w:cs="MS Gothic"/>
                <w:sz w:val="18"/>
                <w:szCs w:val="18"/>
              </w:rPr>
            </w:pPr>
            <w:r>
              <w:rPr>
                <w:rFonts w:cs="MS Gothic"/>
                <w:sz w:val="18"/>
                <w:szCs w:val="18"/>
              </w:rPr>
              <w:t>(</w:t>
            </w:r>
            <w:r w:rsidR="008429D6">
              <w:rPr>
                <w:rFonts w:cs="MS Gothic"/>
                <w:sz w:val="18"/>
                <w:szCs w:val="18"/>
              </w:rPr>
              <w:t xml:space="preserve">Last </w:t>
            </w:r>
            <w:r w:rsidR="008429D6" w:rsidRPr="001D6BDD">
              <w:rPr>
                <w:rFonts w:cs="MS Gothic"/>
                <w:sz w:val="18"/>
                <w:szCs w:val="18"/>
              </w:rPr>
              <w:t>amendment</w:t>
            </w:r>
            <w:r w:rsidRPr="00F72613">
              <w:rPr>
                <w:rFonts w:cs="MS Gothic"/>
                <w:sz w:val="18"/>
                <w:szCs w:val="18"/>
              </w:rPr>
              <w:t xml:space="preserve"> on </w:t>
            </w:r>
            <w:r>
              <w:rPr>
                <w:rFonts w:cs="MS Gothic"/>
                <w:sz w:val="18"/>
                <w:szCs w:val="18"/>
              </w:rPr>
              <w:t>5</w:t>
            </w:r>
            <w:r w:rsidRPr="00F72613">
              <w:rPr>
                <w:rFonts w:cs="MS Gothic"/>
                <w:sz w:val="18"/>
                <w:szCs w:val="18"/>
              </w:rPr>
              <w:t xml:space="preserve"> </w:t>
            </w:r>
            <w:r>
              <w:rPr>
                <w:rFonts w:cs="MS Gothic"/>
                <w:sz w:val="18"/>
                <w:szCs w:val="18"/>
              </w:rPr>
              <w:t>April</w:t>
            </w:r>
            <w:r w:rsidRPr="00F72613">
              <w:rPr>
                <w:rFonts w:cs="MS Gothic"/>
                <w:sz w:val="18"/>
                <w:szCs w:val="18"/>
              </w:rPr>
              <w:t xml:space="preserve"> 2023 with </w:t>
            </w:r>
            <w:r w:rsidR="001A698B" w:rsidRPr="001A698B">
              <w:rPr>
                <w:rFonts w:cs="MS Gothic"/>
                <w:sz w:val="18"/>
                <w:szCs w:val="18"/>
              </w:rPr>
              <w:t xml:space="preserve">Amended Law </w:t>
            </w:r>
            <w:r w:rsidRPr="00F72613">
              <w:rPr>
                <w:rFonts w:cs="MS Gothic"/>
                <w:sz w:val="18"/>
                <w:szCs w:val="18"/>
              </w:rPr>
              <w:t xml:space="preserve">No. </w:t>
            </w:r>
            <w:r w:rsidR="00AD1699">
              <w:rPr>
                <w:rFonts w:cs="MS Gothic"/>
                <w:sz w:val="18"/>
                <w:szCs w:val="18"/>
              </w:rPr>
              <w:t>7442</w:t>
            </w:r>
            <w:r w:rsidRPr="00F72613">
              <w:rPr>
                <w:rFonts w:cs="MS Gothic"/>
                <w:sz w:val="18"/>
                <w:szCs w:val="18"/>
              </w:rPr>
              <w:t>)</w:t>
            </w:r>
          </w:p>
        </w:tc>
        <w:tc>
          <w:tcPr>
            <w:tcW w:w="2578" w:type="pct"/>
            <w:shd w:val="clear" w:color="auto" w:fill="FFFFFF" w:themeFill="background1"/>
          </w:tcPr>
          <w:p w14:paraId="7B1C00D4" w14:textId="09F5F798" w:rsidR="00A61E86" w:rsidRPr="00EE43C6" w:rsidRDefault="008515EB" w:rsidP="00F63456">
            <w:pPr>
              <w:spacing w:before="40" w:after="40" w:line="240" w:lineRule="auto"/>
              <w:rPr>
                <w:rFonts w:cs="Arial"/>
                <w:sz w:val="18"/>
                <w:szCs w:val="18"/>
              </w:rPr>
            </w:pPr>
            <w:r w:rsidRPr="00EE43C6">
              <w:rPr>
                <w:rFonts w:cs="Arial"/>
                <w:sz w:val="18"/>
                <w:szCs w:val="18"/>
              </w:rPr>
              <w:t>D</w:t>
            </w:r>
            <w:r w:rsidR="006C45EF" w:rsidRPr="00EE43C6">
              <w:rPr>
                <w:rFonts w:cs="Arial"/>
                <w:sz w:val="18"/>
                <w:szCs w:val="18"/>
              </w:rPr>
              <w:t xml:space="preserve">ue to land use </w:t>
            </w:r>
            <w:r w:rsidR="00810CA4" w:rsidRPr="00EE43C6">
              <w:rPr>
                <w:rFonts w:cs="Arial"/>
                <w:sz w:val="18"/>
                <w:szCs w:val="18"/>
              </w:rPr>
              <w:t>within the scope</w:t>
            </w:r>
            <w:r w:rsidR="006C45EF" w:rsidRPr="00EE43C6">
              <w:rPr>
                <w:rFonts w:cs="Arial"/>
                <w:sz w:val="18"/>
                <w:szCs w:val="18"/>
              </w:rPr>
              <w:t xml:space="preserve"> </w:t>
            </w:r>
            <w:r w:rsidR="0010009A" w:rsidRPr="00EE43C6">
              <w:rPr>
                <w:rFonts w:cs="Arial"/>
                <w:sz w:val="18"/>
                <w:szCs w:val="18"/>
              </w:rPr>
              <w:t xml:space="preserve">of </w:t>
            </w:r>
            <w:r w:rsidR="006C45EF" w:rsidRPr="00EE43C6">
              <w:rPr>
                <w:rFonts w:cs="Arial"/>
                <w:sz w:val="18"/>
                <w:szCs w:val="18"/>
              </w:rPr>
              <w:t>the Project</w:t>
            </w:r>
            <w:r w:rsidR="00810CA4" w:rsidRPr="00EE43C6">
              <w:rPr>
                <w:rFonts w:cs="Arial"/>
                <w:sz w:val="18"/>
                <w:szCs w:val="18"/>
              </w:rPr>
              <w:t>,</w:t>
            </w:r>
            <w:r w:rsidR="00850875" w:rsidRPr="00EE43C6">
              <w:rPr>
                <w:rFonts w:cs="Arial"/>
                <w:sz w:val="18"/>
                <w:szCs w:val="18"/>
              </w:rPr>
              <w:t xml:space="preserve"> </w:t>
            </w:r>
            <w:r w:rsidR="006474CF" w:rsidRPr="00EE43C6">
              <w:rPr>
                <w:rFonts w:cs="Arial"/>
                <w:sz w:val="18"/>
                <w:szCs w:val="18"/>
              </w:rPr>
              <w:t>the law and applicable regulation</w:t>
            </w:r>
            <w:r w:rsidR="00850875" w:rsidRPr="00EE43C6">
              <w:rPr>
                <w:rFonts w:cs="Arial"/>
                <w:sz w:val="18"/>
                <w:szCs w:val="18"/>
              </w:rPr>
              <w:t xml:space="preserve"> should be complied with.</w:t>
            </w:r>
          </w:p>
        </w:tc>
      </w:tr>
      <w:tr w:rsidR="00A61E86" w:rsidRPr="00EE43C6" w14:paraId="39B7B8F5" w14:textId="7C58D207" w:rsidTr="00E67C71">
        <w:tc>
          <w:tcPr>
            <w:tcW w:w="1159" w:type="pct"/>
            <w:shd w:val="clear" w:color="auto" w:fill="FFFFFF" w:themeFill="background1"/>
            <w:vAlign w:val="center"/>
          </w:tcPr>
          <w:p w14:paraId="72504D54" w14:textId="609351EB"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Control of Soil Pollution and Point Source Contaminated Lands</w:t>
            </w:r>
          </w:p>
        </w:tc>
        <w:tc>
          <w:tcPr>
            <w:tcW w:w="1263" w:type="pct"/>
            <w:shd w:val="clear" w:color="auto" w:fill="FFFFFF" w:themeFill="background1"/>
            <w:vAlign w:val="center"/>
          </w:tcPr>
          <w:p w14:paraId="0DB37C64" w14:textId="469012D6" w:rsidR="00A61E86" w:rsidRPr="00EE43C6" w:rsidRDefault="00A61E86" w:rsidP="00A61E86">
            <w:pPr>
              <w:spacing w:before="40" w:after="40" w:line="240" w:lineRule="auto"/>
              <w:jc w:val="left"/>
              <w:rPr>
                <w:rFonts w:cs="MS Gothic"/>
                <w:sz w:val="18"/>
                <w:szCs w:val="18"/>
              </w:rPr>
            </w:pPr>
            <w:r w:rsidRPr="00EE43C6">
              <w:rPr>
                <w:rFonts w:cs="Arial"/>
                <w:sz w:val="18"/>
                <w:szCs w:val="18"/>
              </w:rPr>
              <w:t>OG. No. 27605 dated 08 June 2010</w:t>
            </w:r>
          </w:p>
        </w:tc>
        <w:tc>
          <w:tcPr>
            <w:tcW w:w="2578" w:type="pct"/>
            <w:shd w:val="clear" w:color="auto" w:fill="FFFFFF" w:themeFill="background1"/>
          </w:tcPr>
          <w:p w14:paraId="767E510C" w14:textId="257F7F37" w:rsidR="00A61E86" w:rsidRPr="00EE43C6" w:rsidRDefault="008515EB" w:rsidP="00F63456">
            <w:pPr>
              <w:spacing w:before="40" w:after="40" w:line="240" w:lineRule="auto"/>
              <w:rPr>
                <w:rFonts w:cs="Arial"/>
                <w:sz w:val="18"/>
                <w:szCs w:val="18"/>
              </w:rPr>
            </w:pPr>
            <w:r w:rsidRPr="00EE43C6">
              <w:rPr>
                <w:rFonts w:cs="Arial"/>
                <w:sz w:val="18"/>
                <w:szCs w:val="18"/>
              </w:rPr>
              <w:t>T</w:t>
            </w:r>
            <w:r w:rsidR="00BE4307" w:rsidRPr="00EE43C6">
              <w:rPr>
                <w:rFonts w:cs="Arial"/>
                <w:sz w:val="18"/>
                <w:szCs w:val="18"/>
              </w:rPr>
              <w:t>he Project is subject to the regulation due to the suspicion of soil pollution, especially the area for which land preparation has not yet been made in the Project Area.</w:t>
            </w:r>
          </w:p>
        </w:tc>
      </w:tr>
      <w:tr w:rsidR="00A61E86" w:rsidRPr="00EE43C6" w14:paraId="12FC5FC6" w14:textId="66F838F6" w:rsidTr="00E67C71">
        <w:tc>
          <w:tcPr>
            <w:tcW w:w="2422" w:type="pct"/>
            <w:gridSpan w:val="2"/>
            <w:shd w:val="clear" w:color="auto" w:fill="DBE5F1" w:themeFill="accent1" w:themeFillTint="33"/>
            <w:vAlign w:val="center"/>
          </w:tcPr>
          <w:p w14:paraId="583F646C" w14:textId="0EBA9D75" w:rsidR="00A61E86" w:rsidRPr="00EE43C6" w:rsidRDefault="00A61E86" w:rsidP="00A61E86">
            <w:pPr>
              <w:spacing w:before="40" w:after="40" w:line="240" w:lineRule="auto"/>
              <w:jc w:val="left"/>
              <w:rPr>
                <w:rFonts w:cs="MS Gothic"/>
                <w:b/>
                <w:sz w:val="18"/>
                <w:szCs w:val="18"/>
              </w:rPr>
            </w:pPr>
            <w:r w:rsidRPr="00EE43C6">
              <w:rPr>
                <w:rFonts w:cs="Arial"/>
                <w:b/>
                <w:bCs/>
                <w:sz w:val="18"/>
                <w:szCs w:val="18"/>
              </w:rPr>
              <w:t>Noise</w:t>
            </w:r>
          </w:p>
        </w:tc>
        <w:tc>
          <w:tcPr>
            <w:tcW w:w="2578" w:type="pct"/>
            <w:shd w:val="clear" w:color="auto" w:fill="DBE5F1" w:themeFill="accent1" w:themeFillTint="33"/>
          </w:tcPr>
          <w:p w14:paraId="5BAE1C18" w14:textId="2FCE8830" w:rsidR="00A61E86" w:rsidRPr="00EE43C6" w:rsidRDefault="00AD1293" w:rsidP="00A61E86">
            <w:pPr>
              <w:spacing w:before="40" w:after="40" w:line="240" w:lineRule="auto"/>
              <w:jc w:val="left"/>
              <w:rPr>
                <w:rFonts w:cs="Arial"/>
                <w:b/>
                <w:bCs/>
                <w:sz w:val="18"/>
                <w:szCs w:val="18"/>
              </w:rPr>
            </w:pPr>
            <w:r w:rsidRPr="00EE43C6">
              <w:rPr>
                <w:rFonts w:cs="Arial"/>
                <w:b/>
                <w:bCs/>
                <w:sz w:val="18"/>
                <w:szCs w:val="18"/>
              </w:rPr>
              <w:t>Relevancy/Implications for the Project</w:t>
            </w:r>
          </w:p>
        </w:tc>
      </w:tr>
      <w:tr w:rsidR="00A61E86" w:rsidRPr="00EE43C6" w14:paraId="6F362C58" w14:textId="41789FAF" w:rsidTr="00E67C71">
        <w:tc>
          <w:tcPr>
            <w:tcW w:w="1159" w:type="pct"/>
            <w:shd w:val="clear" w:color="auto" w:fill="auto"/>
            <w:vAlign w:val="center"/>
          </w:tcPr>
          <w:p w14:paraId="76F2EEEA" w14:textId="2837595D"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the Ambient Noise Emission Caused by Equipment Used Outdoors</w:t>
            </w:r>
          </w:p>
        </w:tc>
        <w:tc>
          <w:tcPr>
            <w:tcW w:w="1263" w:type="pct"/>
            <w:shd w:val="clear" w:color="auto" w:fill="auto"/>
            <w:vAlign w:val="center"/>
          </w:tcPr>
          <w:p w14:paraId="60C48BDB" w14:textId="46812DB5" w:rsidR="00A61E86" w:rsidRPr="00EE43C6" w:rsidRDefault="00A61E86" w:rsidP="00A61E86">
            <w:pPr>
              <w:spacing w:before="40" w:after="40" w:line="240" w:lineRule="auto"/>
              <w:jc w:val="left"/>
              <w:rPr>
                <w:rFonts w:cs="MS Gothic"/>
                <w:sz w:val="18"/>
                <w:szCs w:val="18"/>
              </w:rPr>
            </w:pPr>
            <w:r w:rsidRPr="00EE43C6">
              <w:rPr>
                <w:rFonts w:cs="Arial"/>
                <w:sz w:val="18"/>
                <w:szCs w:val="18"/>
              </w:rPr>
              <w:t>OG. No. 26392 dated 30 December 2006</w:t>
            </w:r>
          </w:p>
        </w:tc>
        <w:tc>
          <w:tcPr>
            <w:tcW w:w="2578" w:type="pct"/>
          </w:tcPr>
          <w:p w14:paraId="4B92C3AE" w14:textId="22288D51" w:rsidR="00A61E86" w:rsidRPr="00EE43C6" w:rsidRDefault="008515EB" w:rsidP="00F63456">
            <w:pPr>
              <w:spacing w:before="40" w:after="40" w:line="240" w:lineRule="auto"/>
              <w:rPr>
                <w:rFonts w:cs="Arial"/>
                <w:sz w:val="18"/>
                <w:szCs w:val="18"/>
              </w:rPr>
            </w:pPr>
            <w:r w:rsidRPr="00EE43C6">
              <w:rPr>
                <w:rFonts w:cs="Arial"/>
                <w:sz w:val="18"/>
                <w:szCs w:val="18"/>
              </w:rPr>
              <w:t>T</w:t>
            </w:r>
            <w:r w:rsidR="008D4689" w:rsidRPr="00EE43C6">
              <w:rPr>
                <w:rFonts w:cs="Arial"/>
                <w:sz w:val="18"/>
                <w:szCs w:val="18"/>
              </w:rPr>
              <w:t xml:space="preserve">he Project is subject to the regulation due to the noise that may occur during the use of equipment, especially </w:t>
            </w:r>
            <w:r w:rsidR="00633EC1" w:rsidRPr="00EE43C6">
              <w:rPr>
                <w:rFonts w:cs="Arial"/>
                <w:sz w:val="18"/>
                <w:szCs w:val="18"/>
              </w:rPr>
              <w:t>throughout</w:t>
            </w:r>
            <w:r w:rsidR="008D4689" w:rsidRPr="00EE43C6">
              <w:rPr>
                <w:rFonts w:cs="Arial"/>
                <w:sz w:val="18"/>
                <w:szCs w:val="18"/>
              </w:rPr>
              <w:t xml:space="preserve"> the construction phase</w:t>
            </w:r>
            <w:r w:rsidR="003745CF" w:rsidRPr="00EE43C6">
              <w:rPr>
                <w:rFonts w:cs="Arial"/>
                <w:sz w:val="18"/>
                <w:szCs w:val="18"/>
              </w:rPr>
              <w:t xml:space="preserve"> within the Project’s AoI</w:t>
            </w:r>
            <w:r w:rsidR="008D4689" w:rsidRPr="00EE43C6">
              <w:rPr>
                <w:rFonts w:cs="Arial"/>
                <w:sz w:val="18"/>
                <w:szCs w:val="18"/>
              </w:rPr>
              <w:t>.</w:t>
            </w:r>
          </w:p>
        </w:tc>
      </w:tr>
      <w:tr w:rsidR="00A61E86" w:rsidRPr="00EE43C6" w14:paraId="632DE4DD" w14:textId="5869D283" w:rsidTr="00E67C71">
        <w:tc>
          <w:tcPr>
            <w:tcW w:w="1159" w:type="pct"/>
            <w:shd w:val="clear" w:color="auto" w:fill="auto"/>
            <w:vAlign w:val="center"/>
          </w:tcPr>
          <w:p w14:paraId="0C50195E" w14:textId="06F5E74E"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Control of Ambient Noise</w:t>
            </w:r>
          </w:p>
        </w:tc>
        <w:tc>
          <w:tcPr>
            <w:tcW w:w="1263" w:type="pct"/>
            <w:shd w:val="clear" w:color="auto" w:fill="auto"/>
            <w:vAlign w:val="center"/>
          </w:tcPr>
          <w:p w14:paraId="77E9E61D" w14:textId="4FB0B8FE" w:rsidR="00A61E86" w:rsidRPr="00EE43C6" w:rsidRDefault="00A61E86" w:rsidP="00A61E86">
            <w:pPr>
              <w:spacing w:before="40" w:after="40" w:line="240" w:lineRule="auto"/>
              <w:jc w:val="left"/>
              <w:rPr>
                <w:rFonts w:cs="MS Gothic"/>
                <w:sz w:val="18"/>
                <w:szCs w:val="18"/>
              </w:rPr>
            </w:pPr>
            <w:r w:rsidRPr="00EE43C6">
              <w:rPr>
                <w:rFonts w:cs="Arial"/>
                <w:sz w:val="18"/>
                <w:szCs w:val="18"/>
              </w:rPr>
              <w:t>OG. No. 32029 dated 30 November 2022</w:t>
            </w:r>
          </w:p>
        </w:tc>
        <w:tc>
          <w:tcPr>
            <w:tcW w:w="2578" w:type="pct"/>
          </w:tcPr>
          <w:p w14:paraId="6EBDBF6F" w14:textId="3E5FCC12" w:rsidR="00A61E86" w:rsidRPr="00EE43C6" w:rsidRDefault="008515EB" w:rsidP="00F63456">
            <w:pPr>
              <w:spacing w:before="40" w:after="40" w:line="240" w:lineRule="auto"/>
              <w:rPr>
                <w:rFonts w:cs="Arial"/>
                <w:sz w:val="18"/>
                <w:szCs w:val="18"/>
              </w:rPr>
            </w:pPr>
            <w:r w:rsidRPr="00EE43C6">
              <w:rPr>
                <w:rFonts w:cs="Arial"/>
                <w:sz w:val="18"/>
                <w:szCs w:val="18"/>
              </w:rPr>
              <w:t>T</w:t>
            </w:r>
            <w:r w:rsidR="000F1202" w:rsidRPr="00EE43C6">
              <w:rPr>
                <w:rFonts w:cs="Arial"/>
                <w:sz w:val="18"/>
                <w:szCs w:val="18"/>
              </w:rPr>
              <w:t xml:space="preserve">he Project is subject to the regulation due to the noise that may occur during especially </w:t>
            </w:r>
            <w:r w:rsidR="00633EC1" w:rsidRPr="00EE43C6">
              <w:rPr>
                <w:rFonts w:cs="Arial"/>
                <w:sz w:val="18"/>
                <w:szCs w:val="18"/>
              </w:rPr>
              <w:t xml:space="preserve">throughout </w:t>
            </w:r>
            <w:r w:rsidR="000F1202" w:rsidRPr="00EE43C6">
              <w:rPr>
                <w:rFonts w:cs="Arial"/>
                <w:sz w:val="18"/>
                <w:szCs w:val="18"/>
              </w:rPr>
              <w:t>the construction phase</w:t>
            </w:r>
            <w:r w:rsidR="004D5B0A" w:rsidRPr="00EE43C6">
              <w:rPr>
                <w:rFonts w:cs="Arial"/>
                <w:sz w:val="18"/>
                <w:szCs w:val="18"/>
              </w:rPr>
              <w:t xml:space="preserve"> within the Project’s AoI</w:t>
            </w:r>
            <w:r w:rsidR="000F1202" w:rsidRPr="00EE43C6">
              <w:rPr>
                <w:rFonts w:cs="Arial"/>
                <w:sz w:val="18"/>
                <w:szCs w:val="18"/>
              </w:rPr>
              <w:t>.</w:t>
            </w:r>
          </w:p>
        </w:tc>
      </w:tr>
      <w:tr w:rsidR="00A61E86" w:rsidRPr="00EE43C6" w14:paraId="2B60A8BF" w14:textId="0065E8FC" w:rsidTr="00E67C71">
        <w:tc>
          <w:tcPr>
            <w:tcW w:w="2422" w:type="pct"/>
            <w:gridSpan w:val="2"/>
            <w:shd w:val="clear" w:color="auto" w:fill="DBE5F1" w:themeFill="accent1" w:themeFillTint="33"/>
            <w:vAlign w:val="center"/>
          </w:tcPr>
          <w:p w14:paraId="72B1D5B6" w14:textId="403C8735" w:rsidR="00A61E86" w:rsidRPr="00EE43C6" w:rsidRDefault="00A61E86" w:rsidP="00A61E86">
            <w:pPr>
              <w:spacing w:before="40" w:after="40" w:line="240" w:lineRule="auto"/>
              <w:jc w:val="left"/>
              <w:rPr>
                <w:rFonts w:cs="MS Gothic"/>
                <w:b/>
                <w:sz w:val="18"/>
                <w:szCs w:val="18"/>
              </w:rPr>
            </w:pPr>
            <w:r w:rsidRPr="00EE43C6">
              <w:rPr>
                <w:rFonts w:cs="Arial"/>
                <w:b/>
                <w:bCs/>
                <w:sz w:val="18"/>
                <w:szCs w:val="18"/>
              </w:rPr>
              <w:lastRenderedPageBreak/>
              <w:t>Energy Efficiency</w:t>
            </w:r>
          </w:p>
        </w:tc>
        <w:tc>
          <w:tcPr>
            <w:tcW w:w="2578" w:type="pct"/>
            <w:shd w:val="clear" w:color="auto" w:fill="DBE5F1" w:themeFill="accent1" w:themeFillTint="33"/>
          </w:tcPr>
          <w:p w14:paraId="60A7AF23" w14:textId="1E9822D6" w:rsidR="00A61E86" w:rsidRPr="00EE43C6" w:rsidRDefault="00AD1293" w:rsidP="00A61E86">
            <w:pPr>
              <w:spacing w:before="40" w:after="40" w:line="240" w:lineRule="auto"/>
              <w:jc w:val="left"/>
              <w:rPr>
                <w:rFonts w:cs="Arial"/>
                <w:b/>
                <w:bCs/>
                <w:sz w:val="18"/>
                <w:szCs w:val="18"/>
              </w:rPr>
            </w:pPr>
            <w:r w:rsidRPr="00EE43C6">
              <w:rPr>
                <w:rFonts w:cs="Arial"/>
                <w:b/>
                <w:bCs/>
                <w:sz w:val="18"/>
                <w:szCs w:val="18"/>
              </w:rPr>
              <w:t>Relevancy/Implications for the Project</w:t>
            </w:r>
          </w:p>
        </w:tc>
      </w:tr>
      <w:tr w:rsidR="00A61E86" w:rsidRPr="00EE43C6" w14:paraId="0D9557D7" w14:textId="1BF6B646" w:rsidTr="00E67C71">
        <w:tc>
          <w:tcPr>
            <w:tcW w:w="1159" w:type="pct"/>
            <w:shd w:val="clear" w:color="auto" w:fill="FFFFFF" w:themeFill="background1"/>
            <w:vAlign w:val="center"/>
          </w:tcPr>
          <w:p w14:paraId="36366428" w14:textId="6D1BE3BA" w:rsidR="00A61E86" w:rsidRPr="00EE43C6" w:rsidRDefault="00A61E86" w:rsidP="00A61E86">
            <w:pPr>
              <w:spacing w:before="40" w:after="40" w:line="240" w:lineRule="auto"/>
              <w:jc w:val="left"/>
              <w:rPr>
                <w:rFonts w:cs="MS Gothic"/>
                <w:sz w:val="18"/>
                <w:szCs w:val="18"/>
              </w:rPr>
            </w:pPr>
            <w:r w:rsidRPr="00EE43C6">
              <w:rPr>
                <w:rFonts w:cs="Arial"/>
                <w:sz w:val="18"/>
                <w:szCs w:val="18"/>
              </w:rPr>
              <w:t>Energy Efficiency Law</w:t>
            </w:r>
          </w:p>
        </w:tc>
        <w:tc>
          <w:tcPr>
            <w:tcW w:w="1263" w:type="pct"/>
            <w:shd w:val="clear" w:color="auto" w:fill="FFFFFF" w:themeFill="background1"/>
            <w:vAlign w:val="center"/>
          </w:tcPr>
          <w:p w14:paraId="5FAD11EB" w14:textId="45AACF09" w:rsidR="00A61E86" w:rsidRPr="00EE43C6" w:rsidRDefault="00C71F96" w:rsidP="00A61E86">
            <w:pPr>
              <w:spacing w:before="40" w:after="40" w:line="240" w:lineRule="auto"/>
              <w:jc w:val="left"/>
              <w:rPr>
                <w:rFonts w:cs="MS Gothic"/>
                <w:sz w:val="18"/>
                <w:szCs w:val="18"/>
              </w:rPr>
            </w:pPr>
            <w:r>
              <w:rPr>
                <w:rFonts w:cs="Arial"/>
                <w:sz w:val="18"/>
                <w:szCs w:val="18"/>
              </w:rPr>
              <w:t xml:space="preserve">Law No: </w:t>
            </w:r>
            <w:r w:rsidRPr="00C71F96">
              <w:rPr>
                <w:rFonts w:cs="Arial"/>
                <w:sz w:val="18"/>
                <w:szCs w:val="18"/>
              </w:rPr>
              <w:t>5627</w:t>
            </w:r>
            <w:r>
              <w:rPr>
                <w:rFonts w:cs="Arial"/>
                <w:sz w:val="18"/>
                <w:szCs w:val="18"/>
              </w:rPr>
              <w:t xml:space="preserve">, </w:t>
            </w:r>
            <w:r w:rsidR="00A61E86" w:rsidRPr="00EE43C6">
              <w:rPr>
                <w:rFonts w:cs="Arial"/>
                <w:sz w:val="18"/>
                <w:szCs w:val="18"/>
              </w:rPr>
              <w:t xml:space="preserve">OG. No. </w:t>
            </w:r>
            <w:r w:rsidR="004132BF">
              <w:rPr>
                <w:rFonts w:cs="Arial"/>
                <w:sz w:val="18"/>
                <w:szCs w:val="18"/>
              </w:rPr>
              <w:t>26510</w:t>
            </w:r>
            <w:r w:rsidR="004132BF" w:rsidRPr="00EE43C6">
              <w:rPr>
                <w:rFonts w:cs="Arial"/>
                <w:sz w:val="18"/>
                <w:szCs w:val="18"/>
              </w:rPr>
              <w:t xml:space="preserve"> </w:t>
            </w:r>
            <w:r w:rsidR="00A61E86" w:rsidRPr="00EE43C6">
              <w:rPr>
                <w:rFonts w:cs="Arial"/>
                <w:sz w:val="18"/>
                <w:szCs w:val="18"/>
              </w:rPr>
              <w:t>dated 2 May 2007</w:t>
            </w:r>
          </w:p>
        </w:tc>
        <w:tc>
          <w:tcPr>
            <w:tcW w:w="2578" w:type="pct"/>
            <w:shd w:val="clear" w:color="auto" w:fill="FFFFFF" w:themeFill="background1"/>
          </w:tcPr>
          <w:p w14:paraId="62BB5426" w14:textId="6E0C0064" w:rsidR="00A61E86" w:rsidRPr="00EE43C6" w:rsidRDefault="008515EB" w:rsidP="00F63456">
            <w:pPr>
              <w:spacing w:before="40" w:after="40" w:line="240" w:lineRule="auto"/>
              <w:rPr>
                <w:rFonts w:cs="Arial"/>
                <w:sz w:val="18"/>
                <w:szCs w:val="18"/>
              </w:rPr>
            </w:pPr>
            <w:r w:rsidRPr="00EE43C6">
              <w:rPr>
                <w:rFonts w:cs="Arial"/>
                <w:sz w:val="18"/>
                <w:szCs w:val="18"/>
              </w:rPr>
              <w:t>I</w:t>
            </w:r>
            <w:r w:rsidR="00246CD7" w:rsidRPr="00EE43C6">
              <w:rPr>
                <w:rFonts w:cs="Arial"/>
                <w:sz w:val="18"/>
                <w:szCs w:val="18"/>
              </w:rPr>
              <w:t xml:space="preserve">t is the regulation that is subject to all activities that will </w:t>
            </w:r>
            <w:r w:rsidR="0050108F" w:rsidRPr="00EE43C6">
              <w:rPr>
                <w:rFonts w:cs="Arial"/>
                <w:sz w:val="18"/>
                <w:szCs w:val="18"/>
              </w:rPr>
              <w:t xml:space="preserve">directly or indirectly </w:t>
            </w:r>
            <w:r w:rsidR="00F06E62" w:rsidRPr="00EE43C6">
              <w:rPr>
                <w:rFonts w:cs="Arial"/>
                <w:sz w:val="18"/>
                <w:szCs w:val="18"/>
              </w:rPr>
              <w:t xml:space="preserve">require </w:t>
            </w:r>
            <w:r w:rsidR="00246CD7" w:rsidRPr="00EE43C6">
              <w:rPr>
                <w:rFonts w:cs="Arial"/>
                <w:sz w:val="18"/>
                <w:szCs w:val="18"/>
              </w:rPr>
              <w:t xml:space="preserve">energy throughout the </w:t>
            </w:r>
            <w:r w:rsidR="0050108F" w:rsidRPr="00EE43C6">
              <w:rPr>
                <w:rFonts w:cs="Arial"/>
                <w:sz w:val="18"/>
                <w:szCs w:val="18"/>
              </w:rPr>
              <w:t>lifetime</w:t>
            </w:r>
            <w:r w:rsidR="00246CD7" w:rsidRPr="00EE43C6">
              <w:rPr>
                <w:rFonts w:cs="Arial"/>
                <w:sz w:val="18"/>
                <w:szCs w:val="18"/>
              </w:rPr>
              <w:t xml:space="preserve"> of the </w:t>
            </w:r>
            <w:r w:rsidR="0050108F" w:rsidRPr="00EE43C6">
              <w:rPr>
                <w:rFonts w:cs="Arial"/>
                <w:sz w:val="18"/>
                <w:szCs w:val="18"/>
              </w:rPr>
              <w:t>P</w:t>
            </w:r>
            <w:r w:rsidR="00246CD7" w:rsidRPr="00EE43C6">
              <w:rPr>
                <w:rFonts w:cs="Arial"/>
                <w:sz w:val="18"/>
                <w:szCs w:val="18"/>
              </w:rPr>
              <w:t>roject.</w:t>
            </w:r>
          </w:p>
        </w:tc>
      </w:tr>
      <w:tr w:rsidR="00A61E86" w:rsidRPr="00EE43C6" w14:paraId="794BB9E0" w14:textId="479822E6" w:rsidTr="00E67C71">
        <w:tc>
          <w:tcPr>
            <w:tcW w:w="2422" w:type="pct"/>
            <w:gridSpan w:val="2"/>
            <w:shd w:val="clear" w:color="auto" w:fill="DBE5F1" w:themeFill="accent1" w:themeFillTint="33"/>
            <w:vAlign w:val="center"/>
          </w:tcPr>
          <w:p w14:paraId="35578310" w14:textId="61FC50DA" w:rsidR="00A61E86" w:rsidRPr="00EE43C6" w:rsidRDefault="00A61E86" w:rsidP="00A61E86">
            <w:pPr>
              <w:spacing w:before="40" w:after="40" w:line="240" w:lineRule="auto"/>
              <w:jc w:val="left"/>
              <w:rPr>
                <w:rFonts w:cs="MS Gothic"/>
                <w:b/>
                <w:sz w:val="18"/>
                <w:szCs w:val="18"/>
              </w:rPr>
            </w:pPr>
            <w:r w:rsidRPr="00EE43C6">
              <w:rPr>
                <w:rFonts w:cs="Arial"/>
                <w:b/>
                <w:bCs/>
                <w:sz w:val="18"/>
                <w:szCs w:val="18"/>
              </w:rPr>
              <w:t xml:space="preserve">Waste </w:t>
            </w:r>
          </w:p>
        </w:tc>
        <w:tc>
          <w:tcPr>
            <w:tcW w:w="2578" w:type="pct"/>
            <w:shd w:val="clear" w:color="auto" w:fill="DBE5F1" w:themeFill="accent1" w:themeFillTint="33"/>
          </w:tcPr>
          <w:p w14:paraId="327FBD61" w14:textId="12389C60" w:rsidR="00A61E86" w:rsidRPr="00EE43C6" w:rsidRDefault="00AD1293" w:rsidP="00A61E86">
            <w:pPr>
              <w:spacing w:before="40" w:after="40" w:line="240" w:lineRule="auto"/>
              <w:jc w:val="left"/>
              <w:rPr>
                <w:rFonts w:cs="Arial"/>
                <w:b/>
                <w:bCs/>
                <w:sz w:val="18"/>
                <w:szCs w:val="18"/>
              </w:rPr>
            </w:pPr>
            <w:r w:rsidRPr="00EE43C6">
              <w:rPr>
                <w:rFonts w:cs="Arial"/>
                <w:b/>
                <w:bCs/>
                <w:sz w:val="18"/>
                <w:szCs w:val="18"/>
              </w:rPr>
              <w:t>Relevancy/Implications for the Project</w:t>
            </w:r>
          </w:p>
        </w:tc>
      </w:tr>
      <w:tr w:rsidR="00A61E86" w:rsidRPr="00EE43C6" w14:paraId="418D56BE" w14:textId="6990F453" w:rsidTr="00E67C71">
        <w:trPr>
          <w:trHeight w:val="760"/>
        </w:trPr>
        <w:tc>
          <w:tcPr>
            <w:tcW w:w="1159" w:type="pct"/>
            <w:tcBorders>
              <w:bottom w:val="single" w:sz="4" w:space="0" w:color="auto"/>
            </w:tcBorders>
            <w:shd w:val="clear" w:color="auto" w:fill="FFFFFF" w:themeFill="background1"/>
            <w:vAlign w:val="center"/>
          </w:tcPr>
          <w:p w14:paraId="6926C800" w14:textId="27B6A5D2" w:rsidR="00A61E86" w:rsidRPr="00EE43C6" w:rsidRDefault="00A61E86" w:rsidP="00A61E86">
            <w:pPr>
              <w:spacing w:before="40" w:after="40" w:line="240" w:lineRule="auto"/>
              <w:jc w:val="left"/>
              <w:rPr>
                <w:rFonts w:cs="MS Gothic"/>
                <w:sz w:val="18"/>
                <w:szCs w:val="18"/>
              </w:rPr>
            </w:pPr>
            <w:r w:rsidRPr="00EE43C6">
              <w:rPr>
                <w:rFonts w:cs="Arial"/>
                <w:sz w:val="18"/>
                <w:szCs w:val="18"/>
              </w:rPr>
              <w:t>Waste Management Regulation</w:t>
            </w:r>
          </w:p>
        </w:tc>
        <w:tc>
          <w:tcPr>
            <w:tcW w:w="1263" w:type="pct"/>
            <w:tcBorders>
              <w:bottom w:val="single" w:sz="4" w:space="0" w:color="auto"/>
            </w:tcBorders>
            <w:shd w:val="clear" w:color="auto" w:fill="FFFFFF" w:themeFill="background1"/>
            <w:vAlign w:val="center"/>
          </w:tcPr>
          <w:p w14:paraId="0FD38B22" w14:textId="19A71080" w:rsidR="00A61E86" w:rsidRPr="00EE43C6" w:rsidRDefault="00A61E86" w:rsidP="00A61E86">
            <w:pPr>
              <w:keepNext/>
              <w:spacing w:before="40" w:after="40" w:line="240" w:lineRule="auto"/>
              <w:jc w:val="left"/>
              <w:rPr>
                <w:rFonts w:cs="MS Gothic"/>
                <w:sz w:val="18"/>
                <w:szCs w:val="18"/>
              </w:rPr>
            </w:pPr>
            <w:r w:rsidRPr="00EE43C6">
              <w:rPr>
                <w:rFonts w:cs="Arial"/>
                <w:sz w:val="18"/>
                <w:szCs w:val="18"/>
              </w:rPr>
              <w:t>OG. No. 29314 dated 02 April 2015</w:t>
            </w:r>
          </w:p>
        </w:tc>
        <w:tc>
          <w:tcPr>
            <w:tcW w:w="2578" w:type="pct"/>
            <w:tcBorders>
              <w:bottom w:val="single" w:sz="4" w:space="0" w:color="auto"/>
            </w:tcBorders>
            <w:shd w:val="clear" w:color="auto" w:fill="FFFFFF" w:themeFill="background1"/>
          </w:tcPr>
          <w:p w14:paraId="78F9F5EE" w14:textId="2F71AB20" w:rsidR="00A61E86" w:rsidRPr="00EE43C6" w:rsidRDefault="00513126" w:rsidP="006C7EC6">
            <w:pPr>
              <w:keepNext/>
              <w:spacing w:before="40" w:after="40" w:line="240" w:lineRule="auto"/>
              <w:rPr>
                <w:rFonts w:cs="Arial"/>
                <w:sz w:val="16"/>
                <w:szCs w:val="16"/>
              </w:rPr>
            </w:pPr>
            <w:r w:rsidRPr="00EE43C6">
              <w:rPr>
                <w:rFonts w:cs="Arial"/>
                <w:sz w:val="18"/>
                <w:szCs w:val="18"/>
              </w:rPr>
              <w:t xml:space="preserve">It is the main regulation regarding the wastes that will occur as a result of all activities to be carried out throughout the lifetime of the </w:t>
            </w:r>
            <w:r w:rsidR="007C725A" w:rsidRPr="00EE43C6">
              <w:rPr>
                <w:rFonts w:cs="Arial"/>
                <w:sz w:val="18"/>
                <w:szCs w:val="18"/>
              </w:rPr>
              <w:t>P</w:t>
            </w:r>
            <w:r w:rsidRPr="00EE43C6">
              <w:rPr>
                <w:rFonts w:cs="Arial"/>
                <w:sz w:val="18"/>
                <w:szCs w:val="18"/>
              </w:rPr>
              <w:t>roject.</w:t>
            </w:r>
          </w:p>
        </w:tc>
      </w:tr>
      <w:tr w:rsidR="00A61E86" w:rsidRPr="00EE43C6" w14:paraId="298721FB" w14:textId="285CAD3D" w:rsidTr="00E67C71">
        <w:tc>
          <w:tcPr>
            <w:tcW w:w="1159" w:type="pct"/>
            <w:tcBorders>
              <w:bottom w:val="single" w:sz="4" w:space="0" w:color="auto"/>
            </w:tcBorders>
            <w:shd w:val="clear" w:color="auto" w:fill="FFFFFF" w:themeFill="background1"/>
            <w:vAlign w:val="center"/>
          </w:tcPr>
          <w:p w14:paraId="6645841F" w14:textId="49145958"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w:t>
            </w:r>
            <w:r w:rsidR="00111015">
              <w:rPr>
                <w:rFonts w:cs="Arial"/>
                <w:sz w:val="18"/>
                <w:szCs w:val="18"/>
              </w:rPr>
              <w:t xml:space="preserve"> </w:t>
            </w:r>
            <w:r w:rsidR="0017149A">
              <w:rPr>
                <w:rFonts w:cs="Arial"/>
                <w:sz w:val="18"/>
                <w:szCs w:val="18"/>
              </w:rPr>
              <w:t>Management</w:t>
            </w:r>
            <w:r w:rsidR="0017149A" w:rsidRPr="00EE43C6">
              <w:rPr>
                <w:rFonts w:cs="Arial"/>
                <w:sz w:val="18"/>
                <w:szCs w:val="18"/>
              </w:rPr>
              <w:t xml:space="preserve"> </w:t>
            </w:r>
            <w:r w:rsidRPr="00EE43C6">
              <w:rPr>
                <w:rFonts w:cs="Arial"/>
                <w:sz w:val="18"/>
                <w:szCs w:val="18"/>
              </w:rPr>
              <w:t>of Waste Electrical and Electronic Equipment</w:t>
            </w:r>
          </w:p>
        </w:tc>
        <w:tc>
          <w:tcPr>
            <w:tcW w:w="1263" w:type="pct"/>
            <w:tcBorders>
              <w:bottom w:val="single" w:sz="4" w:space="0" w:color="auto"/>
            </w:tcBorders>
            <w:shd w:val="clear" w:color="auto" w:fill="FFFFFF" w:themeFill="background1"/>
            <w:vAlign w:val="center"/>
          </w:tcPr>
          <w:p w14:paraId="13EA95F2" w14:textId="69C4E45A" w:rsidR="00A61E86" w:rsidRPr="00EE43C6" w:rsidRDefault="00A61E86" w:rsidP="00A61E86">
            <w:pPr>
              <w:keepNext/>
              <w:spacing w:before="40" w:after="40" w:line="240" w:lineRule="auto"/>
              <w:jc w:val="left"/>
              <w:rPr>
                <w:rFonts w:cs="MS Gothic"/>
                <w:sz w:val="18"/>
                <w:szCs w:val="18"/>
              </w:rPr>
            </w:pPr>
            <w:r w:rsidRPr="00EE43C6">
              <w:rPr>
                <w:rFonts w:cs="Arial"/>
                <w:sz w:val="18"/>
                <w:szCs w:val="18"/>
              </w:rPr>
              <w:t xml:space="preserve">OG. No. </w:t>
            </w:r>
            <w:r w:rsidR="00111015">
              <w:rPr>
                <w:rFonts w:cs="Arial"/>
                <w:sz w:val="18"/>
                <w:szCs w:val="18"/>
              </w:rPr>
              <w:t>32055</w:t>
            </w:r>
            <w:r w:rsidR="00111015" w:rsidRPr="00EE43C6">
              <w:rPr>
                <w:rFonts w:cs="Arial"/>
                <w:sz w:val="18"/>
                <w:szCs w:val="18"/>
              </w:rPr>
              <w:t xml:space="preserve"> </w:t>
            </w:r>
            <w:r w:rsidRPr="00EE43C6">
              <w:rPr>
                <w:rFonts w:cs="Arial"/>
                <w:sz w:val="18"/>
                <w:szCs w:val="18"/>
              </w:rPr>
              <w:t xml:space="preserve">dated </w:t>
            </w:r>
            <w:r w:rsidR="00111015" w:rsidRPr="00EE43C6">
              <w:rPr>
                <w:rFonts w:cs="Arial"/>
                <w:sz w:val="18"/>
                <w:szCs w:val="18"/>
              </w:rPr>
              <w:t>2</w:t>
            </w:r>
            <w:r w:rsidR="00111015">
              <w:rPr>
                <w:rFonts w:cs="Arial"/>
                <w:sz w:val="18"/>
                <w:szCs w:val="18"/>
              </w:rPr>
              <w:t>6</w:t>
            </w:r>
            <w:r w:rsidR="00111015" w:rsidRPr="00EE43C6">
              <w:rPr>
                <w:rFonts w:cs="Arial"/>
                <w:sz w:val="18"/>
                <w:szCs w:val="18"/>
              </w:rPr>
              <w:t xml:space="preserve"> </w:t>
            </w:r>
            <w:r w:rsidR="00111015">
              <w:rPr>
                <w:rFonts w:cs="Arial"/>
                <w:sz w:val="18"/>
                <w:szCs w:val="18"/>
              </w:rPr>
              <w:t>December</w:t>
            </w:r>
            <w:r w:rsidR="00111015" w:rsidRPr="00EE43C6">
              <w:rPr>
                <w:rFonts w:cs="Arial"/>
                <w:sz w:val="18"/>
                <w:szCs w:val="18"/>
              </w:rPr>
              <w:t xml:space="preserve"> 20</w:t>
            </w:r>
            <w:r w:rsidR="00111015">
              <w:rPr>
                <w:rFonts w:cs="Arial"/>
                <w:sz w:val="18"/>
                <w:szCs w:val="18"/>
              </w:rPr>
              <w:t>2</w:t>
            </w:r>
            <w:r w:rsidR="00111015" w:rsidRPr="00EE43C6">
              <w:rPr>
                <w:rFonts w:cs="Arial"/>
                <w:sz w:val="18"/>
                <w:szCs w:val="18"/>
              </w:rPr>
              <w:t>2</w:t>
            </w:r>
          </w:p>
        </w:tc>
        <w:tc>
          <w:tcPr>
            <w:tcW w:w="2578" w:type="pct"/>
            <w:tcBorders>
              <w:bottom w:val="single" w:sz="4" w:space="0" w:color="auto"/>
            </w:tcBorders>
            <w:shd w:val="clear" w:color="auto" w:fill="FFFFFF" w:themeFill="background1"/>
          </w:tcPr>
          <w:p w14:paraId="066EC7B8" w14:textId="2FC8B883" w:rsidR="00A61E86" w:rsidRPr="00EE43C6" w:rsidRDefault="000A3FDF" w:rsidP="006C7EC6">
            <w:pPr>
              <w:keepNext/>
              <w:spacing w:before="40" w:after="40" w:line="240" w:lineRule="auto"/>
              <w:rPr>
                <w:rFonts w:cs="Arial"/>
                <w:sz w:val="18"/>
                <w:szCs w:val="18"/>
              </w:rPr>
            </w:pPr>
            <w:r w:rsidRPr="00EE43C6">
              <w:rPr>
                <w:rFonts w:cs="Arial"/>
                <w:sz w:val="18"/>
                <w:szCs w:val="18"/>
              </w:rPr>
              <w:t xml:space="preserve">It is the regulation on electrical and electronic </w:t>
            </w:r>
            <w:r w:rsidR="00D63BE1" w:rsidRPr="00EE43C6">
              <w:rPr>
                <w:rFonts w:cs="Arial"/>
                <w:sz w:val="18"/>
                <w:szCs w:val="18"/>
              </w:rPr>
              <w:t xml:space="preserve">equipment </w:t>
            </w:r>
            <w:r w:rsidRPr="00EE43C6">
              <w:rPr>
                <w:rFonts w:cs="Arial"/>
                <w:sz w:val="18"/>
                <w:szCs w:val="18"/>
              </w:rPr>
              <w:t>waste as a result of activities to be carried out throughout the life</w:t>
            </w:r>
            <w:r w:rsidR="00D63BE1" w:rsidRPr="00EE43C6">
              <w:rPr>
                <w:rFonts w:cs="Arial"/>
                <w:sz w:val="18"/>
                <w:szCs w:val="18"/>
              </w:rPr>
              <w:t>time</w:t>
            </w:r>
            <w:r w:rsidRPr="00EE43C6">
              <w:rPr>
                <w:rFonts w:cs="Arial"/>
                <w:sz w:val="18"/>
                <w:szCs w:val="18"/>
              </w:rPr>
              <w:t xml:space="preserve"> of the </w:t>
            </w:r>
            <w:r w:rsidR="007C725A" w:rsidRPr="00EE43C6">
              <w:rPr>
                <w:rFonts w:cs="Arial"/>
                <w:sz w:val="18"/>
                <w:szCs w:val="18"/>
              </w:rPr>
              <w:t>P</w:t>
            </w:r>
            <w:r w:rsidRPr="00EE43C6">
              <w:rPr>
                <w:rFonts w:cs="Arial"/>
                <w:sz w:val="18"/>
                <w:szCs w:val="18"/>
              </w:rPr>
              <w:t>roject.</w:t>
            </w:r>
          </w:p>
        </w:tc>
      </w:tr>
      <w:tr w:rsidR="00A61E86" w:rsidRPr="00EE43C6" w14:paraId="2172EF82" w14:textId="62F0870D" w:rsidTr="00E67C71">
        <w:trPr>
          <w:trHeight w:val="1110"/>
        </w:trPr>
        <w:tc>
          <w:tcPr>
            <w:tcW w:w="1159" w:type="pct"/>
            <w:tcBorders>
              <w:bottom w:val="single" w:sz="4" w:space="0" w:color="auto"/>
            </w:tcBorders>
            <w:shd w:val="clear" w:color="auto" w:fill="FFFFFF" w:themeFill="background1"/>
            <w:vAlign w:val="center"/>
          </w:tcPr>
          <w:p w14:paraId="402F7572" w14:textId="2C8ADD73"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the Control of Excavation Soil, Construction and Demolition Wastes</w:t>
            </w:r>
          </w:p>
        </w:tc>
        <w:tc>
          <w:tcPr>
            <w:tcW w:w="1263" w:type="pct"/>
            <w:tcBorders>
              <w:bottom w:val="single" w:sz="4" w:space="0" w:color="auto"/>
            </w:tcBorders>
            <w:shd w:val="clear" w:color="auto" w:fill="FFFFFF" w:themeFill="background1"/>
            <w:vAlign w:val="center"/>
          </w:tcPr>
          <w:p w14:paraId="77B97964" w14:textId="019DB83F" w:rsidR="00A61E86" w:rsidRPr="00EE43C6" w:rsidRDefault="00A61E86" w:rsidP="00A61E86">
            <w:pPr>
              <w:spacing w:before="40" w:after="40" w:line="240" w:lineRule="auto"/>
              <w:jc w:val="left"/>
              <w:rPr>
                <w:rFonts w:cs="MS Gothic"/>
                <w:sz w:val="18"/>
                <w:szCs w:val="18"/>
              </w:rPr>
            </w:pPr>
            <w:r w:rsidRPr="00EE43C6">
              <w:rPr>
                <w:rFonts w:cs="Arial"/>
                <w:sz w:val="18"/>
                <w:szCs w:val="18"/>
              </w:rPr>
              <w:t>OG. No. 25406 dated 18 March 2004</w:t>
            </w:r>
          </w:p>
        </w:tc>
        <w:tc>
          <w:tcPr>
            <w:tcW w:w="2578" w:type="pct"/>
            <w:tcBorders>
              <w:bottom w:val="single" w:sz="4" w:space="0" w:color="auto"/>
            </w:tcBorders>
            <w:shd w:val="clear" w:color="auto" w:fill="FFFFFF" w:themeFill="background1"/>
          </w:tcPr>
          <w:p w14:paraId="4079FA2E" w14:textId="35E873DA" w:rsidR="00A61E86" w:rsidRPr="00EE43C6" w:rsidRDefault="00EF5A2D" w:rsidP="006C7EC6">
            <w:pPr>
              <w:spacing w:before="40" w:after="40" w:line="240" w:lineRule="auto"/>
              <w:rPr>
                <w:rFonts w:cs="Arial"/>
                <w:sz w:val="18"/>
                <w:szCs w:val="18"/>
              </w:rPr>
            </w:pPr>
            <w:r w:rsidRPr="00EE43C6">
              <w:rPr>
                <w:rFonts w:cs="Arial"/>
                <w:sz w:val="18"/>
                <w:szCs w:val="18"/>
              </w:rPr>
              <w:t xml:space="preserve">It is the regulation that is subject to activities that will cause </w:t>
            </w:r>
            <w:r w:rsidR="00E96A00" w:rsidRPr="00EE43C6">
              <w:rPr>
                <w:rFonts w:cs="Arial"/>
                <w:sz w:val="18"/>
                <w:szCs w:val="18"/>
              </w:rPr>
              <w:t xml:space="preserve">generation of </w:t>
            </w:r>
            <w:r w:rsidRPr="00EE43C6">
              <w:rPr>
                <w:rFonts w:cs="Arial"/>
                <w:sz w:val="18"/>
                <w:szCs w:val="18"/>
              </w:rPr>
              <w:t>excavation soil</w:t>
            </w:r>
            <w:r w:rsidR="00E96A00" w:rsidRPr="00EE43C6">
              <w:rPr>
                <w:rFonts w:cs="Arial"/>
                <w:sz w:val="18"/>
                <w:szCs w:val="18"/>
              </w:rPr>
              <w:t xml:space="preserve">, construction and demolition </w:t>
            </w:r>
            <w:r w:rsidRPr="00EE43C6">
              <w:rPr>
                <w:rFonts w:cs="Arial"/>
                <w:sz w:val="18"/>
                <w:szCs w:val="18"/>
              </w:rPr>
              <w:t>waste</w:t>
            </w:r>
            <w:r w:rsidR="00E96A00" w:rsidRPr="00EE43C6">
              <w:rPr>
                <w:rFonts w:cs="Arial"/>
                <w:sz w:val="18"/>
                <w:szCs w:val="18"/>
              </w:rPr>
              <w:t>s</w:t>
            </w:r>
            <w:r w:rsidRPr="00EE43C6">
              <w:rPr>
                <w:rFonts w:cs="Arial"/>
                <w:sz w:val="18"/>
                <w:szCs w:val="18"/>
              </w:rPr>
              <w:t xml:space="preserve"> </w:t>
            </w:r>
            <w:r w:rsidR="00E96A00" w:rsidRPr="00EE43C6">
              <w:rPr>
                <w:rFonts w:cs="Arial"/>
                <w:sz w:val="18"/>
                <w:szCs w:val="18"/>
              </w:rPr>
              <w:t xml:space="preserve">during especially </w:t>
            </w:r>
            <w:r w:rsidR="00C81507" w:rsidRPr="00EE43C6">
              <w:rPr>
                <w:rFonts w:cs="Arial"/>
                <w:sz w:val="18"/>
                <w:szCs w:val="18"/>
              </w:rPr>
              <w:t xml:space="preserve">the construction phase </w:t>
            </w:r>
            <w:r w:rsidRPr="00EE43C6">
              <w:rPr>
                <w:rFonts w:cs="Arial"/>
                <w:sz w:val="18"/>
                <w:szCs w:val="18"/>
              </w:rPr>
              <w:t>of the Project.</w:t>
            </w:r>
          </w:p>
        </w:tc>
      </w:tr>
      <w:tr w:rsidR="00A61E86" w:rsidRPr="00EE43C6" w14:paraId="6429BDC8" w14:textId="227F853D" w:rsidTr="00E67C71">
        <w:trPr>
          <w:trHeight w:val="768"/>
        </w:trPr>
        <w:tc>
          <w:tcPr>
            <w:tcW w:w="1159" w:type="pct"/>
            <w:tcBorders>
              <w:bottom w:val="single" w:sz="4" w:space="0" w:color="auto"/>
            </w:tcBorders>
            <w:shd w:val="clear" w:color="auto" w:fill="FFFFFF" w:themeFill="background1"/>
            <w:vAlign w:val="center"/>
          </w:tcPr>
          <w:p w14:paraId="515B2392" w14:textId="41793806" w:rsidR="00A61E86" w:rsidRPr="00EE43C6" w:rsidRDefault="00A211CE" w:rsidP="00A61E86">
            <w:pPr>
              <w:spacing w:before="40" w:after="40" w:line="240" w:lineRule="auto"/>
              <w:jc w:val="left"/>
              <w:rPr>
                <w:rFonts w:cs="MS Gothic"/>
                <w:sz w:val="18"/>
                <w:szCs w:val="18"/>
              </w:rPr>
            </w:pPr>
            <w:r w:rsidRPr="00EE43C6">
              <w:rPr>
                <w:rFonts w:cs="Arial"/>
                <w:sz w:val="18"/>
                <w:szCs w:val="18"/>
              </w:rPr>
              <w:t xml:space="preserve">Regulation </w:t>
            </w:r>
            <w:r>
              <w:rPr>
                <w:rFonts w:cs="Arial"/>
                <w:sz w:val="18"/>
                <w:szCs w:val="18"/>
              </w:rPr>
              <w:t xml:space="preserve">on </w:t>
            </w:r>
            <w:r w:rsidRPr="00EE43C6">
              <w:rPr>
                <w:rFonts w:cs="Arial"/>
                <w:sz w:val="18"/>
                <w:szCs w:val="18"/>
              </w:rPr>
              <w:t xml:space="preserve">Control </w:t>
            </w:r>
            <w:r>
              <w:rPr>
                <w:rFonts w:cs="Arial"/>
                <w:sz w:val="18"/>
                <w:szCs w:val="18"/>
              </w:rPr>
              <w:t xml:space="preserve">of </w:t>
            </w:r>
            <w:r w:rsidR="00A61E86" w:rsidRPr="00EE43C6">
              <w:rPr>
                <w:rFonts w:cs="Arial"/>
                <w:sz w:val="18"/>
                <w:szCs w:val="18"/>
              </w:rPr>
              <w:t xml:space="preserve">Packaging Waste </w:t>
            </w:r>
          </w:p>
        </w:tc>
        <w:tc>
          <w:tcPr>
            <w:tcW w:w="1263" w:type="pct"/>
            <w:tcBorders>
              <w:bottom w:val="single" w:sz="4" w:space="0" w:color="auto"/>
            </w:tcBorders>
            <w:shd w:val="clear" w:color="auto" w:fill="FFFFFF" w:themeFill="background1"/>
            <w:vAlign w:val="center"/>
          </w:tcPr>
          <w:p w14:paraId="30706D9C" w14:textId="6B1495F6" w:rsidR="00A61E86" w:rsidRPr="00EE43C6" w:rsidRDefault="00A61E86" w:rsidP="00A61E86">
            <w:pPr>
              <w:spacing w:before="40" w:after="40" w:line="240" w:lineRule="auto"/>
              <w:jc w:val="left"/>
              <w:rPr>
                <w:rFonts w:cs="MS Gothic"/>
                <w:sz w:val="18"/>
                <w:szCs w:val="18"/>
              </w:rPr>
            </w:pPr>
            <w:r w:rsidRPr="00EE43C6">
              <w:rPr>
                <w:rFonts w:cs="Arial"/>
                <w:sz w:val="18"/>
                <w:szCs w:val="18"/>
              </w:rPr>
              <w:t xml:space="preserve">OG. No. </w:t>
            </w:r>
            <w:r w:rsidR="000A316F" w:rsidRPr="00EE43C6">
              <w:rPr>
                <w:rFonts w:cs="Arial"/>
                <w:sz w:val="18"/>
                <w:szCs w:val="18"/>
              </w:rPr>
              <w:t>3</w:t>
            </w:r>
            <w:r w:rsidR="000A316F">
              <w:rPr>
                <w:rFonts w:cs="Arial"/>
                <w:sz w:val="18"/>
                <w:szCs w:val="18"/>
              </w:rPr>
              <w:t>1523</w:t>
            </w:r>
            <w:r w:rsidR="000A316F" w:rsidRPr="00EE43C6">
              <w:rPr>
                <w:rFonts w:cs="Arial"/>
                <w:sz w:val="18"/>
                <w:szCs w:val="18"/>
              </w:rPr>
              <w:t xml:space="preserve"> </w:t>
            </w:r>
            <w:r w:rsidRPr="00EE43C6">
              <w:rPr>
                <w:rFonts w:cs="Arial"/>
                <w:sz w:val="18"/>
                <w:szCs w:val="18"/>
              </w:rPr>
              <w:t xml:space="preserve">dated </w:t>
            </w:r>
            <w:r w:rsidR="000A316F" w:rsidRPr="00EE43C6">
              <w:rPr>
                <w:rFonts w:cs="Arial"/>
                <w:sz w:val="18"/>
                <w:szCs w:val="18"/>
              </w:rPr>
              <w:t>2</w:t>
            </w:r>
            <w:r w:rsidR="000A316F">
              <w:rPr>
                <w:rFonts w:cs="Arial"/>
                <w:sz w:val="18"/>
                <w:szCs w:val="18"/>
              </w:rPr>
              <w:t>6</w:t>
            </w:r>
            <w:r w:rsidR="000A316F" w:rsidRPr="00EE43C6">
              <w:rPr>
                <w:rFonts w:cs="Arial"/>
                <w:sz w:val="18"/>
                <w:szCs w:val="18"/>
              </w:rPr>
              <w:t xml:space="preserve"> </w:t>
            </w:r>
            <w:r w:rsidR="000A316F">
              <w:rPr>
                <w:rFonts w:cs="Arial"/>
                <w:sz w:val="18"/>
                <w:szCs w:val="18"/>
              </w:rPr>
              <w:t>June</w:t>
            </w:r>
            <w:r w:rsidR="000A316F" w:rsidRPr="00EE43C6">
              <w:rPr>
                <w:rFonts w:cs="Arial"/>
                <w:sz w:val="18"/>
                <w:szCs w:val="18"/>
              </w:rPr>
              <w:t xml:space="preserve"> 20</w:t>
            </w:r>
            <w:r w:rsidR="000A316F">
              <w:rPr>
                <w:rFonts w:cs="Arial"/>
                <w:sz w:val="18"/>
                <w:szCs w:val="18"/>
              </w:rPr>
              <w:t>21</w:t>
            </w:r>
          </w:p>
        </w:tc>
        <w:tc>
          <w:tcPr>
            <w:tcW w:w="2578" w:type="pct"/>
            <w:tcBorders>
              <w:bottom w:val="single" w:sz="4" w:space="0" w:color="auto"/>
            </w:tcBorders>
            <w:shd w:val="clear" w:color="auto" w:fill="FFFFFF" w:themeFill="background1"/>
          </w:tcPr>
          <w:p w14:paraId="1127366D" w14:textId="717C4EA0" w:rsidR="00A61E86" w:rsidRPr="00EE43C6" w:rsidRDefault="00AE6C79" w:rsidP="006C7EC6">
            <w:pPr>
              <w:spacing w:before="40" w:after="40" w:line="240" w:lineRule="auto"/>
              <w:rPr>
                <w:rFonts w:cs="Arial"/>
                <w:sz w:val="18"/>
                <w:szCs w:val="18"/>
              </w:rPr>
            </w:pPr>
            <w:r w:rsidRPr="00EE43C6">
              <w:rPr>
                <w:rFonts w:cs="Arial"/>
                <w:sz w:val="18"/>
                <w:szCs w:val="18"/>
              </w:rPr>
              <w:t xml:space="preserve">It is the regulation on packaging waste that </w:t>
            </w:r>
            <w:r w:rsidR="00850910" w:rsidRPr="00EE43C6">
              <w:rPr>
                <w:rFonts w:cs="Arial"/>
                <w:sz w:val="18"/>
                <w:szCs w:val="18"/>
              </w:rPr>
              <w:t>will</w:t>
            </w:r>
            <w:r w:rsidRPr="00EE43C6">
              <w:rPr>
                <w:rFonts w:cs="Arial"/>
                <w:sz w:val="18"/>
                <w:szCs w:val="18"/>
              </w:rPr>
              <w:t xml:space="preserve"> occur as a result of activities that can be carried out throughout the life</w:t>
            </w:r>
            <w:r w:rsidR="00A664BD" w:rsidRPr="00EE43C6">
              <w:rPr>
                <w:rFonts w:cs="Arial"/>
                <w:sz w:val="18"/>
                <w:szCs w:val="18"/>
              </w:rPr>
              <w:t>time</w:t>
            </w:r>
            <w:r w:rsidRPr="00EE43C6">
              <w:rPr>
                <w:rFonts w:cs="Arial"/>
                <w:sz w:val="18"/>
                <w:szCs w:val="18"/>
              </w:rPr>
              <w:t xml:space="preserve"> of the </w:t>
            </w:r>
            <w:r w:rsidR="007C725A" w:rsidRPr="00EE43C6">
              <w:rPr>
                <w:rFonts w:cs="Arial"/>
                <w:sz w:val="18"/>
                <w:szCs w:val="18"/>
              </w:rPr>
              <w:t>P</w:t>
            </w:r>
            <w:r w:rsidRPr="00EE43C6">
              <w:rPr>
                <w:rFonts w:cs="Arial"/>
                <w:sz w:val="18"/>
                <w:szCs w:val="18"/>
              </w:rPr>
              <w:t>roject.</w:t>
            </w:r>
          </w:p>
        </w:tc>
      </w:tr>
      <w:tr w:rsidR="00A61E86" w:rsidRPr="00EE43C6" w14:paraId="34C2DA5C" w14:textId="285FAF18" w:rsidTr="00E67C71">
        <w:trPr>
          <w:trHeight w:val="764"/>
        </w:trPr>
        <w:tc>
          <w:tcPr>
            <w:tcW w:w="1159" w:type="pct"/>
            <w:tcBorders>
              <w:bottom w:val="single" w:sz="4" w:space="0" w:color="auto"/>
            </w:tcBorders>
            <w:shd w:val="clear" w:color="auto" w:fill="FFFFFF" w:themeFill="background1"/>
            <w:vAlign w:val="center"/>
          </w:tcPr>
          <w:p w14:paraId="30627FC4" w14:textId="4CB70CB3" w:rsidR="00A61E86" w:rsidRPr="00EE43C6" w:rsidRDefault="00A61E86" w:rsidP="00A61E86">
            <w:pPr>
              <w:spacing w:before="40" w:after="40" w:line="240" w:lineRule="auto"/>
              <w:jc w:val="left"/>
              <w:rPr>
                <w:rFonts w:cs="MS Gothic"/>
                <w:sz w:val="18"/>
                <w:szCs w:val="18"/>
              </w:rPr>
            </w:pPr>
            <w:r w:rsidRPr="00EE43C6">
              <w:rPr>
                <w:rFonts w:cs="Arial"/>
                <w:sz w:val="18"/>
                <w:szCs w:val="18"/>
              </w:rPr>
              <w:t>Medical Waste Control Regulation</w:t>
            </w:r>
          </w:p>
        </w:tc>
        <w:tc>
          <w:tcPr>
            <w:tcW w:w="1263" w:type="pct"/>
            <w:tcBorders>
              <w:bottom w:val="single" w:sz="4" w:space="0" w:color="auto"/>
            </w:tcBorders>
            <w:shd w:val="clear" w:color="auto" w:fill="FFFFFF" w:themeFill="background1"/>
            <w:vAlign w:val="center"/>
          </w:tcPr>
          <w:p w14:paraId="4DCC6170" w14:textId="73504620" w:rsidR="00A61E86" w:rsidRPr="00EE43C6" w:rsidRDefault="00A61E86" w:rsidP="00A61E86">
            <w:pPr>
              <w:spacing w:before="40" w:after="40" w:line="240" w:lineRule="auto"/>
              <w:jc w:val="left"/>
              <w:rPr>
                <w:rFonts w:cs="MS Gothic"/>
                <w:sz w:val="18"/>
                <w:szCs w:val="18"/>
              </w:rPr>
            </w:pPr>
            <w:r w:rsidRPr="00EE43C6">
              <w:rPr>
                <w:rFonts w:cs="Arial"/>
                <w:sz w:val="18"/>
                <w:szCs w:val="18"/>
              </w:rPr>
              <w:t>OG. No. 29959 dated 25 January 2017</w:t>
            </w:r>
          </w:p>
        </w:tc>
        <w:tc>
          <w:tcPr>
            <w:tcW w:w="2578" w:type="pct"/>
            <w:tcBorders>
              <w:bottom w:val="single" w:sz="4" w:space="0" w:color="auto"/>
            </w:tcBorders>
            <w:shd w:val="clear" w:color="auto" w:fill="FFFFFF" w:themeFill="background1"/>
          </w:tcPr>
          <w:p w14:paraId="79CCE7BC" w14:textId="5A9C5A42" w:rsidR="00A61E86" w:rsidRPr="00EE43C6" w:rsidRDefault="0053741F" w:rsidP="006C7EC6">
            <w:pPr>
              <w:spacing w:before="40" w:after="40" w:line="240" w:lineRule="auto"/>
              <w:rPr>
                <w:rFonts w:cs="Arial"/>
                <w:sz w:val="18"/>
                <w:szCs w:val="18"/>
              </w:rPr>
            </w:pPr>
            <w:r w:rsidRPr="00EE43C6">
              <w:rPr>
                <w:rFonts w:cs="Arial"/>
                <w:sz w:val="18"/>
                <w:szCs w:val="18"/>
              </w:rPr>
              <w:t>It is the regulation on the generation of medical waste as a result of first aid treatment throughout the life</w:t>
            </w:r>
            <w:r w:rsidR="008344EC" w:rsidRPr="00EE43C6">
              <w:rPr>
                <w:rFonts w:cs="Arial"/>
                <w:sz w:val="18"/>
                <w:szCs w:val="18"/>
              </w:rPr>
              <w:t>time</w:t>
            </w:r>
            <w:r w:rsidRPr="00EE43C6">
              <w:rPr>
                <w:rFonts w:cs="Arial"/>
                <w:sz w:val="18"/>
                <w:szCs w:val="18"/>
              </w:rPr>
              <w:t xml:space="preserve"> of the </w:t>
            </w:r>
            <w:r w:rsidR="007C725A" w:rsidRPr="00EE43C6">
              <w:rPr>
                <w:rFonts w:cs="Arial"/>
                <w:sz w:val="18"/>
                <w:szCs w:val="18"/>
              </w:rPr>
              <w:t>P</w:t>
            </w:r>
            <w:r w:rsidRPr="00EE43C6">
              <w:rPr>
                <w:rFonts w:cs="Arial"/>
                <w:sz w:val="18"/>
                <w:szCs w:val="18"/>
              </w:rPr>
              <w:t>roject.</w:t>
            </w:r>
          </w:p>
        </w:tc>
      </w:tr>
      <w:tr w:rsidR="00A61E86" w:rsidRPr="00EE43C6" w14:paraId="4950733F" w14:textId="44E30418" w:rsidTr="00E67C71">
        <w:tc>
          <w:tcPr>
            <w:tcW w:w="1159" w:type="pct"/>
            <w:tcBorders>
              <w:bottom w:val="single" w:sz="4" w:space="0" w:color="auto"/>
            </w:tcBorders>
            <w:shd w:val="clear" w:color="auto" w:fill="FFFFFF" w:themeFill="background1"/>
            <w:vAlign w:val="center"/>
          </w:tcPr>
          <w:p w14:paraId="323FB8A4" w14:textId="256F1562"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the Control of Waste Batteries and Accumulators</w:t>
            </w:r>
          </w:p>
        </w:tc>
        <w:tc>
          <w:tcPr>
            <w:tcW w:w="1263" w:type="pct"/>
            <w:tcBorders>
              <w:bottom w:val="single" w:sz="4" w:space="0" w:color="auto"/>
            </w:tcBorders>
            <w:shd w:val="clear" w:color="auto" w:fill="FFFFFF" w:themeFill="background1"/>
            <w:vAlign w:val="center"/>
          </w:tcPr>
          <w:p w14:paraId="519B2E6A" w14:textId="635DFE15" w:rsidR="00A61E86" w:rsidRPr="00EE43C6" w:rsidRDefault="00A61E86" w:rsidP="00A61E86">
            <w:pPr>
              <w:spacing w:before="40" w:after="40" w:line="240" w:lineRule="auto"/>
              <w:jc w:val="left"/>
              <w:rPr>
                <w:rFonts w:cs="MS Gothic"/>
                <w:sz w:val="18"/>
                <w:szCs w:val="18"/>
              </w:rPr>
            </w:pPr>
            <w:r w:rsidRPr="00EE43C6">
              <w:rPr>
                <w:rFonts w:cs="Arial"/>
                <w:sz w:val="18"/>
                <w:szCs w:val="18"/>
              </w:rPr>
              <w:t>OG. No. 25569 dated 31 August 2004</w:t>
            </w:r>
          </w:p>
        </w:tc>
        <w:tc>
          <w:tcPr>
            <w:tcW w:w="2578" w:type="pct"/>
            <w:tcBorders>
              <w:bottom w:val="single" w:sz="4" w:space="0" w:color="auto"/>
            </w:tcBorders>
            <w:shd w:val="clear" w:color="auto" w:fill="FFFFFF" w:themeFill="background1"/>
          </w:tcPr>
          <w:p w14:paraId="5420DCAB" w14:textId="13C18559" w:rsidR="00A61E86" w:rsidRPr="00EE43C6" w:rsidRDefault="0043016C" w:rsidP="006C7EC6">
            <w:pPr>
              <w:spacing w:before="40" w:after="40" w:line="240" w:lineRule="auto"/>
              <w:rPr>
                <w:rFonts w:cs="Arial"/>
                <w:sz w:val="18"/>
                <w:szCs w:val="18"/>
              </w:rPr>
            </w:pPr>
            <w:r w:rsidRPr="00EE43C6">
              <w:rPr>
                <w:rFonts w:cs="Arial"/>
                <w:sz w:val="18"/>
                <w:szCs w:val="18"/>
              </w:rPr>
              <w:t>It is the regulation on battery and accumulator wastes that may occur as a result of office or vehicle use throughout the life</w:t>
            </w:r>
            <w:r w:rsidR="008344EC" w:rsidRPr="00EE43C6">
              <w:rPr>
                <w:rFonts w:cs="Arial"/>
                <w:sz w:val="18"/>
                <w:szCs w:val="18"/>
              </w:rPr>
              <w:t>time</w:t>
            </w:r>
            <w:r w:rsidRPr="00EE43C6">
              <w:rPr>
                <w:rFonts w:cs="Arial"/>
                <w:sz w:val="18"/>
                <w:szCs w:val="18"/>
              </w:rPr>
              <w:t xml:space="preserve"> of the </w:t>
            </w:r>
            <w:r w:rsidR="007C725A" w:rsidRPr="00EE43C6">
              <w:rPr>
                <w:rFonts w:cs="Arial"/>
                <w:sz w:val="18"/>
                <w:szCs w:val="18"/>
              </w:rPr>
              <w:t>P</w:t>
            </w:r>
            <w:r w:rsidRPr="00EE43C6">
              <w:rPr>
                <w:rFonts w:cs="Arial"/>
                <w:sz w:val="18"/>
                <w:szCs w:val="18"/>
              </w:rPr>
              <w:t>roject.</w:t>
            </w:r>
          </w:p>
        </w:tc>
      </w:tr>
      <w:tr w:rsidR="00A61E86" w:rsidRPr="00EE43C6" w14:paraId="4E3EFD29" w14:textId="377519A1" w:rsidTr="00E67C71">
        <w:trPr>
          <w:trHeight w:val="1256"/>
        </w:trPr>
        <w:tc>
          <w:tcPr>
            <w:tcW w:w="1159" w:type="pct"/>
            <w:tcBorders>
              <w:bottom w:val="single" w:sz="4" w:space="0" w:color="auto"/>
            </w:tcBorders>
            <w:shd w:val="clear" w:color="auto" w:fill="FFFFFF" w:themeFill="background1"/>
            <w:vAlign w:val="center"/>
          </w:tcPr>
          <w:p w14:paraId="782D90C9" w14:textId="171F7CEC"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the Management of Waste Oils</w:t>
            </w:r>
          </w:p>
        </w:tc>
        <w:tc>
          <w:tcPr>
            <w:tcW w:w="1263" w:type="pct"/>
            <w:tcBorders>
              <w:bottom w:val="single" w:sz="4" w:space="0" w:color="auto"/>
            </w:tcBorders>
            <w:shd w:val="clear" w:color="auto" w:fill="FFFFFF" w:themeFill="background1"/>
            <w:vAlign w:val="center"/>
          </w:tcPr>
          <w:p w14:paraId="52BB226A" w14:textId="77777777" w:rsidR="00A61E86" w:rsidRDefault="00A61E86" w:rsidP="00A61E86">
            <w:pPr>
              <w:spacing w:before="40" w:after="40" w:line="240" w:lineRule="auto"/>
              <w:jc w:val="left"/>
              <w:rPr>
                <w:rFonts w:cs="Arial"/>
                <w:sz w:val="18"/>
                <w:szCs w:val="18"/>
              </w:rPr>
            </w:pPr>
            <w:r w:rsidRPr="00EE43C6">
              <w:rPr>
                <w:rFonts w:cs="Arial"/>
                <w:sz w:val="18"/>
                <w:szCs w:val="18"/>
              </w:rPr>
              <w:t>OG. No. 30985 dated 21 December 2019</w:t>
            </w:r>
          </w:p>
          <w:p w14:paraId="07186749" w14:textId="4DE45BBD" w:rsidR="006F461B" w:rsidRPr="00EE43C6" w:rsidRDefault="006F461B" w:rsidP="00A61E86">
            <w:pPr>
              <w:spacing w:before="40" w:after="40" w:line="240" w:lineRule="auto"/>
              <w:jc w:val="left"/>
              <w:rPr>
                <w:rFonts w:cs="MS Gothic"/>
                <w:sz w:val="18"/>
                <w:szCs w:val="18"/>
              </w:rPr>
            </w:pPr>
            <w:r>
              <w:rPr>
                <w:rFonts w:cs="MS Gothic"/>
                <w:sz w:val="18"/>
                <w:szCs w:val="18"/>
              </w:rPr>
              <w:t>(</w:t>
            </w:r>
            <w:r w:rsidR="008429D6">
              <w:rPr>
                <w:rFonts w:cs="MS Gothic"/>
                <w:sz w:val="18"/>
                <w:szCs w:val="18"/>
              </w:rPr>
              <w:t>Last</w:t>
            </w:r>
            <w:r w:rsidR="001D6BDD">
              <w:rPr>
                <w:rFonts w:cs="MS Gothic"/>
                <w:sz w:val="18"/>
                <w:szCs w:val="18"/>
              </w:rPr>
              <w:t xml:space="preserve"> </w:t>
            </w:r>
            <w:r w:rsidR="001D6BDD" w:rsidRPr="001D6BDD">
              <w:rPr>
                <w:rFonts w:cs="MS Gothic"/>
                <w:sz w:val="18"/>
                <w:szCs w:val="18"/>
              </w:rPr>
              <w:t>amendment</w:t>
            </w:r>
            <w:r w:rsidR="001D6BDD">
              <w:rPr>
                <w:rFonts w:cs="MS Gothic"/>
                <w:sz w:val="18"/>
                <w:szCs w:val="18"/>
              </w:rPr>
              <w:t xml:space="preserve"> </w:t>
            </w:r>
            <w:r w:rsidRPr="00EE43C6">
              <w:rPr>
                <w:rFonts w:cs="MS Gothic"/>
                <w:sz w:val="18"/>
                <w:szCs w:val="18"/>
              </w:rPr>
              <w:t>on 1</w:t>
            </w:r>
            <w:r>
              <w:rPr>
                <w:rFonts w:cs="MS Gothic"/>
                <w:sz w:val="18"/>
                <w:szCs w:val="18"/>
              </w:rPr>
              <w:t>2</w:t>
            </w:r>
            <w:r w:rsidRPr="00EE43C6">
              <w:rPr>
                <w:rFonts w:cs="MS Gothic"/>
                <w:sz w:val="18"/>
                <w:szCs w:val="18"/>
              </w:rPr>
              <w:t xml:space="preserve"> </w:t>
            </w:r>
            <w:r w:rsidR="00703F67">
              <w:rPr>
                <w:rFonts w:cs="MS Gothic"/>
                <w:sz w:val="18"/>
                <w:szCs w:val="18"/>
              </w:rPr>
              <w:t>January</w:t>
            </w:r>
            <w:r w:rsidRPr="00EE43C6">
              <w:rPr>
                <w:rFonts w:cs="MS Gothic"/>
                <w:sz w:val="18"/>
                <w:szCs w:val="18"/>
              </w:rPr>
              <w:t xml:space="preserve"> 202</w:t>
            </w:r>
            <w:r>
              <w:rPr>
                <w:rFonts w:cs="MS Gothic"/>
                <w:sz w:val="18"/>
                <w:szCs w:val="18"/>
              </w:rPr>
              <w:t>3</w:t>
            </w:r>
            <w:r w:rsidRPr="00EE43C6">
              <w:rPr>
                <w:rFonts w:cs="MS Gothic"/>
                <w:sz w:val="18"/>
                <w:szCs w:val="18"/>
              </w:rPr>
              <w:t xml:space="preserve"> with OG. No. 32</w:t>
            </w:r>
            <w:r w:rsidR="00703F67">
              <w:rPr>
                <w:rFonts w:cs="MS Gothic"/>
                <w:sz w:val="18"/>
                <w:szCs w:val="18"/>
              </w:rPr>
              <w:t>071</w:t>
            </w:r>
            <w:r w:rsidRPr="00EE43C6">
              <w:rPr>
                <w:rFonts w:cs="MS Gothic"/>
                <w:sz w:val="18"/>
                <w:szCs w:val="18"/>
              </w:rPr>
              <w:t>)</w:t>
            </w:r>
          </w:p>
        </w:tc>
        <w:tc>
          <w:tcPr>
            <w:tcW w:w="2578" w:type="pct"/>
            <w:tcBorders>
              <w:bottom w:val="single" w:sz="4" w:space="0" w:color="auto"/>
            </w:tcBorders>
            <w:shd w:val="clear" w:color="auto" w:fill="FFFFFF" w:themeFill="background1"/>
          </w:tcPr>
          <w:p w14:paraId="226505BD" w14:textId="2F2DA52D" w:rsidR="00A61E86" w:rsidRPr="00EE43C6" w:rsidRDefault="007C725A" w:rsidP="006C7EC6">
            <w:pPr>
              <w:spacing w:before="40" w:after="40" w:line="240" w:lineRule="auto"/>
              <w:rPr>
                <w:rFonts w:cs="Arial"/>
                <w:sz w:val="18"/>
                <w:szCs w:val="18"/>
              </w:rPr>
            </w:pPr>
            <w:r w:rsidRPr="00EE43C6">
              <w:rPr>
                <w:rFonts w:cs="Arial"/>
                <w:sz w:val="18"/>
                <w:szCs w:val="18"/>
              </w:rPr>
              <w:t xml:space="preserve">It is the regulation on waste oils that may occur as a result of vehicle/equipment maintenance throughout the </w:t>
            </w:r>
            <w:r w:rsidR="00313286" w:rsidRPr="00EE43C6">
              <w:rPr>
                <w:rFonts w:cs="Arial"/>
                <w:sz w:val="18"/>
                <w:szCs w:val="18"/>
              </w:rPr>
              <w:t>lifetime</w:t>
            </w:r>
            <w:r w:rsidRPr="00EE43C6">
              <w:rPr>
                <w:rFonts w:cs="Arial"/>
                <w:sz w:val="18"/>
                <w:szCs w:val="18"/>
              </w:rPr>
              <w:t xml:space="preserve"> of the Project.</w:t>
            </w:r>
          </w:p>
        </w:tc>
      </w:tr>
      <w:tr w:rsidR="00A61E86" w:rsidRPr="00EE43C6" w14:paraId="605A2E52" w14:textId="1899EBBE" w:rsidTr="00E67C71">
        <w:tc>
          <w:tcPr>
            <w:tcW w:w="1159" w:type="pct"/>
            <w:tcBorders>
              <w:bottom w:val="single" w:sz="4" w:space="0" w:color="auto"/>
            </w:tcBorders>
            <w:shd w:val="clear" w:color="auto" w:fill="FFFFFF" w:themeFill="background1"/>
            <w:vAlign w:val="center"/>
          </w:tcPr>
          <w:p w14:paraId="6182FD16" w14:textId="0FC9FD00" w:rsidR="00A61E86" w:rsidRPr="00EE43C6" w:rsidRDefault="003A563D" w:rsidP="00A61E86">
            <w:pPr>
              <w:spacing w:before="40" w:after="40" w:line="240" w:lineRule="auto"/>
              <w:jc w:val="left"/>
              <w:rPr>
                <w:rFonts w:cs="MS Gothic"/>
                <w:sz w:val="18"/>
                <w:szCs w:val="18"/>
              </w:rPr>
            </w:pPr>
            <w:r w:rsidRPr="00EE43C6">
              <w:rPr>
                <w:rFonts w:cs="Arial"/>
                <w:sz w:val="18"/>
                <w:szCs w:val="18"/>
              </w:rPr>
              <w:t xml:space="preserve">Regulation </w:t>
            </w:r>
            <w:r>
              <w:rPr>
                <w:rFonts w:cs="Arial"/>
                <w:sz w:val="18"/>
                <w:szCs w:val="18"/>
              </w:rPr>
              <w:t xml:space="preserve">on </w:t>
            </w:r>
            <w:r w:rsidRPr="00EE43C6">
              <w:rPr>
                <w:rFonts w:cs="Arial"/>
                <w:sz w:val="18"/>
                <w:szCs w:val="18"/>
              </w:rPr>
              <w:t xml:space="preserve">Control </w:t>
            </w:r>
            <w:r>
              <w:rPr>
                <w:rFonts w:cs="Arial"/>
                <w:sz w:val="18"/>
                <w:szCs w:val="18"/>
              </w:rPr>
              <w:t xml:space="preserve">of </w:t>
            </w:r>
            <w:r w:rsidR="00A61E86" w:rsidRPr="00EE43C6">
              <w:rPr>
                <w:rFonts w:cs="Arial"/>
                <w:sz w:val="18"/>
                <w:szCs w:val="18"/>
              </w:rPr>
              <w:t xml:space="preserve">Waste Vegetable Oil </w:t>
            </w:r>
          </w:p>
        </w:tc>
        <w:tc>
          <w:tcPr>
            <w:tcW w:w="1263" w:type="pct"/>
            <w:tcBorders>
              <w:bottom w:val="single" w:sz="4" w:space="0" w:color="auto"/>
            </w:tcBorders>
            <w:shd w:val="clear" w:color="auto" w:fill="FFFFFF" w:themeFill="background1"/>
            <w:vAlign w:val="center"/>
          </w:tcPr>
          <w:p w14:paraId="7934241C" w14:textId="50A6125C" w:rsidR="00A61E86" w:rsidRPr="00EE43C6" w:rsidRDefault="00A61E86" w:rsidP="00A61E86">
            <w:pPr>
              <w:spacing w:before="40" w:after="40" w:line="240" w:lineRule="auto"/>
              <w:jc w:val="left"/>
              <w:rPr>
                <w:rFonts w:cs="MS Gothic"/>
                <w:sz w:val="18"/>
                <w:szCs w:val="18"/>
              </w:rPr>
            </w:pPr>
            <w:r w:rsidRPr="00EE43C6">
              <w:rPr>
                <w:rFonts w:cs="Arial"/>
                <w:sz w:val="18"/>
                <w:szCs w:val="18"/>
              </w:rPr>
              <w:t>OG. No. 29378 dated 06 June 2015</w:t>
            </w:r>
          </w:p>
        </w:tc>
        <w:tc>
          <w:tcPr>
            <w:tcW w:w="2578" w:type="pct"/>
            <w:tcBorders>
              <w:bottom w:val="single" w:sz="4" w:space="0" w:color="auto"/>
            </w:tcBorders>
            <w:shd w:val="clear" w:color="auto" w:fill="FFFFFF" w:themeFill="background1"/>
          </w:tcPr>
          <w:p w14:paraId="63F5A7D2" w14:textId="189D046D" w:rsidR="00A61E86" w:rsidRPr="00EE43C6" w:rsidRDefault="00934343" w:rsidP="006C7EC6">
            <w:pPr>
              <w:spacing w:before="40" w:after="40" w:line="240" w:lineRule="auto"/>
              <w:rPr>
                <w:rFonts w:cs="Arial"/>
                <w:sz w:val="18"/>
                <w:szCs w:val="18"/>
              </w:rPr>
            </w:pPr>
            <w:r w:rsidRPr="00EE43C6">
              <w:rPr>
                <w:rFonts w:cs="Arial"/>
                <w:sz w:val="18"/>
                <w:szCs w:val="18"/>
              </w:rPr>
              <w:t xml:space="preserve">It is the regulation on waste vegetable oils that may occur as a result of cooking in the cafeteria </w:t>
            </w:r>
            <w:r w:rsidR="00F22C39" w:rsidRPr="00EE43C6">
              <w:rPr>
                <w:rFonts w:cs="Arial"/>
                <w:sz w:val="18"/>
                <w:szCs w:val="18"/>
              </w:rPr>
              <w:t xml:space="preserve">during especially </w:t>
            </w:r>
            <w:r w:rsidRPr="00EE43C6">
              <w:rPr>
                <w:rFonts w:cs="Arial"/>
                <w:sz w:val="18"/>
                <w:szCs w:val="18"/>
              </w:rPr>
              <w:t xml:space="preserve">the </w:t>
            </w:r>
            <w:r w:rsidR="00F22C39" w:rsidRPr="00EE43C6">
              <w:rPr>
                <w:rFonts w:cs="Arial"/>
                <w:sz w:val="18"/>
                <w:szCs w:val="18"/>
              </w:rPr>
              <w:t>operation phase o</w:t>
            </w:r>
            <w:r w:rsidRPr="00EE43C6">
              <w:rPr>
                <w:rFonts w:cs="Arial"/>
                <w:sz w:val="18"/>
                <w:szCs w:val="18"/>
              </w:rPr>
              <w:t xml:space="preserve">f the </w:t>
            </w:r>
            <w:r w:rsidR="00F22C39" w:rsidRPr="00EE43C6">
              <w:rPr>
                <w:rFonts w:cs="Arial"/>
                <w:sz w:val="18"/>
                <w:szCs w:val="18"/>
              </w:rPr>
              <w:t>P</w:t>
            </w:r>
            <w:r w:rsidRPr="00EE43C6">
              <w:rPr>
                <w:rFonts w:cs="Arial"/>
                <w:sz w:val="18"/>
                <w:szCs w:val="18"/>
              </w:rPr>
              <w:t>roject.</w:t>
            </w:r>
          </w:p>
        </w:tc>
      </w:tr>
      <w:tr w:rsidR="00A61E86" w:rsidRPr="00EE43C6" w14:paraId="79E7DE51" w14:textId="62340E49" w:rsidTr="00E67C71">
        <w:tc>
          <w:tcPr>
            <w:tcW w:w="1159" w:type="pct"/>
            <w:tcBorders>
              <w:bottom w:val="single" w:sz="4" w:space="0" w:color="auto"/>
            </w:tcBorders>
            <w:shd w:val="clear" w:color="auto" w:fill="FFFFFF" w:themeFill="background1"/>
            <w:vAlign w:val="center"/>
          </w:tcPr>
          <w:p w14:paraId="7EAFEC35" w14:textId="0A385C91"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the Control of End-of-life Tires</w:t>
            </w:r>
          </w:p>
        </w:tc>
        <w:tc>
          <w:tcPr>
            <w:tcW w:w="1263" w:type="pct"/>
            <w:tcBorders>
              <w:bottom w:val="single" w:sz="4" w:space="0" w:color="auto"/>
            </w:tcBorders>
            <w:shd w:val="clear" w:color="auto" w:fill="FFFFFF" w:themeFill="background1"/>
            <w:vAlign w:val="center"/>
          </w:tcPr>
          <w:p w14:paraId="3E05A716" w14:textId="62872B99" w:rsidR="00A61E86" w:rsidRPr="00EE43C6" w:rsidRDefault="00A61E86" w:rsidP="00A61E86">
            <w:pPr>
              <w:spacing w:before="40" w:after="40" w:line="240" w:lineRule="auto"/>
              <w:jc w:val="left"/>
              <w:rPr>
                <w:rFonts w:cs="MS Gothic"/>
                <w:sz w:val="18"/>
                <w:szCs w:val="18"/>
              </w:rPr>
            </w:pPr>
            <w:r w:rsidRPr="00EE43C6">
              <w:rPr>
                <w:rFonts w:cs="Arial"/>
                <w:sz w:val="18"/>
                <w:szCs w:val="18"/>
              </w:rPr>
              <w:t>OG. No. 26357 dated 25 November 2006</w:t>
            </w:r>
          </w:p>
        </w:tc>
        <w:tc>
          <w:tcPr>
            <w:tcW w:w="2578" w:type="pct"/>
            <w:tcBorders>
              <w:bottom w:val="single" w:sz="4" w:space="0" w:color="auto"/>
            </w:tcBorders>
            <w:shd w:val="clear" w:color="auto" w:fill="FFFFFF" w:themeFill="background1"/>
          </w:tcPr>
          <w:p w14:paraId="0214EF0C" w14:textId="3AF6F15E" w:rsidR="00A61E86" w:rsidRPr="00EE43C6" w:rsidRDefault="0023515A" w:rsidP="006C7EC6">
            <w:pPr>
              <w:spacing w:before="40" w:after="40" w:line="240" w:lineRule="auto"/>
              <w:rPr>
                <w:rFonts w:cs="Arial"/>
                <w:sz w:val="18"/>
                <w:szCs w:val="18"/>
              </w:rPr>
            </w:pPr>
            <w:r w:rsidRPr="00EE43C6">
              <w:rPr>
                <w:rFonts w:cs="Arial"/>
                <w:sz w:val="18"/>
                <w:szCs w:val="18"/>
              </w:rPr>
              <w:t xml:space="preserve">It is the regulation on waste oils that may occur as a result of vehicle/equipment maintenance </w:t>
            </w:r>
            <w:r w:rsidR="00920D7A" w:rsidRPr="00EE43C6">
              <w:rPr>
                <w:rFonts w:cs="Arial"/>
                <w:sz w:val="18"/>
                <w:szCs w:val="18"/>
              </w:rPr>
              <w:t>during especially</w:t>
            </w:r>
            <w:r w:rsidRPr="00EE43C6">
              <w:rPr>
                <w:rFonts w:cs="Arial"/>
                <w:sz w:val="18"/>
                <w:szCs w:val="18"/>
              </w:rPr>
              <w:t xml:space="preserve"> the </w:t>
            </w:r>
            <w:r w:rsidR="00920D7A" w:rsidRPr="00EE43C6">
              <w:rPr>
                <w:rFonts w:cs="Arial"/>
                <w:sz w:val="18"/>
                <w:szCs w:val="18"/>
              </w:rPr>
              <w:t>construction phase</w:t>
            </w:r>
            <w:r w:rsidRPr="00EE43C6">
              <w:rPr>
                <w:rFonts w:cs="Arial"/>
                <w:sz w:val="18"/>
                <w:szCs w:val="18"/>
              </w:rPr>
              <w:t xml:space="preserve"> of the Project.</w:t>
            </w:r>
          </w:p>
        </w:tc>
      </w:tr>
      <w:tr w:rsidR="00A61E86" w:rsidRPr="00EE43C6" w14:paraId="4017DC00" w14:textId="782361BE" w:rsidTr="00E67C71">
        <w:trPr>
          <w:trHeight w:val="951"/>
        </w:trPr>
        <w:tc>
          <w:tcPr>
            <w:tcW w:w="1159" w:type="pct"/>
            <w:tcBorders>
              <w:bottom w:val="single" w:sz="4" w:space="0" w:color="auto"/>
            </w:tcBorders>
            <w:shd w:val="clear" w:color="auto" w:fill="FFFFFF" w:themeFill="background1"/>
            <w:vAlign w:val="center"/>
          </w:tcPr>
          <w:p w14:paraId="4F48B5C6" w14:textId="2F43D7E8" w:rsidR="00A61E86" w:rsidRPr="00EE43C6" w:rsidRDefault="00A61E86" w:rsidP="00A61E86">
            <w:pPr>
              <w:spacing w:before="40" w:after="40" w:line="240" w:lineRule="auto"/>
              <w:jc w:val="left"/>
              <w:rPr>
                <w:rFonts w:cs="MS Gothic"/>
                <w:sz w:val="18"/>
                <w:szCs w:val="18"/>
              </w:rPr>
            </w:pPr>
            <w:r w:rsidRPr="00EE43C6">
              <w:rPr>
                <w:sz w:val="18"/>
                <w:szCs w:val="18"/>
                <w:lang w:eastAsia="tr-TR"/>
              </w:rPr>
              <w:t>Communiqué on the Transport of Wastes by Road</w:t>
            </w:r>
          </w:p>
        </w:tc>
        <w:tc>
          <w:tcPr>
            <w:tcW w:w="1263" w:type="pct"/>
            <w:tcBorders>
              <w:bottom w:val="single" w:sz="4" w:space="0" w:color="auto"/>
            </w:tcBorders>
            <w:shd w:val="clear" w:color="auto" w:fill="FFFFFF" w:themeFill="background1"/>
            <w:vAlign w:val="center"/>
          </w:tcPr>
          <w:p w14:paraId="33723995" w14:textId="0D10BFE5" w:rsidR="00A61E86" w:rsidRPr="00EE43C6" w:rsidRDefault="00A61E86" w:rsidP="00A61E86">
            <w:pPr>
              <w:spacing w:before="40" w:after="40" w:line="240" w:lineRule="auto"/>
              <w:jc w:val="left"/>
              <w:rPr>
                <w:rFonts w:cs="MS Gothic"/>
                <w:sz w:val="18"/>
                <w:szCs w:val="18"/>
              </w:rPr>
            </w:pPr>
            <w:r w:rsidRPr="00EE43C6">
              <w:rPr>
                <w:rFonts w:cs="Arial"/>
                <w:sz w:val="18"/>
                <w:szCs w:val="18"/>
              </w:rPr>
              <w:t xml:space="preserve">OG. </w:t>
            </w:r>
            <w:r w:rsidRPr="00EE43C6">
              <w:rPr>
                <w:iCs/>
                <w:sz w:val="18"/>
                <w:szCs w:val="18"/>
              </w:rPr>
              <w:t>No. 29301 dated 20 March 2015</w:t>
            </w:r>
          </w:p>
        </w:tc>
        <w:tc>
          <w:tcPr>
            <w:tcW w:w="2578" w:type="pct"/>
            <w:tcBorders>
              <w:bottom w:val="single" w:sz="4" w:space="0" w:color="auto"/>
            </w:tcBorders>
            <w:shd w:val="clear" w:color="auto" w:fill="FFFFFF" w:themeFill="background1"/>
          </w:tcPr>
          <w:p w14:paraId="0069B3AF" w14:textId="494104F2" w:rsidR="00A61E86" w:rsidRPr="00EE43C6" w:rsidRDefault="001F16A6" w:rsidP="006C7EC6">
            <w:pPr>
              <w:spacing w:before="40" w:after="40" w:line="240" w:lineRule="auto"/>
              <w:rPr>
                <w:rFonts w:cs="Arial"/>
                <w:sz w:val="18"/>
                <w:szCs w:val="18"/>
              </w:rPr>
            </w:pPr>
            <w:r w:rsidRPr="00EE43C6">
              <w:rPr>
                <w:rFonts w:cs="Arial"/>
                <w:sz w:val="18"/>
                <w:szCs w:val="18"/>
              </w:rPr>
              <w:t xml:space="preserve">It is a communiqué including the provisions regarding the transportation of wastes that will be generated as a result of all activities to be carried out throughout the lifetime of the </w:t>
            </w:r>
            <w:r w:rsidR="00490A8D" w:rsidRPr="00EE43C6">
              <w:rPr>
                <w:rFonts w:cs="Arial"/>
                <w:sz w:val="18"/>
                <w:szCs w:val="18"/>
              </w:rPr>
              <w:t>Project</w:t>
            </w:r>
            <w:r w:rsidRPr="00EE43C6">
              <w:rPr>
                <w:rFonts w:cs="Arial"/>
                <w:sz w:val="18"/>
                <w:szCs w:val="18"/>
              </w:rPr>
              <w:t>.</w:t>
            </w:r>
          </w:p>
        </w:tc>
      </w:tr>
      <w:tr w:rsidR="00A61E86" w:rsidRPr="00EE43C6" w14:paraId="3FA54796" w14:textId="721EFC24" w:rsidTr="00E67C71">
        <w:tc>
          <w:tcPr>
            <w:tcW w:w="1159" w:type="pct"/>
            <w:tcBorders>
              <w:bottom w:val="single" w:sz="4" w:space="0" w:color="auto"/>
            </w:tcBorders>
            <w:shd w:val="clear" w:color="auto" w:fill="FFFFFF" w:themeFill="background1"/>
            <w:vAlign w:val="center"/>
          </w:tcPr>
          <w:p w14:paraId="6E5FC1CA" w14:textId="58BE9FB8" w:rsidR="00A61E86" w:rsidRPr="00EE43C6" w:rsidRDefault="00A61E86" w:rsidP="00A61E86">
            <w:pPr>
              <w:spacing w:before="40" w:after="40" w:line="240" w:lineRule="auto"/>
              <w:jc w:val="left"/>
              <w:rPr>
                <w:rFonts w:cs="MS Gothic"/>
                <w:sz w:val="18"/>
                <w:szCs w:val="18"/>
              </w:rPr>
            </w:pPr>
            <w:r w:rsidRPr="00EE43C6">
              <w:rPr>
                <w:sz w:val="18"/>
                <w:szCs w:val="18"/>
                <w:lang w:eastAsia="tr-TR"/>
              </w:rPr>
              <w:t>Zero Waste Regulation</w:t>
            </w:r>
          </w:p>
        </w:tc>
        <w:tc>
          <w:tcPr>
            <w:tcW w:w="1263" w:type="pct"/>
            <w:tcBorders>
              <w:bottom w:val="single" w:sz="4" w:space="0" w:color="auto"/>
            </w:tcBorders>
            <w:shd w:val="clear" w:color="auto" w:fill="FFFFFF" w:themeFill="background1"/>
            <w:vAlign w:val="center"/>
          </w:tcPr>
          <w:p w14:paraId="6A9A61C2" w14:textId="07AC4EBA" w:rsidR="00A61E86" w:rsidRPr="00EE43C6" w:rsidRDefault="00A61E86" w:rsidP="00A61E86">
            <w:pPr>
              <w:spacing w:before="40" w:after="40" w:line="240" w:lineRule="auto"/>
              <w:jc w:val="left"/>
              <w:rPr>
                <w:rFonts w:cs="MS Gothic"/>
                <w:sz w:val="18"/>
                <w:szCs w:val="18"/>
              </w:rPr>
            </w:pPr>
            <w:r w:rsidRPr="00EE43C6">
              <w:rPr>
                <w:rFonts w:cs="Arial"/>
                <w:sz w:val="18"/>
                <w:szCs w:val="18"/>
              </w:rPr>
              <w:t xml:space="preserve">OG. </w:t>
            </w:r>
            <w:r w:rsidRPr="00EE43C6">
              <w:rPr>
                <w:iCs/>
                <w:sz w:val="18"/>
                <w:szCs w:val="18"/>
              </w:rPr>
              <w:t>No. 30829 dated 12 July 2019</w:t>
            </w:r>
          </w:p>
        </w:tc>
        <w:tc>
          <w:tcPr>
            <w:tcW w:w="2578" w:type="pct"/>
            <w:tcBorders>
              <w:bottom w:val="single" w:sz="4" w:space="0" w:color="auto"/>
            </w:tcBorders>
            <w:shd w:val="clear" w:color="auto" w:fill="FFFFFF" w:themeFill="background1"/>
          </w:tcPr>
          <w:p w14:paraId="29BBDA6E" w14:textId="11B48CC8" w:rsidR="00A61E86" w:rsidRPr="00EE43C6" w:rsidRDefault="00C5138C" w:rsidP="006C7EC6">
            <w:pPr>
              <w:spacing w:before="40" w:after="40" w:line="240" w:lineRule="auto"/>
              <w:rPr>
                <w:rFonts w:cs="Arial"/>
                <w:sz w:val="18"/>
                <w:szCs w:val="18"/>
              </w:rPr>
            </w:pPr>
            <w:r w:rsidRPr="00EE43C6">
              <w:rPr>
                <w:rFonts w:cs="Arial"/>
                <w:sz w:val="18"/>
                <w:szCs w:val="18"/>
              </w:rPr>
              <w:t xml:space="preserve">It is the regulation on the </w:t>
            </w:r>
            <w:r w:rsidR="007600BE" w:rsidRPr="00EE43C6">
              <w:rPr>
                <w:rFonts w:cs="Arial"/>
                <w:sz w:val="18"/>
                <w:szCs w:val="18"/>
              </w:rPr>
              <w:t>zero-waste</w:t>
            </w:r>
            <w:r w:rsidRPr="00EE43C6">
              <w:rPr>
                <w:rFonts w:cs="Arial"/>
                <w:sz w:val="18"/>
                <w:szCs w:val="18"/>
              </w:rPr>
              <w:t xml:space="preserve"> management system that aims to protect the environment and human health and all resources regarding the wastes that will be generated as a result of all activities to be carried out throughout the life</w:t>
            </w:r>
            <w:r w:rsidR="001830B5" w:rsidRPr="00EE43C6">
              <w:rPr>
                <w:rFonts w:cs="Arial"/>
                <w:sz w:val="18"/>
                <w:szCs w:val="18"/>
              </w:rPr>
              <w:t>time</w:t>
            </w:r>
            <w:r w:rsidRPr="00EE43C6">
              <w:rPr>
                <w:rFonts w:cs="Arial"/>
                <w:sz w:val="18"/>
                <w:szCs w:val="18"/>
              </w:rPr>
              <w:t xml:space="preserve"> of the </w:t>
            </w:r>
            <w:r w:rsidR="001830B5" w:rsidRPr="00EE43C6">
              <w:rPr>
                <w:rFonts w:cs="Arial"/>
                <w:sz w:val="18"/>
                <w:szCs w:val="18"/>
              </w:rPr>
              <w:t>P</w:t>
            </w:r>
            <w:r w:rsidRPr="00EE43C6">
              <w:rPr>
                <w:rFonts w:cs="Arial"/>
                <w:sz w:val="18"/>
                <w:szCs w:val="18"/>
              </w:rPr>
              <w:t>roject.</w:t>
            </w:r>
          </w:p>
        </w:tc>
      </w:tr>
      <w:tr w:rsidR="00A61E86" w:rsidRPr="00EE43C6" w14:paraId="2D90E64D" w14:textId="26B77EA9" w:rsidTr="00E67C71">
        <w:tc>
          <w:tcPr>
            <w:tcW w:w="2422" w:type="pct"/>
            <w:gridSpan w:val="2"/>
            <w:shd w:val="clear" w:color="auto" w:fill="DBE5F1" w:themeFill="accent1" w:themeFillTint="33"/>
            <w:vAlign w:val="center"/>
          </w:tcPr>
          <w:p w14:paraId="42B825DA" w14:textId="240237C7" w:rsidR="00A61E86" w:rsidRPr="00EE43C6" w:rsidRDefault="00A61E86" w:rsidP="00A61E86">
            <w:pPr>
              <w:spacing w:before="40" w:after="40" w:line="240" w:lineRule="auto"/>
              <w:jc w:val="left"/>
              <w:rPr>
                <w:rFonts w:cs="MS Gothic"/>
                <w:b/>
                <w:sz w:val="18"/>
                <w:szCs w:val="18"/>
              </w:rPr>
            </w:pPr>
            <w:r w:rsidRPr="00EE43C6">
              <w:rPr>
                <w:rFonts w:cs="Arial"/>
                <w:b/>
                <w:bCs/>
                <w:sz w:val="18"/>
                <w:szCs w:val="18"/>
              </w:rPr>
              <w:t>Nature Conservation</w:t>
            </w:r>
          </w:p>
        </w:tc>
        <w:tc>
          <w:tcPr>
            <w:tcW w:w="2578" w:type="pct"/>
            <w:shd w:val="clear" w:color="auto" w:fill="DBE5F1" w:themeFill="accent1" w:themeFillTint="33"/>
          </w:tcPr>
          <w:p w14:paraId="6882E4EC" w14:textId="25D0C03B" w:rsidR="00A61E86" w:rsidRPr="00EE43C6" w:rsidRDefault="00AD1293" w:rsidP="00A61E86">
            <w:pPr>
              <w:spacing w:before="40" w:after="40" w:line="240" w:lineRule="auto"/>
              <w:jc w:val="left"/>
              <w:rPr>
                <w:rFonts w:cs="Arial"/>
                <w:b/>
                <w:bCs/>
                <w:sz w:val="18"/>
                <w:szCs w:val="18"/>
              </w:rPr>
            </w:pPr>
            <w:r w:rsidRPr="00EE43C6">
              <w:rPr>
                <w:rFonts w:cs="Arial"/>
                <w:b/>
                <w:bCs/>
                <w:sz w:val="18"/>
                <w:szCs w:val="18"/>
              </w:rPr>
              <w:t>Relevancy/Implications for the Project</w:t>
            </w:r>
          </w:p>
        </w:tc>
      </w:tr>
      <w:tr w:rsidR="00A61E86" w:rsidRPr="00EE43C6" w14:paraId="7B0A4731" w14:textId="00950F2D" w:rsidTr="00E67C71">
        <w:trPr>
          <w:trHeight w:val="1580"/>
        </w:trPr>
        <w:tc>
          <w:tcPr>
            <w:tcW w:w="1159" w:type="pct"/>
            <w:shd w:val="clear" w:color="auto" w:fill="auto"/>
            <w:vAlign w:val="center"/>
          </w:tcPr>
          <w:p w14:paraId="2ADFE41A" w14:textId="04229048" w:rsidR="00A61E86" w:rsidRPr="00EE43C6" w:rsidRDefault="00A61E86" w:rsidP="00A61E86">
            <w:pPr>
              <w:spacing w:before="40" w:after="40" w:line="240" w:lineRule="auto"/>
              <w:jc w:val="left"/>
              <w:rPr>
                <w:rFonts w:cs="MS Gothic"/>
                <w:sz w:val="18"/>
                <w:szCs w:val="18"/>
              </w:rPr>
            </w:pPr>
            <w:r w:rsidRPr="00EE43C6">
              <w:rPr>
                <w:rFonts w:cs="Arial"/>
                <w:sz w:val="18"/>
                <w:szCs w:val="18"/>
              </w:rPr>
              <w:t>Forestry Law</w:t>
            </w:r>
          </w:p>
        </w:tc>
        <w:tc>
          <w:tcPr>
            <w:tcW w:w="1263" w:type="pct"/>
            <w:shd w:val="clear" w:color="auto" w:fill="auto"/>
            <w:vAlign w:val="center"/>
          </w:tcPr>
          <w:p w14:paraId="253B8403" w14:textId="52FB9B93" w:rsidR="00A61E86" w:rsidRDefault="005B5E9A" w:rsidP="00A61E86">
            <w:pPr>
              <w:spacing w:before="40" w:after="40" w:line="240" w:lineRule="auto"/>
              <w:jc w:val="left"/>
              <w:rPr>
                <w:rFonts w:cs="Arial"/>
                <w:sz w:val="18"/>
                <w:szCs w:val="18"/>
              </w:rPr>
            </w:pPr>
            <w:r w:rsidRPr="00EE43C6">
              <w:rPr>
                <w:rFonts w:cs="Arial"/>
                <w:sz w:val="18"/>
                <w:szCs w:val="18"/>
              </w:rPr>
              <w:t xml:space="preserve">Law No: </w:t>
            </w:r>
            <w:r>
              <w:rPr>
                <w:rFonts w:cs="Arial"/>
                <w:sz w:val="18"/>
                <w:szCs w:val="18"/>
              </w:rPr>
              <w:t xml:space="preserve">6831; </w:t>
            </w:r>
            <w:r w:rsidR="00A61E86" w:rsidRPr="00EE43C6">
              <w:rPr>
                <w:rFonts w:cs="Arial"/>
                <w:sz w:val="18"/>
                <w:szCs w:val="18"/>
              </w:rPr>
              <w:t>OG. No:</w:t>
            </w:r>
            <w:r>
              <w:rPr>
                <w:rFonts w:cs="Arial"/>
                <w:sz w:val="18"/>
                <w:szCs w:val="18"/>
              </w:rPr>
              <w:t>9402</w:t>
            </w:r>
            <w:r w:rsidRPr="00EE43C6">
              <w:rPr>
                <w:rFonts w:cs="Arial"/>
                <w:sz w:val="18"/>
                <w:szCs w:val="18"/>
              </w:rPr>
              <w:t xml:space="preserve"> </w:t>
            </w:r>
            <w:r w:rsidR="00A61E86" w:rsidRPr="00EE43C6">
              <w:rPr>
                <w:rFonts w:cs="Arial"/>
                <w:sz w:val="18"/>
                <w:szCs w:val="18"/>
              </w:rPr>
              <w:t xml:space="preserve">dated </w:t>
            </w:r>
            <w:r w:rsidR="0039170F" w:rsidRPr="00EE43C6">
              <w:rPr>
                <w:rFonts w:cs="Arial"/>
                <w:sz w:val="18"/>
                <w:szCs w:val="18"/>
              </w:rPr>
              <w:t xml:space="preserve">08 </w:t>
            </w:r>
            <w:r w:rsidR="00967E99" w:rsidRPr="00EE43C6">
              <w:rPr>
                <w:rFonts w:cs="Arial"/>
                <w:sz w:val="18"/>
                <w:szCs w:val="18"/>
              </w:rPr>
              <w:t>September 1956</w:t>
            </w:r>
          </w:p>
          <w:p w14:paraId="6A3E81E6" w14:textId="511B01E8" w:rsidR="00E67C71" w:rsidRPr="00EE43C6" w:rsidRDefault="00ED26B7" w:rsidP="00A61E86">
            <w:pPr>
              <w:spacing w:before="40" w:after="40" w:line="240" w:lineRule="auto"/>
              <w:jc w:val="left"/>
              <w:rPr>
                <w:rFonts w:cs="MS Gothic"/>
                <w:sz w:val="18"/>
                <w:szCs w:val="18"/>
              </w:rPr>
            </w:pPr>
            <w:r>
              <w:rPr>
                <w:rFonts w:cs="MS Gothic"/>
                <w:sz w:val="18"/>
                <w:szCs w:val="18"/>
              </w:rPr>
              <w:t xml:space="preserve">(Last </w:t>
            </w:r>
            <w:r w:rsidRPr="001D6BDD">
              <w:rPr>
                <w:rFonts w:cs="MS Gothic"/>
                <w:sz w:val="18"/>
                <w:szCs w:val="18"/>
              </w:rPr>
              <w:t>amendment</w:t>
            </w:r>
            <w:r w:rsidRPr="00F72613">
              <w:rPr>
                <w:rFonts w:cs="MS Gothic"/>
                <w:sz w:val="18"/>
                <w:szCs w:val="18"/>
              </w:rPr>
              <w:t xml:space="preserve"> on </w:t>
            </w:r>
            <w:r>
              <w:rPr>
                <w:rFonts w:cs="MS Gothic"/>
                <w:sz w:val="18"/>
                <w:szCs w:val="18"/>
              </w:rPr>
              <w:t>5</w:t>
            </w:r>
            <w:r w:rsidRPr="00F72613">
              <w:rPr>
                <w:rFonts w:cs="MS Gothic"/>
                <w:sz w:val="18"/>
                <w:szCs w:val="18"/>
              </w:rPr>
              <w:t xml:space="preserve"> </w:t>
            </w:r>
            <w:r>
              <w:rPr>
                <w:rFonts w:cs="MS Gothic"/>
                <w:sz w:val="18"/>
                <w:szCs w:val="18"/>
              </w:rPr>
              <w:t>October</w:t>
            </w:r>
            <w:r w:rsidRPr="00F72613">
              <w:rPr>
                <w:rFonts w:cs="MS Gothic"/>
                <w:sz w:val="18"/>
                <w:szCs w:val="18"/>
              </w:rPr>
              <w:t xml:space="preserve"> 2023 with </w:t>
            </w:r>
            <w:r w:rsidRPr="001A698B">
              <w:rPr>
                <w:rFonts w:cs="MS Gothic"/>
                <w:sz w:val="18"/>
                <w:szCs w:val="18"/>
              </w:rPr>
              <w:t xml:space="preserve">Amended Law </w:t>
            </w:r>
            <w:r w:rsidRPr="00F72613">
              <w:rPr>
                <w:rFonts w:cs="MS Gothic"/>
                <w:sz w:val="18"/>
                <w:szCs w:val="18"/>
              </w:rPr>
              <w:t xml:space="preserve">No. </w:t>
            </w:r>
            <w:r>
              <w:rPr>
                <w:rFonts w:cs="MS Gothic"/>
                <w:sz w:val="18"/>
                <w:szCs w:val="18"/>
              </w:rPr>
              <w:t>7442</w:t>
            </w:r>
            <w:r w:rsidRPr="00F72613">
              <w:rPr>
                <w:rFonts w:cs="MS Gothic"/>
                <w:sz w:val="18"/>
                <w:szCs w:val="18"/>
              </w:rPr>
              <w:t>)</w:t>
            </w:r>
          </w:p>
        </w:tc>
        <w:tc>
          <w:tcPr>
            <w:tcW w:w="2578" w:type="pct"/>
          </w:tcPr>
          <w:p w14:paraId="7173D1DD" w14:textId="0F11C9D0" w:rsidR="00A61E86" w:rsidRPr="00EE43C6" w:rsidRDefault="005C28E2" w:rsidP="00490A8D">
            <w:pPr>
              <w:spacing w:before="40" w:after="40" w:line="240" w:lineRule="auto"/>
              <w:rPr>
                <w:rFonts w:cs="Arial"/>
                <w:sz w:val="18"/>
                <w:szCs w:val="18"/>
              </w:rPr>
            </w:pPr>
            <w:r w:rsidRPr="00EE43C6">
              <w:rPr>
                <w:rFonts w:cs="Arial"/>
                <w:sz w:val="18"/>
                <w:szCs w:val="18"/>
              </w:rPr>
              <w:t>It is the general law that regulates the main forestry rules for all activities</w:t>
            </w:r>
            <w:r w:rsidR="00CC017B" w:rsidRPr="00EE43C6">
              <w:rPr>
                <w:rFonts w:cs="Arial"/>
                <w:sz w:val="18"/>
                <w:szCs w:val="18"/>
              </w:rPr>
              <w:t xml:space="preserve"> in the Project’s AoI</w:t>
            </w:r>
            <w:r w:rsidRPr="00EE43C6">
              <w:rPr>
                <w:rFonts w:cs="Arial"/>
                <w:sz w:val="18"/>
                <w:szCs w:val="18"/>
              </w:rPr>
              <w:t xml:space="preserve"> to be carried out during </w:t>
            </w:r>
            <w:r w:rsidR="00C83150" w:rsidRPr="00EE43C6">
              <w:rPr>
                <w:rFonts w:cs="Arial"/>
                <w:sz w:val="18"/>
                <w:szCs w:val="18"/>
              </w:rPr>
              <w:t>the lifetime of the Project.</w:t>
            </w:r>
          </w:p>
        </w:tc>
      </w:tr>
      <w:tr w:rsidR="00A61E86" w:rsidRPr="00EE43C6" w14:paraId="20797510" w14:textId="0347050D" w:rsidTr="00E67C71">
        <w:tc>
          <w:tcPr>
            <w:tcW w:w="2422" w:type="pct"/>
            <w:gridSpan w:val="2"/>
            <w:shd w:val="clear" w:color="auto" w:fill="4F81BD" w:themeFill="accent1"/>
            <w:vAlign w:val="center"/>
          </w:tcPr>
          <w:p w14:paraId="545A1F8E" w14:textId="3D05DC78" w:rsidR="00A61E86" w:rsidRPr="00EE43C6" w:rsidRDefault="00A61E86" w:rsidP="00A61E86">
            <w:pPr>
              <w:spacing w:before="40" w:after="40" w:line="240" w:lineRule="auto"/>
              <w:jc w:val="left"/>
              <w:rPr>
                <w:rFonts w:cs="MS Gothic"/>
                <w:b/>
                <w:sz w:val="18"/>
                <w:szCs w:val="18"/>
              </w:rPr>
            </w:pPr>
            <w:r w:rsidRPr="00EE43C6">
              <w:rPr>
                <w:rFonts w:cs="Arial"/>
                <w:b/>
                <w:bCs/>
                <w:color w:val="FFFFFF"/>
                <w:sz w:val="18"/>
                <w:szCs w:val="18"/>
              </w:rPr>
              <w:lastRenderedPageBreak/>
              <w:t>National Social Legal and Policy Framework</w:t>
            </w:r>
          </w:p>
        </w:tc>
        <w:tc>
          <w:tcPr>
            <w:tcW w:w="2578" w:type="pct"/>
            <w:shd w:val="clear" w:color="auto" w:fill="4F81BD" w:themeFill="accent1"/>
          </w:tcPr>
          <w:p w14:paraId="569962D1" w14:textId="77777777" w:rsidR="00A61E86" w:rsidRPr="00EE43C6" w:rsidRDefault="00A61E86" w:rsidP="00A61E86">
            <w:pPr>
              <w:spacing w:before="40" w:after="40" w:line="240" w:lineRule="auto"/>
              <w:jc w:val="left"/>
              <w:rPr>
                <w:rFonts w:cs="Arial"/>
                <w:b/>
                <w:bCs/>
                <w:color w:val="FFFFFF"/>
                <w:sz w:val="18"/>
                <w:szCs w:val="18"/>
              </w:rPr>
            </w:pPr>
          </w:p>
        </w:tc>
      </w:tr>
      <w:tr w:rsidR="00A61E86" w:rsidRPr="00EE43C6" w14:paraId="23ABB32F" w14:textId="5570D461" w:rsidTr="00E67C71">
        <w:tc>
          <w:tcPr>
            <w:tcW w:w="2422" w:type="pct"/>
            <w:gridSpan w:val="2"/>
            <w:shd w:val="clear" w:color="auto" w:fill="DBE5F1" w:themeFill="accent1" w:themeFillTint="33"/>
            <w:vAlign w:val="center"/>
          </w:tcPr>
          <w:p w14:paraId="6E8C9E8E" w14:textId="24E7B7EB" w:rsidR="00A61E86" w:rsidRPr="00EE43C6" w:rsidRDefault="00A61E86" w:rsidP="00A61E86">
            <w:pPr>
              <w:spacing w:before="40" w:after="40" w:line="240" w:lineRule="auto"/>
              <w:jc w:val="left"/>
              <w:rPr>
                <w:rFonts w:cs="MS Gothic"/>
                <w:b/>
                <w:sz w:val="18"/>
                <w:szCs w:val="18"/>
              </w:rPr>
            </w:pPr>
            <w:r w:rsidRPr="00EE43C6">
              <w:rPr>
                <w:rFonts w:cs="Arial"/>
                <w:b/>
                <w:bCs/>
                <w:sz w:val="18"/>
                <w:szCs w:val="18"/>
              </w:rPr>
              <w:t xml:space="preserve">Community Health and Safety </w:t>
            </w:r>
          </w:p>
        </w:tc>
        <w:tc>
          <w:tcPr>
            <w:tcW w:w="2578" w:type="pct"/>
            <w:shd w:val="clear" w:color="auto" w:fill="DBE5F1" w:themeFill="accent1" w:themeFillTint="33"/>
          </w:tcPr>
          <w:p w14:paraId="64905FA8" w14:textId="38056165" w:rsidR="00A61E86" w:rsidRPr="00EE43C6" w:rsidRDefault="00AD1293" w:rsidP="00A61E86">
            <w:pPr>
              <w:spacing w:before="40" w:after="40" w:line="240" w:lineRule="auto"/>
              <w:jc w:val="left"/>
              <w:rPr>
                <w:rFonts w:cs="Arial"/>
                <w:b/>
                <w:bCs/>
                <w:sz w:val="18"/>
                <w:szCs w:val="18"/>
              </w:rPr>
            </w:pPr>
            <w:r w:rsidRPr="00EE43C6">
              <w:rPr>
                <w:rFonts w:cs="Arial"/>
                <w:b/>
                <w:bCs/>
                <w:sz w:val="18"/>
                <w:szCs w:val="18"/>
              </w:rPr>
              <w:t>Relevancy/Implications for the Project</w:t>
            </w:r>
          </w:p>
        </w:tc>
      </w:tr>
      <w:tr w:rsidR="00A61E86" w:rsidRPr="00EE43C6" w14:paraId="39886909" w14:textId="11B2A8BE" w:rsidTr="00E67C71">
        <w:tc>
          <w:tcPr>
            <w:tcW w:w="1159" w:type="pct"/>
            <w:shd w:val="clear" w:color="auto" w:fill="FFFFFF" w:themeFill="background1"/>
            <w:vAlign w:val="center"/>
          </w:tcPr>
          <w:p w14:paraId="0D05E6D2" w14:textId="6887816B" w:rsidR="00A61E86" w:rsidRPr="00EE43C6" w:rsidRDefault="00A61E86" w:rsidP="00A61E86">
            <w:pPr>
              <w:spacing w:before="40" w:after="40" w:line="240" w:lineRule="auto"/>
              <w:jc w:val="left"/>
              <w:rPr>
                <w:rFonts w:cs="MS Gothic"/>
                <w:sz w:val="18"/>
                <w:szCs w:val="18"/>
              </w:rPr>
            </w:pPr>
            <w:r w:rsidRPr="00EE43C6">
              <w:rPr>
                <w:rFonts w:cs="Arial"/>
                <w:sz w:val="18"/>
                <w:szCs w:val="18"/>
              </w:rPr>
              <w:t>Public Health Law</w:t>
            </w:r>
          </w:p>
        </w:tc>
        <w:tc>
          <w:tcPr>
            <w:tcW w:w="1263" w:type="pct"/>
            <w:shd w:val="clear" w:color="auto" w:fill="FFFFFF" w:themeFill="background1"/>
            <w:vAlign w:val="center"/>
          </w:tcPr>
          <w:p w14:paraId="3674CA7A" w14:textId="086A0BE0" w:rsidR="00A61E86" w:rsidRPr="00EE43C6" w:rsidRDefault="00A61E86" w:rsidP="00A61E86">
            <w:pPr>
              <w:spacing w:before="40" w:after="40" w:line="240" w:lineRule="auto"/>
              <w:jc w:val="left"/>
              <w:rPr>
                <w:rFonts w:cs="MS Gothic"/>
                <w:sz w:val="18"/>
                <w:szCs w:val="18"/>
              </w:rPr>
            </w:pPr>
            <w:r w:rsidRPr="00EE43C6">
              <w:rPr>
                <w:rFonts w:cs="Arial"/>
                <w:sz w:val="18"/>
                <w:szCs w:val="18"/>
              </w:rPr>
              <w:t>Law No: 1593</w:t>
            </w:r>
            <w:r w:rsidR="00602033">
              <w:rPr>
                <w:rFonts w:cs="Arial"/>
                <w:sz w:val="18"/>
                <w:szCs w:val="18"/>
              </w:rPr>
              <w:t>;</w:t>
            </w:r>
            <w:r w:rsidRPr="00EE43C6">
              <w:rPr>
                <w:rFonts w:cs="Arial"/>
                <w:sz w:val="18"/>
                <w:szCs w:val="18"/>
              </w:rPr>
              <w:t xml:space="preserve"> </w:t>
            </w:r>
            <w:r w:rsidR="00F76817" w:rsidRPr="00F76817">
              <w:rPr>
                <w:rFonts w:cs="Arial"/>
                <w:sz w:val="18"/>
                <w:szCs w:val="18"/>
              </w:rPr>
              <w:t>OG. No:</w:t>
            </w:r>
            <w:r w:rsidR="004267E6">
              <w:rPr>
                <w:rFonts w:cs="Arial"/>
                <w:sz w:val="18"/>
                <w:szCs w:val="18"/>
              </w:rPr>
              <w:t>1489</w:t>
            </w:r>
            <w:r w:rsidR="00F76817" w:rsidRPr="00F76817">
              <w:rPr>
                <w:rFonts w:cs="Arial"/>
                <w:sz w:val="18"/>
                <w:szCs w:val="18"/>
              </w:rPr>
              <w:t xml:space="preserve"> dated </w:t>
            </w:r>
            <w:r w:rsidR="004267E6">
              <w:rPr>
                <w:rFonts w:cs="Arial"/>
                <w:sz w:val="18"/>
                <w:szCs w:val="18"/>
              </w:rPr>
              <w:t>6</w:t>
            </w:r>
            <w:r w:rsidR="00B53E39" w:rsidRPr="00EE43C6">
              <w:rPr>
                <w:rFonts w:cs="Arial"/>
                <w:sz w:val="18"/>
                <w:szCs w:val="18"/>
              </w:rPr>
              <w:t xml:space="preserve"> </w:t>
            </w:r>
            <w:r w:rsidR="004267E6">
              <w:rPr>
                <w:rFonts w:cs="Arial"/>
                <w:sz w:val="18"/>
                <w:szCs w:val="18"/>
              </w:rPr>
              <w:t>May</w:t>
            </w:r>
            <w:r w:rsidR="004267E6" w:rsidRPr="00EE43C6">
              <w:rPr>
                <w:rFonts w:cs="Arial"/>
                <w:sz w:val="18"/>
                <w:szCs w:val="18"/>
              </w:rPr>
              <w:t xml:space="preserve"> </w:t>
            </w:r>
            <w:r w:rsidRPr="00EE43C6">
              <w:rPr>
                <w:rFonts w:cs="Arial"/>
                <w:sz w:val="18"/>
                <w:szCs w:val="18"/>
              </w:rPr>
              <w:t>1930</w:t>
            </w:r>
          </w:p>
        </w:tc>
        <w:tc>
          <w:tcPr>
            <w:tcW w:w="2578" w:type="pct"/>
            <w:shd w:val="clear" w:color="auto" w:fill="FFFFFF" w:themeFill="background1"/>
          </w:tcPr>
          <w:p w14:paraId="0E004C68" w14:textId="55613C0D" w:rsidR="00A61E86" w:rsidRPr="00EE43C6" w:rsidRDefault="00AD1293" w:rsidP="00D929CC">
            <w:pPr>
              <w:spacing w:before="40" w:after="40" w:line="240" w:lineRule="auto"/>
              <w:rPr>
                <w:rFonts w:cs="Arial"/>
                <w:sz w:val="18"/>
                <w:szCs w:val="18"/>
              </w:rPr>
            </w:pPr>
            <w:r w:rsidRPr="00EE43C6">
              <w:rPr>
                <w:rFonts w:cs="Arial"/>
                <w:sz w:val="18"/>
                <w:szCs w:val="18"/>
              </w:rPr>
              <w:t>It is the law that expresses the whole of the measures required for a healthy life. It is related to the protection of public health in the project cycle process.</w:t>
            </w:r>
          </w:p>
        </w:tc>
      </w:tr>
      <w:tr w:rsidR="00A61E86" w:rsidRPr="00EE43C6" w14:paraId="4CF96F00" w14:textId="3C7FDAEB" w:rsidTr="00E67C71">
        <w:tc>
          <w:tcPr>
            <w:tcW w:w="1159" w:type="pct"/>
            <w:shd w:val="clear" w:color="auto" w:fill="FFFFFF" w:themeFill="background1"/>
            <w:vAlign w:val="center"/>
          </w:tcPr>
          <w:p w14:paraId="41325962" w14:textId="1D73F105" w:rsidR="00A61E86" w:rsidRPr="00EE43C6" w:rsidRDefault="00A61E86" w:rsidP="00A61E86">
            <w:pPr>
              <w:spacing w:before="40" w:after="40" w:line="240" w:lineRule="auto"/>
              <w:jc w:val="left"/>
              <w:rPr>
                <w:rFonts w:cs="MS Gothic"/>
                <w:sz w:val="18"/>
                <w:szCs w:val="18"/>
              </w:rPr>
            </w:pPr>
            <w:r w:rsidRPr="00EE43C6">
              <w:rPr>
                <w:rFonts w:cs="Arial"/>
                <w:sz w:val="18"/>
                <w:szCs w:val="18"/>
              </w:rPr>
              <w:t>Law on Disabled People</w:t>
            </w:r>
          </w:p>
        </w:tc>
        <w:tc>
          <w:tcPr>
            <w:tcW w:w="1263" w:type="pct"/>
            <w:shd w:val="clear" w:color="auto" w:fill="FFFFFF" w:themeFill="background1"/>
            <w:vAlign w:val="center"/>
          </w:tcPr>
          <w:p w14:paraId="439BD9A5" w14:textId="73F16E4E" w:rsidR="00A61E86" w:rsidRPr="00EE43C6" w:rsidRDefault="00A61E86" w:rsidP="00A61E86">
            <w:pPr>
              <w:spacing w:before="40" w:after="40" w:line="240" w:lineRule="auto"/>
              <w:jc w:val="left"/>
              <w:rPr>
                <w:rFonts w:cs="MS Gothic"/>
                <w:sz w:val="18"/>
                <w:szCs w:val="18"/>
              </w:rPr>
            </w:pPr>
            <w:r w:rsidRPr="00EE43C6">
              <w:rPr>
                <w:rFonts w:cs="Arial"/>
                <w:sz w:val="18"/>
                <w:szCs w:val="18"/>
              </w:rPr>
              <w:t xml:space="preserve">Law No: 5378; </w:t>
            </w:r>
            <w:r w:rsidR="004D649B" w:rsidRPr="00F76817">
              <w:rPr>
                <w:rFonts w:cs="Arial"/>
                <w:sz w:val="18"/>
                <w:szCs w:val="18"/>
              </w:rPr>
              <w:t>OG. No:</w:t>
            </w:r>
            <w:r w:rsidR="004D649B">
              <w:rPr>
                <w:rFonts w:cs="Arial"/>
                <w:sz w:val="18"/>
                <w:szCs w:val="18"/>
              </w:rPr>
              <w:t>25868</w:t>
            </w:r>
            <w:r w:rsidR="004D649B" w:rsidRPr="00F76817">
              <w:rPr>
                <w:rFonts w:cs="Arial"/>
                <w:sz w:val="18"/>
                <w:szCs w:val="18"/>
              </w:rPr>
              <w:t xml:space="preserve"> dated </w:t>
            </w:r>
            <w:r w:rsidR="004D649B">
              <w:rPr>
                <w:rFonts w:cs="Arial"/>
                <w:sz w:val="18"/>
                <w:szCs w:val="18"/>
              </w:rPr>
              <w:t>7</w:t>
            </w:r>
            <w:r w:rsidR="004D649B" w:rsidRPr="00EE43C6">
              <w:rPr>
                <w:rFonts w:cs="Arial"/>
                <w:sz w:val="18"/>
                <w:szCs w:val="18"/>
              </w:rPr>
              <w:t xml:space="preserve"> </w:t>
            </w:r>
            <w:r w:rsidR="00703C4D" w:rsidRPr="00EE43C6">
              <w:rPr>
                <w:rFonts w:cs="Arial"/>
                <w:sz w:val="18"/>
                <w:szCs w:val="18"/>
              </w:rPr>
              <w:t xml:space="preserve">July </w:t>
            </w:r>
            <w:r w:rsidRPr="00EE43C6">
              <w:rPr>
                <w:rFonts w:cs="Arial"/>
                <w:sz w:val="18"/>
                <w:szCs w:val="18"/>
              </w:rPr>
              <w:t>2005</w:t>
            </w:r>
          </w:p>
        </w:tc>
        <w:tc>
          <w:tcPr>
            <w:tcW w:w="2578" w:type="pct"/>
            <w:shd w:val="clear" w:color="auto" w:fill="FFFFFF" w:themeFill="background1"/>
          </w:tcPr>
          <w:p w14:paraId="0FFE3880" w14:textId="6EE4E8D0" w:rsidR="00A61E86" w:rsidRPr="00EE43C6" w:rsidRDefault="00000AFA" w:rsidP="00D929CC">
            <w:pPr>
              <w:spacing w:before="40" w:after="40" w:line="240" w:lineRule="auto"/>
              <w:rPr>
                <w:rFonts w:cs="Arial"/>
                <w:sz w:val="18"/>
                <w:szCs w:val="18"/>
              </w:rPr>
            </w:pPr>
            <w:r w:rsidRPr="00EE43C6">
              <w:rPr>
                <w:rFonts w:cs="Arial"/>
                <w:sz w:val="18"/>
                <w:szCs w:val="18"/>
              </w:rPr>
              <w:t>It is the law that will ensure that the necessary arrangements are made to promote and ensure the enjoyment of fundamental rights and freedoms by persons with disabilities, to ensure their full and effective participation in equal conditions and to take measures to prevent disability.</w:t>
            </w:r>
          </w:p>
        </w:tc>
      </w:tr>
      <w:tr w:rsidR="00A61E86" w:rsidRPr="00EE43C6" w14:paraId="7F7E8855" w14:textId="26CA32C9" w:rsidTr="00E67C71">
        <w:tc>
          <w:tcPr>
            <w:tcW w:w="1159" w:type="pct"/>
            <w:shd w:val="clear" w:color="auto" w:fill="FFFFFF" w:themeFill="background1"/>
            <w:vAlign w:val="center"/>
          </w:tcPr>
          <w:p w14:paraId="18242799" w14:textId="77AE5BA5"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Special Educational Services</w:t>
            </w:r>
          </w:p>
        </w:tc>
        <w:tc>
          <w:tcPr>
            <w:tcW w:w="1263" w:type="pct"/>
            <w:shd w:val="clear" w:color="auto" w:fill="FFFFFF" w:themeFill="background1"/>
            <w:vAlign w:val="center"/>
          </w:tcPr>
          <w:p w14:paraId="3E0FCED5" w14:textId="725E5793" w:rsidR="00A61E86" w:rsidRPr="00EE43C6" w:rsidRDefault="00A61E86" w:rsidP="00A61E86">
            <w:pPr>
              <w:spacing w:before="40" w:after="40" w:line="240" w:lineRule="auto"/>
              <w:jc w:val="left"/>
              <w:rPr>
                <w:rFonts w:cs="MS Gothic"/>
                <w:sz w:val="18"/>
                <w:szCs w:val="18"/>
              </w:rPr>
            </w:pPr>
            <w:r w:rsidRPr="00EE43C6">
              <w:rPr>
                <w:rFonts w:cs="Arial"/>
                <w:sz w:val="18"/>
                <w:szCs w:val="18"/>
              </w:rPr>
              <w:t>OG. No: 30471 dated 7</w:t>
            </w:r>
            <w:r w:rsidR="00266FE7">
              <w:rPr>
                <w:rFonts w:cs="Arial"/>
                <w:sz w:val="18"/>
                <w:szCs w:val="18"/>
              </w:rPr>
              <w:t xml:space="preserve"> July </w:t>
            </w:r>
            <w:r w:rsidRPr="00EE43C6">
              <w:rPr>
                <w:rFonts w:cs="Arial"/>
                <w:sz w:val="18"/>
                <w:szCs w:val="18"/>
              </w:rPr>
              <w:t>2018</w:t>
            </w:r>
          </w:p>
        </w:tc>
        <w:tc>
          <w:tcPr>
            <w:tcW w:w="2578" w:type="pct"/>
            <w:shd w:val="clear" w:color="auto" w:fill="FFFFFF" w:themeFill="background1"/>
          </w:tcPr>
          <w:p w14:paraId="360B09E9" w14:textId="511311C4" w:rsidR="00A61E86" w:rsidRPr="00EE43C6" w:rsidRDefault="008900EF" w:rsidP="00D929CC">
            <w:pPr>
              <w:spacing w:before="40" w:after="40" w:line="240" w:lineRule="auto"/>
              <w:rPr>
                <w:rFonts w:cs="Arial"/>
                <w:sz w:val="18"/>
                <w:szCs w:val="18"/>
              </w:rPr>
            </w:pPr>
            <w:r w:rsidRPr="00EE43C6">
              <w:rPr>
                <w:rFonts w:cs="Arial"/>
                <w:sz w:val="18"/>
                <w:szCs w:val="18"/>
              </w:rPr>
              <w:t>It is a regulation to ensure that individuals with special educational needs benefit from their educational rights.</w:t>
            </w:r>
          </w:p>
        </w:tc>
      </w:tr>
      <w:tr w:rsidR="00A61E86" w:rsidRPr="00EE43C6" w14:paraId="263A3888" w14:textId="58B07660" w:rsidTr="00E67C71">
        <w:tc>
          <w:tcPr>
            <w:tcW w:w="1159" w:type="pct"/>
            <w:shd w:val="clear" w:color="auto" w:fill="FFFFFF" w:themeFill="background1"/>
            <w:vAlign w:val="center"/>
          </w:tcPr>
          <w:p w14:paraId="405D6236" w14:textId="03661AF5" w:rsidR="00A61E86" w:rsidRPr="00EE43C6" w:rsidRDefault="00D65193" w:rsidP="00D929CC">
            <w:pPr>
              <w:spacing w:before="40" w:after="40" w:line="240" w:lineRule="auto"/>
              <w:rPr>
                <w:rFonts w:cs="MS Gothic"/>
                <w:sz w:val="18"/>
                <w:szCs w:val="18"/>
              </w:rPr>
            </w:pPr>
            <w:r w:rsidRPr="00EE43C6">
              <w:rPr>
                <w:rFonts w:cs="Arial"/>
                <w:sz w:val="18"/>
                <w:szCs w:val="18"/>
              </w:rPr>
              <w:t xml:space="preserve">Regulation </w:t>
            </w:r>
            <w:r>
              <w:rPr>
                <w:rFonts w:cs="Arial"/>
                <w:sz w:val="18"/>
                <w:szCs w:val="18"/>
              </w:rPr>
              <w:t xml:space="preserve">on </w:t>
            </w:r>
            <w:r w:rsidR="00A61E86" w:rsidRPr="00EE43C6">
              <w:rPr>
                <w:rFonts w:cs="Arial"/>
                <w:sz w:val="18"/>
                <w:szCs w:val="18"/>
              </w:rPr>
              <w:t>Health and Safety Signs</w:t>
            </w:r>
          </w:p>
        </w:tc>
        <w:tc>
          <w:tcPr>
            <w:tcW w:w="1263" w:type="pct"/>
            <w:shd w:val="clear" w:color="auto" w:fill="FFFFFF" w:themeFill="background1"/>
            <w:vAlign w:val="center"/>
          </w:tcPr>
          <w:p w14:paraId="598D8BD4" w14:textId="3B731364" w:rsidR="00A61E86" w:rsidRPr="00EE43C6" w:rsidRDefault="00A61E86" w:rsidP="00A61E86">
            <w:pPr>
              <w:spacing w:before="40" w:after="40" w:line="240" w:lineRule="auto"/>
              <w:jc w:val="left"/>
              <w:rPr>
                <w:rFonts w:cs="MS Gothic"/>
                <w:sz w:val="18"/>
                <w:szCs w:val="18"/>
              </w:rPr>
            </w:pPr>
            <w:r w:rsidRPr="00EE43C6">
              <w:rPr>
                <w:rFonts w:cs="Arial"/>
                <w:sz w:val="18"/>
                <w:szCs w:val="18"/>
              </w:rPr>
              <w:t>OG. No. 28762 dated 11 September 2013</w:t>
            </w:r>
          </w:p>
        </w:tc>
        <w:tc>
          <w:tcPr>
            <w:tcW w:w="2578" w:type="pct"/>
            <w:shd w:val="clear" w:color="auto" w:fill="FFFFFF" w:themeFill="background1"/>
          </w:tcPr>
          <w:p w14:paraId="04BA2270" w14:textId="3E74376E" w:rsidR="00A61E86" w:rsidRPr="00EE43C6" w:rsidRDefault="00D659F2" w:rsidP="00D929CC">
            <w:pPr>
              <w:spacing w:before="40" w:after="40" w:line="240" w:lineRule="auto"/>
              <w:rPr>
                <w:rFonts w:cs="Arial"/>
                <w:sz w:val="18"/>
                <w:szCs w:val="18"/>
              </w:rPr>
            </w:pPr>
            <w:r w:rsidRPr="00EE43C6">
              <w:rPr>
                <w:rFonts w:cs="Arial"/>
                <w:sz w:val="18"/>
                <w:szCs w:val="18"/>
              </w:rPr>
              <w:t>Regulation specifying the minimum requirements for the application of health and safety signs to be used at workplaces.</w:t>
            </w:r>
          </w:p>
        </w:tc>
      </w:tr>
      <w:tr w:rsidR="00A61E86" w:rsidRPr="00EE43C6" w14:paraId="7243710F" w14:textId="73C7C2D4" w:rsidTr="00E67C71">
        <w:tc>
          <w:tcPr>
            <w:tcW w:w="1159" w:type="pct"/>
            <w:shd w:val="clear" w:color="auto" w:fill="FFFFFF" w:themeFill="background1"/>
            <w:vAlign w:val="center"/>
          </w:tcPr>
          <w:p w14:paraId="22977E31" w14:textId="275D836E" w:rsidR="00A61E86" w:rsidRPr="00EE43C6" w:rsidRDefault="00A61E86" w:rsidP="00A61E86">
            <w:pPr>
              <w:spacing w:before="40" w:after="40" w:line="240" w:lineRule="auto"/>
              <w:jc w:val="left"/>
              <w:rPr>
                <w:rFonts w:cs="MS Gothic"/>
                <w:sz w:val="18"/>
                <w:szCs w:val="18"/>
              </w:rPr>
            </w:pPr>
            <w:r w:rsidRPr="00EE43C6">
              <w:rPr>
                <w:rFonts w:cs="Arial"/>
                <w:sz w:val="18"/>
                <w:szCs w:val="18"/>
              </w:rPr>
              <w:t>Highway Traffic Regulations</w:t>
            </w:r>
          </w:p>
        </w:tc>
        <w:tc>
          <w:tcPr>
            <w:tcW w:w="1263" w:type="pct"/>
            <w:shd w:val="clear" w:color="auto" w:fill="FFFFFF" w:themeFill="background1"/>
            <w:vAlign w:val="center"/>
          </w:tcPr>
          <w:p w14:paraId="28D0EDE7" w14:textId="7F24CEEA" w:rsidR="00A61E86" w:rsidRPr="00EE43C6" w:rsidRDefault="00A61E86" w:rsidP="00A61E86">
            <w:pPr>
              <w:spacing w:before="40" w:after="40" w:line="240" w:lineRule="auto"/>
              <w:jc w:val="left"/>
              <w:rPr>
                <w:rFonts w:cs="MS Gothic"/>
                <w:sz w:val="18"/>
                <w:szCs w:val="18"/>
              </w:rPr>
            </w:pPr>
            <w:r w:rsidRPr="00EE43C6">
              <w:rPr>
                <w:rFonts w:cs="Arial"/>
                <w:sz w:val="18"/>
                <w:szCs w:val="18"/>
              </w:rPr>
              <w:t xml:space="preserve">OG. No 23053 dated 18 </w:t>
            </w:r>
            <w:r w:rsidR="00A979FF">
              <w:rPr>
                <w:rFonts w:cs="Arial"/>
                <w:sz w:val="18"/>
                <w:szCs w:val="18"/>
              </w:rPr>
              <w:t>July</w:t>
            </w:r>
            <w:r w:rsidR="00A979FF" w:rsidRPr="00EE43C6">
              <w:rPr>
                <w:rFonts w:cs="Arial"/>
                <w:sz w:val="18"/>
                <w:szCs w:val="18"/>
              </w:rPr>
              <w:t xml:space="preserve"> </w:t>
            </w:r>
            <w:r w:rsidRPr="00EE43C6">
              <w:rPr>
                <w:rFonts w:cs="Arial"/>
                <w:sz w:val="18"/>
                <w:szCs w:val="18"/>
              </w:rPr>
              <w:t>1997</w:t>
            </w:r>
          </w:p>
        </w:tc>
        <w:tc>
          <w:tcPr>
            <w:tcW w:w="2578" w:type="pct"/>
            <w:shd w:val="clear" w:color="auto" w:fill="FFFFFF" w:themeFill="background1"/>
          </w:tcPr>
          <w:p w14:paraId="518A3C4C" w14:textId="674EF84A" w:rsidR="00A61E86" w:rsidRPr="00EE43C6" w:rsidRDefault="00576586" w:rsidP="00D929CC">
            <w:pPr>
              <w:spacing w:before="40" w:after="40" w:line="240" w:lineRule="auto"/>
              <w:rPr>
                <w:rFonts w:cs="Arial"/>
                <w:sz w:val="18"/>
                <w:szCs w:val="18"/>
              </w:rPr>
            </w:pPr>
            <w:r w:rsidRPr="00EE43C6">
              <w:rPr>
                <w:rFonts w:cs="Arial"/>
                <w:sz w:val="18"/>
                <w:szCs w:val="18"/>
              </w:rPr>
              <w:t>It is the regulation that ensures traffic order and safety on motorways.</w:t>
            </w:r>
          </w:p>
        </w:tc>
      </w:tr>
      <w:tr w:rsidR="00A61E86" w:rsidRPr="00EE43C6" w14:paraId="03257786" w14:textId="3F37FE0F" w:rsidTr="00E67C71">
        <w:tc>
          <w:tcPr>
            <w:tcW w:w="2422" w:type="pct"/>
            <w:gridSpan w:val="2"/>
            <w:shd w:val="clear" w:color="auto" w:fill="DBE5F1" w:themeFill="accent1" w:themeFillTint="33"/>
            <w:vAlign w:val="center"/>
          </w:tcPr>
          <w:p w14:paraId="20554ADB" w14:textId="1E66BD9C" w:rsidR="00A61E86" w:rsidRPr="00EE43C6" w:rsidRDefault="00903029" w:rsidP="00A61E86">
            <w:pPr>
              <w:spacing w:before="40" w:after="40" w:line="240" w:lineRule="auto"/>
              <w:jc w:val="left"/>
              <w:rPr>
                <w:rFonts w:cs="MS Gothic"/>
                <w:b/>
                <w:sz w:val="18"/>
                <w:szCs w:val="18"/>
              </w:rPr>
            </w:pPr>
            <w:r w:rsidRPr="00EE43C6">
              <w:rPr>
                <w:rFonts w:cs="Arial"/>
                <w:b/>
                <w:bCs/>
                <w:sz w:val="18"/>
                <w:szCs w:val="18"/>
              </w:rPr>
              <w:t>Labour</w:t>
            </w:r>
            <w:r w:rsidR="00A61E86" w:rsidRPr="00EE43C6">
              <w:rPr>
                <w:rFonts w:cs="Arial"/>
                <w:b/>
                <w:bCs/>
                <w:sz w:val="18"/>
                <w:szCs w:val="18"/>
              </w:rPr>
              <w:t xml:space="preserve"> and Working Conditions</w:t>
            </w:r>
          </w:p>
        </w:tc>
        <w:tc>
          <w:tcPr>
            <w:tcW w:w="2578" w:type="pct"/>
            <w:shd w:val="clear" w:color="auto" w:fill="DBE5F1" w:themeFill="accent1" w:themeFillTint="33"/>
          </w:tcPr>
          <w:p w14:paraId="621A661B" w14:textId="25045CB4" w:rsidR="00A61E86" w:rsidRPr="00EE43C6" w:rsidRDefault="00AD1293" w:rsidP="00A61E86">
            <w:pPr>
              <w:spacing w:before="40" w:after="40" w:line="240" w:lineRule="auto"/>
              <w:jc w:val="left"/>
              <w:rPr>
                <w:rFonts w:cs="Arial"/>
                <w:b/>
                <w:bCs/>
                <w:sz w:val="18"/>
                <w:szCs w:val="18"/>
              </w:rPr>
            </w:pPr>
            <w:r w:rsidRPr="00EE43C6">
              <w:rPr>
                <w:rFonts w:cs="Arial"/>
                <w:b/>
                <w:bCs/>
                <w:sz w:val="18"/>
                <w:szCs w:val="18"/>
              </w:rPr>
              <w:t>Relevancy/Implications for the Project</w:t>
            </w:r>
          </w:p>
        </w:tc>
      </w:tr>
      <w:tr w:rsidR="00A61E86" w:rsidRPr="00EE43C6" w14:paraId="4C674A63" w14:textId="29CBFFCA" w:rsidTr="00E67C71">
        <w:tc>
          <w:tcPr>
            <w:tcW w:w="1159" w:type="pct"/>
            <w:shd w:val="clear" w:color="auto" w:fill="FFFFFF" w:themeFill="background1"/>
            <w:vAlign w:val="center"/>
          </w:tcPr>
          <w:p w14:paraId="4F66F97D" w14:textId="1969F085" w:rsidR="00A61E86" w:rsidRPr="00EE43C6" w:rsidRDefault="00A61E86" w:rsidP="00A61E86">
            <w:pPr>
              <w:spacing w:before="40" w:after="40" w:line="240" w:lineRule="auto"/>
              <w:jc w:val="left"/>
              <w:rPr>
                <w:rFonts w:cs="MS Gothic"/>
                <w:sz w:val="18"/>
                <w:szCs w:val="18"/>
              </w:rPr>
            </w:pPr>
            <w:r w:rsidRPr="00EE43C6">
              <w:rPr>
                <w:rFonts w:cs="Arial"/>
                <w:sz w:val="18"/>
                <w:szCs w:val="18"/>
              </w:rPr>
              <w:t>Occupational Health and Safety Law</w:t>
            </w:r>
          </w:p>
        </w:tc>
        <w:tc>
          <w:tcPr>
            <w:tcW w:w="1263" w:type="pct"/>
            <w:shd w:val="clear" w:color="auto" w:fill="FFFFFF" w:themeFill="background1"/>
            <w:vAlign w:val="center"/>
          </w:tcPr>
          <w:p w14:paraId="3C7E17E4" w14:textId="4F889A50" w:rsidR="00A61E86" w:rsidRPr="00EE43C6" w:rsidRDefault="00A61E86" w:rsidP="00A61E86">
            <w:pPr>
              <w:spacing w:before="40" w:after="40" w:line="240" w:lineRule="auto"/>
              <w:jc w:val="left"/>
              <w:rPr>
                <w:rFonts w:cs="MS Gothic"/>
                <w:sz w:val="18"/>
                <w:szCs w:val="18"/>
              </w:rPr>
            </w:pPr>
            <w:r w:rsidRPr="00EE43C6">
              <w:rPr>
                <w:rFonts w:cs="Arial"/>
                <w:sz w:val="18"/>
                <w:szCs w:val="18"/>
              </w:rPr>
              <w:t>Law No: 6331</w:t>
            </w:r>
            <w:r w:rsidR="00384004">
              <w:rPr>
                <w:rFonts w:cs="Arial"/>
                <w:sz w:val="18"/>
                <w:szCs w:val="18"/>
              </w:rPr>
              <w:t>;</w:t>
            </w:r>
            <w:r w:rsidRPr="00EE43C6">
              <w:rPr>
                <w:rFonts w:cs="Arial"/>
                <w:sz w:val="18"/>
                <w:szCs w:val="18"/>
              </w:rPr>
              <w:t xml:space="preserve"> </w:t>
            </w:r>
            <w:r w:rsidR="00384004" w:rsidRPr="00384004">
              <w:rPr>
                <w:rFonts w:cs="Arial"/>
                <w:sz w:val="18"/>
                <w:szCs w:val="18"/>
              </w:rPr>
              <w:t>OG. No:</w:t>
            </w:r>
            <w:r w:rsidR="00384004">
              <w:rPr>
                <w:rFonts w:cs="Arial"/>
                <w:sz w:val="18"/>
                <w:szCs w:val="18"/>
              </w:rPr>
              <w:t>28339</w:t>
            </w:r>
            <w:r w:rsidR="00384004" w:rsidRPr="00384004">
              <w:rPr>
                <w:rFonts w:cs="Arial"/>
                <w:sz w:val="18"/>
                <w:szCs w:val="18"/>
              </w:rPr>
              <w:t xml:space="preserve"> dated </w:t>
            </w:r>
            <w:r w:rsidR="000F4017">
              <w:rPr>
                <w:rFonts w:cs="Arial"/>
                <w:sz w:val="18"/>
                <w:szCs w:val="18"/>
              </w:rPr>
              <w:t>30</w:t>
            </w:r>
            <w:r w:rsidR="00384004" w:rsidRPr="00384004">
              <w:rPr>
                <w:rFonts w:cs="Arial"/>
                <w:sz w:val="18"/>
                <w:szCs w:val="18"/>
              </w:rPr>
              <w:t xml:space="preserve"> </w:t>
            </w:r>
            <w:r w:rsidR="000F4017">
              <w:rPr>
                <w:rFonts w:cs="Arial"/>
                <w:sz w:val="18"/>
                <w:szCs w:val="18"/>
              </w:rPr>
              <w:t>June</w:t>
            </w:r>
            <w:r w:rsidR="00384004" w:rsidRPr="00384004">
              <w:rPr>
                <w:rFonts w:cs="Arial"/>
                <w:sz w:val="18"/>
                <w:szCs w:val="18"/>
              </w:rPr>
              <w:t xml:space="preserve"> </w:t>
            </w:r>
            <w:r w:rsidR="000F4017">
              <w:rPr>
                <w:rFonts w:cs="Arial"/>
                <w:sz w:val="18"/>
                <w:szCs w:val="18"/>
              </w:rPr>
              <w:t>2012</w:t>
            </w:r>
          </w:p>
        </w:tc>
        <w:tc>
          <w:tcPr>
            <w:tcW w:w="2578" w:type="pct"/>
            <w:shd w:val="clear" w:color="auto" w:fill="FFFFFF" w:themeFill="background1"/>
          </w:tcPr>
          <w:p w14:paraId="1220A407" w14:textId="680AD301" w:rsidR="00A61E86" w:rsidRPr="00EE43C6" w:rsidRDefault="00E56D19" w:rsidP="00E56D19">
            <w:pPr>
              <w:spacing w:before="40" w:after="40" w:line="240" w:lineRule="auto"/>
              <w:rPr>
                <w:rFonts w:cs="Arial"/>
                <w:sz w:val="18"/>
                <w:szCs w:val="18"/>
              </w:rPr>
            </w:pPr>
            <w:r w:rsidRPr="00EE43C6">
              <w:rPr>
                <w:rFonts w:cs="Arial"/>
                <w:sz w:val="18"/>
                <w:szCs w:val="18"/>
              </w:rPr>
              <w:t xml:space="preserve">It is the main law that regulates the duties, authorities, responsibilities, rights and obligations of employers and employees </w:t>
            </w:r>
            <w:r w:rsidR="00C92C88" w:rsidRPr="00EE43C6">
              <w:rPr>
                <w:rFonts w:cs="Arial"/>
                <w:sz w:val="18"/>
                <w:szCs w:val="18"/>
              </w:rPr>
              <w:t>to</w:t>
            </w:r>
            <w:r w:rsidRPr="00EE43C6">
              <w:rPr>
                <w:rFonts w:cs="Arial"/>
                <w:sz w:val="18"/>
                <w:szCs w:val="18"/>
              </w:rPr>
              <w:t xml:space="preserve"> ensure occupational health and safety at workplaces and to improve existing health and safety conditions throughout the lifetime of the Project.</w:t>
            </w:r>
          </w:p>
        </w:tc>
      </w:tr>
      <w:tr w:rsidR="00A61E86" w:rsidRPr="00EE43C6" w14:paraId="586D7012" w14:textId="09416A80" w:rsidTr="00E67C71">
        <w:tc>
          <w:tcPr>
            <w:tcW w:w="1159" w:type="pct"/>
            <w:shd w:val="clear" w:color="auto" w:fill="FFFFFF" w:themeFill="background1"/>
            <w:vAlign w:val="center"/>
          </w:tcPr>
          <w:p w14:paraId="13D67C89" w14:textId="74E9A2E7" w:rsidR="00A61E86" w:rsidRPr="00EE43C6" w:rsidRDefault="00A61E86" w:rsidP="00A61E86">
            <w:pPr>
              <w:spacing w:before="40" w:after="40" w:line="240" w:lineRule="auto"/>
              <w:jc w:val="left"/>
              <w:rPr>
                <w:rFonts w:cs="Arial"/>
                <w:sz w:val="18"/>
                <w:szCs w:val="18"/>
              </w:rPr>
            </w:pPr>
            <w:r w:rsidRPr="00EE43C6">
              <w:rPr>
                <w:rFonts w:cs="Arial"/>
                <w:sz w:val="18"/>
                <w:szCs w:val="18"/>
              </w:rPr>
              <w:t>Occupational Health and Safety Regulation in Construction Works</w:t>
            </w:r>
          </w:p>
        </w:tc>
        <w:tc>
          <w:tcPr>
            <w:tcW w:w="1263" w:type="pct"/>
            <w:shd w:val="clear" w:color="auto" w:fill="FFFFFF" w:themeFill="background1"/>
            <w:vAlign w:val="center"/>
          </w:tcPr>
          <w:p w14:paraId="26745855" w14:textId="2AA2C258" w:rsidR="00A61E86" w:rsidRPr="00EE43C6" w:rsidRDefault="00A61E86" w:rsidP="00A61E86">
            <w:pPr>
              <w:spacing w:before="40" w:after="40" w:line="240" w:lineRule="auto"/>
              <w:jc w:val="left"/>
              <w:rPr>
                <w:rFonts w:cs="Arial"/>
                <w:sz w:val="18"/>
                <w:szCs w:val="18"/>
              </w:rPr>
            </w:pPr>
            <w:r w:rsidRPr="00EE43C6">
              <w:rPr>
                <w:rFonts w:cs="Arial"/>
                <w:sz w:val="18"/>
                <w:szCs w:val="18"/>
              </w:rPr>
              <w:t>OG. No. 28786 dated 5 October 2013</w:t>
            </w:r>
          </w:p>
        </w:tc>
        <w:tc>
          <w:tcPr>
            <w:tcW w:w="2578" w:type="pct"/>
            <w:shd w:val="clear" w:color="auto" w:fill="FFFFFF" w:themeFill="background1"/>
          </w:tcPr>
          <w:p w14:paraId="2D9F6EB1" w14:textId="0458AB9D" w:rsidR="00A61E86" w:rsidRPr="00EE43C6" w:rsidRDefault="00255754" w:rsidP="00255754">
            <w:pPr>
              <w:spacing w:before="40" w:after="40" w:line="240" w:lineRule="auto"/>
              <w:rPr>
                <w:rFonts w:cs="Arial"/>
                <w:sz w:val="18"/>
                <w:szCs w:val="18"/>
              </w:rPr>
            </w:pPr>
            <w:r w:rsidRPr="00EE43C6">
              <w:rPr>
                <w:rFonts w:cs="Arial"/>
                <w:sz w:val="18"/>
                <w:szCs w:val="18"/>
              </w:rPr>
              <w:t xml:space="preserve">It is the regulation that regulates the minimum occupational health and safety conditions to be taken in construction works during the construction phase of the </w:t>
            </w:r>
            <w:r w:rsidR="00876DC2" w:rsidRPr="00EE43C6">
              <w:rPr>
                <w:rFonts w:cs="Arial"/>
                <w:sz w:val="18"/>
                <w:szCs w:val="18"/>
              </w:rPr>
              <w:t>P</w:t>
            </w:r>
            <w:r w:rsidRPr="00EE43C6">
              <w:rPr>
                <w:rFonts w:cs="Arial"/>
                <w:sz w:val="18"/>
                <w:szCs w:val="18"/>
              </w:rPr>
              <w:t>roject.</w:t>
            </w:r>
          </w:p>
        </w:tc>
      </w:tr>
      <w:tr w:rsidR="00A61E86" w:rsidRPr="00EE43C6" w14:paraId="68C3F2E9" w14:textId="58664CFF" w:rsidTr="00E67C71">
        <w:tc>
          <w:tcPr>
            <w:tcW w:w="1159" w:type="pct"/>
            <w:shd w:val="clear" w:color="auto" w:fill="FFFFFF" w:themeFill="background1"/>
            <w:vAlign w:val="center"/>
          </w:tcPr>
          <w:p w14:paraId="356751DC" w14:textId="378B4B6F"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Emergency Responses at Workplaces</w:t>
            </w:r>
          </w:p>
        </w:tc>
        <w:tc>
          <w:tcPr>
            <w:tcW w:w="1263" w:type="pct"/>
            <w:shd w:val="clear" w:color="auto" w:fill="FFFFFF" w:themeFill="background1"/>
            <w:vAlign w:val="center"/>
          </w:tcPr>
          <w:p w14:paraId="57BC2AD4" w14:textId="18550A2F" w:rsidR="00A61E86" w:rsidRPr="00EE43C6" w:rsidRDefault="00A61E86" w:rsidP="00A61E86">
            <w:pPr>
              <w:spacing w:before="40" w:after="40" w:line="240" w:lineRule="auto"/>
              <w:jc w:val="left"/>
              <w:rPr>
                <w:rFonts w:cs="Arial"/>
                <w:sz w:val="18"/>
                <w:szCs w:val="18"/>
              </w:rPr>
            </w:pPr>
            <w:r w:rsidRPr="00EE43C6">
              <w:rPr>
                <w:rFonts w:cs="Arial"/>
                <w:sz w:val="18"/>
                <w:szCs w:val="18"/>
              </w:rPr>
              <w:t>OG. No. 28681 dated 18 June 2013</w:t>
            </w:r>
          </w:p>
        </w:tc>
        <w:tc>
          <w:tcPr>
            <w:tcW w:w="2578" w:type="pct"/>
            <w:shd w:val="clear" w:color="auto" w:fill="FFFFFF" w:themeFill="background1"/>
          </w:tcPr>
          <w:p w14:paraId="67A4C487" w14:textId="2D2D5EF6" w:rsidR="00A61E86" w:rsidRPr="00EE43C6" w:rsidRDefault="004761D6" w:rsidP="00DE5232">
            <w:pPr>
              <w:spacing w:before="40" w:after="40" w:line="240" w:lineRule="auto"/>
              <w:rPr>
                <w:rFonts w:cs="Arial"/>
                <w:sz w:val="18"/>
                <w:szCs w:val="18"/>
              </w:rPr>
            </w:pPr>
            <w:r w:rsidRPr="00EE43C6">
              <w:rPr>
                <w:rFonts w:cs="Arial"/>
                <w:sz w:val="18"/>
                <w:szCs w:val="18"/>
              </w:rPr>
              <w:t>For the lifetime of the Project, i</w:t>
            </w:r>
            <w:r w:rsidR="00DE5232" w:rsidRPr="00EE43C6">
              <w:rPr>
                <w:rFonts w:cs="Arial"/>
                <w:sz w:val="18"/>
                <w:szCs w:val="18"/>
              </w:rPr>
              <w:t xml:space="preserve">t is the regulation that regulates the procedures and principles regarding the preparation of emergency </w:t>
            </w:r>
            <w:r w:rsidR="0002762A" w:rsidRPr="00EE43C6">
              <w:rPr>
                <w:rFonts w:cs="Arial"/>
                <w:sz w:val="18"/>
                <w:szCs w:val="18"/>
              </w:rPr>
              <w:t xml:space="preserve">responses </w:t>
            </w:r>
            <w:r w:rsidR="00DE5232" w:rsidRPr="00EE43C6">
              <w:rPr>
                <w:rFonts w:cs="Arial"/>
                <w:sz w:val="18"/>
                <w:szCs w:val="18"/>
              </w:rPr>
              <w:t xml:space="preserve">plans, prevention, protection, evacuation, firefighting, first aid and similar, as well as the safe management of these situations and the determination of the employees to be assigned in these </w:t>
            </w:r>
            <w:r w:rsidR="00D26ABD" w:rsidRPr="00EE43C6">
              <w:rPr>
                <w:rFonts w:cs="Arial"/>
                <w:sz w:val="18"/>
                <w:szCs w:val="18"/>
              </w:rPr>
              <w:t>subjects.</w:t>
            </w:r>
          </w:p>
        </w:tc>
      </w:tr>
      <w:tr w:rsidR="00A61E86" w:rsidRPr="00EE43C6" w14:paraId="34C953FB" w14:textId="37144C7B" w:rsidTr="00E67C71">
        <w:tc>
          <w:tcPr>
            <w:tcW w:w="1159" w:type="pct"/>
            <w:shd w:val="clear" w:color="auto" w:fill="FFFFFF" w:themeFill="background1"/>
            <w:vAlign w:val="center"/>
          </w:tcPr>
          <w:p w14:paraId="164361EB" w14:textId="33CB7C91"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Fire Protection of Buildings</w:t>
            </w:r>
          </w:p>
        </w:tc>
        <w:tc>
          <w:tcPr>
            <w:tcW w:w="1263" w:type="pct"/>
            <w:shd w:val="clear" w:color="auto" w:fill="FFFFFF" w:themeFill="background1"/>
            <w:vAlign w:val="center"/>
          </w:tcPr>
          <w:p w14:paraId="32104239" w14:textId="22C77E33" w:rsidR="00A61E86" w:rsidRPr="00EE43C6" w:rsidRDefault="00A61E86" w:rsidP="00A61E86">
            <w:pPr>
              <w:spacing w:before="40" w:after="40" w:line="240" w:lineRule="auto"/>
              <w:jc w:val="left"/>
              <w:rPr>
                <w:rFonts w:cs="Arial"/>
                <w:sz w:val="18"/>
                <w:szCs w:val="18"/>
              </w:rPr>
            </w:pPr>
            <w:r w:rsidRPr="00EE43C6">
              <w:rPr>
                <w:rFonts w:cs="Arial"/>
                <w:sz w:val="18"/>
                <w:szCs w:val="18"/>
              </w:rPr>
              <w:t>OG. No. 26735 dated 19 December 2007</w:t>
            </w:r>
          </w:p>
        </w:tc>
        <w:tc>
          <w:tcPr>
            <w:tcW w:w="2578" w:type="pct"/>
            <w:shd w:val="clear" w:color="auto" w:fill="FFFFFF" w:themeFill="background1"/>
          </w:tcPr>
          <w:p w14:paraId="20C6D191" w14:textId="5739103B" w:rsidR="00A61E86" w:rsidRPr="00EE43C6" w:rsidRDefault="00DB6579" w:rsidP="00DB6579">
            <w:pPr>
              <w:spacing w:before="40" w:after="40" w:line="240" w:lineRule="auto"/>
              <w:rPr>
                <w:rFonts w:cs="Arial"/>
                <w:sz w:val="18"/>
                <w:szCs w:val="18"/>
              </w:rPr>
            </w:pPr>
            <w:r w:rsidRPr="00EE43C6">
              <w:rPr>
                <w:rFonts w:cs="Arial"/>
                <w:sz w:val="18"/>
                <w:szCs w:val="18"/>
              </w:rPr>
              <w:t xml:space="preserve">Throughout the lifetime of the </w:t>
            </w:r>
            <w:r w:rsidR="004720C8" w:rsidRPr="00EE43C6">
              <w:rPr>
                <w:rFonts w:cs="Arial"/>
                <w:sz w:val="18"/>
                <w:szCs w:val="18"/>
              </w:rPr>
              <w:t>P</w:t>
            </w:r>
            <w:r w:rsidRPr="00EE43C6">
              <w:rPr>
                <w:rFonts w:cs="Arial"/>
                <w:sz w:val="18"/>
                <w:szCs w:val="18"/>
              </w:rPr>
              <w:t>roject</w:t>
            </w:r>
            <w:r w:rsidR="00892F64" w:rsidRPr="00EE43C6">
              <w:rPr>
                <w:rFonts w:cs="Arial"/>
                <w:sz w:val="18"/>
                <w:szCs w:val="18"/>
              </w:rPr>
              <w:t>,</w:t>
            </w:r>
            <w:r w:rsidRPr="00EE43C6">
              <w:rPr>
                <w:rFonts w:cs="Arial"/>
                <w:sz w:val="18"/>
                <w:szCs w:val="18"/>
              </w:rPr>
              <w:t xml:space="preserve"> </w:t>
            </w:r>
            <w:r w:rsidR="002E7118" w:rsidRPr="00EE43C6">
              <w:rPr>
                <w:rFonts w:cs="Arial"/>
                <w:sz w:val="18"/>
                <w:szCs w:val="18"/>
              </w:rPr>
              <w:t>i</w:t>
            </w:r>
            <w:r w:rsidRPr="00EE43C6">
              <w:rPr>
                <w:rFonts w:cs="Arial"/>
                <w:sz w:val="18"/>
                <w:szCs w:val="18"/>
              </w:rPr>
              <w:t xml:space="preserve">t is the regulation that </w:t>
            </w:r>
            <w:r w:rsidR="003A071A" w:rsidRPr="00EE43C6">
              <w:rPr>
                <w:rFonts w:cs="Arial"/>
                <w:sz w:val="18"/>
                <w:szCs w:val="18"/>
              </w:rPr>
              <w:t>regulates</w:t>
            </w:r>
            <w:r w:rsidRPr="00EE43C6">
              <w:rPr>
                <w:rFonts w:cs="Arial"/>
                <w:sz w:val="18"/>
                <w:szCs w:val="18"/>
              </w:rPr>
              <w:t xml:space="preserve"> the procedures and principles of organization, training and supervision</w:t>
            </w:r>
            <w:r w:rsidR="003A071A" w:rsidRPr="00EE43C6">
              <w:rPr>
                <w:rFonts w:cs="Arial"/>
                <w:sz w:val="18"/>
                <w:szCs w:val="18"/>
              </w:rPr>
              <w:t>,</w:t>
            </w:r>
            <w:r w:rsidRPr="00EE43C6">
              <w:rPr>
                <w:rFonts w:cs="Arial"/>
                <w:sz w:val="18"/>
                <w:szCs w:val="18"/>
              </w:rPr>
              <w:t xml:space="preserve"> the measures to be taken before and during the fire in order to minimize the fires that may occur during the design, construction, operation, maintenance and use phases of all kinds of structures, buildings, facilities and businesses used, and to extinguish any fire that may occur in any way by minimizing the loss of life and property.</w:t>
            </w:r>
          </w:p>
        </w:tc>
      </w:tr>
      <w:tr w:rsidR="00A61E86" w:rsidRPr="00EE43C6" w14:paraId="58393317" w14:textId="06627B13" w:rsidTr="00E67C71">
        <w:tc>
          <w:tcPr>
            <w:tcW w:w="1159" w:type="pct"/>
            <w:shd w:val="clear" w:color="auto" w:fill="FFFFFF" w:themeFill="background1"/>
            <w:vAlign w:val="center"/>
          </w:tcPr>
          <w:p w14:paraId="4D705395" w14:textId="278D8930"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Health and Safety Signs</w:t>
            </w:r>
          </w:p>
        </w:tc>
        <w:tc>
          <w:tcPr>
            <w:tcW w:w="1263" w:type="pct"/>
            <w:shd w:val="clear" w:color="auto" w:fill="FFFFFF" w:themeFill="background1"/>
            <w:vAlign w:val="center"/>
          </w:tcPr>
          <w:p w14:paraId="69435C4F" w14:textId="510FACBF" w:rsidR="00A61E86" w:rsidRPr="00EE43C6" w:rsidRDefault="00A61E86" w:rsidP="00A61E86">
            <w:pPr>
              <w:spacing w:before="40" w:after="40" w:line="240" w:lineRule="auto"/>
              <w:jc w:val="left"/>
              <w:rPr>
                <w:rFonts w:cs="Arial"/>
                <w:sz w:val="18"/>
                <w:szCs w:val="18"/>
              </w:rPr>
            </w:pPr>
            <w:r w:rsidRPr="00EE43C6">
              <w:rPr>
                <w:rFonts w:cs="Arial"/>
                <w:sz w:val="18"/>
                <w:szCs w:val="18"/>
              </w:rPr>
              <w:t>OG. No. 28762 dated 11 September 2013</w:t>
            </w:r>
          </w:p>
        </w:tc>
        <w:tc>
          <w:tcPr>
            <w:tcW w:w="2578" w:type="pct"/>
            <w:shd w:val="clear" w:color="auto" w:fill="FFFFFF" w:themeFill="background1"/>
          </w:tcPr>
          <w:p w14:paraId="0B1841C0" w14:textId="020A34E8" w:rsidR="00A61E86" w:rsidRPr="00EE43C6" w:rsidRDefault="001B2013" w:rsidP="001B2013">
            <w:pPr>
              <w:spacing w:before="40" w:after="40" w:line="240" w:lineRule="auto"/>
              <w:rPr>
                <w:rFonts w:cs="Arial"/>
                <w:sz w:val="18"/>
                <w:szCs w:val="18"/>
              </w:rPr>
            </w:pPr>
            <w:r w:rsidRPr="00EE43C6">
              <w:rPr>
                <w:rFonts w:cs="Arial"/>
                <w:sz w:val="18"/>
                <w:szCs w:val="18"/>
              </w:rPr>
              <w:t xml:space="preserve">It is the regulation that regulates the minimum requirements for the application of health and safety signs to be used </w:t>
            </w:r>
            <w:r w:rsidR="00E207D5" w:rsidRPr="00EE43C6">
              <w:rPr>
                <w:rFonts w:cs="Arial"/>
                <w:sz w:val="18"/>
                <w:szCs w:val="18"/>
              </w:rPr>
              <w:t>at the</w:t>
            </w:r>
            <w:r w:rsidRPr="00EE43C6">
              <w:rPr>
                <w:rFonts w:cs="Arial"/>
                <w:sz w:val="18"/>
                <w:szCs w:val="18"/>
              </w:rPr>
              <w:t xml:space="preserve"> </w:t>
            </w:r>
            <w:r w:rsidR="00B07F48" w:rsidRPr="00EE43C6">
              <w:rPr>
                <w:rFonts w:cs="Arial"/>
                <w:sz w:val="18"/>
                <w:szCs w:val="18"/>
              </w:rPr>
              <w:t>Project Area</w:t>
            </w:r>
            <w:r w:rsidRPr="00EE43C6">
              <w:rPr>
                <w:rFonts w:cs="Arial"/>
                <w:sz w:val="18"/>
                <w:szCs w:val="18"/>
              </w:rPr>
              <w:t xml:space="preserve"> throughout the life</w:t>
            </w:r>
            <w:r w:rsidR="001A37D0" w:rsidRPr="00EE43C6">
              <w:rPr>
                <w:rFonts w:cs="Arial"/>
                <w:sz w:val="18"/>
                <w:szCs w:val="18"/>
              </w:rPr>
              <w:t>time</w:t>
            </w:r>
            <w:r w:rsidRPr="00EE43C6">
              <w:rPr>
                <w:rFonts w:cs="Arial"/>
                <w:sz w:val="18"/>
                <w:szCs w:val="18"/>
              </w:rPr>
              <w:t xml:space="preserve"> of the </w:t>
            </w:r>
            <w:r w:rsidR="001A37D0" w:rsidRPr="00EE43C6">
              <w:rPr>
                <w:rFonts w:cs="Arial"/>
                <w:sz w:val="18"/>
                <w:szCs w:val="18"/>
              </w:rPr>
              <w:t>P</w:t>
            </w:r>
            <w:r w:rsidRPr="00EE43C6">
              <w:rPr>
                <w:rFonts w:cs="Arial"/>
                <w:sz w:val="18"/>
                <w:szCs w:val="18"/>
              </w:rPr>
              <w:t>roject.</w:t>
            </w:r>
          </w:p>
        </w:tc>
      </w:tr>
      <w:tr w:rsidR="00A61E86" w:rsidRPr="00EE43C6" w14:paraId="0E4D88DA" w14:textId="3C9F1EEB" w:rsidTr="00E67C71">
        <w:tc>
          <w:tcPr>
            <w:tcW w:w="1159" w:type="pct"/>
            <w:shd w:val="clear" w:color="auto" w:fill="FFFFFF" w:themeFill="background1"/>
            <w:vAlign w:val="center"/>
          </w:tcPr>
          <w:p w14:paraId="2AC1F2C5" w14:textId="79305B7E"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Occupational Health and Safety Risk Assessment</w:t>
            </w:r>
          </w:p>
        </w:tc>
        <w:tc>
          <w:tcPr>
            <w:tcW w:w="1263" w:type="pct"/>
            <w:shd w:val="clear" w:color="auto" w:fill="FFFFFF" w:themeFill="background1"/>
            <w:vAlign w:val="center"/>
          </w:tcPr>
          <w:p w14:paraId="6D8B2669" w14:textId="6E28F0A2" w:rsidR="00A61E86" w:rsidRPr="00EE43C6" w:rsidRDefault="00A61E86" w:rsidP="00A61E86">
            <w:pPr>
              <w:spacing w:before="40" w:after="40" w:line="240" w:lineRule="auto"/>
              <w:jc w:val="left"/>
              <w:rPr>
                <w:rFonts w:cs="Arial"/>
                <w:sz w:val="18"/>
                <w:szCs w:val="18"/>
              </w:rPr>
            </w:pPr>
            <w:r w:rsidRPr="00EE43C6">
              <w:rPr>
                <w:rFonts w:cs="Arial"/>
                <w:sz w:val="18"/>
                <w:szCs w:val="18"/>
              </w:rPr>
              <w:t>OG. No. 28512 dated 29 December 2012</w:t>
            </w:r>
          </w:p>
        </w:tc>
        <w:tc>
          <w:tcPr>
            <w:tcW w:w="2578" w:type="pct"/>
            <w:shd w:val="clear" w:color="auto" w:fill="FFFFFF" w:themeFill="background1"/>
          </w:tcPr>
          <w:p w14:paraId="3F71F1BE" w14:textId="644A7F18" w:rsidR="00A61E86" w:rsidRPr="00EE43C6" w:rsidRDefault="00AA7493" w:rsidP="00AA7493">
            <w:pPr>
              <w:spacing w:before="40" w:after="40" w:line="240" w:lineRule="auto"/>
              <w:rPr>
                <w:rFonts w:cs="Arial"/>
                <w:sz w:val="18"/>
                <w:szCs w:val="18"/>
              </w:rPr>
            </w:pPr>
            <w:r w:rsidRPr="00EE43C6">
              <w:rPr>
                <w:rFonts w:cs="Arial"/>
                <w:sz w:val="18"/>
                <w:szCs w:val="18"/>
              </w:rPr>
              <w:t xml:space="preserve">It is the regulation that regulates the procedures and principles of the risk assessment to be made in terms of occupational health and safety </w:t>
            </w:r>
            <w:r w:rsidR="00E207D5" w:rsidRPr="00EE43C6">
              <w:rPr>
                <w:rFonts w:cs="Arial"/>
                <w:sz w:val="18"/>
                <w:szCs w:val="18"/>
              </w:rPr>
              <w:t>at</w:t>
            </w:r>
            <w:r w:rsidRPr="00EE43C6">
              <w:rPr>
                <w:rFonts w:cs="Arial"/>
                <w:sz w:val="18"/>
                <w:szCs w:val="18"/>
              </w:rPr>
              <w:t xml:space="preserve"> the Project Area throughout the lifetime of the Project.</w:t>
            </w:r>
          </w:p>
        </w:tc>
      </w:tr>
      <w:tr w:rsidR="00A61E86" w:rsidRPr="00EE43C6" w14:paraId="11FAE499" w14:textId="1153CDBC" w:rsidTr="00E67C71">
        <w:tc>
          <w:tcPr>
            <w:tcW w:w="1159" w:type="pct"/>
            <w:shd w:val="clear" w:color="auto" w:fill="FFFFFF" w:themeFill="background1"/>
            <w:vAlign w:val="center"/>
          </w:tcPr>
          <w:p w14:paraId="229D9E7D" w14:textId="1D44D992" w:rsidR="00A61E86" w:rsidRPr="00EE43C6" w:rsidRDefault="00A61E86" w:rsidP="00A61E86">
            <w:pPr>
              <w:spacing w:before="40" w:after="40" w:line="240" w:lineRule="auto"/>
              <w:jc w:val="left"/>
              <w:rPr>
                <w:rFonts w:cs="Arial"/>
                <w:sz w:val="18"/>
                <w:szCs w:val="18"/>
              </w:rPr>
            </w:pPr>
            <w:r w:rsidRPr="00EE43C6">
              <w:rPr>
                <w:rFonts w:cs="Arial"/>
                <w:sz w:val="18"/>
                <w:szCs w:val="18"/>
              </w:rPr>
              <w:t>Regulation on Occupational Hygiene Measurement, Test, and Analysis Laboratories</w:t>
            </w:r>
          </w:p>
        </w:tc>
        <w:tc>
          <w:tcPr>
            <w:tcW w:w="1263" w:type="pct"/>
            <w:shd w:val="clear" w:color="auto" w:fill="FFFFFF" w:themeFill="background1"/>
            <w:vAlign w:val="center"/>
          </w:tcPr>
          <w:p w14:paraId="13D5F3E9" w14:textId="364D5E86" w:rsidR="00A61E86" w:rsidRPr="00EE43C6" w:rsidRDefault="00A61E86" w:rsidP="00A61E86">
            <w:pPr>
              <w:spacing w:before="40" w:after="40" w:line="240" w:lineRule="auto"/>
              <w:jc w:val="left"/>
              <w:rPr>
                <w:rFonts w:cs="Arial"/>
                <w:sz w:val="18"/>
                <w:szCs w:val="18"/>
              </w:rPr>
            </w:pPr>
            <w:r w:rsidRPr="00EE43C6">
              <w:rPr>
                <w:rFonts w:cs="Arial"/>
                <w:sz w:val="18"/>
                <w:szCs w:val="18"/>
              </w:rPr>
              <w:t xml:space="preserve">OG. No. </w:t>
            </w:r>
            <w:r w:rsidR="002950B2" w:rsidRPr="00EE43C6">
              <w:rPr>
                <w:rFonts w:cs="Arial"/>
                <w:sz w:val="18"/>
                <w:szCs w:val="18"/>
              </w:rPr>
              <w:t xml:space="preserve">32086 </w:t>
            </w:r>
            <w:r w:rsidRPr="00EE43C6">
              <w:rPr>
                <w:rFonts w:cs="Arial"/>
                <w:sz w:val="18"/>
                <w:szCs w:val="18"/>
              </w:rPr>
              <w:t>dated 2</w:t>
            </w:r>
            <w:r w:rsidR="002950B2" w:rsidRPr="00EE43C6">
              <w:rPr>
                <w:rFonts w:cs="Arial"/>
                <w:sz w:val="18"/>
                <w:szCs w:val="18"/>
              </w:rPr>
              <w:t>7</w:t>
            </w:r>
            <w:r w:rsidRPr="00EE43C6">
              <w:rPr>
                <w:rFonts w:cs="Arial"/>
                <w:sz w:val="18"/>
                <w:szCs w:val="18"/>
              </w:rPr>
              <w:t xml:space="preserve"> January </w:t>
            </w:r>
            <w:r w:rsidR="002950B2" w:rsidRPr="00EE43C6">
              <w:rPr>
                <w:rFonts w:cs="Arial"/>
                <w:sz w:val="18"/>
                <w:szCs w:val="18"/>
              </w:rPr>
              <w:t>2023</w:t>
            </w:r>
          </w:p>
        </w:tc>
        <w:tc>
          <w:tcPr>
            <w:tcW w:w="2578" w:type="pct"/>
            <w:shd w:val="clear" w:color="auto" w:fill="FFFFFF" w:themeFill="background1"/>
          </w:tcPr>
          <w:p w14:paraId="57085241" w14:textId="1015001E" w:rsidR="00A61E86" w:rsidRPr="00EE43C6" w:rsidRDefault="00DE6817" w:rsidP="00DE6817">
            <w:pPr>
              <w:spacing w:before="40" w:after="40" w:line="240" w:lineRule="auto"/>
              <w:rPr>
                <w:rFonts w:cs="Arial"/>
                <w:sz w:val="18"/>
                <w:szCs w:val="18"/>
              </w:rPr>
            </w:pPr>
            <w:r w:rsidRPr="00EE43C6">
              <w:rPr>
                <w:rFonts w:cs="Arial"/>
                <w:sz w:val="18"/>
                <w:szCs w:val="18"/>
              </w:rPr>
              <w:t>Throughout the lifetime of the Project</w:t>
            </w:r>
            <w:r w:rsidR="00892F64" w:rsidRPr="00EE43C6">
              <w:rPr>
                <w:rFonts w:cs="Arial"/>
                <w:sz w:val="18"/>
                <w:szCs w:val="18"/>
              </w:rPr>
              <w:t xml:space="preserve"> at the Project Area,</w:t>
            </w:r>
            <w:r w:rsidRPr="00EE43C6">
              <w:rPr>
                <w:rFonts w:cs="Arial"/>
                <w:sz w:val="18"/>
                <w:szCs w:val="18"/>
              </w:rPr>
              <w:t xml:space="preserve"> </w:t>
            </w:r>
            <w:r w:rsidR="00892F64" w:rsidRPr="00EE43C6">
              <w:rPr>
                <w:rFonts w:cs="Arial"/>
                <w:sz w:val="18"/>
                <w:szCs w:val="18"/>
              </w:rPr>
              <w:t>i</w:t>
            </w:r>
            <w:r w:rsidRPr="00EE43C6">
              <w:rPr>
                <w:rFonts w:cs="Arial"/>
                <w:sz w:val="18"/>
                <w:szCs w:val="18"/>
              </w:rPr>
              <w:t xml:space="preserve">t is the regulation that regulates the obligations regarding occupational hygiene measurements, tests and </w:t>
            </w:r>
            <w:r w:rsidR="00892F64" w:rsidRPr="00EE43C6">
              <w:rPr>
                <w:rFonts w:cs="Arial"/>
                <w:sz w:val="18"/>
                <w:szCs w:val="18"/>
              </w:rPr>
              <w:t>analyses</w:t>
            </w:r>
            <w:r w:rsidRPr="00EE43C6">
              <w:rPr>
                <w:rFonts w:cs="Arial"/>
                <w:sz w:val="18"/>
                <w:szCs w:val="18"/>
              </w:rPr>
              <w:t xml:space="preserve"> related to physical, </w:t>
            </w:r>
            <w:r w:rsidR="006450CF" w:rsidRPr="00EE43C6">
              <w:rPr>
                <w:rFonts w:cs="Arial"/>
                <w:sz w:val="18"/>
                <w:szCs w:val="18"/>
              </w:rPr>
              <w:t>chemical,</w:t>
            </w:r>
            <w:r w:rsidRPr="00EE43C6">
              <w:rPr>
                <w:rFonts w:cs="Arial"/>
                <w:sz w:val="18"/>
                <w:szCs w:val="18"/>
              </w:rPr>
              <w:t xml:space="preserve"> and biological factors for personal exposure and working environment, and the procedures and principles regarding authorization, </w:t>
            </w:r>
            <w:r w:rsidRPr="00EE43C6">
              <w:rPr>
                <w:rFonts w:cs="Arial"/>
                <w:sz w:val="18"/>
                <w:szCs w:val="18"/>
              </w:rPr>
              <w:lastRenderedPageBreak/>
              <w:t>certification and inspection of laboratories that will carry out these operations.</w:t>
            </w:r>
          </w:p>
        </w:tc>
      </w:tr>
      <w:tr w:rsidR="00A61E86" w:rsidRPr="00EE43C6" w14:paraId="2B48E768" w14:textId="754860DA" w:rsidTr="00E67C71">
        <w:tc>
          <w:tcPr>
            <w:tcW w:w="1159" w:type="pct"/>
            <w:shd w:val="clear" w:color="auto" w:fill="FFFFFF" w:themeFill="background1"/>
            <w:vAlign w:val="center"/>
          </w:tcPr>
          <w:p w14:paraId="489951FE" w14:textId="02C03DCE" w:rsidR="00A61E86" w:rsidRPr="00EE43C6" w:rsidRDefault="00A61E86" w:rsidP="00A61E86">
            <w:pPr>
              <w:spacing w:before="40" w:after="40" w:line="240" w:lineRule="auto"/>
              <w:jc w:val="left"/>
              <w:rPr>
                <w:rFonts w:cs="Arial"/>
                <w:sz w:val="18"/>
                <w:szCs w:val="18"/>
              </w:rPr>
            </w:pPr>
            <w:r w:rsidRPr="00EE43C6">
              <w:rPr>
                <w:rFonts w:cs="Arial"/>
                <w:sz w:val="18"/>
                <w:szCs w:val="18"/>
              </w:rPr>
              <w:lastRenderedPageBreak/>
              <w:t>Regulation on the Health and Safety Measures to be Taken in the Workplace Buildings and built on</w:t>
            </w:r>
          </w:p>
        </w:tc>
        <w:tc>
          <w:tcPr>
            <w:tcW w:w="1263" w:type="pct"/>
            <w:shd w:val="clear" w:color="auto" w:fill="FFFFFF" w:themeFill="background1"/>
            <w:vAlign w:val="center"/>
          </w:tcPr>
          <w:p w14:paraId="3CEB55D7" w14:textId="7E5D8FDB" w:rsidR="00A61E86" w:rsidRPr="00EE43C6" w:rsidRDefault="00A61E86" w:rsidP="00A61E86">
            <w:pPr>
              <w:spacing w:before="40" w:after="40" w:line="240" w:lineRule="auto"/>
              <w:jc w:val="left"/>
              <w:rPr>
                <w:rFonts w:cs="Arial"/>
                <w:sz w:val="18"/>
                <w:szCs w:val="18"/>
              </w:rPr>
            </w:pPr>
            <w:r w:rsidRPr="00EE43C6">
              <w:rPr>
                <w:rFonts w:cs="Arial"/>
                <w:sz w:val="18"/>
                <w:szCs w:val="18"/>
              </w:rPr>
              <w:t>OG. No. 28710 dated 17 July 2013</w:t>
            </w:r>
          </w:p>
        </w:tc>
        <w:tc>
          <w:tcPr>
            <w:tcW w:w="2578" w:type="pct"/>
            <w:shd w:val="clear" w:color="auto" w:fill="FFFFFF" w:themeFill="background1"/>
          </w:tcPr>
          <w:p w14:paraId="74B871D8" w14:textId="2861C42A" w:rsidR="00A61E86" w:rsidRPr="00EE43C6" w:rsidRDefault="00F23B11" w:rsidP="00F23B11">
            <w:pPr>
              <w:spacing w:before="40" w:after="40" w:line="240" w:lineRule="auto"/>
              <w:rPr>
                <w:rFonts w:cs="Arial"/>
                <w:sz w:val="18"/>
                <w:szCs w:val="18"/>
              </w:rPr>
            </w:pPr>
            <w:r w:rsidRPr="00EE43C6">
              <w:rPr>
                <w:rFonts w:cs="Arial"/>
                <w:sz w:val="18"/>
                <w:szCs w:val="18"/>
              </w:rPr>
              <w:t xml:space="preserve">It is the regulation that regulates the minimum health and safety conditions that </w:t>
            </w:r>
            <w:r w:rsidR="00981422" w:rsidRPr="00EE43C6">
              <w:rPr>
                <w:rFonts w:cs="Arial"/>
                <w:sz w:val="18"/>
                <w:szCs w:val="18"/>
              </w:rPr>
              <w:t>should</w:t>
            </w:r>
            <w:r w:rsidRPr="00EE43C6">
              <w:rPr>
                <w:rFonts w:cs="Arial"/>
                <w:sz w:val="18"/>
                <w:szCs w:val="18"/>
              </w:rPr>
              <w:t xml:space="preserve"> be present in the workplace buildings and </w:t>
            </w:r>
            <w:r w:rsidR="00981422" w:rsidRPr="00EE43C6">
              <w:rPr>
                <w:rFonts w:cs="Arial"/>
                <w:sz w:val="18"/>
                <w:szCs w:val="18"/>
              </w:rPr>
              <w:t>bui</w:t>
            </w:r>
            <w:r w:rsidR="00B03898" w:rsidRPr="00EE43C6">
              <w:rPr>
                <w:rFonts w:cs="Arial"/>
                <w:sz w:val="18"/>
                <w:szCs w:val="18"/>
              </w:rPr>
              <w:t>lt on</w:t>
            </w:r>
            <w:r w:rsidRPr="00EE43C6">
              <w:rPr>
                <w:rFonts w:cs="Arial"/>
                <w:sz w:val="18"/>
                <w:szCs w:val="18"/>
              </w:rPr>
              <w:t xml:space="preserve"> during the operation </w:t>
            </w:r>
            <w:r w:rsidR="00B03898" w:rsidRPr="00EE43C6">
              <w:rPr>
                <w:rFonts w:cs="Arial"/>
                <w:sz w:val="18"/>
                <w:szCs w:val="18"/>
              </w:rPr>
              <w:t xml:space="preserve">phase </w:t>
            </w:r>
            <w:r w:rsidRPr="00EE43C6">
              <w:rPr>
                <w:rFonts w:cs="Arial"/>
                <w:sz w:val="18"/>
                <w:szCs w:val="18"/>
              </w:rPr>
              <w:t xml:space="preserve">of the </w:t>
            </w:r>
            <w:r w:rsidR="00B03898" w:rsidRPr="00EE43C6">
              <w:rPr>
                <w:rFonts w:cs="Arial"/>
                <w:sz w:val="18"/>
                <w:szCs w:val="18"/>
              </w:rPr>
              <w:t>P</w:t>
            </w:r>
            <w:r w:rsidRPr="00EE43C6">
              <w:rPr>
                <w:rFonts w:cs="Arial"/>
                <w:sz w:val="18"/>
                <w:szCs w:val="18"/>
              </w:rPr>
              <w:t>roject.</w:t>
            </w:r>
          </w:p>
        </w:tc>
      </w:tr>
      <w:tr w:rsidR="00A61E86" w:rsidRPr="00EE43C6" w14:paraId="4C37B85B" w14:textId="62F465FA" w:rsidTr="00E67C71">
        <w:tc>
          <w:tcPr>
            <w:tcW w:w="1159" w:type="pct"/>
            <w:shd w:val="clear" w:color="auto" w:fill="FFFFFF" w:themeFill="background1"/>
            <w:vAlign w:val="center"/>
          </w:tcPr>
          <w:p w14:paraId="319D9986" w14:textId="14464717"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Contractors and Sub-contractors</w:t>
            </w:r>
          </w:p>
        </w:tc>
        <w:tc>
          <w:tcPr>
            <w:tcW w:w="1263" w:type="pct"/>
            <w:shd w:val="clear" w:color="auto" w:fill="FFFFFF" w:themeFill="background1"/>
            <w:vAlign w:val="center"/>
          </w:tcPr>
          <w:p w14:paraId="06177031" w14:textId="2EEEB38C" w:rsidR="00A61E86" w:rsidRPr="00EE43C6" w:rsidRDefault="00A61E86" w:rsidP="00A61E86">
            <w:pPr>
              <w:spacing w:before="40" w:after="40" w:line="240" w:lineRule="auto"/>
              <w:jc w:val="left"/>
              <w:rPr>
                <w:rFonts w:cs="MS Gothic"/>
                <w:sz w:val="18"/>
                <w:szCs w:val="18"/>
              </w:rPr>
            </w:pPr>
            <w:r w:rsidRPr="00EE43C6">
              <w:rPr>
                <w:rFonts w:cs="Arial"/>
                <w:sz w:val="18"/>
                <w:szCs w:val="18"/>
              </w:rPr>
              <w:t>OG. No. 27010 dated 27 September 2008</w:t>
            </w:r>
          </w:p>
        </w:tc>
        <w:tc>
          <w:tcPr>
            <w:tcW w:w="2578" w:type="pct"/>
            <w:shd w:val="clear" w:color="auto" w:fill="FFFFFF" w:themeFill="background1"/>
          </w:tcPr>
          <w:p w14:paraId="54F9010F" w14:textId="45C0E932" w:rsidR="00A61E86" w:rsidRPr="00EE43C6" w:rsidRDefault="00A50003" w:rsidP="00A50003">
            <w:pPr>
              <w:spacing w:before="40" w:after="40" w:line="240" w:lineRule="auto"/>
              <w:rPr>
                <w:rFonts w:cs="Arial"/>
                <w:sz w:val="18"/>
                <w:szCs w:val="18"/>
              </w:rPr>
            </w:pPr>
            <w:r w:rsidRPr="00EE43C6">
              <w:rPr>
                <w:rFonts w:cs="Arial"/>
                <w:sz w:val="18"/>
                <w:szCs w:val="18"/>
              </w:rPr>
              <w:t xml:space="preserve">It is the regulation that regulates the conditions for the establishment of the </w:t>
            </w:r>
            <w:r w:rsidR="007634A7" w:rsidRPr="00EE43C6">
              <w:rPr>
                <w:rFonts w:cs="Arial"/>
                <w:sz w:val="18"/>
                <w:szCs w:val="18"/>
              </w:rPr>
              <w:t>main contractor</w:t>
            </w:r>
            <w:r w:rsidRPr="00EE43C6">
              <w:rPr>
                <w:rFonts w:cs="Arial"/>
                <w:sz w:val="18"/>
                <w:szCs w:val="18"/>
              </w:rPr>
              <w:t>-subcontractor relationship, the notification and registration of the workplace belonging to the subcontractor, and the issues that should be included in the subcontractor agreement during the life</w:t>
            </w:r>
            <w:r w:rsidR="007634A7" w:rsidRPr="00EE43C6">
              <w:rPr>
                <w:rFonts w:cs="Arial"/>
                <w:sz w:val="18"/>
                <w:szCs w:val="18"/>
              </w:rPr>
              <w:t>time</w:t>
            </w:r>
            <w:r w:rsidRPr="00EE43C6">
              <w:rPr>
                <w:rFonts w:cs="Arial"/>
                <w:sz w:val="18"/>
                <w:szCs w:val="18"/>
              </w:rPr>
              <w:t xml:space="preserve"> of the </w:t>
            </w:r>
            <w:r w:rsidR="007634A7" w:rsidRPr="00EE43C6">
              <w:rPr>
                <w:rFonts w:cs="Arial"/>
                <w:sz w:val="18"/>
                <w:szCs w:val="18"/>
              </w:rPr>
              <w:t>P</w:t>
            </w:r>
            <w:r w:rsidRPr="00EE43C6">
              <w:rPr>
                <w:rFonts w:cs="Arial"/>
                <w:sz w:val="18"/>
                <w:szCs w:val="18"/>
              </w:rPr>
              <w:t>roject.</w:t>
            </w:r>
          </w:p>
        </w:tc>
      </w:tr>
      <w:tr w:rsidR="00A61E86" w:rsidRPr="00EE43C6" w14:paraId="0C782415" w14:textId="6FAA8319" w:rsidTr="00E67C71">
        <w:tc>
          <w:tcPr>
            <w:tcW w:w="1159" w:type="pct"/>
            <w:shd w:val="clear" w:color="auto" w:fill="FFFFFF" w:themeFill="background1"/>
            <w:vAlign w:val="center"/>
          </w:tcPr>
          <w:p w14:paraId="10A84983" w14:textId="4694CD2C" w:rsidR="00A61E86" w:rsidRPr="00EE43C6" w:rsidRDefault="00903029" w:rsidP="00A61E86">
            <w:pPr>
              <w:spacing w:before="40" w:after="40" w:line="240" w:lineRule="auto"/>
              <w:jc w:val="left"/>
              <w:rPr>
                <w:rFonts w:cs="MS Gothic"/>
                <w:sz w:val="18"/>
                <w:szCs w:val="18"/>
              </w:rPr>
            </w:pPr>
            <w:r w:rsidRPr="00EE43C6">
              <w:rPr>
                <w:rFonts w:cs="Arial"/>
                <w:sz w:val="18"/>
                <w:szCs w:val="18"/>
              </w:rPr>
              <w:t>Labour</w:t>
            </w:r>
            <w:r w:rsidR="00A61E86" w:rsidRPr="00EE43C6">
              <w:rPr>
                <w:rFonts w:cs="Arial"/>
                <w:sz w:val="18"/>
                <w:szCs w:val="18"/>
              </w:rPr>
              <w:t xml:space="preserve"> Law </w:t>
            </w:r>
          </w:p>
        </w:tc>
        <w:tc>
          <w:tcPr>
            <w:tcW w:w="1263" w:type="pct"/>
            <w:shd w:val="clear" w:color="auto" w:fill="FFFFFF" w:themeFill="background1"/>
            <w:vAlign w:val="center"/>
          </w:tcPr>
          <w:p w14:paraId="006C87FB" w14:textId="77777777" w:rsidR="00A61E86" w:rsidRDefault="00B268F4" w:rsidP="00A61E86">
            <w:pPr>
              <w:spacing w:before="40" w:after="40" w:line="240" w:lineRule="auto"/>
              <w:jc w:val="left"/>
              <w:rPr>
                <w:rFonts w:cs="Arial"/>
                <w:sz w:val="18"/>
                <w:szCs w:val="18"/>
              </w:rPr>
            </w:pPr>
            <w:r>
              <w:rPr>
                <w:rFonts w:cs="Arial"/>
                <w:sz w:val="18"/>
                <w:szCs w:val="18"/>
              </w:rPr>
              <w:t xml:space="preserve">Law </w:t>
            </w:r>
            <w:r w:rsidRPr="00EE43C6">
              <w:rPr>
                <w:rFonts w:cs="Arial"/>
                <w:sz w:val="18"/>
                <w:szCs w:val="18"/>
              </w:rPr>
              <w:t>No. 4857</w:t>
            </w:r>
            <w:r>
              <w:rPr>
                <w:rFonts w:cs="Arial"/>
                <w:sz w:val="18"/>
                <w:szCs w:val="18"/>
              </w:rPr>
              <w:t xml:space="preserve">; </w:t>
            </w:r>
            <w:r w:rsidR="00A61E86" w:rsidRPr="00EE43C6">
              <w:rPr>
                <w:rFonts w:cs="Arial"/>
                <w:sz w:val="18"/>
                <w:szCs w:val="18"/>
              </w:rPr>
              <w:t>OG. No. 25134 dated 10 June 2003</w:t>
            </w:r>
          </w:p>
          <w:p w14:paraId="2318E0E3" w14:textId="3F72A2A1" w:rsidR="00B268F4" w:rsidRPr="00EE43C6" w:rsidRDefault="00B268F4" w:rsidP="00A61E86">
            <w:pPr>
              <w:spacing w:before="40" w:after="40" w:line="240" w:lineRule="auto"/>
              <w:jc w:val="left"/>
              <w:rPr>
                <w:rFonts w:cs="MS Gothic"/>
                <w:sz w:val="18"/>
                <w:szCs w:val="18"/>
              </w:rPr>
            </w:pPr>
            <w:r>
              <w:rPr>
                <w:rFonts w:cs="MS Gothic"/>
                <w:sz w:val="18"/>
                <w:szCs w:val="18"/>
              </w:rPr>
              <w:t xml:space="preserve">(Last </w:t>
            </w:r>
            <w:r w:rsidRPr="001D6BDD">
              <w:rPr>
                <w:rFonts w:cs="MS Gothic"/>
                <w:sz w:val="18"/>
                <w:szCs w:val="18"/>
              </w:rPr>
              <w:t>amendment</w:t>
            </w:r>
            <w:r w:rsidRPr="00F72613">
              <w:rPr>
                <w:rFonts w:cs="MS Gothic"/>
                <w:sz w:val="18"/>
                <w:szCs w:val="18"/>
              </w:rPr>
              <w:t xml:space="preserve"> on </w:t>
            </w:r>
            <w:r>
              <w:rPr>
                <w:rFonts w:cs="MS Gothic"/>
                <w:sz w:val="18"/>
                <w:szCs w:val="18"/>
              </w:rPr>
              <w:t>28</w:t>
            </w:r>
            <w:r w:rsidRPr="00F72613">
              <w:rPr>
                <w:rFonts w:cs="MS Gothic"/>
                <w:sz w:val="18"/>
                <w:szCs w:val="18"/>
              </w:rPr>
              <w:t xml:space="preserve"> </w:t>
            </w:r>
            <w:r>
              <w:rPr>
                <w:rFonts w:cs="MS Gothic"/>
                <w:sz w:val="18"/>
                <w:szCs w:val="18"/>
              </w:rPr>
              <w:t>December</w:t>
            </w:r>
            <w:r w:rsidRPr="00F72613">
              <w:rPr>
                <w:rFonts w:cs="MS Gothic"/>
                <w:sz w:val="18"/>
                <w:szCs w:val="18"/>
              </w:rPr>
              <w:t xml:space="preserve"> 202</w:t>
            </w:r>
            <w:r>
              <w:rPr>
                <w:rFonts w:cs="MS Gothic"/>
                <w:sz w:val="18"/>
                <w:szCs w:val="18"/>
              </w:rPr>
              <w:t>2</w:t>
            </w:r>
            <w:r w:rsidRPr="00F72613">
              <w:rPr>
                <w:rFonts w:cs="MS Gothic"/>
                <w:sz w:val="18"/>
                <w:szCs w:val="18"/>
              </w:rPr>
              <w:t xml:space="preserve"> with </w:t>
            </w:r>
            <w:r w:rsidRPr="001A698B">
              <w:rPr>
                <w:rFonts w:cs="MS Gothic"/>
                <w:sz w:val="18"/>
                <w:szCs w:val="18"/>
              </w:rPr>
              <w:t xml:space="preserve">Amended Law </w:t>
            </w:r>
            <w:r w:rsidRPr="00F72613">
              <w:rPr>
                <w:rFonts w:cs="MS Gothic"/>
                <w:sz w:val="18"/>
                <w:szCs w:val="18"/>
              </w:rPr>
              <w:t xml:space="preserve">No. </w:t>
            </w:r>
            <w:r>
              <w:rPr>
                <w:rFonts w:cs="MS Gothic"/>
                <w:sz w:val="18"/>
                <w:szCs w:val="18"/>
              </w:rPr>
              <w:t>74</w:t>
            </w:r>
            <w:r w:rsidR="0093496B">
              <w:rPr>
                <w:rFonts w:cs="MS Gothic"/>
                <w:sz w:val="18"/>
                <w:szCs w:val="18"/>
              </w:rPr>
              <w:t>29</w:t>
            </w:r>
            <w:r w:rsidRPr="00F72613">
              <w:rPr>
                <w:rFonts w:cs="MS Gothic"/>
                <w:sz w:val="18"/>
                <w:szCs w:val="18"/>
              </w:rPr>
              <w:t>)</w:t>
            </w:r>
          </w:p>
        </w:tc>
        <w:tc>
          <w:tcPr>
            <w:tcW w:w="2578" w:type="pct"/>
            <w:shd w:val="clear" w:color="auto" w:fill="FFFFFF" w:themeFill="background1"/>
          </w:tcPr>
          <w:p w14:paraId="7B745070" w14:textId="47CDD439" w:rsidR="00A61E86" w:rsidRPr="00EE43C6" w:rsidRDefault="00865CAB" w:rsidP="00865CAB">
            <w:pPr>
              <w:spacing w:before="40" w:after="40" w:line="240" w:lineRule="auto"/>
              <w:rPr>
                <w:rFonts w:cs="Arial"/>
                <w:sz w:val="18"/>
                <w:szCs w:val="18"/>
              </w:rPr>
            </w:pPr>
            <w:r w:rsidRPr="00EE43C6">
              <w:rPr>
                <w:rFonts w:cs="Arial"/>
                <w:sz w:val="18"/>
                <w:szCs w:val="18"/>
              </w:rPr>
              <w:t xml:space="preserve">It is the main law that regulates the rights and responsibilities of the workers employed </w:t>
            </w:r>
            <w:r w:rsidR="00C2204E" w:rsidRPr="00EE43C6">
              <w:rPr>
                <w:rFonts w:cs="Arial"/>
                <w:sz w:val="18"/>
                <w:szCs w:val="18"/>
              </w:rPr>
              <w:t>based on</w:t>
            </w:r>
            <w:r w:rsidR="00297C94" w:rsidRPr="00EE43C6">
              <w:rPr>
                <w:rFonts w:cs="Arial"/>
                <w:sz w:val="18"/>
                <w:szCs w:val="18"/>
              </w:rPr>
              <w:t xml:space="preserve"> the</w:t>
            </w:r>
            <w:r w:rsidRPr="00EE43C6">
              <w:rPr>
                <w:rFonts w:cs="Arial"/>
                <w:sz w:val="18"/>
                <w:szCs w:val="18"/>
              </w:rPr>
              <w:t xml:space="preserve"> </w:t>
            </w:r>
            <w:r w:rsidR="009F6CC5" w:rsidRPr="00EE43C6">
              <w:rPr>
                <w:rFonts w:cs="Arial"/>
                <w:sz w:val="18"/>
                <w:szCs w:val="18"/>
              </w:rPr>
              <w:t>labour</w:t>
            </w:r>
            <w:r w:rsidRPr="00EE43C6">
              <w:rPr>
                <w:rFonts w:cs="Arial"/>
                <w:sz w:val="18"/>
                <w:szCs w:val="18"/>
              </w:rPr>
              <w:t xml:space="preserve"> contract with the </w:t>
            </w:r>
            <w:r w:rsidR="00201FD0" w:rsidRPr="00EE43C6">
              <w:rPr>
                <w:rFonts w:cs="Arial"/>
                <w:sz w:val="18"/>
                <w:szCs w:val="18"/>
              </w:rPr>
              <w:t>employers</w:t>
            </w:r>
            <w:r w:rsidRPr="00EE43C6">
              <w:rPr>
                <w:rFonts w:cs="Arial"/>
                <w:sz w:val="18"/>
                <w:szCs w:val="18"/>
              </w:rPr>
              <w:t>, regarding the working conditions and working environment</w:t>
            </w:r>
            <w:r w:rsidR="00F97DB1" w:rsidRPr="00EE43C6">
              <w:rPr>
                <w:rFonts w:cs="Arial"/>
                <w:sz w:val="18"/>
                <w:szCs w:val="18"/>
              </w:rPr>
              <w:t xml:space="preserve"> during the lifetime of the Project</w:t>
            </w:r>
            <w:r w:rsidRPr="00EE43C6">
              <w:rPr>
                <w:rFonts w:cs="Arial"/>
                <w:sz w:val="18"/>
                <w:szCs w:val="18"/>
              </w:rPr>
              <w:t>.</w:t>
            </w:r>
          </w:p>
        </w:tc>
      </w:tr>
      <w:tr w:rsidR="00A61E86" w:rsidRPr="00EE43C6" w14:paraId="0527BC3C" w14:textId="383ECA5B" w:rsidTr="00E67C71">
        <w:tc>
          <w:tcPr>
            <w:tcW w:w="1159" w:type="pct"/>
            <w:shd w:val="clear" w:color="auto" w:fill="FFFFFF" w:themeFill="background1"/>
            <w:vAlign w:val="center"/>
          </w:tcPr>
          <w:p w14:paraId="780CF545" w14:textId="0E113886" w:rsidR="00A61E86" w:rsidRPr="00EE43C6" w:rsidRDefault="00A61E86" w:rsidP="00A61E86">
            <w:pPr>
              <w:spacing w:before="40" w:after="40" w:line="240" w:lineRule="auto"/>
              <w:jc w:val="left"/>
              <w:rPr>
                <w:rFonts w:cs="MS Gothic"/>
                <w:sz w:val="18"/>
                <w:szCs w:val="18"/>
              </w:rPr>
            </w:pPr>
            <w:r w:rsidRPr="00EE43C6">
              <w:rPr>
                <w:rFonts w:cs="Arial"/>
                <w:sz w:val="18"/>
                <w:szCs w:val="18"/>
              </w:rPr>
              <w:t>Law on Trade Unions and Collective Bargaining Agreements</w:t>
            </w:r>
          </w:p>
        </w:tc>
        <w:tc>
          <w:tcPr>
            <w:tcW w:w="1263" w:type="pct"/>
            <w:shd w:val="clear" w:color="auto" w:fill="FFFFFF" w:themeFill="background1"/>
            <w:vAlign w:val="center"/>
          </w:tcPr>
          <w:p w14:paraId="242A4863" w14:textId="1B82D5F4" w:rsidR="00A61E86" w:rsidRPr="00EE43C6" w:rsidRDefault="0093496B" w:rsidP="00A61E86">
            <w:pPr>
              <w:spacing w:before="40" w:after="40" w:line="240" w:lineRule="auto"/>
              <w:jc w:val="left"/>
              <w:rPr>
                <w:rFonts w:cs="MS Gothic"/>
                <w:sz w:val="18"/>
                <w:szCs w:val="18"/>
              </w:rPr>
            </w:pPr>
            <w:r>
              <w:rPr>
                <w:rFonts w:cs="Arial"/>
                <w:sz w:val="18"/>
                <w:szCs w:val="18"/>
              </w:rPr>
              <w:t xml:space="preserve">Law </w:t>
            </w:r>
            <w:r w:rsidRPr="00EE43C6">
              <w:rPr>
                <w:rFonts w:cs="Arial"/>
                <w:sz w:val="18"/>
                <w:szCs w:val="18"/>
              </w:rPr>
              <w:t xml:space="preserve">No. </w:t>
            </w:r>
            <w:r>
              <w:rPr>
                <w:rFonts w:cs="Arial"/>
                <w:sz w:val="18"/>
                <w:szCs w:val="18"/>
              </w:rPr>
              <w:t xml:space="preserve">6356; </w:t>
            </w:r>
            <w:r w:rsidR="00A61E86" w:rsidRPr="00EE43C6">
              <w:rPr>
                <w:rFonts w:cs="Arial"/>
                <w:sz w:val="18"/>
                <w:szCs w:val="18"/>
              </w:rPr>
              <w:t>OG. No. 28460 dated 7 November 2012</w:t>
            </w:r>
          </w:p>
        </w:tc>
        <w:tc>
          <w:tcPr>
            <w:tcW w:w="2578" w:type="pct"/>
            <w:shd w:val="clear" w:color="auto" w:fill="FFFFFF" w:themeFill="background1"/>
          </w:tcPr>
          <w:p w14:paraId="5BE5CDAA" w14:textId="031CAAC4" w:rsidR="00A61E86" w:rsidRPr="00EE43C6" w:rsidRDefault="00A43EC1" w:rsidP="00865CAB">
            <w:pPr>
              <w:spacing w:before="40" w:after="40" w:line="240" w:lineRule="auto"/>
              <w:rPr>
                <w:rFonts w:cs="Arial"/>
                <w:sz w:val="18"/>
                <w:szCs w:val="18"/>
              </w:rPr>
            </w:pPr>
            <w:r w:rsidRPr="00EE43C6">
              <w:rPr>
                <w:rFonts w:cs="Arial"/>
                <w:sz w:val="18"/>
                <w:szCs w:val="18"/>
              </w:rPr>
              <w:t xml:space="preserve">For </w:t>
            </w:r>
            <w:r w:rsidR="00BF4EBB" w:rsidRPr="00EE43C6">
              <w:rPr>
                <w:rFonts w:cs="Arial"/>
                <w:sz w:val="18"/>
                <w:szCs w:val="18"/>
              </w:rPr>
              <w:t xml:space="preserve">the lifetime of the </w:t>
            </w:r>
            <w:r w:rsidR="00467C91" w:rsidRPr="00EE43C6">
              <w:rPr>
                <w:rFonts w:cs="Arial"/>
                <w:sz w:val="18"/>
                <w:szCs w:val="18"/>
              </w:rPr>
              <w:t>Project,</w:t>
            </w:r>
            <w:r w:rsidR="00BF4EBB" w:rsidRPr="00EE43C6">
              <w:rPr>
                <w:rFonts w:cs="Arial"/>
                <w:sz w:val="18"/>
                <w:szCs w:val="18"/>
              </w:rPr>
              <w:t xml:space="preserve"> </w:t>
            </w:r>
            <w:r w:rsidR="0091715A" w:rsidRPr="00EE43C6">
              <w:rPr>
                <w:rFonts w:cs="Arial"/>
                <w:sz w:val="18"/>
                <w:szCs w:val="18"/>
              </w:rPr>
              <w:t>i</w:t>
            </w:r>
            <w:r w:rsidR="00E84DFE" w:rsidRPr="00EE43C6">
              <w:rPr>
                <w:rFonts w:cs="Arial"/>
                <w:sz w:val="18"/>
                <w:szCs w:val="18"/>
              </w:rPr>
              <w:t xml:space="preserve">t is </w:t>
            </w:r>
            <w:r w:rsidR="00CE5169" w:rsidRPr="00EE43C6">
              <w:rPr>
                <w:rFonts w:cs="Arial"/>
                <w:sz w:val="18"/>
                <w:szCs w:val="18"/>
              </w:rPr>
              <w:t>the</w:t>
            </w:r>
            <w:r w:rsidR="00E84DFE" w:rsidRPr="00EE43C6">
              <w:rPr>
                <w:rFonts w:cs="Arial"/>
                <w:sz w:val="18"/>
                <w:szCs w:val="18"/>
              </w:rPr>
              <w:t xml:space="preserve"> law that regulate</w:t>
            </w:r>
            <w:r w:rsidR="007A55CD" w:rsidRPr="00EE43C6">
              <w:rPr>
                <w:rFonts w:cs="Arial"/>
                <w:sz w:val="18"/>
                <w:szCs w:val="18"/>
              </w:rPr>
              <w:t>s</w:t>
            </w:r>
            <w:r w:rsidR="00E84DFE" w:rsidRPr="00EE43C6">
              <w:rPr>
                <w:rFonts w:cs="Arial"/>
                <w:sz w:val="18"/>
                <w:szCs w:val="18"/>
              </w:rPr>
              <w:t xml:space="preserve"> the procedures and principles related to </w:t>
            </w:r>
            <w:r w:rsidR="00BF4EBB" w:rsidRPr="00EE43C6">
              <w:rPr>
                <w:rFonts w:cs="Arial"/>
                <w:sz w:val="18"/>
                <w:szCs w:val="18"/>
              </w:rPr>
              <w:t>the establishment, management, functioning, supervision, working and organization of workers</w:t>
            </w:r>
            <w:r w:rsidR="00333216" w:rsidRPr="00EE43C6">
              <w:rPr>
                <w:rFonts w:cs="Arial"/>
                <w:sz w:val="18"/>
                <w:szCs w:val="18"/>
              </w:rPr>
              <w:t>’</w:t>
            </w:r>
            <w:r w:rsidR="00BF4EBB" w:rsidRPr="00EE43C6">
              <w:rPr>
                <w:rFonts w:cs="Arial"/>
                <w:sz w:val="18"/>
                <w:szCs w:val="18"/>
              </w:rPr>
              <w:t xml:space="preserve"> and employers</w:t>
            </w:r>
            <w:r w:rsidR="00333216" w:rsidRPr="00EE43C6">
              <w:rPr>
                <w:rFonts w:cs="Arial"/>
                <w:sz w:val="18"/>
                <w:szCs w:val="18"/>
              </w:rPr>
              <w:t>’</w:t>
            </w:r>
            <w:r w:rsidR="00BF4EBB" w:rsidRPr="00EE43C6">
              <w:rPr>
                <w:rFonts w:cs="Arial"/>
                <w:sz w:val="18"/>
                <w:szCs w:val="18"/>
              </w:rPr>
              <w:t xml:space="preserve"> unions and confederations, making collective bargaining agreements to determine mutual economic and social situations and working conditions of workers and employers, to settle disputes by peaceful means, to resort to strikes and lockouts.</w:t>
            </w:r>
          </w:p>
        </w:tc>
      </w:tr>
      <w:tr w:rsidR="00A61E86" w:rsidRPr="00EE43C6" w14:paraId="3A7EA32E" w14:textId="1A0FCCF9" w:rsidTr="00E67C71">
        <w:tc>
          <w:tcPr>
            <w:tcW w:w="1159" w:type="pct"/>
            <w:shd w:val="clear" w:color="auto" w:fill="FFFFFF" w:themeFill="background1"/>
            <w:vAlign w:val="center"/>
          </w:tcPr>
          <w:p w14:paraId="3AEE942F" w14:textId="558FF038" w:rsidR="00A61E86" w:rsidRPr="00EE43C6" w:rsidRDefault="00E2508B" w:rsidP="00A61E86">
            <w:pPr>
              <w:spacing w:before="40" w:after="40" w:line="240" w:lineRule="auto"/>
              <w:jc w:val="left"/>
              <w:rPr>
                <w:rFonts w:cs="Arial"/>
                <w:sz w:val="18"/>
                <w:szCs w:val="18"/>
              </w:rPr>
            </w:pPr>
            <w:r w:rsidRPr="00EE43C6">
              <w:rPr>
                <w:rFonts w:cs="Arial"/>
                <w:sz w:val="18"/>
                <w:szCs w:val="18"/>
              </w:rPr>
              <w:t xml:space="preserve">Law </w:t>
            </w:r>
            <w:r>
              <w:rPr>
                <w:rFonts w:cs="Arial"/>
                <w:sz w:val="18"/>
                <w:szCs w:val="18"/>
              </w:rPr>
              <w:t xml:space="preserve">on </w:t>
            </w:r>
            <w:r w:rsidR="00A61E86" w:rsidRPr="00EE43C6">
              <w:rPr>
                <w:rFonts w:cs="Arial"/>
                <w:sz w:val="18"/>
                <w:szCs w:val="18"/>
              </w:rPr>
              <w:t>Right to Information</w:t>
            </w:r>
          </w:p>
        </w:tc>
        <w:tc>
          <w:tcPr>
            <w:tcW w:w="1263" w:type="pct"/>
            <w:shd w:val="clear" w:color="auto" w:fill="FFFFFF" w:themeFill="background1"/>
            <w:vAlign w:val="center"/>
          </w:tcPr>
          <w:p w14:paraId="6DB7AD42" w14:textId="40550776" w:rsidR="00A61E86" w:rsidRPr="00EE43C6" w:rsidRDefault="00E42FFD" w:rsidP="00A61E86">
            <w:pPr>
              <w:spacing w:before="40" w:after="40" w:line="240" w:lineRule="auto"/>
              <w:jc w:val="left"/>
              <w:rPr>
                <w:rFonts w:cs="Arial"/>
                <w:sz w:val="18"/>
                <w:szCs w:val="18"/>
              </w:rPr>
            </w:pPr>
            <w:r>
              <w:rPr>
                <w:rFonts w:cs="Arial"/>
                <w:sz w:val="18"/>
                <w:szCs w:val="18"/>
              </w:rPr>
              <w:t xml:space="preserve">Law </w:t>
            </w:r>
            <w:r w:rsidRPr="00EE43C6">
              <w:rPr>
                <w:rFonts w:cs="Arial"/>
                <w:sz w:val="18"/>
                <w:szCs w:val="18"/>
              </w:rPr>
              <w:t xml:space="preserve">No. </w:t>
            </w:r>
            <w:r>
              <w:rPr>
                <w:rFonts w:cs="Arial"/>
                <w:sz w:val="18"/>
                <w:szCs w:val="18"/>
              </w:rPr>
              <w:t xml:space="preserve">4982; </w:t>
            </w:r>
            <w:r w:rsidR="00A61E86" w:rsidRPr="00EE43C6">
              <w:rPr>
                <w:rFonts w:cs="Arial"/>
                <w:sz w:val="18"/>
                <w:szCs w:val="18"/>
              </w:rPr>
              <w:t>OG. No. 25269 dated 24 October 2003</w:t>
            </w:r>
          </w:p>
        </w:tc>
        <w:tc>
          <w:tcPr>
            <w:tcW w:w="2578" w:type="pct"/>
            <w:shd w:val="clear" w:color="auto" w:fill="FFFFFF" w:themeFill="background1"/>
          </w:tcPr>
          <w:p w14:paraId="6B373A9B" w14:textId="54033F32" w:rsidR="00A61E86" w:rsidRPr="00EE43C6" w:rsidRDefault="002773D4" w:rsidP="00865CAB">
            <w:pPr>
              <w:spacing w:before="40" w:after="40" w:line="240" w:lineRule="auto"/>
              <w:rPr>
                <w:rFonts w:cs="Arial"/>
                <w:sz w:val="18"/>
                <w:szCs w:val="18"/>
              </w:rPr>
            </w:pPr>
            <w:r w:rsidRPr="00EE43C6">
              <w:rPr>
                <w:rFonts w:cs="Arial"/>
                <w:sz w:val="18"/>
                <w:szCs w:val="18"/>
              </w:rPr>
              <w:t xml:space="preserve">For the lifetime of the </w:t>
            </w:r>
            <w:r w:rsidR="00722103" w:rsidRPr="00EE43C6">
              <w:rPr>
                <w:rFonts w:cs="Arial"/>
                <w:sz w:val="18"/>
                <w:szCs w:val="18"/>
              </w:rPr>
              <w:t>Project,</w:t>
            </w:r>
            <w:r w:rsidRPr="00EE43C6">
              <w:rPr>
                <w:rFonts w:cs="Arial"/>
                <w:sz w:val="18"/>
                <w:szCs w:val="18"/>
              </w:rPr>
              <w:t xml:space="preserve"> </w:t>
            </w:r>
            <w:r w:rsidR="00722103" w:rsidRPr="00EE43C6">
              <w:rPr>
                <w:rFonts w:cs="Arial"/>
                <w:sz w:val="18"/>
                <w:szCs w:val="18"/>
              </w:rPr>
              <w:t>i</w:t>
            </w:r>
            <w:r w:rsidRPr="00EE43C6">
              <w:rPr>
                <w:rFonts w:cs="Arial"/>
                <w:sz w:val="18"/>
                <w:szCs w:val="18"/>
              </w:rPr>
              <w:t xml:space="preserve">t is the law that regulates the principles and procedures for individuals to exercise their right to information in accordance with the principles of equality, </w:t>
            </w:r>
            <w:r w:rsidR="00722103" w:rsidRPr="00EE43C6">
              <w:rPr>
                <w:rFonts w:cs="Arial"/>
                <w:sz w:val="18"/>
                <w:szCs w:val="18"/>
              </w:rPr>
              <w:t>impartiality,</w:t>
            </w:r>
            <w:r w:rsidRPr="00EE43C6">
              <w:rPr>
                <w:rFonts w:cs="Arial"/>
                <w:sz w:val="18"/>
                <w:szCs w:val="18"/>
              </w:rPr>
              <w:t xml:space="preserve"> and openness, which are a requirement of democratic and transparent administration.</w:t>
            </w:r>
          </w:p>
        </w:tc>
      </w:tr>
      <w:tr w:rsidR="00A61E86" w:rsidRPr="00EE43C6" w14:paraId="59A41801" w14:textId="40D03775" w:rsidTr="00E67C71">
        <w:trPr>
          <w:trHeight w:val="2417"/>
        </w:trPr>
        <w:tc>
          <w:tcPr>
            <w:tcW w:w="1159" w:type="pct"/>
            <w:shd w:val="clear" w:color="auto" w:fill="FFFFFF" w:themeFill="background1"/>
            <w:vAlign w:val="center"/>
          </w:tcPr>
          <w:p w14:paraId="606CFB19" w14:textId="3B7CFA30" w:rsidR="00A61E86" w:rsidRPr="00EE43C6" w:rsidRDefault="00A61E86" w:rsidP="00A61E86">
            <w:pPr>
              <w:spacing w:before="40" w:after="40" w:line="240" w:lineRule="auto"/>
              <w:jc w:val="left"/>
              <w:rPr>
                <w:rFonts w:cs="MS Gothic"/>
                <w:sz w:val="18"/>
                <w:szCs w:val="18"/>
              </w:rPr>
            </w:pPr>
            <w:r w:rsidRPr="00EE43C6">
              <w:rPr>
                <w:rFonts w:cs="Arial"/>
                <w:sz w:val="18"/>
                <w:szCs w:val="18"/>
              </w:rPr>
              <w:t xml:space="preserve">Regulation on First Aid </w:t>
            </w:r>
          </w:p>
        </w:tc>
        <w:tc>
          <w:tcPr>
            <w:tcW w:w="1263" w:type="pct"/>
            <w:shd w:val="clear" w:color="auto" w:fill="FFFFFF" w:themeFill="background1"/>
            <w:vAlign w:val="center"/>
          </w:tcPr>
          <w:p w14:paraId="4FE9DBDA" w14:textId="7B2754D9" w:rsidR="00A61E86" w:rsidRPr="00EE43C6" w:rsidRDefault="00A61E86" w:rsidP="00A61E86">
            <w:pPr>
              <w:spacing w:before="40" w:after="40" w:line="240" w:lineRule="auto"/>
              <w:jc w:val="left"/>
              <w:rPr>
                <w:rFonts w:cs="MS Gothic"/>
                <w:sz w:val="18"/>
                <w:szCs w:val="18"/>
              </w:rPr>
            </w:pPr>
            <w:r w:rsidRPr="00EE43C6">
              <w:rPr>
                <w:rFonts w:cs="Arial"/>
                <w:sz w:val="18"/>
                <w:szCs w:val="18"/>
              </w:rPr>
              <w:t>OG. No. 29429 dated 29 July 2015</w:t>
            </w:r>
          </w:p>
        </w:tc>
        <w:tc>
          <w:tcPr>
            <w:tcW w:w="2578" w:type="pct"/>
            <w:shd w:val="clear" w:color="auto" w:fill="FFFFFF" w:themeFill="background1"/>
          </w:tcPr>
          <w:p w14:paraId="0EEC53C1" w14:textId="3A23B597" w:rsidR="00A61E86" w:rsidRPr="00EE43C6" w:rsidRDefault="009731FD" w:rsidP="00865CAB">
            <w:pPr>
              <w:spacing w:before="40" w:after="40" w:line="240" w:lineRule="auto"/>
              <w:rPr>
                <w:rFonts w:cs="Arial"/>
                <w:sz w:val="18"/>
                <w:szCs w:val="18"/>
              </w:rPr>
            </w:pPr>
            <w:r w:rsidRPr="00EE43C6">
              <w:rPr>
                <w:rFonts w:cs="Arial"/>
                <w:sz w:val="18"/>
                <w:szCs w:val="18"/>
              </w:rPr>
              <w:t xml:space="preserve">For the lifetime of the Project; </w:t>
            </w:r>
            <w:r w:rsidR="00083CE5" w:rsidRPr="00EE43C6">
              <w:rPr>
                <w:rFonts w:cs="Arial"/>
                <w:sz w:val="18"/>
                <w:szCs w:val="18"/>
              </w:rPr>
              <w:t>it is the regulation that regulates the procedures and principles regarding</w:t>
            </w:r>
            <w:r w:rsidR="00D71AFF" w:rsidRPr="00EE43C6">
              <w:rPr>
                <w:rFonts w:cs="Arial"/>
                <w:sz w:val="18"/>
                <w:szCs w:val="18"/>
              </w:rPr>
              <w:t xml:space="preserve"> </w:t>
            </w:r>
            <w:r w:rsidR="00083CE5" w:rsidRPr="00EE43C6">
              <w:rPr>
                <w:rFonts w:cs="Arial"/>
                <w:sz w:val="18"/>
                <w:szCs w:val="18"/>
              </w:rPr>
              <w:t>i</w:t>
            </w:r>
            <w:r w:rsidRPr="00EE43C6">
              <w:rPr>
                <w:rFonts w:cs="Arial"/>
                <w:sz w:val="18"/>
                <w:szCs w:val="18"/>
              </w:rPr>
              <w:t>ncreasing the basic health information of individuals and the society, teaching first aid knowledge and skills to the public, having first aiders according to the number of personnel in all public and private institutions/organizations and reducing the risk of death and disability due to accidents</w:t>
            </w:r>
            <w:r w:rsidR="003A0376" w:rsidRPr="00EE43C6">
              <w:rPr>
                <w:rFonts w:cs="Arial"/>
                <w:sz w:val="18"/>
                <w:szCs w:val="18"/>
              </w:rPr>
              <w:t>, i</w:t>
            </w:r>
            <w:r w:rsidRPr="00EE43C6">
              <w:rPr>
                <w:rFonts w:cs="Arial"/>
                <w:sz w:val="18"/>
                <w:szCs w:val="18"/>
              </w:rPr>
              <w:t>n this respect,</w:t>
            </w:r>
            <w:r w:rsidR="00D71AFF" w:rsidRPr="00EE43C6">
              <w:rPr>
                <w:rFonts w:cs="Arial"/>
                <w:sz w:val="18"/>
                <w:szCs w:val="18"/>
              </w:rPr>
              <w:t xml:space="preserve"> the training of first aid trainers, first aid trainers and first aiders, and the opening, operation and inspection of the centres that will organize these trainings</w:t>
            </w:r>
            <w:r w:rsidRPr="00EE43C6">
              <w:rPr>
                <w:rFonts w:cs="Arial"/>
                <w:sz w:val="18"/>
                <w:szCs w:val="18"/>
              </w:rPr>
              <w:t>.</w:t>
            </w:r>
          </w:p>
        </w:tc>
      </w:tr>
      <w:tr w:rsidR="00A61E86" w:rsidRPr="00EE43C6" w14:paraId="64404285" w14:textId="1B55DB32" w:rsidTr="00E67C71">
        <w:trPr>
          <w:trHeight w:val="1048"/>
        </w:trPr>
        <w:tc>
          <w:tcPr>
            <w:tcW w:w="1159" w:type="pct"/>
            <w:shd w:val="clear" w:color="auto" w:fill="FFFFFF" w:themeFill="background1"/>
            <w:vAlign w:val="center"/>
          </w:tcPr>
          <w:p w14:paraId="0739C817" w14:textId="6017D2B7"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Health and Safety Requirements for the Use of Work Equipment</w:t>
            </w:r>
          </w:p>
        </w:tc>
        <w:tc>
          <w:tcPr>
            <w:tcW w:w="1263" w:type="pct"/>
            <w:shd w:val="clear" w:color="auto" w:fill="FFFFFF" w:themeFill="background1"/>
            <w:vAlign w:val="center"/>
          </w:tcPr>
          <w:p w14:paraId="4EBDD925" w14:textId="7F391B0C" w:rsidR="00A61E86" w:rsidRPr="00EE43C6" w:rsidRDefault="00A61E86" w:rsidP="00A61E86">
            <w:pPr>
              <w:spacing w:before="40" w:after="40" w:line="240" w:lineRule="auto"/>
              <w:jc w:val="left"/>
              <w:rPr>
                <w:rFonts w:cs="MS Gothic"/>
                <w:sz w:val="18"/>
                <w:szCs w:val="18"/>
              </w:rPr>
            </w:pPr>
            <w:r w:rsidRPr="00EE43C6">
              <w:rPr>
                <w:rFonts w:cs="Arial"/>
                <w:sz w:val="18"/>
                <w:szCs w:val="18"/>
              </w:rPr>
              <w:t>OG. No. 28628 dated 25 April 2013</w:t>
            </w:r>
          </w:p>
        </w:tc>
        <w:tc>
          <w:tcPr>
            <w:tcW w:w="2578" w:type="pct"/>
            <w:shd w:val="clear" w:color="auto" w:fill="FFFFFF" w:themeFill="background1"/>
          </w:tcPr>
          <w:p w14:paraId="47C6DCF6" w14:textId="24484E27" w:rsidR="00A61E86" w:rsidRPr="00EE43C6" w:rsidRDefault="007850D9" w:rsidP="00865CAB">
            <w:pPr>
              <w:spacing w:before="40" w:after="40" w:line="240" w:lineRule="auto"/>
              <w:rPr>
                <w:rFonts w:cs="Arial"/>
                <w:sz w:val="18"/>
                <w:szCs w:val="18"/>
              </w:rPr>
            </w:pPr>
            <w:r w:rsidRPr="00EE43C6">
              <w:rPr>
                <w:rFonts w:cs="Arial"/>
                <w:sz w:val="18"/>
                <w:szCs w:val="18"/>
              </w:rPr>
              <w:t xml:space="preserve">It is the regulation that regulates the minimum conditions to be complied with in terms of health and safety regarding the use of work equipment in the Project </w:t>
            </w:r>
            <w:r w:rsidR="00D0136C" w:rsidRPr="00EE43C6">
              <w:rPr>
                <w:rFonts w:cs="Arial"/>
                <w:sz w:val="18"/>
                <w:szCs w:val="18"/>
              </w:rPr>
              <w:t>A</w:t>
            </w:r>
            <w:r w:rsidRPr="00EE43C6">
              <w:rPr>
                <w:rFonts w:cs="Arial"/>
                <w:sz w:val="18"/>
                <w:szCs w:val="18"/>
              </w:rPr>
              <w:t xml:space="preserve">rea throughout the </w:t>
            </w:r>
            <w:r w:rsidR="00D0136C" w:rsidRPr="00EE43C6">
              <w:rPr>
                <w:rFonts w:cs="Arial"/>
                <w:sz w:val="18"/>
                <w:szCs w:val="18"/>
              </w:rPr>
              <w:t>lifetime</w:t>
            </w:r>
            <w:r w:rsidRPr="00EE43C6">
              <w:rPr>
                <w:rFonts w:cs="Arial"/>
                <w:sz w:val="18"/>
                <w:szCs w:val="18"/>
              </w:rPr>
              <w:t xml:space="preserve"> of the Project.</w:t>
            </w:r>
          </w:p>
        </w:tc>
      </w:tr>
      <w:tr w:rsidR="00A61E86" w:rsidRPr="00EE43C6" w14:paraId="4D19154F" w14:textId="3317B45E" w:rsidTr="00E67C71">
        <w:trPr>
          <w:trHeight w:val="1401"/>
        </w:trPr>
        <w:tc>
          <w:tcPr>
            <w:tcW w:w="1159" w:type="pct"/>
            <w:shd w:val="clear" w:color="auto" w:fill="FFFFFF" w:themeFill="background1"/>
            <w:vAlign w:val="center"/>
          </w:tcPr>
          <w:p w14:paraId="1044DF9B" w14:textId="0CFBA35B"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Procedures and Principles of Occupational Health and Safety Training of Employees</w:t>
            </w:r>
          </w:p>
        </w:tc>
        <w:tc>
          <w:tcPr>
            <w:tcW w:w="1263" w:type="pct"/>
            <w:shd w:val="clear" w:color="auto" w:fill="FFFFFF" w:themeFill="background1"/>
            <w:vAlign w:val="center"/>
          </w:tcPr>
          <w:p w14:paraId="3D42F761" w14:textId="07D96D5E" w:rsidR="00A61E86" w:rsidRPr="00EE43C6" w:rsidRDefault="00A61E86" w:rsidP="00A61E86">
            <w:pPr>
              <w:spacing w:before="40" w:after="40" w:line="240" w:lineRule="auto"/>
              <w:jc w:val="left"/>
              <w:rPr>
                <w:rFonts w:cs="MS Gothic"/>
                <w:sz w:val="18"/>
                <w:szCs w:val="18"/>
              </w:rPr>
            </w:pPr>
            <w:r w:rsidRPr="00EE43C6">
              <w:rPr>
                <w:rFonts w:cs="Arial"/>
                <w:sz w:val="18"/>
                <w:szCs w:val="18"/>
              </w:rPr>
              <w:t>OG. No. 28648 dated 15 May 2013</w:t>
            </w:r>
          </w:p>
        </w:tc>
        <w:tc>
          <w:tcPr>
            <w:tcW w:w="2578" w:type="pct"/>
            <w:shd w:val="clear" w:color="auto" w:fill="FFFFFF" w:themeFill="background1"/>
          </w:tcPr>
          <w:p w14:paraId="2F6F3C50" w14:textId="5455C93F" w:rsidR="00A61E86" w:rsidRPr="00EE43C6" w:rsidRDefault="00706974" w:rsidP="00865CAB">
            <w:pPr>
              <w:spacing w:before="40" w:after="40" w:line="240" w:lineRule="auto"/>
              <w:rPr>
                <w:rFonts w:cs="Arial"/>
                <w:sz w:val="18"/>
                <w:szCs w:val="18"/>
              </w:rPr>
            </w:pPr>
            <w:r w:rsidRPr="00EE43C6">
              <w:rPr>
                <w:rFonts w:cs="Arial"/>
                <w:sz w:val="18"/>
                <w:szCs w:val="18"/>
              </w:rPr>
              <w:t>It is the regulation that regulates the procedures and principles of occupational health and safety training to be given to employees throughout the life</w:t>
            </w:r>
            <w:r w:rsidR="00DC0D58" w:rsidRPr="00EE43C6">
              <w:rPr>
                <w:rFonts w:cs="Arial"/>
                <w:sz w:val="18"/>
                <w:szCs w:val="18"/>
              </w:rPr>
              <w:t>time</w:t>
            </w:r>
            <w:r w:rsidRPr="00EE43C6">
              <w:rPr>
                <w:rFonts w:cs="Arial"/>
                <w:sz w:val="18"/>
                <w:szCs w:val="18"/>
              </w:rPr>
              <w:t xml:space="preserve"> of the </w:t>
            </w:r>
            <w:r w:rsidR="00DC0D58" w:rsidRPr="00EE43C6">
              <w:rPr>
                <w:rFonts w:cs="Arial"/>
                <w:sz w:val="18"/>
                <w:szCs w:val="18"/>
              </w:rPr>
              <w:t>P</w:t>
            </w:r>
            <w:r w:rsidRPr="00EE43C6">
              <w:rPr>
                <w:rFonts w:cs="Arial"/>
                <w:sz w:val="18"/>
                <w:szCs w:val="18"/>
              </w:rPr>
              <w:t>roject.</w:t>
            </w:r>
          </w:p>
        </w:tc>
      </w:tr>
      <w:tr w:rsidR="00A61E86" w:rsidRPr="00EE43C6" w14:paraId="0B46D984" w14:textId="59698B73" w:rsidTr="00E67C71">
        <w:trPr>
          <w:trHeight w:val="1208"/>
        </w:trPr>
        <w:tc>
          <w:tcPr>
            <w:tcW w:w="1159" w:type="pct"/>
            <w:shd w:val="clear" w:color="auto" w:fill="FFFFFF" w:themeFill="background1"/>
            <w:vAlign w:val="center"/>
          </w:tcPr>
          <w:p w14:paraId="69E495B8" w14:textId="4FE571A4" w:rsidR="00A61E86" w:rsidRPr="00EE43C6" w:rsidRDefault="00A61E86" w:rsidP="00A61E86">
            <w:pPr>
              <w:spacing w:before="40" w:after="40" w:line="240" w:lineRule="auto"/>
              <w:jc w:val="left"/>
              <w:rPr>
                <w:rFonts w:cs="MS Gothic"/>
                <w:sz w:val="18"/>
                <w:szCs w:val="18"/>
              </w:rPr>
            </w:pPr>
            <w:r w:rsidRPr="00EE43C6">
              <w:rPr>
                <w:rFonts w:cs="Arial"/>
                <w:sz w:val="18"/>
                <w:szCs w:val="18"/>
              </w:rPr>
              <w:t>Regulation on Protection of Employees from Noise-Related Risks</w:t>
            </w:r>
          </w:p>
        </w:tc>
        <w:tc>
          <w:tcPr>
            <w:tcW w:w="1263" w:type="pct"/>
            <w:shd w:val="clear" w:color="auto" w:fill="FFFFFF" w:themeFill="background1"/>
            <w:vAlign w:val="center"/>
          </w:tcPr>
          <w:p w14:paraId="015093E8" w14:textId="529CFF52" w:rsidR="00A61E86" w:rsidRPr="00EE43C6" w:rsidRDefault="00A61E86" w:rsidP="00A61E86">
            <w:pPr>
              <w:spacing w:before="40" w:after="40" w:line="240" w:lineRule="auto"/>
              <w:jc w:val="left"/>
              <w:rPr>
                <w:rFonts w:cs="MS Gothic"/>
                <w:sz w:val="18"/>
                <w:szCs w:val="18"/>
              </w:rPr>
            </w:pPr>
            <w:r w:rsidRPr="00EE43C6">
              <w:rPr>
                <w:rFonts w:cs="Arial"/>
                <w:sz w:val="18"/>
                <w:szCs w:val="18"/>
              </w:rPr>
              <w:t>OG. No. 28721 dated 28 July 2013</w:t>
            </w:r>
          </w:p>
        </w:tc>
        <w:tc>
          <w:tcPr>
            <w:tcW w:w="2578" w:type="pct"/>
            <w:shd w:val="clear" w:color="auto" w:fill="FFFFFF" w:themeFill="background1"/>
          </w:tcPr>
          <w:p w14:paraId="41179212" w14:textId="7D0A7895" w:rsidR="00A61E86" w:rsidRPr="00EE43C6" w:rsidRDefault="00A24A2B" w:rsidP="00865CAB">
            <w:pPr>
              <w:spacing w:before="40" w:after="40" w:line="240" w:lineRule="auto"/>
              <w:rPr>
                <w:rFonts w:cs="Arial"/>
                <w:sz w:val="18"/>
                <w:szCs w:val="18"/>
              </w:rPr>
            </w:pPr>
            <w:r w:rsidRPr="00EE43C6">
              <w:rPr>
                <w:rFonts w:cs="Arial"/>
                <w:sz w:val="18"/>
                <w:szCs w:val="18"/>
              </w:rPr>
              <w:t>During the lifetime of the Project, it is the regulation that regulates the minimum requirements for the protection of the employees from the health and safety risks that may occur as a result of exposure to noise, especially the risks related to hearing.</w:t>
            </w:r>
          </w:p>
        </w:tc>
      </w:tr>
      <w:tr w:rsidR="00A61E86" w:rsidRPr="00EE43C6" w14:paraId="587F895E" w14:textId="404B8778" w:rsidTr="00E67C71">
        <w:tc>
          <w:tcPr>
            <w:tcW w:w="2422" w:type="pct"/>
            <w:gridSpan w:val="2"/>
            <w:shd w:val="clear" w:color="auto" w:fill="DBE5F1" w:themeFill="accent1" w:themeFillTint="33"/>
            <w:vAlign w:val="center"/>
          </w:tcPr>
          <w:p w14:paraId="56536611" w14:textId="2CB68A9D" w:rsidR="00A61E86" w:rsidRPr="00EE43C6" w:rsidRDefault="00A61E86" w:rsidP="00A61E86">
            <w:pPr>
              <w:spacing w:before="40" w:after="40" w:line="240" w:lineRule="auto"/>
              <w:jc w:val="left"/>
              <w:rPr>
                <w:rFonts w:cs="MS Gothic"/>
                <w:b/>
                <w:sz w:val="18"/>
                <w:szCs w:val="18"/>
              </w:rPr>
            </w:pPr>
            <w:r w:rsidRPr="00EE43C6">
              <w:rPr>
                <w:rFonts w:cs="Arial"/>
                <w:b/>
                <w:bCs/>
                <w:sz w:val="18"/>
                <w:szCs w:val="18"/>
              </w:rPr>
              <w:lastRenderedPageBreak/>
              <w:t>Stakeholder Engagement</w:t>
            </w:r>
          </w:p>
        </w:tc>
        <w:tc>
          <w:tcPr>
            <w:tcW w:w="2578" w:type="pct"/>
            <w:shd w:val="clear" w:color="auto" w:fill="DBE5F1" w:themeFill="accent1" w:themeFillTint="33"/>
          </w:tcPr>
          <w:p w14:paraId="2C98D2A6" w14:textId="093979A3" w:rsidR="00A61E86" w:rsidRPr="00EE43C6" w:rsidRDefault="00AD1293" w:rsidP="00A61E86">
            <w:pPr>
              <w:spacing w:before="40" w:after="40" w:line="240" w:lineRule="auto"/>
              <w:jc w:val="left"/>
              <w:rPr>
                <w:rFonts w:cs="Arial"/>
                <w:b/>
                <w:bCs/>
                <w:sz w:val="18"/>
                <w:szCs w:val="18"/>
              </w:rPr>
            </w:pPr>
            <w:r w:rsidRPr="00EE43C6">
              <w:rPr>
                <w:rFonts w:cs="Arial"/>
                <w:b/>
                <w:bCs/>
                <w:sz w:val="18"/>
                <w:szCs w:val="18"/>
              </w:rPr>
              <w:t>Relevancy/Implications for the Project</w:t>
            </w:r>
          </w:p>
        </w:tc>
      </w:tr>
      <w:tr w:rsidR="00A61E86" w:rsidRPr="00EE43C6" w14:paraId="1E8EE978" w14:textId="7DD5EBCA" w:rsidTr="00E67C71">
        <w:tc>
          <w:tcPr>
            <w:tcW w:w="1159" w:type="pct"/>
            <w:shd w:val="clear" w:color="auto" w:fill="FFFFFF" w:themeFill="background1"/>
            <w:vAlign w:val="center"/>
          </w:tcPr>
          <w:p w14:paraId="2FC5CA45" w14:textId="0DFF6904" w:rsidR="00A61E86" w:rsidRPr="00EE43C6" w:rsidRDefault="00A61E86" w:rsidP="00A61E86">
            <w:pPr>
              <w:spacing w:before="40" w:after="40" w:line="240" w:lineRule="auto"/>
              <w:jc w:val="left"/>
              <w:rPr>
                <w:rFonts w:cs="MS Gothic"/>
                <w:sz w:val="18"/>
                <w:szCs w:val="18"/>
              </w:rPr>
            </w:pPr>
            <w:r w:rsidRPr="00EE43C6">
              <w:rPr>
                <w:rFonts w:cs="Arial"/>
                <w:sz w:val="18"/>
                <w:szCs w:val="18"/>
              </w:rPr>
              <w:t>Laws on Right to Information</w:t>
            </w:r>
          </w:p>
        </w:tc>
        <w:tc>
          <w:tcPr>
            <w:tcW w:w="1263" w:type="pct"/>
            <w:shd w:val="clear" w:color="auto" w:fill="FFFFFF" w:themeFill="background1"/>
            <w:vAlign w:val="center"/>
          </w:tcPr>
          <w:p w14:paraId="51ED7ADA" w14:textId="4B6A7C87" w:rsidR="00A61E86" w:rsidRPr="00EE43C6" w:rsidRDefault="00E2508B" w:rsidP="00A61E86">
            <w:pPr>
              <w:spacing w:before="40" w:after="40" w:line="240" w:lineRule="auto"/>
              <w:jc w:val="left"/>
              <w:rPr>
                <w:rFonts w:cs="MS Gothic"/>
                <w:sz w:val="18"/>
                <w:szCs w:val="18"/>
              </w:rPr>
            </w:pPr>
            <w:r>
              <w:rPr>
                <w:rFonts w:cs="Arial"/>
                <w:sz w:val="18"/>
                <w:szCs w:val="18"/>
              </w:rPr>
              <w:t xml:space="preserve">Law </w:t>
            </w:r>
            <w:r w:rsidRPr="00EE43C6">
              <w:rPr>
                <w:rFonts w:cs="Arial"/>
                <w:sz w:val="18"/>
                <w:szCs w:val="18"/>
              </w:rPr>
              <w:t xml:space="preserve">No. </w:t>
            </w:r>
            <w:r>
              <w:rPr>
                <w:rFonts w:cs="Arial"/>
                <w:sz w:val="18"/>
                <w:szCs w:val="18"/>
              </w:rPr>
              <w:t xml:space="preserve">4982; </w:t>
            </w:r>
            <w:r w:rsidR="00A61E86" w:rsidRPr="00EE43C6">
              <w:rPr>
                <w:rFonts w:cs="Arial"/>
                <w:sz w:val="18"/>
                <w:szCs w:val="18"/>
              </w:rPr>
              <w:t xml:space="preserve">OG. No. </w:t>
            </w:r>
            <w:r w:rsidRPr="00EE43C6">
              <w:rPr>
                <w:rFonts w:cs="Arial"/>
                <w:sz w:val="18"/>
                <w:szCs w:val="18"/>
              </w:rPr>
              <w:t>2</w:t>
            </w:r>
            <w:r>
              <w:rPr>
                <w:rFonts w:cs="Arial"/>
                <w:sz w:val="18"/>
                <w:szCs w:val="18"/>
              </w:rPr>
              <w:t>5</w:t>
            </w:r>
            <w:r w:rsidR="00CA4789">
              <w:rPr>
                <w:rFonts w:cs="Arial"/>
                <w:sz w:val="18"/>
                <w:szCs w:val="18"/>
              </w:rPr>
              <w:t>269</w:t>
            </w:r>
            <w:r w:rsidRPr="00EE43C6">
              <w:rPr>
                <w:rFonts w:cs="Arial"/>
                <w:sz w:val="18"/>
                <w:szCs w:val="18"/>
              </w:rPr>
              <w:t xml:space="preserve"> </w:t>
            </w:r>
            <w:r w:rsidR="00A61E86" w:rsidRPr="00EE43C6">
              <w:rPr>
                <w:rFonts w:cs="Arial"/>
                <w:sz w:val="18"/>
                <w:szCs w:val="18"/>
              </w:rPr>
              <w:t xml:space="preserve">dated </w:t>
            </w:r>
            <w:r w:rsidR="00CA4789">
              <w:rPr>
                <w:rFonts w:cs="Arial"/>
                <w:sz w:val="18"/>
                <w:szCs w:val="18"/>
              </w:rPr>
              <w:t xml:space="preserve">24 October </w:t>
            </w:r>
            <w:r w:rsidR="00CA4789" w:rsidRPr="00EE43C6">
              <w:rPr>
                <w:rFonts w:cs="Arial"/>
                <w:sz w:val="18"/>
                <w:szCs w:val="18"/>
              </w:rPr>
              <w:t>20</w:t>
            </w:r>
            <w:r w:rsidR="00CA4789">
              <w:rPr>
                <w:rFonts w:cs="Arial"/>
                <w:sz w:val="18"/>
                <w:szCs w:val="18"/>
              </w:rPr>
              <w:t>03</w:t>
            </w:r>
          </w:p>
        </w:tc>
        <w:tc>
          <w:tcPr>
            <w:tcW w:w="2578" w:type="pct"/>
            <w:shd w:val="clear" w:color="auto" w:fill="FFFFFF" w:themeFill="background1"/>
          </w:tcPr>
          <w:p w14:paraId="12C39B26" w14:textId="776C53CB" w:rsidR="00A61E86" w:rsidRPr="00EE43C6" w:rsidRDefault="008245F3" w:rsidP="00A61E86">
            <w:pPr>
              <w:spacing w:before="40" w:after="40" w:line="240" w:lineRule="auto"/>
              <w:jc w:val="left"/>
              <w:rPr>
                <w:rFonts w:cs="Arial"/>
                <w:sz w:val="18"/>
                <w:szCs w:val="18"/>
              </w:rPr>
            </w:pPr>
            <w:r w:rsidRPr="00EE43C6">
              <w:rPr>
                <w:rFonts w:cs="Arial"/>
                <w:sz w:val="18"/>
                <w:szCs w:val="18"/>
              </w:rPr>
              <w:t>It is the law the exercise of the right to information by individuals as a requirement of democratic and transparent governance.</w:t>
            </w:r>
          </w:p>
        </w:tc>
      </w:tr>
      <w:tr w:rsidR="00216B1E" w:rsidRPr="00EE43C6" w14:paraId="48B00111" w14:textId="5B7CD660" w:rsidTr="2DB09FEA">
        <w:tc>
          <w:tcPr>
            <w:tcW w:w="2422" w:type="pct"/>
            <w:gridSpan w:val="2"/>
            <w:shd w:val="clear" w:color="auto" w:fill="DBE5F1" w:themeFill="accent1" w:themeFillTint="33"/>
            <w:vAlign w:val="center"/>
          </w:tcPr>
          <w:p w14:paraId="07905F98" w14:textId="1DC9469E" w:rsidR="00216B1E" w:rsidRPr="00216B1E" w:rsidRDefault="00216B1E" w:rsidP="00216B1E">
            <w:pPr>
              <w:spacing w:before="40" w:after="40" w:line="240" w:lineRule="auto"/>
              <w:jc w:val="left"/>
              <w:rPr>
                <w:rFonts w:cs="Arial"/>
                <w:b/>
                <w:bCs/>
                <w:sz w:val="18"/>
                <w:szCs w:val="18"/>
              </w:rPr>
            </w:pPr>
            <w:r w:rsidRPr="00216B1E">
              <w:rPr>
                <w:rFonts w:cs="Arial"/>
                <w:b/>
                <w:bCs/>
                <w:sz w:val="18"/>
                <w:szCs w:val="18"/>
              </w:rPr>
              <w:t>Social and Economic Rights and Responsibilities</w:t>
            </w:r>
          </w:p>
        </w:tc>
        <w:tc>
          <w:tcPr>
            <w:tcW w:w="2578" w:type="pct"/>
            <w:shd w:val="clear" w:color="auto" w:fill="DBE5F1" w:themeFill="accent1" w:themeFillTint="33"/>
          </w:tcPr>
          <w:p w14:paraId="5F390E6B" w14:textId="0C3A1F95" w:rsidR="00216B1E" w:rsidRPr="00216B1E" w:rsidRDefault="00216B1E" w:rsidP="00216B1E">
            <w:pPr>
              <w:spacing w:before="40" w:after="40" w:line="240" w:lineRule="auto"/>
              <w:jc w:val="left"/>
              <w:rPr>
                <w:rFonts w:cs="Arial"/>
                <w:b/>
                <w:bCs/>
                <w:sz w:val="18"/>
                <w:szCs w:val="18"/>
              </w:rPr>
            </w:pPr>
            <w:r w:rsidRPr="00EE43C6">
              <w:rPr>
                <w:rFonts w:cs="Arial"/>
                <w:b/>
                <w:bCs/>
                <w:sz w:val="18"/>
                <w:szCs w:val="18"/>
              </w:rPr>
              <w:t>Relevancy/Implications for the Project</w:t>
            </w:r>
          </w:p>
        </w:tc>
      </w:tr>
      <w:tr w:rsidR="00431D9A" w:rsidRPr="00EE43C6" w14:paraId="74C49EC3" w14:textId="77777777" w:rsidTr="2DB09FEA">
        <w:tc>
          <w:tcPr>
            <w:tcW w:w="1159" w:type="pct"/>
            <w:shd w:val="clear" w:color="auto" w:fill="FFFFFF" w:themeFill="background1"/>
            <w:vAlign w:val="center"/>
          </w:tcPr>
          <w:p w14:paraId="697EE952" w14:textId="4E516EB1" w:rsidR="00431D9A" w:rsidRPr="00E67C71" w:rsidRDefault="00431D9A" w:rsidP="00670AFE">
            <w:pPr>
              <w:spacing w:before="40" w:after="40" w:line="240" w:lineRule="auto"/>
              <w:jc w:val="left"/>
              <w:rPr>
                <w:sz w:val="18"/>
                <w:szCs w:val="18"/>
                <w:lang w:val="en-US"/>
              </w:rPr>
            </w:pPr>
            <w:r w:rsidRPr="00DC21C6">
              <w:rPr>
                <w:sz w:val="18"/>
                <w:szCs w:val="18"/>
                <w:lang w:val="en-US"/>
              </w:rPr>
              <w:t>Expropriation Law</w:t>
            </w:r>
          </w:p>
        </w:tc>
        <w:tc>
          <w:tcPr>
            <w:tcW w:w="1263" w:type="pct"/>
            <w:shd w:val="clear" w:color="auto" w:fill="FFFFFF" w:themeFill="background1"/>
            <w:vAlign w:val="center"/>
          </w:tcPr>
          <w:p w14:paraId="324A6C5D" w14:textId="2EF3C7EF" w:rsidR="000B4B5B" w:rsidRDefault="000B4B5B" w:rsidP="00670AFE">
            <w:pPr>
              <w:spacing w:before="40" w:after="40" w:line="240" w:lineRule="auto"/>
              <w:jc w:val="left"/>
              <w:rPr>
                <w:sz w:val="18"/>
                <w:szCs w:val="18"/>
                <w:lang w:val="en-US"/>
              </w:rPr>
            </w:pPr>
            <w:r>
              <w:rPr>
                <w:sz w:val="18"/>
                <w:szCs w:val="18"/>
                <w:lang w:val="en-US"/>
              </w:rPr>
              <w:t xml:space="preserve">Law No. </w:t>
            </w:r>
            <w:r w:rsidRPr="00DC21C6">
              <w:rPr>
                <w:sz w:val="18"/>
                <w:szCs w:val="18"/>
                <w:lang w:val="en-US"/>
              </w:rPr>
              <w:t>2942</w:t>
            </w:r>
            <w:r>
              <w:rPr>
                <w:sz w:val="18"/>
                <w:szCs w:val="18"/>
                <w:lang w:val="en-US"/>
              </w:rPr>
              <w:t xml:space="preserve">; </w:t>
            </w:r>
            <w:r w:rsidR="00431D9A">
              <w:rPr>
                <w:sz w:val="18"/>
                <w:szCs w:val="18"/>
                <w:lang w:val="en-US"/>
              </w:rPr>
              <w:t>OG.</w:t>
            </w:r>
            <w:r w:rsidR="00431D9A" w:rsidRPr="00DC21C6">
              <w:rPr>
                <w:sz w:val="18"/>
                <w:szCs w:val="18"/>
                <w:lang w:val="en-US"/>
              </w:rPr>
              <w:t xml:space="preserve"> No. </w:t>
            </w:r>
            <w:r w:rsidR="00431D9A">
              <w:rPr>
                <w:sz w:val="18"/>
                <w:szCs w:val="18"/>
                <w:lang w:val="en-US"/>
              </w:rPr>
              <w:t>18215 dated 8 November 1983</w:t>
            </w:r>
          </w:p>
          <w:p w14:paraId="44C9DCDC" w14:textId="5967939F" w:rsidR="00431D9A" w:rsidRPr="00EE43C6" w:rsidRDefault="001314F3" w:rsidP="00670AFE">
            <w:pPr>
              <w:spacing w:before="40" w:after="40" w:line="240" w:lineRule="auto"/>
              <w:jc w:val="left"/>
              <w:rPr>
                <w:rFonts w:cs="Arial"/>
                <w:sz w:val="18"/>
                <w:szCs w:val="18"/>
              </w:rPr>
            </w:pPr>
            <w:r w:rsidRPr="001314F3">
              <w:rPr>
                <w:sz w:val="18"/>
                <w:szCs w:val="18"/>
                <w:lang w:val="en-US"/>
              </w:rPr>
              <w:t>(Last amendment on 2</w:t>
            </w:r>
            <w:r w:rsidR="00BB5220">
              <w:rPr>
                <w:sz w:val="18"/>
                <w:szCs w:val="18"/>
                <w:lang w:val="en-US"/>
              </w:rPr>
              <w:t>6</w:t>
            </w:r>
            <w:r w:rsidRPr="001314F3">
              <w:rPr>
                <w:sz w:val="18"/>
                <w:szCs w:val="18"/>
                <w:lang w:val="en-US"/>
              </w:rPr>
              <w:t xml:space="preserve"> </w:t>
            </w:r>
            <w:r w:rsidR="00BB5220">
              <w:rPr>
                <w:sz w:val="18"/>
                <w:szCs w:val="18"/>
                <w:lang w:val="en-US"/>
              </w:rPr>
              <w:t>November</w:t>
            </w:r>
            <w:r w:rsidRPr="001314F3">
              <w:rPr>
                <w:sz w:val="18"/>
                <w:szCs w:val="18"/>
                <w:lang w:val="en-US"/>
              </w:rPr>
              <w:t xml:space="preserve"> 2022 with Amended Law No.</w:t>
            </w:r>
            <w:r w:rsidR="00BB5220">
              <w:rPr>
                <w:sz w:val="18"/>
                <w:szCs w:val="18"/>
                <w:lang w:val="en-US"/>
              </w:rPr>
              <w:t>7421</w:t>
            </w:r>
            <w:r w:rsidRPr="001314F3">
              <w:rPr>
                <w:sz w:val="18"/>
                <w:szCs w:val="18"/>
                <w:lang w:val="en-US"/>
              </w:rPr>
              <w:t>)</w:t>
            </w:r>
          </w:p>
        </w:tc>
        <w:tc>
          <w:tcPr>
            <w:tcW w:w="2578" w:type="pct"/>
            <w:vMerge w:val="restart"/>
            <w:shd w:val="clear" w:color="auto" w:fill="FFFFFF" w:themeFill="background1"/>
            <w:vAlign w:val="center"/>
          </w:tcPr>
          <w:p w14:paraId="0F2AB73F" w14:textId="3CCB1CC0" w:rsidR="00431D9A" w:rsidRPr="00EE43C6" w:rsidRDefault="006D0D54" w:rsidP="00431D9A">
            <w:pPr>
              <w:spacing w:before="40" w:after="40" w:line="240" w:lineRule="auto"/>
              <w:jc w:val="left"/>
              <w:rPr>
                <w:rFonts w:cs="Arial"/>
                <w:sz w:val="18"/>
                <w:szCs w:val="18"/>
              </w:rPr>
            </w:pPr>
            <w:r w:rsidRPr="006D0D54">
              <w:rPr>
                <w:rFonts w:cs="Arial"/>
                <w:sz w:val="18"/>
                <w:szCs w:val="18"/>
              </w:rPr>
              <w:t>The purpose of laws on land acquisition/expropriation is to provide the framework for the State's right to exercise eminent domain and acquire property for public use.</w:t>
            </w:r>
          </w:p>
        </w:tc>
      </w:tr>
      <w:tr w:rsidR="00195E19" w:rsidRPr="00EE43C6" w14:paraId="5A7AF663" w14:textId="77777777" w:rsidTr="2DB09FEA">
        <w:tc>
          <w:tcPr>
            <w:tcW w:w="1159" w:type="pct"/>
            <w:shd w:val="clear" w:color="auto" w:fill="FFFFFF" w:themeFill="background1"/>
            <w:vAlign w:val="center"/>
          </w:tcPr>
          <w:p w14:paraId="47584F88" w14:textId="25106068" w:rsidR="00431D9A" w:rsidRPr="00DC21C6" w:rsidRDefault="00431D9A" w:rsidP="00670AFE">
            <w:pPr>
              <w:spacing w:before="40" w:after="40" w:line="240" w:lineRule="auto"/>
              <w:jc w:val="left"/>
              <w:rPr>
                <w:sz w:val="18"/>
                <w:szCs w:val="18"/>
                <w:lang w:val="en-US"/>
              </w:rPr>
            </w:pPr>
            <w:r w:rsidRPr="00DC21C6">
              <w:rPr>
                <w:sz w:val="18"/>
                <w:szCs w:val="18"/>
                <w:lang w:val="en-US"/>
              </w:rPr>
              <w:t>Municipal Law</w:t>
            </w:r>
          </w:p>
        </w:tc>
        <w:tc>
          <w:tcPr>
            <w:tcW w:w="1263" w:type="pct"/>
            <w:shd w:val="clear" w:color="auto" w:fill="FFFFFF" w:themeFill="background1"/>
            <w:vAlign w:val="center"/>
          </w:tcPr>
          <w:p w14:paraId="5296653D" w14:textId="15FED7BA" w:rsidR="00431D9A" w:rsidRDefault="00FE65ED" w:rsidP="00431D9A">
            <w:pPr>
              <w:spacing w:before="40" w:after="40" w:line="240" w:lineRule="auto"/>
              <w:jc w:val="left"/>
              <w:rPr>
                <w:rFonts w:cs="Arial"/>
                <w:sz w:val="18"/>
                <w:szCs w:val="18"/>
              </w:rPr>
            </w:pPr>
            <w:r>
              <w:rPr>
                <w:sz w:val="18"/>
                <w:szCs w:val="18"/>
                <w:lang w:val="en-US"/>
              </w:rPr>
              <w:t xml:space="preserve">Law No. 5393; </w:t>
            </w:r>
            <w:r w:rsidR="00431D9A">
              <w:rPr>
                <w:rFonts w:cs="Arial"/>
                <w:sz w:val="18"/>
                <w:szCs w:val="18"/>
              </w:rPr>
              <w:t>OG. No. 25874 dated 13 July 2005</w:t>
            </w:r>
          </w:p>
          <w:p w14:paraId="1D69571F" w14:textId="2862B326" w:rsidR="000578FA" w:rsidRDefault="000578FA" w:rsidP="00431D9A">
            <w:pPr>
              <w:spacing w:before="40" w:after="40" w:line="240" w:lineRule="auto"/>
              <w:jc w:val="left"/>
              <w:rPr>
                <w:rFonts w:cs="Arial"/>
                <w:sz w:val="18"/>
                <w:szCs w:val="18"/>
              </w:rPr>
            </w:pPr>
            <w:r w:rsidRPr="001314F3">
              <w:rPr>
                <w:sz w:val="18"/>
                <w:szCs w:val="18"/>
                <w:lang w:val="en-US"/>
              </w:rPr>
              <w:t xml:space="preserve">(Last amendment on </w:t>
            </w:r>
            <w:r>
              <w:rPr>
                <w:sz w:val="18"/>
                <w:szCs w:val="18"/>
                <w:lang w:val="en-US"/>
              </w:rPr>
              <w:t>5</w:t>
            </w:r>
            <w:r w:rsidRPr="001314F3">
              <w:rPr>
                <w:sz w:val="18"/>
                <w:szCs w:val="18"/>
                <w:lang w:val="en-US"/>
              </w:rPr>
              <w:t xml:space="preserve"> </w:t>
            </w:r>
            <w:r>
              <w:rPr>
                <w:sz w:val="18"/>
                <w:szCs w:val="18"/>
                <w:lang w:val="en-US"/>
              </w:rPr>
              <w:t>April</w:t>
            </w:r>
            <w:r w:rsidRPr="001314F3">
              <w:rPr>
                <w:sz w:val="18"/>
                <w:szCs w:val="18"/>
                <w:lang w:val="en-US"/>
              </w:rPr>
              <w:t xml:space="preserve"> 202</w:t>
            </w:r>
            <w:r>
              <w:rPr>
                <w:sz w:val="18"/>
                <w:szCs w:val="18"/>
                <w:lang w:val="en-US"/>
              </w:rPr>
              <w:t>3</w:t>
            </w:r>
            <w:r w:rsidRPr="001314F3">
              <w:rPr>
                <w:sz w:val="18"/>
                <w:szCs w:val="18"/>
                <w:lang w:val="en-US"/>
              </w:rPr>
              <w:t xml:space="preserve"> with Amended Law No.</w:t>
            </w:r>
            <w:r>
              <w:rPr>
                <w:sz w:val="18"/>
                <w:szCs w:val="18"/>
                <w:lang w:val="en-US"/>
              </w:rPr>
              <w:t>7446</w:t>
            </w:r>
            <w:r w:rsidRPr="001314F3">
              <w:rPr>
                <w:sz w:val="18"/>
                <w:szCs w:val="18"/>
                <w:lang w:val="en-US"/>
              </w:rPr>
              <w:t>)</w:t>
            </w:r>
          </w:p>
          <w:p w14:paraId="21EFF24B" w14:textId="77777777" w:rsidR="00431D9A" w:rsidRDefault="00431D9A" w:rsidP="00670AFE">
            <w:pPr>
              <w:spacing w:before="40" w:after="40" w:line="240" w:lineRule="auto"/>
              <w:jc w:val="left"/>
              <w:rPr>
                <w:sz w:val="18"/>
                <w:szCs w:val="18"/>
                <w:lang w:val="en-US"/>
              </w:rPr>
            </w:pPr>
          </w:p>
        </w:tc>
        <w:tc>
          <w:tcPr>
            <w:tcW w:w="2578" w:type="pct"/>
            <w:vMerge/>
          </w:tcPr>
          <w:p w14:paraId="0D2EF194" w14:textId="77777777" w:rsidR="00431D9A" w:rsidRPr="00C23772" w:rsidRDefault="00431D9A" w:rsidP="00670AFE">
            <w:pPr>
              <w:spacing w:before="40" w:after="40" w:line="240" w:lineRule="auto"/>
              <w:jc w:val="left"/>
              <w:rPr>
                <w:rFonts w:cs="Arial"/>
                <w:sz w:val="18"/>
                <w:szCs w:val="18"/>
              </w:rPr>
            </w:pPr>
          </w:p>
        </w:tc>
      </w:tr>
      <w:tr w:rsidR="00195E19" w:rsidRPr="00EE43C6" w14:paraId="4939E8DB" w14:textId="77777777" w:rsidTr="2DB09FEA">
        <w:tc>
          <w:tcPr>
            <w:tcW w:w="1159" w:type="pct"/>
            <w:shd w:val="clear" w:color="auto" w:fill="FFFFFF" w:themeFill="background1"/>
            <w:vAlign w:val="center"/>
          </w:tcPr>
          <w:p w14:paraId="7E666554" w14:textId="7ADFFF21" w:rsidR="00431D9A" w:rsidRPr="00DC21C6" w:rsidRDefault="00431D9A" w:rsidP="00670AFE">
            <w:pPr>
              <w:spacing w:before="40" w:after="40" w:line="240" w:lineRule="auto"/>
              <w:jc w:val="left"/>
              <w:rPr>
                <w:sz w:val="18"/>
                <w:szCs w:val="18"/>
                <w:lang w:val="en-US"/>
              </w:rPr>
            </w:pPr>
            <w:r w:rsidRPr="00DC21C6">
              <w:rPr>
                <w:sz w:val="18"/>
                <w:szCs w:val="18"/>
                <w:lang w:val="en-US"/>
              </w:rPr>
              <w:t>Zoning Law</w:t>
            </w:r>
          </w:p>
        </w:tc>
        <w:tc>
          <w:tcPr>
            <w:tcW w:w="1263" w:type="pct"/>
            <w:shd w:val="clear" w:color="auto" w:fill="FFFFFF" w:themeFill="background1"/>
            <w:vAlign w:val="center"/>
          </w:tcPr>
          <w:p w14:paraId="1A5C2DE7" w14:textId="77777777" w:rsidR="00431D9A" w:rsidRDefault="00C441E7" w:rsidP="00670AFE">
            <w:pPr>
              <w:spacing w:before="40" w:after="40" w:line="240" w:lineRule="auto"/>
              <w:jc w:val="left"/>
              <w:rPr>
                <w:sz w:val="18"/>
                <w:szCs w:val="18"/>
                <w:lang w:val="en-US"/>
              </w:rPr>
            </w:pPr>
            <w:r>
              <w:rPr>
                <w:rFonts w:cs="Arial"/>
                <w:sz w:val="18"/>
                <w:szCs w:val="18"/>
              </w:rPr>
              <w:t xml:space="preserve">Law No. 3194; </w:t>
            </w:r>
            <w:r w:rsidR="00431D9A">
              <w:rPr>
                <w:rFonts w:cs="Arial"/>
                <w:sz w:val="18"/>
                <w:szCs w:val="18"/>
              </w:rPr>
              <w:t xml:space="preserve">OG. </w:t>
            </w:r>
            <w:r w:rsidR="00431D9A" w:rsidRPr="00F576F9">
              <w:rPr>
                <w:sz w:val="18"/>
                <w:szCs w:val="18"/>
                <w:lang w:val="en-US"/>
              </w:rPr>
              <w:t>No. 18749 dated 9 May 1985</w:t>
            </w:r>
          </w:p>
          <w:p w14:paraId="394A43BF" w14:textId="5D59AA51" w:rsidR="00543DF5" w:rsidRDefault="00543DF5" w:rsidP="00670AFE">
            <w:pPr>
              <w:spacing w:before="40" w:after="40" w:line="240" w:lineRule="auto"/>
              <w:jc w:val="left"/>
              <w:rPr>
                <w:sz w:val="18"/>
                <w:szCs w:val="18"/>
                <w:lang w:val="en-US"/>
              </w:rPr>
            </w:pPr>
            <w:r w:rsidRPr="001314F3">
              <w:rPr>
                <w:sz w:val="18"/>
                <w:szCs w:val="18"/>
                <w:lang w:val="en-US"/>
              </w:rPr>
              <w:t>(Last amendment on 2</w:t>
            </w:r>
            <w:r>
              <w:rPr>
                <w:sz w:val="18"/>
                <w:szCs w:val="18"/>
                <w:lang w:val="en-US"/>
              </w:rPr>
              <w:t>6</w:t>
            </w:r>
            <w:r w:rsidRPr="001314F3">
              <w:rPr>
                <w:sz w:val="18"/>
                <w:szCs w:val="18"/>
                <w:lang w:val="en-US"/>
              </w:rPr>
              <w:t xml:space="preserve"> </w:t>
            </w:r>
            <w:r>
              <w:rPr>
                <w:sz w:val="18"/>
                <w:szCs w:val="18"/>
                <w:lang w:val="en-US"/>
              </w:rPr>
              <w:t>November</w:t>
            </w:r>
            <w:r w:rsidRPr="001314F3">
              <w:rPr>
                <w:sz w:val="18"/>
                <w:szCs w:val="18"/>
                <w:lang w:val="en-US"/>
              </w:rPr>
              <w:t xml:space="preserve"> 2022 with Amended Law No.</w:t>
            </w:r>
            <w:r>
              <w:rPr>
                <w:sz w:val="18"/>
                <w:szCs w:val="18"/>
                <w:lang w:val="en-US"/>
              </w:rPr>
              <w:t>7421</w:t>
            </w:r>
            <w:r w:rsidRPr="001314F3">
              <w:rPr>
                <w:sz w:val="18"/>
                <w:szCs w:val="18"/>
                <w:lang w:val="en-US"/>
              </w:rPr>
              <w:t>)</w:t>
            </w:r>
          </w:p>
        </w:tc>
        <w:tc>
          <w:tcPr>
            <w:tcW w:w="2578" w:type="pct"/>
            <w:vMerge/>
          </w:tcPr>
          <w:p w14:paraId="7115D684" w14:textId="77777777" w:rsidR="00431D9A" w:rsidRPr="00C23772" w:rsidRDefault="00431D9A" w:rsidP="00670AFE">
            <w:pPr>
              <w:spacing w:before="40" w:after="40" w:line="240" w:lineRule="auto"/>
              <w:jc w:val="left"/>
              <w:rPr>
                <w:rFonts w:cs="Arial"/>
                <w:sz w:val="18"/>
                <w:szCs w:val="18"/>
              </w:rPr>
            </w:pPr>
          </w:p>
        </w:tc>
      </w:tr>
    </w:tbl>
    <w:p w14:paraId="7FF92345" w14:textId="2A6FB473" w:rsidR="004339AC" w:rsidRPr="00EE43C6" w:rsidRDefault="004339AC" w:rsidP="00757092">
      <w:pPr>
        <w:pStyle w:val="Heading2"/>
        <w:ind w:hanging="718"/>
        <w:rPr>
          <w:lang w:val="en-GB"/>
        </w:rPr>
      </w:pPr>
      <w:bookmarkStart w:id="170" w:name="_Toc82779403"/>
      <w:bookmarkStart w:id="171" w:name="_Toc80633526"/>
      <w:bookmarkStart w:id="172" w:name="_Toc58519541"/>
      <w:bookmarkStart w:id="173" w:name="_Toc120016912"/>
      <w:bookmarkStart w:id="174" w:name="_Toc120004690"/>
      <w:bookmarkStart w:id="175" w:name="_Toc141445401"/>
      <w:bookmarkEnd w:id="170"/>
      <w:r w:rsidRPr="00EE43C6">
        <w:rPr>
          <w:lang w:val="en-GB"/>
        </w:rPr>
        <w:t>International Standards</w:t>
      </w:r>
      <w:bookmarkEnd w:id="171"/>
      <w:bookmarkEnd w:id="172"/>
      <w:bookmarkEnd w:id="173"/>
      <w:bookmarkEnd w:id="174"/>
      <w:bookmarkEnd w:id="175"/>
    </w:p>
    <w:p w14:paraId="21A7F485" w14:textId="77777777" w:rsidR="00CA4F6E" w:rsidRPr="00EE43C6" w:rsidRDefault="00CA4F6E" w:rsidP="00CA4F6E">
      <w:pPr>
        <w:spacing w:after="120" w:line="271" w:lineRule="auto"/>
        <w:rPr>
          <w:b/>
          <w:i/>
          <w:lang w:eastAsia="en-GB"/>
        </w:rPr>
      </w:pPr>
      <w:r w:rsidRPr="00EE43C6">
        <w:rPr>
          <w:b/>
          <w:i/>
          <w:lang w:eastAsia="en-GB"/>
        </w:rPr>
        <w:t>WB’s Environmental and Social Framework</w:t>
      </w:r>
      <w:r w:rsidR="00E25B37" w:rsidRPr="00EE43C6">
        <w:rPr>
          <w:b/>
          <w:i/>
          <w:lang w:eastAsia="en-GB"/>
        </w:rPr>
        <w:t xml:space="preserve"> (ESF)</w:t>
      </w:r>
    </w:p>
    <w:p w14:paraId="28666252" w14:textId="7597156C" w:rsidR="00E179F0" w:rsidRPr="00EE43C6" w:rsidRDefault="00507B93" w:rsidP="000E7A7C">
      <w:pPr>
        <w:rPr>
          <w:szCs w:val="20"/>
          <w:lang w:eastAsia="en-GB"/>
        </w:rPr>
      </w:pPr>
      <w:r w:rsidRPr="00EE43C6">
        <w:rPr>
          <w:szCs w:val="20"/>
          <w:lang w:eastAsia="en-GB"/>
        </w:rPr>
        <w:t xml:space="preserve">In order to increase the efficiency, environmental sustainability and competitiveness of the OIZs, </w:t>
      </w:r>
      <w:r w:rsidR="00333216" w:rsidRPr="00EE43C6">
        <w:rPr>
          <w:szCs w:val="20"/>
          <w:lang w:eastAsia="en-GB"/>
        </w:rPr>
        <w:t>“</w:t>
      </w:r>
      <w:r w:rsidR="00117757">
        <w:rPr>
          <w:szCs w:val="20"/>
          <w:lang w:eastAsia="en-GB"/>
        </w:rPr>
        <w:t>Türkiye</w:t>
      </w:r>
      <w:r w:rsidRPr="00EE43C6">
        <w:rPr>
          <w:szCs w:val="20"/>
          <w:lang w:eastAsia="en-GB"/>
        </w:rPr>
        <w:t xml:space="preserve"> Organized Industrial Zones Project</w:t>
      </w:r>
      <w:r w:rsidR="00333216" w:rsidRPr="00EE43C6">
        <w:rPr>
          <w:szCs w:val="20"/>
          <w:lang w:eastAsia="en-GB"/>
        </w:rPr>
        <w:t>”</w:t>
      </w:r>
      <w:r w:rsidRPr="00EE43C6">
        <w:rPr>
          <w:szCs w:val="20"/>
          <w:lang w:eastAsia="en-GB"/>
        </w:rPr>
        <w:t xml:space="preserve"> which is financed by World Bank (WB) has got into operation. Within th</w:t>
      </w:r>
      <w:r w:rsidR="004A17BF" w:rsidRPr="00EE43C6">
        <w:rPr>
          <w:szCs w:val="20"/>
          <w:lang w:eastAsia="en-GB"/>
        </w:rPr>
        <w:t>is</w:t>
      </w:r>
      <w:r w:rsidR="00D06018" w:rsidRPr="00EE43C6">
        <w:rPr>
          <w:szCs w:val="20"/>
          <w:lang w:eastAsia="en-GB"/>
        </w:rPr>
        <w:t xml:space="preserve"> main</w:t>
      </w:r>
      <w:r w:rsidRPr="00EE43C6">
        <w:rPr>
          <w:szCs w:val="20"/>
          <w:lang w:eastAsia="en-GB"/>
        </w:rPr>
        <w:t xml:space="preserve"> </w:t>
      </w:r>
      <w:r w:rsidR="004A17BF" w:rsidRPr="00EE43C6">
        <w:rPr>
          <w:szCs w:val="20"/>
          <w:lang w:eastAsia="en-GB"/>
        </w:rPr>
        <w:t>P</w:t>
      </w:r>
      <w:r w:rsidRPr="00EE43C6">
        <w:rPr>
          <w:szCs w:val="20"/>
          <w:lang w:eastAsia="en-GB"/>
        </w:rPr>
        <w:t xml:space="preserve">roject, some OIZs are planned to be developed within the defined criteria and it is aimed that these OIZs will set an example for other OIZs. In this context, the implementing agency for the </w:t>
      </w:r>
      <w:r w:rsidR="003733F0" w:rsidRPr="00EE43C6">
        <w:rPr>
          <w:szCs w:val="20"/>
          <w:lang w:eastAsia="en-GB"/>
        </w:rPr>
        <w:t xml:space="preserve">main </w:t>
      </w:r>
      <w:r w:rsidRPr="00EE43C6">
        <w:rPr>
          <w:szCs w:val="20"/>
          <w:lang w:eastAsia="en-GB"/>
        </w:rPr>
        <w:t xml:space="preserve">Project is MoIT, of whose Directorate General for Organized Industrial Zones is responsible for designing the policies to plan and develop OIZs including providing credits for OIZ Managements. </w:t>
      </w:r>
      <w:r w:rsidR="000E7A7C" w:rsidRPr="00EE43C6">
        <w:rPr>
          <w:szCs w:val="20"/>
          <w:lang w:eastAsia="en-GB"/>
        </w:rPr>
        <w:t>For the main Project, an ESMF that is the key document committed by MoIT to comply with national</w:t>
      </w:r>
      <w:r w:rsidR="00333216" w:rsidRPr="00EE43C6">
        <w:rPr>
          <w:szCs w:val="20"/>
          <w:lang w:eastAsia="en-GB"/>
        </w:rPr>
        <w:t xml:space="preserve"> </w:t>
      </w:r>
      <w:r w:rsidR="000E7A7C" w:rsidRPr="00EE43C6">
        <w:rPr>
          <w:szCs w:val="20"/>
          <w:lang w:eastAsia="en-GB"/>
        </w:rPr>
        <w:t xml:space="preserve">legislation and WB’s ESF has been prepared. The ESMF covers environmental and social management approach that will be implemented during the main Project. </w:t>
      </w:r>
      <w:r w:rsidR="0004338C" w:rsidRPr="00EE43C6">
        <w:rPr>
          <w:szCs w:val="20"/>
          <w:lang w:eastAsia="en-GB"/>
        </w:rPr>
        <w:t>According to the ESMF, b</w:t>
      </w:r>
      <w:r w:rsidR="00A61E86" w:rsidRPr="00EE43C6">
        <w:rPr>
          <w:szCs w:val="20"/>
          <w:lang w:eastAsia="en-GB"/>
        </w:rPr>
        <w:t>efore</w:t>
      </w:r>
      <w:r w:rsidRPr="00EE43C6">
        <w:rPr>
          <w:szCs w:val="20"/>
          <w:lang w:eastAsia="en-GB"/>
        </w:rPr>
        <w:t xml:space="preserve"> </w:t>
      </w:r>
      <w:r w:rsidR="00A61E86" w:rsidRPr="00EE43C6">
        <w:rPr>
          <w:szCs w:val="20"/>
          <w:lang w:eastAsia="en-GB"/>
        </w:rPr>
        <w:t>preparation of E&amp;S documents</w:t>
      </w:r>
      <w:r w:rsidRPr="00EE43C6">
        <w:rPr>
          <w:szCs w:val="20"/>
          <w:lang w:eastAsia="en-GB"/>
        </w:rPr>
        <w:t xml:space="preserve">, </w:t>
      </w:r>
      <w:r w:rsidR="00A61E86" w:rsidRPr="00EE43C6">
        <w:rPr>
          <w:szCs w:val="20"/>
          <w:lang w:eastAsia="en-GB"/>
        </w:rPr>
        <w:t>MoIT will prepare</w:t>
      </w:r>
      <w:r w:rsidR="0037504F" w:rsidRPr="00EE43C6">
        <w:rPr>
          <w:szCs w:val="20"/>
          <w:lang w:eastAsia="en-GB"/>
        </w:rPr>
        <w:t xml:space="preserve"> </w:t>
      </w:r>
      <w:r w:rsidRPr="00EE43C6">
        <w:rPr>
          <w:szCs w:val="20"/>
          <w:lang w:eastAsia="en-GB"/>
        </w:rPr>
        <w:t xml:space="preserve">Environmental and Social (E&amp;S) Screening Reports </w:t>
      </w:r>
      <w:r w:rsidR="00E63915" w:rsidRPr="00EE43C6">
        <w:rPr>
          <w:szCs w:val="20"/>
          <w:lang w:eastAsia="en-GB"/>
        </w:rPr>
        <w:t xml:space="preserve">or </w:t>
      </w:r>
      <w:r w:rsidR="00E179F0" w:rsidRPr="00EE43C6">
        <w:rPr>
          <w:szCs w:val="20"/>
          <w:lang w:eastAsia="en-GB"/>
        </w:rPr>
        <w:t>assign a Compan</w:t>
      </w:r>
      <w:r w:rsidR="0037504F" w:rsidRPr="00EE43C6">
        <w:rPr>
          <w:szCs w:val="20"/>
          <w:lang w:eastAsia="en-GB"/>
        </w:rPr>
        <w:t>y</w:t>
      </w:r>
      <w:r w:rsidR="00E179F0" w:rsidRPr="00EE43C6">
        <w:rPr>
          <w:szCs w:val="20"/>
          <w:lang w:eastAsia="en-GB"/>
        </w:rPr>
        <w:t xml:space="preserve"> to prepare these reports</w:t>
      </w:r>
      <w:r w:rsidR="00E63915" w:rsidRPr="00EE43C6">
        <w:rPr>
          <w:szCs w:val="20"/>
          <w:lang w:eastAsia="en-GB"/>
        </w:rPr>
        <w:t xml:space="preserve"> </w:t>
      </w:r>
      <w:r w:rsidRPr="00EE43C6">
        <w:rPr>
          <w:szCs w:val="20"/>
          <w:lang w:eastAsia="en-GB"/>
        </w:rPr>
        <w:t>for all sub-projects and submitted them to</w:t>
      </w:r>
      <w:r w:rsidR="00E179F0" w:rsidRPr="00EE43C6">
        <w:rPr>
          <w:szCs w:val="20"/>
          <w:lang w:eastAsia="en-GB"/>
        </w:rPr>
        <w:t xml:space="preserve"> World Bank Team for review and approval</w:t>
      </w:r>
      <w:r w:rsidRPr="00EE43C6">
        <w:rPr>
          <w:szCs w:val="20"/>
          <w:lang w:eastAsia="en-GB"/>
        </w:rPr>
        <w:t>. As a result of the information obtained in the screening stud</w:t>
      </w:r>
      <w:r w:rsidR="00E179F0" w:rsidRPr="00EE43C6">
        <w:rPr>
          <w:szCs w:val="20"/>
          <w:lang w:eastAsia="en-GB"/>
        </w:rPr>
        <w:t>ies</w:t>
      </w:r>
      <w:r w:rsidRPr="00EE43C6">
        <w:rPr>
          <w:szCs w:val="20"/>
          <w:lang w:eastAsia="en-GB"/>
        </w:rPr>
        <w:t xml:space="preserve">, a risk analysis </w:t>
      </w:r>
      <w:r w:rsidR="00E179F0" w:rsidRPr="00EE43C6">
        <w:rPr>
          <w:szCs w:val="20"/>
          <w:lang w:eastAsia="en-GB"/>
        </w:rPr>
        <w:t>will be made</w:t>
      </w:r>
      <w:r w:rsidRPr="00EE43C6">
        <w:rPr>
          <w:szCs w:val="20"/>
          <w:lang w:eastAsia="en-GB"/>
        </w:rPr>
        <w:t xml:space="preserve"> as well as the E&amp;S Screening Report.</w:t>
      </w:r>
    </w:p>
    <w:p w14:paraId="79FAA90F" w14:textId="225C6FCF" w:rsidR="009F1FB4" w:rsidRPr="00EE43C6" w:rsidRDefault="00E179F0" w:rsidP="00CA4F6E">
      <w:pPr>
        <w:rPr>
          <w:szCs w:val="20"/>
          <w:lang w:eastAsia="en-GB"/>
        </w:rPr>
      </w:pPr>
      <w:r w:rsidRPr="00EE43C6">
        <w:rPr>
          <w:szCs w:val="20"/>
          <w:lang w:eastAsia="en-GB"/>
        </w:rPr>
        <w:t>For the Project, a</w:t>
      </w:r>
      <w:r w:rsidR="00507B93" w:rsidRPr="00EE43C6">
        <w:rPr>
          <w:szCs w:val="20"/>
          <w:lang w:eastAsia="en-GB"/>
        </w:rPr>
        <w:t>s a result of the risk analysis</w:t>
      </w:r>
      <w:r w:rsidR="00417522" w:rsidRPr="00EE43C6">
        <w:rPr>
          <w:szCs w:val="20"/>
          <w:lang w:eastAsia="en-GB"/>
        </w:rPr>
        <w:t xml:space="preserve"> determined according to the WB ESSs and ESMF of the Project</w:t>
      </w:r>
      <w:r w:rsidR="00507B93" w:rsidRPr="00EE43C6">
        <w:rPr>
          <w:szCs w:val="20"/>
          <w:lang w:eastAsia="en-GB"/>
        </w:rPr>
        <w:t xml:space="preserve">, the </w:t>
      </w:r>
      <w:r w:rsidR="003B5CD5" w:rsidRPr="00EE43C6">
        <w:rPr>
          <w:szCs w:val="20"/>
          <w:lang w:eastAsia="en-GB"/>
        </w:rPr>
        <w:t xml:space="preserve">overall environmental and social risk of the </w:t>
      </w:r>
      <w:r w:rsidR="00507B93" w:rsidRPr="00EE43C6">
        <w:rPr>
          <w:szCs w:val="20"/>
          <w:lang w:eastAsia="en-GB"/>
        </w:rPr>
        <w:t xml:space="preserve">sub-project </w:t>
      </w:r>
      <w:r w:rsidR="007D412F" w:rsidRPr="00EE43C6">
        <w:rPr>
          <w:szCs w:val="20"/>
          <w:lang w:eastAsia="en-GB"/>
        </w:rPr>
        <w:t>were</w:t>
      </w:r>
      <w:r w:rsidR="00507B93" w:rsidRPr="00EE43C6">
        <w:rPr>
          <w:szCs w:val="20"/>
          <w:lang w:eastAsia="en-GB"/>
        </w:rPr>
        <w:t xml:space="preserve"> </w:t>
      </w:r>
      <w:r w:rsidR="003B5CD5" w:rsidRPr="00EE43C6">
        <w:rPr>
          <w:szCs w:val="20"/>
          <w:lang w:eastAsia="en-GB"/>
        </w:rPr>
        <w:t>rated</w:t>
      </w:r>
      <w:r w:rsidR="00507B93" w:rsidRPr="00EE43C6">
        <w:rPr>
          <w:szCs w:val="20"/>
          <w:lang w:eastAsia="en-GB"/>
        </w:rPr>
        <w:t xml:space="preserve"> in the “</w:t>
      </w:r>
      <w:r w:rsidR="003B5CD5" w:rsidRPr="00EE43C6">
        <w:rPr>
          <w:szCs w:val="20"/>
          <w:lang w:eastAsia="en-GB"/>
        </w:rPr>
        <w:t>M</w:t>
      </w:r>
      <w:r w:rsidR="00507B93" w:rsidRPr="00EE43C6">
        <w:rPr>
          <w:szCs w:val="20"/>
          <w:lang w:eastAsia="en-GB"/>
        </w:rPr>
        <w:t>oderate” risk group.</w:t>
      </w:r>
      <w:r w:rsidR="003B5CD5" w:rsidRPr="00EE43C6">
        <w:rPr>
          <w:szCs w:val="20"/>
          <w:lang w:eastAsia="en-GB"/>
        </w:rPr>
        <w:t xml:space="preserve"> </w:t>
      </w:r>
      <w:r w:rsidR="00895587" w:rsidRPr="00EE43C6">
        <w:rPr>
          <w:szCs w:val="20"/>
          <w:lang w:eastAsia="en-GB"/>
        </w:rPr>
        <w:t xml:space="preserve">Hence, </w:t>
      </w:r>
      <w:r w:rsidR="003B295E" w:rsidRPr="00EE43C6">
        <w:rPr>
          <w:szCs w:val="20"/>
          <w:lang w:eastAsia="en-GB"/>
        </w:rPr>
        <w:t>the</w:t>
      </w:r>
      <w:r w:rsidR="00895587" w:rsidRPr="00EE43C6">
        <w:rPr>
          <w:szCs w:val="20"/>
          <w:lang w:eastAsia="en-GB"/>
        </w:rPr>
        <w:t xml:space="preserve"> site-specific ESMP </w:t>
      </w:r>
      <w:r w:rsidR="00F84D55" w:rsidRPr="00EE43C6">
        <w:rPr>
          <w:szCs w:val="20"/>
          <w:lang w:eastAsia="en-GB"/>
        </w:rPr>
        <w:t xml:space="preserve">has been </w:t>
      </w:r>
      <w:r w:rsidR="00DC4E2A" w:rsidRPr="00EE43C6">
        <w:rPr>
          <w:szCs w:val="20"/>
          <w:lang w:eastAsia="en-GB"/>
        </w:rPr>
        <w:t xml:space="preserve">prepared </w:t>
      </w:r>
      <w:r w:rsidR="00895587" w:rsidRPr="00EE43C6">
        <w:rPr>
          <w:szCs w:val="20"/>
          <w:lang w:eastAsia="en-GB"/>
        </w:rPr>
        <w:t>for the Project.</w:t>
      </w:r>
    </w:p>
    <w:p w14:paraId="435C536E" w14:textId="22BED018" w:rsidR="00CA4F6E" w:rsidRPr="00EE43C6" w:rsidRDefault="00CA4F6E" w:rsidP="00CA4F6E">
      <w:pPr>
        <w:rPr>
          <w:szCs w:val="20"/>
          <w:lang w:eastAsia="en-GB"/>
        </w:rPr>
      </w:pPr>
      <w:r w:rsidRPr="00EE43C6">
        <w:rPr>
          <w:szCs w:val="20"/>
          <w:lang w:eastAsia="en-GB"/>
        </w:rPr>
        <w:t xml:space="preserve">The ESF of WB is developed after the review of the Safeguard Policies with the objective of creating better long-term development outcomes. ESSs given in ESF have a more comprehensive approach to environmental and social risk, particularly on social issues. The </w:t>
      </w:r>
      <w:r w:rsidRPr="00EE43C6">
        <w:rPr>
          <w:szCs w:val="20"/>
          <w:lang w:eastAsia="en-GB"/>
        </w:rPr>
        <w:lastRenderedPageBreak/>
        <w:t>list of the WB’s ESSs and the safeguard policies they are built on are given in</w:t>
      </w:r>
      <w:r w:rsidR="00A2395B" w:rsidRPr="00EE43C6">
        <w:rPr>
          <w:szCs w:val="20"/>
          <w:lang w:eastAsia="en-GB"/>
        </w:rPr>
        <w:t xml:space="preserve"> </w:t>
      </w:r>
      <w:r w:rsidR="00A2395B" w:rsidRPr="00EE43C6">
        <w:rPr>
          <w:szCs w:val="20"/>
          <w:lang w:eastAsia="en-GB"/>
        </w:rPr>
        <w:fldChar w:fldCharType="begin"/>
      </w:r>
      <w:r w:rsidR="00A2395B" w:rsidRPr="00EE43C6">
        <w:rPr>
          <w:szCs w:val="20"/>
          <w:lang w:eastAsia="en-GB"/>
        </w:rPr>
        <w:instrText xml:space="preserve"> REF _Ref118897325 \h </w:instrText>
      </w:r>
      <w:r w:rsidR="00A2395B" w:rsidRPr="00EE43C6">
        <w:rPr>
          <w:szCs w:val="20"/>
          <w:lang w:eastAsia="en-GB"/>
        </w:rPr>
      </w:r>
      <w:r w:rsidR="00A2395B" w:rsidRPr="00EE43C6">
        <w:rPr>
          <w:szCs w:val="20"/>
          <w:lang w:eastAsia="en-GB"/>
        </w:rPr>
        <w:fldChar w:fldCharType="separate"/>
      </w:r>
      <w:r w:rsidR="00E67C71" w:rsidRPr="00EE43C6">
        <w:t xml:space="preserve">Table </w:t>
      </w:r>
      <w:r w:rsidR="00E67C71">
        <w:rPr>
          <w:noProof/>
        </w:rPr>
        <w:t>3</w:t>
      </w:r>
      <w:r w:rsidR="00E67C71">
        <w:noBreakHyphen/>
      </w:r>
      <w:r w:rsidR="00E67C71">
        <w:rPr>
          <w:noProof/>
        </w:rPr>
        <w:t>2</w:t>
      </w:r>
      <w:r w:rsidR="00A2395B" w:rsidRPr="00EE43C6">
        <w:rPr>
          <w:szCs w:val="20"/>
          <w:lang w:eastAsia="en-GB"/>
        </w:rPr>
        <w:fldChar w:fldCharType="end"/>
      </w:r>
      <w:r w:rsidRPr="00EE43C6">
        <w:rPr>
          <w:szCs w:val="20"/>
          <w:lang w:eastAsia="en-GB"/>
        </w:rPr>
        <w:t>. ESF became effective on October 1, 2018.</w:t>
      </w:r>
    </w:p>
    <w:p w14:paraId="47F976E1" w14:textId="024D5BD3" w:rsidR="00CA4F6E" w:rsidRPr="00EE43C6" w:rsidRDefault="00400408" w:rsidP="00400408">
      <w:pPr>
        <w:pStyle w:val="Caption"/>
        <w:rPr>
          <w:rFonts w:eastAsiaTheme="minorHAnsi"/>
          <w:b w:val="0"/>
          <w:noProof w:val="0"/>
          <w:color w:val="auto"/>
        </w:rPr>
      </w:pPr>
      <w:bookmarkStart w:id="176" w:name="_Ref118897325"/>
      <w:bookmarkStart w:id="177" w:name="_Toc114841785"/>
      <w:bookmarkStart w:id="178" w:name="_Toc117845616"/>
      <w:bookmarkStart w:id="179" w:name="_Toc120016846"/>
      <w:bookmarkStart w:id="180" w:name="_Toc120004624"/>
      <w:bookmarkStart w:id="181" w:name="_Toc141445494"/>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E67C71">
        <w:t>3</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E67C71">
        <w:t>2</w:t>
      </w:r>
      <w:r w:rsidR="006D2DE8">
        <w:rPr>
          <w:noProof w:val="0"/>
        </w:rPr>
        <w:fldChar w:fldCharType="end"/>
      </w:r>
      <w:bookmarkEnd w:id="176"/>
      <w:r w:rsidRPr="00EE43C6">
        <w:rPr>
          <w:noProof w:val="0"/>
        </w:rPr>
        <w:t xml:space="preserve">. </w:t>
      </w:r>
      <w:r w:rsidR="00E25B37" w:rsidRPr="00EE43C6">
        <w:rPr>
          <w:b w:val="0"/>
          <w:bCs w:val="0"/>
          <w:noProof w:val="0"/>
          <w:color w:val="auto"/>
        </w:rPr>
        <w:t>Inter</w:t>
      </w:r>
      <w:r w:rsidR="00E25B37" w:rsidRPr="00EE43C6">
        <w:rPr>
          <w:rFonts w:eastAsiaTheme="minorHAnsi"/>
          <w:b w:val="0"/>
          <w:bCs w:val="0"/>
          <w:noProof w:val="0"/>
          <w:color w:val="auto"/>
        </w:rPr>
        <w:t>n</w:t>
      </w:r>
      <w:r w:rsidR="00CA4F6E" w:rsidRPr="00EE43C6">
        <w:rPr>
          <w:rFonts w:eastAsiaTheme="minorHAnsi"/>
          <w:b w:val="0"/>
          <w:bCs w:val="0"/>
          <w:noProof w:val="0"/>
          <w:color w:val="auto"/>
        </w:rPr>
        <w:t>ational</w:t>
      </w:r>
      <w:r w:rsidR="00CA4F6E" w:rsidRPr="00EE43C6">
        <w:rPr>
          <w:rFonts w:eastAsiaTheme="minorHAnsi"/>
          <w:b w:val="0"/>
          <w:noProof w:val="0"/>
          <w:color w:val="auto"/>
        </w:rPr>
        <w:t xml:space="preserve"> Legislation (Chronological)</w:t>
      </w:r>
      <w:bookmarkEnd w:id="177"/>
      <w:bookmarkEnd w:id="178"/>
      <w:bookmarkEnd w:id="179"/>
      <w:bookmarkEnd w:id="180"/>
      <w:bookmarkEnd w:id="181"/>
    </w:p>
    <w:tbl>
      <w:tblPr>
        <w:tblStyle w:val="TableGrid"/>
        <w:tblW w:w="0" w:type="auto"/>
        <w:tblLook w:val="04A0" w:firstRow="1" w:lastRow="0" w:firstColumn="1" w:lastColumn="0" w:noHBand="0" w:noVBand="1"/>
      </w:tblPr>
      <w:tblGrid>
        <w:gridCol w:w="5219"/>
        <w:gridCol w:w="3835"/>
      </w:tblGrid>
      <w:tr w:rsidR="00160CD9" w:rsidRPr="00EE43C6" w14:paraId="1BF71397" w14:textId="1837B178" w:rsidTr="0004338C">
        <w:trPr>
          <w:tblHeader/>
        </w:trPr>
        <w:tc>
          <w:tcPr>
            <w:tcW w:w="0" w:type="auto"/>
            <w:shd w:val="clear" w:color="auto" w:fill="4F81BD"/>
          </w:tcPr>
          <w:p w14:paraId="4852805C" w14:textId="77777777" w:rsidR="00160CD9" w:rsidRPr="00EE43C6" w:rsidRDefault="00160CD9" w:rsidP="00CE3B94">
            <w:pPr>
              <w:spacing w:before="60" w:after="60" w:line="240" w:lineRule="auto"/>
              <w:jc w:val="left"/>
              <w:rPr>
                <w:b/>
                <w:color w:val="FFFFFF" w:themeColor="background1"/>
                <w:sz w:val="18"/>
                <w:szCs w:val="18"/>
                <w:lang w:eastAsia="en-GB"/>
              </w:rPr>
            </w:pPr>
            <w:r w:rsidRPr="00EE43C6">
              <w:rPr>
                <w:b/>
                <w:color w:val="FFFFFF" w:themeColor="background1"/>
                <w:sz w:val="18"/>
                <w:szCs w:val="18"/>
                <w:lang w:eastAsia="en-GB"/>
              </w:rPr>
              <w:t>Standard</w:t>
            </w:r>
          </w:p>
        </w:tc>
        <w:tc>
          <w:tcPr>
            <w:tcW w:w="0" w:type="auto"/>
            <w:shd w:val="clear" w:color="auto" w:fill="4F81BD"/>
          </w:tcPr>
          <w:p w14:paraId="20133579" w14:textId="77777777" w:rsidR="00160CD9" w:rsidRPr="00EE43C6" w:rsidRDefault="00160CD9" w:rsidP="00CE3B94">
            <w:pPr>
              <w:spacing w:before="60" w:after="60" w:line="240" w:lineRule="auto"/>
              <w:jc w:val="left"/>
              <w:rPr>
                <w:b/>
                <w:color w:val="FFFFFF" w:themeColor="background1"/>
                <w:sz w:val="18"/>
                <w:szCs w:val="18"/>
                <w:lang w:eastAsia="en-US"/>
              </w:rPr>
            </w:pPr>
            <w:r w:rsidRPr="00EE43C6">
              <w:rPr>
                <w:b/>
                <w:color w:val="FFFFFF" w:themeColor="background1"/>
                <w:sz w:val="18"/>
                <w:szCs w:val="18"/>
                <w:lang w:eastAsia="en-GB"/>
              </w:rPr>
              <w:t>Building on</w:t>
            </w:r>
            <w:r w:rsidRPr="00EE43C6">
              <w:rPr>
                <w:b/>
                <w:color w:val="FFFFFF" w:themeColor="background1"/>
                <w:sz w:val="18"/>
                <w:szCs w:val="18"/>
              </w:rPr>
              <w:t xml:space="preserve"> </w:t>
            </w:r>
          </w:p>
        </w:tc>
      </w:tr>
      <w:tr w:rsidR="00160CD9" w:rsidRPr="00EE43C6" w14:paraId="1FB07C24" w14:textId="34B86326" w:rsidTr="0004338C">
        <w:tc>
          <w:tcPr>
            <w:tcW w:w="0" w:type="auto"/>
          </w:tcPr>
          <w:p w14:paraId="70B736E8" w14:textId="77777777" w:rsidR="00160CD9" w:rsidRPr="00EE43C6" w:rsidRDefault="00160CD9" w:rsidP="00CE3B94">
            <w:pPr>
              <w:pStyle w:val="Default"/>
              <w:spacing w:before="60" w:after="60"/>
              <w:rPr>
                <w:sz w:val="18"/>
                <w:szCs w:val="18"/>
                <w:lang w:val="en-GB"/>
              </w:rPr>
            </w:pPr>
            <w:r w:rsidRPr="00EE43C6">
              <w:rPr>
                <w:sz w:val="18"/>
                <w:szCs w:val="18"/>
                <w:lang w:val="en-GB"/>
              </w:rPr>
              <w:t>ESS1: Assessment and Management of Environmental and Social Risks and Impacts</w:t>
            </w:r>
          </w:p>
        </w:tc>
        <w:tc>
          <w:tcPr>
            <w:tcW w:w="0" w:type="auto"/>
          </w:tcPr>
          <w:p w14:paraId="3FC2652E" w14:textId="77777777" w:rsidR="00160CD9" w:rsidRPr="00EE43C6" w:rsidRDefault="00160CD9" w:rsidP="00CE3B94">
            <w:pPr>
              <w:pStyle w:val="Default"/>
              <w:spacing w:before="60" w:after="60"/>
              <w:rPr>
                <w:sz w:val="18"/>
                <w:szCs w:val="18"/>
                <w:lang w:val="en-GB"/>
              </w:rPr>
            </w:pPr>
            <w:r w:rsidRPr="00EE43C6">
              <w:rPr>
                <w:sz w:val="18"/>
                <w:szCs w:val="18"/>
                <w:lang w:val="en-GB"/>
              </w:rPr>
              <w:t>OP/BP4.01(Environmental Assessment)</w:t>
            </w:r>
          </w:p>
        </w:tc>
      </w:tr>
      <w:tr w:rsidR="00160CD9" w:rsidRPr="00EE43C6" w14:paraId="0311336C" w14:textId="152CDC6F" w:rsidTr="0004338C">
        <w:tc>
          <w:tcPr>
            <w:tcW w:w="0" w:type="auto"/>
          </w:tcPr>
          <w:p w14:paraId="5097302B" w14:textId="77777777" w:rsidR="00160CD9" w:rsidRPr="00EE43C6" w:rsidRDefault="00160CD9" w:rsidP="00CE3B94">
            <w:pPr>
              <w:pStyle w:val="Default"/>
              <w:spacing w:before="60" w:after="60"/>
              <w:rPr>
                <w:sz w:val="18"/>
                <w:szCs w:val="18"/>
                <w:lang w:val="en-GB"/>
              </w:rPr>
            </w:pPr>
            <w:r w:rsidRPr="00EE43C6">
              <w:rPr>
                <w:sz w:val="18"/>
                <w:szCs w:val="18"/>
                <w:lang w:val="en-GB"/>
              </w:rPr>
              <w:t>ESS2: Labour and Working Conditions</w:t>
            </w:r>
          </w:p>
        </w:tc>
        <w:tc>
          <w:tcPr>
            <w:tcW w:w="0" w:type="auto"/>
          </w:tcPr>
          <w:p w14:paraId="531FB936" w14:textId="77777777" w:rsidR="00160CD9" w:rsidRPr="00EE43C6" w:rsidRDefault="00160CD9" w:rsidP="00CE3B94">
            <w:pPr>
              <w:pStyle w:val="Default"/>
              <w:spacing w:before="60" w:after="60"/>
              <w:rPr>
                <w:sz w:val="18"/>
                <w:szCs w:val="18"/>
                <w:lang w:val="en-GB"/>
              </w:rPr>
            </w:pPr>
            <w:r w:rsidRPr="00EE43C6">
              <w:rPr>
                <w:sz w:val="18"/>
                <w:szCs w:val="18"/>
                <w:lang w:val="en-GB"/>
              </w:rPr>
              <w:t>OP/BP4.01 (Environmental Assessment) and EHS Guidelines</w:t>
            </w:r>
          </w:p>
        </w:tc>
      </w:tr>
      <w:tr w:rsidR="00160CD9" w:rsidRPr="00EE43C6" w14:paraId="348FADF8" w14:textId="3429EF38" w:rsidTr="0004338C">
        <w:tc>
          <w:tcPr>
            <w:tcW w:w="0" w:type="auto"/>
          </w:tcPr>
          <w:p w14:paraId="45EE71CD" w14:textId="77777777" w:rsidR="00160CD9" w:rsidRPr="00EE43C6" w:rsidRDefault="00160CD9" w:rsidP="00CE3B94">
            <w:pPr>
              <w:pStyle w:val="Default"/>
              <w:spacing w:before="60" w:after="60"/>
              <w:rPr>
                <w:sz w:val="18"/>
                <w:szCs w:val="18"/>
                <w:lang w:val="en-GB"/>
              </w:rPr>
            </w:pPr>
            <w:r w:rsidRPr="00EE43C6">
              <w:rPr>
                <w:sz w:val="18"/>
                <w:szCs w:val="18"/>
                <w:lang w:val="en-GB"/>
              </w:rPr>
              <w:t>ESS3: Resource Efficiency and Pollution Prevention and Management</w:t>
            </w:r>
          </w:p>
        </w:tc>
        <w:tc>
          <w:tcPr>
            <w:tcW w:w="0" w:type="auto"/>
          </w:tcPr>
          <w:p w14:paraId="6790AED2" w14:textId="77777777" w:rsidR="00160CD9" w:rsidRPr="00EE43C6" w:rsidRDefault="00160CD9" w:rsidP="00CE3B94">
            <w:pPr>
              <w:pStyle w:val="Default"/>
              <w:spacing w:before="60" w:after="60"/>
              <w:rPr>
                <w:sz w:val="18"/>
                <w:szCs w:val="18"/>
                <w:lang w:val="en-GB"/>
              </w:rPr>
            </w:pPr>
            <w:r w:rsidRPr="00EE43C6">
              <w:rPr>
                <w:sz w:val="18"/>
                <w:szCs w:val="18"/>
                <w:lang w:val="en-GB"/>
              </w:rPr>
              <w:t>OP4.09 (Pest Management) and EHS Guidelines</w:t>
            </w:r>
          </w:p>
        </w:tc>
      </w:tr>
      <w:tr w:rsidR="00160CD9" w:rsidRPr="00EE43C6" w14:paraId="4011E2A4" w14:textId="550B81FC" w:rsidTr="0004338C">
        <w:tc>
          <w:tcPr>
            <w:tcW w:w="0" w:type="auto"/>
          </w:tcPr>
          <w:p w14:paraId="0711CA5B" w14:textId="77777777" w:rsidR="00160CD9" w:rsidRPr="00EE43C6" w:rsidRDefault="00160CD9" w:rsidP="00CE3B94">
            <w:pPr>
              <w:pStyle w:val="Default"/>
              <w:spacing w:before="60" w:after="60"/>
              <w:rPr>
                <w:sz w:val="18"/>
                <w:szCs w:val="18"/>
                <w:lang w:val="en-GB"/>
              </w:rPr>
            </w:pPr>
            <w:r w:rsidRPr="00EE43C6">
              <w:rPr>
                <w:sz w:val="18"/>
                <w:szCs w:val="18"/>
                <w:lang w:val="en-GB"/>
              </w:rPr>
              <w:t>ESS4: Community Health and Safety</w:t>
            </w:r>
          </w:p>
        </w:tc>
        <w:tc>
          <w:tcPr>
            <w:tcW w:w="0" w:type="auto"/>
          </w:tcPr>
          <w:p w14:paraId="508CAE91" w14:textId="77777777" w:rsidR="00160CD9" w:rsidRPr="00EE43C6" w:rsidRDefault="00160CD9" w:rsidP="00CE3B94">
            <w:pPr>
              <w:pStyle w:val="Default"/>
              <w:spacing w:before="60" w:after="60"/>
              <w:rPr>
                <w:sz w:val="18"/>
                <w:szCs w:val="18"/>
                <w:lang w:val="en-GB"/>
              </w:rPr>
            </w:pPr>
            <w:r w:rsidRPr="00EE43C6">
              <w:rPr>
                <w:sz w:val="18"/>
                <w:szCs w:val="18"/>
                <w:lang w:val="en-GB"/>
              </w:rPr>
              <w:t>OP/BP4.37 (Safety of Dams) and EHS Guidelines</w:t>
            </w:r>
          </w:p>
        </w:tc>
      </w:tr>
      <w:tr w:rsidR="00160CD9" w:rsidRPr="00EE43C6" w14:paraId="3D863178" w14:textId="063115B0" w:rsidTr="0004338C">
        <w:tc>
          <w:tcPr>
            <w:tcW w:w="0" w:type="auto"/>
          </w:tcPr>
          <w:p w14:paraId="093091FC" w14:textId="77777777" w:rsidR="00160CD9" w:rsidRPr="00EE43C6" w:rsidRDefault="00160CD9" w:rsidP="00CE3B94">
            <w:pPr>
              <w:pStyle w:val="Default"/>
              <w:spacing w:before="60" w:after="60"/>
              <w:rPr>
                <w:sz w:val="18"/>
                <w:szCs w:val="18"/>
                <w:lang w:val="en-GB"/>
              </w:rPr>
            </w:pPr>
            <w:r w:rsidRPr="00EE43C6">
              <w:rPr>
                <w:sz w:val="18"/>
                <w:szCs w:val="18"/>
                <w:lang w:val="en-GB"/>
              </w:rPr>
              <w:t>ESS5: Land Acquisition, Restrictions on Land Use and Involuntary Resettlement</w:t>
            </w:r>
          </w:p>
        </w:tc>
        <w:tc>
          <w:tcPr>
            <w:tcW w:w="0" w:type="auto"/>
          </w:tcPr>
          <w:p w14:paraId="275D334F" w14:textId="77777777" w:rsidR="00160CD9" w:rsidRPr="00EE43C6" w:rsidRDefault="00160CD9" w:rsidP="00CE3B94">
            <w:pPr>
              <w:pStyle w:val="Default"/>
              <w:spacing w:before="60" w:after="60"/>
              <w:rPr>
                <w:sz w:val="18"/>
                <w:szCs w:val="18"/>
                <w:lang w:val="en-GB"/>
              </w:rPr>
            </w:pPr>
            <w:r w:rsidRPr="00EE43C6">
              <w:rPr>
                <w:sz w:val="18"/>
                <w:szCs w:val="18"/>
                <w:lang w:val="en-GB"/>
              </w:rPr>
              <w:t>OP/BP4.12 (Involuntary Resettlement)</w:t>
            </w:r>
          </w:p>
        </w:tc>
      </w:tr>
      <w:tr w:rsidR="00160CD9" w:rsidRPr="00EE43C6" w14:paraId="18C8C0E0" w14:textId="09E30FE8" w:rsidTr="0004338C">
        <w:tc>
          <w:tcPr>
            <w:tcW w:w="0" w:type="auto"/>
          </w:tcPr>
          <w:p w14:paraId="6024A547" w14:textId="77777777" w:rsidR="00160CD9" w:rsidRPr="00EE43C6" w:rsidRDefault="00160CD9" w:rsidP="00CE3B94">
            <w:pPr>
              <w:pStyle w:val="Default"/>
              <w:spacing w:before="60" w:after="60"/>
              <w:rPr>
                <w:sz w:val="18"/>
                <w:szCs w:val="18"/>
                <w:lang w:val="en-GB"/>
              </w:rPr>
            </w:pPr>
            <w:r w:rsidRPr="00EE43C6">
              <w:rPr>
                <w:sz w:val="18"/>
                <w:szCs w:val="18"/>
                <w:lang w:val="en-GB"/>
              </w:rPr>
              <w:t>ESS6: Biodiversity Conservation and Sustainable Management of Living Natural Resources</w:t>
            </w:r>
          </w:p>
        </w:tc>
        <w:tc>
          <w:tcPr>
            <w:tcW w:w="0" w:type="auto"/>
          </w:tcPr>
          <w:p w14:paraId="78E58914" w14:textId="77777777" w:rsidR="00160CD9" w:rsidRPr="00EE43C6" w:rsidRDefault="00160CD9" w:rsidP="00CE3B94">
            <w:pPr>
              <w:pStyle w:val="Default"/>
              <w:spacing w:before="60" w:after="60"/>
              <w:rPr>
                <w:sz w:val="18"/>
                <w:szCs w:val="18"/>
                <w:lang w:val="en-GB"/>
              </w:rPr>
            </w:pPr>
            <w:r w:rsidRPr="00EE43C6">
              <w:rPr>
                <w:sz w:val="18"/>
                <w:szCs w:val="18"/>
                <w:lang w:val="en-GB"/>
              </w:rPr>
              <w:t>OP/BP4.04 (Natural Habitats) and OP/BP4.36 (Forests)</w:t>
            </w:r>
          </w:p>
        </w:tc>
      </w:tr>
      <w:tr w:rsidR="00160CD9" w:rsidRPr="00EE43C6" w14:paraId="0A76321B" w14:textId="1E129EA6" w:rsidTr="0004338C">
        <w:tc>
          <w:tcPr>
            <w:tcW w:w="0" w:type="auto"/>
          </w:tcPr>
          <w:p w14:paraId="689C078C" w14:textId="77777777" w:rsidR="00160CD9" w:rsidRPr="00EE43C6" w:rsidRDefault="00160CD9" w:rsidP="00CE3B94">
            <w:pPr>
              <w:pStyle w:val="Default"/>
              <w:spacing w:before="60" w:after="60"/>
              <w:rPr>
                <w:sz w:val="18"/>
                <w:szCs w:val="18"/>
                <w:lang w:val="en-GB"/>
              </w:rPr>
            </w:pPr>
            <w:r w:rsidRPr="00EE43C6">
              <w:rPr>
                <w:sz w:val="18"/>
                <w:szCs w:val="18"/>
                <w:lang w:val="en-GB"/>
              </w:rPr>
              <w:t xml:space="preserve">ESS7: </w:t>
            </w:r>
            <w:bookmarkStart w:id="182" w:name="_Hlk120267752"/>
            <w:r w:rsidRPr="00EE43C6">
              <w:rPr>
                <w:sz w:val="18"/>
                <w:szCs w:val="18"/>
                <w:lang w:val="en-GB"/>
              </w:rPr>
              <w:t>Indigenous Peoples/Sub-Saharan African Historically Underserved Traditional Local Communities</w:t>
            </w:r>
            <w:bookmarkEnd w:id="182"/>
          </w:p>
        </w:tc>
        <w:tc>
          <w:tcPr>
            <w:tcW w:w="0" w:type="auto"/>
          </w:tcPr>
          <w:p w14:paraId="44DA6C36" w14:textId="77777777" w:rsidR="00160CD9" w:rsidRPr="00EE43C6" w:rsidRDefault="00160CD9" w:rsidP="00CE3B94">
            <w:pPr>
              <w:pStyle w:val="Default"/>
              <w:spacing w:before="60" w:after="60"/>
              <w:rPr>
                <w:sz w:val="18"/>
                <w:szCs w:val="18"/>
                <w:lang w:val="en-GB"/>
              </w:rPr>
            </w:pPr>
            <w:r w:rsidRPr="00EE43C6">
              <w:rPr>
                <w:sz w:val="18"/>
                <w:szCs w:val="18"/>
                <w:lang w:val="en-GB"/>
              </w:rPr>
              <w:t>OP/BP4.10 (Indigenous Peoples)</w:t>
            </w:r>
          </w:p>
        </w:tc>
      </w:tr>
      <w:tr w:rsidR="00160CD9" w:rsidRPr="00EE43C6" w14:paraId="1DE9F389" w14:textId="4D428D26" w:rsidTr="0004338C">
        <w:tc>
          <w:tcPr>
            <w:tcW w:w="0" w:type="auto"/>
          </w:tcPr>
          <w:p w14:paraId="736CEB28" w14:textId="77777777" w:rsidR="00160CD9" w:rsidRPr="00EE43C6" w:rsidRDefault="00160CD9" w:rsidP="00CE3B94">
            <w:pPr>
              <w:pStyle w:val="Default"/>
              <w:spacing w:before="60" w:after="60"/>
              <w:rPr>
                <w:sz w:val="18"/>
                <w:szCs w:val="18"/>
                <w:lang w:val="en-GB"/>
              </w:rPr>
            </w:pPr>
            <w:bookmarkStart w:id="183" w:name="_Hlk98675818"/>
            <w:r w:rsidRPr="00EE43C6">
              <w:rPr>
                <w:sz w:val="18"/>
                <w:szCs w:val="18"/>
                <w:lang w:val="en-GB"/>
              </w:rPr>
              <w:t>ESS8: Cultural Heritage</w:t>
            </w:r>
            <w:bookmarkEnd w:id="183"/>
          </w:p>
        </w:tc>
        <w:tc>
          <w:tcPr>
            <w:tcW w:w="0" w:type="auto"/>
          </w:tcPr>
          <w:p w14:paraId="348643F6" w14:textId="77777777" w:rsidR="00160CD9" w:rsidRPr="00EE43C6" w:rsidRDefault="00160CD9" w:rsidP="00CE3B94">
            <w:pPr>
              <w:pStyle w:val="Default"/>
              <w:spacing w:before="60" w:after="60"/>
              <w:rPr>
                <w:sz w:val="18"/>
                <w:szCs w:val="18"/>
                <w:lang w:val="en-GB"/>
              </w:rPr>
            </w:pPr>
            <w:r w:rsidRPr="00EE43C6">
              <w:rPr>
                <w:sz w:val="18"/>
                <w:szCs w:val="18"/>
                <w:lang w:val="en-GB"/>
              </w:rPr>
              <w:t>OP/BP4.11 (Physical Cultural Resources)</w:t>
            </w:r>
          </w:p>
        </w:tc>
      </w:tr>
      <w:tr w:rsidR="00160CD9" w:rsidRPr="00EE43C6" w14:paraId="62686273" w14:textId="31A3EB2E" w:rsidTr="0004338C">
        <w:tc>
          <w:tcPr>
            <w:tcW w:w="0" w:type="auto"/>
          </w:tcPr>
          <w:p w14:paraId="333086F8" w14:textId="77777777" w:rsidR="00160CD9" w:rsidRPr="00EE43C6" w:rsidRDefault="00160CD9" w:rsidP="00CE3B94">
            <w:pPr>
              <w:pStyle w:val="Default"/>
              <w:spacing w:before="60" w:after="60"/>
              <w:rPr>
                <w:sz w:val="18"/>
                <w:szCs w:val="18"/>
                <w:lang w:val="en-GB"/>
              </w:rPr>
            </w:pPr>
            <w:r w:rsidRPr="00EE43C6">
              <w:rPr>
                <w:sz w:val="18"/>
                <w:szCs w:val="18"/>
                <w:lang w:val="en-GB"/>
              </w:rPr>
              <w:t>ESS9: Financial Intermediaries</w:t>
            </w:r>
          </w:p>
        </w:tc>
        <w:tc>
          <w:tcPr>
            <w:tcW w:w="0" w:type="auto"/>
          </w:tcPr>
          <w:p w14:paraId="67B69469" w14:textId="77777777" w:rsidR="00160CD9" w:rsidRPr="00EE43C6" w:rsidRDefault="00160CD9" w:rsidP="00CE3B94">
            <w:pPr>
              <w:pStyle w:val="Default"/>
              <w:spacing w:before="60" w:after="60"/>
              <w:rPr>
                <w:sz w:val="18"/>
                <w:szCs w:val="18"/>
                <w:lang w:val="en-GB"/>
              </w:rPr>
            </w:pPr>
            <w:r w:rsidRPr="00EE43C6">
              <w:rPr>
                <w:sz w:val="18"/>
                <w:szCs w:val="18"/>
                <w:lang w:val="en-GB"/>
              </w:rPr>
              <w:t>OP/BP 4.01 (Environmental Assessment)</w:t>
            </w:r>
          </w:p>
        </w:tc>
      </w:tr>
      <w:tr w:rsidR="00160CD9" w:rsidRPr="00EE43C6" w14:paraId="37E7446F" w14:textId="32CB7ADC" w:rsidTr="0004338C">
        <w:tc>
          <w:tcPr>
            <w:tcW w:w="0" w:type="auto"/>
          </w:tcPr>
          <w:p w14:paraId="5995BB9B" w14:textId="77777777" w:rsidR="00160CD9" w:rsidRPr="00EE43C6" w:rsidRDefault="00160CD9" w:rsidP="00CE3B94">
            <w:pPr>
              <w:pStyle w:val="Default"/>
              <w:spacing w:before="60" w:after="60"/>
              <w:rPr>
                <w:sz w:val="18"/>
                <w:szCs w:val="18"/>
                <w:lang w:val="en-GB"/>
              </w:rPr>
            </w:pPr>
            <w:r w:rsidRPr="00EE43C6">
              <w:rPr>
                <w:sz w:val="18"/>
                <w:szCs w:val="18"/>
                <w:lang w:val="en-GB"/>
              </w:rPr>
              <w:t>ESS10: Stakeholder Engagement and Information Disclosure</w:t>
            </w:r>
          </w:p>
        </w:tc>
        <w:tc>
          <w:tcPr>
            <w:tcW w:w="0" w:type="auto"/>
          </w:tcPr>
          <w:p w14:paraId="604AFD60" w14:textId="77777777" w:rsidR="00160CD9" w:rsidRPr="00EE43C6" w:rsidRDefault="00160CD9" w:rsidP="00CE3B94">
            <w:pPr>
              <w:pStyle w:val="Default"/>
              <w:spacing w:before="60" w:after="60"/>
              <w:rPr>
                <w:sz w:val="18"/>
                <w:szCs w:val="18"/>
                <w:lang w:val="en-GB"/>
              </w:rPr>
            </w:pPr>
            <w:r w:rsidRPr="00EE43C6">
              <w:rPr>
                <w:sz w:val="18"/>
                <w:szCs w:val="18"/>
                <w:lang w:val="en-GB"/>
              </w:rPr>
              <w:t>Consolidates WB engagement provisions</w:t>
            </w:r>
          </w:p>
        </w:tc>
      </w:tr>
    </w:tbl>
    <w:p w14:paraId="5AA29043" w14:textId="12C6B341" w:rsidR="0087715E" w:rsidRPr="00EE43C6" w:rsidRDefault="0087715E" w:rsidP="004E05A7">
      <w:pPr>
        <w:rPr>
          <w:szCs w:val="20"/>
          <w:lang w:eastAsia="en-GB"/>
        </w:rPr>
      </w:pPr>
      <w:r w:rsidRPr="00EE43C6">
        <w:rPr>
          <w:szCs w:val="20"/>
          <w:lang w:eastAsia="en-GB"/>
        </w:rPr>
        <w:t>The Project and the social and environmental elements in the Area of influence (AoI) of the Project include elements or activities that are related to the scope of ESS1,</w:t>
      </w:r>
      <w:r w:rsidR="00DB74E6" w:rsidRPr="00EE43C6">
        <w:rPr>
          <w:szCs w:val="20"/>
          <w:lang w:eastAsia="en-GB"/>
        </w:rPr>
        <w:t xml:space="preserve"> ESS2, ESS3, ESS4, ESS5, ESS6 and ESS10.</w:t>
      </w:r>
      <w:r w:rsidR="00ED0AEB" w:rsidRPr="00EE43C6">
        <w:rPr>
          <w:szCs w:val="20"/>
          <w:lang w:eastAsia="en-GB"/>
        </w:rPr>
        <w:t xml:space="preserve"> </w:t>
      </w:r>
      <w:r w:rsidR="00354ED0" w:rsidRPr="00EE43C6">
        <w:rPr>
          <w:szCs w:val="20"/>
          <w:lang w:eastAsia="en-GB"/>
        </w:rPr>
        <w:t>The main objectives of these standards within the scope of the Project are presented below.</w:t>
      </w:r>
    </w:p>
    <w:p w14:paraId="182A9264" w14:textId="5E6D3418" w:rsidR="004E05A7" w:rsidRPr="00EE43C6" w:rsidRDefault="004E05A7" w:rsidP="004E05A7">
      <w:pPr>
        <w:rPr>
          <w:szCs w:val="20"/>
          <w:u w:val="single"/>
          <w:lang w:eastAsia="en-GB"/>
        </w:rPr>
      </w:pPr>
      <w:r w:rsidRPr="00EE43C6">
        <w:rPr>
          <w:szCs w:val="20"/>
          <w:u w:val="single"/>
          <w:lang w:eastAsia="en-GB"/>
        </w:rPr>
        <w:t>ESS 1: Assessment and Management of Environmental and Social Risks and Impacts</w:t>
      </w:r>
    </w:p>
    <w:p w14:paraId="1597E0E6" w14:textId="1118E1C1" w:rsidR="004E05A7" w:rsidRPr="00EE43C6" w:rsidRDefault="004E05A7" w:rsidP="004E05A7">
      <w:pPr>
        <w:rPr>
          <w:szCs w:val="20"/>
          <w:lang w:eastAsia="en-GB"/>
        </w:rPr>
      </w:pPr>
      <w:r w:rsidRPr="00EE43C6">
        <w:rPr>
          <w:szCs w:val="20"/>
          <w:lang w:eastAsia="en-GB"/>
        </w:rPr>
        <w:t xml:space="preserve">The main objective of this standard is to identify, evaluate and manage the environment and social risks and impacts of the project in a manner consistent with the ESSs and to adopt a mitigation hierarchy approach to avoid, minimize, </w:t>
      </w:r>
      <w:r w:rsidR="006B301C" w:rsidRPr="00EE43C6">
        <w:rPr>
          <w:szCs w:val="20"/>
          <w:lang w:eastAsia="en-GB"/>
        </w:rPr>
        <w:t>mitigate,</w:t>
      </w:r>
      <w:r w:rsidRPr="00EE43C6">
        <w:rPr>
          <w:szCs w:val="20"/>
          <w:lang w:eastAsia="en-GB"/>
        </w:rPr>
        <w:t xml:space="preserve"> and compensate the environmental and social risks.</w:t>
      </w:r>
    </w:p>
    <w:p w14:paraId="24FF0A57" w14:textId="7595C36E" w:rsidR="00AE22A5" w:rsidRPr="00EE43C6" w:rsidRDefault="00AE22A5" w:rsidP="3C3DFBEF">
      <w:pPr>
        <w:rPr>
          <w:lang w:eastAsia="en-GB"/>
        </w:rPr>
      </w:pPr>
      <w:r w:rsidRPr="2DB09FEA">
        <w:rPr>
          <w:lang w:eastAsia="en-GB"/>
        </w:rPr>
        <w:t xml:space="preserve">In this context, </w:t>
      </w:r>
      <w:r w:rsidR="00223333" w:rsidRPr="2DB09FEA">
        <w:rPr>
          <w:lang w:eastAsia="en-GB"/>
        </w:rPr>
        <w:t>according to E&amp;S Screening report, Environmental and social risks are determined within the scope of the WB ESSs and ESMF of the Project. The overall environmental and social risk of the subproject were rated in “Moderate” risk group</w:t>
      </w:r>
      <w:r w:rsidR="00CD71D4" w:rsidRPr="2DB09FEA">
        <w:rPr>
          <w:lang w:eastAsia="en-GB"/>
        </w:rPr>
        <w:t xml:space="preserve">. </w:t>
      </w:r>
      <w:r w:rsidRPr="2DB09FEA">
        <w:rPr>
          <w:lang w:eastAsia="en-GB"/>
        </w:rPr>
        <w:t>Sub-project specific Environmental and social assessment studies regarding ESMP will be prepared in line with ESS1</w:t>
      </w:r>
      <w:r w:rsidR="002A78FC" w:rsidRPr="2DB09FEA">
        <w:rPr>
          <w:lang w:eastAsia="en-GB"/>
        </w:rPr>
        <w:t>.</w:t>
      </w:r>
      <w:r w:rsidR="0016741F" w:rsidRPr="2DB09FEA">
        <w:rPr>
          <w:lang w:eastAsia="en-GB"/>
        </w:rPr>
        <w:t xml:space="preserve"> </w:t>
      </w:r>
      <w:r w:rsidR="001D2DA8" w:rsidRPr="2DB09FEA">
        <w:rPr>
          <w:lang w:eastAsia="en-GB"/>
        </w:rPr>
        <w:t xml:space="preserve">An Ex-Post Social Assessment (EPSA) report will be prepared to examine land acquisition </w:t>
      </w:r>
      <w:r w:rsidR="02D6BA29" w:rsidRPr="2DB09FEA">
        <w:rPr>
          <w:lang w:eastAsia="en-GB"/>
        </w:rPr>
        <w:t xml:space="preserve">process and </w:t>
      </w:r>
      <w:r w:rsidR="001D2DA8" w:rsidRPr="2DB09FEA">
        <w:rPr>
          <w:lang w:eastAsia="en-GB"/>
        </w:rPr>
        <w:t xml:space="preserve">impacts retrospectively. </w:t>
      </w:r>
      <w:r w:rsidR="0016741F" w:rsidRPr="2DB09FEA">
        <w:rPr>
          <w:rFonts w:eastAsia="Cambria"/>
        </w:rPr>
        <w:t xml:space="preserve">As part of the mitigation measures, management plans </w:t>
      </w:r>
      <w:r w:rsidR="0016741F">
        <w:t xml:space="preserve">and procedures </w:t>
      </w:r>
      <w:r w:rsidR="0016741F" w:rsidRPr="2DB09FEA">
        <w:rPr>
          <w:rFonts w:eastAsia="Cambria"/>
        </w:rPr>
        <w:t>on different subjects should be developed. A list of recommended management plans for both phases of the Project are presented below;</w:t>
      </w:r>
    </w:p>
    <w:p w14:paraId="3655318C" w14:textId="77777777" w:rsidR="00E67C71" w:rsidRDefault="00E67C71">
      <w:pPr>
        <w:spacing w:before="0" w:after="200" w:line="276" w:lineRule="auto"/>
        <w:jc w:val="left"/>
        <w:rPr>
          <w:rFonts w:eastAsia="Cambria"/>
        </w:rPr>
      </w:pPr>
      <w:r>
        <w:rPr>
          <w:rFonts w:eastAsia="Cambria"/>
        </w:rPr>
        <w:br w:type="page"/>
      </w:r>
    </w:p>
    <w:p w14:paraId="1A995D6B" w14:textId="0D41F4B3" w:rsidR="00BA2031" w:rsidRPr="00EE43C6" w:rsidRDefault="00BA2031" w:rsidP="00BA2031">
      <w:pPr>
        <w:rPr>
          <w:rFonts w:eastAsia="Cambria"/>
        </w:rPr>
      </w:pPr>
      <w:r w:rsidRPr="00EE43C6">
        <w:rPr>
          <w:rFonts w:eastAsia="Cambria"/>
        </w:rPr>
        <w:lastRenderedPageBreak/>
        <w:t>Construction Phase;</w:t>
      </w:r>
    </w:p>
    <w:p w14:paraId="08A19DA1" w14:textId="77777777" w:rsidR="00BA2031" w:rsidRPr="00EE43C6" w:rsidRDefault="00BA2031" w:rsidP="00E67C71">
      <w:pPr>
        <w:pStyle w:val="ListParagraph"/>
        <w:numPr>
          <w:ilvl w:val="0"/>
          <w:numId w:val="65"/>
        </w:numPr>
      </w:pPr>
      <w:r w:rsidRPr="00EE43C6">
        <w:t>Waste Management Plan,</w:t>
      </w:r>
    </w:p>
    <w:p w14:paraId="3B28CF1A" w14:textId="77777777" w:rsidR="00BA2031" w:rsidRPr="00EE43C6" w:rsidRDefault="00BA2031" w:rsidP="00E67C71">
      <w:pPr>
        <w:pStyle w:val="ListParagraph"/>
        <w:numPr>
          <w:ilvl w:val="0"/>
          <w:numId w:val="65"/>
        </w:numPr>
      </w:pPr>
      <w:r w:rsidRPr="00EE43C6">
        <w:t>Soil Management Plan,</w:t>
      </w:r>
    </w:p>
    <w:p w14:paraId="279DF954" w14:textId="77777777" w:rsidR="00BA2031" w:rsidRPr="00EE43C6" w:rsidRDefault="00BA2031" w:rsidP="00E67C71">
      <w:pPr>
        <w:pStyle w:val="ListParagraph"/>
        <w:numPr>
          <w:ilvl w:val="0"/>
          <w:numId w:val="65"/>
        </w:numPr>
      </w:pPr>
      <w:r w:rsidRPr="00EE43C6">
        <w:t>Dust Management Plan,</w:t>
      </w:r>
    </w:p>
    <w:p w14:paraId="7272E008" w14:textId="77777777" w:rsidR="00BA2031" w:rsidRPr="00EE43C6" w:rsidRDefault="00BA2031" w:rsidP="00E67C71">
      <w:pPr>
        <w:pStyle w:val="ListParagraph"/>
        <w:numPr>
          <w:ilvl w:val="0"/>
          <w:numId w:val="65"/>
        </w:numPr>
      </w:pPr>
      <w:r w:rsidRPr="00EE43C6">
        <w:t>Noise Management Plan,</w:t>
      </w:r>
    </w:p>
    <w:p w14:paraId="55BC7229" w14:textId="77777777" w:rsidR="00BA2031" w:rsidRPr="00EE43C6" w:rsidRDefault="00BA2031" w:rsidP="00E67C71">
      <w:pPr>
        <w:pStyle w:val="ListParagraph"/>
        <w:numPr>
          <w:ilvl w:val="0"/>
          <w:numId w:val="65"/>
        </w:numPr>
      </w:pPr>
      <w:r w:rsidRPr="00EE43C6">
        <w:t>Transport and Traffic Management Plan,</w:t>
      </w:r>
    </w:p>
    <w:p w14:paraId="39746FDA" w14:textId="77777777" w:rsidR="00BA2031" w:rsidRPr="00EE43C6" w:rsidRDefault="00BA2031" w:rsidP="00E67C71">
      <w:pPr>
        <w:pStyle w:val="ListParagraph"/>
        <w:numPr>
          <w:ilvl w:val="0"/>
          <w:numId w:val="65"/>
        </w:numPr>
      </w:pPr>
      <w:r w:rsidRPr="00EE43C6">
        <w:t>Chemical Spill Emergency Management Plan,</w:t>
      </w:r>
    </w:p>
    <w:p w14:paraId="42F3D9AF" w14:textId="77777777" w:rsidR="00BA2031" w:rsidRPr="00EE43C6" w:rsidRDefault="00BA2031" w:rsidP="00E67C71">
      <w:pPr>
        <w:pStyle w:val="ListParagraph"/>
        <w:numPr>
          <w:ilvl w:val="0"/>
          <w:numId w:val="65"/>
        </w:numPr>
      </w:pPr>
      <w:r w:rsidRPr="00EE43C6">
        <w:t>Pollution Prevention Plan,</w:t>
      </w:r>
    </w:p>
    <w:p w14:paraId="1FF2E019" w14:textId="77777777" w:rsidR="00BA2031" w:rsidRPr="00EE43C6" w:rsidRDefault="00BA2031" w:rsidP="00E67C71">
      <w:pPr>
        <w:pStyle w:val="ListParagraph"/>
        <w:numPr>
          <w:ilvl w:val="0"/>
          <w:numId w:val="65"/>
        </w:numPr>
      </w:pPr>
      <w:r w:rsidRPr="00EE43C6">
        <w:t>Occupational Health and Safety Management Plan,</w:t>
      </w:r>
    </w:p>
    <w:p w14:paraId="438BEA89" w14:textId="77777777" w:rsidR="00BA2031" w:rsidRPr="00EE43C6" w:rsidRDefault="00BA2031" w:rsidP="00E67C71">
      <w:pPr>
        <w:pStyle w:val="ListParagraph"/>
        <w:numPr>
          <w:ilvl w:val="0"/>
          <w:numId w:val="65"/>
        </w:numPr>
      </w:pPr>
      <w:r w:rsidRPr="00EE43C6">
        <w:t>Emergency Preparedness and Response Plan,</w:t>
      </w:r>
    </w:p>
    <w:p w14:paraId="69B1603C" w14:textId="77777777" w:rsidR="00BA2031" w:rsidRPr="00EE43C6" w:rsidRDefault="00BA2031" w:rsidP="00E67C71">
      <w:pPr>
        <w:pStyle w:val="ListParagraph"/>
        <w:numPr>
          <w:ilvl w:val="0"/>
          <w:numId w:val="65"/>
        </w:numPr>
      </w:pPr>
      <w:r w:rsidRPr="00EE43C6">
        <w:t>Community Health, Safety, and Security Management Plan,</w:t>
      </w:r>
    </w:p>
    <w:p w14:paraId="54C5CF2A" w14:textId="77777777" w:rsidR="00BA2031" w:rsidRPr="00EE43C6" w:rsidRDefault="00BA2031" w:rsidP="00E67C71">
      <w:pPr>
        <w:pStyle w:val="ListParagraph"/>
        <w:numPr>
          <w:ilvl w:val="0"/>
          <w:numId w:val="65"/>
        </w:numPr>
      </w:pPr>
      <w:r w:rsidRPr="00EE43C6">
        <w:t>Labour Management Plan,</w:t>
      </w:r>
    </w:p>
    <w:p w14:paraId="43A95147" w14:textId="77777777" w:rsidR="00BA2031" w:rsidRPr="00EE43C6" w:rsidRDefault="00BA2031" w:rsidP="00E67C71">
      <w:pPr>
        <w:pStyle w:val="ListParagraph"/>
        <w:numPr>
          <w:ilvl w:val="0"/>
          <w:numId w:val="65"/>
        </w:numPr>
      </w:pPr>
      <w:r w:rsidRPr="00EE43C6">
        <w:t>Stakeholder Engagement Plan,</w:t>
      </w:r>
    </w:p>
    <w:p w14:paraId="519FF486" w14:textId="77777777" w:rsidR="00BA2031" w:rsidRPr="00EE43C6" w:rsidRDefault="00BA2031" w:rsidP="00E67C71">
      <w:pPr>
        <w:pStyle w:val="ListParagraph"/>
        <w:numPr>
          <w:ilvl w:val="0"/>
          <w:numId w:val="65"/>
        </w:numPr>
      </w:pPr>
      <w:r w:rsidRPr="00EE43C6">
        <w:t>Contractor Management Plan.</w:t>
      </w:r>
    </w:p>
    <w:p w14:paraId="00748975" w14:textId="77777777" w:rsidR="00BA2031" w:rsidRPr="00EE43C6" w:rsidRDefault="00BA2031" w:rsidP="00BA2031">
      <w:pPr>
        <w:rPr>
          <w:rFonts w:eastAsia="Cambria"/>
        </w:rPr>
      </w:pPr>
      <w:r w:rsidRPr="00EE43C6">
        <w:rPr>
          <w:rFonts w:eastAsia="Cambria"/>
        </w:rPr>
        <w:t>Operation Phase;</w:t>
      </w:r>
    </w:p>
    <w:p w14:paraId="11C9F9A4" w14:textId="77777777" w:rsidR="00BA2031" w:rsidRDefault="00BA2031" w:rsidP="00E67C71">
      <w:pPr>
        <w:pStyle w:val="ListParagraph"/>
        <w:numPr>
          <w:ilvl w:val="0"/>
          <w:numId w:val="65"/>
        </w:numPr>
      </w:pPr>
      <w:r w:rsidRPr="00EE43C6">
        <w:t>Waste Management Plan,</w:t>
      </w:r>
    </w:p>
    <w:p w14:paraId="4287D660" w14:textId="77777777" w:rsidR="006A5AD2" w:rsidRDefault="006A5AD2" w:rsidP="00E67C71">
      <w:pPr>
        <w:pStyle w:val="ListParagraph"/>
        <w:numPr>
          <w:ilvl w:val="0"/>
          <w:numId w:val="65"/>
        </w:numPr>
      </w:pPr>
      <w:r w:rsidRPr="00EE43C6">
        <w:t>Effluent Management Plan,</w:t>
      </w:r>
    </w:p>
    <w:p w14:paraId="40241008" w14:textId="4E59AE6F" w:rsidR="006A5AD2" w:rsidRDefault="006A5AD2" w:rsidP="00E67C71">
      <w:pPr>
        <w:pStyle w:val="ListParagraph"/>
        <w:numPr>
          <w:ilvl w:val="0"/>
          <w:numId w:val="65"/>
        </w:numPr>
      </w:pPr>
      <w:r>
        <w:t>Odour Management Plan,</w:t>
      </w:r>
    </w:p>
    <w:p w14:paraId="29957E31" w14:textId="470B1B7B" w:rsidR="009D4FD2" w:rsidRPr="00EE43C6" w:rsidRDefault="009D4FD2" w:rsidP="00E67C71">
      <w:pPr>
        <w:pStyle w:val="ListParagraph"/>
        <w:numPr>
          <w:ilvl w:val="0"/>
          <w:numId w:val="65"/>
        </w:numPr>
      </w:pPr>
      <w:r w:rsidRPr="009D4FD2">
        <w:t>Sludge Management Plan</w:t>
      </w:r>
      <w:r>
        <w:t>,</w:t>
      </w:r>
    </w:p>
    <w:p w14:paraId="0C7ABB89" w14:textId="77777777" w:rsidR="00BA2031" w:rsidRPr="00EE43C6" w:rsidRDefault="00BA2031" w:rsidP="00E67C71">
      <w:pPr>
        <w:pStyle w:val="ListParagraph"/>
        <w:numPr>
          <w:ilvl w:val="0"/>
          <w:numId w:val="65"/>
        </w:numPr>
      </w:pPr>
      <w:r w:rsidRPr="00EE43C6">
        <w:t>Sustainable Water Management Plan,</w:t>
      </w:r>
    </w:p>
    <w:p w14:paraId="5B79232A" w14:textId="77777777" w:rsidR="00BA2031" w:rsidRPr="00EE43C6" w:rsidRDefault="00BA2031" w:rsidP="00E67C71">
      <w:pPr>
        <w:pStyle w:val="ListParagraph"/>
        <w:numPr>
          <w:ilvl w:val="0"/>
          <w:numId w:val="65"/>
        </w:numPr>
      </w:pPr>
      <w:r w:rsidRPr="00EE43C6">
        <w:t>Transport and Traffic Management Plan,</w:t>
      </w:r>
    </w:p>
    <w:p w14:paraId="5146E0C7" w14:textId="77777777" w:rsidR="00BA2031" w:rsidRPr="00EE43C6" w:rsidRDefault="00BA2031" w:rsidP="00E67C71">
      <w:pPr>
        <w:pStyle w:val="ListParagraph"/>
        <w:numPr>
          <w:ilvl w:val="0"/>
          <w:numId w:val="65"/>
        </w:numPr>
      </w:pPr>
      <w:r w:rsidRPr="00EE43C6">
        <w:t>Occupational Health and Safety Management Plan,</w:t>
      </w:r>
    </w:p>
    <w:p w14:paraId="272A24A3" w14:textId="77777777" w:rsidR="00BA2031" w:rsidRPr="00EE43C6" w:rsidRDefault="00BA2031" w:rsidP="00E67C71">
      <w:pPr>
        <w:pStyle w:val="ListParagraph"/>
        <w:numPr>
          <w:ilvl w:val="0"/>
          <w:numId w:val="65"/>
        </w:numPr>
      </w:pPr>
      <w:r w:rsidRPr="00EE43C6">
        <w:t>Emergency Preparedness and Response Plan,</w:t>
      </w:r>
    </w:p>
    <w:p w14:paraId="16CC3BBD" w14:textId="77777777" w:rsidR="00BA2031" w:rsidRPr="00EE43C6" w:rsidRDefault="00BA2031" w:rsidP="00E67C71">
      <w:pPr>
        <w:pStyle w:val="ListParagraph"/>
        <w:numPr>
          <w:ilvl w:val="0"/>
          <w:numId w:val="65"/>
        </w:numPr>
      </w:pPr>
      <w:r w:rsidRPr="00EE43C6">
        <w:t>Community Health, Safety, and Security Management Plan,</w:t>
      </w:r>
    </w:p>
    <w:p w14:paraId="71D4388A" w14:textId="55400834" w:rsidR="00005942" w:rsidRPr="00EE43C6" w:rsidRDefault="00E9125B" w:rsidP="00E67C71">
      <w:pPr>
        <w:pStyle w:val="ListParagraph"/>
        <w:numPr>
          <w:ilvl w:val="0"/>
          <w:numId w:val="65"/>
        </w:numPr>
      </w:pPr>
      <w:r w:rsidRPr="00EE43C6">
        <w:t>Labour</w:t>
      </w:r>
      <w:r w:rsidR="00BA2031" w:rsidRPr="00EE43C6">
        <w:t xml:space="preserve"> Management Plan,</w:t>
      </w:r>
    </w:p>
    <w:p w14:paraId="1308559B" w14:textId="65330859" w:rsidR="009E2172" w:rsidRPr="00EE43C6" w:rsidRDefault="00BA2031" w:rsidP="00E67C71">
      <w:pPr>
        <w:pStyle w:val="ListParagraph"/>
        <w:numPr>
          <w:ilvl w:val="0"/>
          <w:numId w:val="65"/>
        </w:numPr>
      </w:pPr>
      <w:r w:rsidRPr="00EE43C6">
        <w:t>Stakeholder Engagement Plan.</w:t>
      </w:r>
    </w:p>
    <w:p w14:paraId="1AEDEDFF" w14:textId="77AD02DF" w:rsidR="005B5DDE" w:rsidRPr="00EE43C6" w:rsidRDefault="005B5DDE" w:rsidP="005B5DDE">
      <w:pPr>
        <w:rPr>
          <w:szCs w:val="20"/>
          <w:u w:val="single"/>
          <w:lang w:eastAsia="en-GB"/>
        </w:rPr>
      </w:pPr>
      <w:r w:rsidRPr="00EE43C6">
        <w:rPr>
          <w:szCs w:val="20"/>
          <w:u w:val="single"/>
          <w:lang w:eastAsia="en-GB"/>
        </w:rPr>
        <w:t xml:space="preserve">ESS 2: </w:t>
      </w:r>
      <w:r w:rsidR="00186044" w:rsidRPr="00EE43C6">
        <w:rPr>
          <w:szCs w:val="20"/>
          <w:u w:val="single"/>
          <w:lang w:eastAsia="en-GB"/>
        </w:rPr>
        <w:t>Labour</w:t>
      </w:r>
      <w:r w:rsidRPr="00EE43C6">
        <w:rPr>
          <w:szCs w:val="20"/>
          <w:u w:val="single"/>
          <w:lang w:eastAsia="en-GB"/>
        </w:rPr>
        <w:t xml:space="preserve"> and Working Conditions</w:t>
      </w:r>
    </w:p>
    <w:p w14:paraId="349FEAE0" w14:textId="7CC0434A" w:rsidR="006B301C" w:rsidRPr="00EE43C6" w:rsidRDefault="005B5DDE" w:rsidP="005B5DDE">
      <w:pPr>
        <w:rPr>
          <w:szCs w:val="20"/>
          <w:lang w:eastAsia="en-GB"/>
        </w:rPr>
      </w:pPr>
      <w:r w:rsidRPr="00EE43C6">
        <w:rPr>
          <w:szCs w:val="20"/>
          <w:lang w:eastAsia="en-GB"/>
        </w:rPr>
        <w:t xml:space="preserve">The main objective of this standard is to promote safety and health at work, to promote the fair treatment, non-discrimination and equal opportunity of project workers and to protect project workers, including vulnerable workers such as women, persons with disabilities, children (of working age, in accordance with this ESS) and migrant workers, contracted workers and primary supply workers, as appropriate and to prevent the use of all forms of forced </w:t>
      </w:r>
      <w:r w:rsidR="00FC5663" w:rsidRPr="00EE43C6">
        <w:rPr>
          <w:szCs w:val="20"/>
          <w:lang w:eastAsia="en-GB"/>
        </w:rPr>
        <w:t>labour</w:t>
      </w:r>
      <w:r w:rsidRPr="00EE43C6">
        <w:rPr>
          <w:szCs w:val="20"/>
          <w:lang w:eastAsia="en-GB"/>
        </w:rPr>
        <w:t xml:space="preserve"> and child </w:t>
      </w:r>
      <w:r w:rsidR="00186044" w:rsidRPr="00EE43C6">
        <w:rPr>
          <w:szCs w:val="20"/>
          <w:lang w:eastAsia="en-GB"/>
        </w:rPr>
        <w:t>labour</w:t>
      </w:r>
      <w:r w:rsidRPr="00EE43C6">
        <w:rPr>
          <w:szCs w:val="20"/>
          <w:lang w:eastAsia="en-GB"/>
        </w:rPr>
        <w:t>.</w:t>
      </w:r>
    </w:p>
    <w:p w14:paraId="52D42125" w14:textId="47644611" w:rsidR="00C946DA" w:rsidRPr="00EE43C6" w:rsidRDefault="00C946DA" w:rsidP="005B5DDE">
      <w:pPr>
        <w:rPr>
          <w:szCs w:val="20"/>
          <w:lang w:eastAsia="en-GB"/>
        </w:rPr>
      </w:pPr>
      <w:r w:rsidRPr="00EE43C6">
        <w:rPr>
          <w:szCs w:val="20"/>
          <w:lang w:eastAsia="en-GB"/>
        </w:rPr>
        <w:t>In this context,</w:t>
      </w:r>
      <w:r w:rsidR="00B81D0A" w:rsidRPr="00EE43C6">
        <w:rPr>
          <w:szCs w:val="20"/>
          <w:lang w:eastAsia="en-GB"/>
        </w:rPr>
        <w:t xml:space="preserve"> </w:t>
      </w:r>
      <w:r w:rsidR="00EC5460" w:rsidRPr="00EE43C6">
        <w:rPr>
          <w:szCs w:val="20"/>
          <w:lang w:eastAsia="en-GB"/>
        </w:rPr>
        <w:t xml:space="preserve">during the construction and </w:t>
      </w:r>
      <w:r w:rsidR="006E7404" w:rsidRPr="00EE43C6">
        <w:rPr>
          <w:szCs w:val="20"/>
          <w:lang w:eastAsia="en-GB"/>
        </w:rPr>
        <w:t>operation phases,</w:t>
      </w:r>
      <w:r w:rsidR="00EC5460" w:rsidRPr="00EE43C6">
        <w:rPr>
          <w:szCs w:val="20"/>
          <w:lang w:eastAsia="en-GB"/>
        </w:rPr>
        <w:t xml:space="preserve"> </w:t>
      </w:r>
      <w:r w:rsidR="00186044" w:rsidRPr="00EE43C6">
        <w:rPr>
          <w:szCs w:val="20"/>
          <w:lang w:eastAsia="en-GB"/>
        </w:rPr>
        <w:t>Labour</w:t>
      </w:r>
      <w:r w:rsidR="00B81D0A" w:rsidRPr="00EE43C6">
        <w:rPr>
          <w:szCs w:val="20"/>
          <w:lang w:eastAsia="en-GB"/>
        </w:rPr>
        <w:t xml:space="preserve"> Management P</w:t>
      </w:r>
      <w:r w:rsidR="006B3316" w:rsidRPr="00EE43C6">
        <w:rPr>
          <w:szCs w:val="20"/>
          <w:lang w:eastAsia="en-GB"/>
        </w:rPr>
        <w:t>lan</w:t>
      </w:r>
      <w:r w:rsidR="006E7404" w:rsidRPr="00EE43C6">
        <w:rPr>
          <w:szCs w:val="20"/>
          <w:lang w:eastAsia="en-GB"/>
        </w:rPr>
        <w:t>s</w:t>
      </w:r>
      <w:r w:rsidR="00B81D0A" w:rsidRPr="00EE43C6">
        <w:rPr>
          <w:szCs w:val="20"/>
          <w:lang w:eastAsia="en-GB"/>
        </w:rPr>
        <w:t xml:space="preserve"> (LMP)</w:t>
      </w:r>
      <w:r w:rsidR="006E7404" w:rsidRPr="00EE43C6">
        <w:rPr>
          <w:szCs w:val="20"/>
          <w:lang w:eastAsia="en-GB"/>
        </w:rPr>
        <w:t>s</w:t>
      </w:r>
      <w:r w:rsidR="00B81D0A" w:rsidRPr="00EE43C6">
        <w:rPr>
          <w:szCs w:val="20"/>
          <w:lang w:eastAsia="en-GB"/>
        </w:rPr>
        <w:t xml:space="preserve"> </w:t>
      </w:r>
      <w:r w:rsidR="00224F3C" w:rsidRPr="00EE43C6">
        <w:rPr>
          <w:szCs w:val="20"/>
          <w:lang w:eastAsia="en-GB"/>
        </w:rPr>
        <w:t>will be</w:t>
      </w:r>
      <w:r w:rsidR="00B81D0A" w:rsidRPr="00EE43C6">
        <w:rPr>
          <w:szCs w:val="20"/>
          <w:lang w:eastAsia="en-GB"/>
        </w:rPr>
        <w:t xml:space="preserve"> developed </w:t>
      </w:r>
      <w:r w:rsidR="00186044" w:rsidRPr="00EE43C6">
        <w:rPr>
          <w:szCs w:val="20"/>
          <w:lang w:eastAsia="en-GB"/>
        </w:rPr>
        <w:t xml:space="preserve">including GM, Code of Conduct (CoC) etc. stipulated by ESS2 </w:t>
      </w:r>
      <w:r w:rsidR="00B81D0A" w:rsidRPr="00EE43C6">
        <w:rPr>
          <w:szCs w:val="20"/>
          <w:lang w:eastAsia="en-GB"/>
        </w:rPr>
        <w:t>for providing guidance on the required mitigations or management implementations such as worker</w:t>
      </w:r>
      <w:r w:rsidR="006644CF" w:rsidRPr="00EE43C6">
        <w:rPr>
          <w:szCs w:val="20"/>
          <w:lang w:eastAsia="en-GB"/>
        </w:rPr>
        <w:t>s and employees</w:t>
      </w:r>
      <w:r w:rsidR="00B81D0A" w:rsidRPr="00EE43C6">
        <w:rPr>
          <w:szCs w:val="20"/>
          <w:lang w:eastAsia="en-GB"/>
        </w:rPr>
        <w:t>.</w:t>
      </w:r>
    </w:p>
    <w:p w14:paraId="140F0C34" w14:textId="6D017FDD" w:rsidR="00130B2F" w:rsidRPr="00EE43C6" w:rsidRDefault="00130B2F" w:rsidP="00130B2F">
      <w:pPr>
        <w:rPr>
          <w:szCs w:val="20"/>
          <w:u w:val="single"/>
          <w:lang w:eastAsia="en-GB"/>
        </w:rPr>
      </w:pPr>
      <w:r w:rsidRPr="00EE43C6">
        <w:rPr>
          <w:szCs w:val="20"/>
          <w:u w:val="single"/>
          <w:lang w:eastAsia="en-GB"/>
        </w:rPr>
        <w:lastRenderedPageBreak/>
        <w:t>ESS</w:t>
      </w:r>
      <w:r w:rsidR="00D21499" w:rsidRPr="00EE43C6">
        <w:rPr>
          <w:szCs w:val="20"/>
          <w:u w:val="single"/>
          <w:lang w:eastAsia="en-GB"/>
        </w:rPr>
        <w:t xml:space="preserve"> </w:t>
      </w:r>
      <w:r w:rsidRPr="00EE43C6">
        <w:rPr>
          <w:szCs w:val="20"/>
          <w:u w:val="single"/>
          <w:lang w:eastAsia="en-GB"/>
        </w:rPr>
        <w:t>3: Resource Efficiency and Pollution Prevention and Management</w:t>
      </w:r>
    </w:p>
    <w:p w14:paraId="0CA0FC73" w14:textId="09B22BC7" w:rsidR="00130B2F" w:rsidRPr="00EE43C6" w:rsidRDefault="00130B2F" w:rsidP="00130B2F">
      <w:pPr>
        <w:rPr>
          <w:szCs w:val="20"/>
          <w:lang w:eastAsia="en-GB"/>
        </w:rPr>
      </w:pPr>
      <w:r w:rsidRPr="00EE43C6">
        <w:rPr>
          <w:szCs w:val="20"/>
          <w:lang w:eastAsia="en-GB"/>
        </w:rPr>
        <w:t>The main objective of this standard is to avoid or minimize adverse impacts on human health and the environment by avoiding or minimizing pollution from project activities, to avoid or minimize project-related emissions of short and long-lived climate pollutants</w:t>
      </w:r>
      <w:r w:rsidR="00280620" w:rsidRPr="00EE43C6">
        <w:rPr>
          <w:szCs w:val="20"/>
          <w:lang w:eastAsia="en-GB"/>
        </w:rPr>
        <w:t xml:space="preserve"> </w:t>
      </w:r>
      <w:r w:rsidRPr="00EE43C6">
        <w:rPr>
          <w:szCs w:val="20"/>
          <w:lang w:eastAsia="en-GB"/>
        </w:rPr>
        <w:t>to avoid or minimize generation of hazardous and non-hazardous waste to minimize and manage the risks and impacts associated with pesticide use.</w:t>
      </w:r>
    </w:p>
    <w:p w14:paraId="1E2DFD78" w14:textId="22A02866" w:rsidR="009C2D06" w:rsidRPr="00EE43C6" w:rsidRDefault="00FD7C3A" w:rsidP="00130B2F">
      <w:pPr>
        <w:rPr>
          <w:szCs w:val="20"/>
          <w:lang w:eastAsia="en-GB"/>
        </w:rPr>
      </w:pPr>
      <w:bookmarkStart w:id="184" w:name="_Hlk129594240"/>
      <w:r w:rsidRPr="00EE43C6">
        <w:rPr>
          <w:szCs w:val="20"/>
          <w:lang w:eastAsia="en-GB"/>
        </w:rPr>
        <w:t>In this context,</w:t>
      </w:r>
      <w:r w:rsidR="00A3228F" w:rsidRPr="00EE43C6">
        <w:rPr>
          <w:szCs w:val="20"/>
          <w:lang w:eastAsia="en-GB"/>
        </w:rPr>
        <w:t xml:space="preserve"> </w:t>
      </w:r>
      <w:bookmarkEnd w:id="184"/>
      <w:r w:rsidR="009C2D06" w:rsidRPr="00EE43C6">
        <w:rPr>
          <w:szCs w:val="20"/>
          <w:lang w:eastAsia="en-GB"/>
        </w:rPr>
        <w:t>during the construction</w:t>
      </w:r>
      <w:r w:rsidR="00ED3803" w:rsidRPr="00EE43C6">
        <w:rPr>
          <w:szCs w:val="20"/>
          <w:lang w:eastAsia="en-GB"/>
        </w:rPr>
        <w:t xml:space="preserve"> </w:t>
      </w:r>
      <w:r w:rsidR="009C2D06" w:rsidRPr="00EE43C6">
        <w:rPr>
          <w:szCs w:val="20"/>
          <w:lang w:eastAsia="en-GB"/>
        </w:rPr>
        <w:t>phase</w:t>
      </w:r>
      <w:r w:rsidR="00ED3803" w:rsidRPr="00EE43C6">
        <w:rPr>
          <w:szCs w:val="20"/>
          <w:lang w:eastAsia="en-GB"/>
        </w:rPr>
        <w:t>,</w:t>
      </w:r>
      <w:r w:rsidR="009C2D06" w:rsidRPr="00EE43C6">
        <w:rPr>
          <w:szCs w:val="20"/>
          <w:lang w:eastAsia="en-GB"/>
        </w:rPr>
        <w:t xml:space="preserve"> </w:t>
      </w:r>
      <w:r w:rsidR="00A3228F" w:rsidRPr="00EE43C6">
        <w:rPr>
          <w:szCs w:val="20"/>
          <w:lang w:eastAsia="en-GB"/>
        </w:rPr>
        <w:t xml:space="preserve">sub-management plans of the Project </w:t>
      </w:r>
      <w:r w:rsidR="00711B74" w:rsidRPr="00EE43C6">
        <w:rPr>
          <w:szCs w:val="20"/>
          <w:lang w:eastAsia="en-GB"/>
        </w:rPr>
        <w:t>including Waste Management Plan, Soil Management Plan, Dust Management Plan, Noise Management Plan, Chemical Spill Emergency Management Plan, Pollution Prevention Plan</w:t>
      </w:r>
      <w:r w:rsidR="008B51CB" w:rsidRPr="00EE43C6">
        <w:rPr>
          <w:szCs w:val="20"/>
          <w:lang w:eastAsia="en-GB"/>
        </w:rPr>
        <w:t xml:space="preserve"> will be developed </w:t>
      </w:r>
      <w:r w:rsidR="009D5D2A" w:rsidRPr="00EE43C6">
        <w:rPr>
          <w:szCs w:val="20"/>
          <w:lang w:eastAsia="en-GB"/>
        </w:rPr>
        <w:t>as a part of ESMP.</w:t>
      </w:r>
    </w:p>
    <w:p w14:paraId="05C536A4" w14:textId="53A66E31" w:rsidR="00FD7C3A" w:rsidRPr="00EE43C6" w:rsidRDefault="009D5D2A" w:rsidP="00130B2F">
      <w:pPr>
        <w:rPr>
          <w:szCs w:val="20"/>
          <w:lang w:eastAsia="en-GB"/>
        </w:rPr>
      </w:pPr>
      <w:r w:rsidRPr="00EE43C6">
        <w:rPr>
          <w:szCs w:val="20"/>
          <w:lang w:eastAsia="en-GB"/>
        </w:rPr>
        <w:t>On the other hand,</w:t>
      </w:r>
      <w:r w:rsidR="00711B74" w:rsidRPr="00EE43C6">
        <w:rPr>
          <w:szCs w:val="20"/>
          <w:lang w:eastAsia="en-GB"/>
        </w:rPr>
        <w:t xml:space="preserve"> </w:t>
      </w:r>
      <w:r w:rsidR="009C2D06" w:rsidRPr="00EE43C6">
        <w:rPr>
          <w:szCs w:val="20"/>
          <w:lang w:eastAsia="en-GB"/>
        </w:rPr>
        <w:t>Waste Management Plan</w:t>
      </w:r>
      <w:r w:rsidR="00DB0825">
        <w:rPr>
          <w:szCs w:val="20"/>
          <w:lang w:eastAsia="en-GB"/>
        </w:rPr>
        <w:t xml:space="preserve">, </w:t>
      </w:r>
      <w:r w:rsidR="00DB0825" w:rsidRPr="00DB0825">
        <w:rPr>
          <w:szCs w:val="20"/>
          <w:lang w:eastAsia="en-GB"/>
        </w:rPr>
        <w:t>Effluent Management Plan, Odour Management Plan,</w:t>
      </w:r>
      <w:r w:rsidR="009C2D06" w:rsidRPr="00EE43C6">
        <w:rPr>
          <w:szCs w:val="20"/>
          <w:lang w:eastAsia="en-GB"/>
        </w:rPr>
        <w:t xml:space="preserve"> </w:t>
      </w:r>
      <w:r w:rsidR="009D4FD2" w:rsidRPr="009D4FD2">
        <w:rPr>
          <w:szCs w:val="20"/>
          <w:lang w:eastAsia="en-GB"/>
        </w:rPr>
        <w:t>Sludge Management Plan</w:t>
      </w:r>
      <w:r w:rsidR="009D4FD2">
        <w:rPr>
          <w:szCs w:val="20"/>
          <w:lang w:eastAsia="en-GB"/>
        </w:rPr>
        <w:t xml:space="preserve">, </w:t>
      </w:r>
      <w:r w:rsidR="00711B74" w:rsidRPr="00EE43C6">
        <w:rPr>
          <w:szCs w:val="20"/>
          <w:lang w:eastAsia="en-GB"/>
        </w:rPr>
        <w:t xml:space="preserve">and Sustainable Water Management Plan </w:t>
      </w:r>
      <w:r w:rsidR="00A3228F" w:rsidRPr="00EE43C6">
        <w:rPr>
          <w:szCs w:val="20"/>
          <w:lang w:eastAsia="en-GB"/>
        </w:rPr>
        <w:t xml:space="preserve">will be developed </w:t>
      </w:r>
      <w:r w:rsidR="00A30DC7" w:rsidRPr="00EE43C6">
        <w:rPr>
          <w:szCs w:val="20"/>
          <w:lang w:eastAsia="en-GB"/>
        </w:rPr>
        <w:t xml:space="preserve">throughout the operation phase of the Project </w:t>
      </w:r>
      <w:r w:rsidR="000C660C" w:rsidRPr="00EE43C6">
        <w:rPr>
          <w:szCs w:val="20"/>
          <w:lang w:eastAsia="en-GB"/>
        </w:rPr>
        <w:t xml:space="preserve">within the scope </w:t>
      </w:r>
      <w:r w:rsidR="00A3228F" w:rsidRPr="00EE43C6">
        <w:rPr>
          <w:szCs w:val="20"/>
          <w:lang w:eastAsia="en-GB"/>
        </w:rPr>
        <w:t>of ESMP</w:t>
      </w:r>
      <w:r w:rsidR="00A86EC7" w:rsidRPr="00EE43C6">
        <w:rPr>
          <w:szCs w:val="20"/>
          <w:lang w:eastAsia="en-GB"/>
        </w:rPr>
        <w:t>.</w:t>
      </w:r>
    </w:p>
    <w:p w14:paraId="6513C8D4" w14:textId="0C35716E" w:rsidR="0087715E" w:rsidRPr="00EE43C6" w:rsidRDefault="0087715E" w:rsidP="0087715E">
      <w:pPr>
        <w:rPr>
          <w:szCs w:val="20"/>
          <w:u w:val="single"/>
          <w:lang w:eastAsia="en-GB"/>
        </w:rPr>
      </w:pPr>
      <w:r w:rsidRPr="00EE43C6">
        <w:rPr>
          <w:szCs w:val="20"/>
          <w:u w:val="single"/>
          <w:lang w:eastAsia="en-GB"/>
        </w:rPr>
        <w:t>ESS</w:t>
      </w:r>
      <w:r w:rsidR="00D21499" w:rsidRPr="00EE43C6">
        <w:rPr>
          <w:szCs w:val="20"/>
          <w:u w:val="single"/>
          <w:lang w:eastAsia="en-GB"/>
        </w:rPr>
        <w:t xml:space="preserve"> </w:t>
      </w:r>
      <w:r w:rsidRPr="00EE43C6">
        <w:rPr>
          <w:szCs w:val="20"/>
          <w:u w:val="single"/>
          <w:lang w:eastAsia="en-GB"/>
        </w:rPr>
        <w:t>4: Community Health and Safety</w:t>
      </w:r>
    </w:p>
    <w:p w14:paraId="1F040D33" w14:textId="484AA85C" w:rsidR="00130B2F" w:rsidRPr="00EE43C6" w:rsidRDefault="0087715E" w:rsidP="0087715E">
      <w:pPr>
        <w:rPr>
          <w:szCs w:val="20"/>
          <w:lang w:eastAsia="en-GB"/>
        </w:rPr>
      </w:pPr>
      <w:r w:rsidRPr="00EE43C6">
        <w:rPr>
          <w:szCs w:val="20"/>
          <w:lang w:eastAsia="en-GB"/>
        </w:rPr>
        <w:t>The main objectives of this standard is to anticipate and avoid adverse impacts on the health and safety of project-affected communities during the project life cycle from both routine and non-routine circumstance, to promote quality and safety, and considerations relating to climate change, in the design and construction of infrastructure ,including dams, to avoid or minimize community exposure to project-related traffic and road safety risks, diseases and hazardous materials, to have in place effective measures to address emergency events, to ensure that the safeguarding of personnel and property is carried out in a manner that avoids or minimizes risks to the project-affected communities.</w:t>
      </w:r>
    </w:p>
    <w:p w14:paraId="08BDEDE1" w14:textId="626B1147" w:rsidR="00C47F3E" w:rsidRPr="00EE43C6" w:rsidRDefault="00C47F3E" w:rsidP="0087715E">
      <w:pPr>
        <w:rPr>
          <w:szCs w:val="20"/>
          <w:lang w:eastAsia="en-GB"/>
        </w:rPr>
      </w:pPr>
      <w:r w:rsidRPr="00EE43C6">
        <w:rPr>
          <w:szCs w:val="20"/>
          <w:lang w:eastAsia="en-GB"/>
        </w:rPr>
        <w:t xml:space="preserve">In this context, </w:t>
      </w:r>
      <w:r w:rsidR="00B94EF8" w:rsidRPr="00EE43C6">
        <w:rPr>
          <w:szCs w:val="20"/>
          <w:lang w:eastAsia="en-GB"/>
        </w:rPr>
        <w:t>Community Health, Safety, and Security Management Plan</w:t>
      </w:r>
      <w:r w:rsidR="00375252" w:rsidRPr="00EE43C6">
        <w:rPr>
          <w:szCs w:val="20"/>
          <w:lang w:eastAsia="en-GB"/>
        </w:rPr>
        <w:t xml:space="preserve"> and Transport and Traffic Management Plan</w:t>
      </w:r>
      <w:r w:rsidR="001F3534" w:rsidRPr="00EE43C6">
        <w:rPr>
          <w:szCs w:val="20"/>
          <w:lang w:eastAsia="en-GB"/>
        </w:rPr>
        <w:t xml:space="preserve"> will be prepared as a part of ESMP</w:t>
      </w:r>
      <w:r w:rsidR="00643B9D" w:rsidRPr="00EE43C6">
        <w:rPr>
          <w:szCs w:val="20"/>
          <w:lang w:eastAsia="en-GB"/>
        </w:rPr>
        <w:t xml:space="preserve"> in line with ESS4</w:t>
      </w:r>
      <w:r w:rsidR="001F3534" w:rsidRPr="00EE43C6">
        <w:rPr>
          <w:szCs w:val="20"/>
          <w:lang w:eastAsia="en-GB"/>
        </w:rPr>
        <w:t>.</w:t>
      </w:r>
    </w:p>
    <w:p w14:paraId="6F8FD91A" w14:textId="3704211C" w:rsidR="0080612E" w:rsidRPr="00EE43C6" w:rsidRDefault="0080612E" w:rsidP="0080612E">
      <w:pPr>
        <w:rPr>
          <w:szCs w:val="20"/>
          <w:u w:val="single"/>
          <w:lang w:eastAsia="en-GB"/>
        </w:rPr>
      </w:pPr>
      <w:r w:rsidRPr="00EE43C6">
        <w:rPr>
          <w:szCs w:val="20"/>
          <w:u w:val="single"/>
          <w:lang w:eastAsia="en-GB"/>
        </w:rPr>
        <w:t>ESS5: Land Acquisition, Restrictions on Land</w:t>
      </w:r>
      <w:r w:rsidR="00330890" w:rsidRPr="00EE43C6">
        <w:rPr>
          <w:szCs w:val="20"/>
          <w:u w:val="single"/>
          <w:lang w:eastAsia="en-GB"/>
        </w:rPr>
        <w:t xml:space="preserve"> </w:t>
      </w:r>
      <w:r w:rsidR="00177602" w:rsidRPr="00EE43C6">
        <w:rPr>
          <w:szCs w:val="20"/>
          <w:u w:val="single"/>
          <w:lang w:eastAsia="en-GB"/>
        </w:rPr>
        <w:t>Use,</w:t>
      </w:r>
      <w:r w:rsidRPr="00EE43C6">
        <w:rPr>
          <w:szCs w:val="20"/>
          <w:u w:val="single"/>
          <w:lang w:eastAsia="en-GB"/>
        </w:rPr>
        <w:t xml:space="preserve"> and Involuntary Resettlement</w:t>
      </w:r>
    </w:p>
    <w:p w14:paraId="2A079421" w14:textId="593A8ADE" w:rsidR="009D3A03" w:rsidRPr="00EE43C6" w:rsidRDefault="0080612E" w:rsidP="0087715E">
      <w:pPr>
        <w:rPr>
          <w:szCs w:val="20"/>
          <w:lang w:eastAsia="en-GB"/>
        </w:rPr>
      </w:pPr>
      <w:r w:rsidRPr="00EE43C6">
        <w:rPr>
          <w:szCs w:val="20"/>
          <w:lang w:eastAsia="en-GB"/>
        </w:rPr>
        <w:t>The main objective of this standard is to avoid involuntary resettlement or, when unavoidable, minimize involuntary resettlement by exploring project design alternatives, to avoid forced eviction, to mitigate unavoidable adverse social and economic impacts from land acquisition or restrictions on land use by providing timely compensation for loss of assets at replacement.</w:t>
      </w:r>
    </w:p>
    <w:p w14:paraId="15D9A7CC" w14:textId="109E775D" w:rsidR="00874E17" w:rsidRPr="00EE43C6" w:rsidRDefault="702F68E9" w:rsidP="3C3DFBEF">
      <w:pPr>
        <w:rPr>
          <w:lang w:eastAsia="en-GB"/>
        </w:rPr>
      </w:pPr>
      <w:r w:rsidRPr="3C3DFBEF">
        <w:rPr>
          <w:lang w:eastAsia="en-GB"/>
        </w:rPr>
        <w:t>A s</w:t>
      </w:r>
      <w:r w:rsidR="00C651F0" w:rsidRPr="3C3DFBEF">
        <w:rPr>
          <w:lang w:eastAsia="en-GB"/>
        </w:rPr>
        <w:t xml:space="preserve">ite-specific </w:t>
      </w:r>
      <w:r w:rsidR="0015337F" w:rsidRPr="3C3DFBEF">
        <w:rPr>
          <w:lang w:eastAsia="en-GB"/>
        </w:rPr>
        <w:t>Ex-Post Social Assessment (</w:t>
      </w:r>
      <w:r w:rsidR="00C651F0" w:rsidRPr="3C3DFBEF">
        <w:rPr>
          <w:lang w:eastAsia="en-GB"/>
        </w:rPr>
        <w:t>EPSA</w:t>
      </w:r>
      <w:r w:rsidR="0015337F" w:rsidRPr="3C3DFBEF">
        <w:rPr>
          <w:lang w:eastAsia="en-GB"/>
        </w:rPr>
        <w:t>)</w:t>
      </w:r>
      <w:r w:rsidR="00C651F0" w:rsidRPr="3C3DFBEF">
        <w:rPr>
          <w:lang w:eastAsia="en-GB"/>
        </w:rPr>
        <w:t xml:space="preserve"> </w:t>
      </w:r>
      <w:r w:rsidR="0015337F" w:rsidRPr="3C3DFBEF">
        <w:rPr>
          <w:lang w:eastAsia="en-GB"/>
        </w:rPr>
        <w:t xml:space="preserve">will be </w:t>
      </w:r>
      <w:r w:rsidR="00C44BE8" w:rsidRPr="3C3DFBEF">
        <w:rPr>
          <w:lang w:eastAsia="en-GB"/>
        </w:rPr>
        <w:t>prepared</w:t>
      </w:r>
      <w:r w:rsidR="0015337F" w:rsidRPr="3C3DFBEF">
        <w:rPr>
          <w:lang w:eastAsia="en-GB"/>
        </w:rPr>
        <w:t xml:space="preserve"> to ensure that land acquisition was completed in accordance with the objectives and principles of ESS5.</w:t>
      </w:r>
      <w:r w:rsidR="00723CE6" w:rsidRPr="2DB09FEA">
        <w:rPr>
          <w:lang w:eastAsia="en-GB"/>
        </w:rPr>
        <w:t xml:space="preserve"> The scope of this Ex-Post Social Assessment (EPSA) report is the Phase 1 area whose land acquisition process </w:t>
      </w:r>
      <w:r w:rsidR="699802EF" w:rsidRPr="2DB09FEA">
        <w:rPr>
          <w:lang w:eastAsia="en-GB"/>
        </w:rPr>
        <w:t xml:space="preserve">was </w:t>
      </w:r>
      <w:r w:rsidR="00723CE6" w:rsidRPr="2DB09FEA">
        <w:rPr>
          <w:lang w:eastAsia="en-GB"/>
        </w:rPr>
        <w:t xml:space="preserve"> completed between 2018-2022. Therefore, the land acquisition </w:t>
      </w:r>
      <w:r w:rsidR="00A91684" w:rsidRPr="2DB09FEA">
        <w:rPr>
          <w:lang w:eastAsia="en-GB"/>
        </w:rPr>
        <w:t xml:space="preserve">process and outcomes </w:t>
      </w:r>
      <w:r w:rsidR="00723CE6" w:rsidRPr="2DB09FEA">
        <w:rPr>
          <w:lang w:eastAsia="en-GB"/>
        </w:rPr>
        <w:t xml:space="preserve"> </w:t>
      </w:r>
      <w:r w:rsidR="00517B91" w:rsidRPr="2DB09FEA">
        <w:rPr>
          <w:lang w:eastAsia="en-GB"/>
        </w:rPr>
        <w:t>are</w:t>
      </w:r>
      <w:r w:rsidR="00723CE6" w:rsidRPr="2DB09FEA">
        <w:rPr>
          <w:lang w:eastAsia="en-GB"/>
        </w:rPr>
        <w:t xml:space="preserve"> examined retrospectively.</w:t>
      </w:r>
      <w:r w:rsidR="00B97479" w:rsidRPr="2DB09FEA">
        <w:rPr>
          <w:lang w:eastAsia="en-GB"/>
        </w:rPr>
        <w:t xml:space="preserve"> Details of the land acquisition are provided in the E</w:t>
      </w:r>
      <w:r w:rsidR="00883FBF" w:rsidRPr="2DB09FEA">
        <w:rPr>
          <w:lang w:eastAsia="en-GB"/>
        </w:rPr>
        <w:t>PS</w:t>
      </w:r>
      <w:r w:rsidR="00B97479" w:rsidRPr="2DB09FEA">
        <w:rPr>
          <w:lang w:eastAsia="en-GB"/>
        </w:rPr>
        <w:t xml:space="preserve">A and information such as parcel, ownership and purchase price are provided in </w:t>
      </w:r>
      <w:r w:rsidR="00874E17" w:rsidRPr="2DB09FEA">
        <w:rPr>
          <w:lang w:eastAsia="en-GB"/>
        </w:rPr>
        <w:fldChar w:fldCharType="begin"/>
      </w:r>
      <w:r w:rsidR="00874E17" w:rsidRPr="2DB09FEA">
        <w:rPr>
          <w:lang w:eastAsia="en-GB"/>
        </w:rPr>
        <w:instrText xml:space="preserve"> REF _Ref135992984 \h </w:instrText>
      </w:r>
      <w:r w:rsidR="00874E17" w:rsidRPr="2DB09FEA">
        <w:rPr>
          <w:lang w:eastAsia="en-GB"/>
        </w:rPr>
      </w:r>
      <w:r w:rsidR="00874E17" w:rsidRPr="2DB09FEA">
        <w:rPr>
          <w:lang w:eastAsia="en-GB"/>
        </w:rPr>
        <w:fldChar w:fldCharType="separate"/>
      </w:r>
      <w:r w:rsidR="00E46EB1">
        <w:t>Table 6</w:t>
      </w:r>
      <w:r w:rsidR="00E46EB1">
        <w:noBreakHyphen/>
        <w:t>31</w:t>
      </w:r>
      <w:r w:rsidR="00874E17" w:rsidRPr="2DB09FEA">
        <w:rPr>
          <w:lang w:eastAsia="en-GB"/>
        </w:rPr>
        <w:fldChar w:fldCharType="end"/>
      </w:r>
      <w:r w:rsidR="00B97479" w:rsidRPr="2DB09FEA">
        <w:rPr>
          <w:lang w:eastAsia="en-GB"/>
        </w:rPr>
        <w:t>.</w:t>
      </w:r>
    </w:p>
    <w:p w14:paraId="467E6E4C" w14:textId="77777777" w:rsidR="00856346" w:rsidRPr="00EE43C6" w:rsidRDefault="00856346" w:rsidP="00856346">
      <w:pPr>
        <w:rPr>
          <w:szCs w:val="20"/>
          <w:u w:val="single"/>
          <w:lang w:eastAsia="en-GB"/>
        </w:rPr>
      </w:pPr>
      <w:bookmarkStart w:id="185" w:name="_Hlk128051732"/>
      <w:r w:rsidRPr="00EE43C6">
        <w:rPr>
          <w:szCs w:val="20"/>
          <w:u w:val="single"/>
          <w:lang w:eastAsia="en-GB"/>
        </w:rPr>
        <w:lastRenderedPageBreak/>
        <w:t>ESS6: Biodiversity Conservation and Sustainable Management of Living Natural Resources</w:t>
      </w:r>
    </w:p>
    <w:p w14:paraId="20F0AC9E" w14:textId="6E999C23" w:rsidR="007D0DA0" w:rsidRPr="00EE43C6" w:rsidRDefault="00856346" w:rsidP="3C3DFBEF">
      <w:pPr>
        <w:rPr>
          <w:lang w:eastAsia="en-GB"/>
        </w:rPr>
      </w:pPr>
      <w:r w:rsidRPr="3C3DFBEF">
        <w:rPr>
          <w:lang w:eastAsia="en-GB"/>
        </w:rPr>
        <w:t>The main objective of this standard is to protect and conserve biodiversity and habitats, to apply the mitigation hierarchy and the precautionary approach in the design and implementation of projects that could have an impact on biodiversity, to promote the sustainable management of living natural resources, to support livelihoods of local communities, including</w:t>
      </w:r>
      <w:r w:rsidR="6A80F197" w:rsidRPr="3C3DFBEF">
        <w:rPr>
          <w:lang w:eastAsia="en-GB"/>
        </w:rPr>
        <w:t>, if applicable,</w:t>
      </w:r>
      <w:r w:rsidRPr="3C3DFBEF">
        <w:rPr>
          <w:lang w:eastAsia="en-GB"/>
        </w:rPr>
        <w:t xml:space="preserve"> Indigenous Peoples, and inclusive economic development, through the adoption of practices that integrate conservation needs and development priorities.</w:t>
      </w:r>
    </w:p>
    <w:p w14:paraId="00ED108F" w14:textId="650702F2" w:rsidR="001110F1" w:rsidRPr="00EE43C6" w:rsidRDefault="00FA169F" w:rsidP="00FF49F2">
      <w:pPr>
        <w:rPr>
          <w:szCs w:val="20"/>
          <w:lang w:eastAsia="en-GB"/>
        </w:rPr>
      </w:pPr>
      <w:r w:rsidRPr="00EE43C6">
        <w:rPr>
          <w:szCs w:val="20"/>
          <w:lang w:eastAsia="en-GB"/>
        </w:rPr>
        <w:t xml:space="preserve">Within the scope </w:t>
      </w:r>
      <w:r w:rsidR="00BB5C4C" w:rsidRPr="00EE43C6">
        <w:rPr>
          <w:szCs w:val="20"/>
          <w:lang w:eastAsia="en-GB"/>
        </w:rPr>
        <w:t>of Biodiversity</w:t>
      </w:r>
      <w:r w:rsidRPr="00EE43C6">
        <w:rPr>
          <w:szCs w:val="20"/>
          <w:lang w:eastAsia="en-GB"/>
        </w:rPr>
        <w:t xml:space="preserve"> </w:t>
      </w:r>
      <w:r w:rsidR="0075437E" w:rsidRPr="00EE43C6">
        <w:rPr>
          <w:szCs w:val="20"/>
          <w:lang w:eastAsia="en-GB"/>
        </w:rPr>
        <w:t xml:space="preserve">assessments </w:t>
      </w:r>
      <w:r w:rsidRPr="00EE43C6">
        <w:rPr>
          <w:szCs w:val="20"/>
          <w:lang w:eastAsia="en-GB"/>
        </w:rPr>
        <w:t>of the Project</w:t>
      </w:r>
      <w:r w:rsidR="001110F1" w:rsidRPr="00EE43C6">
        <w:rPr>
          <w:szCs w:val="20"/>
          <w:lang w:eastAsia="en-GB"/>
        </w:rPr>
        <w:t xml:space="preserve">, </w:t>
      </w:r>
      <w:r w:rsidR="003B7408" w:rsidRPr="00EE43C6">
        <w:rPr>
          <w:szCs w:val="20"/>
          <w:lang w:eastAsia="en-GB"/>
        </w:rPr>
        <w:t xml:space="preserve">management and monitoring of potential impacts, mitigation measures and residual impacts for </w:t>
      </w:r>
      <w:r w:rsidR="00BB5C4C" w:rsidRPr="00EE43C6">
        <w:rPr>
          <w:szCs w:val="20"/>
          <w:lang w:eastAsia="en-GB"/>
        </w:rPr>
        <w:t>will be</w:t>
      </w:r>
      <w:r w:rsidR="000F32C6" w:rsidRPr="00EE43C6">
        <w:rPr>
          <w:szCs w:val="20"/>
          <w:lang w:eastAsia="en-GB"/>
        </w:rPr>
        <w:t xml:space="preserve"> assessed in ESMP.</w:t>
      </w:r>
    </w:p>
    <w:p w14:paraId="599B2D45" w14:textId="704E64CD" w:rsidR="00E070C5" w:rsidRPr="00EE43C6" w:rsidRDefault="00E070C5" w:rsidP="00E070C5">
      <w:pPr>
        <w:rPr>
          <w:szCs w:val="20"/>
          <w:u w:val="single"/>
          <w:lang w:eastAsia="en-GB"/>
        </w:rPr>
      </w:pPr>
      <w:r w:rsidRPr="00EE43C6">
        <w:rPr>
          <w:szCs w:val="20"/>
          <w:u w:val="single"/>
          <w:lang w:eastAsia="en-GB"/>
        </w:rPr>
        <w:t>ESS10: Stakeholder Engagement and Information Disclosure</w:t>
      </w:r>
    </w:p>
    <w:p w14:paraId="6966A0C1" w14:textId="636B3FE3" w:rsidR="00E070C5" w:rsidRPr="00EE43C6" w:rsidRDefault="00E070C5" w:rsidP="00E070C5">
      <w:pPr>
        <w:rPr>
          <w:szCs w:val="20"/>
          <w:lang w:eastAsia="en-GB"/>
        </w:rPr>
      </w:pPr>
      <w:r w:rsidRPr="00EE43C6">
        <w:rPr>
          <w:szCs w:val="20"/>
          <w:lang w:eastAsia="en-GB"/>
        </w:rPr>
        <w:t>The main objective of this standard is to establish a systematic approach to stakeholder engagement that will help Borrowers identify stakeholders and build and maintain a constructive relationship with them, in particular project-affected parties, to assess the level of stakeholder interest and support for the project and to enable stakeholders views to be</w:t>
      </w:r>
      <w:r w:rsidR="00967BDF" w:rsidRPr="00EE43C6">
        <w:rPr>
          <w:szCs w:val="20"/>
          <w:lang w:eastAsia="en-GB"/>
        </w:rPr>
        <w:t xml:space="preserve"> </w:t>
      </w:r>
      <w:r w:rsidRPr="00EE43C6">
        <w:rPr>
          <w:szCs w:val="20"/>
          <w:lang w:eastAsia="en-GB"/>
        </w:rPr>
        <w:t>taken into account in project design and environmental and social performance, to promote and provide means for effective and inclusive engagement with project-affected parties throughout the project life cycle on issues that could potentially affect them and to ensure that appropriate project information on environmental and social risks and impacts is disclosed to stakeholders in a timely, understandable, accessible and appropriate manner and forma</w:t>
      </w:r>
      <w:r w:rsidR="00D4357E" w:rsidRPr="00EE43C6">
        <w:rPr>
          <w:szCs w:val="20"/>
          <w:lang w:eastAsia="en-GB"/>
        </w:rPr>
        <w:t>.</w:t>
      </w:r>
    </w:p>
    <w:p w14:paraId="44380B6F" w14:textId="46A3AE6B" w:rsidR="001110F1" w:rsidRPr="00EE43C6" w:rsidRDefault="001110F1" w:rsidP="00E070C5">
      <w:pPr>
        <w:rPr>
          <w:szCs w:val="20"/>
          <w:lang w:eastAsia="en-GB"/>
        </w:rPr>
      </w:pPr>
      <w:r w:rsidRPr="00EE43C6">
        <w:rPr>
          <w:szCs w:val="20"/>
          <w:lang w:eastAsia="en-GB"/>
        </w:rPr>
        <w:t xml:space="preserve">In this context, </w:t>
      </w:r>
      <w:r w:rsidR="00667E89" w:rsidRPr="00EE43C6">
        <w:rPr>
          <w:szCs w:val="20"/>
          <w:lang w:eastAsia="en-GB"/>
        </w:rPr>
        <w:t xml:space="preserve">project specific SEP </w:t>
      </w:r>
      <w:r w:rsidR="00AA49D5" w:rsidRPr="00EE43C6">
        <w:rPr>
          <w:szCs w:val="20"/>
          <w:lang w:eastAsia="en-GB"/>
        </w:rPr>
        <w:t>will be</w:t>
      </w:r>
      <w:r w:rsidR="00667E89" w:rsidRPr="00EE43C6">
        <w:rPr>
          <w:szCs w:val="20"/>
          <w:lang w:eastAsia="en-GB"/>
        </w:rPr>
        <w:t xml:space="preserve"> prepared</w:t>
      </w:r>
      <w:r w:rsidR="00643C3D" w:rsidRPr="00EE43C6">
        <w:rPr>
          <w:szCs w:val="20"/>
          <w:lang w:eastAsia="en-GB"/>
        </w:rPr>
        <w:t xml:space="preserve"> </w:t>
      </w:r>
      <w:r w:rsidR="00496B55" w:rsidRPr="00EE43C6">
        <w:rPr>
          <w:szCs w:val="20"/>
          <w:lang w:eastAsia="en-GB"/>
        </w:rPr>
        <w:t xml:space="preserve">for effective and transparent stakeholder engagement </w:t>
      </w:r>
      <w:r w:rsidR="00643C3D" w:rsidRPr="00EE43C6">
        <w:rPr>
          <w:szCs w:val="20"/>
          <w:lang w:eastAsia="en-GB"/>
        </w:rPr>
        <w:t>in line with ESS10.</w:t>
      </w:r>
    </w:p>
    <w:p w14:paraId="75A7AB2A" w14:textId="198CBF86" w:rsidR="00CB3F56" w:rsidRPr="00EE43C6" w:rsidRDefault="00ED0AEB" w:rsidP="3C3DFBEF">
      <w:pPr>
        <w:rPr>
          <w:lang w:eastAsia="en-GB"/>
        </w:rPr>
      </w:pPr>
      <w:r w:rsidRPr="3C3DFBEF">
        <w:rPr>
          <w:lang w:eastAsia="en-GB"/>
        </w:rPr>
        <w:t>On the other han</w:t>
      </w:r>
      <w:r w:rsidR="002478D6" w:rsidRPr="3C3DFBEF">
        <w:rPr>
          <w:lang w:eastAsia="en-GB"/>
        </w:rPr>
        <w:t>d, t</w:t>
      </w:r>
      <w:r w:rsidR="00514EEB" w:rsidRPr="3C3DFBEF">
        <w:rPr>
          <w:lang w:eastAsia="en-GB"/>
        </w:rPr>
        <w:t xml:space="preserve">he Project and the social and environmental elements in the AoI of the Project do not include elements or activities that are related to the scope of </w:t>
      </w:r>
      <w:bookmarkEnd w:id="185"/>
      <w:r w:rsidR="00B4612F" w:rsidRPr="3C3DFBEF">
        <w:rPr>
          <w:lang w:eastAsia="en-GB"/>
        </w:rPr>
        <w:t xml:space="preserve">ESS7 </w:t>
      </w:r>
      <w:r w:rsidR="00514EEB" w:rsidRPr="3C3DFBEF">
        <w:rPr>
          <w:lang w:eastAsia="en-GB"/>
        </w:rPr>
        <w:t>(</w:t>
      </w:r>
      <w:r w:rsidR="00B4612F" w:rsidRPr="3C3DFBEF">
        <w:rPr>
          <w:lang w:eastAsia="en-GB"/>
        </w:rPr>
        <w:t>Indigenous Peoples/Sub-Saharan African Historically Underserved Traditional Local Communities</w:t>
      </w:r>
      <w:r w:rsidR="00514EEB" w:rsidRPr="3C3DFBEF">
        <w:rPr>
          <w:lang w:eastAsia="en-GB"/>
        </w:rPr>
        <w:t>) and ESS8 (Cultural Heritage)</w:t>
      </w:r>
      <w:r w:rsidR="00FE4723">
        <w:t xml:space="preserve"> The Project is not considered to have an impact on cultural heritage. However, any project involving excavation work may have a cultural heritage element. A Chance Find Procedure</w:t>
      </w:r>
      <w:r w:rsidR="0078672A">
        <w:t xml:space="preserve"> (</w:t>
      </w:r>
      <w:r w:rsidR="002F216D">
        <w:t xml:space="preserve">see also in Appendix </w:t>
      </w:r>
      <w:r w:rsidR="00CE5CB6">
        <w:t>D)</w:t>
      </w:r>
      <w:r w:rsidR="00FE4723">
        <w:t xml:space="preserve"> </w:t>
      </w:r>
      <w:r w:rsidR="4AD42E72">
        <w:t xml:space="preserve">has been </w:t>
      </w:r>
      <w:r w:rsidR="00FE4723">
        <w:t xml:space="preserve"> </w:t>
      </w:r>
      <w:r w:rsidR="00CE5CB6">
        <w:t>prepared</w:t>
      </w:r>
      <w:r w:rsidR="53E1859F">
        <w:t xml:space="preserve"> and annexed to this ESMP</w:t>
      </w:r>
      <w:r w:rsidR="00CE5CB6">
        <w:t>,</w:t>
      </w:r>
      <w:r w:rsidR="00FE4723">
        <w:t xml:space="preserve"> and construction workers will be trained on this</w:t>
      </w:r>
      <w:r w:rsidR="00514EEB" w:rsidRPr="3C3DFBEF">
        <w:rPr>
          <w:lang w:eastAsia="en-GB"/>
        </w:rPr>
        <w:t>.</w:t>
      </w:r>
      <w:r w:rsidR="00FE4723" w:rsidRPr="2DB09FEA">
        <w:rPr>
          <w:lang w:eastAsia="en-GB"/>
        </w:rPr>
        <w:t xml:space="preserve"> </w:t>
      </w:r>
      <w:bookmarkStart w:id="186" w:name="_Hlk120267771"/>
      <w:r w:rsidR="00CF3B78" w:rsidRPr="3C3DFBEF">
        <w:rPr>
          <w:lang w:eastAsia="en-GB"/>
        </w:rPr>
        <w:t>Furthermore, ESS9 (Financial Intermediaries) is not relevant to this Project as the project does not involve a Financial Intermediary.</w:t>
      </w:r>
      <w:bookmarkEnd w:id="186"/>
      <w:r w:rsidR="000440DB" w:rsidRPr="3C3DFBEF">
        <w:rPr>
          <w:lang w:eastAsia="en-GB"/>
        </w:rPr>
        <w:t xml:space="preserve"> Furthermore, within the scope of the main Project, the Project needs to </w:t>
      </w:r>
      <w:r w:rsidR="003560F4" w:rsidRPr="3C3DFBEF">
        <w:rPr>
          <w:lang w:eastAsia="en-GB"/>
        </w:rPr>
        <w:t xml:space="preserve">be </w:t>
      </w:r>
      <w:r w:rsidR="000440DB" w:rsidRPr="3C3DFBEF">
        <w:rPr>
          <w:lang w:eastAsia="en-GB"/>
        </w:rPr>
        <w:t xml:space="preserve">screened through the Exclusion List given in the ESMF of the main Project. According to the exclusion list, the Project should not trigger WB’s Safeguard Policy OP/BP 7.50 – Projects on International Waterways and WB’s Safeguard Policy OP/BP 7.60 – Projects in Disputed Areas. MoIT is responsible for ensuring that the projects financed are located/depending on national waterways only. The OIZ is located in the Eastern Mediterranean Basin, which is not an international waterway. So, the Project does not trigger the WB’s Safeguard Policies OP/BP 7.50 </w:t>
      </w:r>
      <w:r w:rsidR="00333216" w:rsidRPr="3C3DFBEF">
        <w:rPr>
          <w:lang w:eastAsia="en-GB"/>
        </w:rPr>
        <w:t>–</w:t>
      </w:r>
      <w:r w:rsidR="000440DB" w:rsidRPr="3C3DFBEF">
        <w:rPr>
          <w:lang w:eastAsia="en-GB"/>
        </w:rPr>
        <w:t xml:space="preserve"> Projects on International Waterways.</w:t>
      </w:r>
      <w:r w:rsidR="001375DA" w:rsidRPr="3C3DFBEF">
        <w:rPr>
          <w:lang w:eastAsia="en-GB"/>
        </w:rPr>
        <w:t xml:space="preserve"> Also, the Project </w:t>
      </w:r>
      <w:r w:rsidR="00EF1B89" w:rsidRPr="3C3DFBEF">
        <w:rPr>
          <w:lang w:eastAsia="en-GB"/>
        </w:rPr>
        <w:t xml:space="preserve">does not trigger </w:t>
      </w:r>
      <w:r w:rsidR="00501A03" w:rsidRPr="3C3DFBEF">
        <w:rPr>
          <w:lang w:eastAsia="en-GB"/>
        </w:rPr>
        <w:t xml:space="preserve">the WB’s </w:t>
      </w:r>
      <w:r w:rsidR="00501A03" w:rsidRPr="3C3DFBEF">
        <w:rPr>
          <w:lang w:eastAsia="en-GB"/>
        </w:rPr>
        <w:lastRenderedPageBreak/>
        <w:t xml:space="preserve">Safeguard Policies OP/BP 7.50 </w:t>
      </w:r>
      <w:r w:rsidR="00333216" w:rsidRPr="3C3DFBEF">
        <w:rPr>
          <w:lang w:eastAsia="en-GB"/>
        </w:rPr>
        <w:t>–</w:t>
      </w:r>
      <w:r w:rsidR="00501A03" w:rsidRPr="3C3DFBEF">
        <w:rPr>
          <w:lang w:eastAsia="en-GB"/>
        </w:rPr>
        <w:t xml:space="preserve"> Projects on International Waterways and OP/BP 7.60 </w:t>
      </w:r>
      <w:r w:rsidR="00333216" w:rsidRPr="3C3DFBEF">
        <w:rPr>
          <w:lang w:eastAsia="en-GB"/>
        </w:rPr>
        <w:t>–</w:t>
      </w:r>
      <w:r w:rsidR="00501A03" w:rsidRPr="3C3DFBEF">
        <w:rPr>
          <w:lang w:eastAsia="en-GB"/>
        </w:rPr>
        <w:t xml:space="preserve"> Projects in Disputed Areas</w:t>
      </w:r>
      <w:r w:rsidR="003D01F5" w:rsidRPr="3C3DFBEF">
        <w:rPr>
          <w:lang w:eastAsia="en-GB"/>
        </w:rPr>
        <w:t>.</w:t>
      </w:r>
    </w:p>
    <w:p w14:paraId="1F2DDFED" w14:textId="562CA6E6" w:rsidR="00FF49F2" w:rsidRPr="00EE43C6" w:rsidRDefault="00FF49F2" w:rsidP="00FF49F2">
      <w:pPr>
        <w:rPr>
          <w:b/>
          <w:bCs/>
          <w:i/>
          <w:iCs/>
        </w:rPr>
      </w:pPr>
      <w:r w:rsidRPr="00EE43C6">
        <w:rPr>
          <w:b/>
          <w:bCs/>
          <w:i/>
          <w:iCs/>
        </w:rPr>
        <w:t>WB and IFC’s Guidelines</w:t>
      </w:r>
    </w:p>
    <w:p w14:paraId="1A3C87AE" w14:textId="7B059414" w:rsidR="00FF49F2" w:rsidRPr="00EE43C6" w:rsidRDefault="00194369" w:rsidP="00FF49F2">
      <w:pPr>
        <w:rPr>
          <w:rFonts w:cs="MS Gothic"/>
          <w:szCs w:val="22"/>
        </w:rPr>
      </w:pPr>
      <w:r w:rsidRPr="00EE43C6">
        <w:rPr>
          <w:rFonts w:cs="MS Gothic"/>
          <w:szCs w:val="22"/>
        </w:rPr>
        <w:t>The World Bank Group</w:t>
      </w:r>
      <w:r w:rsidR="00333216" w:rsidRPr="00EE43C6">
        <w:rPr>
          <w:rFonts w:cs="MS Gothic"/>
          <w:szCs w:val="22"/>
        </w:rPr>
        <w:t>’</w:t>
      </w:r>
      <w:r w:rsidRPr="00EE43C6">
        <w:rPr>
          <w:rFonts w:cs="MS Gothic"/>
          <w:szCs w:val="22"/>
        </w:rPr>
        <w:t xml:space="preserve">s (WBG) General Environmental, Health and Safety (EHS) Guidelines should be adopted for this Project. </w:t>
      </w:r>
      <w:r w:rsidR="00FF49F2" w:rsidRPr="00EE43C6">
        <w:t xml:space="preserve">ESMP will also consider the IFC Environmental, Health and Safety (EHS) General Guidelines, including WB EHS Guidelines for Water and Sanitation, and where applicable Sectoral Guidelines, particularly, WB EHS Guidelines for </w:t>
      </w:r>
      <w:r w:rsidR="000823AE" w:rsidRPr="00EE43C6">
        <w:t>Telecommunications, WB</w:t>
      </w:r>
      <w:r w:rsidR="00F64B49" w:rsidRPr="00EE43C6">
        <w:t xml:space="preserve"> </w:t>
      </w:r>
      <w:r w:rsidR="000823AE" w:rsidRPr="00EE43C6">
        <w:t>EHS Guidelines for Electric Power Transmission and Distribution</w:t>
      </w:r>
      <w:r w:rsidR="00FF49F2" w:rsidRPr="00EE43C6">
        <w:t>.</w:t>
      </w:r>
      <w:r w:rsidR="003E61B9" w:rsidRPr="00EE43C6">
        <w:t xml:space="preserve"> </w:t>
      </w:r>
      <w:r w:rsidR="00FF49F2" w:rsidRPr="00EE43C6">
        <w:t xml:space="preserve">For the impact assessment and development of mitigation measures the performance levels and measures that are given in the EHS Guidelines will be taken into consideration in addition to the national legislative requirements. Furthermore, as required by WB’s ESF and ESS1 when the national regulations differ from the levels and measures presented in the EHS Guidelines, the more stringent threshold or standard will </w:t>
      </w:r>
      <w:r w:rsidR="00E7720D" w:rsidRPr="00EE43C6">
        <w:t xml:space="preserve">be </w:t>
      </w:r>
      <w:r w:rsidR="00FF49F2" w:rsidRPr="00EE43C6">
        <w:t>appl</w:t>
      </w:r>
      <w:r w:rsidR="00E7720D" w:rsidRPr="00EE43C6">
        <w:t>ied</w:t>
      </w:r>
      <w:r w:rsidR="00FF49F2" w:rsidRPr="00EE43C6">
        <w:t xml:space="preserve"> to the Project. WB’s Pollution Prevention and Abatement Handbook will also be taken into consideration for the development of mitigation measures.</w:t>
      </w:r>
    </w:p>
    <w:p w14:paraId="29C72EB7" w14:textId="5146C021" w:rsidR="00C66F39" w:rsidRPr="00EE43C6" w:rsidRDefault="00790DE9" w:rsidP="00C66F39">
      <w:pPr>
        <w:rPr>
          <w:rFonts w:cs="MS Gothic"/>
          <w:szCs w:val="22"/>
        </w:rPr>
      </w:pPr>
      <w:r w:rsidRPr="00EE43C6">
        <w:rPr>
          <w:rFonts w:cs="MS Gothic"/>
          <w:szCs w:val="22"/>
        </w:rPr>
        <w:t>T</w:t>
      </w:r>
      <w:r>
        <w:rPr>
          <w:rFonts w:cs="MS Gothic"/>
          <w:szCs w:val="22"/>
        </w:rPr>
        <w:t>ü</w:t>
      </w:r>
      <w:r w:rsidRPr="00EE43C6">
        <w:rPr>
          <w:rFonts w:cs="MS Gothic"/>
          <w:szCs w:val="22"/>
        </w:rPr>
        <w:t xml:space="preserve">rkiye </w:t>
      </w:r>
      <w:r w:rsidR="00C66F39" w:rsidRPr="00EE43C6">
        <w:rPr>
          <w:rFonts w:cs="MS Gothic"/>
          <w:szCs w:val="22"/>
        </w:rPr>
        <w:t>is a signatory to many international agreements, including the:</w:t>
      </w:r>
    </w:p>
    <w:p w14:paraId="5957DE46" w14:textId="77777777" w:rsidR="00C66F39" w:rsidRPr="00EE43C6" w:rsidRDefault="00C66F39" w:rsidP="00757092">
      <w:pPr>
        <w:pStyle w:val="Bullet"/>
        <w:ind w:left="851" w:hanging="425"/>
      </w:pPr>
      <w:r w:rsidRPr="00EE43C6">
        <w:t>Stockholm Convention on Organic Pollutants,</w:t>
      </w:r>
    </w:p>
    <w:p w14:paraId="1AF6FB53" w14:textId="77777777" w:rsidR="00C66F39" w:rsidRPr="00EE43C6" w:rsidRDefault="00C66F39" w:rsidP="00757092">
      <w:pPr>
        <w:pStyle w:val="Bullet"/>
        <w:ind w:left="851" w:hanging="425"/>
      </w:pPr>
      <w:r w:rsidRPr="00EE43C6">
        <w:t>Convention on Long-range Trans-Boundary Air Pollution (CRLTAP),</w:t>
      </w:r>
    </w:p>
    <w:p w14:paraId="1014551B" w14:textId="77777777" w:rsidR="00C66F39" w:rsidRPr="00EE43C6" w:rsidRDefault="00C66F39" w:rsidP="00757092">
      <w:pPr>
        <w:pStyle w:val="Bullet"/>
        <w:ind w:left="851" w:hanging="425"/>
      </w:pPr>
      <w:r w:rsidRPr="00EE43C6">
        <w:t>Rotterdam Convention on the Prior Informed Consent Procedure for Certain Hazardous Chemicals and Pesticides in International Trade,</w:t>
      </w:r>
    </w:p>
    <w:p w14:paraId="771197E4" w14:textId="77777777" w:rsidR="00C66F39" w:rsidRPr="00EE43C6" w:rsidRDefault="00C66F39" w:rsidP="00757092">
      <w:pPr>
        <w:pStyle w:val="Bullet"/>
        <w:ind w:left="851" w:hanging="425"/>
      </w:pPr>
      <w:r w:rsidRPr="00EE43C6">
        <w:t>Basel Convention on the Control of Transboundary Movements of Hazardous Wastes and their Disposal,</w:t>
      </w:r>
    </w:p>
    <w:p w14:paraId="78FCF0AC" w14:textId="77777777" w:rsidR="00C66F39" w:rsidRPr="00EE43C6" w:rsidRDefault="00C66F39" w:rsidP="00757092">
      <w:pPr>
        <w:pStyle w:val="Bullet"/>
        <w:ind w:left="851" w:hanging="425"/>
      </w:pPr>
      <w:r w:rsidRPr="00EE43C6">
        <w:t>Kyoto Protocol regarding to the United Nations Framework Convention on Climate Change,</w:t>
      </w:r>
    </w:p>
    <w:p w14:paraId="1AA9F797" w14:textId="77777777" w:rsidR="00C66F39" w:rsidRPr="00EE43C6" w:rsidRDefault="00C66F39" w:rsidP="00757092">
      <w:pPr>
        <w:pStyle w:val="Bullet"/>
        <w:ind w:left="851" w:hanging="425"/>
      </w:pPr>
      <w:r w:rsidRPr="00EE43C6">
        <w:t>Montreal Protocol on Substances that Deplete the Ozone Layer,</w:t>
      </w:r>
    </w:p>
    <w:p w14:paraId="058C0E23" w14:textId="77777777" w:rsidR="00C66F39" w:rsidRPr="00EE43C6" w:rsidRDefault="00C66F39" w:rsidP="00757092">
      <w:pPr>
        <w:pStyle w:val="Bullet"/>
        <w:ind w:left="851" w:hanging="425"/>
      </w:pPr>
      <w:r w:rsidRPr="00EE43C6">
        <w:t>Barcelona Convention for the Protection of Marine Environment and the Coastal Region of the Mediterranean,</w:t>
      </w:r>
    </w:p>
    <w:p w14:paraId="6907039E" w14:textId="77777777" w:rsidR="00C66F39" w:rsidRPr="00EE43C6" w:rsidRDefault="00C66F39" w:rsidP="00757092">
      <w:pPr>
        <w:pStyle w:val="Bullet"/>
        <w:ind w:left="851" w:hanging="425"/>
      </w:pPr>
      <w:r w:rsidRPr="00EE43C6">
        <w:t>Vienna Convention for the Protection of the Ozone Layer,</w:t>
      </w:r>
    </w:p>
    <w:p w14:paraId="4D22B95C" w14:textId="77777777" w:rsidR="00C66F39" w:rsidRPr="00EE43C6" w:rsidRDefault="00C66F39" w:rsidP="00757092">
      <w:pPr>
        <w:pStyle w:val="Bullet"/>
        <w:ind w:left="851" w:hanging="425"/>
      </w:pPr>
      <w:r w:rsidRPr="00EE43C6">
        <w:t>Protocol on Environmental Protection to the Antarctic Treaty,</w:t>
      </w:r>
    </w:p>
    <w:p w14:paraId="482DED04" w14:textId="77777777" w:rsidR="00C66F39" w:rsidRPr="00EE43C6" w:rsidRDefault="00C66F39" w:rsidP="00757092">
      <w:pPr>
        <w:pStyle w:val="Bullet"/>
        <w:ind w:left="851" w:hanging="425"/>
      </w:pPr>
      <w:r w:rsidRPr="00EE43C6">
        <w:t>ILO Conventions;</w:t>
      </w:r>
    </w:p>
    <w:p w14:paraId="24EA9031" w14:textId="2DAA5E9C" w:rsidR="00C66F39" w:rsidRPr="00EE43C6" w:rsidRDefault="00C66F39" w:rsidP="00757092">
      <w:pPr>
        <w:numPr>
          <w:ilvl w:val="1"/>
          <w:numId w:val="10"/>
        </w:numPr>
        <w:spacing w:before="0" w:after="0"/>
        <w:ind w:left="1134" w:right="-292" w:hanging="425"/>
        <w:contextualSpacing/>
        <w:jc w:val="left"/>
        <w:rPr>
          <w:rFonts w:cs="MS Gothic"/>
          <w:color w:val="000000" w:themeColor="text1"/>
        </w:rPr>
      </w:pPr>
      <w:r w:rsidRPr="00EE43C6">
        <w:rPr>
          <w:rFonts w:cs="MS Gothic"/>
          <w:color w:val="000000" w:themeColor="text1"/>
        </w:rPr>
        <w:t xml:space="preserve">ILO Convention on Forced </w:t>
      </w:r>
      <w:r w:rsidR="007130A5" w:rsidRPr="00EE43C6">
        <w:rPr>
          <w:rFonts w:cs="MS Gothic"/>
          <w:color w:val="000000" w:themeColor="text1"/>
        </w:rPr>
        <w:t>Labour</w:t>
      </w:r>
      <w:r w:rsidRPr="00EE43C6">
        <w:rPr>
          <w:rFonts w:cs="MS Gothic"/>
          <w:color w:val="000000" w:themeColor="text1"/>
        </w:rPr>
        <w:t>,</w:t>
      </w:r>
    </w:p>
    <w:p w14:paraId="55AA6431" w14:textId="77777777" w:rsidR="00C66F39" w:rsidRPr="00EE43C6" w:rsidRDefault="00C66F39" w:rsidP="00757092">
      <w:pPr>
        <w:numPr>
          <w:ilvl w:val="1"/>
          <w:numId w:val="10"/>
        </w:numPr>
        <w:spacing w:before="0" w:after="0"/>
        <w:ind w:left="1134" w:right="-292" w:hanging="425"/>
        <w:contextualSpacing/>
        <w:jc w:val="left"/>
        <w:rPr>
          <w:rFonts w:cs="MS Gothic"/>
          <w:color w:val="000000" w:themeColor="text1"/>
        </w:rPr>
      </w:pPr>
      <w:r w:rsidRPr="00EE43C6">
        <w:rPr>
          <w:rFonts w:cs="MS Gothic"/>
          <w:color w:val="000000" w:themeColor="text1"/>
        </w:rPr>
        <w:t>ILO Convention on Freedom of Association and Protection of the Right to Organize,</w:t>
      </w:r>
    </w:p>
    <w:p w14:paraId="04D29514" w14:textId="77777777" w:rsidR="00C66F39" w:rsidRPr="00EE43C6" w:rsidRDefault="00C66F39" w:rsidP="00757092">
      <w:pPr>
        <w:numPr>
          <w:ilvl w:val="1"/>
          <w:numId w:val="10"/>
        </w:numPr>
        <w:spacing w:before="0" w:after="0"/>
        <w:ind w:left="1134" w:right="-292" w:hanging="425"/>
        <w:contextualSpacing/>
        <w:jc w:val="left"/>
        <w:rPr>
          <w:rFonts w:cs="MS Gothic"/>
          <w:color w:val="000000" w:themeColor="text1"/>
        </w:rPr>
      </w:pPr>
      <w:r w:rsidRPr="00EE43C6">
        <w:rPr>
          <w:rFonts w:cs="MS Gothic"/>
          <w:color w:val="000000" w:themeColor="text1"/>
        </w:rPr>
        <w:t>ILO Convention on Right to Organize and Collective Bargaining,</w:t>
      </w:r>
    </w:p>
    <w:p w14:paraId="1DADDB9C" w14:textId="77777777" w:rsidR="00C66F39" w:rsidRPr="00EE43C6" w:rsidRDefault="00C66F39" w:rsidP="00757092">
      <w:pPr>
        <w:numPr>
          <w:ilvl w:val="1"/>
          <w:numId w:val="10"/>
        </w:numPr>
        <w:spacing w:before="0" w:after="0"/>
        <w:ind w:left="1134" w:right="-292" w:hanging="425"/>
        <w:contextualSpacing/>
        <w:jc w:val="left"/>
        <w:rPr>
          <w:rFonts w:cs="MS Gothic"/>
          <w:color w:val="000000" w:themeColor="text1"/>
        </w:rPr>
      </w:pPr>
      <w:r w:rsidRPr="00EE43C6">
        <w:rPr>
          <w:rFonts w:cs="MS Gothic"/>
          <w:color w:val="000000" w:themeColor="text1"/>
        </w:rPr>
        <w:t>ILO Convention on Equal Remuneration,</w:t>
      </w:r>
    </w:p>
    <w:p w14:paraId="31CEC41E" w14:textId="51C51E4F" w:rsidR="00C66F39" w:rsidRPr="00EE43C6" w:rsidRDefault="00C66F39" w:rsidP="00757092">
      <w:pPr>
        <w:numPr>
          <w:ilvl w:val="1"/>
          <w:numId w:val="10"/>
        </w:numPr>
        <w:spacing w:before="0" w:after="0"/>
        <w:ind w:left="1134" w:right="-292" w:hanging="425"/>
        <w:contextualSpacing/>
        <w:jc w:val="left"/>
        <w:rPr>
          <w:rFonts w:cs="MS Gothic"/>
          <w:color w:val="000000" w:themeColor="text1"/>
        </w:rPr>
      </w:pPr>
      <w:r w:rsidRPr="00EE43C6">
        <w:rPr>
          <w:rFonts w:cs="MS Gothic"/>
          <w:color w:val="000000" w:themeColor="text1"/>
        </w:rPr>
        <w:t xml:space="preserve">ILO Convention on Abolition of Forced </w:t>
      </w:r>
      <w:r w:rsidR="007130A5" w:rsidRPr="00EE43C6">
        <w:rPr>
          <w:rFonts w:cs="MS Gothic"/>
          <w:color w:val="000000" w:themeColor="text1"/>
        </w:rPr>
        <w:t>Labour</w:t>
      </w:r>
      <w:r w:rsidRPr="00EE43C6">
        <w:rPr>
          <w:rFonts w:cs="MS Gothic"/>
          <w:color w:val="000000" w:themeColor="text1"/>
        </w:rPr>
        <w:t>,</w:t>
      </w:r>
    </w:p>
    <w:p w14:paraId="64468192" w14:textId="77777777" w:rsidR="00C66F39" w:rsidRPr="00EE43C6" w:rsidRDefault="00C66F39" w:rsidP="00757092">
      <w:pPr>
        <w:numPr>
          <w:ilvl w:val="1"/>
          <w:numId w:val="10"/>
        </w:numPr>
        <w:spacing w:before="0" w:after="0"/>
        <w:ind w:left="1134" w:right="-292" w:hanging="425"/>
        <w:contextualSpacing/>
        <w:jc w:val="left"/>
        <w:rPr>
          <w:rFonts w:cs="MS Gothic"/>
          <w:color w:val="000000" w:themeColor="text1"/>
        </w:rPr>
      </w:pPr>
      <w:r w:rsidRPr="00EE43C6">
        <w:rPr>
          <w:rFonts w:cs="MS Gothic"/>
          <w:color w:val="000000" w:themeColor="text1"/>
        </w:rPr>
        <w:t>ILO Convention on Discrimination (Employment and Occupation),</w:t>
      </w:r>
    </w:p>
    <w:p w14:paraId="7FE5B399" w14:textId="77777777" w:rsidR="00C66F39" w:rsidRPr="00EE43C6" w:rsidRDefault="00C66F39" w:rsidP="00757092">
      <w:pPr>
        <w:numPr>
          <w:ilvl w:val="1"/>
          <w:numId w:val="10"/>
        </w:numPr>
        <w:spacing w:before="0" w:after="0"/>
        <w:ind w:left="1134" w:right="-292" w:hanging="425"/>
        <w:contextualSpacing/>
        <w:jc w:val="left"/>
        <w:rPr>
          <w:rFonts w:cs="MS Gothic"/>
          <w:color w:val="000000" w:themeColor="text1"/>
        </w:rPr>
      </w:pPr>
      <w:r w:rsidRPr="00EE43C6">
        <w:rPr>
          <w:rFonts w:cs="MS Gothic"/>
          <w:color w:val="000000" w:themeColor="text1"/>
        </w:rPr>
        <w:lastRenderedPageBreak/>
        <w:t>ILO Convention on Minimum Age,</w:t>
      </w:r>
    </w:p>
    <w:p w14:paraId="2A27F490" w14:textId="20AADDBE" w:rsidR="00C66F39" w:rsidRPr="00EE43C6" w:rsidRDefault="00C66F39" w:rsidP="00757092">
      <w:pPr>
        <w:numPr>
          <w:ilvl w:val="1"/>
          <w:numId w:val="10"/>
        </w:numPr>
        <w:spacing w:before="0" w:after="0"/>
        <w:ind w:left="1134" w:right="-292" w:hanging="425"/>
        <w:contextualSpacing/>
        <w:jc w:val="left"/>
        <w:rPr>
          <w:rFonts w:cs="MS Gothic"/>
          <w:color w:val="000000" w:themeColor="text1"/>
        </w:rPr>
      </w:pPr>
      <w:r w:rsidRPr="00EE43C6">
        <w:t xml:space="preserve">ILO Convention on Worst Forms of Child </w:t>
      </w:r>
      <w:r w:rsidR="007130A5" w:rsidRPr="00EE43C6">
        <w:t>Labour</w:t>
      </w:r>
      <w:r w:rsidRPr="00EE43C6">
        <w:t>,</w:t>
      </w:r>
    </w:p>
    <w:p w14:paraId="4FD9E7B6" w14:textId="744B7B00" w:rsidR="00B67DC8" w:rsidRPr="00EE43C6" w:rsidRDefault="00C66F39" w:rsidP="00757092">
      <w:pPr>
        <w:pStyle w:val="Bullet"/>
        <w:ind w:left="851" w:hanging="425"/>
      </w:pPr>
      <w:r w:rsidRPr="00EE43C6">
        <w:t>Paris Agreement.</w:t>
      </w:r>
    </w:p>
    <w:p w14:paraId="4CE9A0E2" w14:textId="302E7803" w:rsidR="006A609F" w:rsidRPr="00EE43C6" w:rsidRDefault="006A609F" w:rsidP="00B91168">
      <w:pPr>
        <w:pStyle w:val="Heading2"/>
        <w:ind w:hanging="718"/>
        <w:rPr>
          <w:lang w:val="en-GB"/>
        </w:rPr>
      </w:pPr>
      <w:bookmarkStart w:id="187" w:name="_Toc58519542"/>
      <w:bookmarkStart w:id="188" w:name="_Toc80633527"/>
      <w:bookmarkStart w:id="189" w:name="_Toc88489647"/>
      <w:bookmarkStart w:id="190" w:name="_Toc88227483"/>
      <w:bookmarkStart w:id="191" w:name="_Toc120016913"/>
      <w:bookmarkStart w:id="192" w:name="_Toc120004691"/>
      <w:bookmarkStart w:id="193" w:name="_Toc141445402"/>
      <w:r w:rsidRPr="3C3DFBEF">
        <w:rPr>
          <w:lang w:val="en-GB"/>
        </w:rPr>
        <w:t xml:space="preserve">Major Gaps between the </w:t>
      </w:r>
      <w:bookmarkEnd w:id="187"/>
      <w:r w:rsidRPr="3C3DFBEF">
        <w:rPr>
          <w:lang w:val="en-GB"/>
        </w:rPr>
        <w:t xml:space="preserve">Turkish EIA Regulation </w:t>
      </w:r>
      <w:bookmarkEnd w:id="188"/>
      <w:r w:rsidRPr="3C3DFBEF">
        <w:rPr>
          <w:lang w:val="en-GB"/>
        </w:rPr>
        <w:t>and World Bank</w:t>
      </w:r>
      <w:r w:rsidR="00333216" w:rsidRPr="3C3DFBEF">
        <w:rPr>
          <w:lang w:val="en-GB"/>
        </w:rPr>
        <w:t>’</w:t>
      </w:r>
      <w:r w:rsidRPr="3C3DFBEF">
        <w:rPr>
          <w:lang w:val="en-GB"/>
        </w:rPr>
        <w:t xml:space="preserve">s </w:t>
      </w:r>
      <w:bookmarkEnd w:id="189"/>
      <w:bookmarkEnd w:id="190"/>
      <w:bookmarkEnd w:id="191"/>
      <w:bookmarkEnd w:id="192"/>
      <w:r w:rsidR="16499CBA" w:rsidRPr="3C3DFBEF">
        <w:rPr>
          <w:lang w:val="en-GB"/>
        </w:rPr>
        <w:t>ESF</w:t>
      </w:r>
      <w:bookmarkEnd w:id="193"/>
    </w:p>
    <w:p w14:paraId="3D41B2E7" w14:textId="06AADEF4" w:rsidR="002079B5" w:rsidRPr="00EE43C6" w:rsidRDefault="005F472D" w:rsidP="002079B5">
      <w:r w:rsidRPr="00EE43C6">
        <w:rPr>
          <w:rFonts w:cs="MS Gothic"/>
          <w:szCs w:val="22"/>
        </w:rPr>
        <w:t xml:space="preserve">The Turkish EIA procedures are, with some exceptions, in line with the </w:t>
      </w:r>
      <w:r w:rsidR="002079B5" w:rsidRPr="00EE43C6">
        <w:t>WB’s ESSs.</w:t>
      </w:r>
      <w:r w:rsidRPr="00EE43C6">
        <w:rPr>
          <w:rFonts w:cs="MS Gothic"/>
          <w:szCs w:val="22"/>
        </w:rPr>
        <w:t xml:space="preserve"> The primary exceptions are in project categorization, scope of environmental and social assessment, and public consultation. In cases where the Turkish legislation </w:t>
      </w:r>
      <w:r w:rsidR="002079B5" w:rsidRPr="00EE43C6">
        <w:t>differ</w:t>
      </w:r>
      <w:r w:rsidRPr="00EE43C6">
        <w:rPr>
          <w:rFonts w:cs="MS Gothic"/>
          <w:szCs w:val="22"/>
        </w:rPr>
        <w:t xml:space="preserve"> from </w:t>
      </w:r>
      <w:r w:rsidR="002079B5" w:rsidRPr="00EE43C6">
        <w:t>the ESSs</w:t>
      </w:r>
      <w:r w:rsidRPr="00EE43C6">
        <w:rPr>
          <w:rFonts w:cs="MS Gothic"/>
          <w:szCs w:val="22"/>
        </w:rPr>
        <w:t xml:space="preserve">, the more stringent one will </w:t>
      </w:r>
      <w:r w:rsidR="002079B5" w:rsidRPr="00EE43C6">
        <w:t>be applied</w:t>
      </w:r>
      <w:r w:rsidRPr="00EE43C6">
        <w:rPr>
          <w:rFonts w:cs="MS Gothic"/>
          <w:szCs w:val="22"/>
        </w:rPr>
        <w:t xml:space="preserve"> to the </w:t>
      </w:r>
      <w:r w:rsidR="002079B5" w:rsidRPr="00EE43C6">
        <w:t xml:space="preserve">project </w:t>
      </w:r>
      <w:r w:rsidRPr="00EE43C6">
        <w:rPr>
          <w:rFonts w:cs="MS Gothic"/>
          <w:szCs w:val="22"/>
        </w:rPr>
        <w:t>implementation</w:t>
      </w:r>
      <w:r w:rsidR="002079B5" w:rsidRPr="00EE43C6">
        <w:t>.</w:t>
      </w:r>
    </w:p>
    <w:p w14:paraId="1C791073" w14:textId="3F5B70F3" w:rsidR="002079B5" w:rsidRPr="00EE43C6" w:rsidRDefault="002079B5" w:rsidP="001066D8">
      <w:pPr>
        <w:spacing w:before="0" w:after="200" w:line="276" w:lineRule="auto"/>
        <w:jc w:val="left"/>
        <w:rPr>
          <w:b/>
          <w:bCs/>
        </w:rPr>
      </w:pPr>
      <w:r w:rsidRPr="00EE43C6">
        <w:rPr>
          <w:b/>
          <w:bCs/>
        </w:rPr>
        <w:t xml:space="preserve">Project categorization </w:t>
      </w:r>
    </w:p>
    <w:p w14:paraId="6B78DF05" w14:textId="3D88077E" w:rsidR="002079B5" w:rsidRPr="00EE43C6" w:rsidRDefault="002079B5" w:rsidP="002079B5">
      <w:r w:rsidRPr="00EE43C6">
        <w:t>According to the World Bank’s Environmental and Social Framework (ESF), projects (including projects involving F</w:t>
      </w:r>
      <w:r w:rsidR="00333216" w:rsidRPr="00EE43C6">
        <w:t>i</w:t>
      </w:r>
      <w:r w:rsidRPr="00EE43C6">
        <w:t>s) are classified into one</w:t>
      </w:r>
      <w:r w:rsidR="005F472D" w:rsidRPr="00EE43C6">
        <w:rPr>
          <w:rFonts w:cs="Arial"/>
          <w:szCs w:val="22"/>
        </w:rPr>
        <w:t xml:space="preserve"> of </w:t>
      </w:r>
      <w:r w:rsidRPr="00EE43C6">
        <w:t xml:space="preserve">four classifications as </w:t>
      </w:r>
      <w:r w:rsidRPr="00EE43C6">
        <w:rPr>
          <w:b/>
          <w:bCs/>
        </w:rPr>
        <w:t>High Risk, Substantial Risk, Moderate Risk or Low Risk</w:t>
      </w:r>
      <w:r w:rsidRPr="00EE43C6">
        <w:t xml:space="preserve"> taking into account relevant potential risks and impacts, such as the type, location, sensitivity and scale of the project; the nature and magnitude of the potential E&amp;S risks and impacts; the capacity and commitment of the Borrower; and other areas of risks that may be relevant to the delivery of E&amp;S mitigation measures and outcomes.</w:t>
      </w:r>
    </w:p>
    <w:p w14:paraId="1B85E0DC" w14:textId="0A5A11B5" w:rsidR="005F472D" w:rsidRPr="00EE43C6" w:rsidRDefault="002079B5" w:rsidP="005F472D">
      <w:r w:rsidRPr="00EE43C6">
        <w:t xml:space="preserve">There are no clear-cut border values distinguishing the classification of the projects or, unlike the Turkish EIA Regulation (where projects are classified into two categories as Annex I and Annex II projects), any ready lists of project types for classification; rather projects are screened on a </w:t>
      </w:r>
      <w:r w:rsidR="00D83728" w:rsidRPr="00EE43C6">
        <w:t>case-by-case</w:t>
      </w:r>
      <w:r w:rsidRPr="00EE43C6">
        <w:t xml:space="preserve"> basis in the environmental and social risk classification of the WB.</w:t>
      </w:r>
    </w:p>
    <w:p w14:paraId="03FD0FD4" w14:textId="52B83491" w:rsidR="00E74210" w:rsidRPr="00EE43C6" w:rsidRDefault="00E74210" w:rsidP="00E74210">
      <w:pPr>
        <w:rPr>
          <w:b/>
          <w:bCs/>
        </w:rPr>
      </w:pPr>
      <w:r w:rsidRPr="00EE43C6">
        <w:rPr>
          <w:b/>
          <w:bCs/>
        </w:rPr>
        <w:t>Scope of Environmental and Social Assessment</w:t>
      </w:r>
    </w:p>
    <w:p w14:paraId="0C5ED298" w14:textId="77777777" w:rsidR="00E74210" w:rsidRPr="00EE43C6" w:rsidRDefault="00E74210" w:rsidP="00E74210">
      <w:pPr>
        <w:rPr>
          <w:rFonts w:eastAsiaTheme="minorHAnsi"/>
          <w:szCs w:val="22"/>
        </w:rPr>
      </w:pPr>
      <w:r w:rsidRPr="00EE43C6">
        <w:t xml:space="preserve">The scope and type of E&amp;S assessment required as per ESS1 varies proportionate to the potential risks and impacts of the project and, in an integrated way, all relevant direct, indirect and cumulative environmental and social risks and impacts throughout the project life cycle, as per the ESSs 2-10, </w:t>
      </w:r>
      <w:r w:rsidR="00A13BAD" w:rsidRPr="00EE43C6">
        <w:t>are</w:t>
      </w:r>
      <w:r w:rsidR="00A13BAD" w:rsidRPr="00EE43C6">
        <w:rPr>
          <w:szCs w:val="22"/>
        </w:rPr>
        <w:t xml:space="preserve"> assessed. Comparison of the indicative outline required by the WB for </w:t>
      </w:r>
      <w:r w:rsidR="00DE4262" w:rsidRPr="00EE43C6">
        <w:rPr>
          <w:rFonts w:cs="MS Gothic"/>
          <w:szCs w:val="22"/>
          <w:lang w:eastAsia="tr-TR"/>
        </w:rPr>
        <w:t>Environmental and Social Impact Assessment (</w:t>
      </w:r>
      <w:r w:rsidR="00A13BAD" w:rsidRPr="00EE43C6">
        <w:rPr>
          <w:szCs w:val="22"/>
        </w:rPr>
        <w:t>ESIA</w:t>
      </w:r>
      <w:r w:rsidR="00DE4262" w:rsidRPr="00EE43C6">
        <w:rPr>
          <w:szCs w:val="22"/>
        </w:rPr>
        <w:t>)</w:t>
      </w:r>
      <w:r w:rsidR="00A13BAD" w:rsidRPr="00EE43C6">
        <w:rPr>
          <w:szCs w:val="22"/>
        </w:rPr>
        <w:t xml:space="preserve"> with the general format of a Turkish EIA indicates a number of key differences as follows:</w:t>
      </w:r>
    </w:p>
    <w:p w14:paraId="269A8F5E" w14:textId="77777777" w:rsidR="007D47CB" w:rsidRPr="00EE43C6" w:rsidRDefault="007D47CB" w:rsidP="00854BE8">
      <w:pPr>
        <w:pStyle w:val="ListParagraph"/>
        <w:numPr>
          <w:ilvl w:val="0"/>
          <w:numId w:val="14"/>
        </w:numPr>
        <w:spacing w:before="120"/>
        <w:ind w:left="714" w:hanging="357"/>
        <w:contextualSpacing w:val="0"/>
        <w:rPr>
          <w:rFonts w:eastAsia="Times New Roman"/>
          <w:noProof w:val="0"/>
          <w:color w:val="auto"/>
          <w:lang w:eastAsia="zh-CN"/>
        </w:rPr>
      </w:pPr>
      <w:r w:rsidRPr="00EE43C6">
        <w:rPr>
          <w:noProof w:val="0"/>
        </w:rPr>
        <w:t>the absence of an executive summary and information on the legal and institutional framework in the Turkish EIA (Technical level of information in the non-technical summary required in the Turkish EIA may not meet WB requirements);</w:t>
      </w:r>
    </w:p>
    <w:p w14:paraId="1E1826B0" w14:textId="77777777" w:rsidR="007D47CB" w:rsidRPr="00EE43C6" w:rsidRDefault="007D47CB" w:rsidP="00854BE8">
      <w:pPr>
        <w:pStyle w:val="ListParagraph"/>
        <w:numPr>
          <w:ilvl w:val="0"/>
          <w:numId w:val="14"/>
        </w:numPr>
        <w:spacing w:before="120"/>
        <w:ind w:left="714" w:hanging="357"/>
        <w:contextualSpacing w:val="0"/>
        <w:rPr>
          <w:rFonts w:eastAsia="Times New Roman"/>
          <w:noProof w:val="0"/>
          <w:color w:val="auto"/>
          <w:lang w:eastAsia="zh-CN"/>
        </w:rPr>
      </w:pPr>
      <w:r w:rsidRPr="00EE43C6">
        <w:rPr>
          <w:rFonts w:eastAsia="Times New Roman"/>
          <w:noProof w:val="0"/>
          <w:color w:val="auto"/>
          <w:lang w:eastAsia="zh-CN"/>
        </w:rPr>
        <w:t xml:space="preserve">possible discrepancies with regard to the level at which the project’s environmental and social impacts, its alternatives, and mitigation measures for the impacts are discussed (such as lack of discussions on residual impacts, limited discussion on indirect and induced impacts, limited assessment regarding use of resources and </w:t>
      </w:r>
      <w:r w:rsidR="00DE4262" w:rsidRPr="00EE43C6">
        <w:rPr>
          <w:rFonts w:eastAsia="Times New Roman"/>
          <w:noProof w:val="0"/>
          <w:color w:val="auto"/>
          <w:lang w:eastAsia="zh-CN"/>
        </w:rPr>
        <w:t>Greenhouse Gas (</w:t>
      </w:r>
      <w:r w:rsidRPr="00EE43C6">
        <w:rPr>
          <w:rFonts w:eastAsia="Times New Roman"/>
          <w:noProof w:val="0"/>
          <w:color w:val="auto"/>
          <w:lang w:eastAsia="zh-CN"/>
        </w:rPr>
        <w:t>GHG</w:t>
      </w:r>
      <w:r w:rsidR="00DE4262" w:rsidRPr="00EE43C6">
        <w:rPr>
          <w:rFonts w:eastAsia="Times New Roman"/>
          <w:noProof w:val="0"/>
          <w:color w:val="auto"/>
          <w:lang w:eastAsia="zh-CN"/>
        </w:rPr>
        <w:t>)</w:t>
      </w:r>
      <w:r w:rsidRPr="00EE43C6">
        <w:rPr>
          <w:rFonts w:eastAsia="Times New Roman"/>
          <w:noProof w:val="0"/>
          <w:color w:val="auto"/>
          <w:lang w:eastAsia="zh-CN"/>
        </w:rPr>
        <w:t xml:space="preserve"> emissions under Turkish EIA);</w:t>
      </w:r>
    </w:p>
    <w:p w14:paraId="76FE20E0" w14:textId="7FC57B0F" w:rsidR="007D47CB" w:rsidRPr="00EE43C6" w:rsidRDefault="007D47CB" w:rsidP="00854BE8">
      <w:pPr>
        <w:pStyle w:val="ListParagraph"/>
        <w:numPr>
          <w:ilvl w:val="0"/>
          <w:numId w:val="14"/>
        </w:numPr>
        <w:spacing w:before="120"/>
        <w:ind w:left="714" w:hanging="357"/>
        <w:contextualSpacing w:val="0"/>
        <w:rPr>
          <w:rFonts w:eastAsia="Times New Roman"/>
          <w:noProof w:val="0"/>
          <w:color w:val="auto"/>
          <w:lang w:eastAsia="zh-CN"/>
        </w:rPr>
      </w:pPr>
      <w:r w:rsidRPr="00EE43C6">
        <w:rPr>
          <w:rFonts w:eastAsia="Times New Roman"/>
          <w:noProof w:val="0"/>
          <w:color w:val="auto"/>
          <w:lang w:eastAsia="zh-CN"/>
        </w:rPr>
        <w:lastRenderedPageBreak/>
        <w:t>social impact assessment is not completely integrated to the Turkish EIA and this results in the absence of proper social baseline, identification and assessment of the project induced social impacts including impacts on disadvantaged or vulnerable and gender related issues,</w:t>
      </w:r>
    </w:p>
    <w:p w14:paraId="23B9C9CB" w14:textId="20FF4CE0" w:rsidR="007D47CB" w:rsidRPr="00EE43C6" w:rsidRDefault="007D47CB" w:rsidP="00854BE8">
      <w:pPr>
        <w:pStyle w:val="ListParagraph"/>
        <w:numPr>
          <w:ilvl w:val="0"/>
          <w:numId w:val="14"/>
        </w:numPr>
        <w:spacing w:before="120"/>
        <w:ind w:left="714" w:hanging="357"/>
        <w:contextualSpacing w:val="0"/>
        <w:rPr>
          <w:rFonts w:eastAsia="Times New Roman"/>
          <w:noProof w:val="0"/>
          <w:color w:val="auto"/>
          <w:lang w:eastAsia="zh-CN"/>
        </w:rPr>
      </w:pPr>
      <w:r w:rsidRPr="00EE43C6">
        <w:rPr>
          <w:rFonts w:eastAsia="Times New Roman"/>
          <w:noProof w:val="0"/>
          <w:color w:val="auto"/>
          <w:lang w:eastAsia="zh-CN"/>
        </w:rPr>
        <w:t xml:space="preserve">there are limited requirements to cover risks and impacts related to (i) community health and safety; (ii) occupational health and safety; and (iii) </w:t>
      </w:r>
      <w:r w:rsidR="007130A5" w:rsidRPr="00EE43C6">
        <w:rPr>
          <w:rFonts w:eastAsia="Times New Roman"/>
          <w:noProof w:val="0"/>
          <w:color w:val="auto"/>
          <w:lang w:eastAsia="zh-CN"/>
        </w:rPr>
        <w:t>labour</w:t>
      </w:r>
      <w:r w:rsidRPr="00EE43C6">
        <w:rPr>
          <w:rFonts w:eastAsia="Times New Roman"/>
          <w:noProof w:val="0"/>
          <w:color w:val="auto"/>
          <w:lang w:eastAsia="zh-CN"/>
        </w:rPr>
        <w:t xml:space="preserve"> and working conditions;</w:t>
      </w:r>
    </w:p>
    <w:p w14:paraId="7C3DE8B4" w14:textId="15AFB0CD" w:rsidR="007D47CB" w:rsidRPr="00EE43C6" w:rsidRDefault="007D47CB" w:rsidP="00854BE8">
      <w:pPr>
        <w:pStyle w:val="ListParagraph"/>
        <w:numPr>
          <w:ilvl w:val="0"/>
          <w:numId w:val="14"/>
        </w:numPr>
        <w:spacing w:before="120"/>
        <w:ind w:left="714" w:hanging="357"/>
        <w:contextualSpacing w:val="0"/>
        <w:rPr>
          <w:rFonts w:eastAsia="Times New Roman"/>
          <w:noProof w:val="0"/>
          <w:color w:val="auto"/>
          <w:lang w:eastAsia="zh-CN"/>
        </w:rPr>
      </w:pPr>
      <w:r w:rsidRPr="00EE43C6">
        <w:rPr>
          <w:rFonts w:eastAsia="Times New Roman"/>
          <w:noProof w:val="0"/>
          <w:color w:val="auto"/>
          <w:lang w:eastAsia="zh-CN"/>
        </w:rPr>
        <w:t>limited or no requirement to cover cumulative impacts with other projects in the Turkish EIA; and</w:t>
      </w:r>
    </w:p>
    <w:p w14:paraId="77273D36" w14:textId="101E5D13" w:rsidR="007D47CB" w:rsidRPr="00EE43C6" w:rsidRDefault="007D47CB" w:rsidP="00854BE8">
      <w:pPr>
        <w:pStyle w:val="ListParagraph"/>
        <w:numPr>
          <w:ilvl w:val="0"/>
          <w:numId w:val="14"/>
        </w:numPr>
        <w:spacing w:before="120"/>
        <w:ind w:left="714" w:hanging="357"/>
        <w:contextualSpacing w:val="0"/>
        <w:rPr>
          <w:rFonts w:eastAsia="Times New Roman"/>
          <w:noProof w:val="0"/>
          <w:color w:val="auto"/>
          <w:lang w:eastAsia="zh-CN"/>
        </w:rPr>
      </w:pPr>
      <w:r w:rsidRPr="00EE43C6">
        <w:rPr>
          <w:rFonts w:eastAsia="Times New Roman"/>
          <w:noProof w:val="0"/>
          <w:color w:val="auto"/>
          <w:lang w:eastAsia="zh-CN"/>
        </w:rPr>
        <w:t>limited emphasis on the associated facility in the Turkish EIA.</w:t>
      </w:r>
    </w:p>
    <w:p w14:paraId="4C32B67A" w14:textId="3435EAED" w:rsidR="00E74210" w:rsidRPr="00EE43C6" w:rsidRDefault="007D47CB" w:rsidP="007D47CB">
      <w:pPr>
        <w:rPr>
          <w:rFonts w:eastAsiaTheme="minorHAnsi"/>
          <w:szCs w:val="22"/>
        </w:rPr>
      </w:pPr>
      <w:r w:rsidRPr="00EE43C6">
        <w:rPr>
          <w:szCs w:val="22"/>
        </w:rPr>
        <w:t xml:space="preserve">Nevertheless, the project specific format for Turkish EIA may require more details under some of these headings than indicated in the general format. Consequently, a </w:t>
      </w:r>
      <w:r w:rsidR="008A4AEE" w:rsidRPr="00EE43C6">
        <w:rPr>
          <w:szCs w:val="22"/>
        </w:rPr>
        <w:t>case-by-case</w:t>
      </w:r>
      <w:r w:rsidRPr="00EE43C6">
        <w:rPr>
          <w:szCs w:val="22"/>
        </w:rPr>
        <w:t xml:space="preserve"> review of the Turkish EIAs is necessary to identify gaps with WB requirements.</w:t>
      </w:r>
    </w:p>
    <w:p w14:paraId="66D08754" w14:textId="77777777" w:rsidR="00757092" w:rsidRPr="00EE43C6" w:rsidRDefault="005F472D" w:rsidP="005F472D">
      <w:pPr>
        <w:rPr>
          <w:rFonts w:cs="MS Gothic"/>
          <w:szCs w:val="22"/>
        </w:rPr>
        <w:sectPr w:rsidR="00757092" w:rsidRPr="00EE43C6" w:rsidSect="00D719FE">
          <w:headerReference w:type="default" r:id="rId35"/>
          <w:footerReference w:type="default" r:id="rId36"/>
          <w:pgSz w:w="11900" w:h="16840" w:code="9"/>
          <w:pgMar w:top="1418" w:right="1418" w:bottom="1418" w:left="1418" w:header="709" w:footer="288" w:gutter="0"/>
          <w:cols w:space="708"/>
          <w:docGrid w:linePitch="360"/>
        </w:sectPr>
      </w:pPr>
      <w:r w:rsidRPr="00EE43C6">
        <w:rPr>
          <w:rFonts w:cs="MS Gothic"/>
          <w:szCs w:val="22"/>
        </w:rPr>
        <w:t xml:space="preserve">The gaps between the WB Environmental Policy and the National Legislation are presented in </w:t>
      </w:r>
      <w:r w:rsidR="00A2395B" w:rsidRPr="00EE43C6">
        <w:rPr>
          <w:rFonts w:cs="MS Gothic"/>
          <w:szCs w:val="22"/>
        </w:rPr>
        <w:fldChar w:fldCharType="begin"/>
      </w:r>
      <w:r w:rsidR="00A2395B" w:rsidRPr="00EE43C6">
        <w:rPr>
          <w:rFonts w:cs="MS Gothic"/>
          <w:szCs w:val="22"/>
        </w:rPr>
        <w:instrText xml:space="preserve"> REF _Ref118897353 \h </w:instrText>
      </w:r>
      <w:r w:rsidR="00A2395B" w:rsidRPr="00EE43C6">
        <w:rPr>
          <w:rFonts w:cs="MS Gothic"/>
          <w:szCs w:val="22"/>
        </w:rPr>
      </w:r>
      <w:r w:rsidR="00A2395B" w:rsidRPr="00EE43C6">
        <w:rPr>
          <w:rFonts w:cs="MS Gothic"/>
          <w:szCs w:val="22"/>
        </w:rPr>
        <w:fldChar w:fldCharType="separate"/>
      </w:r>
      <w:r w:rsidR="00CE3B94" w:rsidRPr="00EE43C6">
        <w:t>Table 3</w:t>
      </w:r>
      <w:r w:rsidR="00CE3B94" w:rsidRPr="00EE43C6">
        <w:noBreakHyphen/>
        <w:t>3</w:t>
      </w:r>
      <w:r w:rsidR="00A2395B" w:rsidRPr="00EE43C6">
        <w:rPr>
          <w:rFonts w:cs="MS Gothic"/>
          <w:szCs w:val="22"/>
        </w:rPr>
        <w:fldChar w:fldCharType="end"/>
      </w:r>
      <w:r w:rsidRPr="00EE43C6">
        <w:rPr>
          <w:rFonts w:cs="MS Gothic"/>
          <w:szCs w:val="22"/>
        </w:rPr>
        <w:t>.</w:t>
      </w:r>
    </w:p>
    <w:p w14:paraId="17A08C92" w14:textId="75CC615A" w:rsidR="00B51A36" w:rsidRPr="00EE43C6" w:rsidRDefault="00A2395B" w:rsidP="00A2395B">
      <w:pPr>
        <w:pStyle w:val="Caption"/>
        <w:rPr>
          <w:noProof w:val="0"/>
        </w:rPr>
      </w:pPr>
      <w:bookmarkStart w:id="194" w:name="_Ref118897353"/>
      <w:bookmarkStart w:id="195" w:name="_Toc80633485"/>
      <w:bookmarkStart w:id="196" w:name="_Toc102086947"/>
      <w:bookmarkStart w:id="197" w:name="_Toc111118936"/>
      <w:bookmarkStart w:id="198" w:name="_Toc120016847"/>
      <w:bookmarkStart w:id="199" w:name="_Toc120004625"/>
      <w:bookmarkStart w:id="200" w:name="_Toc141445495"/>
      <w:r w:rsidRPr="00EE43C6">
        <w:rPr>
          <w:noProof w:val="0"/>
        </w:rPr>
        <w:lastRenderedPageBreak/>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3</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3</w:t>
      </w:r>
      <w:r w:rsidR="006D2DE8">
        <w:rPr>
          <w:noProof w:val="0"/>
        </w:rPr>
        <w:fldChar w:fldCharType="end"/>
      </w:r>
      <w:bookmarkEnd w:id="194"/>
      <w:r w:rsidRPr="00EE43C6">
        <w:rPr>
          <w:noProof w:val="0"/>
        </w:rPr>
        <w:t xml:space="preserve">. </w:t>
      </w:r>
      <w:r w:rsidR="00B51A36" w:rsidRPr="00EE43C6">
        <w:rPr>
          <w:b w:val="0"/>
          <w:noProof w:val="0"/>
          <w:color w:val="auto"/>
        </w:rPr>
        <w:t xml:space="preserve">Comparison between the World Bank </w:t>
      </w:r>
      <w:r w:rsidR="00DE4262" w:rsidRPr="00EE43C6">
        <w:rPr>
          <w:b w:val="0"/>
          <w:noProof w:val="0"/>
          <w:color w:val="auto"/>
        </w:rPr>
        <w:t>ESSs</w:t>
      </w:r>
      <w:r w:rsidR="00B51A36" w:rsidRPr="00EE43C6">
        <w:rPr>
          <w:b w:val="0"/>
          <w:noProof w:val="0"/>
          <w:color w:val="auto"/>
        </w:rPr>
        <w:t xml:space="preserve"> and the National Legislation</w:t>
      </w:r>
      <w:bookmarkEnd w:id="195"/>
      <w:bookmarkEnd w:id="196"/>
      <w:bookmarkEnd w:id="197"/>
      <w:bookmarkEnd w:id="198"/>
      <w:bookmarkEnd w:id="199"/>
      <w:bookmarkEnd w:id="200"/>
      <w:r w:rsidR="00B51A36" w:rsidRPr="00EE43C6">
        <w:rPr>
          <w:noProof w:val="0"/>
        </w:rPr>
        <w:t xml:space="preserve"> </w:t>
      </w:r>
    </w:p>
    <w:tbl>
      <w:tblPr>
        <w:tblW w:w="5000" w:type="pct"/>
        <w:jc w:val="center"/>
        <w:tblCellMar>
          <w:left w:w="0" w:type="dxa"/>
          <w:right w:w="0" w:type="dxa"/>
        </w:tblCellMar>
        <w:tblLook w:val="01E0" w:firstRow="1" w:lastRow="1" w:firstColumn="1" w:lastColumn="1" w:noHBand="0" w:noVBand="0"/>
      </w:tblPr>
      <w:tblGrid>
        <w:gridCol w:w="2969"/>
        <w:gridCol w:w="5799"/>
        <w:gridCol w:w="5220"/>
      </w:tblGrid>
      <w:tr w:rsidR="00B51A36" w:rsidRPr="00EE43C6" w14:paraId="67489ABD" w14:textId="77777777" w:rsidTr="00E67C71">
        <w:trPr>
          <w:trHeight w:val="284"/>
          <w:tblHeader/>
          <w:jc w:val="center"/>
        </w:trPr>
        <w:tc>
          <w:tcPr>
            <w:tcW w:w="1061"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hideMark/>
          </w:tcPr>
          <w:p w14:paraId="053D7234" w14:textId="0C77B111" w:rsidR="00B51A36" w:rsidRPr="00EE43C6" w:rsidRDefault="00D05098" w:rsidP="00757092">
            <w:pPr>
              <w:pStyle w:val="Default"/>
              <w:spacing w:before="60" w:after="60"/>
              <w:ind w:left="113" w:right="113"/>
              <w:rPr>
                <w:color w:val="FFFFFF"/>
                <w:sz w:val="18"/>
                <w:szCs w:val="18"/>
                <w:lang w:val="en-GB"/>
              </w:rPr>
            </w:pPr>
            <w:r w:rsidRPr="00EE43C6">
              <w:rPr>
                <w:b/>
                <w:bCs/>
                <w:color w:val="FFFFFF"/>
                <w:sz w:val="18"/>
                <w:szCs w:val="18"/>
                <w:lang w:val="en-GB"/>
              </w:rPr>
              <w:t xml:space="preserve">WB Environmental and Social Standards (ESS) </w:t>
            </w:r>
          </w:p>
        </w:tc>
        <w:tc>
          <w:tcPr>
            <w:tcW w:w="2073"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vAlign w:val="center"/>
          </w:tcPr>
          <w:p w14:paraId="2152F6B8" w14:textId="00715C1D" w:rsidR="00B51A36" w:rsidRPr="00EE43C6" w:rsidRDefault="00D05098" w:rsidP="00757092">
            <w:pPr>
              <w:spacing w:before="60" w:after="60" w:line="240" w:lineRule="auto"/>
              <w:ind w:left="113" w:right="113"/>
              <w:jc w:val="center"/>
              <w:rPr>
                <w:rFonts w:eastAsia="MS Gothic" w:cs="MS Gothic"/>
                <w:b/>
                <w:color w:val="FFFFFF"/>
                <w:position w:val="-1"/>
                <w:sz w:val="18"/>
                <w:szCs w:val="18"/>
              </w:rPr>
            </w:pPr>
            <w:r w:rsidRPr="00EE43C6">
              <w:rPr>
                <w:rFonts w:eastAsia="Arial" w:cs="Arial"/>
                <w:b/>
                <w:color w:val="FFFFFF"/>
                <w:sz w:val="18"/>
                <w:szCs w:val="18"/>
              </w:rPr>
              <w:t>Gaps</w:t>
            </w:r>
          </w:p>
        </w:tc>
        <w:tc>
          <w:tcPr>
            <w:tcW w:w="1866"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vAlign w:val="center"/>
          </w:tcPr>
          <w:p w14:paraId="06CFA70F" w14:textId="27EA7B9F" w:rsidR="00B51A36" w:rsidRPr="00EE43C6" w:rsidRDefault="00210F3C" w:rsidP="00757092">
            <w:pPr>
              <w:pStyle w:val="Default"/>
              <w:spacing w:before="60" w:after="60"/>
              <w:ind w:left="113" w:right="113"/>
              <w:jc w:val="center"/>
              <w:rPr>
                <w:rFonts w:eastAsia="MS Gothic"/>
                <w:color w:val="FFFFFF"/>
                <w:sz w:val="18"/>
                <w:szCs w:val="18"/>
                <w:lang w:val="en-GB"/>
              </w:rPr>
            </w:pPr>
            <w:r w:rsidRPr="00EE43C6">
              <w:rPr>
                <w:b/>
                <w:bCs/>
                <w:color w:val="FFFFFF"/>
                <w:sz w:val="18"/>
                <w:szCs w:val="18"/>
                <w:lang w:val="en-GB"/>
              </w:rPr>
              <w:t>ESF Documents/study to fill the Gaps</w:t>
            </w:r>
          </w:p>
        </w:tc>
      </w:tr>
      <w:tr w:rsidR="00B51A36" w:rsidRPr="00EE43C6" w14:paraId="48D74E75" w14:textId="77777777" w:rsidTr="00E67C71">
        <w:trPr>
          <w:trHeight w:val="284"/>
          <w:jc w:val="center"/>
        </w:trPr>
        <w:tc>
          <w:tcPr>
            <w:tcW w:w="106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1E9BC5" w14:textId="77777777" w:rsidR="00574E78" w:rsidRPr="00EE43C6" w:rsidRDefault="00574E78" w:rsidP="00E67C71">
            <w:pPr>
              <w:pStyle w:val="Default"/>
              <w:spacing w:before="60" w:after="60"/>
              <w:ind w:left="113" w:right="113"/>
              <w:rPr>
                <w:sz w:val="18"/>
                <w:szCs w:val="18"/>
                <w:lang w:val="en-GB"/>
              </w:rPr>
            </w:pPr>
            <w:r w:rsidRPr="00EE43C6">
              <w:rPr>
                <w:sz w:val="18"/>
                <w:szCs w:val="18"/>
                <w:lang w:val="en-GB"/>
              </w:rPr>
              <w:t xml:space="preserve">ESS1: Assessment and Management of Environmental and Social Risks and Impacts </w:t>
            </w:r>
          </w:p>
          <w:p w14:paraId="67653444" w14:textId="3F380657" w:rsidR="00B51A36" w:rsidRPr="00EE43C6" w:rsidRDefault="00B51A36" w:rsidP="00E67C71">
            <w:pPr>
              <w:spacing w:before="60" w:after="60" w:line="240" w:lineRule="auto"/>
              <w:ind w:left="113" w:right="113"/>
              <w:jc w:val="left"/>
              <w:rPr>
                <w:rFonts w:eastAsia="MS Gothic" w:cs="MS Gothic"/>
                <w:sz w:val="18"/>
                <w:szCs w:val="18"/>
              </w:rPr>
            </w:pPr>
          </w:p>
        </w:tc>
        <w:tc>
          <w:tcPr>
            <w:tcW w:w="207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380A714" w14:textId="77777777" w:rsidR="008F04F7" w:rsidRPr="00EE43C6" w:rsidRDefault="008F04F7" w:rsidP="00E67C71">
            <w:pPr>
              <w:pStyle w:val="Default"/>
              <w:spacing w:before="60" w:after="60"/>
              <w:ind w:left="113" w:right="113"/>
              <w:rPr>
                <w:sz w:val="18"/>
                <w:szCs w:val="18"/>
                <w:lang w:val="en-GB"/>
              </w:rPr>
            </w:pPr>
            <w:r w:rsidRPr="00EE43C6">
              <w:rPr>
                <w:sz w:val="18"/>
                <w:szCs w:val="18"/>
                <w:lang w:val="en-GB"/>
              </w:rPr>
              <w:t xml:space="preserve">The major gaps between national EIA and ESS1 are as follows: </w:t>
            </w:r>
          </w:p>
          <w:p w14:paraId="2996A034" w14:textId="769D9D61" w:rsidR="008F04F7" w:rsidRPr="00EE43C6" w:rsidRDefault="008F04F7" w:rsidP="00E67C71">
            <w:pPr>
              <w:pStyle w:val="Default"/>
              <w:numPr>
                <w:ilvl w:val="0"/>
                <w:numId w:val="37"/>
              </w:numPr>
              <w:spacing w:before="60" w:after="60"/>
              <w:ind w:left="432" w:right="113" w:hanging="283"/>
              <w:rPr>
                <w:sz w:val="18"/>
                <w:szCs w:val="18"/>
                <w:lang w:val="en-GB"/>
              </w:rPr>
            </w:pPr>
            <w:r w:rsidRPr="00EE43C6">
              <w:rPr>
                <w:sz w:val="18"/>
                <w:szCs w:val="18"/>
                <w:lang w:val="en-GB"/>
              </w:rPr>
              <w:t xml:space="preserve">Social impact assessment is not completely integrated to the Turkish EIA and this results in the absence of proper social baseline, identification and assessment of the project induced social impacts including impacts on disadvantaged or vulnerable and gender related issues, </w:t>
            </w:r>
          </w:p>
          <w:p w14:paraId="128CC123" w14:textId="77ADED19" w:rsidR="008F04F7" w:rsidRPr="00EE43C6" w:rsidRDefault="008F04F7" w:rsidP="00E67C71">
            <w:pPr>
              <w:pStyle w:val="Default"/>
              <w:numPr>
                <w:ilvl w:val="0"/>
                <w:numId w:val="37"/>
              </w:numPr>
              <w:spacing w:before="60" w:after="60"/>
              <w:ind w:left="432" w:right="113" w:hanging="283"/>
              <w:rPr>
                <w:sz w:val="18"/>
                <w:szCs w:val="18"/>
                <w:lang w:val="en-GB"/>
              </w:rPr>
            </w:pPr>
            <w:r w:rsidRPr="00EE43C6">
              <w:rPr>
                <w:sz w:val="18"/>
                <w:szCs w:val="18"/>
                <w:lang w:val="en-GB"/>
              </w:rPr>
              <w:t xml:space="preserve">The absence of an executive summary and information on the legal and institutional framework in the Turkish EIA (Technical level of information in the non-technical summary required in the Turkish EIA may not meet WB requirements); </w:t>
            </w:r>
          </w:p>
          <w:p w14:paraId="3CDA11D0" w14:textId="1F76B59D" w:rsidR="008F04F7" w:rsidRPr="00EE43C6" w:rsidRDefault="008F04F7" w:rsidP="00E67C71">
            <w:pPr>
              <w:pStyle w:val="Default"/>
              <w:numPr>
                <w:ilvl w:val="0"/>
                <w:numId w:val="37"/>
              </w:numPr>
              <w:spacing w:before="60" w:after="60"/>
              <w:ind w:left="432" w:right="113" w:hanging="283"/>
              <w:rPr>
                <w:sz w:val="18"/>
                <w:szCs w:val="18"/>
                <w:lang w:val="en-GB"/>
              </w:rPr>
            </w:pPr>
            <w:r w:rsidRPr="00EE43C6">
              <w:rPr>
                <w:sz w:val="18"/>
                <w:szCs w:val="18"/>
                <w:lang w:val="en-GB"/>
              </w:rPr>
              <w:t xml:space="preserve">Limited or no requirement to cover cumulative impacts with other projects in the Turkish EIA; and </w:t>
            </w:r>
          </w:p>
          <w:p w14:paraId="14EA37F3" w14:textId="3C782E37" w:rsidR="008F04F7" w:rsidRPr="00EE43C6" w:rsidRDefault="008F04F7" w:rsidP="00E67C71">
            <w:pPr>
              <w:pStyle w:val="Default"/>
              <w:numPr>
                <w:ilvl w:val="0"/>
                <w:numId w:val="37"/>
              </w:numPr>
              <w:spacing w:before="60" w:after="60"/>
              <w:ind w:left="432" w:right="113" w:hanging="283"/>
              <w:rPr>
                <w:sz w:val="18"/>
                <w:szCs w:val="18"/>
                <w:lang w:val="en-GB"/>
              </w:rPr>
            </w:pPr>
            <w:r w:rsidRPr="00EE43C6">
              <w:rPr>
                <w:sz w:val="18"/>
                <w:szCs w:val="18"/>
                <w:lang w:val="en-GB"/>
              </w:rPr>
              <w:t xml:space="preserve">Limited emphasis on the associated facilities. </w:t>
            </w:r>
          </w:p>
          <w:p w14:paraId="4570A20F" w14:textId="1B830C97" w:rsidR="00B51A36" w:rsidRPr="00EE43C6" w:rsidRDefault="008F04F7" w:rsidP="00E67C71">
            <w:pPr>
              <w:pStyle w:val="Default"/>
              <w:numPr>
                <w:ilvl w:val="0"/>
                <w:numId w:val="37"/>
              </w:numPr>
              <w:spacing w:before="60" w:after="60"/>
              <w:ind w:left="432" w:right="113" w:hanging="283"/>
              <w:rPr>
                <w:sz w:val="18"/>
                <w:szCs w:val="18"/>
                <w:lang w:val="en-GB"/>
              </w:rPr>
            </w:pPr>
            <w:r w:rsidRPr="00EE43C6">
              <w:rPr>
                <w:sz w:val="18"/>
                <w:szCs w:val="18"/>
                <w:lang w:val="en-GB"/>
              </w:rPr>
              <w:t xml:space="preserve">Limited information regarding sub-management plans such as Water Quality Management Plan, Air Quality Management Plan, Noise Management Plan, Hazardous Waste Management Plan, Community </w:t>
            </w:r>
            <w:r w:rsidR="0039555C" w:rsidRPr="00EE43C6">
              <w:rPr>
                <w:sz w:val="18"/>
                <w:szCs w:val="18"/>
                <w:lang w:val="en-GB"/>
              </w:rPr>
              <w:t>Health</w:t>
            </w:r>
            <w:r w:rsidRPr="00EE43C6">
              <w:rPr>
                <w:sz w:val="18"/>
                <w:szCs w:val="18"/>
                <w:lang w:val="en-GB"/>
              </w:rPr>
              <w:t xml:space="preserve"> and Safety Management Plan etc. </w:t>
            </w:r>
          </w:p>
        </w:tc>
        <w:tc>
          <w:tcPr>
            <w:tcW w:w="18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F7EA1" w14:textId="47386AFB" w:rsidR="00BF6374" w:rsidRPr="00EE43C6" w:rsidRDefault="00BF6374" w:rsidP="00E67C71">
            <w:pPr>
              <w:pStyle w:val="Default"/>
              <w:spacing w:before="60" w:after="60"/>
              <w:ind w:left="113" w:right="113"/>
              <w:rPr>
                <w:sz w:val="18"/>
                <w:szCs w:val="18"/>
                <w:lang w:val="en-GB"/>
              </w:rPr>
            </w:pPr>
            <w:r w:rsidRPr="00EE43C6">
              <w:rPr>
                <w:sz w:val="18"/>
                <w:szCs w:val="18"/>
                <w:lang w:val="en-GB"/>
              </w:rPr>
              <w:t xml:space="preserve">Sub-project specific Environmental and social assessment studies regarding ESIA or ESMP will be prepared in line with ESS1. In this respect, as it is defined in ToC provided in Annex 2 of </w:t>
            </w:r>
            <w:r w:rsidR="00051696" w:rsidRPr="00EE43C6">
              <w:rPr>
                <w:sz w:val="18"/>
                <w:szCs w:val="18"/>
                <w:lang w:val="en-GB"/>
              </w:rPr>
              <w:t xml:space="preserve">Environmental and Social Management </w:t>
            </w:r>
            <w:r w:rsidR="002E0EC6" w:rsidRPr="00EE43C6">
              <w:rPr>
                <w:sz w:val="18"/>
                <w:szCs w:val="18"/>
                <w:lang w:val="en-GB"/>
              </w:rPr>
              <w:t>Framework (</w:t>
            </w:r>
            <w:r w:rsidRPr="00EE43C6">
              <w:rPr>
                <w:sz w:val="18"/>
                <w:szCs w:val="18"/>
                <w:lang w:val="en-GB"/>
              </w:rPr>
              <w:t>ESMF</w:t>
            </w:r>
            <w:r w:rsidR="00051696" w:rsidRPr="00EE43C6">
              <w:rPr>
                <w:sz w:val="18"/>
                <w:szCs w:val="18"/>
                <w:lang w:val="en-GB"/>
              </w:rPr>
              <w:t xml:space="preserve">) that was approved by WB for </w:t>
            </w:r>
            <w:r w:rsidR="00117757">
              <w:rPr>
                <w:sz w:val="18"/>
                <w:szCs w:val="18"/>
                <w:lang w:val="en-GB"/>
              </w:rPr>
              <w:t>Türkiye</w:t>
            </w:r>
            <w:r w:rsidR="00051696" w:rsidRPr="00EE43C6">
              <w:rPr>
                <w:sz w:val="18"/>
                <w:szCs w:val="18"/>
                <w:lang w:val="en-GB"/>
              </w:rPr>
              <w:t xml:space="preserve"> OIZs Project</w:t>
            </w:r>
            <w:r w:rsidRPr="00EE43C6">
              <w:rPr>
                <w:sz w:val="18"/>
                <w:szCs w:val="18"/>
                <w:lang w:val="en-GB"/>
              </w:rPr>
              <w:t xml:space="preserve">, potential social impacts of the sub-projects will be the part of the assessment. </w:t>
            </w:r>
          </w:p>
          <w:p w14:paraId="27B9DF0D" w14:textId="2262BB54" w:rsidR="00BF6374" w:rsidRPr="00EE43C6" w:rsidRDefault="00BF6374" w:rsidP="00E67C71">
            <w:pPr>
              <w:pStyle w:val="Default"/>
              <w:spacing w:before="60" w:after="60"/>
              <w:ind w:left="113" w:right="113"/>
              <w:rPr>
                <w:sz w:val="18"/>
                <w:szCs w:val="18"/>
                <w:lang w:val="en-GB"/>
              </w:rPr>
            </w:pPr>
            <w:r w:rsidRPr="00EE43C6">
              <w:rPr>
                <w:sz w:val="18"/>
                <w:szCs w:val="18"/>
                <w:lang w:val="en-GB"/>
              </w:rPr>
              <w:t>The environmental and social assessment will</w:t>
            </w:r>
            <w:r w:rsidR="00333216" w:rsidRPr="00EE43C6">
              <w:rPr>
                <w:sz w:val="18"/>
                <w:szCs w:val="18"/>
                <w:lang w:val="en-GB"/>
              </w:rPr>
              <w:t xml:space="preserve"> </w:t>
            </w:r>
            <w:r w:rsidRPr="00EE43C6">
              <w:rPr>
                <w:sz w:val="18"/>
                <w:szCs w:val="18"/>
                <w:lang w:val="en-GB"/>
              </w:rPr>
              <w:t xml:space="preserve">include impacts of the associated facilities and potential cumulative impacts. </w:t>
            </w:r>
          </w:p>
          <w:p w14:paraId="20C1E0BC" w14:textId="00C15CC5" w:rsidR="00B51A36" w:rsidRPr="00EE43C6" w:rsidRDefault="00BF6374" w:rsidP="00E67C71">
            <w:pPr>
              <w:spacing w:before="60" w:after="60" w:line="240" w:lineRule="auto"/>
              <w:ind w:left="113" w:right="113"/>
              <w:jc w:val="left"/>
              <w:rPr>
                <w:rFonts w:eastAsia="MS Gothic" w:cs="MS Gothic"/>
                <w:sz w:val="18"/>
                <w:szCs w:val="18"/>
              </w:rPr>
            </w:pPr>
            <w:r w:rsidRPr="00EE43C6">
              <w:rPr>
                <w:rFonts w:cs="Arial"/>
                <w:sz w:val="18"/>
                <w:szCs w:val="18"/>
              </w:rPr>
              <w:t xml:space="preserve">Depending on the level of the impacts and proposed mitigation measures together with residual impact analysis, sub-management plans will be annexed to the ESIA/ESMP. </w:t>
            </w:r>
          </w:p>
        </w:tc>
      </w:tr>
      <w:tr w:rsidR="00B51A36" w:rsidRPr="00EE43C6" w14:paraId="5146E7A7" w14:textId="77777777" w:rsidTr="00E67C71">
        <w:trPr>
          <w:trHeight w:val="284"/>
          <w:jc w:val="center"/>
        </w:trPr>
        <w:tc>
          <w:tcPr>
            <w:tcW w:w="106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CE1F4D" w14:textId="77777777" w:rsidR="00DF7B3A" w:rsidRPr="00EE43C6" w:rsidRDefault="00DF7B3A" w:rsidP="00E67C71">
            <w:pPr>
              <w:pStyle w:val="Default"/>
              <w:spacing w:before="60" w:after="60"/>
              <w:ind w:left="113" w:right="113"/>
              <w:rPr>
                <w:sz w:val="18"/>
                <w:szCs w:val="18"/>
                <w:lang w:val="en-GB"/>
              </w:rPr>
            </w:pPr>
            <w:r w:rsidRPr="00EE43C6">
              <w:rPr>
                <w:sz w:val="18"/>
                <w:szCs w:val="18"/>
                <w:lang w:val="en-GB"/>
              </w:rPr>
              <w:t xml:space="preserve">ESS2: Labour and Working Conditions </w:t>
            </w:r>
          </w:p>
          <w:p w14:paraId="4AD39236" w14:textId="0629B49D" w:rsidR="00B51A36" w:rsidRPr="00EE43C6" w:rsidRDefault="00B51A36" w:rsidP="00E67C71">
            <w:pPr>
              <w:spacing w:before="60" w:after="60" w:line="240" w:lineRule="auto"/>
              <w:ind w:left="113" w:right="113"/>
              <w:jc w:val="left"/>
              <w:rPr>
                <w:rFonts w:eastAsia="MS Gothic" w:cs="MS Gothic"/>
                <w:sz w:val="18"/>
                <w:szCs w:val="18"/>
              </w:rPr>
            </w:pPr>
          </w:p>
        </w:tc>
        <w:tc>
          <w:tcPr>
            <w:tcW w:w="207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6A0F8" w14:textId="7F93B275" w:rsidR="00B51A36" w:rsidRPr="00EE43C6" w:rsidRDefault="009D196F" w:rsidP="00E67C71">
            <w:pPr>
              <w:pStyle w:val="Default"/>
              <w:spacing w:before="60" w:after="60"/>
              <w:ind w:left="113" w:right="113"/>
              <w:rPr>
                <w:sz w:val="18"/>
                <w:szCs w:val="18"/>
                <w:lang w:val="en-GB"/>
              </w:rPr>
            </w:pPr>
            <w:r w:rsidRPr="00EE43C6">
              <w:rPr>
                <w:sz w:val="18"/>
                <w:szCs w:val="18"/>
                <w:lang w:val="en-GB"/>
              </w:rPr>
              <w:t xml:space="preserve">In general, Turkish national laws and regulations regarding labour and working conditions satisfies ESS2 requirements. Worker grievance mechanism is the main gap between national legislative requirement and ESS2. Per the Turkish national legislation on labour and working conditions, there </w:t>
            </w:r>
            <w:r w:rsidR="002D7C15" w:rsidRPr="00EE43C6">
              <w:rPr>
                <w:sz w:val="18"/>
                <w:szCs w:val="18"/>
                <w:lang w:val="en-GB"/>
              </w:rPr>
              <w:t>is no specific requirement related to grievance mechanism that allow workers to communicate their complaints to the employer.</w:t>
            </w:r>
          </w:p>
        </w:tc>
        <w:tc>
          <w:tcPr>
            <w:tcW w:w="18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419B8C" w14:textId="199ADB0E" w:rsidR="002A2F2C" w:rsidRPr="00EE43C6" w:rsidRDefault="34A836B9" w:rsidP="00E67C71">
            <w:pPr>
              <w:pStyle w:val="Default"/>
              <w:spacing w:before="60" w:after="60"/>
              <w:ind w:left="113" w:right="113"/>
              <w:rPr>
                <w:sz w:val="18"/>
                <w:szCs w:val="18"/>
                <w:lang w:val="en-GB"/>
              </w:rPr>
            </w:pPr>
            <w:r w:rsidRPr="3C3DFBEF">
              <w:rPr>
                <w:sz w:val="18"/>
                <w:szCs w:val="18"/>
                <w:lang w:val="en-GB"/>
              </w:rPr>
              <w:t>Labour</w:t>
            </w:r>
            <w:r w:rsidR="4955238D" w:rsidRPr="3C3DFBEF">
              <w:rPr>
                <w:sz w:val="18"/>
                <w:szCs w:val="18"/>
                <w:lang w:val="en-GB"/>
              </w:rPr>
              <w:t xml:space="preserve"> Management </w:t>
            </w:r>
            <w:r w:rsidR="6DEF20AA" w:rsidRPr="3C3DFBEF">
              <w:rPr>
                <w:sz w:val="18"/>
                <w:szCs w:val="18"/>
                <w:lang w:val="en-GB"/>
              </w:rPr>
              <w:t>P</w:t>
            </w:r>
            <w:r w:rsidR="00C473B7">
              <w:rPr>
                <w:sz w:val="18"/>
                <w:szCs w:val="18"/>
                <w:lang w:val="en-GB"/>
              </w:rPr>
              <w:t>lan</w:t>
            </w:r>
            <w:r w:rsidR="4955238D" w:rsidRPr="3C3DFBEF">
              <w:rPr>
                <w:sz w:val="18"/>
                <w:szCs w:val="18"/>
                <w:lang w:val="en-GB"/>
              </w:rPr>
              <w:t xml:space="preserve"> (</w:t>
            </w:r>
            <w:r w:rsidR="79D73FEC" w:rsidRPr="3C3DFBEF">
              <w:rPr>
                <w:sz w:val="18"/>
                <w:szCs w:val="18"/>
                <w:lang w:val="en-GB"/>
              </w:rPr>
              <w:t>LMP</w:t>
            </w:r>
            <w:r w:rsidR="4955238D" w:rsidRPr="3C3DFBEF">
              <w:rPr>
                <w:sz w:val="18"/>
                <w:szCs w:val="18"/>
                <w:lang w:val="en-GB"/>
              </w:rPr>
              <w:t>)</w:t>
            </w:r>
            <w:r w:rsidR="79D73FEC" w:rsidRPr="3C3DFBEF">
              <w:rPr>
                <w:sz w:val="18"/>
                <w:szCs w:val="18"/>
                <w:lang w:val="en-GB"/>
              </w:rPr>
              <w:t xml:space="preserve"> </w:t>
            </w:r>
            <w:r w:rsidR="2F622E26" w:rsidRPr="3C3DFBEF">
              <w:rPr>
                <w:sz w:val="18"/>
                <w:szCs w:val="18"/>
                <w:lang w:val="en-GB"/>
              </w:rPr>
              <w:t>and Labour Management Plans are</w:t>
            </w:r>
            <w:r w:rsidR="79D73FEC" w:rsidRPr="3C3DFBEF">
              <w:rPr>
                <w:sz w:val="18"/>
                <w:szCs w:val="18"/>
                <w:lang w:val="en-GB"/>
              </w:rPr>
              <w:t xml:space="preserve"> developed as a part of ESF documents. LMP will also provide guidance on the required mitigations or management implementations such as </w:t>
            </w:r>
            <w:r w:rsidR="7FC32E37" w:rsidRPr="3C3DFBEF">
              <w:rPr>
                <w:sz w:val="18"/>
                <w:szCs w:val="18"/>
                <w:lang w:val="en-GB"/>
              </w:rPr>
              <w:t>workers.</w:t>
            </w:r>
            <w:r w:rsidR="79D73FEC" w:rsidRPr="3C3DFBEF">
              <w:rPr>
                <w:sz w:val="18"/>
                <w:szCs w:val="18"/>
                <w:lang w:val="en-GB"/>
              </w:rPr>
              <w:t xml:space="preserve"> </w:t>
            </w:r>
          </w:p>
          <w:p w14:paraId="526A40DB" w14:textId="7E3B52DF" w:rsidR="00B51A36" w:rsidRPr="00EE43C6" w:rsidRDefault="002A2F2C" w:rsidP="00E67C71">
            <w:pPr>
              <w:pStyle w:val="Default"/>
              <w:spacing w:before="60" w:after="60"/>
              <w:ind w:left="113" w:right="113"/>
              <w:rPr>
                <w:sz w:val="18"/>
                <w:szCs w:val="18"/>
                <w:lang w:val="en-GB"/>
              </w:rPr>
            </w:pPr>
            <w:r w:rsidRPr="00EE43C6">
              <w:rPr>
                <w:sz w:val="18"/>
                <w:szCs w:val="18"/>
                <w:lang w:val="en-GB"/>
              </w:rPr>
              <w:t xml:space="preserve">GM, code of conduct etc. stipulated by ESS2 and relevant WB EHS guidelines. </w:t>
            </w:r>
          </w:p>
        </w:tc>
      </w:tr>
      <w:tr w:rsidR="00B51A36" w:rsidRPr="00EE43C6" w14:paraId="5F18BD14" w14:textId="77777777" w:rsidTr="00E67C71">
        <w:trPr>
          <w:trHeight w:val="284"/>
          <w:jc w:val="center"/>
        </w:trPr>
        <w:tc>
          <w:tcPr>
            <w:tcW w:w="106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43313C" w14:textId="77777777" w:rsidR="0097118F" w:rsidRPr="00EE43C6" w:rsidRDefault="0097118F" w:rsidP="00E67C71">
            <w:pPr>
              <w:pStyle w:val="Default"/>
              <w:spacing w:before="60" w:after="60"/>
              <w:ind w:left="113" w:right="113"/>
              <w:rPr>
                <w:sz w:val="18"/>
                <w:szCs w:val="18"/>
                <w:lang w:val="en-GB"/>
              </w:rPr>
            </w:pPr>
            <w:r w:rsidRPr="00EE43C6">
              <w:rPr>
                <w:sz w:val="18"/>
                <w:szCs w:val="18"/>
                <w:lang w:val="en-GB"/>
              </w:rPr>
              <w:t xml:space="preserve">ESS3: Resource Efficiency and Pollution Prevention and Management </w:t>
            </w:r>
          </w:p>
          <w:p w14:paraId="7CA1DA73" w14:textId="66E10FA0" w:rsidR="00B51A36" w:rsidRPr="00EE43C6" w:rsidRDefault="00B51A36" w:rsidP="00E67C71">
            <w:pPr>
              <w:spacing w:before="60" w:after="60" w:line="240" w:lineRule="auto"/>
              <w:ind w:left="113" w:right="113"/>
              <w:jc w:val="left"/>
              <w:rPr>
                <w:rFonts w:eastAsia="MS Gothic" w:cs="MS Gothic"/>
                <w:sz w:val="18"/>
                <w:szCs w:val="18"/>
              </w:rPr>
            </w:pPr>
          </w:p>
        </w:tc>
        <w:tc>
          <w:tcPr>
            <w:tcW w:w="207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C72A61" w14:textId="77777777" w:rsidR="0092174B" w:rsidRPr="00EE43C6" w:rsidRDefault="0092174B" w:rsidP="00E67C71">
            <w:pPr>
              <w:pStyle w:val="Default"/>
              <w:spacing w:before="60" w:after="60"/>
              <w:ind w:left="113" w:right="113"/>
              <w:rPr>
                <w:sz w:val="18"/>
                <w:szCs w:val="18"/>
                <w:lang w:val="en-GB"/>
              </w:rPr>
            </w:pPr>
            <w:r w:rsidRPr="00EE43C6">
              <w:rPr>
                <w:sz w:val="18"/>
                <w:szCs w:val="18"/>
                <w:lang w:val="en-GB"/>
              </w:rPr>
              <w:t xml:space="preserve">Most of the relevant national legislations regarding laws and regulations are in line with EU directives. There is no major gap between ESS3 and legislative requirements. Local EIA does not provide detailed management perspective on potential impacts, mitigation measures and residual impacts and monitoring. In other words, sub-management plans are not specifically defined in local EIA process. </w:t>
            </w:r>
          </w:p>
          <w:p w14:paraId="44F63D5B" w14:textId="55249033" w:rsidR="00B51A36" w:rsidRPr="00EE43C6" w:rsidRDefault="0092174B" w:rsidP="00E67C71">
            <w:pPr>
              <w:spacing w:before="60" w:after="60" w:line="240" w:lineRule="auto"/>
              <w:ind w:left="113" w:right="113"/>
              <w:jc w:val="left"/>
              <w:rPr>
                <w:rFonts w:eastAsia="MS Gothic" w:cs="MS Gothic"/>
                <w:sz w:val="18"/>
                <w:szCs w:val="18"/>
              </w:rPr>
            </w:pPr>
            <w:r w:rsidRPr="00EE43C6">
              <w:rPr>
                <w:rFonts w:cs="Arial"/>
                <w:sz w:val="18"/>
                <w:szCs w:val="18"/>
              </w:rPr>
              <w:t xml:space="preserve">Additionally, the specific studies regarding resource use and pollution prevention such as Water Source Vulnerability Analysis (WSVA), </w:t>
            </w:r>
            <w:r w:rsidRPr="00EE43C6">
              <w:rPr>
                <w:rFonts w:cs="Arial"/>
                <w:sz w:val="18"/>
                <w:szCs w:val="18"/>
              </w:rPr>
              <w:lastRenderedPageBreak/>
              <w:t xml:space="preserve">Greenhouse Gas (GHG) estimations etc. are not specifically included in local EIA Process. </w:t>
            </w:r>
          </w:p>
        </w:tc>
        <w:tc>
          <w:tcPr>
            <w:tcW w:w="18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F60CE0" w14:textId="77777777" w:rsidR="00546B76" w:rsidRPr="00EE43C6" w:rsidRDefault="00546B76" w:rsidP="00E67C71">
            <w:pPr>
              <w:pStyle w:val="Default"/>
              <w:spacing w:before="60" w:after="60"/>
              <w:ind w:left="113" w:right="113"/>
              <w:rPr>
                <w:sz w:val="18"/>
                <w:szCs w:val="18"/>
                <w:lang w:val="en-GB"/>
              </w:rPr>
            </w:pPr>
            <w:r w:rsidRPr="00EE43C6">
              <w:rPr>
                <w:sz w:val="18"/>
                <w:szCs w:val="18"/>
                <w:lang w:val="en-GB"/>
              </w:rPr>
              <w:lastRenderedPageBreak/>
              <w:t xml:space="preserve">Sub-management plans will be developed as a part of ESIA/ESMP. These management plans also provide requirement stipulated in relevant WB EHS Guidelines. </w:t>
            </w:r>
          </w:p>
          <w:p w14:paraId="53E04DE2" w14:textId="75DA3903" w:rsidR="00B51A36" w:rsidRPr="00EE43C6" w:rsidRDefault="00546B76" w:rsidP="00E67C71">
            <w:pPr>
              <w:spacing w:before="60" w:after="60" w:line="240" w:lineRule="auto"/>
              <w:ind w:left="113" w:right="113"/>
              <w:jc w:val="left"/>
              <w:rPr>
                <w:rFonts w:eastAsia="MS Gothic" w:cs="MS Gothic"/>
                <w:sz w:val="18"/>
                <w:szCs w:val="18"/>
              </w:rPr>
            </w:pPr>
            <w:r w:rsidRPr="00EE43C6">
              <w:rPr>
                <w:rFonts w:cs="Arial"/>
                <w:sz w:val="18"/>
                <w:szCs w:val="18"/>
              </w:rPr>
              <w:t>In case a requirement, additional studies (i.e</w:t>
            </w:r>
            <w:r w:rsidR="0039555C" w:rsidRPr="00EE43C6">
              <w:rPr>
                <w:rFonts w:cs="Arial"/>
                <w:sz w:val="18"/>
                <w:szCs w:val="18"/>
              </w:rPr>
              <w:t>.</w:t>
            </w:r>
            <w:r w:rsidRPr="00EE43C6">
              <w:rPr>
                <w:rFonts w:cs="Arial"/>
                <w:sz w:val="18"/>
                <w:szCs w:val="18"/>
              </w:rPr>
              <w:t xml:space="preserve"> WSVA, GHG etc.) will be performed in the scope of ESIA/ESMP. </w:t>
            </w:r>
          </w:p>
        </w:tc>
      </w:tr>
      <w:tr w:rsidR="00B51A36" w:rsidRPr="00EE43C6" w14:paraId="6F6E375E" w14:textId="77777777" w:rsidTr="00E67C71">
        <w:trPr>
          <w:trHeight w:val="284"/>
          <w:jc w:val="center"/>
        </w:trPr>
        <w:tc>
          <w:tcPr>
            <w:tcW w:w="106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E9F5FE" w14:textId="77777777" w:rsidR="00F770D3" w:rsidRPr="00EE43C6" w:rsidRDefault="00F770D3" w:rsidP="00E67C71">
            <w:pPr>
              <w:pStyle w:val="Default"/>
              <w:spacing w:before="60" w:after="60"/>
              <w:ind w:left="113" w:right="113"/>
              <w:rPr>
                <w:sz w:val="18"/>
                <w:szCs w:val="18"/>
                <w:lang w:val="en-GB"/>
              </w:rPr>
            </w:pPr>
            <w:r w:rsidRPr="00EE43C6">
              <w:rPr>
                <w:sz w:val="18"/>
                <w:szCs w:val="18"/>
                <w:lang w:val="en-GB"/>
              </w:rPr>
              <w:t xml:space="preserve">ESS4: Community Health and Safety </w:t>
            </w:r>
          </w:p>
          <w:p w14:paraId="1316043B" w14:textId="68F890C6" w:rsidR="00B51A36" w:rsidRPr="00EE43C6" w:rsidRDefault="00B51A36" w:rsidP="00E67C71">
            <w:pPr>
              <w:spacing w:before="60" w:after="60" w:line="240" w:lineRule="auto"/>
              <w:ind w:left="113" w:right="113"/>
              <w:jc w:val="left"/>
              <w:rPr>
                <w:rFonts w:eastAsia="MS Gothic" w:cs="MS Gothic"/>
                <w:sz w:val="18"/>
                <w:szCs w:val="18"/>
              </w:rPr>
            </w:pPr>
          </w:p>
        </w:tc>
        <w:tc>
          <w:tcPr>
            <w:tcW w:w="207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C7DB8" w14:textId="7E085C91" w:rsidR="00B51A36" w:rsidRPr="00EE43C6" w:rsidRDefault="00862435" w:rsidP="00E67C71">
            <w:pPr>
              <w:pStyle w:val="Default"/>
              <w:spacing w:before="60" w:after="60"/>
              <w:ind w:left="113" w:right="113"/>
              <w:rPr>
                <w:sz w:val="18"/>
                <w:szCs w:val="18"/>
                <w:lang w:val="en-GB"/>
              </w:rPr>
            </w:pPr>
            <w:r w:rsidRPr="00EE43C6">
              <w:rPr>
                <w:sz w:val="18"/>
                <w:szCs w:val="18"/>
                <w:lang w:val="en-GB"/>
              </w:rPr>
              <w:t>In general, there is no gap in terms of policy level. On the other hand, project level management of specific risks such as labour influx, sexual exploitation and abuse and sexual harassment are the key gaps in terms of ESS4.</w:t>
            </w:r>
          </w:p>
        </w:tc>
        <w:tc>
          <w:tcPr>
            <w:tcW w:w="18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6FCF3E" w14:textId="5526C8DE" w:rsidR="00B51A36" w:rsidRPr="00E67C71" w:rsidRDefault="00C004B6" w:rsidP="00E67C71">
            <w:pPr>
              <w:pStyle w:val="Default"/>
              <w:spacing w:before="60" w:after="60"/>
              <w:ind w:left="113" w:right="113"/>
              <w:rPr>
                <w:sz w:val="18"/>
                <w:szCs w:val="18"/>
                <w:lang w:val="en-GB"/>
              </w:rPr>
            </w:pPr>
            <w:r w:rsidRPr="00EE43C6">
              <w:rPr>
                <w:sz w:val="18"/>
                <w:szCs w:val="18"/>
                <w:lang w:val="en-GB"/>
              </w:rPr>
              <w:t xml:space="preserve">The plans such as Traffic Management Plan and Community Health and Safety Plan etc. will be prepared as a part of ESIA/ESMP. </w:t>
            </w:r>
          </w:p>
        </w:tc>
      </w:tr>
      <w:tr w:rsidR="00B51A36" w:rsidRPr="00EE43C6" w14:paraId="3A54B725" w14:textId="77777777" w:rsidTr="00E67C71">
        <w:trPr>
          <w:trHeight w:val="284"/>
          <w:jc w:val="center"/>
        </w:trPr>
        <w:tc>
          <w:tcPr>
            <w:tcW w:w="106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E1C7A" w14:textId="77777777" w:rsidR="001F261B" w:rsidRPr="00EE43C6" w:rsidRDefault="001F261B" w:rsidP="00591B1C">
            <w:pPr>
              <w:pStyle w:val="Default"/>
              <w:spacing w:before="60" w:after="60"/>
              <w:ind w:left="113" w:right="113"/>
              <w:jc w:val="both"/>
              <w:rPr>
                <w:sz w:val="18"/>
                <w:szCs w:val="18"/>
                <w:lang w:val="en-GB"/>
              </w:rPr>
            </w:pPr>
            <w:r w:rsidRPr="00EE43C6">
              <w:rPr>
                <w:sz w:val="18"/>
                <w:szCs w:val="18"/>
                <w:lang w:val="en-GB"/>
              </w:rPr>
              <w:t xml:space="preserve">ESS5: Land Acquisition, Restrictions on Land Use and Involuntary Resettlement </w:t>
            </w:r>
          </w:p>
          <w:p w14:paraId="724EF3AD" w14:textId="5503C3F0" w:rsidR="00B51A36" w:rsidRPr="00EE43C6" w:rsidRDefault="00B51A36" w:rsidP="00591B1C">
            <w:pPr>
              <w:spacing w:before="60" w:after="60" w:line="240" w:lineRule="auto"/>
              <w:ind w:left="113" w:right="113"/>
              <w:rPr>
                <w:rFonts w:eastAsia="MS Gothic" w:cs="MS Gothic"/>
                <w:sz w:val="18"/>
                <w:szCs w:val="18"/>
              </w:rPr>
            </w:pPr>
          </w:p>
        </w:tc>
        <w:tc>
          <w:tcPr>
            <w:tcW w:w="207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F5B1C9" w14:textId="21D4181F" w:rsidR="00B51A36" w:rsidRPr="00EE43C6" w:rsidRDefault="00753D46" w:rsidP="00591B1C">
            <w:pPr>
              <w:pStyle w:val="Default"/>
              <w:spacing w:before="60" w:after="60"/>
              <w:ind w:left="113" w:right="113"/>
              <w:jc w:val="both"/>
              <w:rPr>
                <w:sz w:val="18"/>
                <w:szCs w:val="18"/>
                <w:lang w:val="en-GB"/>
              </w:rPr>
            </w:pPr>
            <w:r w:rsidRPr="00EE43C6">
              <w:rPr>
                <w:sz w:val="18"/>
                <w:szCs w:val="18"/>
                <w:lang w:val="en-GB"/>
              </w:rPr>
              <w:t xml:space="preserve">Turkish legislation on land acquisition mainly corresponds to requirements stipulated by ESS5. </w:t>
            </w:r>
            <w:r w:rsidR="00F376B5" w:rsidRPr="00EE43C6">
              <w:rPr>
                <w:sz w:val="18"/>
                <w:szCs w:val="18"/>
                <w:lang w:val="en-GB"/>
              </w:rPr>
              <w:t>However,</w:t>
            </w:r>
            <w:r w:rsidRPr="00EE43C6">
              <w:rPr>
                <w:sz w:val="18"/>
                <w:szCs w:val="18"/>
                <w:lang w:val="en-GB"/>
              </w:rPr>
              <w:t xml:space="preserve"> some differences include; preparation of a Resettlement Plan (RP), compensation at replacement costs, continuous consultation during RP implementation, impact assessment on informal land users, vulnerable groups and land based livelihood restoration are the major gaps in terms of ESS5 requirement.</w:t>
            </w:r>
          </w:p>
        </w:tc>
        <w:tc>
          <w:tcPr>
            <w:tcW w:w="18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36C5F2" w14:textId="4BF4D46C" w:rsidR="00B51A36" w:rsidRPr="00E67C71" w:rsidRDefault="6AAD51AD" w:rsidP="00E67C71">
            <w:pPr>
              <w:pStyle w:val="Default"/>
              <w:spacing w:before="60" w:after="60"/>
              <w:ind w:left="113" w:right="113"/>
              <w:jc w:val="both"/>
              <w:rPr>
                <w:sz w:val="18"/>
                <w:szCs w:val="18"/>
                <w:lang w:val="en-GB"/>
              </w:rPr>
            </w:pPr>
            <w:r w:rsidRPr="3C3DFBEF">
              <w:rPr>
                <w:sz w:val="18"/>
                <w:szCs w:val="18"/>
                <w:lang w:val="en-GB"/>
              </w:rPr>
              <w:t xml:space="preserve">The </w:t>
            </w:r>
            <w:r w:rsidR="3BA6D39F" w:rsidRPr="3C3DFBEF">
              <w:rPr>
                <w:sz w:val="18"/>
                <w:szCs w:val="18"/>
                <w:lang w:val="en-GB"/>
              </w:rPr>
              <w:t xml:space="preserve">specific </w:t>
            </w:r>
            <w:r w:rsidR="20D35926" w:rsidRPr="3C3DFBEF">
              <w:rPr>
                <w:sz w:val="18"/>
                <w:szCs w:val="18"/>
                <w:lang w:val="en-GB"/>
              </w:rPr>
              <w:t>Resettlement</w:t>
            </w:r>
            <w:r w:rsidR="4955238D" w:rsidRPr="3C3DFBEF">
              <w:rPr>
                <w:sz w:val="18"/>
                <w:szCs w:val="18"/>
                <w:lang w:val="en-GB"/>
              </w:rPr>
              <w:t xml:space="preserve"> Framework (</w:t>
            </w:r>
            <w:r w:rsidR="3BA6D39F" w:rsidRPr="3C3DFBEF">
              <w:rPr>
                <w:sz w:val="18"/>
                <w:szCs w:val="18"/>
                <w:lang w:val="en-GB"/>
              </w:rPr>
              <w:t>RF</w:t>
            </w:r>
            <w:r w:rsidR="4955238D" w:rsidRPr="3C3DFBEF">
              <w:rPr>
                <w:sz w:val="18"/>
                <w:szCs w:val="18"/>
                <w:lang w:val="en-GB"/>
              </w:rPr>
              <w:t>)</w:t>
            </w:r>
            <w:r w:rsidR="3BA6D39F" w:rsidRPr="3C3DFBEF">
              <w:rPr>
                <w:sz w:val="18"/>
                <w:szCs w:val="18"/>
                <w:lang w:val="en-GB"/>
              </w:rPr>
              <w:t xml:space="preserve"> </w:t>
            </w:r>
            <w:r w:rsidR="110548AB" w:rsidRPr="3C3DFBEF">
              <w:rPr>
                <w:sz w:val="18"/>
                <w:szCs w:val="18"/>
                <w:lang w:val="en-GB"/>
              </w:rPr>
              <w:t xml:space="preserve">for the overall project </w:t>
            </w:r>
            <w:r w:rsidR="3BA6D39F" w:rsidRPr="3C3DFBEF">
              <w:rPr>
                <w:sz w:val="18"/>
                <w:szCs w:val="18"/>
                <w:lang w:val="en-GB"/>
              </w:rPr>
              <w:t xml:space="preserve">is prepared to provide a guidance to assess any risk of resettlement and to prepare sub-project specific RP in case a requirement. </w:t>
            </w:r>
            <w:r w:rsidR="5881F2C5" w:rsidRPr="3C3DFBEF">
              <w:rPr>
                <w:sz w:val="18"/>
                <w:szCs w:val="18"/>
                <w:lang w:val="en-GB"/>
              </w:rPr>
              <w:t>In case land acquisition required for the project took place within five years before the project, an Ex-POst Socia</w:t>
            </w:r>
            <w:r w:rsidR="4A6E8CF0" w:rsidRPr="3C3DFBEF">
              <w:rPr>
                <w:sz w:val="18"/>
                <w:szCs w:val="18"/>
                <w:lang w:val="en-GB"/>
              </w:rPr>
              <w:t>l Audit will be conducted to assess whether the process, compensation and outcomes are compliant with ESS5.</w:t>
            </w:r>
          </w:p>
        </w:tc>
      </w:tr>
      <w:tr w:rsidR="00B51A36" w:rsidRPr="00EE43C6" w14:paraId="63D43D4C" w14:textId="77777777" w:rsidTr="00E67C71">
        <w:trPr>
          <w:trHeight w:val="284"/>
          <w:jc w:val="center"/>
        </w:trPr>
        <w:tc>
          <w:tcPr>
            <w:tcW w:w="106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D75C5C" w14:textId="77777777" w:rsidR="001F261B" w:rsidRPr="00EE43C6" w:rsidRDefault="001F261B" w:rsidP="00591B1C">
            <w:pPr>
              <w:pStyle w:val="Default"/>
              <w:spacing w:before="60" w:after="60"/>
              <w:ind w:left="113" w:right="113"/>
              <w:jc w:val="both"/>
              <w:rPr>
                <w:sz w:val="18"/>
                <w:szCs w:val="18"/>
                <w:lang w:val="en-GB"/>
              </w:rPr>
            </w:pPr>
            <w:r w:rsidRPr="00EE43C6">
              <w:rPr>
                <w:sz w:val="18"/>
                <w:szCs w:val="18"/>
                <w:lang w:val="en-GB"/>
              </w:rPr>
              <w:t xml:space="preserve">ESS6: Biodiversity Conservation and Sustainable Management of Living Natural Resources </w:t>
            </w:r>
          </w:p>
          <w:p w14:paraId="1717EDF9" w14:textId="2AB40ABD" w:rsidR="00B51A36" w:rsidRPr="00EE43C6" w:rsidRDefault="00B51A36" w:rsidP="00591B1C">
            <w:pPr>
              <w:spacing w:before="60" w:after="60" w:line="240" w:lineRule="auto"/>
              <w:ind w:left="113" w:right="113"/>
              <w:rPr>
                <w:rFonts w:eastAsia="MS Gothic" w:cs="MS Gothic"/>
                <w:sz w:val="18"/>
                <w:szCs w:val="18"/>
              </w:rPr>
            </w:pPr>
          </w:p>
        </w:tc>
        <w:tc>
          <w:tcPr>
            <w:tcW w:w="207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112ACC" w14:textId="215AEFB3" w:rsidR="00B51A36" w:rsidRPr="00EE43C6" w:rsidRDefault="004B2BF7" w:rsidP="00591B1C">
            <w:pPr>
              <w:pStyle w:val="Default"/>
              <w:spacing w:before="60" w:after="60"/>
              <w:ind w:left="113" w:right="113"/>
              <w:jc w:val="both"/>
              <w:rPr>
                <w:sz w:val="18"/>
                <w:szCs w:val="18"/>
                <w:lang w:val="en-GB"/>
              </w:rPr>
            </w:pPr>
            <w:r>
              <w:rPr>
                <w:sz w:val="18"/>
                <w:szCs w:val="18"/>
                <w:lang w:val="en-GB"/>
              </w:rPr>
              <w:t>In general, t</w:t>
            </w:r>
            <w:r w:rsidR="00E773A2" w:rsidRPr="00EE43C6">
              <w:rPr>
                <w:sz w:val="18"/>
                <w:szCs w:val="18"/>
                <w:lang w:val="en-GB"/>
              </w:rPr>
              <w:t xml:space="preserve">here is no gap in terms of policy level. On the other hand, in some cases, level of the considerations of not legally protected sensitive ecological areas such as Key Biodiversity Areas in local EIA Process </w:t>
            </w:r>
            <w:r w:rsidR="00137597">
              <w:rPr>
                <w:sz w:val="18"/>
                <w:szCs w:val="18"/>
                <w:lang w:val="en-GB"/>
              </w:rPr>
              <w:t>do</w:t>
            </w:r>
            <w:r w:rsidR="00E773A2" w:rsidRPr="00EE43C6">
              <w:rPr>
                <w:sz w:val="18"/>
                <w:szCs w:val="18"/>
                <w:lang w:val="en-GB"/>
              </w:rPr>
              <w:t xml:space="preserve"> not sustain the requirements stipulated by ESS6. </w:t>
            </w:r>
            <w:r w:rsidR="0084317F" w:rsidRPr="0084317F">
              <w:rPr>
                <w:sz w:val="18"/>
                <w:szCs w:val="18"/>
                <w:lang w:val="en-GB"/>
              </w:rPr>
              <w:t>In general, there is a lack of detail</w:t>
            </w:r>
            <w:r w:rsidR="00CA4F7E">
              <w:rPr>
                <w:sz w:val="18"/>
                <w:szCs w:val="18"/>
                <w:lang w:val="en-GB"/>
              </w:rPr>
              <w:t xml:space="preserve">s on the requirements </w:t>
            </w:r>
            <w:r w:rsidR="00405555">
              <w:rPr>
                <w:sz w:val="18"/>
                <w:szCs w:val="18"/>
                <w:lang w:val="en-GB"/>
              </w:rPr>
              <w:t>for</w:t>
            </w:r>
            <w:r w:rsidR="0084317F" w:rsidRPr="0084317F">
              <w:rPr>
                <w:sz w:val="18"/>
                <w:szCs w:val="18"/>
                <w:lang w:val="en-GB"/>
              </w:rPr>
              <w:t xml:space="preserve"> the management and monitoring of potential impacts, the implementation of mitigation measures, and the assessment of residual impacts</w:t>
            </w:r>
            <w:r w:rsidR="00E773A2" w:rsidRPr="00EE43C6">
              <w:rPr>
                <w:sz w:val="18"/>
                <w:szCs w:val="18"/>
                <w:lang w:val="en-GB"/>
              </w:rPr>
              <w:t>.</w:t>
            </w:r>
          </w:p>
        </w:tc>
        <w:tc>
          <w:tcPr>
            <w:tcW w:w="18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BED45" w14:textId="77777777" w:rsidR="00976C9B" w:rsidRPr="00EE43C6" w:rsidRDefault="00976C9B" w:rsidP="00591B1C">
            <w:pPr>
              <w:pStyle w:val="Default"/>
              <w:spacing w:before="60" w:after="60"/>
              <w:ind w:left="113" w:right="113"/>
              <w:jc w:val="both"/>
              <w:rPr>
                <w:sz w:val="18"/>
                <w:szCs w:val="18"/>
                <w:lang w:val="en-GB"/>
              </w:rPr>
            </w:pPr>
            <w:r w:rsidRPr="00EE43C6">
              <w:rPr>
                <w:sz w:val="18"/>
                <w:szCs w:val="18"/>
                <w:lang w:val="en-GB"/>
              </w:rPr>
              <w:t xml:space="preserve">Depending on the location of the sub-project and sub-project level of the impact, Biodiversity Management Plans can be annexed to the ESIA/ESMP. </w:t>
            </w:r>
          </w:p>
          <w:p w14:paraId="09A39693" w14:textId="7DF0453A" w:rsidR="00B51A36" w:rsidRPr="00EE43C6" w:rsidRDefault="00B51A36" w:rsidP="00591B1C">
            <w:pPr>
              <w:spacing w:before="60" w:after="60" w:line="240" w:lineRule="auto"/>
              <w:ind w:left="113" w:right="113"/>
              <w:rPr>
                <w:rFonts w:eastAsia="MS Gothic" w:cs="MS Gothic"/>
                <w:sz w:val="18"/>
                <w:szCs w:val="18"/>
              </w:rPr>
            </w:pPr>
          </w:p>
        </w:tc>
      </w:tr>
      <w:tr w:rsidR="001F261B" w:rsidRPr="00EE43C6" w14:paraId="61C3D702" w14:textId="77777777" w:rsidTr="00E67C71">
        <w:trPr>
          <w:trHeight w:val="284"/>
          <w:jc w:val="center"/>
        </w:trPr>
        <w:tc>
          <w:tcPr>
            <w:tcW w:w="1061" w:type="pct"/>
            <w:tcBorders>
              <w:top w:val="single" w:sz="6" w:space="0" w:color="000000" w:themeColor="text1"/>
              <w:left w:val="single" w:sz="6" w:space="0" w:color="000000" w:themeColor="text1"/>
              <w:bottom w:val="single" w:sz="4" w:space="0" w:color="auto"/>
              <w:right w:val="single" w:sz="6" w:space="0" w:color="000000" w:themeColor="text1"/>
            </w:tcBorders>
          </w:tcPr>
          <w:p w14:paraId="3D3D968E" w14:textId="77777777" w:rsidR="00D90904" w:rsidRPr="00EE43C6" w:rsidRDefault="00D90904" w:rsidP="00591B1C">
            <w:pPr>
              <w:pStyle w:val="Default"/>
              <w:spacing w:before="60" w:after="60"/>
              <w:ind w:left="113" w:right="113"/>
              <w:jc w:val="both"/>
              <w:rPr>
                <w:sz w:val="18"/>
                <w:szCs w:val="18"/>
                <w:lang w:val="en-GB"/>
              </w:rPr>
            </w:pPr>
            <w:r w:rsidRPr="00EE43C6">
              <w:rPr>
                <w:sz w:val="18"/>
                <w:szCs w:val="18"/>
                <w:lang w:val="en-GB"/>
              </w:rPr>
              <w:t xml:space="preserve">ESS10: Stakeholder Engagement and Information Disclosure </w:t>
            </w:r>
          </w:p>
          <w:p w14:paraId="317B40D0" w14:textId="77777777" w:rsidR="001F261B" w:rsidRPr="00EE43C6" w:rsidRDefault="001F261B" w:rsidP="00591B1C">
            <w:pPr>
              <w:pStyle w:val="Default"/>
              <w:spacing w:before="60" w:after="60"/>
              <w:ind w:left="113" w:right="113"/>
              <w:jc w:val="both"/>
              <w:rPr>
                <w:sz w:val="18"/>
                <w:szCs w:val="18"/>
                <w:lang w:val="en-GB"/>
              </w:rPr>
            </w:pPr>
          </w:p>
        </w:tc>
        <w:tc>
          <w:tcPr>
            <w:tcW w:w="2073" w:type="pct"/>
            <w:tcBorders>
              <w:top w:val="single" w:sz="6" w:space="0" w:color="000000" w:themeColor="text1"/>
              <w:left w:val="single" w:sz="6" w:space="0" w:color="000000" w:themeColor="text1"/>
              <w:bottom w:val="single" w:sz="4" w:space="0" w:color="auto"/>
              <w:right w:val="single" w:sz="6" w:space="0" w:color="000000" w:themeColor="text1"/>
            </w:tcBorders>
          </w:tcPr>
          <w:p w14:paraId="60722661" w14:textId="16706CCD" w:rsidR="001F261B" w:rsidRPr="00EE43C6" w:rsidRDefault="00D90904" w:rsidP="00591B1C">
            <w:pPr>
              <w:pStyle w:val="Default"/>
              <w:spacing w:before="60" w:after="60"/>
              <w:ind w:left="113" w:right="113"/>
              <w:jc w:val="both"/>
              <w:rPr>
                <w:sz w:val="18"/>
                <w:szCs w:val="18"/>
                <w:lang w:val="en-GB"/>
              </w:rPr>
            </w:pPr>
            <w:r w:rsidRPr="00EE43C6">
              <w:rPr>
                <w:sz w:val="18"/>
                <w:szCs w:val="18"/>
                <w:lang w:val="en-GB"/>
              </w:rPr>
              <w:t xml:space="preserve">Effective and transparent stakeholder engagement is the main gap in terms of ESS10 requirement. Within this scope, a Stakeholder Engagement Plan required to identify the different stakeholders (project-affected parties and other interested parties including disadvantaged or vulnerable). Stakeholder engagement should be a continuous </w:t>
            </w:r>
            <w:r w:rsidR="008215EA" w:rsidRPr="00EE43C6">
              <w:rPr>
                <w:sz w:val="18"/>
                <w:szCs w:val="18"/>
                <w:lang w:val="en-GB"/>
              </w:rPr>
              <w:t>process</w:t>
            </w:r>
            <w:r w:rsidRPr="00EE43C6">
              <w:rPr>
                <w:sz w:val="18"/>
                <w:szCs w:val="18"/>
                <w:lang w:val="en-GB"/>
              </w:rPr>
              <w:t>.</w:t>
            </w:r>
            <w:r w:rsidR="009B7064">
              <w:rPr>
                <w:sz w:val="18"/>
                <w:szCs w:val="18"/>
                <w:lang w:val="en-GB"/>
              </w:rPr>
              <w:t xml:space="preserve"> </w:t>
            </w:r>
            <w:r w:rsidR="008B2C7B" w:rsidRPr="008B2C7B">
              <w:rPr>
                <w:sz w:val="18"/>
                <w:szCs w:val="18"/>
                <w:lang w:val="en-GB"/>
              </w:rPr>
              <w:t>An improved grievance mechanism would help bridge the gap between EIA legislation and ESS10.</w:t>
            </w:r>
          </w:p>
        </w:tc>
        <w:tc>
          <w:tcPr>
            <w:tcW w:w="1866" w:type="pct"/>
            <w:tcBorders>
              <w:top w:val="single" w:sz="6" w:space="0" w:color="000000" w:themeColor="text1"/>
              <w:left w:val="single" w:sz="6" w:space="0" w:color="000000" w:themeColor="text1"/>
              <w:bottom w:val="single" w:sz="4" w:space="0" w:color="auto"/>
              <w:right w:val="single" w:sz="6" w:space="0" w:color="000000" w:themeColor="text1"/>
            </w:tcBorders>
          </w:tcPr>
          <w:p w14:paraId="752153D6" w14:textId="03D76FA6" w:rsidR="0076010E" w:rsidRPr="00EE43C6" w:rsidRDefault="3499FD9F" w:rsidP="00591B1C">
            <w:pPr>
              <w:pStyle w:val="Default"/>
              <w:spacing w:before="60" w:after="60"/>
              <w:ind w:left="113" w:right="113"/>
              <w:jc w:val="both"/>
              <w:rPr>
                <w:sz w:val="18"/>
                <w:szCs w:val="18"/>
                <w:lang w:val="en-GB"/>
              </w:rPr>
            </w:pPr>
            <w:r w:rsidRPr="3C3DFBEF">
              <w:rPr>
                <w:sz w:val="18"/>
                <w:szCs w:val="18"/>
                <w:lang w:val="en-GB"/>
              </w:rPr>
              <w:t xml:space="preserve">Project specific SEP is prepared and included in ESF documents. The SEP will be implemented sub-project level. </w:t>
            </w:r>
            <w:r w:rsidR="07A3C3C2" w:rsidRPr="3C3DFBEF">
              <w:rPr>
                <w:sz w:val="18"/>
                <w:szCs w:val="18"/>
                <w:lang w:val="en-GB"/>
              </w:rPr>
              <w:t>A GM for the public will be developed as part of the SEP-</w:t>
            </w:r>
          </w:p>
          <w:p w14:paraId="163747A2" w14:textId="77777777" w:rsidR="001F261B" w:rsidRPr="00EE43C6" w:rsidRDefault="001F261B" w:rsidP="00591B1C">
            <w:pPr>
              <w:spacing w:before="60" w:after="60" w:line="240" w:lineRule="auto"/>
              <w:ind w:left="113" w:right="113"/>
              <w:rPr>
                <w:rFonts w:eastAsia="MS Gothic" w:cs="MS Gothic"/>
                <w:sz w:val="18"/>
                <w:szCs w:val="18"/>
              </w:rPr>
            </w:pPr>
          </w:p>
        </w:tc>
      </w:tr>
    </w:tbl>
    <w:p w14:paraId="1FDE4141" w14:textId="77777777" w:rsidR="00757092" w:rsidRPr="00EE43C6" w:rsidRDefault="00757092" w:rsidP="004614AE">
      <w:pPr>
        <w:rPr>
          <w:b/>
          <w:bCs/>
          <w:szCs w:val="22"/>
        </w:rPr>
        <w:sectPr w:rsidR="00757092" w:rsidRPr="00EE43C6" w:rsidSect="00D719FE">
          <w:headerReference w:type="default" r:id="rId37"/>
          <w:footerReference w:type="default" r:id="rId38"/>
          <w:pgSz w:w="16840" w:h="11900" w:orient="landscape" w:code="9"/>
          <w:pgMar w:top="1418" w:right="1418" w:bottom="1418" w:left="1418" w:header="709" w:footer="288" w:gutter="0"/>
          <w:cols w:space="708"/>
          <w:docGrid w:linePitch="360"/>
        </w:sectPr>
      </w:pPr>
    </w:p>
    <w:p w14:paraId="0C373B72" w14:textId="1D9D3478" w:rsidR="004614AE" w:rsidRPr="00EE43C6" w:rsidRDefault="004614AE" w:rsidP="004614AE">
      <w:pPr>
        <w:rPr>
          <w:b/>
          <w:bCs/>
          <w:szCs w:val="22"/>
        </w:rPr>
      </w:pPr>
      <w:r w:rsidRPr="00EE43C6">
        <w:rPr>
          <w:b/>
          <w:bCs/>
          <w:szCs w:val="22"/>
        </w:rPr>
        <w:lastRenderedPageBreak/>
        <w:t>Public Consultation and Disclosure</w:t>
      </w:r>
    </w:p>
    <w:p w14:paraId="5D4ADC6F" w14:textId="3D66FD7E" w:rsidR="004614AE" w:rsidRPr="00EE43C6" w:rsidRDefault="004614AE" w:rsidP="00757092">
      <w:pPr>
        <w:rPr>
          <w:szCs w:val="22"/>
        </w:rPr>
      </w:pPr>
      <w:r w:rsidRPr="00EE43C6">
        <w:rPr>
          <w:szCs w:val="22"/>
        </w:rPr>
        <w:t>Pursuant to ESS 1, stakeholder engagement is an integral part of E&amp;S assessment and should be conducted in accordance with ESS 10. Within this scope, the Borrowers should identify the different stakeholders (project-affected parties and other interested parties including disadvantaged or vulnerable</w:t>
      </w:r>
      <w:r w:rsidR="00F376B5" w:rsidRPr="00EE43C6">
        <w:rPr>
          <w:szCs w:val="22"/>
        </w:rPr>
        <w:t>) and</w:t>
      </w:r>
      <w:r w:rsidRPr="00EE43C6">
        <w:rPr>
          <w:szCs w:val="22"/>
        </w:rPr>
        <w:t xml:space="preserve"> develop and implement a Stakeholder Engagement Plan (SEP), in consultation with the Bank, proportionate to the nature and scale of the project and its potential risks and impacts. SEP should describe the timing and methods of engagement with stakeholders throughout the life cycle of the project, and also describe the range and timing of information to be communicated to the parties as well as type of information to be sought from them. The Borrower should disclose project information to allow stakeholders to understand the risks and impacts of the project, and potential opportunities, in a timeframe that enables meaningful consultations with the stakeholders on project design.</w:t>
      </w:r>
    </w:p>
    <w:p w14:paraId="3C7FCA48" w14:textId="77777777" w:rsidR="007C7EA9" w:rsidRDefault="004614AE" w:rsidP="3C3DFBEF">
      <w:r>
        <w:t xml:space="preserve">The Turkish EIA Regulation requires “pre-scoping” public consultation only for projects requiring an EIA, and only requires announcement of the environmental assessment together with the justification. However, ESS 10 does not specify an exact number and method of public consultation and information disclosure but instead the standard requires a continuous stakeholder engagement approach through the life cycle of the project that will be decided proportionate to the nature, </w:t>
      </w:r>
      <w:r w:rsidR="00F376B5">
        <w:t>scale,</w:t>
      </w:r>
      <w:r>
        <w:t xml:space="preserve"> and impact magnitude of the </w:t>
      </w:r>
      <w:r w:rsidR="004E10EA">
        <w:t>P</w:t>
      </w:r>
      <w:r>
        <w:t>roject</w:t>
      </w:r>
    </w:p>
    <w:p w14:paraId="1AF8C77D" w14:textId="38AA66FE" w:rsidR="006B415C" w:rsidRDefault="006B415C" w:rsidP="006B415C">
      <w:r>
        <w:t xml:space="preserve">Under ESS10, the Borrower is expected to respond to concerns and grievances raised by project-affected parties regarding the environmental and social performance of the project. To </w:t>
      </w:r>
      <w:r w:rsidR="00E92E0B">
        <w:t>fulfil</w:t>
      </w:r>
      <w:r>
        <w:t xml:space="preserve"> this requirement, the Borrower should propose and implement a grievance mechanism that receives and facilitates the resolution of such concerns and grievances. The mechanism should be accessible, inclusive, and proportionate to the potential risks and impacts of the project.</w:t>
      </w:r>
    </w:p>
    <w:p w14:paraId="73D92C5B" w14:textId="63A99528" w:rsidR="006B415C" w:rsidRDefault="006B415C" w:rsidP="006B415C">
      <w:r>
        <w:t>To ensure an effective grievance mechanism, it should adhere to the following principles:</w:t>
      </w:r>
    </w:p>
    <w:p w14:paraId="03A2C55F" w14:textId="4D41B080" w:rsidR="006B415C" w:rsidRDefault="006B415C" w:rsidP="00E67C71">
      <w:pPr>
        <w:pStyle w:val="ListParagraph"/>
        <w:numPr>
          <w:ilvl w:val="0"/>
          <w:numId w:val="60"/>
        </w:numPr>
        <w:spacing w:before="120"/>
        <w:contextualSpacing w:val="0"/>
      </w:pPr>
      <w:r>
        <w:t>Accessibility and inclusiveness: The grievance mechanism should be accessible to all project-affected parties, irrespective of their backgrounds or circumstances. It should be designed in a manner that considers cultural appropriateness and provides no-cost access to all stakeholders. It should also not prevent access to judicial or administrative remedies.</w:t>
      </w:r>
    </w:p>
    <w:p w14:paraId="167A7FCB" w14:textId="76C4AAAD" w:rsidR="006B415C" w:rsidRDefault="006B415C" w:rsidP="00E67C71">
      <w:pPr>
        <w:pStyle w:val="ListParagraph"/>
        <w:numPr>
          <w:ilvl w:val="0"/>
          <w:numId w:val="60"/>
        </w:numPr>
        <w:spacing w:before="120"/>
        <w:contextualSpacing w:val="0"/>
      </w:pPr>
      <w:r>
        <w:t>Transparency and timeliness: The grievance mechanism should address concerns promptly and effectively. It should operate in a transparent manner and provide culturally appropriate and readily accessible information to all project-affected parties. The Borrower should inform the community about the grievance process during its engagement activities and make a record of the responses to all grievances publicly available.</w:t>
      </w:r>
    </w:p>
    <w:p w14:paraId="74853DA6" w14:textId="77777777" w:rsidR="006B415C" w:rsidRDefault="006B415C" w:rsidP="00E67C71">
      <w:pPr>
        <w:spacing w:before="120" w:after="120"/>
      </w:pPr>
    </w:p>
    <w:p w14:paraId="7319655F" w14:textId="79529F46" w:rsidR="006B415C" w:rsidRDefault="006B415C" w:rsidP="00E67C71">
      <w:pPr>
        <w:pStyle w:val="ListParagraph"/>
        <w:numPr>
          <w:ilvl w:val="0"/>
          <w:numId w:val="60"/>
        </w:numPr>
        <w:spacing w:before="120"/>
        <w:contextualSpacing w:val="0"/>
      </w:pPr>
      <w:r>
        <w:lastRenderedPageBreak/>
        <w:t>Discretion, objectivity, and sensitivity: The handling of grievances should be done in a culturally appropriate manner, ensuring discretion, objectivity, and sensitivity towards the needs and concerns of the project-affected parties. The mechanism should also allow for anonymous complaints to be raised and addressed.</w:t>
      </w:r>
    </w:p>
    <w:p w14:paraId="7457669D" w14:textId="795CAF91" w:rsidR="006B415C" w:rsidRDefault="006B415C" w:rsidP="00E67C71">
      <w:pPr>
        <w:pStyle w:val="ListParagraph"/>
        <w:numPr>
          <w:ilvl w:val="0"/>
          <w:numId w:val="60"/>
        </w:numPr>
        <w:spacing w:before="120"/>
        <w:contextualSpacing w:val="0"/>
      </w:pPr>
      <w:r>
        <w:t>Design and scale: The design and scale of the grievance mechanism should be project-specific, taking into account factors such as the project context, scale, and scope, the number of project beneficiaries, capacity, cultural attitudes toward lodging grievances, available resources, and technological constraints. Existing formal or informal mechanisms identified during the environmental and social assessment may be utilized, supplemented as needed with project-specific arrangements.</w:t>
      </w:r>
    </w:p>
    <w:p w14:paraId="58F0DDE8" w14:textId="6611E105" w:rsidR="006B415C" w:rsidRDefault="006B415C" w:rsidP="00E67C71">
      <w:pPr>
        <w:pStyle w:val="ListParagraph"/>
        <w:numPr>
          <w:ilvl w:val="0"/>
          <w:numId w:val="60"/>
        </w:numPr>
        <w:spacing w:before="120"/>
        <w:contextualSpacing w:val="0"/>
      </w:pPr>
      <w:r>
        <w:t>Establishing the mechanism: The grievance mechanism should be established as early as possible in project development and supported by appropriate human and financial resources. It should specify the means by which grievances can be submitted and received, assign responsibility for processing grievances, establish timelines for processing complaints, and include a process for registering and monitoring grievances. Larger or more complex projects may require multiple locations, means, and methods for receiving, processing, and monitoring grievances.</w:t>
      </w:r>
    </w:p>
    <w:p w14:paraId="1C09548B" w14:textId="626F2784" w:rsidR="006B415C" w:rsidRDefault="006B415C" w:rsidP="00E67C71">
      <w:pPr>
        <w:pStyle w:val="ListParagraph"/>
        <w:numPr>
          <w:ilvl w:val="0"/>
          <w:numId w:val="60"/>
        </w:numPr>
        <w:spacing w:before="120"/>
        <w:contextualSpacing w:val="0"/>
      </w:pPr>
      <w:r>
        <w:t>Accessibility and advertising: The grievance procedures should be simple and easy to understand, publicly advertised through accessible and appropriate channels such as newspapers, radio broadcasts, or other mediums. The expected timelines for acknowledgment, response, and resolution should be indicated. It is essential to ensure accessibility for disadvantaged or vulnerable individuals or groups, and all grievances received and responses provided should be documented.</w:t>
      </w:r>
    </w:p>
    <w:p w14:paraId="0461EE61" w14:textId="0E0592C8" w:rsidR="006B415C" w:rsidRDefault="006B415C" w:rsidP="00E67C71">
      <w:pPr>
        <w:pStyle w:val="ListParagraph"/>
        <w:numPr>
          <w:ilvl w:val="0"/>
          <w:numId w:val="60"/>
        </w:numPr>
        <w:spacing w:before="120"/>
        <w:contextualSpacing w:val="0"/>
      </w:pPr>
      <w:r>
        <w:t>Balanced actions and resolution: Actions taken on grievances or suggestions should be informed and balanced. The time frame for grievance resolution depends on factors such as urgency, research, investigation, consultation, funding, and capacity. The grievance mechanism should provide indicative time frames for acknowledgment, interim responses, and, where possible, final resolution. Grievances that require coordination among multiple departments/agencies or detailed investigation may take longer, and this should be communicated to the concerned parties when acknowledging receipt of the grievances.</w:t>
      </w:r>
    </w:p>
    <w:p w14:paraId="26AF9B76" w14:textId="77777777" w:rsidR="00B51A36" w:rsidRDefault="006B415C" w:rsidP="00E67C71">
      <w:pPr>
        <w:pStyle w:val="ListParagraph"/>
        <w:numPr>
          <w:ilvl w:val="0"/>
          <w:numId w:val="60"/>
        </w:numPr>
        <w:spacing w:before="120"/>
        <w:contextualSpacing w:val="0"/>
      </w:pPr>
      <w:r>
        <w:t>Confidentiality and non-retaliation: Grievance mechanisms should ensure confidentiality, impartiality, objectivity, and timely handling of grievances. In countries where anonymous grievances are not permitted, the Borrower may consider engaging third-party entities to facilitate their submission. Users of the grievance mechanism should not be subject to retaliation, abuse, or any kind of discrimination</w:t>
      </w:r>
      <w:r w:rsidR="004614AE">
        <w:t>.</w:t>
      </w:r>
    </w:p>
    <w:p w14:paraId="15C45B2C" w14:textId="77777777" w:rsidR="00E67C71" w:rsidRDefault="00E67C71" w:rsidP="00E67C71">
      <w:pPr>
        <w:spacing w:before="120"/>
      </w:pPr>
    </w:p>
    <w:p w14:paraId="6F7B5CCC" w14:textId="3C02C286" w:rsidR="00E67C71" w:rsidRPr="00EE43C6" w:rsidRDefault="00E67C71" w:rsidP="00E67C71">
      <w:pPr>
        <w:spacing w:before="120"/>
        <w:sectPr w:rsidR="00E67C71" w:rsidRPr="00EE43C6" w:rsidSect="00D719FE">
          <w:headerReference w:type="default" r:id="rId39"/>
          <w:footerReference w:type="default" r:id="rId40"/>
          <w:pgSz w:w="11900" w:h="16840" w:code="9"/>
          <w:pgMar w:top="1418" w:right="1418" w:bottom="1418" w:left="1418" w:header="709" w:footer="288" w:gutter="0"/>
          <w:cols w:space="708"/>
          <w:docGrid w:linePitch="360"/>
        </w:sectPr>
      </w:pPr>
    </w:p>
    <w:p w14:paraId="2F14D0A7" w14:textId="6B68ED0A" w:rsidR="004339AC" w:rsidRPr="00EE43C6" w:rsidRDefault="004339AC" w:rsidP="00132E74">
      <w:pPr>
        <w:pStyle w:val="Heading1"/>
        <w:ind w:left="426"/>
        <w:rPr>
          <w:noProof w:val="0"/>
          <w:lang w:val="en-GB"/>
        </w:rPr>
      </w:pPr>
      <w:bookmarkStart w:id="201" w:name="_Toc98425294"/>
      <w:bookmarkStart w:id="202" w:name="_Toc98429136"/>
      <w:bookmarkStart w:id="203" w:name="_Toc82779406"/>
      <w:bookmarkStart w:id="204" w:name="_Toc82704781"/>
      <w:bookmarkStart w:id="205" w:name="_Toc80633528"/>
      <w:bookmarkStart w:id="206" w:name="_Toc120016914"/>
      <w:bookmarkStart w:id="207" w:name="_Toc120004692"/>
      <w:bookmarkStart w:id="208" w:name="_Toc141445403"/>
      <w:bookmarkEnd w:id="201"/>
      <w:bookmarkEnd w:id="202"/>
      <w:bookmarkEnd w:id="203"/>
      <w:bookmarkEnd w:id="204"/>
      <w:r w:rsidRPr="00EE43C6">
        <w:rPr>
          <w:noProof w:val="0"/>
          <w:lang w:val="en-GB"/>
        </w:rPr>
        <w:lastRenderedPageBreak/>
        <w:t xml:space="preserve">ENVIRONMENTAL </w:t>
      </w:r>
      <w:r w:rsidR="002B5F55" w:rsidRPr="00EE43C6">
        <w:rPr>
          <w:noProof w:val="0"/>
          <w:lang w:val="en-GB"/>
        </w:rPr>
        <w:t>BASELINE OF THE PROJECT</w:t>
      </w:r>
      <w:bookmarkEnd w:id="205"/>
      <w:bookmarkEnd w:id="206"/>
      <w:bookmarkEnd w:id="207"/>
      <w:bookmarkEnd w:id="208"/>
    </w:p>
    <w:p w14:paraId="2061E284" w14:textId="24C11B14" w:rsidR="00A86F92" w:rsidRPr="00EE43C6" w:rsidRDefault="00A86F92" w:rsidP="00A86F92">
      <w:pPr>
        <w:rPr>
          <w:lang w:eastAsia="en-US"/>
        </w:rPr>
      </w:pPr>
      <w:r w:rsidRPr="00EE43C6">
        <w:rPr>
          <w:lang w:eastAsia="en-US"/>
        </w:rPr>
        <w:t xml:space="preserve">Within the scope of ESMP studies, 2U1K </w:t>
      </w:r>
      <w:r w:rsidR="00B9369C" w:rsidRPr="00EE43C6">
        <w:rPr>
          <w:lang w:eastAsia="en-US"/>
        </w:rPr>
        <w:t xml:space="preserve">made a </w:t>
      </w:r>
      <w:r w:rsidRPr="00EE43C6">
        <w:rPr>
          <w:lang w:eastAsia="en-US"/>
        </w:rPr>
        <w:t xml:space="preserve">site visit the Project </w:t>
      </w:r>
      <w:r w:rsidR="00B772E6" w:rsidRPr="00EE43C6">
        <w:rPr>
          <w:lang w:eastAsia="en-US"/>
        </w:rPr>
        <w:t>A</w:t>
      </w:r>
      <w:r w:rsidRPr="00EE43C6">
        <w:rPr>
          <w:lang w:eastAsia="en-US"/>
        </w:rPr>
        <w:t xml:space="preserve">rea on </w:t>
      </w:r>
      <w:r w:rsidR="00B772E6" w:rsidRPr="00EE43C6">
        <w:rPr>
          <w:lang w:eastAsia="en-US"/>
        </w:rPr>
        <w:t xml:space="preserve">the dates of </w:t>
      </w:r>
      <w:r w:rsidRPr="00EE43C6">
        <w:rPr>
          <w:lang w:eastAsia="en-US"/>
        </w:rPr>
        <w:t>20 and 21 December 2022.</w:t>
      </w:r>
      <w:r w:rsidR="00661784" w:rsidRPr="00EE43C6">
        <w:rPr>
          <w:lang w:eastAsia="en-US"/>
        </w:rPr>
        <w:t xml:space="preserve"> </w:t>
      </w:r>
      <w:r w:rsidR="000434FC" w:rsidRPr="00EE43C6">
        <w:rPr>
          <w:lang w:eastAsia="en-US"/>
        </w:rPr>
        <w:t>In this context, the baseline findings are detailed in the following subsections.</w:t>
      </w:r>
    </w:p>
    <w:p w14:paraId="4C9572FB" w14:textId="77777777" w:rsidR="004339AC" w:rsidRPr="00EE43C6" w:rsidRDefault="004339AC" w:rsidP="00B91168">
      <w:pPr>
        <w:pStyle w:val="Heading2"/>
        <w:ind w:hanging="718"/>
        <w:rPr>
          <w:lang w:val="en-GB"/>
        </w:rPr>
      </w:pPr>
      <w:bookmarkStart w:id="209" w:name="_Toc80633529"/>
      <w:bookmarkStart w:id="210" w:name="_Toc73933426"/>
      <w:bookmarkStart w:id="211" w:name="_Toc120016915"/>
      <w:bookmarkStart w:id="212" w:name="_Toc120004693"/>
      <w:bookmarkStart w:id="213" w:name="_Toc141445404"/>
      <w:r w:rsidRPr="00EE43C6">
        <w:rPr>
          <w:lang w:val="en-GB"/>
        </w:rPr>
        <w:t>Project Location and Topography</w:t>
      </w:r>
      <w:bookmarkEnd w:id="209"/>
      <w:bookmarkEnd w:id="210"/>
      <w:bookmarkEnd w:id="211"/>
      <w:bookmarkEnd w:id="212"/>
      <w:bookmarkEnd w:id="213"/>
    </w:p>
    <w:p w14:paraId="3EAEFF1E" w14:textId="22429EA6" w:rsidR="009F1869" w:rsidRPr="00EE43C6" w:rsidRDefault="009F1869" w:rsidP="009F1869">
      <w:r w:rsidRPr="00EE43C6">
        <w:t xml:space="preserve">The </w:t>
      </w:r>
      <w:r w:rsidR="00C02FAA" w:rsidRPr="00EE43C6">
        <w:t>P</w:t>
      </w:r>
      <w:r w:rsidRPr="00EE43C6">
        <w:t xml:space="preserve">roject </w:t>
      </w:r>
      <w:r w:rsidR="00C02FAA" w:rsidRPr="00EE43C6">
        <w:t>A</w:t>
      </w:r>
      <w:r w:rsidRPr="00EE43C6">
        <w:t xml:space="preserve">rea </w:t>
      </w:r>
      <w:r w:rsidR="00C02FAA" w:rsidRPr="00EE43C6">
        <w:t>is in</w:t>
      </w:r>
      <w:r w:rsidRPr="00EE43C6">
        <w:t xml:space="preserve"> Mersin Province, Tarsus District, Kurbanlı and Eskişehir </w:t>
      </w:r>
      <w:r w:rsidR="00C02FAA" w:rsidRPr="00EE43C6">
        <w:t>N</w:t>
      </w:r>
      <w:r w:rsidRPr="00EE43C6">
        <w:t>eighbourhoods, Ev</w:t>
      </w:r>
      <w:r w:rsidR="00677C52" w:rsidRPr="00EE43C6">
        <w:t xml:space="preserve">ci </w:t>
      </w:r>
      <w:r w:rsidR="008F5862">
        <w:t>Creek</w:t>
      </w:r>
      <w:r w:rsidR="00D53956" w:rsidRPr="00EE43C6">
        <w:t xml:space="preserve">, Kum Gediği </w:t>
      </w:r>
      <w:r w:rsidR="00C02FAA" w:rsidRPr="00EE43C6">
        <w:t>Local</w:t>
      </w:r>
      <w:r w:rsidRPr="00EE43C6">
        <w:t xml:space="preserve">. Mersin province, in which the </w:t>
      </w:r>
      <w:r w:rsidR="00642D8F" w:rsidRPr="00EE43C6">
        <w:t>P</w:t>
      </w:r>
      <w:r w:rsidRPr="00EE43C6">
        <w:t xml:space="preserve">roject </w:t>
      </w:r>
      <w:r w:rsidR="00642D8F" w:rsidRPr="00EE43C6">
        <w:t>A</w:t>
      </w:r>
      <w:r w:rsidRPr="00EE43C6">
        <w:t>rea is located, is surrounded by Adana in the east, Antalya in the west, Konya, Karaman and Niğde in the north and the Mediterranean Sea in the south. The area of the province is 15,853 km</w:t>
      </w:r>
      <w:r w:rsidRPr="00EE43C6">
        <w:rPr>
          <w:vertAlign w:val="superscript"/>
        </w:rPr>
        <w:t>2</w:t>
      </w:r>
      <w:r w:rsidRPr="00EE43C6">
        <w:t xml:space="preserve"> and </w:t>
      </w:r>
      <w:r w:rsidR="009E50E8" w:rsidRPr="00EE43C6">
        <w:t xml:space="preserve">49.5 </w:t>
      </w:r>
      <w:r w:rsidRPr="00EE43C6">
        <w:t>%</w:t>
      </w:r>
      <w:r w:rsidR="00A45B0E" w:rsidRPr="00EE43C6">
        <w:t xml:space="preserve"> </w:t>
      </w:r>
      <w:r w:rsidRPr="00EE43C6">
        <w:t>of its land is forested. The province has a 321 km coastline on the Mediterranean coast.</w:t>
      </w:r>
    </w:p>
    <w:p w14:paraId="4C0A794B" w14:textId="0895CE2F" w:rsidR="00EF2730" w:rsidRPr="00EE43C6" w:rsidRDefault="009F1869" w:rsidP="009F1869">
      <w:r w:rsidRPr="00EE43C6">
        <w:t>The north of the province is surrounded by the middle Taurus Mountains</w:t>
      </w:r>
      <w:r w:rsidR="00F92A0E" w:rsidRPr="00EE43C6">
        <w:t>,</w:t>
      </w:r>
      <w:r w:rsidRPr="00EE43C6">
        <w:t xml:space="preserve"> Bolkar Mountain. Medetsiz Hill constitutes the highest </w:t>
      </w:r>
      <w:r w:rsidR="00A07A55" w:rsidRPr="00EE43C6">
        <w:t>hill</w:t>
      </w:r>
      <w:r w:rsidRPr="00EE43C6">
        <w:t xml:space="preserve"> of the province. Tarsus and Mersin which </w:t>
      </w:r>
      <w:r w:rsidR="007F67BD" w:rsidRPr="00EE43C6">
        <w:t>are in</w:t>
      </w:r>
      <w:r w:rsidRPr="00EE43C6">
        <w:t xml:space="preserve"> Çukurova region have the widest plains of the province.</w:t>
      </w:r>
      <w:r w:rsidR="007F67BD" w:rsidRPr="00EE43C6">
        <w:t xml:space="preserve"> </w:t>
      </w:r>
      <w:r w:rsidRPr="00EE43C6">
        <w:t>To the west, the plains get narrower except for Silifke and Anamur.</w:t>
      </w:r>
    </w:p>
    <w:p w14:paraId="6E33B25E" w14:textId="76138782" w:rsidR="00EF2730" w:rsidRPr="00EE43C6" w:rsidRDefault="00EF2730" w:rsidP="00EF2730">
      <w:r w:rsidRPr="00EE43C6">
        <w:t>A significant part of Mersin Province</w:t>
      </w:r>
      <w:r w:rsidR="00333216" w:rsidRPr="00EE43C6">
        <w:t>’</w:t>
      </w:r>
      <w:r w:rsidRPr="00EE43C6">
        <w:t xml:space="preserve">s surface area consists of steep, very </w:t>
      </w:r>
      <w:r w:rsidR="00BF7E60" w:rsidRPr="00EE43C6">
        <w:t>steep,</w:t>
      </w:r>
      <w:r w:rsidRPr="00EE43C6">
        <w:t xml:space="preserve"> and steeply inclined lands. Forest and heather cover </w:t>
      </w:r>
      <w:r w:rsidR="00B9623F" w:rsidRPr="00EE43C6">
        <w:t>are</w:t>
      </w:r>
      <w:r w:rsidRPr="00EE43C6">
        <w:t xml:space="preserve"> 59.5% (960</w:t>
      </w:r>
      <w:r w:rsidR="007A445C" w:rsidRPr="00EE43C6">
        <w:t>,</w:t>
      </w:r>
      <w:r w:rsidRPr="00EE43C6">
        <w:t>163 hectares) of the provincial area.</w:t>
      </w:r>
    </w:p>
    <w:p w14:paraId="504EADB1" w14:textId="34CAA679" w:rsidR="00EF2730" w:rsidRPr="00EE43C6" w:rsidRDefault="00EF2730" w:rsidP="00EF2730">
      <w:r w:rsidRPr="00EE43C6">
        <w:t>Meadows and pastures have an area of 137,631 hectares and the proportion of the area covered in the province is 8.5</w:t>
      </w:r>
      <w:r w:rsidR="00F46377" w:rsidRPr="00EE43C6">
        <w:t>%</w:t>
      </w:r>
      <w:r w:rsidRPr="00EE43C6">
        <w:t>. Since forest, heath and agricultural lands can also be used for grazing, animal husbandry is quite advanced.</w:t>
      </w:r>
    </w:p>
    <w:p w14:paraId="756A4EB7" w14:textId="6D6A847A" w:rsidR="00EF2730" w:rsidRPr="00EE43C6" w:rsidRDefault="00EF2730" w:rsidP="00EF2730">
      <w:r w:rsidRPr="00EE43C6">
        <w:t xml:space="preserve">The </w:t>
      </w:r>
      <w:r w:rsidR="00057871">
        <w:t xml:space="preserve">land type </w:t>
      </w:r>
      <w:r w:rsidRPr="00EE43C6">
        <w:t xml:space="preserve">of the parcels in the area where the </w:t>
      </w:r>
      <w:r w:rsidR="00AE117F" w:rsidRPr="00EE43C6">
        <w:t>OIZ</w:t>
      </w:r>
      <w:r w:rsidRPr="00EE43C6">
        <w:t xml:space="preserve"> will be established has been determined as </w:t>
      </w:r>
      <w:r w:rsidR="00333216" w:rsidRPr="00EE43C6">
        <w:t>“</w:t>
      </w:r>
      <w:r w:rsidRPr="00EE43C6">
        <w:t>Dry Marginal Agricultural Land</w:t>
      </w:r>
      <w:r w:rsidR="00333216" w:rsidRPr="00EE43C6">
        <w:t>“</w:t>
      </w:r>
      <w:r w:rsidRPr="00EE43C6">
        <w:t xml:space="preserve"> by the Mersin Soil Conservation Board.</w:t>
      </w:r>
    </w:p>
    <w:p w14:paraId="0A5AC682" w14:textId="75E2EE9A" w:rsidR="00EF2730" w:rsidRPr="00EE43C6" w:rsidRDefault="00EF2730" w:rsidP="00EF2730">
      <w:r w:rsidRPr="00EE43C6">
        <w:t>With the approval of Mersin Province Governor</w:t>
      </w:r>
      <w:r w:rsidR="00333216" w:rsidRPr="00EE43C6">
        <w:t>’</w:t>
      </w:r>
      <w:r w:rsidRPr="00EE43C6">
        <w:t xml:space="preserve">s Office dated 08.08.2017 and numbered 50458482/99/01-570, the non-agricultural use of the parcels </w:t>
      </w:r>
      <w:r w:rsidR="00524F9C" w:rsidRPr="00EE43C6">
        <w:t>was</w:t>
      </w:r>
      <w:r w:rsidRPr="00EE43C6">
        <w:t xml:space="preserve"> considered as Dry Marginal Agricultural Land.</w:t>
      </w:r>
      <w:r w:rsidR="005025A6" w:rsidRPr="00EE43C6">
        <w:t xml:space="preserve"> In addition to this, </w:t>
      </w:r>
      <w:r w:rsidR="000E738E" w:rsidRPr="00EE43C6">
        <w:t xml:space="preserve">within the scope of Article 13 of the Soil Conservation and Land Use Law, </w:t>
      </w:r>
      <w:r w:rsidR="005025A6" w:rsidRPr="00EE43C6">
        <w:t xml:space="preserve">it has been accepted by the commission that a part of the </w:t>
      </w:r>
      <w:r w:rsidR="00E210C5" w:rsidRPr="00EE43C6">
        <w:t>a</w:t>
      </w:r>
      <w:r w:rsidR="005025A6" w:rsidRPr="00EE43C6">
        <w:t xml:space="preserve">rea </w:t>
      </w:r>
      <w:r w:rsidR="0066701F" w:rsidRPr="00EE43C6">
        <w:t xml:space="preserve">added later to the </w:t>
      </w:r>
      <w:r w:rsidR="005025A6" w:rsidRPr="00EE43C6">
        <w:t>Project Area will be used for non-agricultural purposes, provided that the soil conservation project is complied with</w:t>
      </w:r>
      <w:r w:rsidR="0066701F" w:rsidRPr="00EE43C6">
        <w:t>.</w:t>
      </w:r>
      <w:r w:rsidR="005025A6" w:rsidRPr="00EE43C6">
        <w:t xml:space="preserve"> Non-Agricultural Use has been approved with the letter dated 29.03.2021 and numbered 988835</w:t>
      </w:r>
      <w:r w:rsidR="00E60819" w:rsidRPr="00EE43C6">
        <w:t xml:space="preserve"> (</w:t>
      </w:r>
      <w:r w:rsidR="007473E6" w:rsidRPr="00EE43C6">
        <w:t>see Appendix-C)</w:t>
      </w:r>
      <w:r w:rsidR="00E60819" w:rsidRPr="00EE43C6">
        <w:t>.</w:t>
      </w:r>
    </w:p>
    <w:p w14:paraId="577E1ECD" w14:textId="5E92F86D" w:rsidR="00EF2730" w:rsidRPr="00EE43C6" w:rsidRDefault="00EF2730" w:rsidP="00EF2730">
      <w:r w:rsidRPr="00EE43C6">
        <w:t xml:space="preserve">The characteristics of the lands to be used as the project area are mainly formed of </w:t>
      </w:r>
      <w:r w:rsidR="00165A8C">
        <w:t>“</w:t>
      </w:r>
      <w:r w:rsidRPr="00EE43C6">
        <w:t>Stones and Bushes</w:t>
      </w:r>
      <w:r w:rsidR="00333216" w:rsidRPr="00EE43C6">
        <w:t>”</w:t>
      </w:r>
      <w:r w:rsidRPr="00EE43C6">
        <w:t>. In the Observational Geological Investigation Report prepared for the project area, the topographic slope in the project area is between</w:t>
      </w:r>
      <w:r w:rsidR="00336BC7" w:rsidRPr="00EE43C6">
        <w:t xml:space="preserve"> </w:t>
      </w:r>
      <w:r w:rsidRPr="00EE43C6">
        <w:t>10-25</w:t>
      </w:r>
      <w:r w:rsidR="00F46377" w:rsidRPr="00EE43C6">
        <w:t xml:space="preserve"> %</w:t>
      </w:r>
      <w:r w:rsidRPr="00EE43C6">
        <w:t>, the observation area was evaluated in a category in terms of suitability for settlement as a result of the observations made and the information obtained from the research pits.</w:t>
      </w:r>
      <w:r w:rsidR="00464982" w:rsidRPr="00EE43C6">
        <w:t xml:space="preserve"> </w:t>
      </w:r>
      <w:sdt>
        <w:sdtPr>
          <w:id w:val="1730798495"/>
          <w:citation/>
        </w:sdtPr>
        <w:sdtEndPr/>
        <w:sdtContent>
          <w:r w:rsidR="00464982" w:rsidRPr="00EE43C6">
            <w:fldChar w:fldCharType="begin"/>
          </w:r>
          <w:r w:rsidR="006716F4" w:rsidRPr="00EE43C6">
            <w:instrText xml:space="preserve">CITATION Bur22 \l 1055 </w:instrText>
          </w:r>
          <w:r w:rsidR="00464982" w:rsidRPr="00EE43C6">
            <w:fldChar w:fldCharType="separate"/>
          </w:r>
          <w:r w:rsidR="006716F4" w:rsidRPr="00EE43C6">
            <w:t>(Burced Engineering Service Co.Ltd.,The EIA Report of the OIZ, 2022)</w:t>
          </w:r>
          <w:r w:rsidR="00464982" w:rsidRPr="00EE43C6">
            <w:fldChar w:fldCharType="end"/>
          </w:r>
        </w:sdtContent>
      </w:sdt>
    </w:p>
    <w:p w14:paraId="754C4F41" w14:textId="2A6927B2" w:rsidR="00C85713" w:rsidRPr="00EE43C6" w:rsidRDefault="00C85713" w:rsidP="00757092">
      <w:pPr>
        <w:pStyle w:val="Heading2"/>
        <w:ind w:hanging="718"/>
        <w:rPr>
          <w:rFonts w:eastAsiaTheme="minorHAnsi"/>
          <w:lang w:val="en-GB"/>
        </w:rPr>
      </w:pPr>
      <w:bookmarkStart w:id="214" w:name="_Toc82779409"/>
      <w:bookmarkStart w:id="215" w:name="_Toc82704784"/>
      <w:bookmarkStart w:id="216" w:name="_Toc120016916"/>
      <w:bookmarkStart w:id="217" w:name="_Toc120004694"/>
      <w:bookmarkStart w:id="218" w:name="_Toc141445405"/>
      <w:bookmarkStart w:id="219" w:name="_Toc80633531"/>
      <w:bookmarkEnd w:id="214"/>
      <w:bookmarkEnd w:id="215"/>
      <w:r w:rsidRPr="00EE43C6">
        <w:rPr>
          <w:rFonts w:eastAsiaTheme="minorHAnsi"/>
          <w:lang w:val="en-GB"/>
        </w:rPr>
        <w:lastRenderedPageBreak/>
        <w:t>Land</w:t>
      </w:r>
      <w:r w:rsidR="00BF6137" w:rsidRPr="00EE43C6">
        <w:rPr>
          <w:rFonts w:eastAsiaTheme="minorHAnsi"/>
          <w:lang w:val="en-GB"/>
        </w:rPr>
        <w:t xml:space="preserve"> Use</w:t>
      </w:r>
      <w:bookmarkEnd w:id="216"/>
      <w:bookmarkEnd w:id="217"/>
      <w:bookmarkEnd w:id="218"/>
    </w:p>
    <w:p w14:paraId="77524858" w14:textId="1F249662" w:rsidR="00206884" w:rsidRPr="00EE43C6" w:rsidRDefault="0074244A" w:rsidP="00206884">
      <w:r w:rsidRPr="0074244A">
        <w:t>According to the list in EPSA, it is stated as 57 shareholders.</w:t>
      </w:r>
      <w:r w:rsidR="005A1973">
        <w:t xml:space="preserve"> </w:t>
      </w:r>
      <w:r w:rsidR="00206884">
        <w:t xml:space="preserve">The majority of the Project Area consists of stony bushes and the agricultural lands are marginal dry farming. </w:t>
      </w:r>
      <w:r w:rsidR="00333216">
        <w:t>“</w:t>
      </w:r>
      <w:r w:rsidR="00206884">
        <w:t>Non-Agricultural Use Permit</w:t>
      </w:r>
      <w:r w:rsidR="00333216">
        <w:t>”</w:t>
      </w:r>
      <w:r w:rsidR="00206884">
        <w:t>s for the agricultural areas in the Project Area that was secured by the concerned authorities are given in Appendix-C.</w:t>
      </w:r>
    </w:p>
    <w:p w14:paraId="4E303C77" w14:textId="59A9E25A" w:rsidR="002044EC" w:rsidRPr="00DB5D9C" w:rsidRDefault="008E318D" w:rsidP="00AE19BC">
      <w:r w:rsidRPr="00EE43C6">
        <w:t xml:space="preserve">The location of the </w:t>
      </w:r>
      <w:r w:rsidR="00000BCD" w:rsidRPr="00EE43C6">
        <w:t>OIZ</w:t>
      </w:r>
      <w:r w:rsidRPr="00EE43C6">
        <w:t xml:space="preserve"> </w:t>
      </w:r>
      <w:r w:rsidR="00000BCD" w:rsidRPr="00EE43C6">
        <w:t>A</w:t>
      </w:r>
      <w:r w:rsidRPr="00EE43C6">
        <w:t xml:space="preserve">rea was approved by the Site Selection Commission formed by the General Directorate of Industrial Zones of the </w:t>
      </w:r>
      <w:r w:rsidR="00FF4588" w:rsidRPr="00EE43C6">
        <w:t>MoIT</w:t>
      </w:r>
      <w:r w:rsidRPr="00EE43C6">
        <w:t>.</w:t>
      </w:r>
      <w:r w:rsidR="00FF3527" w:rsidRPr="00EE43C6">
        <w:t xml:space="preserve"> </w:t>
      </w:r>
      <w:r w:rsidR="00986947" w:rsidRPr="00EE43C6">
        <w:t xml:space="preserve">In this context, </w:t>
      </w:r>
      <w:r w:rsidR="00704179" w:rsidRPr="00EE43C6">
        <w:t>g</w:t>
      </w:r>
      <w:r w:rsidR="004C3132" w:rsidRPr="00EE43C6">
        <w:t xml:space="preserve">round levelling </w:t>
      </w:r>
      <w:r w:rsidR="00FF3527" w:rsidRPr="00EE43C6">
        <w:t xml:space="preserve">works of </w:t>
      </w:r>
      <w:r w:rsidR="004C3132" w:rsidRPr="00EE43C6">
        <w:t xml:space="preserve">the </w:t>
      </w:r>
      <w:r w:rsidR="00B82874" w:rsidRPr="00EE43C6">
        <w:t>Project</w:t>
      </w:r>
      <w:r w:rsidR="004C3132" w:rsidRPr="00EE43C6">
        <w:t xml:space="preserve"> has been </w:t>
      </w:r>
      <w:r w:rsidR="00AC3CA9" w:rsidRPr="00EE43C6">
        <w:t xml:space="preserve">almost </w:t>
      </w:r>
      <w:r w:rsidR="007E532A" w:rsidRPr="00EE43C6">
        <w:t>completed</w:t>
      </w:r>
      <w:r w:rsidR="004C3132" w:rsidRPr="00EE43C6">
        <w:t xml:space="preserve"> </w:t>
      </w:r>
      <w:r w:rsidR="00FC4BEE" w:rsidRPr="00EE43C6">
        <w:t xml:space="preserve">in the </w:t>
      </w:r>
      <w:r w:rsidR="004C3132" w:rsidRPr="00EE43C6">
        <w:t>Project Area.</w:t>
      </w:r>
      <w:r w:rsidR="00E92E0B">
        <w:t xml:space="preserve"> </w:t>
      </w:r>
      <w:r w:rsidR="002044EC" w:rsidRPr="002044EC">
        <w:t>It has been determined that the lands purchased from private individuals or the treasury or expropriated were previously uninhabited and not used for agriculture.</w:t>
      </w:r>
      <w:r w:rsidR="00F56235">
        <w:t xml:space="preserve"> </w:t>
      </w:r>
      <w:r w:rsidR="00F56235" w:rsidRPr="00F56235">
        <w:t xml:space="preserve">The conditions of the lands before and after expropriation are presented </w:t>
      </w:r>
      <w:r w:rsidR="00F56235" w:rsidRPr="00E92E0B">
        <w:t xml:space="preserve">in </w:t>
      </w:r>
      <w:r w:rsidR="00082A0D" w:rsidRPr="00E92E0B">
        <w:fldChar w:fldCharType="begin"/>
      </w:r>
      <w:r w:rsidR="00082A0D" w:rsidRPr="00E92E0B">
        <w:instrText xml:space="preserve"> REF _Ref136356357 \h </w:instrText>
      </w:r>
      <w:r w:rsidR="00082A0D" w:rsidRPr="00E92E0B">
        <w:fldChar w:fldCharType="separate"/>
      </w:r>
      <w:r w:rsidR="00082A0D" w:rsidRPr="00E92E0B">
        <w:rPr>
          <w:lang w:val="en-US"/>
        </w:rPr>
        <w:t>Figure 4</w:t>
      </w:r>
      <w:r w:rsidR="00082A0D" w:rsidRPr="00E92E0B">
        <w:rPr>
          <w:lang w:val="en-US"/>
        </w:rPr>
        <w:noBreakHyphen/>
        <w:t>1</w:t>
      </w:r>
      <w:r w:rsidR="00082A0D" w:rsidRPr="00E92E0B">
        <w:fldChar w:fldCharType="end"/>
      </w:r>
      <w:r w:rsidR="00082A0D" w:rsidRPr="00E92E0B">
        <w:t xml:space="preserve">, </w:t>
      </w:r>
      <w:r w:rsidR="00082A0D" w:rsidRPr="00E92E0B">
        <w:fldChar w:fldCharType="begin"/>
      </w:r>
      <w:r w:rsidR="00082A0D" w:rsidRPr="00E92E0B">
        <w:instrText xml:space="preserve"> REF _Ref136356371 \h </w:instrText>
      </w:r>
      <w:r w:rsidR="00082A0D" w:rsidRPr="00E92E0B">
        <w:fldChar w:fldCharType="separate"/>
      </w:r>
      <w:r w:rsidR="00082A0D" w:rsidRPr="00E92E0B">
        <w:rPr>
          <w:lang w:val="en-US"/>
        </w:rPr>
        <w:t>Figure 4</w:t>
      </w:r>
      <w:r w:rsidR="00082A0D" w:rsidRPr="00E92E0B">
        <w:rPr>
          <w:lang w:val="en-US"/>
        </w:rPr>
        <w:noBreakHyphen/>
        <w:t>2</w:t>
      </w:r>
      <w:r w:rsidR="00082A0D" w:rsidRPr="00E92E0B">
        <w:fldChar w:fldCharType="end"/>
      </w:r>
      <w:r w:rsidR="00082A0D" w:rsidRPr="00E92E0B">
        <w:t xml:space="preserve"> and </w:t>
      </w:r>
      <w:r w:rsidR="00082A0D" w:rsidRPr="00E92E0B">
        <w:fldChar w:fldCharType="begin"/>
      </w:r>
      <w:r w:rsidR="00082A0D" w:rsidRPr="00E92E0B">
        <w:instrText xml:space="preserve"> REF _Ref136356385 \h </w:instrText>
      </w:r>
      <w:r w:rsidR="00082A0D" w:rsidRPr="00E92E0B">
        <w:fldChar w:fldCharType="separate"/>
      </w:r>
      <w:r w:rsidR="00082A0D" w:rsidRPr="00E92E0B">
        <w:rPr>
          <w:lang w:val="en-US"/>
        </w:rPr>
        <w:t>Figure 4</w:t>
      </w:r>
      <w:r w:rsidR="00082A0D" w:rsidRPr="00E92E0B">
        <w:rPr>
          <w:lang w:val="en-US"/>
        </w:rPr>
        <w:noBreakHyphen/>
        <w:t>3</w:t>
      </w:r>
      <w:r w:rsidR="00082A0D" w:rsidRPr="00E92E0B">
        <w:fldChar w:fldCharType="end"/>
      </w:r>
      <w:r w:rsidR="00082A0D" w:rsidRPr="00E92E0B">
        <w:t>.</w:t>
      </w:r>
    </w:p>
    <w:p w14:paraId="501120CB" w14:textId="77777777" w:rsidR="00ED23AE" w:rsidRDefault="002E1D92" w:rsidP="00E67C71">
      <w:pPr>
        <w:keepNext/>
        <w:spacing w:after="0"/>
        <w:jc w:val="center"/>
      </w:pPr>
      <w:r>
        <w:rPr>
          <w:noProof/>
        </w:rPr>
        <w:drawing>
          <wp:inline distT="0" distB="0" distL="0" distR="0" wp14:anchorId="201CE85D" wp14:editId="183A7933">
            <wp:extent cx="5656657" cy="4002846"/>
            <wp:effectExtent l="38100" t="38100" r="39370" b="36195"/>
            <wp:docPr id="1855039205" name="Resim 1855039205" descr="metin, ekran görüntüsü,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39205" name="Resim 1" descr="metin, ekran görüntüsü, harita içeren bir resim&#10;&#10;Açıklama otomatik olarak oluşturuld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9170" cy="4011701"/>
                    </a:xfrm>
                    <a:prstGeom prst="rect">
                      <a:avLst/>
                    </a:prstGeom>
                    <a:noFill/>
                    <a:ln w="38100">
                      <a:solidFill>
                        <a:sysClr val="windowText" lastClr="000000"/>
                      </a:solidFill>
                    </a:ln>
                  </pic:spPr>
                </pic:pic>
              </a:graphicData>
            </a:graphic>
          </wp:inline>
        </w:drawing>
      </w:r>
    </w:p>
    <w:p w14:paraId="7F33D1BD" w14:textId="07AD515B" w:rsidR="00F56235" w:rsidRPr="00DB5D9C" w:rsidRDefault="00ED23AE" w:rsidP="008A0A10">
      <w:pPr>
        <w:pStyle w:val="Caption"/>
      </w:pPr>
      <w:bookmarkStart w:id="220" w:name="_Ref136356357"/>
      <w:bookmarkStart w:id="221" w:name="_Toc141445560"/>
      <w:r w:rsidRPr="00082A0D">
        <w:rPr>
          <w:color w:val="00B050"/>
          <w:lang w:val="en-US" w:eastAsia="zh-CN"/>
        </w:rPr>
        <w:t xml:space="preserve">Figure </w:t>
      </w:r>
      <w:r w:rsidRPr="003D292C">
        <w:rPr>
          <w:color w:val="00B050"/>
          <w:lang w:val="en-US" w:eastAsia="zh-CN"/>
        </w:rPr>
        <w:fldChar w:fldCharType="begin"/>
      </w:r>
      <w:r w:rsidRPr="00082A0D">
        <w:rPr>
          <w:color w:val="00B050"/>
          <w:lang w:val="en-US" w:eastAsia="zh-CN"/>
        </w:rPr>
        <w:instrText xml:space="preserve"> STYLEREF 1 \s </w:instrText>
      </w:r>
      <w:r w:rsidRPr="003D292C">
        <w:rPr>
          <w:color w:val="00B050"/>
          <w:lang w:val="en-US" w:eastAsia="zh-CN"/>
        </w:rPr>
        <w:fldChar w:fldCharType="separate"/>
      </w:r>
      <w:r w:rsidRPr="00082A0D">
        <w:rPr>
          <w:color w:val="00B050"/>
          <w:lang w:val="en-US" w:eastAsia="zh-CN"/>
        </w:rPr>
        <w:t>4</w:t>
      </w:r>
      <w:r w:rsidRPr="003D292C">
        <w:rPr>
          <w:color w:val="00B050"/>
          <w:lang w:val="en-US" w:eastAsia="zh-CN"/>
        </w:rPr>
        <w:fldChar w:fldCharType="end"/>
      </w:r>
      <w:r w:rsidRPr="00082A0D">
        <w:rPr>
          <w:color w:val="00B050"/>
          <w:lang w:val="en-US" w:eastAsia="zh-CN"/>
        </w:rPr>
        <w:noBreakHyphen/>
      </w:r>
      <w:r w:rsidRPr="003D292C">
        <w:rPr>
          <w:color w:val="00B050"/>
          <w:lang w:val="en-US" w:eastAsia="zh-CN"/>
        </w:rPr>
        <w:fldChar w:fldCharType="begin"/>
      </w:r>
      <w:r w:rsidRPr="00082A0D">
        <w:rPr>
          <w:color w:val="00B050"/>
          <w:lang w:val="en-US" w:eastAsia="zh-CN"/>
        </w:rPr>
        <w:instrText xml:space="preserve"> SEQ Figure \* ARABIC \s 1 </w:instrText>
      </w:r>
      <w:r w:rsidRPr="003D292C">
        <w:rPr>
          <w:color w:val="00B050"/>
          <w:lang w:val="en-US" w:eastAsia="zh-CN"/>
        </w:rPr>
        <w:fldChar w:fldCharType="separate"/>
      </w:r>
      <w:r w:rsidRPr="00082A0D">
        <w:rPr>
          <w:color w:val="00B050"/>
          <w:lang w:val="en-US" w:eastAsia="zh-CN"/>
        </w:rPr>
        <w:t>1</w:t>
      </w:r>
      <w:r w:rsidRPr="003D292C">
        <w:rPr>
          <w:color w:val="00B050"/>
          <w:lang w:val="en-US" w:eastAsia="zh-CN"/>
        </w:rPr>
        <w:fldChar w:fldCharType="end"/>
      </w:r>
      <w:bookmarkEnd w:id="220"/>
      <w:r w:rsidRPr="00466E55">
        <w:rPr>
          <w:color w:val="00B050"/>
          <w:lang w:val="en-US" w:eastAsia="zh-CN"/>
        </w:rPr>
        <w:t>.</w:t>
      </w:r>
      <w:r>
        <w:t xml:space="preserve"> </w:t>
      </w:r>
      <w:r w:rsidRPr="003D292C">
        <w:rPr>
          <w:b w:val="0"/>
          <w:color w:val="auto"/>
          <w:lang w:val="en-US" w:eastAsia="zh-CN"/>
        </w:rPr>
        <w:t>Before and After Expropriation (1)</w:t>
      </w:r>
      <w:bookmarkEnd w:id="221"/>
    </w:p>
    <w:p w14:paraId="752AC16D" w14:textId="77777777" w:rsidR="002E1D92" w:rsidRDefault="002E1D92" w:rsidP="00AE19BC"/>
    <w:p w14:paraId="6E145013" w14:textId="77777777" w:rsidR="00ED23AE" w:rsidRDefault="00F6691F" w:rsidP="00E92E0B">
      <w:pPr>
        <w:keepNext/>
        <w:spacing w:before="0" w:after="0"/>
      </w:pPr>
      <w:r>
        <w:rPr>
          <w:noProof/>
        </w:rPr>
        <w:lastRenderedPageBreak/>
        <w:drawing>
          <wp:inline distT="0" distB="0" distL="0" distR="0" wp14:anchorId="16422D70" wp14:editId="1B63C1AA">
            <wp:extent cx="5617540" cy="3975166"/>
            <wp:effectExtent l="38100" t="38100" r="40640" b="44450"/>
            <wp:docPr id="973742661" name="Resim 973742661" descr="metin, harita, atlas,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42661" name="Resim 2" descr="metin, harita, atlas, ekran görüntüsü içeren bir resim&#10;&#10;Açıklama otomatik olarak oluşturuld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916" cy="3976847"/>
                    </a:xfrm>
                    <a:prstGeom prst="rect">
                      <a:avLst/>
                    </a:prstGeom>
                    <a:noFill/>
                    <a:ln w="38100">
                      <a:solidFill>
                        <a:sysClr val="windowText" lastClr="000000"/>
                      </a:solidFill>
                    </a:ln>
                  </pic:spPr>
                </pic:pic>
              </a:graphicData>
            </a:graphic>
          </wp:inline>
        </w:drawing>
      </w:r>
    </w:p>
    <w:p w14:paraId="598D3A55" w14:textId="131D5641" w:rsidR="002E1D92" w:rsidRPr="00DB5D9C" w:rsidRDefault="00ED23AE" w:rsidP="00F66AB6">
      <w:pPr>
        <w:pStyle w:val="Caption"/>
      </w:pPr>
      <w:bookmarkStart w:id="222" w:name="_Ref136356371"/>
      <w:bookmarkStart w:id="223" w:name="_Toc141445561"/>
      <w:r w:rsidRPr="00F66AB6">
        <w:rPr>
          <w:color w:val="00B050"/>
          <w:lang w:val="en-US" w:eastAsia="zh-CN"/>
        </w:rPr>
        <w:t xml:space="preserve">Figure </w:t>
      </w:r>
      <w:r w:rsidRPr="00F66AB6">
        <w:rPr>
          <w:color w:val="00B050"/>
          <w:lang w:val="en-US" w:eastAsia="zh-CN"/>
        </w:rPr>
        <w:fldChar w:fldCharType="begin"/>
      </w:r>
      <w:r w:rsidRPr="00F66AB6">
        <w:rPr>
          <w:color w:val="00B050"/>
          <w:lang w:val="en-US" w:eastAsia="zh-CN"/>
        </w:rPr>
        <w:instrText xml:space="preserve"> STYLEREF 1 \s </w:instrText>
      </w:r>
      <w:r w:rsidRPr="00F66AB6">
        <w:rPr>
          <w:color w:val="00B050"/>
          <w:lang w:val="en-US" w:eastAsia="zh-CN"/>
        </w:rPr>
        <w:fldChar w:fldCharType="separate"/>
      </w:r>
      <w:r w:rsidRPr="00F66AB6">
        <w:rPr>
          <w:color w:val="00B050"/>
          <w:lang w:val="en-US" w:eastAsia="zh-CN"/>
        </w:rPr>
        <w:t>4</w:t>
      </w:r>
      <w:r w:rsidRPr="00F66AB6">
        <w:rPr>
          <w:color w:val="00B050"/>
          <w:lang w:val="en-US" w:eastAsia="zh-CN"/>
        </w:rPr>
        <w:fldChar w:fldCharType="end"/>
      </w:r>
      <w:r w:rsidRPr="00F66AB6">
        <w:rPr>
          <w:color w:val="00B050"/>
          <w:lang w:val="en-US" w:eastAsia="zh-CN"/>
        </w:rPr>
        <w:noBreakHyphen/>
      </w:r>
      <w:r w:rsidRPr="00F66AB6">
        <w:rPr>
          <w:color w:val="00B050"/>
          <w:lang w:val="en-US" w:eastAsia="zh-CN"/>
        </w:rPr>
        <w:fldChar w:fldCharType="begin"/>
      </w:r>
      <w:r w:rsidRPr="00F66AB6">
        <w:rPr>
          <w:color w:val="00B050"/>
          <w:lang w:val="en-US" w:eastAsia="zh-CN"/>
        </w:rPr>
        <w:instrText xml:space="preserve"> SEQ Figure \* ARABIC \s 1 </w:instrText>
      </w:r>
      <w:r w:rsidRPr="00F66AB6">
        <w:rPr>
          <w:color w:val="00B050"/>
          <w:lang w:val="en-US" w:eastAsia="zh-CN"/>
        </w:rPr>
        <w:fldChar w:fldCharType="separate"/>
      </w:r>
      <w:r w:rsidRPr="00F66AB6">
        <w:rPr>
          <w:color w:val="00B050"/>
          <w:lang w:val="en-US" w:eastAsia="zh-CN"/>
        </w:rPr>
        <w:t>2</w:t>
      </w:r>
      <w:r w:rsidRPr="00F66AB6">
        <w:rPr>
          <w:color w:val="00B050"/>
          <w:lang w:val="en-US" w:eastAsia="zh-CN"/>
        </w:rPr>
        <w:fldChar w:fldCharType="end"/>
      </w:r>
      <w:bookmarkEnd w:id="222"/>
      <w:r w:rsidRPr="00F66AB6">
        <w:rPr>
          <w:color w:val="00B050"/>
          <w:lang w:val="en-US" w:eastAsia="zh-CN"/>
        </w:rPr>
        <w:t>.</w:t>
      </w:r>
      <w:r>
        <w:t xml:space="preserve"> </w:t>
      </w:r>
      <w:r w:rsidRPr="00F66AB6">
        <w:rPr>
          <w:b w:val="0"/>
          <w:color w:val="auto"/>
          <w:lang w:val="en-US" w:eastAsia="zh-CN"/>
        </w:rPr>
        <w:t>Before and After Expropriation (2)</w:t>
      </w:r>
      <w:bookmarkEnd w:id="223"/>
    </w:p>
    <w:p w14:paraId="4751D8CB" w14:textId="77777777" w:rsidR="00F6691F" w:rsidRDefault="00F6691F" w:rsidP="00AE19BC"/>
    <w:p w14:paraId="7B27E095" w14:textId="77777777" w:rsidR="0092334B" w:rsidRDefault="00B615AA" w:rsidP="00E67C71">
      <w:pPr>
        <w:keepNext/>
        <w:spacing w:after="0"/>
      </w:pPr>
      <w:r>
        <w:rPr>
          <w:noProof/>
        </w:rPr>
        <w:lastRenderedPageBreak/>
        <w:drawing>
          <wp:inline distT="0" distB="0" distL="0" distR="0" wp14:anchorId="4BCD59E5" wp14:editId="2ED886E8">
            <wp:extent cx="5609234" cy="3969288"/>
            <wp:effectExtent l="38100" t="38100" r="29845" b="31750"/>
            <wp:docPr id="1714560181" name="Resim 1714560181" descr="metin, harita, pl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60181" name="Resim 3" descr="metin, harita, plan, ekran görüntüsü içeren bir resim&#10;&#10;Açıklama otomatik olarak oluşturuld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1850" cy="3971139"/>
                    </a:xfrm>
                    <a:prstGeom prst="rect">
                      <a:avLst/>
                    </a:prstGeom>
                    <a:noFill/>
                    <a:ln w="38100">
                      <a:solidFill>
                        <a:sysClr val="windowText" lastClr="000000"/>
                      </a:solidFill>
                    </a:ln>
                  </pic:spPr>
                </pic:pic>
              </a:graphicData>
            </a:graphic>
          </wp:inline>
        </w:drawing>
      </w:r>
    </w:p>
    <w:p w14:paraId="299EAF1E" w14:textId="3345A675" w:rsidR="00F6691F" w:rsidRPr="00600840" w:rsidRDefault="0092334B" w:rsidP="00600840">
      <w:pPr>
        <w:pStyle w:val="Caption"/>
        <w:rPr>
          <w:b w:val="0"/>
          <w:color w:val="auto"/>
          <w:lang w:val="en-US" w:eastAsia="zh-CN"/>
        </w:rPr>
      </w:pPr>
      <w:bookmarkStart w:id="224" w:name="_Ref136356385"/>
      <w:bookmarkStart w:id="225" w:name="_Toc141445562"/>
      <w:r w:rsidRPr="00600840">
        <w:rPr>
          <w:color w:val="00B050"/>
          <w:lang w:val="en-US" w:eastAsia="zh-CN"/>
        </w:rPr>
        <w:t xml:space="preserve">Figure </w:t>
      </w:r>
      <w:r w:rsidRPr="00600840">
        <w:rPr>
          <w:color w:val="00B050"/>
          <w:lang w:val="en-US" w:eastAsia="zh-CN"/>
        </w:rPr>
        <w:fldChar w:fldCharType="begin"/>
      </w:r>
      <w:r w:rsidRPr="00600840">
        <w:rPr>
          <w:color w:val="00B050"/>
          <w:lang w:val="en-US" w:eastAsia="zh-CN"/>
        </w:rPr>
        <w:instrText xml:space="preserve"> STYLEREF 1 \s </w:instrText>
      </w:r>
      <w:r w:rsidRPr="00600840">
        <w:rPr>
          <w:color w:val="00B050"/>
          <w:lang w:val="en-US" w:eastAsia="zh-CN"/>
        </w:rPr>
        <w:fldChar w:fldCharType="separate"/>
      </w:r>
      <w:r w:rsidRPr="00600840">
        <w:rPr>
          <w:color w:val="00B050"/>
          <w:lang w:val="en-US" w:eastAsia="zh-CN"/>
        </w:rPr>
        <w:t>4</w:t>
      </w:r>
      <w:r w:rsidRPr="00600840">
        <w:rPr>
          <w:color w:val="00B050"/>
          <w:lang w:val="en-US" w:eastAsia="zh-CN"/>
        </w:rPr>
        <w:fldChar w:fldCharType="end"/>
      </w:r>
      <w:r w:rsidRPr="00600840">
        <w:rPr>
          <w:color w:val="00B050"/>
          <w:lang w:val="en-US" w:eastAsia="zh-CN"/>
        </w:rPr>
        <w:noBreakHyphen/>
      </w:r>
      <w:r w:rsidRPr="00600840">
        <w:rPr>
          <w:color w:val="00B050"/>
          <w:lang w:val="en-US" w:eastAsia="zh-CN"/>
        </w:rPr>
        <w:fldChar w:fldCharType="begin"/>
      </w:r>
      <w:r w:rsidRPr="00600840">
        <w:rPr>
          <w:color w:val="00B050"/>
          <w:lang w:val="en-US" w:eastAsia="zh-CN"/>
        </w:rPr>
        <w:instrText xml:space="preserve"> SEQ Figure \* ARABIC \s 1 </w:instrText>
      </w:r>
      <w:r w:rsidRPr="00600840">
        <w:rPr>
          <w:color w:val="00B050"/>
          <w:lang w:val="en-US" w:eastAsia="zh-CN"/>
        </w:rPr>
        <w:fldChar w:fldCharType="separate"/>
      </w:r>
      <w:r w:rsidRPr="00600840">
        <w:rPr>
          <w:color w:val="00B050"/>
          <w:lang w:val="en-US" w:eastAsia="zh-CN"/>
        </w:rPr>
        <w:t>3</w:t>
      </w:r>
      <w:r w:rsidRPr="00600840">
        <w:rPr>
          <w:color w:val="00B050"/>
          <w:lang w:val="en-US" w:eastAsia="zh-CN"/>
        </w:rPr>
        <w:fldChar w:fldCharType="end"/>
      </w:r>
      <w:bookmarkEnd w:id="224"/>
      <w:r w:rsidRPr="00600840">
        <w:rPr>
          <w:color w:val="00B050"/>
          <w:lang w:val="en-US" w:eastAsia="zh-CN"/>
        </w:rPr>
        <w:t>.</w:t>
      </w:r>
      <w:r>
        <w:t xml:space="preserve"> </w:t>
      </w:r>
      <w:r w:rsidRPr="00600840">
        <w:rPr>
          <w:b w:val="0"/>
          <w:color w:val="auto"/>
          <w:lang w:val="en-US" w:eastAsia="zh-CN"/>
        </w:rPr>
        <w:t>Before and After Expropriation (2)</w:t>
      </w:r>
      <w:bookmarkEnd w:id="225"/>
    </w:p>
    <w:p w14:paraId="471AF7A9" w14:textId="77777777" w:rsidR="006B0ADE" w:rsidRDefault="36E2105B">
      <w:r w:rsidRPr="2DB09FEA">
        <w:rPr>
          <w:rFonts w:cs="MS Gothic"/>
        </w:rPr>
        <w:t xml:space="preserve">The </w:t>
      </w:r>
      <w:r w:rsidR="004C4E48" w:rsidRPr="224C14D5">
        <w:rPr>
          <w:rFonts w:cs="MS Gothic"/>
        </w:rPr>
        <w:t>101</w:t>
      </w:r>
      <w:r w:rsidR="006F365E" w:rsidRPr="224C14D5">
        <w:rPr>
          <w:rFonts w:cs="MS Gothic"/>
        </w:rPr>
        <w:t xml:space="preserve"> hectares </w:t>
      </w:r>
      <w:r w:rsidR="02E4FE65" w:rsidRPr="2DB09FEA">
        <w:rPr>
          <w:rFonts w:cs="MS Gothic"/>
        </w:rPr>
        <w:t xml:space="preserve">acquired land </w:t>
      </w:r>
      <w:r w:rsidR="006F365E" w:rsidRPr="224C14D5">
        <w:rPr>
          <w:rFonts w:cs="MS Gothic"/>
        </w:rPr>
        <w:t xml:space="preserve">included agricultural land, stony, </w:t>
      </w:r>
      <w:r w:rsidR="00BA67FB" w:rsidRPr="224C14D5">
        <w:rPr>
          <w:rFonts w:cs="MS Gothic"/>
        </w:rPr>
        <w:t>brushy,</w:t>
      </w:r>
      <w:r w:rsidR="006F365E" w:rsidRPr="224C14D5">
        <w:rPr>
          <w:rFonts w:cs="MS Gothic"/>
        </w:rPr>
        <w:t xml:space="preserve"> and raw land. The acquisition methods (expropriation, purchase or agreement) of the land sold is given in the Table 6 31</w:t>
      </w:r>
      <w:r w:rsidR="00364ADC">
        <w:rPr>
          <w:rFonts w:cs="MS Gothic"/>
        </w:rPr>
        <w:t>.</w:t>
      </w:r>
      <w:r w:rsidR="002F6ECE" w:rsidRPr="224C14D5">
        <w:rPr>
          <w:rFonts w:cs="MS Gothic"/>
        </w:rPr>
        <w:t xml:space="preserve"> </w:t>
      </w:r>
      <w:r w:rsidR="008023F7">
        <w:t xml:space="preserve">In the land acquisition process of the project, purchasing, expropriation and urgent expropriation methods were used together. </w:t>
      </w:r>
    </w:p>
    <w:p w14:paraId="29CACACC" w14:textId="77777777" w:rsidR="006B0ADE" w:rsidRDefault="006B0ADE" w:rsidP="006B0ADE">
      <w:r w:rsidRPr="000372BA">
        <w:rPr>
          <w:b/>
          <w:bCs/>
          <w:i/>
          <w:iCs/>
        </w:rPr>
        <w:t>Urgent expropriation</w:t>
      </w:r>
      <w:r>
        <w:t xml:space="preserve"> is the process through which a government or authorized public authority seizes private property rights during extraordinary circumstances for public benefit. </w:t>
      </w:r>
    </w:p>
    <w:p w14:paraId="63D2C987" w14:textId="38E5F049" w:rsidR="006B0ADE" w:rsidRDefault="00A24A2A" w:rsidP="006B0ADE">
      <w:r>
        <w:t>Urgent</w:t>
      </w:r>
      <w:r w:rsidR="006B0ADE">
        <w:t xml:space="preserve"> expropriation is primarily employed in response to critical situations requiring rapid and effective interventions. These circumstances include, but are not limited to, natural disasters (e.g., earthquakes, floods), public health crises (e.g., pandemics), terrorist attacks, war, or threats to national security.</w:t>
      </w:r>
    </w:p>
    <w:p w14:paraId="288A1C95" w14:textId="7F289CF5" w:rsidR="006B0ADE" w:rsidRDefault="006B0ADE" w:rsidP="006B0ADE">
      <w:r>
        <w:t xml:space="preserve">The following conditions provide the basis for implementing </w:t>
      </w:r>
      <w:r w:rsidR="00A24A2A">
        <w:t>urgent</w:t>
      </w:r>
      <w:r>
        <w:t xml:space="preserve"> expropriation:</w:t>
      </w:r>
    </w:p>
    <w:p w14:paraId="5577401E" w14:textId="2504E2D9" w:rsidR="006B0ADE" w:rsidRDefault="006B0ADE" w:rsidP="006B0ADE">
      <w:pPr>
        <w:pStyle w:val="ListParagraph"/>
        <w:numPr>
          <w:ilvl w:val="0"/>
          <w:numId w:val="69"/>
        </w:numPr>
      </w:pPr>
      <w:r>
        <w:t xml:space="preserve">Extraordinary Situations: </w:t>
      </w:r>
      <w:r w:rsidR="00A24A2A">
        <w:t>Urgent</w:t>
      </w:r>
      <w:r>
        <w:t xml:space="preserve"> expropriation is justified when faced with extraordinary situations, such as natural disasters, calamities, pandemics, terrorist attacks, or any other emergencies that necessitate urgent action.</w:t>
      </w:r>
    </w:p>
    <w:p w14:paraId="5AE39D62" w14:textId="77777777" w:rsidR="006B0ADE" w:rsidRDefault="006B0ADE" w:rsidP="006B0ADE"/>
    <w:p w14:paraId="69199450" w14:textId="428A9A1D" w:rsidR="006B0ADE" w:rsidRDefault="006B0ADE" w:rsidP="006B0ADE">
      <w:pPr>
        <w:pStyle w:val="ListParagraph"/>
        <w:numPr>
          <w:ilvl w:val="0"/>
          <w:numId w:val="69"/>
        </w:numPr>
      </w:pPr>
      <w:r>
        <w:lastRenderedPageBreak/>
        <w:t xml:space="preserve">Public Safety: In the interest of safeguarding national security or public order, the government may exercise </w:t>
      </w:r>
      <w:r w:rsidR="00A24A2A">
        <w:t>urgent</w:t>
      </w:r>
      <w:r>
        <w:t xml:space="preserve"> expropriation of specific strategic areas, facilities, or assets.</w:t>
      </w:r>
    </w:p>
    <w:p w14:paraId="155BA77E" w14:textId="771FFEF9" w:rsidR="006B0ADE" w:rsidRDefault="006B0ADE" w:rsidP="006B0ADE">
      <w:pPr>
        <w:pStyle w:val="ListParagraph"/>
        <w:numPr>
          <w:ilvl w:val="0"/>
          <w:numId w:val="69"/>
        </w:numPr>
      </w:pPr>
      <w:r>
        <w:t xml:space="preserve">Public Health: To control disease outbreaks or prevent their spread, </w:t>
      </w:r>
      <w:r w:rsidR="00A24A2A">
        <w:t>urgent</w:t>
      </w:r>
      <w:r>
        <w:t xml:space="preserve"> expropriation might be employed concerning healthcare institutions, materials, or equipment.</w:t>
      </w:r>
    </w:p>
    <w:p w14:paraId="78354BDC" w14:textId="77777777" w:rsidR="006B0ADE" w:rsidRDefault="006B0ADE" w:rsidP="006B0ADE">
      <w:pPr>
        <w:pStyle w:val="ListParagraph"/>
        <w:numPr>
          <w:ilvl w:val="0"/>
          <w:numId w:val="69"/>
        </w:numPr>
      </w:pPr>
      <w:r>
        <w:t>Reconstruction and Development: In the context of urban revitalization projects, infrastructure development initiatives, or similar cases, expropriation may be necessary to convert lands and properties into public use.</w:t>
      </w:r>
    </w:p>
    <w:p w14:paraId="2FAC34E1" w14:textId="71C5C0BD" w:rsidR="006B0ADE" w:rsidRDefault="006B0ADE" w:rsidP="006B0ADE">
      <w:pPr>
        <w:pStyle w:val="ListParagraph"/>
        <w:numPr>
          <w:ilvl w:val="0"/>
          <w:numId w:val="69"/>
        </w:numPr>
      </w:pPr>
      <w:r>
        <w:t xml:space="preserve">War and National Security: During wartime or when facing serious threats to national security, </w:t>
      </w:r>
      <w:r w:rsidR="00A24A2A">
        <w:t>urgent</w:t>
      </w:r>
      <w:r>
        <w:t xml:space="preserve"> expropriation of assets with strategic importance may be executed.</w:t>
      </w:r>
    </w:p>
    <w:p w14:paraId="29512A26" w14:textId="525DC257" w:rsidR="006B0ADE" w:rsidRPr="005D1FF9" w:rsidRDefault="005D1FF9">
      <w:pPr>
        <w:rPr>
          <w:i/>
          <w:iCs/>
          <w:u w:val="single"/>
        </w:rPr>
      </w:pPr>
      <w:r>
        <w:rPr>
          <w:i/>
          <w:iCs/>
          <w:u w:val="single"/>
        </w:rPr>
        <w:t>Urgent</w:t>
      </w:r>
      <w:r w:rsidR="006B0ADE" w:rsidRPr="000372BA">
        <w:rPr>
          <w:i/>
          <w:iCs/>
          <w:u w:val="single"/>
        </w:rPr>
        <w:t xml:space="preserve"> expropriation, despite its urgency, requires careful consideration of the social implications on affected individuals and communities. By adhering to legal frameworks, conducting comprehensive social impact assessments, and implementing appropriate social management strategies, </w:t>
      </w:r>
      <w:r w:rsidR="00A24A2A">
        <w:rPr>
          <w:i/>
          <w:iCs/>
          <w:u w:val="single"/>
        </w:rPr>
        <w:t>urgent</w:t>
      </w:r>
      <w:r w:rsidR="006B0ADE" w:rsidRPr="000372BA">
        <w:rPr>
          <w:i/>
          <w:iCs/>
          <w:u w:val="single"/>
        </w:rPr>
        <w:t xml:space="preserve"> expropriation can be carried out with respect for human rights, social justice, and community well-being.</w:t>
      </w:r>
    </w:p>
    <w:p w14:paraId="3CF5C742" w14:textId="77777777" w:rsidR="00D609EC" w:rsidRDefault="00D449BB">
      <w:r>
        <w:t xml:space="preserve">There </w:t>
      </w:r>
      <w:r w:rsidR="5B0ACEAF">
        <w:t xml:space="preserve">were </w:t>
      </w:r>
      <w:r>
        <w:t xml:space="preserve"> a total of 5</w:t>
      </w:r>
      <w:r w:rsidR="004C4E48">
        <w:t>7</w:t>
      </w:r>
      <w:r>
        <w:t xml:space="preserve"> shareholders of the lands. While land acquisition </w:t>
      </w:r>
      <w:r w:rsidR="598B6F1E">
        <w:t xml:space="preserve">was completed for 35 shareholders </w:t>
      </w:r>
      <w:r>
        <w:t>through agreement, 22 shareholders could not be reached, and expropriation was resorted to. The other two parcels (105/1, 105/2) belong</w:t>
      </w:r>
      <w:r w:rsidR="3D3AE740">
        <w:t>ed</w:t>
      </w:r>
      <w:r>
        <w:t xml:space="preserve"> to a single person and both parcels were acquired by agreement.</w:t>
      </w:r>
      <w:r w:rsidR="00B667CC">
        <w:t xml:space="preserve"> </w:t>
      </w:r>
      <w:r w:rsidR="00377C2F">
        <w:t xml:space="preserve">Before the acquisition, 3 parcels belonged to individuals and 18 parcels belonged to the treasury. </w:t>
      </w:r>
    </w:p>
    <w:p w14:paraId="314C5B4E" w14:textId="03138EEF" w:rsidR="000C3EFA" w:rsidRDefault="000C3EFA" w:rsidP="000C3EFA">
      <w:pPr>
        <w:rPr>
          <w:rFonts w:cs="MS Gothic"/>
        </w:rPr>
      </w:pPr>
      <w:r>
        <w:t>P</w:t>
      </w:r>
      <w:r w:rsidRPr="224C14D5">
        <w:rPr>
          <w:rFonts w:cs="MS Gothic"/>
        </w:rPr>
        <w:t>ublic land is mentioned.</w:t>
      </w:r>
      <w:r>
        <w:rPr>
          <w:rFonts w:cs="MS Gothic"/>
        </w:rPr>
        <w:t xml:space="preserve"> </w:t>
      </w:r>
      <w:r w:rsidRPr="00D4027F">
        <w:rPr>
          <w:rFonts w:cs="MS Gothic"/>
        </w:rPr>
        <w:t>There was one old building on the Project area. The building belongs to the National Real Estate Agency and a payment  for the building was made to the National Real Estate. A family (an elderly mother and an adult son) lived in the old building. The building was built between 1981-1984 by the deceased husband of the elderly woman. However, this is not documented. In the past years, the family was making an adequate pay to the state called adequate pay  because they were the occupiers of the public land. Documents regarding these payments are from 2014 and earlier. However, the family representative (son of the old woman) declared that they made this payment in the following years also. They have another house on the neighboring plot which they own formally. This house was neglected. The governor's office helped the elderly woman to move to her own house by repairing this neglected house on their own plot and giving some household items to the old woman (for payments documents see Appendix G and for the photos of the family's renovated house see Appendix H). The informal house owner has also declared in writing that she gave up her rights in the affected house affected by the Project in exchange for the renovation of her own house.</w:t>
      </w:r>
    </w:p>
    <w:p w14:paraId="595790A2" w14:textId="77777777" w:rsidR="000C3EFA" w:rsidRDefault="000C3EFA" w:rsidP="000C3EFA">
      <w:r>
        <w:t xml:space="preserve">No complaints were received from the informal users after the renovation. </w:t>
      </w:r>
    </w:p>
    <w:p w14:paraId="0F5473C4" w14:textId="77777777" w:rsidR="000C3EFA" w:rsidRDefault="000C3EFA" w:rsidP="000C3EFA">
      <w:r>
        <w:t xml:space="preserve">Administrative Courts in the place where the immovable is located are authorized to evaluate objections to expropriation. There was no application to the Administrative Court among the owners of private lands and users of public lands. Two of the 3 affected private lands were </w:t>
      </w:r>
      <w:r>
        <w:lastRenderedPageBreak/>
        <w:t xml:space="preserve">purchased by agreement. A large number of shares of the third land were also purchased by agreement. </w:t>
      </w:r>
      <w:r w:rsidRPr="00555EE0">
        <w:t>The GM structures established under the project was not in place when the land acquisition took place. The channels through which objections could be made during the land acquisition process were the Governor's Office and the OIZ. There are no complaints recorded in these units.</w:t>
      </w:r>
    </w:p>
    <w:p w14:paraId="35E9E2AC" w14:textId="697056FC" w:rsidR="000C3EFA" w:rsidRPr="00EE43C6" w:rsidRDefault="000C3EFA" w:rsidP="000C3EFA">
      <w:r>
        <w:t>An Ex-Post study on land acquisition specific to the Project was conducted. See that  document for details on land acquisition.</w:t>
      </w:r>
    </w:p>
    <w:p w14:paraId="28B6A7A8" w14:textId="0E6C3B15" w:rsidR="0017098A" w:rsidRPr="00EE43C6" w:rsidRDefault="0017098A" w:rsidP="0017098A">
      <w:pPr>
        <w:rPr>
          <w:rFonts w:cs="Arial"/>
          <w:color w:val="000000" w:themeColor="text1"/>
          <w:lang w:eastAsia="tr-TR"/>
        </w:rPr>
      </w:pPr>
      <w:r w:rsidRPr="00EE43C6">
        <w:rPr>
          <w:rFonts w:cs="Arial"/>
          <w:color w:val="000000" w:themeColor="text1"/>
          <w:lang w:eastAsia="tr-TR"/>
        </w:rPr>
        <w:t xml:space="preserve">According to studies conducted before EPSA, there were </w:t>
      </w:r>
      <w:r>
        <w:rPr>
          <w:rFonts w:cs="Arial"/>
          <w:color w:val="000000" w:themeColor="text1"/>
          <w:lang w:eastAsia="tr-TR"/>
        </w:rPr>
        <w:t xml:space="preserve">two (2) </w:t>
      </w:r>
      <w:r w:rsidRPr="00EE43C6">
        <w:rPr>
          <w:rFonts w:cs="Arial"/>
          <w:color w:val="000000" w:themeColor="text1"/>
          <w:lang w:eastAsia="tr-TR"/>
        </w:rPr>
        <w:t xml:space="preserve">nomad families using the Project </w:t>
      </w:r>
      <w:r>
        <w:rPr>
          <w:rFonts w:cs="Arial"/>
          <w:color w:val="000000" w:themeColor="text1"/>
          <w:lang w:eastAsia="tr-TR"/>
        </w:rPr>
        <w:t>A</w:t>
      </w:r>
      <w:r w:rsidRPr="00EE43C6">
        <w:rPr>
          <w:rFonts w:cs="Arial"/>
          <w:color w:val="000000" w:themeColor="text1"/>
          <w:lang w:eastAsia="tr-TR"/>
        </w:rPr>
        <w:t xml:space="preserve">rea and they were staying there in winter, as it was empty and unused land. When the land was transferred to the OIZ, the village headman showed the </w:t>
      </w:r>
      <w:r>
        <w:rPr>
          <w:rFonts w:cs="Arial"/>
          <w:color w:val="000000" w:themeColor="text1"/>
          <w:lang w:eastAsia="tr-TR"/>
        </w:rPr>
        <w:t>two (</w:t>
      </w:r>
      <w:r w:rsidRPr="00EE43C6">
        <w:rPr>
          <w:rFonts w:cs="Arial"/>
          <w:color w:val="000000" w:themeColor="text1"/>
          <w:lang w:eastAsia="tr-TR"/>
        </w:rPr>
        <w:t>2</w:t>
      </w:r>
      <w:r>
        <w:rPr>
          <w:rFonts w:cs="Arial"/>
          <w:color w:val="000000" w:themeColor="text1"/>
          <w:lang w:eastAsia="tr-TR"/>
        </w:rPr>
        <w:t>)</w:t>
      </w:r>
      <w:r w:rsidRPr="00EE43C6">
        <w:rPr>
          <w:rFonts w:cs="Arial"/>
          <w:color w:val="000000" w:themeColor="text1"/>
          <w:lang w:eastAsia="tr-TR"/>
        </w:rPr>
        <w:t xml:space="preserve"> nomad families another place and currently they are staying there. Within the scope of EPSA studies, no physical or economic displacement was detected for the families in question.</w:t>
      </w:r>
    </w:p>
    <w:p w14:paraId="033C20BD" w14:textId="3124B0B5" w:rsidR="004339AC" w:rsidRPr="00EE43C6" w:rsidRDefault="004339AC" w:rsidP="00757092">
      <w:pPr>
        <w:pStyle w:val="Heading2"/>
        <w:ind w:hanging="718"/>
        <w:rPr>
          <w:rFonts w:eastAsiaTheme="minorHAnsi"/>
          <w:lang w:val="en-GB"/>
        </w:rPr>
      </w:pPr>
      <w:bookmarkStart w:id="226" w:name="_Toc136452370"/>
      <w:bookmarkStart w:id="227" w:name="_Toc137564875"/>
      <w:bookmarkStart w:id="228" w:name="_Toc141367254"/>
      <w:bookmarkStart w:id="229" w:name="_Toc141367552"/>
      <w:bookmarkStart w:id="230" w:name="_Toc136452371"/>
      <w:bookmarkStart w:id="231" w:name="_Toc137564876"/>
      <w:bookmarkStart w:id="232" w:name="_Toc141367255"/>
      <w:bookmarkStart w:id="233" w:name="_Toc141367553"/>
      <w:bookmarkStart w:id="234" w:name="_Toc120016917"/>
      <w:bookmarkStart w:id="235" w:name="_Toc120004695"/>
      <w:bookmarkStart w:id="236" w:name="_Toc141445406"/>
      <w:bookmarkEnd w:id="226"/>
      <w:bookmarkEnd w:id="227"/>
      <w:bookmarkEnd w:id="228"/>
      <w:bookmarkEnd w:id="229"/>
      <w:bookmarkEnd w:id="230"/>
      <w:bookmarkEnd w:id="231"/>
      <w:bookmarkEnd w:id="232"/>
      <w:bookmarkEnd w:id="233"/>
      <w:r w:rsidRPr="00EE43C6">
        <w:rPr>
          <w:rFonts w:eastAsiaTheme="minorHAnsi"/>
          <w:lang w:val="en-GB"/>
        </w:rPr>
        <w:t>Geology</w:t>
      </w:r>
      <w:bookmarkEnd w:id="219"/>
      <w:bookmarkEnd w:id="234"/>
      <w:bookmarkEnd w:id="235"/>
      <w:bookmarkEnd w:id="236"/>
    </w:p>
    <w:p w14:paraId="34C0ACE1" w14:textId="0AA49ABE" w:rsidR="004339AC" w:rsidRPr="00EE43C6" w:rsidRDefault="004339AC" w:rsidP="004339AC">
      <w:pPr>
        <w:pStyle w:val="Heading3"/>
        <w:autoSpaceDE w:val="0"/>
        <w:autoSpaceDN w:val="0"/>
        <w:adjustRightInd w:val="0"/>
        <w:spacing w:before="120" w:line="312" w:lineRule="auto"/>
        <w:ind w:left="0" w:right="-1" w:firstLine="0"/>
        <w:rPr>
          <w:bCs w:val="0"/>
          <w:noProof w:val="0"/>
        </w:rPr>
      </w:pPr>
      <w:bookmarkStart w:id="237" w:name="_Toc73933444"/>
      <w:bookmarkStart w:id="238" w:name="_Toc80633532"/>
      <w:bookmarkStart w:id="239" w:name="_Toc120016918"/>
      <w:bookmarkStart w:id="240" w:name="_Toc120004696"/>
      <w:bookmarkStart w:id="241" w:name="_Toc141445407"/>
      <w:r w:rsidRPr="00EE43C6">
        <w:rPr>
          <w:bCs w:val="0"/>
          <w:noProof w:val="0"/>
        </w:rPr>
        <w:t>General Geology</w:t>
      </w:r>
      <w:bookmarkEnd w:id="237"/>
      <w:bookmarkEnd w:id="238"/>
      <w:bookmarkEnd w:id="239"/>
      <w:bookmarkEnd w:id="240"/>
      <w:bookmarkEnd w:id="241"/>
    </w:p>
    <w:p w14:paraId="3E038EC5" w14:textId="283354B3" w:rsidR="00AE535E" w:rsidRPr="00EE43C6" w:rsidRDefault="00AE535E" w:rsidP="00777ABF">
      <w:pPr>
        <w:rPr>
          <w:lang w:eastAsia="en-US"/>
        </w:rPr>
      </w:pPr>
      <w:r w:rsidRPr="00EE43C6">
        <w:rPr>
          <w:lang w:eastAsia="en-US"/>
        </w:rPr>
        <w:t xml:space="preserve">When the general geological structure of Mersin province is examined, 1/100,000 </w:t>
      </w:r>
      <w:r w:rsidR="00333216" w:rsidRPr="00EE43C6">
        <w:rPr>
          <w:lang w:eastAsia="en-US"/>
        </w:rPr>
        <w:t>–</w:t>
      </w:r>
      <w:r w:rsidRPr="00EE43C6">
        <w:rPr>
          <w:lang w:eastAsia="en-US"/>
        </w:rPr>
        <w:t xml:space="preserve"> 1/1,250,000 scaled maps published by the MTA and regional geological studies that have been done before were used. In addition, the geology of the study area and its surroundings w</w:t>
      </w:r>
      <w:r w:rsidR="00C73463" w:rsidRPr="00EE43C6">
        <w:rPr>
          <w:lang w:eastAsia="en-US"/>
        </w:rPr>
        <w:t>ere</w:t>
      </w:r>
      <w:r w:rsidRPr="00EE43C6">
        <w:rPr>
          <w:lang w:eastAsia="en-US"/>
        </w:rPr>
        <w:t xml:space="preserve"> tried to be clarified by </w:t>
      </w:r>
      <w:r w:rsidR="00E06347" w:rsidRPr="00EE43C6">
        <w:rPr>
          <w:lang w:eastAsia="en-US"/>
        </w:rPr>
        <w:t xml:space="preserve">drilling and </w:t>
      </w:r>
      <w:r w:rsidRPr="00EE43C6">
        <w:rPr>
          <w:lang w:eastAsia="en-US"/>
        </w:rPr>
        <w:t>making detailed observational and surveys on site</w:t>
      </w:r>
      <w:r w:rsidR="00473DA8" w:rsidRPr="00EE43C6">
        <w:rPr>
          <w:lang w:eastAsia="en-US"/>
        </w:rPr>
        <w:t xml:space="preserve"> </w:t>
      </w:r>
      <w:sdt>
        <w:sdtPr>
          <w:rPr>
            <w:lang w:eastAsia="en-US"/>
          </w:rPr>
          <w:id w:val="-1076812698"/>
          <w:citation/>
        </w:sdtPr>
        <w:sdtEndPr/>
        <w:sdtContent>
          <w:r w:rsidR="00473DA8" w:rsidRPr="00EE43C6">
            <w:rPr>
              <w:lang w:eastAsia="en-US"/>
            </w:rPr>
            <w:fldChar w:fldCharType="begin"/>
          </w:r>
          <w:r w:rsidR="00473DA8" w:rsidRPr="00EE43C6">
            <w:rPr>
              <w:lang w:eastAsia="en-US"/>
            </w:rPr>
            <w:instrText xml:space="preserve"> CITATION Şen18 \l 1055 </w:instrText>
          </w:r>
          <w:r w:rsidR="00473DA8" w:rsidRPr="00EE43C6">
            <w:rPr>
              <w:lang w:eastAsia="en-US"/>
            </w:rPr>
            <w:fldChar w:fldCharType="separate"/>
          </w:r>
          <w:r w:rsidR="00CE3B94" w:rsidRPr="00EE43C6">
            <w:rPr>
              <w:lang w:eastAsia="en-US"/>
            </w:rPr>
            <w:t>(Şen Engineering, The Geological-Geotechnical Survey Report of the Project Area, 2018)</w:t>
          </w:r>
          <w:r w:rsidR="00473DA8" w:rsidRPr="00EE43C6">
            <w:rPr>
              <w:lang w:eastAsia="en-US"/>
            </w:rPr>
            <w:fldChar w:fldCharType="end"/>
          </w:r>
        </w:sdtContent>
      </w:sdt>
      <w:r w:rsidR="00473DA8" w:rsidRPr="00EE43C6">
        <w:rPr>
          <w:lang w:eastAsia="en-US"/>
        </w:rPr>
        <w:t>.</w:t>
      </w:r>
    </w:p>
    <w:p w14:paraId="3411343D" w14:textId="5888F7BE" w:rsidR="00777ABF" w:rsidRPr="00EE43C6" w:rsidRDefault="00BA3E55" w:rsidP="00777ABF">
      <w:pPr>
        <w:rPr>
          <w:lang w:eastAsia="en-US"/>
        </w:rPr>
      </w:pPr>
      <w:r w:rsidRPr="00EE43C6">
        <w:rPr>
          <w:lang w:eastAsia="en-US"/>
        </w:rPr>
        <w:t>Assemb</w:t>
      </w:r>
      <w:r w:rsidR="008C117E" w:rsidRPr="00EE43C6">
        <w:rPr>
          <w:lang w:eastAsia="en-US"/>
        </w:rPr>
        <w:t>lie</w:t>
      </w:r>
      <w:r w:rsidR="00777ABF" w:rsidRPr="00EE43C6">
        <w:rPr>
          <w:lang w:eastAsia="en-US"/>
        </w:rPr>
        <w:t xml:space="preserve">s </w:t>
      </w:r>
      <w:r w:rsidR="0026477B" w:rsidRPr="00EE43C6">
        <w:rPr>
          <w:lang w:eastAsia="en-US"/>
        </w:rPr>
        <w:t xml:space="preserve">classified </w:t>
      </w:r>
      <w:r w:rsidR="00777ABF" w:rsidRPr="00EE43C6">
        <w:rPr>
          <w:lang w:eastAsia="en-US"/>
        </w:rPr>
        <w:t xml:space="preserve">by Özgül (1971) in Mersin region are classified as </w:t>
      </w:r>
      <w:r w:rsidR="00985B3B" w:rsidRPr="00EE43C6">
        <w:rPr>
          <w:lang w:eastAsia="en-US"/>
        </w:rPr>
        <w:t>B</w:t>
      </w:r>
      <w:r w:rsidR="00454A72" w:rsidRPr="00EE43C6">
        <w:rPr>
          <w:lang w:eastAsia="en-US"/>
        </w:rPr>
        <w:t>asement</w:t>
      </w:r>
      <w:r w:rsidR="00777ABF" w:rsidRPr="00EE43C6">
        <w:rPr>
          <w:lang w:eastAsia="en-US"/>
        </w:rPr>
        <w:t xml:space="preserve"> </w:t>
      </w:r>
      <w:r w:rsidR="00985B3B" w:rsidRPr="00EE43C6">
        <w:rPr>
          <w:lang w:eastAsia="en-US"/>
        </w:rPr>
        <w:t>R</w:t>
      </w:r>
      <w:r w:rsidR="00473DA8" w:rsidRPr="00EE43C6">
        <w:rPr>
          <w:lang w:eastAsia="en-US"/>
        </w:rPr>
        <w:t>ocks</w:t>
      </w:r>
      <w:r w:rsidR="00777ABF" w:rsidRPr="00EE43C6">
        <w:rPr>
          <w:lang w:eastAsia="en-US"/>
        </w:rPr>
        <w:t xml:space="preserve"> and </w:t>
      </w:r>
      <w:r w:rsidRPr="00EE43C6">
        <w:rPr>
          <w:lang w:eastAsia="en-US"/>
        </w:rPr>
        <w:t>assemblies</w:t>
      </w:r>
      <w:r w:rsidR="00777ABF" w:rsidRPr="00EE43C6">
        <w:rPr>
          <w:lang w:eastAsia="en-US"/>
        </w:rPr>
        <w:t xml:space="preserve"> after Tertiary are classified as </w:t>
      </w:r>
      <w:r w:rsidR="00746781" w:rsidRPr="00EE43C6">
        <w:rPr>
          <w:lang w:eastAsia="en-US"/>
        </w:rPr>
        <w:t>Seal</w:t>
      </w:r>
      <w:r w:rsidR="00777ABF" w:rsidRPr="00EE43C6">
        <w:rPr>
          <w:lang w:eastAsia="en-US"/>
        </w:rPr>
        <w:t xml:space="preserve"> </w:t>
      </w:r>
      <w:r w:rsidR="00985B3B" w:rsidRPr="00EE43C6">
        <w:rPr>
          <w:lang w:eastAsia="en-US"/>
        </w:rPr>
        <w:t>R</w:t>
      </w:r>
      <w:r w:rsidR="00777ABF" w:rsidRPr="00EE43C6">
        <w:rPr>
          <w:lang w:eastAsia="en-US"/>
        </w:rPr>
        <w:t>ocks</w:t>
      </w:r>
      <w:r w:rsidR="00C73463" w:rsidRPr="00EE43C6">
        <w:rPr>
          <w:lang w:eastAsia="en-US"/>
        </w:rPr>
        <w:t>.</w:t>
      </w:r>
    </w:p>
    <w:p w14:paraId="170892A6" w14:textId="6BEF12F5" w:rsidR="00777ABF" w:rsidRPr="00EE43C6" w:rsidRDefault="00324061" w:rsidP="00777ABF">
      <w:pPr>
        <w:rPr>
          <w:lang w:eastAsia="en-US"/>
        </w:rPr>
      </w:pPr>
      <w:r w:rsidRPr="00EE43C6">
        <w:rPr>
          <w:lang w:eastAsia="en-US"/>
        </w:rPr>
        <w:t>Basement</w:t>
      </w:r>
      <w:r w:rsidR="00777ABF" w:rsidRPr="00EE43C6">
        <w:rPr>
          <w:lang w:eastAsia="en-US"/>
        </w:rPr>
        <w:t xml:space="preserve"> </w:t>
      </w:r>
      <w:r w:rsidR="00985B3B" w:rsidRPr="00EE43C6">
        <w:rPr>
          <w:lang w:eastAsia="en-US"/>
        </w:rPr>
        <w:t>R</w:t>
      </w:r>
      <w:r w:rsidR="00777ABF" w:rsidRPr="00EE43C6">
        <w:rPr>
          <w:lang w:eastAsia="en-US"/>
        </w:rPr>
        <w:t>ocks</w:t>
      </w:r>
      <w:r w:rsidR="009603BA" w:rsidRPr="00EE43C6">
        <w:rPr>
          <w:lang w:eastAsia="en-US"/>
        </w:rPr>
        <w:t xml:space="preserve"> are as follows.</w:t>
      </w:r>
    </w:p>
    <w:p w14:paraId="3EEEB532" w14:textId="3E02135F" w:rsidR="00777ABF" w:rsidRPr="00EE43C6" w:rsidRDefault="00777ABF" w:rsidP="00777ABF">
      <w:pPr>
        <w:rPr>
          <w:lang w:eastAsia="en-US"/>
        </w:rPr>
      </w:pPr>
      <w:r w:rsidRPr="00EE43C6">
        <w:rPr>
          <w:b/>
          <w:bCs/>
          <w:lang w:eastAsia="en-US"/>
        </w:rPr>
        <w:t xml:space="preserve">Alanya </w:t>
      </w:r>
      <w:r w:rsidR="00FA206C" w:rsidRPr="00EE43C6">
        <w:rPr>
          <w:b/>
          <w:bCs/>
          <w:lang w:eastAsia="en-US"/>
        </w:rPr>
        <w:t>Assembly</w:t>
      </w:r>
      <w:r w:rsidRPr="00EE43C6">
        <w:rPr>
          <w:b/>
          <w:bCs/>
          <w:lang w:eastAsia="en-US"/>
        </w:rPr>
        <w:t>:</w:t>
      </w:r>
      <w:r w:rsidRPr="00EE43C6">
        <w:rPr>
          <w:lang w:eastAsia="en-US"/>
        </w:rPr>
        <w:t xml:space="preserve"> Upper Permian and </w:t>
      </w:r>
      <w:r w:rsidR="0078195B" w:rsidRPr="00EE43C6">
        <w:rPr>
          <w:lang w:eastAsia="en-US"/>
        </w:rPr>
        <w:t>aged</w:t>
      </w:r>
      <w:r w:rsidRPr="00EE43C6">
        <w:rPr>
          <w:lang w:eastAsia="en-US"/>
        </w:rPr>
        <w:t xml:space="preserve"> Bağlıca formation, Upper Permian aged Pınarkır formation and Lower Triassic Sivastıyayla formation are found in this association, which is composed of metamorphic rocks.</w:t>
      </w:r>
    </w:p>
    <w:p w14:paraId="26D759C7" w14:textId="4F30D28D" w:rsidR="00777ABF" w:rsidRPr="00EE43C6" w:rsidRDefault="00777ABF" w:rsidP="00777ABF">
      <w:pPr>
        <w:rPr>
          <w:lang w:eastAsia="en-US"/>
        </w:rPr>
      </w:pPr>
      <w:r w:rsidRPr="00EE43C6">
        <w:rPr>
          <w:b/>
          <w:bCs/>
          <w:lang w:eastAsia="en-US"/>
        </w:rPr>
        <w:t xml:space="preserve">Antalya </w:t>
      </w:r>
      <w:r w:rsidR="00FA206C" w:rsidRPr="00EE43C6">
        <w:rPr>
          <w:b/>
          <w:bCs/>
          <w:lang w:eastAsia="en-US"/>
        </w:rPr>
        <w:t>Assembly</w:t>
      </w:r>
      <w:r w:rsidRPr="00EE43C6">
        <w:rPr>
          <w:b/>
          <w:bCs/>
          <w:lang w:eastAsia="en-US"/>
        </w:rPr>
        <w:t xml:space="preserve">: </w:t>
      </w:r>
      <w:r w:rsidRPr="00EE43C6">
        <w:rPr>
          <w:lang w:eastAsia="en-US"/>
        </w:rPr>
        <w:t xml:space="preserve">Cambro-ordovician aged Çakmak formation, Lower Devonian aged Narlıca formation, Upper Permian Bıçkıcı formation, Lower Triassic </w:t>
      </w:r>
      <w:r w:rsidR="00670A58" w:rsidRPr="00EE43C6">
        <w:rPr>
          <w:lang w:eastAsia="en-US"/>
        </w:rPr>
        <w:t xml:space="preserve">aged </w:t>
      </w:r>
      <w:r w:rsidRPr="00EE43C6">
        <w:rPr>
          <w:lang w:eastAsia="en-US"/>
        </w:rPr>
        <w:t xml:space="preserve">Yöreme formation, Middle-Upper Triassic </w:t>
      </w:r>
      <w:r w:rsidR="00016297" w:rsidRPr="00EE43C6">
        <w:rPr>
          <w:lang w:eastAsia="en-US"/>
        </w:rPr>
        <w:t xml:space="preserve">aged </w:t>
      </w:r>
      <w:r w:rsidR="00930A8A" w:rsidRPr="00EE43C6">
        <w:rPr>
          <w:lang w:eastAsia="en-US"/>
        </w:rPr>
        <w:t xml:space="preserve">Çamlıca formation and </w:t>
      </w:r>
      <w:r w:rsidR="001E6FB2" w:rsidRPr="00EE43C6">
        <w:rPr>
          <w:lang w:eastAsia="en-US"/>
        </w:rPr>
        <w:t>Maestrichtian aged Karaçukur formation</w:t>
      </w:r>
      <w:r w:rsidR="00290AF5" w:rsidRPr="00EE43C6">
        <w:rPr>
          <w:lang w:eastAsia="en-US"/>
        </w:rPr>
        <w:t xml:space="preserve"> </w:t>
      </w:r>
      <w:r w:rsidR="00EA3B30" w:rsidRPr="00EE43C6">
        <w:rPr>
          <w:lang w:eastAsia="en-US"/>
        </w:rPr>
        <w:t xml:space="preserve">exist </w:t>
      </w:r>
      <w:r w:rsidRPr="00EE43C6">
        <w:rPr>
          <w:lang w:eastAsia="en-US"/>
        </w:rPr>
        <w:t xml:space="preserve">in a complex </w:t>
      </w:r>
      <w:r w:rsidR="009512FA" w:rsidRPr="00EE43C6">
        <w:rPr>
          <w:lang w:eastAsia="en-US"/>
        </w:rPr>
        <w:t>assembly</w:t>
      </w:r>
      <w:r w:rsidRPr="00EE43C6">
        <w:rPr>
          <w:lang w:eastAsia="en-US"/>
        </w:rPr>
        <w:t xml:space="preserve"> containing Early Paleozoic and Mesozoic sediments.</w:t>
      </w:r>
    </w:p>
    <w:p w14:paraId="2878595B" w14:textId="4AC39899" w:rsidR="00494B9E" w:rsidRPr="00EE43C6" w:rsidRDefault="00777ABF" w:rsidP="00494B9E">
      <w:pPr>
        <w:rPr>
          <w:lang w:eastAsia="en-US"/>
        </w:rPr>
      </w:pPr>
      <w:r w:rsidRPr="00EE43C6">
        <w:rPr>
          <w:b/>
          <w:bCs/>
          <w:lang w:eastAsia="en-US"/>
        </w:rPr>
        <w:t xml:space="preserve">Geyikdağı </w:t>
      </w:r>
      <w:r w:rsidR="00FA206C" w:rsidRPr="00EE43C6">
        <w:rPr>
          <w:b/>
          <w:bCs/>
          <w:lang w:eastAsia="en-US"/>
        </w:rPr>
        <w:t>Assembly</w:t>
      </w:r>
      <w:r w:rsidRPr="00EE43C6">
        <w:rPr>
          <w:b/>
          <w:bCs/>
          <w:lang w:eastAsia="en-US"/>
        </w:rPr>
        <w:t>:</w:t>
      </w:r>
      <w:r w:rsidRPr="00EE43C6">
        <w:rPr>
          <w:lang w:eastAsia="en-US"/>
        </w:rPr>
        <w:t xml:space="preserve"> </w:t>
      </w:r>
      <w:r w:rsidR="00650CA4" w:rsidRPr="00EE43C6">
        <w:rPr>
          <w:lang w:eastAsia="en-US"/>
        </w:rPr>
        <w:t xml:space="preserve">There are </w:t>
      </w:r>
      <w:r w:rsidRPr="00EE43C6">
        <w:rPr>
          <w:lang w:eastAsia="en-US"/>
        </w:rPr>
        <w:t>the Lower Cambrian aged Hacıishaklı formation, the Cambrian aged Ovacıkışıklı formation, the Cambro-Ordovician aged Ovacık formation, the Lower Silurian aged Eğri</w:t>
      </w:r>
      <w:r w:rsidR="00607648" w:rsidRPr="00EE43C6">
        <w:rPr>
          <w:lang w:eastAsia="en-US"/>
        </w:rPr>
        <w:t>pınar formation</w:t>
      </w:r>
      <w:r w:rsidR="00402B1D" w:rsidRPr="00EE43C6">
        <w:rPr>
          <w:lang w:eastAsia="en-US"/>
        </w:rPr>
        <w:t xml:space="preserve"> and Hırmanlıanlı formation</w:t>
      </w:r>
      <w:r w:rsidR="00607648" w:rsidRPr="00EE43C6">
        <w:rPr>
          <w:lang w:eastAsia="en-US"/>
        </w:rPr>
        <w:t>, Upper</w:t>
      </w:r>
      <w:r w:rsidR="00402B1D" w:rsidRPr="00EE43C6">
        <w:rPr>
          <w:lang w:eastAsia="en-US"/>
        </w:rPr>
        <w:t xml:space="preserve"> </w:t>
      </w:r>
      <w:r w:rsidR="00607648" w:rsidRPr="00EE43C6">
        <w:rPr>
          <w:lang w:eastAsia="en-US"/>
        </w:rPr>
        <w:t>Silurian</w:t>
      </w:r>
      <w:r w:rsidRPr="00EE43C6">
        <w:rPr>
          <w:lang w:eastAsia="en-US"/>
        </w:rPr>
        <w:t>-</w:t>
      </w:r>
      <w:r w:rsidR="00607648" w:rsidRPr="00EE43C6">
        <w:rPr>
          <w:lang w:eastAsia="en-US"/>
        </w:rPr>
        <w:t>Lower</w:t>
      </w:r>
      <w:r w:rsidRPr="00EE43C6">
        <w:rPr>
          <w:lang w:eastAsia="en-US"/>
        </w:rPr>
        <w:t xml:space="preserve"> </w:t>
      </w:r>
      <w:r w:rsidR="00E33428" w:rsidRPr="00EE43C6">
        <w:rPr>
          <w:lang w:eastAsia="en-US"/>
        </w:rPr>
        <w:t xml:space="preserve">Devonian aged Karayar </w:t>
      </w:r>
      <w:r w:rsidRPr="00EE43C6">
        <w:rPr>
          <w:lang w:eastAsia="en-US"/>
        </w:rPr>
        <w:t xml:space="preserve">formation, Lower Devonian aged Sığırcık formation, Middle Devonian aged Büyükeceli formation, Upper Devonian aged Akdere formation, Lower </w:t>
      </w:r>
      <w:r w:rsidR="00796B8A" w:rsidRPr="00EE43C6">
        <w:rPr>
          <w:lang w:eastAsia="en-US"/>
        </w:rPr>
        <w:t xml:space="preserve">Carboniferous </w:t>
      </w:r>
      <w:r w:rsidRPr="00EE43C6">
        <w:rPr>
          <w:lang w:eastAsia="en-US"/>
        </w:rPr>
        <w:t xml:space="preserve">aged </w:t>
      </w:r>
      <w:r w:rsidR="00796B8A" w:rsidRPr="00EE43C6">
        <w:rPr>
          <w:lang w:eastAsia="en-US"/>
        </w:rPr>
        <w:t xml:space="preserve">Korucuk </w:t>
      </w:r>
      <w:r w:rsidRPr="00EE43C6">
        <w:rPr>
          <w:lang w:eastAsia="en-US"/>
        </w:rPr>
        <w:t>formation, Middle-Upper Carboniferous</w:t>
      </w:r>
      <w:r w:rsidR="00796B8A" w:rsidRPr="00EE43C6">
        <w:rPr>
          <w:lang w:eastAsia="en-US"/>
        </w:rPr>
        <w:t xml:space="preserve"> aged</w:t>
      </w:r>
      <w:r w:rsidRPr="00EE43C6">
        <w:rPr>
          <w:lang w:eastAsia="en-US"/>
        </w:rPr>
        <w:t xml:space="preserve"> </w:t>
      </w:r>
      <w:r w:rsidR="006E4F78" w:rsidRPr="00EE43C6">
        <w:rPr>
          <w:lang w:eastAsia="en-US"/>
        </w:rPr>
        <w:t>İ</w:t>
      </w:r>
      <w:r w:rsidRPr="00EE43C6">
        <w:rPr>
          <w:lang w:eastAsia="en-US"/>
        </w:rPr>
        <w:t>mamu</w:t>
      </w:r>
      <w:r w:rsidR="006E4F78" w:rsidRPr="00EE43C6">
        <w:rPr>
          <w:lang w:eastAsia="en-US"/>
        </w:rPr>
        <w:t>ş</w:t>
      </w:r>
      <w:r w:rsidRPr="00EE43C6">
        <w:rPr>
          <w:lang w:eastAsia="en-US"/>
        </w:rPr>
        <w:t>ag</w:t>
      </w:r>
      <w:r w:rsidR="006E4F78" w:rsidRPr="00EE43C6">
        <w:rPr>
          <w:lang w:eastAsia="en-US"/>
        </w:rPr>
        <w:t>ı</w:t>
      </w:r>
      <w:r w:rsidRPr="00EE43C6">
        <w:rPr>
          <w:lang w:eastAsia="en-US"/>
        </w:rPr>
        <w:t xml:space="preserve"> formation, Upper Permian aged Kırt</w:t>
      </w:r>
      <w:r w:rsidR="006E4F78" w:rsidRPr="00EE43C6">
        <w:rPr>
          <w:lang w:eastAsia="en-US"/>
        </w:rPr>
        <w:t>ı</w:t>
      </w:r>
      <w:r w:rsidRPr="00EE43C6">
        <w:rPr>
          <w:lang w:eastAsia="en-US"/>
        </w:rPr>
        <w:t>ldağı formation, Lower Triassic Karg</w:t>
      </w:r>
      <w:r w:rsidR="00043D7E" w:rsidRPr="00EE43C6">
        <w:rPr>
          <w:lang w:eastAsia="en-US"/>
        </w:rPr>
        <w:t>ı</w:t>
      </w:r>
      <w:r w:rsidRPr="00EE43C6">
        <w:rPr>
          <w:lang w:eastAsia="en-US"/>
        </w:rPr>
        <w:t xml:space="preserve">cak formation, Middle-Upper Triassic </w:t>
      </w:r>
      <w:r w:rsidR="00043D7E" w:rsidRPr="00EE43C6">
        <w:rPr>
          <w:lang w:eastAsia="en-US"/>
        </w:rPr>
        <w:lastRenderedPageBreak/>
        <w:t xml:space="preserve">aged </w:t>
      </w:r>
      <w:r w:rsidRPr="00EE43C6">
        <w:rPr>
          <w:lang w:eastAsia="en-US"/>
        </w:rPr>
        <w:t xml:space="preserve">Kusyuvasıtepe formation, Lower-Middle Cambrian aged Sipahili formation, Lower Palaeozoic </w:t>
      </w:r>
      <w:r w:rsidR="00923F2F" w:rsidRPr="00EE43C6">
        <w:rPr>
          <w:lang w:eastAsia="en-US"/>
        </w:rPr>
        <w:t xml:space="preserve">aged Badabıl </w:t>
      </w:r>
      <w:r w:rsidRPr="00EE43C6">
        <w:rPr>
          <w:lang w:eastAsia="en-US"/>
        </w:rPr>
        <w:t>group</w:t>
      </w:r>
      <w:r w:rsidR="00923F2F" w:rsidRPr="00EE43C6">
        <w:rPr>
          <w:lang w:eastAsia="en-US"/>
        </w:rPr>
        <w:t>,</w:t>
      </w:r>
      <w:r w:rsidRPr="00EE43C6">
        <w:rPr>
          <w:lang w:eastAsia="en-US"/>
        </w:rPr>
        <w:t xml:space="preserve"> </w:t>
      </w:r>
      <w:r w:rsidR="00F9034C" w:rsidRPr="00EE43C6">
        <w:rPr>
          <w:lang w:eastAsia="en-US"/>
        </w:rPr>
        <w:t xml:space="preserve">Upper Triassic aged </w:t>
      </w:r>
      <w:r w:rsidRPr="00EE43C6">
        <w:rPr>
          <w:lang w:eastAsia="en-US"/>
        </w:rPr>
        <w:t>Murtçukuru formation, Lower Jura</w:t>
      </w:r>
      <w:r w:rsidR="00F9034C" w:rsidRPr="00EE43C6">
        <w:rPr>
          <w:lang w:eastAsia="en-US"/>
        </w:rPr>
        <w:t xml:space="preserve"> aged </w:t>
      </w:r>
      <w:r w:rsidRPr="00EE43C6">
        <w:rPr>
          <w:lang w:eastAsia="en-US"/>
        </w:rPr>
        <w:t xml:space="preserve">Yanışlı formation, Jura-Lower Cretaceous </w:t>
      </w:r>
      <w:r w:rsidR="00AC3666" w:rsidRPr="00EE43C6">
        <w:rPr>
          <w:lang w:eastAsia="en-US"/>
        </w:rPr>
        <w:t xml:space="preserve">aged </w:t>
      </w:r>
      <w:r w:rsidRPr="00EE43C6">
        <w:rPr>
          <w:lang w:eastAsia="en-US"/>
        </w:rPr>
        <w:t>Tokmar formation and Upper Cretaceous</w:t>
      </w:r>
      <w:r w:rsidR="00AC3666" w:rsidRPr="00EE43C6">
        <w:rPr>
          <w:lang w:eastAsia="en-US"/>
        </w:rPr>
        <w:t xml:space="preserve"> aged</w:t>
      </w:r>
      <w:r w:rsidRPr="00EE43C6">
        <w:rPr>
          <w:lang w:eastAsia="en-US"/>
        </w:rPr>
        <w:t xml:space="preserve"> </w:t>
      </w:r>
      <w:r w:rsidR="00AC3666" w:rsidRPr="00EE43C6">
        <w:rPr>
          <w:lang w:eastAsia="en-US"/>
        </w:rPr>
        <w:t>Hayvan</w:t>
      </w:r>
      <w:r w:rsidRPr="00EE43C6">
        <w:rPr>
          <w:lang w:eastAsia="en-US"/>
        </w:rPr>
        <w:t>dağı formation</w:t>
      </w:r>
      <w:r w:rsidR="00AC3666" w:rsidRPr="00EE43C6">
        <w:rPr>
          <w:lang w:eastAsia="en-US"/>
        </w:rPr>
        <w:t xml:space="preserve"> </w:t>
      </w:r>
      <w:r w:rsidR="000B0628" w:rsidRPr="00EE43C6">
        <w:rPr>
          <w:lang w:eastAsia="en-US"/>
        </w:rPr>
        <w:t xml:space="preserve">within the </w:t>
      </w:r>
      <w:r w:rsidR="009512FA" w:rsidRPr="00EE43C6">
        <w:rPr>
          <w:lang w:eastAsia="en-US"/>
        </w:rPr>
        <w:t>assembly</w:t>
      </w:r>
      <w:r w:rsidR="000B0628" w:rsidRPr="00EE43C6">
        <w:rPr>
          <w:lang w:eastAsia="en-US"/>
        </w:rPr>
        <w:t xml:space="preserve"> </w:t>
      </w:r>
      <w:r w:rsidR="00AC7B13" w:rsidRPr="00EE43C6">
        <w:rPr>
          <w:lang w:eastAsia="en-US"/>
        </w:rPr>
        <w:t xml:space="preserve">which is considered to be relatively autochthonous or paraautochthonous, consisting of non-metamorphic sedimentary </w:t>
      </w:r>
      <w:r w:rsidR="009512FA" w:rsidRPr="00EE43C6">
        <w:rPr>
          <w:lang w:eastAsia="en-US"/>
        </w:rPr>
        <w:t>assemblies</w:t>
      </w:r>
      <w:r w:rsidR="00AC7B13" w:rsidRPr="00EE43C6">
        <w:rPr>
          <w:lang w:eastAsia="en-US"/>
        </w:rPr>
        <w:t>.</w:t>
      </w:r>
    </w:p>
    <w:p w14:paraId="228923D6" w14:textId="325741F4" w:rsidR="00A9076D" w:rsidRPr="00EE43C6" w:rsidRDefault="00A9076D" w:rsidP="00A9076D">
      <w:pPr>
        <w:rPr>
          <w:lang w:eastAsia="en-US"/>
        </w:rPr>
      </w:pPr>
      <w:r w:rsidRPr="00EE43C6">
        <w:rPr>
          <w:b/>
          <w:bCs/>
          <w:lang w:eastAsia="en-US"/>
        </w:rPr>
        <w:t xml:space="preserve">Aladağ </w:t>
      </w:r>
      <w:r w:rsidR="00FA206C" w:rsidRPr="00EE43C6">
        <w:rPr>
          <w:b/>
          <w:bCs/>
          <w:lang w:eastAsia="en-US"/>
        </w:rPr>
        <w:t>Assembly</w:t>
      </w:r>
      <w:r w:rsidRPr="00EE43C6">
        <w:rPr>
          <w:b/>
          <w:bCs/>
          <w:lang w:eastAsia="en-US"/>
        </w:rPr>
        <w:t>:</w:t>
      </w:r>
      <w:r w:rsidRPr="00EE43C6">
        <w:rPr>
          <w:lang w:eastAsia="en-US"/>
        </w:rPr>
        <w:t xml:space="preserve"> </w:t>
      </w:r>
      <w:r w:rsidR="00636CCE" w:rsidRPr="00EE43C6">
        <w:rPr>
          <w:lang w:eastAsia="en-US"/>
        </w:rPr>
        <w:t xml:space="preserve">There are </w:t>
      </w:r>
      <w:r w:rsidRPr="00EE43C6">
        <w:rPr>
          <w:lang w:eastAsia="en-US"/>
        </w:rPr>
        <w:t>Middle-Upper Devonian aged Tozlucayayla formation, Carboniferous aged Harzad</w:t>
      </w:r>
      <w:r w:rsidR="00326739" w:rsidRPr="00EE43C6">
        <w:rPr>
          <w:lang w:eastAsia="en-US"/>
        </w:rPr>
        <w:t>ın</w:t>
      </w:r>
      <w:r w:rsidRPr="00EE43C6">
        <w:rPr>
          <w:lang w:eastAsia="en-US"/>
        </w:rPr>
        <w:t>dağ</w:t>
      </w:r>
      <w:r w:rsidR="00326739" w:rsidRPr="00EE43C6">
        <w:rPr>
          <w:lang w:eastAsia="en-US"/>
        </w:rPr>
        <w:t>ı</w:t>
      </w:r>
      <w:r w:rsidRPr="00EE43C6">
        <w:rPr>
          <w:lang w:eastAsia="en-US"/>
        </w:rPr>
        <w:t xml:space="preserve"> formation, Upper Carboniferous-Permian aged Dumlugöze formation, Lower-Middle Triassic </w:t>
      </w:r>
      <w:r w:rsidR="0085403B" w:rsidRPr="00EE43C6">
        <w:rPr>
          <w:lang w:eastAsia="en-US"/>
        </w:rPr>
        <w:t xml:space="preserve">aged </w:t>
      </w:r>
      <w:r w:rsidRPr="00EE43C6">
        <w:rPr>
          <w:lang w:eastAsia="en-US"/>
        </w:rPr>
        <w:t>Dişdöken formation, Upper Triassic aged Gevne formation</w:t>
      </w:r>
      <w:r w:rsidR="00536852" w:rsidRPr="00EE43C6">
        <w:rPr>
          <w:lang w:eastAsia="en-US"/>
        </w:rPr>
        <w:t xml:space="preserve">, </w:t>
      </w:r>
      <w:r w:rsidR="007B3642" w:rsidRPr="00EE43C6">
        <w:rPr>
          <w:lang w:eastAsia="en-US"/>
        </w:rPr>
        <w:t>Lower-</w:t>
      </w:r>
      <w:r w:rsidRPr="00EE43C6">
        <w:rPr>
          <w:lang w:eastAsia="en-US"/>
        </w:rPr>
        <w:t xml:space="preserve">Middle </w:t>
      </w:r>
      <w:r w:rsidR="00340CFC" w:rsidRPr="00EE43C6">
        <w:rPr>
          <w:lang w:eastAsia="en-US"/>
        </w:rPr>
        <w:t xml:space="preserve">Jura aged Boğuntu </w:t>
      </w:r>
      <w:r w:rsidR="00BB0023" w:rsidRPr="00EE43C6">
        <w:rPr>
          <w:lang w:eastAsia="en-US"/>
        </w:rPr>
        <w:t>formation</w:t>
      </w:r>
      <w:r w:rsidRPr="00EE43C6">
        <w:rPr>
          <w:lang w:eastAsia="en-US"/>
        </w:rPr>
        <w:t>, Jura-Cretaceous aged Çakozdağı formation and Upper Cretaceous aged Akçaldağı formation</w:t>
      </w:r>
      <w:r w:rsidR="00E7223D" w:rsidRPr="00EE43C6">
        <w:rPr>
          <w:lang w:eastAsia="en-US"/>
        </w:rPr>
        <w:t xml:space="preserve"> </w:t>
      </w:r>
      <w:r w:rsidR="00536852" w:rsidRPr="00EE43C6">
        <w:rPr>
          <w:lang w:eastAsia="en-US"/>
        </w:rPr>
        <w:t>within an association containing shelf type carbonate and siliceous clastic sedimentary rocks</w:t>
      </w:r>
      <w:r w:rsidR="002B4149" w:rsidRPr="00EE43C6">
        <w:rPr>
          <w:lang w:eastAsia="en-US"/>
        </w:rPr>
        <w:t xml:space="preserve"> in the </w:t>
      </w:r>
      <w:r w:rsidR="009512FA" w:rsidRPr="00EE43C6">
        <w:rPr>
          <w:lang w:eastAsia="en-US"/>
        </w:rPr>
        <w:t>assembly</w:t>
      </w:r>
      <w:r w:rsidR="002B4149" w:rsidRPr="00EE43C6">
        <w:rPr>
          <w:lang w:eastAsia="en-US"/>
        </w:rPr>
        <w:t xml:space="preserve"> containing shelf type carbonate and siliceous clastic sedimentary rocks</w:t>
      </w:r>
      <w:r w:rsidR="00536852" w:rsidRPr="00EE43C6">
        <w:rPr>
          <w:lang w:eastAsia="en-US"/>
        </w:rPr>
        <w:t>.</w:t>
      </w:r>
    </w:p>
    <w:p w14:paraId="6F505D16" w14:textId="46B35EF0" w:rsidR="00C47971" w:rsidRPr="00EE43C6" w:rsidRDefault="00A9076D" w:rsidP="00A9076D">
      <w:pPr>
        <w:rPr>
          <w:lang w:eastAsia="en-US"/>
        </w:rPr>
      </w:pPr>
      <w:r w:rsidRPr="00EE43C6">
        <w:rPr>
          <w:b/>
          <w:bCs/>
          <w:lang w:eastAsia="en-US"/>
        </w:rPr>
        <w:t xml:space="preserve">Bozkır </w:t>
      </w:r>
      <w:r w:rsidR="00FA206C" w:rsidRPr="00EE43C6">
        <w:rPr>
          <w:b/>
          <w:bCs/>
          <w:lang w:eastAsia="en-US"/>
        </w:rPr>
        <w:t>Assembly</w:t>
      </w:r>
      <w:r w:rsidRPr="00EE43C6">
        <w:rPr>
          <w:b/>
          <w:bCs/>
          <w:lang w:eastAsia="en-US"/>
        </w:rPr>
        <w:t>:</w:t>
      </w:r>
      <w:r w:rsidRPr="00EE43C6">
        <w:rPr>
          <w:lang w:eastAsia="en-US"/>
        </w:rPr>
        <w:t xml:space="preserve"> </w:t>
      </w:r>
      <w:r w:rsidR="00C47971" w:rsidRPr="00EE43C6">
        <w:rPr>
          <w:lang w:eastAsia="en-US"/>
        </w:rPr>
        <w:t xml:space="preserve">The </w:t>
      </w:r>
      <w:r w:rsidR="009512FA" w:rsidRPr="00EE43C6">
        <w:rPr>
          <w:lang w:eastAsia="en-US"/>
        </w:rPr>
        <w:t>assembly</w:t>
      </w:r>
      <w:r w:rsidR="00C47971" w:rsidRPr="00EE43C6">
        <w:rPr>
          <w:lang w:eastAsia="en-US"/>
        </w:rPr>
        <w:t xml:space="preserve">, which is an olistostromal complex composed of various rock </w:t>
      </w:r>
      <w:r w:rsidR="009512FA" w:rsidRPr="00EE43C6">
        <w:rPr>
          <w:lang w:eastAsia="en-US"/>
        </w:rPr>
        <w:t>assemblie</w:t>
      </w:r>
      <w:r w:rsidR="00C47971" w:rsidRPr="00EE43C6">
        <w:rPr>
          <w:lang w:eastAsia="en-US"/>
        </w:rPr>
        <w:t xml:space="preserve">s, includes Güneydağı ophiolite, Campanian aged Çiftehan formation and Maestrichtian aged </w:t>
      </w:r>
      <w:r w:rsidR="009B714C" w:rsidRPr="00EE43C6">
        <w:rPr>
          <w:lang w:eastAsia="en-US"/>
        </w:rPr>
        <w:t xml:space="preserve">Blocky </w:t>
      </w:r>
      <w:r w:rsidR="00512472" w:rsidRPr="00EE43C6">
        <w:rPr>
          <w:lang w:eastAsia="en-US"/>
        </w:rPr>
        <w:t>Flysch</w:t>
      </w:r>
      <w:r w:rsidR="00C47971" w:rsidRPr="00EE43C6">
        <w:rPr>
          <w:lang w:eastAsia="en-US"/>
        </w:rPr>
        <w:t>.</w:t>
      </w:r>
    </w:p>
    <w:p w14:paraId="7A2DBA17" w14:textId="78E26A12" w:rsidR="00A9076D" w:rsidRPr="00EE43C6" w:rsidRDefault="008C64B8" w:rsidP="00A9076D">
      <w:pPr>
        <w:rPr>
          <w:lang w:eastAsia="en-US"/>
        </w:rPr>
      </w:pPr>
      <w:r w:rsidRPr="00EE43C6">
        <w:rPr>
          <w:b/>
          <w:bCs/>
          <w:lang w:eastAsia="en-US"/>
        </w:rPr>
        <w:t>Seal</w:t>
      </w:r>
      <w:r w:rsidR="00A9076D" w:rsidRPr="00EE43C6">
        <w:rPr>
          <w:b/>
          <w:bCs/>
          <w:lang w:eastAsia="en-US"/>
        </w:rPr>
        <w:t xml:space="preserve"> Rocks:</w:t>
      </w:r>
      <w:r w:rsidR="00A9076D" w:rsidRPr="00EE43C6">
        <w:rPr>
          <w:lang w:eastAsia="en-US"/>
        </w:rPr>
        <w:t xml:space="preserve"> It is divided into two as Paleo-autochthonous Rocks and Neo-autochthonous Rocks. Belbağ and Sarıtaş formations belonging to the Early Tertiary are classified as Paleo-autochthonous, Oligocene-Pliocene aged rocks as Neo-autochthonous rocks (Ulu, 1998).</w:t>
      </w:r>
    </w:p>
    <w:p w14:paraId="42D6314C" w14:textId="11709828" w:rsidR="00A9076D" w:rsidRPr="00EE43C6" w:rsidRDefault="00A9076D" w:rsidP="00A9076D">
      <w:pPr>
        <w:rPr>
          <w:lang w:eastAsia="en-US"/>
        </w:rPr>
      </w:pPr>
      <w:r w:rsidRPr="00EE43C6">
        <w:rPr>
          <w:lang w:eastAsia="en-US"/>
        </w:rPr>
        <w:t>The 1/1</w:t>
      </w:r>
      <w:r w:rsidR="00D23E3A" w:rsidRPr="00EE43C6">
        <w:rPr>
          <w:lang w:eastAsia="en-US"/>
        </w:rPr>
        <w:t>,</w:t>
      </w:r>
      <w:r w:rsidRPr="00EE43C6">
        <w:rPr>
          <w:lang w:eastAsia="en-US"/>
        </w:rPr>
        <w:t>250</w:t>
      </w:r>
      <w:r w:rsidR="00D23E3A" w:rsidRPr="00EE43C6">
        <w:rPr>
          <w:lang w:eastAsia="en-US"/>
        </w:rPr>
        <w:t>,</w:t>
      </w:r>
      <w:r w:rsidRPr="00EE43C6">
        <w:rPr>
          <w:lang w:eastAsia="en-US"/>
        </w:rPr>
        <w:t xml:space="preserve">000 scale geotectonic map of the </w:t>
      </w:r>
      <w:r w:rsidR="00916F31" w:rsidRPr="00EE43C6">
        <w:rPr>
          <w:lang w:eastAsia="en-US"/>
        </w:rPr>
        <w:t>assemblie</w:t>
      </w:r>
      <w:r w:rsidRPr="00EE43C6">
        <w:rPr>
          <w:lang w:eastAsia="en-US"/>
        </w:rPr>
        <w:t>s and rocks described above is given below.</w:t>
      </w:r>
    </w:p>
    <w:p w14:paraId="0A7CCB92" w14:textId="50166123" w:rsidR="00D23E3A" w:rsidRPr="00EE43C6" w:rsidRDefault="00A26DFC" w:rsidP="009F1565">
      <w:pPr>
        <w:spacing w:after="60"/>
        <w:jc w:val="center"/>
        <w:rPr>
          <w:lang w:eastAsia="en-US"/>
        </w:rPr>
      </w:pPr>
      <w:r w:rsidRPr="00EE43C6">
        <w:rPr>
          <w:noProof/>
        </w:rPr>
        <w:lastRenderedPageBreak/>
        <w:drawing>
          <wp:inline distT="0" distB="0" distL="0" distR="0" wp14:anchorId="059950FD" wp14:editId="26CBCCB4">
            <wp:extent cx="5636656" cy="4181475"/>
            <wp:effectExtent l="38100" t="38100" r="40640" b="28575"/>
            <wp:docPr id="29" name="Resim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a:blip r:embed="rId44" cstate="screen">
                      <a:extLst>
                        <a:ext uri="{28A0092B-C50C-407E-A947-70E740481C1C}">
                          <a14:useLocalDpi xmlns:a14="http://schemas.microsoft.com/office/drawing/2010/main"/>
                        </a:ext>
                      </a:extLst>
                    </a:blip>
                    <a:stretch>
                      <a:fillRect/>
                    </a:stretch>
                  </pic:blipFill>
                  <pic:spPr>
                    <a:xfrm>
                      <a:off x="0" y="0"/>
                      <a:ext cx="5644977" cy="4187648"/>
                    </a:xfrm>
                    <a:prstGeom prst="rect">
                      <a:avLst/>
                    </a:prstGeom>
                    <a:ln w="38100">
                      <a:solidFill>
                        <a:schemeClr val="tx1"/>
                      </a:solidFill>
                    </a:ln>
                  </pic:spPr>
                </pic:pic>
              </a:graphicData>
            </a:graphic>
          </wp:inline>
        </w:drawing>
      </w:r>
    </w:p>
    <w:p w14:paraId="4E6D5011" w14:textId="5FF61A5A" w:rsidR="009F1565" w:rsidRPr="00EE43C6" w:rsidRDefault="009F1565" w:rsidP="009F1565">
      <w:pPr>
        <w:pStyle w:val="Caption"/>
        <w:rPr>
          <w:b w:val="0"/>
          <w:bCs w:val="0"/>
          <w:noProof w:val="0"/>
          <w:color w:val="auto"/>
        </w:rPr>
      </w:pPr>
      <w:bookmarkStart w:id="242" w:name="_Toc141445563"/>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4</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2334B">
        <w:rPr>
          <w:color w:val="00B050"/>
        </w:rPr>
        <w:t>4</w:t>
      </w:r>
      <w:r w:rsidR="0096150F">
        <w:rPr>
          <w:noProof w:val="0"/>
          <w:color w:val="00B050"/>
        </w:rPr>
        <w:fldChar w:fldCharType="end"/>
      </w:r>
      <w:r w:rsidRPr="00EE43C6">
        <w:rPr>
          <w:noProof w:val="0"/>
          <w:color w:val="00B050"/>
        </w:rPr>
        <w:t xml:space="preserve">. </w:t>
      </w:r>
      <w:r w:rsidRPr="00EE43C6">
        <w:rPr>
          <w:b w:val="0"/>
          <w:bCs w:val="0"/>
          <w:noProof w:val="0"/>
          <w:color w:val="auto"/>
        </w:rPr>
        <w:t>The Map of the Tectonic Assemblies and Seal Rocks Found in Mersin</w:t>
      </w:r>
      <w:bookmarkEnd w:id="242"/>
    </w:p>
    <w:p w14:paraId="2A475D64" w14:textId="12F362F2" w:rsidR="000503D8" w:rsidRPr="00EE43C6" w:rsidRDefault="007D5EB8" w:rsidP="000503D8">
      <w:pPr>
        <w:rPr>
          <w:lang w:eastAsia="en-US"/>
        </w:rPr>
      </w:pPr>
      <w:r w:rsidRPr="00EE43C6">
        <w:rPr>
          <w:lang w:eastAsia="en-US"/>
        </w:rPr>
        <w:t xml:space="preserve">According to the Geological-Geotechnical Survey Report of the Project Area, </w:t>
      </w:r>
      <w:r w:rsidR="00425EC4" w:rsidRPr="00EE43C6">
        <w:rPr>
          <w:lang w:eastAsia="en-US"/>
        </w:rPr>
        <w:t>22</w:t>
      </w:r>
      <w:r w:rsidR="00376E41" w:rsidRPr="00EE43C6">
        <w:rPr>
          <w:lang w:eastAsia="en-US"/>
        </w:rPr>
        <w:t xml:space="preserve"> (twenty-two)</w:t>
      </w:r>
      <w:r w:rsidR="00425EC4" w:rsidRPr="00EE43C6">
        <w:rPr>
          <w:lang w:eastAsia="en-US"/>
        </w:rPr>
        <w:t xml:space="preserve"> foundation drillings of 330 m in total, each of which is 15 m</w:t>
      </w:r>
      <w:r w:rsidR="000503D8" w:rsidRPr="00EE43C6">
        <w:rPr>
          <w:lang w:eastAsia="en-US"/>
        </w:rPr>
        <w:t xml:space="preserve"> </w:t>
      </w:r>
      <w:r w:rsidR="0089457C" w:rsidRPr="00EE43C6">
        <w:rPr>
          <w:lang w:eastAsia="en-US"/>
        </w:rPr>
        <w:t>were</w:t>
      </w:r>
      <w:r w:rsidR="000503D8" w:rsidRPr="00EE43C6">
        <w:rPr>
          <w:lang w:eastAsia="en-US"/>
        </w:rPr>
        <w:t xml:space="preserve"> opened. In the observational and drilling studies carried out in the study area</w:t>
      </w:r>
      <w:r w:rsidR="0089457C" w:rsidRPr="00EE43C6">
        <w:rPr>
          <w:lang w:eastAsia="en-US"/>
        </w:rPr>
        <w:t>;</w:t>
      </w:r>
      <w:r w:rsidR="000503D8" w:rsidRPr="00EE43C6">
        <w:rPr>
          <w:lang w:eastAsia="en-US"/>
        </w:rPr>
        <w:t xml:space="preserve"> sand, sandstone and occasionally marl </w:t>
      </w:r>
      <w:r w:rsidR="00E4671F" w:rsidRPr="00EE43C6">
        <w:rPr>
          <w:lang w:eastAsia="en-US"/>
        </w:rPr>
        <w:t>assemblies</w:t>
      </w:r>
      <w:r w:rsidR="000503D8" w:rsidRPr="00EE43C6">
        <w:rPr>
          <w:lang w:eastAsia="en-US"/>
        </w:rPr>
        <w:t xml:space="preserve"> were observed as the main </w:t>
      </w:r>
      <w:r w:rsidR="00E4671F" w:rsidRPr="00EE43C6">
        <w:rPr>
          <w:lang w:eastAsia="en-US"/>
        </w:rPr>
        <w:t>assembly</w:t>
      </w:r>
      <w:r w:rsidR="000503D8" w:rsidRPr="00EE43C6">
        <w:rPr>
          <w:lang w:eastAsia="en-US"/>
        </w:rPr>
        <w:t>.</w:t>
      </w:r>
      <w:r w:rsidR="00E6311E" w:rsidRPr="00EE43C6">
        <w:rPr>
          <w:lang w:eastAsia="en-US"/>
        </w:rPr>
        <w:t xml:space="preserve"> </w:t>
      </w:r>
      <w:r w:rsidR="009F6578" w:rsidRPr="00EE43C6">
        <w:rPr>
          <w:lang w:eastAsia="en-US"/>
        </w:rPr>
        <w:t xml:space="preserve">The observed </w:t>
      </w:r>
      <w:r w:rsidR="00E4671F" w:rsidRPr="00EE43C6">
        <w:rPr>
          <w:lang w:eastAsia="en-US"/>
        </w:rPr>
        <w:t>assemblies</w:t>
      </w:r>
      <w:r w:rsidR="009F6578" w:rsidRPr="00EE43C6">
        <w:rPr>
          <w:lang w:eastAsia="en-US"/>
        </w:rPr>
        <w:t xml:space="preserve"> are of Upper Miocene-Pliocene age</w:t>
      </w:r>
      <w:r w:rsidR="00E4671F" w:rsidRPr="00EE43C6">
        <w:rPr>
          <w:lang w:eastAsia="en-US"/>
        </w:rPr>
        <w:t>,</w:t>
      </w:r>
      <w:r w:rsidR="000503D8" w:rsidRPr="00EE43C6">
        <w:rPr>
          <w:lang w:eastAsia="en-US"/>
        </w:rPr>
        <w:t xml:space="preserve"> is defined within the Handere Formation in the Neo-autochthonous </w:t>
      </w:r>
      <w:r w:rsidR="004B49AF" w:rsidRPr="00EE43C6">
        <w:rPr>
          <w:lang w:eastAsia="en-US"/>
        </w:rPr>
        <w:t>Rocks</w:t>
      </w:r>
      <w:r w:rsidR="000503D8" w:rsidRPr="00EE43C6">
        <w:rPr>
          <w:lang w:eastAsia="en-US"/>
        </w:rPr>
        <w:t xml:space="preserve"> </w:t>
      </w:r>
      <w:r w:rsidR="0089457C" w:rsidRPr="00EE43C6">
        <w:rPr>
          <w:lang w:eastAsia="en-US"/>
        </w:rPr>
        <w:t>assembly</w:t>
      </w:r>
      <w:r w:rsidR="00E4671F" w:rsidRPr="00EE43C6">
        <w:rPr>
          <w:lang w:eastAsia="en-US"/>
        </w:rPr>
        <w:t xml:space="preserve"> and</w:t>
      </w:r>
      <w:r w:rsidR="000503D8" w:rsidRPr="00EE43C6">
        <w:rPr>
          <w:lang w:eastAsia="en-US"/>
        </w:rPr>
        <w:t xml:space="preserve"> shows a creamy yellow and white </w:t>
      </w:r>
      <w:r w:rsidR="0089457C" w:rsidRPr="00EE43C6">
        <w:rPr>
          <w:lang w:eastAsia="en-US"/>
        </w:rPr>
        <w:t>coloured</w:t>
      </w:r>
      <w:r w:rsidR="000503D8" w:rsidRPr="00EE43C6">
        <w:rPr>
          <w:lang w:eastAsia="en-US"/>
        </w:rPr>
        <w:t xml:space="preserve"> </w:t>
      </w:r>
      <w:r w:rsidR="004018DF" w:rsidRPr="00EE43C6">
        <w:rPr>
          <w:lang w:eastAsia="en-US"/>
        </w:rPr>
        <w:t>form</w:t>
      </w:r>
      <w:r w:rsidR="000503D8" w:rsidRPr="00EE43C6">
        <w:rPr>
          <w:lang w:eastAsia="en-US"/>
        </w:rPr>
        <w:t>.</w:t>
      </w:r>
    </w:p>
    <w:p w14:paraId="7AA77DF1" w14:textId="37F4C3DF" w:rsidR="004339AC" w:rsidRPr="00EE43C6" w:rsidRDefault="004339AC" w:rsidP="004339AC">
      <w:pPr>
        <w:pStyle w:val="Heading3"/>
        <w:autoSpaceDE w:val="0"/>
        <w:autoSpaceDN w:val="0"/>
        <w:adjustRightInd w:val="0"/>
        <w:spacing w:before="120" w:line="312" w:lineRule="auto"/>
        <w:ind w:left="0" w:right="-1" w:firstLine="0"/>
        <w:rPr>
          <w:bCs w:val="0"/>
          <w:noProof w:val="0"/>
        </w:rPr>
      </w:pPr>
      <w:bookmarkStart w:id="243" w:name="_Toc120186532"/>
      <w:bookmarkStart w:id="244" w:name="_Toc120204468"/>
      <w:bookmarkStart w:id="245" w:name="_Toc98425301"/>
      <w:bookmarkStart w:id="246" w:name="_Toc98429143"/>
      <w:bookmarkStart w:id="247" w:name="_Toc82779414"/>
      <w:bookmarkStart w:id="248" w:name="_Toc82704789"/>
      <w:bookmarkStart w:id="249" w:name="_Toc82779413"/>
      <w:bookmarkStart w:id="250" w:name="_Toc82704788"/>
      <w:bookmarkStart w:id="251" w:name="_Toc73933448"/>
      <w:bookmarkStart w:id="252" w:name="_Toc80633533"/>
      <w:bookmarkStart w:id="253" w:name="_Toc120016919"/>
      <w:bookmarkStart w:id="254" w:name="_Toc120004697"/>
      <w:bookmarkStart w:id="255" w:name="_Toc141445408"/>
      <w:bookmarkEnd w:id="243"/>
      <w:bookmarkEnd w:id="244"/>
      <w:bookmarkEnd w:id="245"/>
      <w:bookmarkEnd w:id="246"/>
      <w:bookmarkEnd w:id="247"/>
      <w:bookmarkEnd w:id="248"/>
      <w:bookmarkEnd w:id="249"/>
      <w:bookmarkEnd w:id="250"/>
      <w:r w:rsidRPr="00EE43C6">
        <w:rPr>
          <w:bCs w:val="0"/>
          <w:noProof w:val="0"/>
        </w:rPr>
        <w:t>Tectonics</w:t>
      </w:r>
      <w:bookmarkEnd w:id="251"/>
      <w:bookmarkEnd w:id="252"/>
      <w:bookmarkEnd w:id="253"/>
      <w:bookmarkEnd w:id="254"/>
      <w:bookmarkEnd w:id="255"/>
    </w:p>
    <w:p w14:paraId="3EB86ED2" w14:textId="6E5C22B6" w:rsidR="00E13206" w:rsidRPr="00EE43C6" w:rsidRDefault="00E13206" w:rsidP="00E13206">
      <w:pPr>
        <w:spacing w:line="288" w:lineRule="auto"/>
        <w:rPr>
          <w:rFonts w:eastAsiaTheme="minorHAnsi"/>
        </w:rPr>
      </w:pPr>
      <w:r w:rsidRPr="00EE43C6">
        <w:rPr>
          <w:rFonts w:eastAsiaTheme="minorHAnsi"/>
        </w:rPr>
        <w:t>The Mersin region is geographically located in the Middle Taurus Mountains, which is between two main strike-slip faults such as the right-handed Kırkkavak Fault in the west and the left-handed Ecemiş Fault in the east. Since the Central Taurus is between these two faults, it moves more south than the West-East Taurus</w:t>
      </w:r>
      <w:sdt>
        <w:sdtPr>
          <w:rPr>
            <w:rFonts w:eastAsiaTheme="minorHAnsi"/>
          </w:rPr>
          <w:id w:val="1196586809"/>
          <w:citation/>
        </w:sdtPr>
        <w:sdtEndPr/>
        <w:sdtContent>
          <w:r w:rsidR="006513E2" w:rsidRPr="00EE43C6">
            <w:rPr>
              <w:rFonts w:eastAsiaTheme="minorHAnsi"/>
            </w:rPr>
            <w:fldChar w:fldCharType="begin"/>
          </w:r>
          <w:r w:rsidR="006513E2" w:rsidRPr="00EE43C6">
            <w:rPr>
              <w:rFonts w:eastAsiaTheme="minorHAnsi"/>
            </w:rPr>
            <w:instrText xml:space="preserve"> CITATION Şen18 \l 1055 </w:instrText>
          </w:r>
          <w:r w:rsidR="006513E2" w:rsidRPr="00EE43C6">
            <w:rPr>
              <w:rFonts w:eastAsiaTheme="minorHAnsi"/>
            </w:rPr>
            <w:fldChar w:fldCharType="separate"/>
          </w:r>
          <w:r w:rsidR="00CE3B94" w:rsidRPr="00EE43C6">
            <w:rPr>
              <w:rFonts w:eastAsiaTheme="minorHAnsi"/>
            </w:rPr>
            <w:t xml:space="preserve"> (Şen Engineering, The Geological-Geotechnical Survey Report of the Project Area, 2018)</w:t>
          </w:r>
          <w:r w:rsidR="006513E2" w:rsidRPr="00EE43C6">
            <w:rPr>
              <w:rFonts w:eastAsiaTheme="minorHAnsi"/>
            </w:rPr>
            <w:fldChar w:fldCharType="end"/>
          </w:r>
        </w:sdtContent>
      </w:sdt>
      <w:r w:rsidR="00CB4493" w:rsidRPr="00EE43C6">
        <w:rPr>
          <w:rFonts w:eastAsiaTheme="minorHAnsi"/>
        </w:rPr>
        <w:t>.</w:t>
      </w:r>
    </w:p>
    <w:p w14:paraId="06A41F73" w14:textId="46BD3F99" w:rsidR="00E13206" w:rsidRPr="00EE43C6" w:rsidRDefault="00E13206" w:rsidP="00E13206">
      <w:pPr>
        <w:spacing w:line="288" w:lineRule="auto"/>
        <w:rPr>
          <w:rFonts w:eastAsiaTheme="minorHAnsi"/>
        </w:rPr>
      </w:pPr>
      <w:r w:rsidRPr="00EE43C6">
        <w:rPr>
          <w:rFonts w:eastAsiaTheme="minorHAnsi"/>
        </w:rPr>
        <w:t xml:space="preserve">More research has been done on the Middle Taurus because it shows the characteristics of the Taurus belt better. As a result of these studies, it was found that the Central Taurus Mountains have many tectono-stratigraphic rock </w:t>
      </w:r>
      <w:r w:rsidR="007E409D" w:rsidRPr="00EE43C6">
        <w:rPr>
          <w:rFonts w:eastAsiaTheme="minorHAnsi"/>
        </w:rPr>
        <w:t>assemblies</w:t>
      </w:r>
      <w:r w:rsidRPr="00EE43C6">
        <w:rPr>
          <w:rFonts w:eastAsiaTheme="minorHAnsi"/>
        </w:rPr>
        <w:t xml:space="preserve"> due to their stratigraphic, </w:t>
      </w:r>
      <w:r w:rsidR="00CB4493" w:rsidRPr="00EE43C6">
        <w:rPr>
          <w:rFonts w:eastAsiaTheme="minorHAnsi"/>
        </w:rPr>
        <w:t>structural,</w:t>
      </w:r>
      <w:r w:rsidRPr="00EE43C6">
        <w:rPr>
          <w:rFonts w:eastAsiaTheme="minorHAnsi"/>
        </w:rPr>
        <w:t xml:space="preserve"> and metamorphic features (Blumenthal, 1947; Özgül, 1971).</w:t>
      </w:r>
    </w:p>
    <w:p w14:paraId="6B9F7D38" w14:textId="2D904C4F" w:rsidR="00E13206" w:rsidRPr="00EE43C6" w:rsidRDefault="00E13206" w:rsidP="00E13206">
      <w:pPr>
        <w:spacing w:line="288" w:lineRule="auto"/>
        <w:rPr>
          <w:rFonts w:eastAsiaTheme="minorHAnsi"/>
        </w:rPr>
      </w:pPr>
      <w:r w:rsidRPr="00EE43C6">
        <w:rPr>
          <w:rFonts w:eastAsiaTheme="minorHAnsi"/>
        </w:rPr>
        <w:t xml:space="preserve">These rock </w:t>
      </w:r>
      <w:r w:rsidR="00CB4493" w:rsidRPr="00EE43C6">
        <w:rPr>
          <w:rFonts w:eastAsiaTheme="minorHAnsi"/>
        </w:rPr>
        <w:t>assemblies</w:t>
      </w:r>
      <w:r w:rsidRPr="00EE43C6">
        <w:rPr>
          <w:rFonts w:eastAsiaTheme="minorHAnsi"/>
        </w:rPr>
        <w:t xml:space="preserve"> faulted on top of each other during the Senonian and Lutetian with horizontal movements giving the complex nappe structure of the Middle Taurus Mountains. </w:t>
      </w:r>
      <w:r w:rsidRPr="00EE43C6">
        <w:rPr>
          <w:rFonts w:eastAsiaTheme="minorHAnsi"/>
        </w:rPr>
        <w:lastRenderedPageBreak/>
        <w:t xml:space="preserve">These tectono-stratigraphic </w:t>
      </w:r>
      <w:r w:rsidR="0069159E" w:rsidRPr="00EE43C6">
        <w:rPr>
          <w:rFonts w:eastAsiaTheme="minorHAnsi"/>
        </w:rPr>
        <w:t>assemblies</w:t>
      </w:r>
      <w:r w:rsidRPr="00EE43C6">
        <w:rPr>
          <w:rFonts w:eastAsiaTheme="minorHAnsi"/>
        </w:rPr>
        <w:t>; Geyikda</w:t>
      </w:r>
      <w:r w:rsidR="0069159E" w:rsidRPr="00EE43C6">
        <w:rPr>
          <w:rFonts w:eastAsiaTheme="minorHAnsi"/>
        </w:rPr>
        <w:t>ğı</w:t>
      </w:r>
      <w:r w:rsidRPr="00EE43C6">
        <w:rPr>
          <w:rFonts w:eastAsiaTheme="minorHAnsi"/>
        </w:rPr>
        <w:t>, Alada</w:t>
      </w:r>
      <w:r w:rsidR="0069159E" w:rsidRPr="00EE43C6">
        <w:rPr>
          <w:rFonts w:eastAsiaTheme="minorHAnsi"/>
        </w:rPr>
        <w:t>ğ</w:t>
      </w:r>
      <w:r w:rsidRPr="00EE43C6">
        <w:rPr>
          <w:rFonts w:eastAsiaTheme="minorHAnsi"/>
        </w:rPr>
        <w:t xml:space="preserve">, Bolkar Mountain, Bozkır, Antalya and Alanya </w:t>
      </w:r>
      <w:r w:rsidR="0069159E" w:rsidRPr="00EE43C6">
        <w:rPr>
          <w:rFonts w:eastAsiaTheme="minorHAnsi"/>
        </w:rPr>
        <w:t>assemblies</w:t>
      </w:r>
      <w:r w:rsidRPr="00EE43C6">
        <w:rPr>
          <w:rFonts w:eastAsiaTheme="minorHAnsi"/>
        </w:rPr>
        <w:t>.</w:t>
      </w:r>
    </w:p>
    <w:p w14:paraId="1F66FB06" w14:textId="659D5CB0" w:rsidR="00E13206" w:rsidRPr="00EE43C6" w:rsidRDefault="00E13206" w:rsidP="00E13206">
      <w:pPr>
        <w:spacing w:line="288" w:lineRule="auto"/>
        <w:rPr>
          <w:rFonts w:eastAsiaTheme="minorHAnsi"/>
        </w:rPr>
      </w:pPr>
      <w:r w:rsidRPr="00EE43C6">
        <w:rPr>
          <w:rFonts w:eastAsiaTheme="minorHAnsi"/>
        </w:rPr>
        <w:t xml:space="preserve">As a result of the closure of Tethys during the Upper Cretaceous, ophiolite thrusts overtook these </w:t>
      </w:r>
      <w:r w:rsidR="00F87F6E" w:rsidRPr="00EE43C6">
        <w:rPr>
          <w:rFonts w:eastAsiaTheme="minorHAnsi"/>
        </w:rPr>
        <w:t>assemblies</w:t>
      </w:r>
      <w:r w:rsidRPr="00EE43C6">
        <w:rPr>
          <w:rFonts w:eastAsiaTheme="minorHAnsi"/>
        </w:rPr>
        <w:t xml:space="preserve"> throughout the Taurus Mountains. The Güneydağı Ophiolite in the study area was </w:t>
      </w:r>
      <w:r w:rsidR="00F03EC1" w:rsidRPr="00EE43C6">
        <w:rPr>
          <w:rFonts w:eastAsiaTheme="minorHAnsi"/>
        </w:rPr>
        <w:t>come with overlay</w:t>
      </w:r>
      <w:r w:rsidRPr="00EE43C6">
        <w:rPr>
          <w:rFonts w:eastAsiaTheme="minorHAnsi"/>
        </w:rPr>
        <w:t xml:space="preserve"> the </w:t>
      </w:r>
      <w:r w:rsidR="00954F0B" w:rsidRPr="00EE43C6">
        <w:rPr>
          <w:rFonts w:eastAsiaTheme="minorHAnsi"/>
        </w:rPr>
        <w:t>aged assemblies</w:t>
      </w:r>
      <w:r w:rsidRPr="00EE43C6">
        <w:rPr>
          <w:rFonts w:eastAsiaTheme="minorHAnsi"/>
        </w:rPr>
        <w:t xml:space="preserve"> from the Upper Cretaceous.</w:t>
      </w:r>
    </w:p>
    <w:p w14:paraId="6866C1A8" w14:textId="47393AA0" w:rsidR="00E13206" w:rsidRPr="00EE43C6" w:rsidRDefault="00E13206" w:rsidP="00E13206">
      <w:pPr>
        <w:spacing w:line="288" w:lineRule="auto"/>
        <w:rPr>
          <w:rFonts w:eastAsiaTheme="minorHAnsi"/>
        </w:rPr>
      </w:pPr>
      <w:r w:rsidRPr="00EE43C6">
        <w:rPr>
          <w:rFonts w:eastAsiaTheme="minorHAnsi"/>
        </w:rPr>
        <w:t xml:space="preserve">The other </w:t>
      </w:r>
      <w:r w:rsidR="00346967" w:rsidRPr="00EE43C6">
        <w:rPr>
          <w:rFonts w:eastAsiaTheme="minorHAnsi"/>
        </w:rPr>
        <w:t>assemblies</w:t>
      </w:r>
      <w:r w:rsidRPr="00EE43C6">
        <w:rPr>
          <w:rFonts w:eastAsiaTheme="minorHAnsi"/>
        </w:rPr>
        <w:t xml:space="preserve">, with the Geyikdağı </w:t>
      </w:r>
      <w:r w:rsidR="006F3929" w:rsidRPr="00EE43C6">
        <w:rPr>
          <w:rFonts w:eastAsiaTheme="minorHAnsi"/>
        </w:rPr>
        <w:t>Assembly</w:t>
      </w:r>
      <w:r w:rsidRPr="00EE43C6">
        <w:rPr>
          <w:rFonts w:eastAsiaTheme="minorHAnsi"/>
        </w:rPr>
        <w:t xml:space="preserve"> at the bottom, overlapped each other.</w:t>
      </w:r>
    </w:p>
    <w:p w14:paraId="75A49EC9" w14:textId="77777777" w:rsidR="00E13206" w:rsidRPr="00EE43C6" w:rsidRDefault="00E13206" w:rsidP="00E13206">
      <w:pPr>
        <w:spacing w:line="288" w:lineRule="auto"/>
        <w:rPr>
          <w:rFonts w:eastAsiaTheme="minorHAnsi"/>
        </w:rPr>
      </w:pPr>
      <w:r w:rsidRPr="00EE43C6">
        <w:rPr>
          <w:rFonts w:eastAsiaTheme="minorHAnsi"/>
        </w:rPr>
        <w:t>According to the Landsat TM 432 [RGB] Band Composite and Lineament map of Mersin and its surroundings, the general strike of the fractures and faults is NE-SW, but the NNE-SSW, NNW-SSE directional faults are common in the study area. The general strike of the faults is parallel to the thrust directions developed in all Taurus Mountains.</w:t>
      </w:r>
    </w:p>
    <w:p w14:paraId="298D4A0A" w14:textId="5C963FB2" w:rsidR="00E13206" w:rsidRPr="00EE43C6" w:rsidRDefault="00E13206" w:rsidP="00E13206">
      <w:pPr>
        <w:spacing w:line="288" w:lineRule="auto"/>
        <w:rPr>
          <w:rFonts w:eastAsiaTheme="minorHAnsi"/>
        </w:rPr>
      </w:pPr>
      <w:r w:rsidRPr="00EE43C6">
        <w:rPr>
          <w:rFonts w:eastAsiaTheme="minorHAnsi"/>
        </w:rPr>
        <w:t xml:space="preserve">Depending on the compressional tectonics of the Taurus Mountains, NE-SW direction anticlines and synclines have developed in the formations. These </w:t>
      </w:r>
      <w:r w:rsidR="0070092E" w:rsidRPr="00EE43C6">
        <w:rPr>
          <w:rFonts w:eastAsiaTheme="minorHAnsi"/>
        </w:rPr>
        <w:t>folding</w:t>
      </w:r>
      <w:r w:rsidRPr="00EE43C6">
        <w:rPr>
          <w:rFonts w:eastAsiaTheme="minorHAnsi"/>
        </w:rPr>
        <w:t xml:space="preserve"> were mapped in the Bolkarda</w:t>
      </w:r>
      <w:r w:rsidR="00D243F2" w:rsidRPr="00EE43C6">
        <w:rPr>
          <w:rFonts w:eastAsiaTheme="minorHAnsi"/>
        </w:rPr>
        <w:t>ğ</w:t>
      </w:r>
      <w:r w:rsidRPr="00EE43C6">
        <w:rPr>
          <w:rFonts w:eastAsiaTheme="minorHAnsi"/>
        </w:rPr>
        <w:t xml:space="preserve"> Mountains, around Büyükeceli. No folding is observed in the Tertiary units in the study area.</w:t>
      </w:r>
    </w:p>
    <w:p w14:paraId="32F4A6F8" w14:textId="77777777" w:rsidR="00E13206" w:rsidRPr="00EE43C6" w:rsidRDefault="00E13206" w:rsidP="00E13206">
      <w:pPr>
        <w:spacing w:line="288" w:lineRule="auto"/>
        <w:rPr>
          <w:rFonts w:eastAsiaTheme="minorHAnsi"/>
        </w:rPr>
      </w:pPr>
      <w:r w:rsidRPr="00EE43C6">
        <w:rPr>
          <w:rFonts w:eastAsiaTheme="minorHAnsi"/>
        </w:rPr>
        <w:t>The Ecemiş Fault Corridor, which is also observed around Gülek in the study area, has a width of 5 km in some regions. It is filled with Tertiary sediments. Most of the researchers stated that the Ecemiş Fault Zone is a left-sided strike-slip fault.</w:t>
      </w:r>
    </w:p>
    <w:p w14:paraId="782FB14A" w14:textId="4512261F" w:rsidR="00DF7E1C" w:rsidRPr="00EE43C6" w:rsidRDefault="00E13206" w:rsidP="008A06F7">
      <w:pPr>
        <w:spacing w:line="288" w:lineRule="auto"/>
        <w:rPr>
          <w:rFonts w:eastAsiaTheme="minorHAnsi"/>
        </w:rPr>
      </w:pPr>
      <w:r w:rsidRPr="00EE43C6">
        <w:rPr>
          <w:rFonts w:eastAsiaTheme="minorHAnsi"/>
        </w:rPr>
        <w:t xml:space="preserve">The distance of the study area, located within the borders of Mersin Province, Tarsus District, Kurbanlı </w:t>
      </w:r>
      <w:r w:rsidR="00670757" w:rsidRPr="00EE43C6">
        <w:rPr>
          <w:rFonts w:eastAsiaTheme="minorHAnsi"/>
        </w:rPr>
        <w:t>Neighbourhood</w:t>
      </w:r>
      <w:r w:rsidRPr="00EE43C6">
        <w:rPr>
          <w:rFonts w:eastAsiaTheme="minorHAnsi"/>
        </w:rPr>
        <w:t>, to the probable fault is approximately 15 k</w:t>
      </w:r>
      <w:r w:rsidR="00D73C66" w:rsidRPr="00EE43C6">
        <w:rPr>
          <w:rFonts w:eastAsiaTheme="minorHAnsi"/>
        </w:rPr>
        <w:t>m</w:t>
      </w:r>
      <w:r w:rsidRPr="00EE43C6">
        <w:rPr>
          <w:rFonts w:eastAsiaTheme="minorHAnsi"/>
        </w:rPr>
        <w:t>.</w:t>
      </w:r>
    </w:p>
    <w:p w14:paraId="41CD1795" w14:textId="2F022E35" w:rsidR="00B235C9" w:rsidRPr="00EE43C6" w:rsidRDefault="00B235C9" w:rsidP="005B5CD4">
      <w:pPr>
        <w:pStyle w:val="Heading2"/>
        <w:rPr>
          <w:rFonts w:eastAsiaTheme="minorHAnsi"/>
          <w:lang w:val="en-GB"/>
        </w:rPr>
      </w:pPr>
      <w:bookmarkStart w:id="256" w:name="_Toc120016920"/>
      <w:bookmarkStart w:id="257" w:name="_Toc120004698"/>
      <w:bookmarkStart w:id="258" w:name="_Toc141445409"/>
      <w:r w:rsidRPr="00EE43C6">
        <w:rPr>
          <w:rFonts w:eastAsiaTheme="minorHAnsi"/>
          <w:lang w:val="en-GB"/>
        </w:rPr>
        <w:t>Soil and Soil Quality</w:t>
      </w:r>
      <w:bookmarkEnd w:id="256"/>
      <w:bookmarkEnd w:id="257"/>
      <w:bookmarkEnd w:id="258"/>
    </w:p>
    <w:p w14:paraId="04DAEEF6" w14:textId="4ECB7FF2" w:rsidR="00757092" w:rsidRPr="00EE43C6" w:rsidRDefault="00F93FA9" w:rsidP="2DB09FEA">
      <w:pPr>
        <w:spacing w:line="288" w:lineRule="auto"/>
        <w:rPr>
          <w:rFonts w:eastAsiaTheme="minorEastAsia"/>
        </w:rPr>
      </w:pPr>
      <w:r w:rsidRPr="2DB09FEA">
        <w:rPr>
          <w:rFonts w:eastAsiaTheme="minorEastAsia"/>
        </w:rPr>
        <w:t xml:space="preserve">Currently, </w:t>
      </w:r>
      <w:r w:rsidR="006F498E" w:rsidRPr="2DB09FEA">
        <w:rPr>
          <w:rFonts w:eastAsiaTheme="minorEastAsia"/>
        </w:rPr>
        <w:t>it</w:t>
      </w:r>
      <w:r w:rsidR="00422F49" w:rsidRPr="2DB09FEA">
        <w:rPr>
          <w:rFonts w:eastAsiaTheme="minorEastAsia"/>
        </w:rPr>
        <w:t xml:space="preserve"> was observed that </w:t>
      </w:r>
      <w:r w:rsidR="007E532A" w:rsidRPr="2DB09FEA">
        <w:rPr>
          <w:rFonts w:eastAsiaTheme="minorEastAsia"/>
        </w:rPr>
        <w:t>ground</w:t>
      </w:r>
      <w:r w:rsidRPr="2DB09FEA">
        <w:rPr>
          <w:rFonts w:eastAsiaTheme="minorEastAsia"/>
        </w:rPr>
        <w:t xml:space="preserve"> levelling activities of the Project have been completed</w:t>
      </w:r>
      <w:r w:rsidR="00466B27" w:rsidRPr="2DB09FEA">
        <w:rPr>
          <w:rFonts w:eastAsiaTheme="minorEastAsia"/>
        </w:rPr>
        <w:t xml:space="preserve"> excep</w:t>
      </w:r>
      <w:r w:rsidR="00821F22" w:rsidRPr="2DB09FEA">
        <w:rPr>
          <w:rFonts w:eastAsiaTheme="minorEastAsia"/>
        </w:rPr>
        <w:t xml:space="preserve">t for </w:t>
      </w:r>
      <w:r w:rsidR="00E35C2C" w:rsidRPr="2DB09FEA">
        <w:rPr>
          <w:rFonts w:cs="Wingdings"/>
        </w:rPr>
        <w:t>lot 105: parcel no. 1 and 2</w:t>
      </w:r>
      <w:r w:rsidR="00821F22" w:rsidRPr="2DB09FEA">
        <w:rPr>
          <w:rFonts w:eastAsiaTheme="minorEastAsia" w:cs="Wingdings"/>
        </w:rPr>
        <w:t xml:space="preserve"> </w:t>
      </w:r>
      <w:r w:rsidR="00821F22" w:rsidRPr="2DB09FEA">
        <w:rPr>
          <w:rFonts w:eastAsiaTheme="minorEastAsia"/>
        </w:rPr>
        <w:t>of the Project Area</w:t>
      </w:r>
      <w:r w:rsidRPr="2DB09FEA">
        <w:rPr>
          <w:rFonts w:eastAsiaTheme="minorEastAsia"/>
        </w:rPr>
        <w:t>.</w:t>
      </w:r>
      <w:r w:rsidR="000E3A63" w:rsidRPr="2DB09FEA">
        <w:rPr>
          <w:rFonts w:eastAsiaTheme="minorEastAsia"/>
        </w:rPr>
        <w:t xml:space="preserve"> Bu</w:t>
      </w:r>
      <w:r w:rsidR="005839F0" w:rsidRPr="2DB09FEA">
        <w:rPr>
          <w:rFonts w:eastAsiaTheme="minorEastAsia"/>
        </w:rPr>
        <w:t>t</w:t>
      </w:r>
      <w:r w:rsidR="006B6A6A" w:rsidRPr="2DB09FEA">
        <w:rPr>
          <w:rFonts w:eastAsiaTheme="minorEastAsia"/>
        </w:rPr>
        <w:t>, d</w:t>
      </w:r>
      <w:r w:rsidR="00AD38A8" w:rsidRPr="2DB09FEA">
        <w:rPr>
          <w:rFonts w:eastAsiaTheme="minorEastAsia"/>
        </w:rPr>
        <w:t>uring the site visit of 2U1K</w:t>
      </w:r>
      <w:r w:rsidR="00BD7F9F" w:rsidRPr="2DB09FEA">
        <w:rPr>
          <w:rFonts w:eastAsiaTheme="minorEastAsia"/>
        </w:rPr>
        <w:t xml:space="preserve"> on </w:t>
      </w:r>
      <w:r w:rsidR="006B19B3" w:rsidRPr="2DB09FEA">
        <w:rPr>
          <w:rFonts w:eastAsiaTheme="minorEastAsia"/>
        </w:rPr>
        <w:t>the dates of 20 and 21 December 2022</w:t>
      </w:r>
      <w:r w:rsidR="00AD38A8" w:rsidRPr="2DB09FEA">
        <w:rPr>
          <w:rFonts w:eastAsiaTheme="minorEastAsia"/>
        </w:rPr>
        <w:t xml:space="preserve">, </w:t>
      </w:r>
      <w:r w:rsidR="008F4E35" w:rsidRPr="2DB09FEA">
        <w:rPr>
          <w:rFonts w:eastAsiaTheme="minorEastAsia"/>
        </w:rPr>
        <w:t>as</w:t>
      </w:r>
      <w:r w:rsidR="00AD38A8" w:rsidRPr="2DB09FEA">
        <w:rPr>
          <w:rFonts w:eastAsiaTheme="minorEastAsia"/>
        </w:rPr>
        <w:t xml:space="preserve"> the title deed </w:t>
      </w:r>
      <w:r w:rsidR="007E3974" w:rsidRPr="2DB09FEA">
        <w:rPr>
          <w:rFonts w:eastAsiaTheme="minorEastAsia"/>
        </w:rPr>
        <w:t>processes</w:t>
      </w:r>
      <w:r w:rsidR="00AD38A8" w:rsidRPr="2DB09FEA">
        <w:rPr>
          <w:rFonts w:eastAsiaTheme="minorEastAsia"/>
        </w:rPr>
        <w:t xml:space="preserve"> of </w:t>
      </w:r>
      <w:r w:rsidR="00864694" w:rsidRPr="2DB09FEA">
        <w:rPr>
          <w:rFonts w:eastAsiaTheme="minorEastAsia"/>
        </w:rPr>
        <w:t>the concerned area</w:t>
      </w:r>
      <w:r w:rsidR="00AD38A8" w:rsidRPr="2DB09FEA">
        <w:rPr>
          <w:rFonts w:eastAsiaTheme="minorEastAsia"/>
        </w:rPr>
        <w:t xml:space="preserve"> belonging to the Project </w:t>
      </w:r>
      <w:r w:rsidR="007E3974" w:rsidRPr="2DB09FEA">
        <w:rPr>
          <w:rFonts w:eastAsiaTheme="minorEastAsia"/>
        </w:rPr>
        <w:t xml:space="preserve">have </w:t>
      </w:r>
      <w:r w:rsidR="00AD38A8" w:rsidRPr="2DB09FEA">
        <w:rPr>
          <w:rFonts w:eastAsiaTheme="minorEastAsia"/>
        </w:rPr>
        <w:t xml:space="preserve">not </w:t>
      </w:r>
      <w:r w:rsidR="007E3974" w:rsidRPr="2DB09FEA">
        <w:rPr>
          <w:rFonts w:eastAsiaTheme="minorEastAsia"/>
        </w:rPr>
        <w:t>been</w:t>
      </w:r>
      <w:r w:rsidR="00AD38A8" w:rsidRPr="2DB09FEA">
        <w:rPr>
          <w:rFonts w:eastAsiaTheme="minorEastAsia"/>
        </w:rPr>
        <w:t xml:space="preserve"> completed yet, structures belonging to the gas station that was </w:t>
      </w:r>
      <w:r w:rsidR="00AA5983" w:rsidRPr="2DB09FEA">
        <w:rPr>
          <w:rFonts w:eastAsiaTheme="minorEastAsia"/>
        </w:rPr>
        <w:t xml:space="preserve">previously </w:t>
      </w:r>
      <w:r w:rsidR="00AD38A8" w:rsidRPr="2DB09FEA">
        <w:rPr>
          <w:rFonts w:eastAsiaTheme="minorEastAsia"/>
        </w:rPr>
        <w:t>operating in this area were observed</w:t>
      </w:r>
      <w:r w:rsidR="007434AC" w:rsidRPr="2DB09FEA">
        <w:rPr>
          <w:rFonts w:eastAsiaTheme="minorEastAsia"/>
        </w:rPr>
        <w:t xml:space="preserve"> (see</w:t>
      </w:r>
      <w:r w:rsidR="00AD3963" w:rsidRPr="2DB09FEA">
        <w:rPr>
          <w:rFonts w:eastAsiaTheme="minorEastAsia"/>
        </w:rPr>
        <w:t xml:space="preserve"> </w:t>
      </w:r>
      <w:r w:rsidRPr="2DB09FEA">
        <w:rPr>
          <w:rFonts w:eastAsiaTheme="minorEastAsia"/>
        </w:rPr>
        <w:fldChar w:fldCharType="begin"/>
      </w:r>
      <w:r w:rsidRPr="2DB09FEA">
        <w:rPr>
          <w:rFonts w:eastAsiaTheme="minorEastAsia"/>
        </w:rPr>
        <w:instrText xml:space="preserve"> REF _Ref136450218 \h </w:instrText>
      </w:r>
      <w:r w:rsidRPr="2DB09FEA">
        <w:rPr>
          <w:rFonts w:eastAsiaTheme="minorEastAsia"/>
        </w:rPr>
      </w:r>
      <w:r w:rsidRPr="2DB09FEA">
        <w:rPr>
          <w:rFonts w:eastAsiaTheme="minorEastAsia"/>
        </w:rPr>
        <w:fldChar w:fldCharType="separate"/>
      </w:r>
      <w:r w:rsidR="002368B5">
        <w:t>Figure 45</w:t>
      </w:r>
      <w:r w:rsidRPr="2DB09FEA">
        <w:rPr>
          <w:rFonts w:eastAsiaTheme="minorEastAsia"/>
        </w:rPr>
        <w:fldChar w:fldCharType="end"/>
      </w:r>
      <w:r w:rsidR="007434AC" w:rsidRPr="2DB09FEA">
        <w:rPr>
          <w:rFonts w:eastAsiaTheme="minorEastAsia"/>
        </w:rPr>
        <w:t>).</w:t>
      </w:r>
      <w:r w:rsidR="00E8089C">
        <w:t xml:space="preserve"> </w:t>
      </w:r>
      <w:r w:rsidR="00E8089C" w:rsidRPr="2DB09FEA">
        <w:rPr>
          <w:rFonts w:eastAsiaTheme="minorEastAsia"/>
        </w:rPr>
        <w:t>It has been learned that the repair and maintenance shop operated by the previous owner of this area was being used as a fuel filling location.</w:t>
      </w:r>
      <w:r w:rsidR="00792737" w:rsidRPr="2DB09FEA">
        <w:rPr>
          <w:rFonts w:eastAsiaTheme="minorEastAsia"/>
        </w:rPr>
        <w:t xml:space="preserve"> </w:t>
      </w:r>
      <w:r w:rsidR="002938D7" w:rsidRPr="2DB09FEA">
        <w:rPr>
          <w:rFonts w:eastAsiaTheme="minorEastAsia"/>
        </w:rPr>
        <w:t xml:space="preserve">As spot </w:t>
      </w:r>
      <w:r w:rsidR="00CD123B" w:rsidRPr="2DB09FEA">
        <w:rPr>
          <w:rFonts w:eastAsiaTheme="minorEastAsia"/>
        </w:rPr>
        <w:t>fuel and oil</w:t>
      </w:r>
      <w:r w:rsidR="002938D7" w:rsidRPr="2DB09FEA">
        <w:rPr>
          <w:rFonts w:eastAsiaTheme="minorEastAsia"/>
        </w:rPr>
        <w:t xml:space="preserve"> spills were observed</w:t>
      </w:r>
      <w:r w:rsidR="00771B11" w:rsidRPr="2DB09FEA">
        <w:rPr>
          <w:rFonts w:eastAsiaTheme="minorEastAsia"/>
        </w:rPr>
        <w:t xml:space="preserve"> visually</w:t>
      </w:r>
      <w:r w:rsidR="00DF4151" w:rsidRPr="2DB09FEA">
        <w:rPr>
          <w:rFonts w:eastAsiaTheme="minorEastAsia"/>
        </w:rPr>
        <w:t xml:space="preserve"> at relevant area</w:t>
      </w:r>
      <w:r w:rsidR="00792737" w:rsidRPr="2DB09FEA">
        <w:rPr>
          <w:rFonts w:eastAsiaTheme="minorEastAsia"/>
        </w:rPr>
        <w:t xml:space="preserve">, </w:t>
      </w:r>
      <w:r w:rsidR="008F736A">
        <w:rPr>
          <w:rFonts w:eastAsiaTheme="minorEastAsia"/>
        </w:rPr>
        <w:t>the TUIOSB will</w:t>
      </w:r>
      <w:r w:rsidR="00792737" w:rsidRPr="2DB09FEA">
        <w:rPr>
          <w:rFonts w:eastAsiaTheme="minorEastAsia"/>
        </w:rPr>
        <w:t xml:space="preserve"> take </w:t>
      </w:r>
      <w:r w:rsidR="00D677E3" w:rsidRPr="2DB09FEA">
        <w:rPr>
          <w:rFonts w:eastAsiaTheme="minorEastAsia"/>
        </w:rPr>
        <w:t xml:space="preserve">soil </w:t>
      </w:r>
      <w:r w:rsidR="00792737" w:rsidRPr="2DB09FEA">
        <w:rPr>
          <w:rFonts w:eastAsiaTheme="minorEastAsia"/>
        </w:rPr>
        <w:t xml:space="preserve">samples in the </w:t>
      </w:r>
      <w:r w:rsidR="006B1DAE" w:rsidRPr="2DB09FEA">
        <w:rPr>
          <w:rFonts w:eastAsiaTheme="minorEastAsia"/>
        </w:rPr>
        <w:t xml:space="preserve">concerned </w:t>
      </w:r>
      <w:r w:rsidR="00792737" w:rsidRPr="2DB09FEA">
        <w:rPr>
          <w:rFonts w:eastAsiaTheme="minorEastAsia"/>
        </w:rPr>
        <w:t xml:space="preserve">area to be able to </w:t>
      </w:r>
      <w:r w:rsidR="00526510" w:rsidRPr="2DB09FEA">
        <w:rPr>
          <w:rFonts w:eastAsiaTheme="minorEastAsia"/>
        </w:rPr>
        <w:t>assess</w:t>
      </w:r>
      <w:r w:rsidR="00792737" w:rsidRPr="2DB09FEA">
        <w:rPr>
          <w:rFonts w:eastAsiaTheme="minorEastAsia"/>
        </w:rPr>
        <w:t xml:space="preserve"> possible soil </w:t>
      </w:r>
      <w:r w:rsidR="00E8636D" w:rsidRPr="2DB09FEA">
        <w:rPr>
          <w:rFonts w:eastAsiaTheme="minorEastAsia"/>
        </w:rPr>
        <w:t>contamination</w:t>
      </w:r>
      <w:r w:rsidR="00EC4CB4" w:rsidRPr="2DB09FEA">
        <w:rPr>
          <w:rFonts w:eastAsiaTheme="minorEastAsia"/>
        </w:rPr>
        <w:t xml:space="preserve"> in accordance with Regulation on Control of Soil Pollution and Point Source Contaminated Lands</w:t>
      </w:r>
      <w:r w:rsidR="00792737" w:rsidRPr="2DB09FEA">
        <w:rPr>
          <w:rFonts w:eastAsiaTheme="minorEastAsia"/>
        </w:rPr>
        <w:t>.</w:t>
      </w:r>
      <w:r w:rsidR="00357658">
        <w:t xml:space="preserve"> </w:t>
      </w:r>
      <w:r w:rsidR="00357658" w:rsidRPr="2DB09FEA">
        <w:rPr>
          <w:rFonts w:eastAsiaTheme="minorEastAsia"/>
        </w:rPr>
        <w:t xml:space="preserve">If soil </w:t>
      </w:r>
      <w:r w:rsidR="00E8636D" w:rsidRPr="2DB09FEA">
        <w:rPr>
          <w:rFonts w:eastAsiaTheme="minorEastAsia"/>
        </w:rPr>
        <w:t>contamination</w:t>
      </w:r>
      <w:r w:rsidR="00357658" w:rsidRPr="2DB09FEA">
        <w:rPr>
          <w:rFonts w:eastAsiaTheme="minorEastAsia"/>
        </w:rPr>
        <w:t xml:space="preserve"> is detected at the </w:t>
      </w:r>
      <w:r w:rsidR="006F4AD0" w:rsidRPr="2DB09FEA">
        <w:rPr>
          <w:rFonts w:eastAsiaTheme="minorEastAsia"/>
        </w:rPr>
        <w:t>area</w:t>
      </w:r>
      <w:r w:rsidR="00357658" w:rsidRPr="2DB09FEA">
        <w:rPr>
          <w:rFonts w:eastAsiaTheme="minorEastAsia"/>
        </w:rPr>
        <w:t xml:space="preserve">, </w:t>
      </w:r>
      <w:r w:rsidR="00073974" w:rsidRPr="2DB09FEA">
        <w:rPr>
          <w:rFonts w:eastAsiaTheme="minorEastAsia"/>
        </w:rPr>
        <w:t xml:space="preserve">ground levelling works within the area will only be started </w:t>
      </w:r>
      <w:r w:rsidR="008F736A">
        <w:rPr>
          <w:rFonts w:eastAsiaTheme="minorEastAsia"/>
        </w:rPr>
        <w:t xml:space="preserve">by the contactor </w:t>
      </w:r>
      <w:r w:rsidR="00073974" w:rsidRPr="2DB09FEA">
        <w:rPr>
          <w:rFonts w:eastAsiaTheme="minorEastAsia"/>
        </w:rPr>
        <w:t xml:space="preserve">after the </w:t>
      </w:r>
      <w:r w:rsidR="00357658" w:rsidRPr="2DB09FEA">
        <w:rPr>
          <w:rFonts w:eastAsiaTheme="minorEastAsia"/>
        </w:rPr>
        <w:t xml:space="preserve">rehabilitation </w:t>
      </w:r>
      <w:r w:rsidR="002A1858" w:rsidRPr="2DB09FEA">
        <w:rPr>
          <w:rFonts w:eastAsiaTheme="minorEastAsia"/>
        </w:rPr>
        <w:t xml:space="preserve">of the </w:t>
      </w:r>
      <w:r w:rsidR="00073974" w:rsidRPr="2DB09FEA">
        <w:rPr>
          <w:rFonts w:eastAsiaTheme="minorEastAsia"/>
        </w:rPr>
        <w:t>area in line with</w:t>
      </w:r>
      <w:r w:rsidR="00357658" w:rsidRPr="2DB09FEA">
        <w:rPr>
          <w:rFonts w:eastAsiaTheme="minorEastAsia"/>
        </w:rPr>
        <w:t xml:space="preserve"> the relevant regulation.</w:t>
      </w:r>
    </w:p>
    <w:p w14:paraId="2E81D2F6" w14:textId="77777777" w:rsidR="00757092" w:rsidRPr="00EE43C6" w:rsidRDefault="00757092">
      <w:pPr>
        <w:spacing w:before="0" w:after="200" w:line="276" w:lineRule="auto"/>
        <w:jc w:val="left"/>
        <w:rPr>
          <w:rFonts w:eastAsiaTheme="minorHAnsi"/>
        </w:rPr>
      </w:pPr>
      <w:r w:rsidRPr="00EE43C6">
        <w:rPr>
          <w:rFonts w:eastAsiaTheme="minorHAnsi"/>
        </w:rPr>
        <w:br w:type="page"/>
      </w:r>
    </w:p>
    <w:p w14:paraId="7F06188E" w14:textId="77777777" w:rsidR="00AD38A8" w:rsidRPr="00EE43C6" w:rsidRDefault="00AD38A8" w:rsidP="008A06F7">
      <w:pPr>
        <w:spacing w:line="288" w:lineRule="auto"/>
        <w:rPr>
          <w:rFonts w:eastAsia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757092" w:rsidRPr="00EE43C6" w14:paraId="6132EF16" w14:textId="77777777" w:rsidTr="00381153">
        <w:tc>
          <w:tcPr>
            <w:tcW w:w="4532" w:type="dxa"/>
          </w:tcPr>
          <w:p w14:paraId="7712DE41" w14:textId="42D69987" w:rsidR="007434AC" w:rsidRPr="00EE43C6" w:rsidRDefault="007434AC" w:rsidP="000A7590">
            <w:pPr>
              <w:spacing w:before="0" w:after="0" w:line="288" w:lineRule="auto"/>
              <w:rPr>
                <w:rFonts w:eastAsiaTheme="minorHAnsi"/>
                <w14:textOutline w14:w="38100" w14:cap="rnd" w14:cmpd="sng" w14:algn="ctr">
                  <w14:solidFill>
                    <w14:schemeClr w14:val="tx1"/>
                  </w14:solidFill>
                  <w14:prstDash w14:val="solid"/>
                  <w14:bevel/>
                </w14:textOutline>
              </w:rPr>
            </w:pPr>
            <w:r w:rsidRPr="00EE43C6">
              <w:rPr>
                <w:rFonts w:eastAsiaTheme="minorHAnsi"/>
                <w:noProof/>
                <w14:textOutline w14:w="38100" w14:cap="rnd" w14:cmpd="sng" w14:algn="ctr">
                  <w14:solidFill>
                    <w14:schemeClr w14:val="tx1"/>
                  </w14:solidFill>
                  <w14:prstDash w14:val="solid"/>
                  <w14:bevel/>
                </w14:textOutline>
              </w:rPr>
              <w:drawing>
                <wp:inline distT="0" distB="0" distL="0" distR="0" wp14:anchorId="3DCC9581" wp14:editId="6DB22AB4">
                  <wp:extent cx="2880000" cy="216000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5" cstate="screen">
                            <a:extLst>
                              <a:ext uri="{28A0092B-C50C-407E-A947-70E740481C1C}">
                                <a14:useLocalDpi xmlns:a14="http://schemas.microsoft.com/office/drawing/2010/main"/>
                              </a:ext>
                            </a:extLst>
                          </a:blip>
                          <a:stretch>
                            <a:fillRect/>
                          </a:stretch>
                        </pic:blipFill>
                        <pic:spPr>
                          <a:xfrm>
                            <a:off x="0" y="0"/>
                            <a:ext cx="2880000" cy="2160000"/>
                          </a:xfrm>
                          <a:prstGeom prst="rect">
                            <a:avLst/>
                          </a:prstGeom>
                          <a:ln>
                            <a:noFill/>
                          </a:ln>
                        </pic:spPr>
                      </pic:pic>
                    </a:graphicData>
                  </a:graphic>
                </wp:inline>
              </w:drawing>
            </w:r>
          </w:p>
        </w:tc>
        <w:tc>
          <w:tcPr>
            <w:tcW w:w="4532" w:type="dxa"/>
          </w:tcPr>
          <w:p w14:paraId="29E56A7C" w14:textId="489365B2" w:rsidR="007434AC" w:rsidRPr="00EE43C6" w:rsidRDefault="00776B36" w:rsidP="000A7590">
            <w:pPr>
              <w:spacing w:before="0" w:after="0" w:line="288" w:lineRule="auto"/>
              <w:rPr>
                <w:rFonts w:eastAsiaTheme="minorHAnsi"/>
                <w14:textOutline w14:w="38100" w14:cap="rnd" w14:cmpd="sng" w14:algn="ctr">
                  <w14:solidFill>
                    <w14:schemeClr w14:val="tx1"/>
                  </w14:solidFill>
                  <w14:prstDash w14:val="solid"/>
                  <w14:bevel/>
                </w14:textOutline>
              </w:rPr>
            </w:pPr>
            <w:r w:rsidRPr="00EE43C6">
              <w:rPr>
                <w:rFonts w:eastAsiaTheme="minorHAnsi"/>
                <w:noProof/>
                <w14:textOutline w14:w="38100" w14:cap="rnd" w14:cmpd="sng" w14:algn="ctr">
                  <w14:solidFill>
                    <w14:schemeClr w14:val="tx1"/>
                  </w14:solidFill>
                  <w14:prstDash w14:val="solid"/>
                  <w14:bevel/>
                </w14:textOutline>
              </w:rPr>
              <w:drawing>
                <wp:inline distT="0" distB="0" distL="0" distR="0" wp14:anchorId="59B1364E" wp14:editId="1E369AE0">
                  <wp:extent cx="2880000" cy="2160000"/>
                  <wp:effectExtent l="0" t="0" r="0" b="0"/>
                  <wp:docPr id="79" name="Resim 79" descr="A picture containing outdoor, sky,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outdoor, sky, ground, dirt&#10;&#10;Description automatically generated"/>
                          <pic:cNvPicPr/>
                        </pic:nvPicPr>
                        <pic:blipFill>
                          <a:blip r:embed="rId46" cstate="screen">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tc>
      </w:tr>
      <w:tr w:rsidR="00757092" w:rsidRPr="00EE43C6" w14:paraId="684EC33D" w14:textId="77777777" w:rsidTr="00381153">
        <w:tc>
          <w:tcPr>
            <w:tcW w:w="4532" w:type="dxa"/>
          </w:tcPr>
          <w:p w14:paraId="7A0B093D" w14:textId="5BDEE567" w:rsidR="007434AC" w:rsidRPr="00EE43C6" w:rsidRDefault="000A7590" w:rsidP="000A7590">
            <w:pPr>
              <w:spacing w:before="0" w:after="0" w:line="288" w:lineRule="auto"/>
              <w:rPr>
                <w:rFonts w:eastAsiaTheme="minorHAnsi"/>
                <w14:textOutline w14:w="38100" w14:cap="rnd" w14:cmpd="sng" w14:algn="ctr">
                  <w14:solidFill>
                    <w14:schemeClr w14:val="tx1"/>
                  </w14:solidFill>
                  <w14:prstDash w14:val="solid"/>
                  <w14:bevel/>
                </w14:textOutline>
              </w:rPr>
            </w:pPr>
            <w:r w:rsidRPr="00EE43C6">
              <w:rPr>
                <w:rFonts w:eastAsiaTheme="minorHAnsi"/>
                <w:noProof/>
                <w14:textOutline w14:w="38100" w14:cap="rnd" w14:cmpd="sng" w14:algn="ctr">
                  <w14:solidFill>
                    <w14:schemeClr w14:val="tx1"/>
                  </w14:solidFill>
                  <w14:prstDash w14:val="solid"/>
                  <w14:bevel/>
                </w14:textOutline>
              </w:rPr>
              <w:drawing>
                <wp:inline distT="0" distB="0" distL="0" distR="0" wp14:anchorId="1113880C" wp14:editId="597FFDC0">
                  <wp:extent cx="2880000" cy="2160000"/>
                  <wp:effectExtent l="0" t="0" r="0" b="0"/>
                  <wp:docPr id="80" name="Resim 80" descr="A picture containing sky, outdoor, truck,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sky, outdoor, truck, outdoor object&#10;&#10;Description automatically generated"/>
                          <pic:cNvPicPr/>
                        </pic:nvPicPr>
                        <pic:blipFill>
                          <a:blip r:embed="rId47" cstate="screen">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tc>
        <w:tc>
          <w:tcPr>
            <w:tcW w:w="4532" w:type="dxa"/>
          </w:tcPr>
          <w:p w14:paraId="146E58BB" w14:textId="7BB5D43E" w:rsidR="007434AC" w:rsidRPr="00EE43C6" w:rsidRDefault="004F64B7" w:rsidP="000A7590">
            <w:pPr>
              <w:spacing w:before="0" w:after="0" w:line="288" w:lineRule="auto"/>
              <w:rPr>
                <w:rFonts w:eastAsiaTheme="minorHAnsi"/>
                <w14:textOutline w14:w="38100" w14:cap="rnd" w14:cmpd="sng" w14:algn="ctr">
                  <w14:solidFill>
                    <w14:schemeClr w14:val="tx1"/>
                  </w14:solidFill>
                  <w14:prstDash w14:val="solid"/>
                  <w14:bevel/>
                </w14:textOutline>
              </w:rPr>
            </w:pPr>
            <w:r w:rsidRPr="00EE43C6">
              <w:rPr>
                <w:rFonts w:eastAsiaTheme="minorHAnsi"/>
                <w:noProof/>
                <w14:textOutline w14:w="38100" w14:cap="rnd" w14:cmpd="sng" w14:algn="ctr">
                  <w14:solidFill>
                    <w14:schemeClr w14:val="tx1"/>
                  </w14:solidFill>
                  <w14:prstDash w14:val="solid"/>
                  <w14:bevel/>
                </w14:textOutline>
              </w:rPr>
              <w:drawing>
                <wp:inline distT="0" distB="0" distL="0" distR="0" wp14:anchorId="099C4896" wp14:editId="7B7BDAA6">
                  <wp:extent cx="2880000" cy="2160000"/>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8" cstate="screen">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tc>
      </w:tr>
    </w:tbl>
    <w:p w14:paraId="4A3BC120" w14:textId="6468D89E" w:rsidR="007434AC" w:rsidRPr="00EE43C6" w:rsidRDefault="00AA5983" w:rsidP="00AA5983">
      <w:pPr>
        <w:pStyle w:val="Caption"/>
        <w:rPr>
          <w:rFonts w:eastAsiaTheme="minorHAnsi"/>
          <w:b w:val="0"/>
          <w:bCs w:val="0"/>
          <w:noProof w:val="0"/>
          <w:color w:val="auto"/>
        </w:rPr>
      </w:pPr>
      <w:bookmarkStart w:id="259" w:name="_Ref136450218"/>
      <w:bookmarkStart w:id="260" w:name="_Ref125540205"/>
      <w:bookmarkStart w:id="261" w:name="_Toc141445564"/>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4</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2334B">
        <w:rPr>
          <w:color w:val="00B050"/>
        </w:rPr>
        <w:t>5</w:t>
      </w:r>
      <w:r w:rsidR="0096150F">
        <w:rPr>
          <w:noProof w:val="0"/>
          <w:color w:val="00B050"/>
        </w:rPr>
        <w:fldChar w:fldCharType="end"/>
      </w:r>
      <w:bookmarkEnd w:id="259"/>
      <w:bookmarkEnd w:id="260"/>
      <w:r w:rsidRPr="00EE43C6">
        <w:rPr>
          <w:noProof w:val="0"/>
          <w:color w:val="00B050"/>
        </w:rPr>
        <w:t xml:space="preserve">. </w:t>
      </w:r>
      <w:r w:rsidR="00E35DA3" w:rsidRPr="00EE43C6">
        <w:rPr>
          <w:rFonts w:eastAsiaTheme="minorHAnsi"/>
          <w:b w:val="0"/>
          <w:bCs w:val="0"/>
          <w:noProof w:val="0"/>
          <w:color w:val="auto"/>
        </w:rPr>
        <w:t>S</w:t>
      </w:r>
      <w:r w:rsidR="00381153" w:rsidRPr="00EE43C6">
        <w:rPr>
          <w:rFonts w:eastAsiaTheme="minorHAnsi"/>
          <w:b w:val="0"/>
          <w:bCs w:val="0"/>
          <w:noProof w:val="0"/>
          <w:color w:val="auto"/>
        </w:rPr>
        <w:t xml:space="preserve">tructures </w:t>
      </w:r>
      <w:r w:rsidR="00084650" w:rsidRPr="00EE43C6">
        <w:rPr>
          <w:rFonts w:eastAsiaTheme="minorHAnsi"/>
          <w:b w:val="0"/>
          <w:bCs w:val="0"/>
          <w:noProof w:val="0"/>
          <w:color w:val="auto"/>
        </w:rPr>
        <w:t>of</w:t>
      </w:r>
      <w:r w:rsidR="00381153" w:rsidRPr="00EE43C6">
        <w:rPr>
          <w:rFonts w:eastAsiaTheme="minorHAnsi"/>
          <w:b w:val="0"/>
          <w:bCs w:val="0"/>
          <w:noProof w:val="0"/>
          <w:color w:val="auto"/>
        </w:rPr>
        <w:t xml:space="preserve"> the </w:t>
      </w:r>
      <w:r w:rsidR="00084650" w:rsidRPr="00EE43C6">
        <w:rPr>
          <w:rFonts w:eastAsiaTheme="minorHAnsi"/>
          <w:b w:val="0"/>
          <w:bCs w:val="0"/>
          <w:noProof w:val="0"/>
          <w:color w:val="auto"/>
        </w:rPr>
        <w:t xml:space="preserve">Previously </w:t>
      </w:r>
      <w:r w:rsidR="00D02B3B" w:rsidRPr="00EE43C6">
        <w:rPr>
          <w:rFonts w:eastAsiaTheme="minorHAnsi"/>
          <w:b w:val="0"/>
          <w:bCs w:val="0"/>
          <w:noProof w:val="0"/>
          <w:color w:val="auto"/>
        </w:rPr>
        <w:t>Operating</w:t>
      </w:r>
      <w:r w:rsidR="00084650" w:rsidRPr="00EE43C6">
        <w:rPr>
          <w:rFonts w:eastAsiaTheme="minorHAnsi"/>
          <w:b w:val="0"/>
          <w:bCs w:val="0"/>
          <w:noProof w:val="0"/>
          <w:color w:val="auto"/>
        </w:rPr>
        <w:t xml:space="preserve"> </w:t>
      </w:r>
      <w:r w:rsidR="00E35DA3" w:rsidRPr="00EE43C6">
        <w:rPr>
          <w:rFonts w:eastAsiaTheme="minorHAnsi"/>
          <w:b w:val="0"/>
          <w:bCs w:val="0"/>
          <w:noProof w:val="0"/>
          <w:color w:val="auto"/>
        </w:rPr>
        <w:t>G</w:t>
      </w:r>
      <w:r w:rsidR="00381153" w:rsidRPr="00EE43C6">
        <w:rPr>
          <w:rFonts w:eastAsiaTheme="minorHAnsi"/>
          <w:b w:val="0"/>
          <w:bCs w:val="0"/>
          <w:noProof w:val="0"/>
          <w:color w:val="auto"/>
        </w:rPr>
        <w:t xml:space="preserve">as </w:t>
      </w:r>
      <w:r w:rsidR="00E35DA3" w:rsidRPr="00EE43C6">
        <w:rPr>
          <w:rFonts w:eastAsiaTheme="minorHAnsi"/>
          <w:b w:val="0"/>
          <w:bCs w:val="0"/>
          <w:noProof w:val="0"/>
          <w:color w:val="auto"/>
        </w:rPr>
        <w:t>S</w:t>
      </w:r>
      <w:r w:rsidR="00381153" w:rsidRPr="00EE43C6">
        <w:rPr>
          <w:rFonts w:eastAsiaTheme="minorHAnsi"/>
          <w:b w:val="0"/>
          <w:bCs w:val="0"/>
          <w:noProof w:val="0"/>
          <w:color w:val="auto"/>
        </w:rPr>
        <w:t>tation</w:t>
      </w:r>
      <w:r w:rsidR="00E35DA3" w:rsidRPr="00EE43C6">
        <w:rPr>
          <w:rFonts w:eastAsiaTheme="minorHAnsi"/>
          <w:b w:val="0"/>
          <w:bCs w:val="0"/>
          <w:noProof w:val="0"/>
          <w:color w:val="auto"/>
        </w:rPr>
        <w:t xml:space="preserve"> in </w:t>
      </w:r>
      <w:r w:rsidR="008F4E35" w:rsidRPr="00EE43C6">
        <w:rPr>
          <w:rFonts w:eastAsiaTheme="minorHAnsi"/>
          <w:b w:val="0"/>
          <w:bCs w:val="0"/>
          <w:noProof w:val="0"/>
          <w:color w:val="auto"/>
        </w:rPr>
        <w:t>L</w:t>
      </w:r>
      <w:r w:rsidR="00E35DA3" w:rsidRPr="00EE43C6">
        <w:rPr>
          <w:rFonts w:eastAsiaTheme="minorHAnsi"/>
          <w:b w:val="0"/>
          <w:bCs w:val="0"/>
          <w:noProof w:val="0"/>
          <w:color w:val="auto"/>
        </w:rPr>
        <w:t>ot 105</w:t>
      </w:r>
      <w:r w:rsidR="004D3169" w:rsidRPr="00EE43C6">
        <w:rPr>
          <w:rFonts w:eastAsiaTheme="minorHAnsi"/>
          <w:b w:val="0"/>
          <w:bCs w:val="0"/>
          <w:noProof w:val="0"/>
          <w:color w:val="auto"/>
        </w:rPr>
        <w:t>: Parcel no. 1 and 2</w:t>
      </w:r>
      <w:r w:rsidR="00E35DA3" w:rsidRPr="00EE43C6">
        <w:rPr>
          <w:rFonts w:eastAsiaTheme="minorHAnsi"/>
          <w:b w:val="0"/>
          <w:bCs w:val="0"/>
          <w:noProof w:val="0"/>
          <w:color w:val="auto"/>
        </w:rPr>
        <w:t xml:space="preserve"> of the Project Area</w:t>
      </w:r>
      <w:bookmarkEnd w:id="261"/>
    </w:p>
    <w:p w14:paraId="630A98C2" w14:textId="20BC2977" w:rsidR="00097FF6" w:rsidRPr="00EE43C6" w:rsidRDefault="00753102" w:rsidP="000F64E1">
      <w:pPr>
        <w:rPr>
          <w:rFonts w:eastAsiaTheme="minorHAnsi"/>
          <w:lang w:eastAsia="en-US"/>
        </w:rPr>
      </w:pPr>
      <w:r w:rsidRPr="00EE43C6">
        <w:rPr>
          <w:rFonts w:eastAsiaTheme="minorHAnsi"/>
          <w:lang w:eastAsia="en-US"/>
        </w:rPr>
        <w:t>In terms of soil quality, i</w:t>
      </w:r>
      <w:r w:rsidR="0060495F" w:rsidRPr="00EE43C6">
        <w:rPr>
          <w:rFonts w:eastAsiaTheme="minorHAnsi"/>
          <w:lang w:eastAsia="en-US"/>
        </w:rPr>
        <w:t>n</w:t>
      </w:r>
      <w:r w:rsidR="00097FF6" w:rsidRPr="00EE43C6">
        <w:rPr>
          <w:rFonts w:eastAsiaTheme="minorHAnsi"/>
          <w:lang w:eastAsia="en-US"/>
        </w:rPr>
        <w:t xml:space="preserve"> addition to the </w:t>
      </w:r>
      <w:r w:rsidR="0060495F" w:rsidRPr="00EE43C6">
        <w:rPr>
          <w:rFonts w:eastAsiaTheme="minorHAnsi"/>
          <w:lang w:eastAsia="en-US"/>
        </w:rPr>
        <w:t>presence</w:t>
      </w:r>
      <w:r w:rsidR="00097FF6" w:rsidRPr="00EE43C6">
        <w:rPr>
          <w:rFonts w:eastAsiaTheme="minorHAnsi"/>
          <w:lang w:eastAsia="en-US"/>
        </w:rPr>
        <w:t xml:space="preserve"> of </w:t>
      </w:r>
      <w:r w:rsidR="0060495F" w:rsidRPr="00EE43C6">
        <w:rPr>
          <w:rFonts w:eastAsiaTheme="minorHAnsi"/>
          <w:lang w:eastAsia="en-US"/>
        </w:rPr>
        <w:t xml:space="preserve">inert wastes from the </w:t>
      </w:r>
      <w:r w:rsidR="00097FF6" w:rsidRPr="00EE43C6">
        <w:rPr>
          <w:rFonts w:eastAsiaTheme="minorHAnsi"/>
          <w:lang w:eastAsia="en-US"/>
        </w:rPr>
        <w:t xml:space="preserve">buildings to be demolished in this </w:t>
      </w:r>
      <w:r w:rsidR="0060495F" w:rsidRPr="00EE43C6">
        <w:rPr>
          <w:rFonts w:eastAsiaTheme="minorHAnsi"/>
          <w:lang w:eastAsia="en-US"/>
        </w:rPr>
        <w:t>relevant</w:t>
      </w:r>
      <w:r w:rsidR="00097FF6" w:rsidRPr="00EE43C6">
        <w:rPr>
          <w:rFonts w:eastAsiaTheme="minorHAnsi"/>
          <w:lang w:eastAsia="en-US"/>
        </w:rPr>
        <w:t xml:space="preserve"> area, there are </w:t>
      </w:r>
      <w:r w:rsidR="00387752" w:rsidRPr="00EE43C6">
        <w:rPr>
          <w:rFonts w:eastAsiaTheme="minorHAnsi"/>
          <w:lang w:eastAsia="en-US"/>
        </w:rPr>
        <w:t xml:space="preserve">other non-hazardous and </w:t>
      </w:r>
      <w:r w:rsidR="00AF5127" w:rsidRPr="00EE43C6">
        <w:rPr>
          <w:rFonts w:eastAsiaTheme="minorHAnsi"/>
          <w:lang w:eastAsia="en-US"/>
        </w:rPr>
        <w:t xml:space="preserve">hazardous </w:t>
      </w:r>
      <w:r w:rsidR="00097FF6" w:rsidRPr="00EE43C6">
        <w:rPr>
          <w:rFonts w:eastAsiaTheme="minorHAnsi"/>
          <w:lang w:eastAsia="en-US"/>
        </w:rPr>
        <w:t xml:space="preserve">wastes </w:t>
      </w:r>
      <w:r w:rsidR="005B3CF7" w:rsidRPr="00EE43C6">
        <w:rPr>
          <w:rFonts w:eastAsiaTheme="minorHAnsi"/>
          <w:lang w:eastAsia="en-US"/>
        </w:rPr>
        <w:t xml:space="preserve">left </w:t>
      </w:r>
      <w:r w:rsidR="0060495F" w:rsidRPr="00EE43C6">
        <w:rPr>
          <w:rFonts w:eastAsiaTheme="minorHAnsi"/>
          <w:lang w:eastAsia="en-US"/>
        </w:rPr>
        <w:t xml:space="preserve">in the area that </w:t>
      </w:r>
      <w:r w:rsidR="005917A9" w:rsidRPr="00EE43C6">
        <w:rPr>
          <w:rFonts w:eastAsiaTheme="minorHAnsi"/>
          <w:lang w:eastAsia="en-US"/>
        </w:rPr>
        <w:t>should</w:t>
      </w:r>
      <w:r w:rsidR="0060495F" w:rsidRPr="00EE43C6">
        <w:rPr>
          <w:rFonts w:eastAsiaTheme="minorHAnsi"/>
          <w:lang w:eastAsia="en-US"/>
        </w:rPr>
        <w:t xml:space="preserve"> </w:t>
      </w:r>
      <w:r w:rsidR="00097FF6" w:rsidRPr="00EE43C6">
        <w:rPr>
          <w:rFonts w:eastAsiaTheme="minorHAnsi"/>
          <w:lang w:eastAsia="en-US"/>
        </w:rPr>
        <w:t xml:space="preserve">be disposed </w:t>
      </w:r>
      <w:r w:rsidR="00C977CA" w:rsidRPr="00EE43C6">
        <w:rPr>
          <w:rFonts w:eastAsiaTheme="minorHAnsi"/>
          <w:lang w:eastAsia="en-US"/>
        </w:rPr>
        <w:t>in accordance with</w:t>
      </w:r>
      <w:r w:rsidR="0060495F" w:rsidRPr="00EE43C6">
        <w:rPr>
          <w:rFonts w:eastAsiaTheme="minorHAnsi"/>
          <w:lang w:eastAsia="en-US"/>
        </w:rPr>
        <w:t xml:space="preserve"> the </w:t>
      </w:r>
      <w:r w:rsidR="005A6B9A" w:rsidRPr="00EE43C6">
        <w:rPr>
          <w:rFonts w:eastAsiaTheme="minorHAnsi"/>
          <w:lang w:eastAsia="en-US"/>
        </w:rPr>
        <w:t xml:space="preserve">national </w:t>
      </w:r>
      <w:r w:rsidR="00B00F87" w:rsidRPr="00EE43C6">
        <w:rPr>
          <w:rFonts w:eastAsiaTheme="minorHAnsi"/>
          <w:lang w:eastAsia="en-US"/>
        </w:rPr>
        <w:t>legislation</w:t>
      </w:r>
      <w:r w:rsidR="00097FF6" w:rsidRPr="00EE43C6">
        <w:rPr>
          <w:rFonts w:eastAsiaTheme="minorHAnsi"/>
          <w:lang w:eastAsia="en-US"/>
        </w:rPr>
        <w:t>.</w:t>
      </w:r>
    </w:p>
    <w:p w14:paraId="403670C0" w14:textId="608002A6" w:rsidR="00840F08" w:rsidRPr="00EE43C6" w:rsidRDefault="00840F08" w:rsidP="000F64E1">
      <w:pPr>
        <w:rPr>
          <w:rFonts w:eastAsiaTheme="minorHAnsi"/>
          <w:lang w:eastAsia="en-US"/>
        </w:rPr>
      </w:pPr>
      <w:r w:rsidRPr="00EE43C6">
        <w:rPr>
          <w:rFonts w:eastAsiaTheme="minorHAnsi"/>
          <w:lang w:eastAsia="en-US"/>
        </w:rPr>
        <w:t xml:space="preserve">On the other hand, </w:t>
      </w:r>
      <w:r w:rsidR="00324E68" w:rsidRPr="00EE43C6">
        <w:rPr>
          <w:rFonts w:eastAsiaTheme="minorHAnsi"/>
          <w:lang w:eastAsia="en-US"/>
        </w:rPr>
        <w:t>p</w:t>
      </w:r>
      <w:r w:rsidR="00ED042A" w:rsidRPr="00EE43C6">
        <w:rPr>
          <w:rFonts w:eastAsiaTheme="minorHAnsi"/>
          <w:lang w:eastAsia="en-US"/>
        </w:rPr>
        <w:t>roject representatives</w:t>
      </w:r>
      <w:r w:rsidR="00CF5123" w:rsidRPr="00EE43C6">
        <w:rPr>
          <w:rFonts w:eastAsiaTheme="minorHAnsi"/>
          <w:lang w:eastAsia="en-US"/>
        </w:rPr>
        <w:t xml:space="preserve"> stated that the stripped topsoil was carried to the </w:t>
      </w:r>
      <w:r w:rsidR="00CC16B7">
        <w:rPr>
          <w:rFonts w:eastAsiaTheme="minorHAnsi"/>
          <w:lang w:eastAsia="en-US"/>
        </w:rPr>
        <w:t xml:space="preserve">section of </w:t>
      </w:r>
      <w:r w:rsidR="00CF5123" w:rsidRPr="00EE43C6">
        <w:rPr>
          <w:rFonts w:eastAsiaTheme="minorHAnsi"/>
          <w:lang w:eastAsia="en-US"/>
        </w:rPr>
        <w:t xml:space="preserve">the </w:t>
      </w:r>
      <w:r w:rsidR="00215685" w:rsidRPr="00EE43C6">
        <w:rPr>
          <w:rFonts w:eastAsiaTheme="minorHAnsi"/>
          <w:lang w:eastAsia="en-US"/>
        </w:rPr>
        <w:t>P</w:t>
      </w:r>
      <w:r w:rsidR="00CF5123" w:rsidRPr="00EE43C6">
        <w:rPr>
          <w:rFonts w:eastAsiaTheme="minorHAnsi"/>
          <w:lang w:eastAsia="en-US"/>
        </w:rPr>
        <w:t xml:space="preserve">roject </w:t>
      </w:r>
      <w:r w:rsidR="00215685" w:rsidRPr="00EE43C6">
        <w:rPr>
          <w:rFonts w:eastAsiaTheme="minorHAnsi"/>
          <w:lang w:eastAsia="en-US"/>
        </w:rPr>
        <w:t>A</w:t>
      </w:r>
      <w:r w:rsidR="00CF5123" w:rsidRPr="00EE43C6">
        <w:rPr>
          <w:rFonts w:eastAsiaTheme="minorHAnsi"/>
          <w:lang w:eastAsia="en-US"/>
        </w:rPr>
        <w:t xml:space="preserve">rea allocated for afforestation </w:t>
      </w:r>
      <w:r w:rsidR="005A34BA" w:rsidRPr="00EE43C6">
        <w:rPr>
          <w:rFonts w:eastAsiaTheme="minorHAnsi"/>
          <w:lang w:eastAsia="en-US"/>
        </w:rPr>
        <w:t>(see</w:t>
      </w:r>
      <w:r w:rsidR="00AC4FAC">
        <w:rPr>
          <w:rFonts w:eastAsiaTheme="minorHAnsi"/>
          <w:lang w:eastAsia="en-US"/>
        </w:rPr>
        <w:t xml:space="preserve"> </w:t>
      </w:r>
      <w:r w:rsidR="00AC4FAC" w:rsidRPr="00AC4FAC">
        <w:rPr>
          <w:rFonts w:eastAsiaTheme="minorHAnsi"/>
          <w:lang w:eastAsia="en-US"/>
        </w:rPr>
        <w:fldChar w:fldCharType="begin"/>
      </w:r>
      <w:r w:rsidR="00AC4FAC" w:rsidRPr="00AC4FAC">
        <w:rPr>
          <w:rFonts w:eastAsiaTheme="minorHAnsi"/>
          <w:lang w:eastAsia="en-US"/>
        </w:rPr>
        <w:instrText xml:space="preserve"> REF _Ref136450334 \h </w:instrText>
      </w:r>
      <w:r w:rsidR="00AC4FAC" w:rsidRPr="00AC4FAC">
        <w:rPr>
          <w:rFonts w:eastAsiaTheme="minorHAnsi"/>
          <w:lang w:eastAsia="en-US"/>
        </w:rPr>
      </w:r>
      <w:r w:rsidR="00AC4FAC" w:rsidRPr="00AC4FAC">
        <w:rPr>
          <w:rFonts w:eastAsiaTheme="minorHAnsi"/>
          <w:lang w:eastAsia="en-US"/>
        </w:rPr>
        <w:fldChar w:fldCharType="separate"/>
      </w:r>
      <w:r w:rsidR="00AC4FAC" w:rsidRPr="00AC4FAC">
        <w:t>Figure 4</w:t>
      </w:r>
      <w:r w:rsidR="00AC4FAC" w:rsidRPr="00AC4FAC">
        <w:noBreakHyphen/>
        <w:t>6</w:t>
      </w:r>
      <w:r w:rsidR="00AC4FAC" w:rsidRPr="00AC4FAC">
        <w:rPr>
          <w:rFonts w:eastAsiaTheme="minorHAnsi"/>
          <w:lang w:eastAsia="en-US"/>
        </w:rPr>
        <w:fldChar w:fldCharType="end"/>
      </w:r>
      <w:r w:rsidR="005A34BA" w:rsidRPr="00EE43C6">
        <w:rPr>
          <w:rFonts w:eastAsiaTheme="minorHAnsi"/>
          <w:lang w:eastAsia="en-US"/>
        </w:rPr>
        <w:t>)</w:t>
      </w:r>
      <w:r w:rsidR="00CF5123" w:rsidRPr="00EE43C6">
        <w:rPr>
          <w:rFonts w:eastAsiaTheme="minorHAnsi"/>
          <w:lang w:eastAsia="en-US"/>
        </w:rPr>
        <w:t>.</w:t>
      </w:r>
    </w:p>
    <w:p w14:paraId="4E80CD39" w14:textId="54450F99" w:rsidR="00A01B11" w:rsidRPr="00EE43C6" w:rsidRDefault="00A01B11" w:rsidP="00757092">
      <w:pPr>
        <w:spacing w:before="0" w:after="0"/>
        <w:jc w:val="center"/>
        <w:rPr>
          <w:rFonts w:eastAsiaTheme="minorHAnsi"/>
          <w:lang w:eastAsia="en-US"/>
        </w:rPr>
      </w:pPr>
      <w:r w:rsidRPr="00EE43C6">
        <w:rPr>
          <w:rFonts w:eastAsiaTheme="minorHAnsi"/>
          <w:noProof/>
          <w:lang w:eastAsia="tr-TR"/>
        </w:rPr>
        <w:lastRenderedPageBreak/>
        <w:drawing>
          <wp:inline distT="0" distB="0" distL="0" distR="0" wp14:anchorId="414D30C6" wp14:editId="64C90DE8">
            <wp:extent cx="5733405" cy="2447925"/>
            <wp:effectExtent l="38100" t="38100" r="39370" b="2857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740462" cy="2450938"/>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4F1CBA" w14:textId="2A9FA5C3" w:rsidR="005A34BA" w:rsidRPr="00EE43C6" w:rsidRDefault="00014398" w:rsidP="00757092">
      <w:pPr>
        <w:pStyle w:val="Caption"/>
        <w:spacing w:before="0" w:after="0"/>
        <w:rPr>
          <w:rFonts w:eastAsiaTheme="minorHAnsi"/>
          <w:b w:val="0"/>
          <w:bCs w:val="0"/>
          <w:noProof w:val="0"/>
          <w:color w:val="auto"/>
        </w:rPr>
      </w:pPr>
      <w:bookmarkStart w:id="262" w:name="_Ref136450334"/>
      <w:bookmarkStart w:id="263" w:name="_Ref125706053"/>
      <w:bookmarkStart w:id="264" w:name="_Toc141445565"/>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4</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2334B">
        <w:rPr>
          <w:color w:val="00B050"/>
        </w:rPr>
        <w:t>6</w:t>
      </w:r>
      <w:r w:rsidR="0096150F">
        <w:rPr>
          <w:noProof w:val="0"/>
          <w:color w:val="00B050"/>
        </w:rPr>
        <w:fldChar w:fldCharType="end"/>
      </w:r>
      <w:bookmarkEnd w:id="262"/>
      <w:bookmarkEnd w:id="263"/>
      <w:r w:rsidRPr="00EE43C6">
        <w:rPr>
          <w:noProof w:val="0"/>
          <w:color w:val="00B050"/>
        </w:rPr>
        <w:t xml:space="preserve">. </w:t>
      </w:r>
      <w:r w:rsidRPr="00EE43C6">
        <w:rPr>
          <w:rFonts w:eastAsiaTheme="minorHAnsi"/>
          <w:b w:val="0"/>
          <w:bCs w:val="0"/>
          <w:noProof w:val="0"/>
          <w:color w:val="auto"/>
        </w:rPr>
        <w:t xml:space="preserve">Stripped </w:t>
      </w:r>
      <w:r w:rsidR="00EB59EB" w:rsidRPr="00EE43C6">
        <w:rPr>
          <w:rFonts w:eastAsiaTheme="minorHAnsi"/>
          <w:b w:val="0"/>
          <w:bCs w:val="0"/>
          <w:noProof w:val="0"/>
          <w:color w:val="auto"/>
        </w:rPr>
        <w:t>T</w:t>
      </w:r>
      <w:r w:rsidRPr="00EE43C6">
        <w:rPr>
          <w:rFonts w:eastAsiaTheme="minorHAnsi"/>
          <w:b w:val="0"/>
          <w:bCs w:val="0"/>
          <w:noProof w:val="0"/>
          <w:color w:val="auto"/>
        </w:rPr>
        <w:t>opsoil in the Project Area</w:t>
      </w:r>
      <w:bookmarkEnd w:id="264"/>
    </w:p>
    <w:p w14:paraId="58B16728" w14:textId="77777777" w:rsidR="00975B41" w:rsidRPr="00EE43C6" w:rsidRDefault="004339AC" w:rsidP="00757092">
      <w:pPr>
        <w:pStyle w:val="Heading2"/>
        <w:ind w:hanging="718"/>
        <w:rPr>
          <w:lang w:val="en-GB"/>
        </w:rPr>
      </w:pPr>
      <w:bookmarkStart w:id="265" w:name="_Toc98425304"/>
      <w:bookmarkStart w:id="266" w:name="_Toc98429146"/>
      <w:bookmarkStart w:id="267" w:name="_Toc80633534"/>
      <w:bookmarkStart w:id="268" w:name="_Toc120016921"/>
      <w:bookmarkStart w:id="269" w:name="_Toc120004699"/>
      <w:bookmarkStart w:id="270" w:name="_Toc141445410"/>
      <w:bookmarkEnd w:id="265"/>
      <w:bookmarkEnd w:id="266"/>
      <w:r w:rsidRPr="00EE43C6">
        <w:rPr>
          <w:lang w:val="en-GB"/>
        </w:rPr>
        <w:t>Hydrogeology</w:t>
      </w:r>
      <w:bookmarkEnd w:id="267"/>
      <w:bookmarkEnd w:id="268"/>
      <w:bookmarkEnd w:id="269"/>
      <w:bookmarkEnd w:id="270"/>
    </w:p>
    <w:p w14:paraId="6D85672E" w14:textId="5CEA5760" w:rsidR="006C733F" w:rsidRPr="00EE43C6" w:rsidRDefault="006C733F" w:rsidP="006C733F">
      <w:pPr>
        <w:spacing w:before="160" w:after="160" w:line="288" w:lineRule="auto"/>
        <w:rPr>
          <w:rFonts w:eastAsiaTheme="minorHAnsi"/>
        </w:rPr>
      </w:pPr>
      <w:r w:rsidRPr="00EE43C6">
        <w:rPr>
          <w:rFonts w:eastAsiaTheme="minorHAnsi"/>
        </w:rPr>
        <w:t>The coastline of Mersin region is hot and dry in summers and warm and rainy in winters</w:t>
      </w:r>
      <w:r w:rsidR="008E7F8D" w:rsidRPr="00EE43C6">
        <w:rPr>
          <w:rFonts w:eastAsiaTheme="minorHAnsi"/>
        </w:rPr>
        <w:t>. A</w:t>
      </w:r>
      <w:r w:rsidRPr="00EE43C6">
        <w:rPr>
          <w:rFonts w:eastAsiaTheme="minorHAnsi"/>
        </w:rPr>
        <w:t xml:space="preserve">s </w:t>
      </w:r>
      <w:r w:rsidR="00BA2DDF" w:rsidRPr="00EE43C6">
        <w:rPr>
          <w:rFonts w:eastAsiaTheme="minorHAnsi"/>
        </w:rPr>
        <w:t>it is</w:t>
      </w:r>
      <w:r w:rsidRPr="00EE43C6">
        <w:rPr>
          <w:rFonts w:eastAsiaTheme="minorHAnsi"/>
        </w:rPr>
        <w:t xml:space="preserve"> </w:t>
      </w:r>
      <w:r w:rsidR="002D7D57">
        <w:rPr>
          <w:rFonts w:eastAsiaTheme="minorHAnsi"/>
        </w:rPr>
        <w:t>moved</w:t>
      </w:r>
      <w:r w:rsidR="002D7D57" w:rsidRPr="00EE43C6">
        <w:rPr>
          <w:rFonts w:eastAsiaTheme="minorHAnsi"/>
        </w:rPr>
        <w:t xml:space="preserve"> </w:t>
      </w:r>
      <w:r w:rsidRPr="00EE43C6">
        <w:rPr>
          <w:rFonts w:eastAsiaTheme="minorHAnsi"/>
        </w:rPr>
        <w:t>from the coastline to the northern parts</w:t>
      </w:r>
      <w:r w:rsidR="008E7F8D" w:rsidRPr="00EE43C6">
        <w:rPr>
          <w:rFonts w:eastAsiaTheme="minorHAnsi"/>
        </w:rPr>
        <w:t>,</w:t>
      </w:r>
      <w:r w:rsidRPr="00EE43C6">
        <w:rPr>
          <w:rFonts w:eastAsiaTheme="minorHAnsi"/>
        </w:rPr>
        <w:t xml:space="preserve"> there are</w:t>
      </w:r>
      <w:r w:rsidR="002D7D57">
        <w:rPr>
          <w:rFonts w:eastAsiaTheme="minorHAnsi"/>
        </w:rPr>
        <w:t xml:space="preserve"> temperat</w:t>
      </w:r>
      <w:r w:rsidR="0088139E">
        <w:rPr>
          <w:rFonts w:eastAsiaTheme="minorHAnsi"/>
        </w:rPr>
        <w:t>ure</w:t>
      </w:r>
      <w:r w:rsidR="002D7D57">
        <w:rPr>
          <w:rFonts w:eastAsiaTheme="minorHAnsi"/>
        </w:rPr>
        <w:t xml:space="preserve"> </w:t>
      </w:r>
      <w:r w:rsidRPr="00EE43C6">
        <w:rPr>
          <w:rFonts w:eastAsiaTheme="minorHAnsi"/>
        </w:rPr>
        <w:t>differences</w:t>
      </w:r>
      <w:r w:rsidR="008E7F8D" w:rsidRPr="00EE43C6">
        <w:rPr>
          <w:rFonts w:eastAsiaTheme="minorHAnsi"/>
        </w:rPr>
        <w:t xml:space="preserve"> up to 10-15 </w:t>
      </w:r>
      <w:r w:rsidR="00221AEE" w:rsidRPr="00EE43C6">
        <w:rPr>
          <w:rFonts w:cs="MS Gothic"/>
          <w:szCs w:val="22"/>
        </w:rPr>
        <w:t>°</w:t>
      </w:r>
      <w:r w:rsidR="008E7F8D" w:rsidRPr="00EE43C6">
        <w:rPr>
          <w:rFonts w:eastAsiaTheme="minorHAnsi"/>
        </w:rPr>
        <w:t>C</w:t>
      </w:r>
      <w:r w:rsidRPr="00EE43C6">
        <w:rPr>
          <w:rFonts w:eastAsiaTheme="minorHAnsi"/>
        </w:rPr>
        <w:t xml:space="preserve">. Especially in winter, as </w:t>
      </w:r>
      <w:r w:rsidR="002C7470" w:rsidRPr="00EE43C6">
        <w:rPr>
          <w:rFonts w:eastAsiaTheme="minorHAnsi"/>
        </w:rPr>
        <w:t>it is moved</w:t>
      </w:r>
      <w:r w:rsidRPr="00EE43C6">
        <w:rPr>
          <w:rFonts w:eastAsiaTheme="minorHAnsi"/>
        </w:rPr>
        <w:t xml:space="preserve"> away from the </w:t>
      </w:r>
      <w:r w:rsidR="002C7470" w:rsidRPr="00EE43C6">
        <w:rPr>
          <w:rFonts w:eastAsiaTheme="minorHAnsi"/>
        </w:rPr>
        <w:t>seacoast</w:t>
      </w:r>
      <w:r w:rsidRPr="00EE43C6">
        <w:rPr>
          <w:rFonts w:eastAsiaTheme="minorHAnsi"/>
        </w:rPr>
        <w:t xml:space="preserve">, this temperature change </w:t>
      </w:r>
      <w:r w:rsidR="00992E47">
        <w:rPr>
          <w:rFonts w:eastAsiaTheme="minorHAnsi"/>
        </w:rPr>
        <w:t>reaches</w:t>
      </w:r>
      <w:r w:rsidR="00992E47" w:rsidRPr="00EE43C6">
        <w:rPr>
          <w:rFonts w:eastAsiaTheme="minorHAnsi"/>
        </w:rPr>
        <w:t xml:space="preserve"> </w:t>
      </w:r>
      <w:r w:rsidRPr="00EE43C6">
        <w:rPr>
          <w:rFonts w:eastAsiaTheme="minorHAnsi"/>
        </w:rPr>
        <w:t xml:space="preserve">to </w:t>
      </w:r>
      <w:r w:rsidR="00992E47">
        <w:rPr>
          <w:rFonts w:eastAsiaTheme="minorHAnsi"/>
        </w:rPr>
        <w:t>high</w:t>
      </w:r>
      <w:r w:rsidRPr="00EE43C6">
        <w:rPr>
          <w:rFonts w:eastAsiaTheme="minorHAnsi"/>
        </w:rPr>
        <w:t xml:space="preserve"> values</w:t>
      </w:r>
      <w:sdt>
        <w:sdtPr>
          <w:rPr>
            <w:rFonts w:eastAsiaTheme="minorHAnsi"/>
          </w:rPr>
          <w:id w:val="-917639216"/>
          <w:citation/>
        </w:sdtPr>
        <w:sdtEndPr/>
        <w:sdtContent>
          <w:r w:rsidRPr="00EE43C6">
            <w:rPr>
              <w:rFonts w:eastAsiaTheme="minorHAnsi"/>
            </w:rPr>
            <w:fldChar w:fldCharType="begin"/>
          </w:r>
          <w:r w:rsidRPr="00EE43C6">
            <w:rPr>
              <w:rFonts w:eastAsiaTheme="minorHAnsi"/>
            </w:rPr>
            <w:instrText xml:space="preserve"> CITATION Şen18 \l 1055 </w:instrText>
          </w:r>
          <w:r w:rsidRPr="00EE43C6">
            <w:rPr>
              <w:rFonts w:eastAsiaTheme="minorHAnsi"/>
            </w:rPr>
            <w:fldChar w:fldCharType="separate"/>
          </w:r>
          <w:r w:rsidR="00CE3B94" w:rsidRPr="00EE43C6">
            <w:rPr>
              <w:rFonts w:eastAsiaTheme="minorHAnsi"/>
            </w:rPr>
            <w:t xml:space="preserve"> (Şen Engineering, The Geological-Geotechnical Survey Report of the Project Area, 2018)</w:t>
          </w:r>
          <w:r w:rsidRPr="00EE43C6">
            <w:rPr>
              <w:rFonts w:eastAsiaTheme="minorHAnsi"/>
            </w:rPr>
            <w:fldChar w:fldCharType="end"/>
          </w:r>
        </w:sdtContent>
      </w:sdt>
      <w:r w:rsidR="00067E61" w:rsidRPr="00EE43C6">
        <w:rPr>
          <w:rFonts w:eastAsiaTheme="minorHAnsi"/>
        </w:rPr>
        <w:t>.</w:t>
      </w:r>
    </w:p>
    <w:p w14:paraId="374FE9AC" w14:textId="775FB98F" w:rsidR="006C733F" w:rsidRPr="00EE43C6" w:rsidRDefault="006C733F" w:rsidP="006C733F">
      <w:pPr>
        <w:spacing w:before="160" w:after="160" w:line="288" w:lineRule="auto"/>
        <w:rPr>
          <w:rFonts w:eastAsiaTheme="minorHAnsi"/>
        </w:rPr>
      </w:pPr>
      <w:r w:rsidRPr="00EE43C6">
        <w:rPr>
          <w:rFonts w:eastAsiaTheme="minorHAnsi"/>
        </w:rPr>
        <w:t>Meteorologically, the fog event, which will reduce the horizontal visibility in all directions to 1</w:t>
      </w:r>
      <w:r w:rsidR="00E30B31" w:rsidRPr="00EE43C6">
        <w:rPr>
          <w:rFonts w:eastAsiaTheme="minorHAnsi"/>
        </w:rPr>
        <w:t>,</w:t>
      </w:r>
      <w:r w:rsidRPr="00EE43C6">
        <w:rPr>
          <w:rFonts w:eastAsiaTheme="minorHAnsi"/>
        </w:rPr>
        <w:t xml:space="preserve">000 meters or less, is a rare event in the province. Snowfall and frost </w:t>
      </w:r>
      <w:r w:rsidR="001A61BF" w:rsidRPr="00EE43C6">
        <w:rPr>
          <w:rFonts w:eastAsiaTheme="minorHAnsi"/>
        </w:rPr>
        <w:t xml:space="preserve">formation </w:t>
      </w:r>
      <w:r w:rsidR="00E30B31" w:rsidRPr="00EE43C6">
        <w:rPr>
          <w:rFonts w:eastAsiaTheme="minorHAnsi"/>
        </w:rPr>
        <w:t>are</w:t>
      </w:r>
      <w:r w:rsidRPr="00EE43C6">
        <w:rPr>
          <w:rFonts w:eastAsiaTheme="minorHAnsi"/>
        </w:rPr>
        <w:t xml:space="preserve"> the least common event in the coastal areas of Mersin province.</w:t>
      </w:r>
    </w:p>
    <w:p w14:paraId="75FDC5D5" w14:textId="77777777" w:rsidR="006C733F" w:rsidRPr="00EE43C6" w:rsidRDefault="006C733F" w:rsidP="006C733F">
      <w:pPr>
        <w:spacing w:before="160" w:after="160" w:line="288" w:lineRule="auto"/>
        <w:rPr>
          <w:rFonts w:eastAsiaTheme="minorHAnsi"/>
        </w:rPr>
      </w:pPr>
      <w:r w:rsidRPr="00EE43C6">
        <w:rPr>
          <w:rFonts w:eastAsiaTheme="minorHAnsi"/>
        </w:rPr>
        <w:t>Microclimatic zones, which are defined as meteorological differences, are seen in many parts of the city due to the topographic structure of the province. In summer and winter months, the temperature and humidity difference between the coastal part and the interior and highland part is palpable. Temperature and humidity are lower in the highland areas.</w:t>
      </w:r>
    </w:p>
    <w:p w14:paraId="2053A7FA" w14:textId="77777777" w:rsidR="004339AC" w:rsidRPr="00EE43C6" w:rsidRDefault="006C733F" w:rsidP="00FF7F39">
      <w:pPr>
        <w:spacing w:before="160" w:after="160" w:line="288" w:lineRule="auto"/>
        <w:rPr>
          <w:rFonts w:eastAsiaTheme="minorHAnsi"/>
        </w:rPr>
      </w:pPr>
      <w:r w:rsidRPr="00EE43C6">
        <w:rPr>
          <w:rFonts w:eastAsiaTheme="minorHAnsi"/>
        </w:rPr>
        <w:t>The most important sources feeding underground and surface water resources in Mersin are rain and snow waters.</w:t>
      </w:r>
    </w:p>
    <w:p w14:paraId="5CDED545" w14:textId="2526D3F8" w:rsidR="00883C94" w:rsidRPr="00EE43C6" w:rsidRDefault="00261748" w:rsidP="00FF7F39">
      <w:pPr>
        <w:spacing w:before="160" w:after="160" w:line="288" w:lineRule="auto"/>
        <w:rPr>
          <w:rFonts w:eastAsiaTheme="minorHAnsi"/>
        </w:rPr>
      </w:pPr>
      <w:r w:rsidRPr="00EE43C6">
        <w:rPr>
          <w:rFonts w:eastAsiaTheme="minorHAnsi"/>
        </w:rPr>
        <w:t>Within the bas</w:t>
      </w:r>
      <w:r w:rsidR="00844CF6" w:rsidRPr="00EE43C6">
        <w:rPr>
          <w:rFonts w:eastAsiaTheme="minorHAnsi"/>
        </w:rPr>
        <w:t>eline hydroge</w:t>
      </w:r>
      <w:r w:rsidR="00B006CB" w:rsidRPr="00EE43C6">
        <w:rPr>
          <w:rFonts w:eastAsiaTheme="minorHAnsi"/>
        </w:rPr>
        <w:t xml:space="preserve">ology, </w:t>
      </w:r>
      <w:r w:rsidR="00844CF6" w:rsidRPr="00EE43C6">
        <w:rPr>
          <w:rFonts w:eastAsiaTheme="minorHAnsi"/>
        </w:rPr>
        <w:t>i</w:t>
      </w:r>
      <w:r w:rsidR="00883C94" w:rsidRPr="00EE43C6">
        <w:rPr>
          <w:rFonts w:eastAsiaTheme="minorHAnsi"/>
        </w:rPr>
        <w:t xml:space="preserve">nformation on 10 wells </w:t>
      </w:r>
      <w:r w:rsidR="0077099C" w:rsidRPr="00EE43C6">
        <w:rPr>
          <w:rFonts w:eastAsiaTheme="minorHAnsi"/>
        </w:rPr>
        <w:t>surrounding in the AoI of the Project</w:t>
      </w:r>
      <w:r w:rsidR="00883C94" w:rsidRPr="00EE43C6">
        <w:rPr>
          <w:rFonts w:eastAsiaTheme="minorHAnsi"/>
        </w:rPr>
        <w:t xml:space="preserve"> was obtained from DSI 6</w:t>
      </w:r>
      <w:r w:rsidR="00883C94" w:rsidRPr="00EE43C6">
        <w:rPr>
          <w:rFonts w:eastAsiaTheme="minorHAnsi"/>
          <w:vertAlign w:val="superscript"/>
        </w:rPr>
        <w:t>th</w:t>
      </w:r>
      <w:r w:rsidR="00883C94" w:rsidRPr="00EE43C6">
        <w:rPr>
          <w:rFonts w:eastAsiaTheme="minorHAnsi"/>
        </w:rPr>
        <w:t xml:space="preserve"> Regional Directorate</w:t>
      </w:r>
      <w:r w:rsidR="008E13D0" w:rsidRPr="00EE43C6">
        <w:rPr>
          <w:rFonts w:eastAsiaTheme="minorHAnsi"/>
        </w:rPr>
        <w:t>. The</w:t>
      </w:r>
      <w:r w:rsidR="008E13D0" w:rsidRPr="00EE43C6">
        <w:t xml:space="preserve"> </w:t>
      </w:r>
      <w:r w:rsidR="008E13D0" w:rsidRPr="00EE43C6">
        <w:rPr>
          <w:rFonts w:eastAsiaTheme="minorHAnsi"/>
        </w:rPr>
        <w:t xml:space="preserve">water table contour of the concerned wells </w:t>
      </w:r>
      <w:r w:rsidR="009535D2" w:rsidRPr="00EE43C6">
        <w:rPr>
          <w:rFonts w:eastAsiaTheme="minorHAnsi"/>
        </w:rPr>
        <w:t xml:space="preserve">in the AoI of the Project is </w:t>
      </w:r>
      <w:r w:rsidR="006D0FAE" w:rsidRPr="00EE43C6">
        <w:rPr>
          <w:rFonts w:eastAsiaTheme="minorHAnsi"/>
        </w:rPr>
        <w:t xml:space="preserve">visualised </w:t>
      </w:r>
      <w:r w:rsidR="009535D2" w:rsidRPr="00EE43C6">
        <w:rPr>
          <w:rFonts w:eastAsiaTheme="minorHAnsi"/>
        </w:rPr>
        <w:t>in</w:t>
      </w:r>
      <w:r w:rsidR="0077099C" w:rsidRPr="00EE43C6">
        <w:rPr>
          <w:rFonts w:eastAsiaTheme="minorHAnsi"/>
        </w:rPr>
        <w:t xml:space="preserve"> </w:t>
      </w:r>
      <w:r w:rsidR="003E5F52" w:rsidRPr="00EE43C6">
        <w:rPr>
          <w:rFonts w:eastAsiaTheme="minorHAnsi"/>
        </w:rPr>
        <w:fldChar w:fldCharType="begin"/>
      </w:r>
      <w:r w:rsidR="003E5F52" w:rsidRPr="00EE43C6">
        <w:rPr>
          <w:rFonts w:eastAsiaTheme="minorHAnsi"/>
        </w:rPr>
        <w:instrText xml:space="preserve"> REF _Ref125031951 \h </w:instrText>
      </w:r>
      <w:r w:rsidR="0053505C" w:rsidRPr="00EE43C6">
        <w:rPr>
          <w:rFonts w:eastAsiaTheme="minorHAnsi"/>
        </w:rPr>
        <w:instrText xml:space="preserve"> \* MERGEFORMAT </w:instrText>
      </w:r>
      <w:r w:rsidR="003E5F52" w:rsidRPr="00EE43C6">
        <w:rPr>
          <w:rFonts w:eastAsiaTheme="minorHAnsi"/>
        </w:rPr>
      </w:r>
      <w:r w:rsidR="003E5F52" w:rsidRPr="00EE43C6">
        <w:rPr>
          <w:rFonts w:eastAsiaTheme="minorHAnsi"/>
        </w:rPr>
        <w:fldChar w:fldCharType="separate"/>
      </w:r>
      <w:r w:rsidR="00592356" w:rsidRPr="00592356">
        <w:rPr>
          <w:rFonts w:eastAsiaTheme="minorHAnsi"/>
        </w:rPr>
        <w:t>Figure 4</w:t>
      </w:r>
      <w:r w:rsidR="00592356" w:rsidRPr="00592356">
        <w:rPr>
          <w:rFonts w:eastAsiaTheme="minorHAnsi"/>
        </w:rPr>
        <w:noBreakHyphen/>
        <w:t>8</w:t>
      </w:r>
      <w:r w:rsidR="003E5F52" w:rsidRPr="00EE43C6">
        <w:rPr>
          <w:rFonts w:eastAsiaTheme="minorHAnsi"/>
        </w:rPr>
        <w:fldChar w:fldCharType="end"/>
      </w:r>
      <w:r w:rsidR="00883C94" w:rsidRPr="00EE43C6">
        <w:rPr>
          <w:rFonts w:eastAsiaTheme="minorHAnsi"/>
        </w:rPr>
        <w:t>.</w:t>
      </w:r>
    </w:p>
    <w:p w14:paraId="35303858" w14:textId="77777777" w:rsidR="004339AC" w:rsidRPr="00EE43C6" w:rsidRDefault="004339AC" w:rsidP="00757092">
      <w:pPr>
        <w:pStyle w:val="Heading2"/>
        <w:ind w:hanging="718"/>
        <w:rPr>
          <w:lang w:val="en-GB"/>
        </w:rPr>
      </w:pPr>
      <w:bookmarkStart w:id="271" w:name="_Toc82779417"/>
      <w:bookmarkStart w:id="272" w:name="_Toc82704792"/>
      <w:bookmarkStart w:id="273" w:name="_Toc80633536"/>
      <w:bookmarkStart w:id="274" w:name="_Toc120016922"/>
      <w:bookmarkStart w:id="275" w:name="_Toc120004700"/>
      <w:bookmarkStart w:id="276" w:name="_Toc141445411"/>
      <w:bookmarkEnd w:id="271"/>
      <w:bookmarkEnd w:id="272"/>
      <w:r w:rsidRPr="00EE43C6">
        <w:rPr>
          <w:lang w:val="en-GB"/>
        </w:rPr>
        <w:t>Noise</w:t>
      </w:r>
      <w:bookmarkEnd w:id="273"/>
      <w:bookmarkEnd w:id="274"/>
      <w:bookmarkEnd w:id="275"/>
      <w:bookmarkEnd w:id="276"/>
    </w:p>
    <w:p w14:paraId="15EE5CCA" w14:textId="3A24FC1A" w:rsidR="00F23D5A" w:rsidRPr="00EE43C6" w:rsidRDefault="00891B95" w:rsidP="00FF7F39">
      <w:pPr>
        <w:spacing w:before="0"/>
        <w:rPr>
          <w:rFonts w:cs="MS Gothic"/>
        </w:rPr>
      </w:pPr>
      <w:r w:rsidRPr="00EE43C6">
        <w:rPr>
          <w:rFonts w:cs="MS Gothic"/>
        </w:rPr>
        <w:t xml:space="preserve">Currently, </w:t>
      </w:r>
      <w:r w:rsidR="007E532A" w:rsidRPr="00EE43C6">
        <w:rPr>
          <w:rFonts w:cs="MS Gothic"/>
        </w:rPr>
        <w:t>ground</w:t>
      </w:r>
      <w:r w:rsidR="00C436FC" w:rsidRPr="00EE43C6">
        <w:rPr>
          <w:rFonts w:cs="MS Gothic"/>
        </w:rPr>
        <w:t xml:space="preserve"> levelling activit</w:t>
      </w:r>
      <w:r w:rsidR="000C29BE" w:rsidRPr="00EE43C6">
        <w:rPr>
          <w:rFonts w:cs="MS Gothic"/>
        </w:rPr>
        <w:t>ies</w:t>
      </w:r>
      <w:r w:rsidR="00C436FC" w:rsidRPr="00EE43C6">
        <w:rPr>
          <w:rFonts w:cs="MS Gothic"/>
        </w:rPr>
        <w:t xml:space="preserve"> of the Project ha</w:t>
      </w:r>
      <w:r w:rsidR="000C29BE" w:rsidRPr="00EE43C6">
        <w:rPr>
          <w:rFonts w:cs="MS Gothic"/>
        </w:rPr>
        <w:t>ve</w:t>
      </w:r>
      <w:r w:rsidR="00C436FC" w:rsidRPr="00EE43C6">
        <w:rPr>
          <w:rFonts w:cs="MS Gothic"/>
        </w:rPr>
        <w:t xml:space="preserve"> been </w:t>
      </w:r>
      <w:r w:rsidR="002B2CAB" w:rsidRPr="00EE43C6">
        <w:rPr>
          <w:rFonts w:cs="MS Gothic"/>
        </w:rPr>
        <w:t xml:space="preserve">almost </w:t>
      </w:r>
      <w:r w:rsidR="00C436FC" w:rsidRPr="00EE43C6">
        <w:rPr>
          <w:rFonts w:cs="MS Gothic"/>
        </w:rPr>
        <w:t>completed</w:t>
      </w:r>
      <w:r w:rsidR="009D5F85" w:rsidRPr="00EE43C6">
        <w:rPr>
          <w:rFonts w:eastAsiaTheme="minorHAnsi"/>
        </w:rPr>
        <w:t xml:space="preserve"> except for </w:t>
      </w:r>
      <w:r w:rsidR="003E7430" w:rsidRPr="00EE43C6">
        <w:rPr>
          <w:rFonts w:eastAsiaTheme="minorHAnsi"/>
        </w:rPr>
        <w:t>lot 105: parcel no. 1 and 2</w:t>
      </w:r>
      <w:r w:rsidR="009D5F85" w:rsidRPr="00EE43C6">
        <w:rPr>
          <w:rFonts w:eastAsiaTheme="minorHAnsi"/>
        </w:rPr>
        <w:t xml:space="preserve"> of the Project Area</w:t>
      </w:r>
      <w:r w:rsidR="00C436FC" w:rsidRPr="00EE43C6">
        <w:rPr>
          <w:rFonts w:cs="MS Gothic"/>
        </w:rPr>
        <w:t xml:space="preserve">. </w:t>
      </w:r>
      <w:r w:rsidR="00E97F9C" w:rsidRPr="00E97F9C">
        <w:rPr>
          <w:rFonts w:cs="MS Gothic"/>
        </w:rPr>
        <w:t>Considering that the remaining works include minor excavation and piping works</w:t>
      </w:r>
      <w:r w:rsidR="00E97F9C">
        <w:rPr>
          <w:rFonts w:cs="MS Gothic"/>
        </w:rPr>
        <w:t xml:space="preserve"> and </w:t>
      </w:r>
      <w:r w:rsidR="00E97F9C" w:rsidRPr="001B57B8">
        <w:rPr>
          <w:rFonts w:cs="MS Gothic"/>
        </w:rPr>
        <w:t xml:space="preserve">due to the presence of quarries adjacent to the </w:t>
      </w:r>
      <w:r w:rsidR="00E97F9C">
        <w:rPr>
          <w:rFonts w:cs="MS Gothic"/>
        </w:rPr>
        <w:t>P</w:t>
      </w:r>
      <w:r w:rsidR="00E97F9C" w:rsidRPr="001B57B8">
        <w:rPr>
          <w:rFonts w:cs="MS Gothic"/>
        </w:rPr>
        <w:t xml:space="preserve">roject </w:t>
      </w:r>
      <w:r w:rsidR="00E97F9C">
        <w:rPr>
          <w:rFonts w:cs="MS Gothic"/>
        </w:rPr>
        <w:t>A</w:t>
      </w:r>
      <w:r w:rsidR="00E97F9C" w:rsidRPr="001B57B8">
        <w:rPr>
          <w:rFonts w:cs="MS Gothic"/>
        </w:rPr>
        <w:t>rea</w:t>
      </w:r>
      <w:r w:rsidR="008E5E20">
        <w:rPr>
          <w:rFonts w:cs="MS Gothic"/>
        </w:rPr>
        <w:t>, which are mainly noise sources</w:t>
      </w:r>
      <w:r w:rsidR="00E97F9C" w:rsidRPr="00E97F9C">
        <w:rPr>
          <w:rFonts w:cs="MS Gothic"/>
        </w:rPr>
        <w:t xml:space="preserve">, </w:t>
      </w:r>
      <w:r w:rsidR="0002210B">
        <w:rPr>
          <w:rFonts w:cs="MS Gothic"/>
        </w:rPr>
        <w:t>n</w:t>
      </w:r>
      <w:r w:rsidR="0002210B" w:rsidRPr="001B57B8">
        <w:rPr>
          <w:rFonts w:cs="MS Gothic"/>
        </w:rPr>
        <w:t>o noise baseline measurements are not required</w:t>
      </w:r>
      <w:r w:rsidR="000B0018" w:rsidRPr="00EE43C6">
        <w:rPr>
          <w:rFonts w:cs="MS Gothic"/>
        </w:rPr>
        <w:t>.</w:t>
      </w:r>
    </w:p>
    <w:p w14:paraId="2DD60025" w14:textId="6DA20899" w:rsidR="00F23D5A" w:rsidRPr="00EE43C6" w:rsidRDefault="00F23D5A" w:rsidP="00757092">
      <w:pPr>
        <w:pStyle w:val="Heading2"/>
        <w:ind w:hanging="718"/>
        <w:rPr>
          <w:lang w:val="en-GB"/>
        </w:rPr>
      </w:pPr>
      <w:bookmarkStart w:id="277" w:name="_Toc120016923"/>
      <w:bookmarkStart w:id="278" w:name="_Toc120004701"/>
      <w:bookmarkStart w:id="279" w:name="_Toc141445412"/>
      <w:bookmarkStart w:id="280" w:name="_Hlk88175185"/>
      <w:r w:rsidRPr="00EE43C6">
        <w:rPr>
          <w:lang w:val="en-GB"/>
        </w:rPr>
        <w:lastRenderedPageBreak/>
        <w:t>Air Quality</w:t>
      </w:r>
      <w:bookmarkEnd w:id="277"/>
      <w:bookmarkEnd w:id="278"/>
      <w:bookmarkEnd w:id="279"/>
    </w:p>
    <w:p w14:paraId="2806BB21" w14:textId="32169B49" w:rsidR="00CB49DB" w:rsidRPr="00EE43C6" w:rsidRDefault="00CB49DB" w:rsidP="00FC69CA">
      <w:r w:rsidRPr="00EE43C6">
        <w:t xml:space="preserve">As mentioned </w:t>
      </w:r>
      <w:r w:rsidR="001C60AB">
        <w:t>in</w:t>
      </w:r>
      <w:r w:rsidRPr="00EE43C6">
        <w:t xml:space="preserve"> the </w:t>
      </w:r>
      <w:r w:rsidR="001C60AB">
        <w:t>chapter on noise</w:t>
      </w:r>
      <w:r w:rsidRPr="00EE43C6">
        <w:t xml:space="preserve">, since the </w:t>
      </w:r>
      <w:r w:rsidR="007E532A" w:rsidRPr="00EE43C6">
        <w:t>ground</w:t>
      </w:r>
      <w:r w:rsidRPr="00EE43C6">
        <w:t xml:space="preserve"> </w:t>
      </w:r>
      <w:r w:rsidR="00693FAA" w:rsidRPr="00EE43C6">
        <w:t>levelling</w:t>
      </w:r>
      <w:r w:rsidRPr="00EE43C6">
        <w:t xml:space="preserve"> works of the Project </w:t>
      </w:r>
      <w:r w:rsidR="009E7633" w:rsidRPr="00EE43C6">
        <w:t>have been</w:t>
      </w:r>
      <w:r w:rsidR="00693FAA" w:rsidRPr="00EE43C6">
        <w:t xml:space="preserve"> almost completed</w:t>
      </w:r>
      <w:r w:rsidRPr="00EE43C6">
        <w:t xml:space="preserve">, </w:t>
      </w:r>
      <w:r w:rsidR="00913715">
        <w:t>c</w:t>
      </w:r>
      <w:r w:rsidR="0010059B" w:rsidRPr="0010059B">
        <w:t xml:space="preserve">onsidering that the remaining works include minor excavation and piping works and due to the presence of quarries adjacent to the Project Area, which are mainly </w:t>
      </w:r>
      <w:r w:rsidR="00913715">
        <w:t>dust</w:t>
      </w:r>
      <w:r w:rsidR="0010059B" w:rsidRPr="0010059B">
        <w:t xml:space="preserve"> sources, no </w:t>
      </w:r>
      <w:r w:rsidR="00913715">
        <w:t>air quality</w:t>
      </w:r>
      <w:r w:rsidR="0010059B" w:rsidRPr="0010059B">
        <w:t xml:space="preserve"> baseline measurements are not required</w:t>
      </w:r>
      <w:r w:rsidRPr="00EE43C6">
        <w:t>.</w:t>
      </w:r>
    </w:p>
    <w:p w14:paraId="13F2F2C2" w14:textId="28500FEB" w:rsidR="003E01EF" w:rsidRPr="00EE43C6" w:rsidRDefault="00791C40" w:rsidP="00FC69CA">
      <w:r w:rsidRPr="00EE43C6">
        <w:t xml:space="preserve">On the other hand, in Mersin, there are </w:t>
      </w:r>
      <w:r w:rsidR="00FC7EBC" w:rsidRPr="00EE43C6">
        <w:t>seven</w:t>
      </w:r>
      <w:r w:rsidRPr="00EE43C6">
        <w:t xml:space="preserve"> (</w:t>
      </w:r>
      <w:r w:rsidR="00FC7EBC" w:rsidRPr="00EE43C6">
        <w:t>7</w:t>
      </w:r>
      <w:r w:rsidRPr="00EE43C6">
        <w:t>) national air quality monitoring stations under the supervision of MoEUCC</w:t>
      </w:r>
      <w:r w:rsidR="004B1CE9" w:rsidRPr="00EE43C6">
        <w:t xml:space="preserve">. The closest air quality monitoring station </w:t>
      </w:r>
      <w:r w:rsidR="00280FEF" w:rsidRPr="00EE43C6">
        <w:t>with coordinates</w:t>
      </w:r>
      <w:r w:rsidR="00356694" w:rsidRPr="00EE43C6">
        <w:t xml:space="preserve"> </w:t>
      </w:r>
      <w:r w:rsidR="00280FEF" w:rsidRPr="00EE43C6">
        <w:t>Latitude 34</w:t>
      </w:r>
      <w:r w:rsidR="00547E94" w:rsidRPr="00EE43C6">
        <w:t>,</w:t>
      </w:r>
      <w:r w:rsidR="00280FEF" w:rsidRPr="00EE43C6">
        <w:t>8875 and Longitude 36</w:t>
      </w:r>
      <w:r w:rsidR="00547E94" w:rsidRPr="00EE43C6">
        <w:t>,</w:t>
      </w:r>
      <w:r w:rsidR="00280FEF" w:rsidRPr="00EE43C6">
        <w:t>9116</w:t>
      </w:r>
      <w:r w:rsidR="00356694" w:rsidRPr="00EE43C6">
        <w:t xml:space="preserve"> </w:t>
      </w:r>
      <w:r w:rsidR="004B1CE9" w:rsidRPr="00EE43C6">
        <w:t>to the Project Area is approximately 14 km to the southwest of it.</w:t>
      </w:r>
      <w:r w:rsidR="00FC7EBC" w:rsidRPr="00EE43C6">
        <w:t xml:space="preserve"> (see </w:t>
      </w:r>
      <w:r w:rsidR="00CB0AD2" w:rsidRPr="00EE43C6">
        <w:fldChar w:fldCharType="begin"/>
      </w:r>
      <w:r w:rsidR="00CB0AD2" w:rsidRPr="00EE43C6">
        <w:instrText xml:space="preserve"> REF _Ref125019200 \h  \* MERGEFORMAT </w:instrText>
      </w:r>
      <w:r w:rsidR="00CB0AD2" w:rsidRPr="00EE43C6">
        <w:fldChar w:fldCharType="separate"/>
      </w:r>
      <w:r w:rsidR="00592356" w:rsidRPr="00592356">
        <w:t>Figure 4</w:t>
      </w:r>
      <w:r w:rsidR="00592356" w:rsidRPr="00592356">
        <w:noBreakHyphen/>
        <w:t>7</w:t>
      </w:r>
      <w:r w:rsidR="00CB0AD2" w:rsidRPr="00EE43C6">
        <w:fldChar w:fldCharType="end"/>
      </w:r>
      <w:r w:rsidR="00FC7EBC" w:rsidRPr="00EE43C6">
        <w:t>).</w:t>
      </w:r>
    </w:p>
    <w:p w14:paraId="3347BFD8" w14:textId="14BB1B1A" w:rsidR="00EA619A" w:rsidRPr="00EE43C6" w:rsidRDefault="00CB0AD2" w:rsidP="00757092">
      <w:pPr>
        <w:spacing w:before="0" w:after="0"/>
        <w:jc w:val="center"/>
      </w:pPr>
      <w:r w:rsidRPr="00EE43C6">
        <w:rPr>
          <w:noProof/>
        </w:rPr>
        <w:drawing>
          <wp:inline distT="0" distB="0" distL="0" distR="0" wp14:anchorId="690B63A6" wp14:editId="644D9443">
            <wp:extent cx="5667375" cy="4278869"/>
            <wp:effectExtent l="38100" t="38100" r="28575" b="45720"/>
            <wp:docPr id="42" name="Resim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50">
                      <a:extLst>
                        <a:ext uri="{28A0092B-C50C-407E-A947-70E740481C1C}">
                          <a14:useLocalDpi xmlns:a14="http://schemas.microsoft.com/office/drawing/2010/main"/>
                        </a:ext>
                      </a:extLst>
                    </a:blip>
                    <a:stretch>
                      <a:fillRect/>
                    </a:stretch>
                  </pic:blipFill>
                  <pic:spPr>
                    <a:xfrm>
                      <a:off x="0" y="0"/>
                      <a:ext cx="5677793" cy="4286734"/>
                    </a:xfrm>
                    <a:prstGeom prst="rect">
                      <a:avLst/>
                    </a:prstGeom>
                    <a:ln w="38100">
                      <a:solidFill>
                        <a:schemeClr val="tx1"/>
                      </a:solidFill>
                    </a:ln>
                  </pic:spPr>
                </pic:pic>
              </a:graphicData>
            </a:graphic>
          </wp:inline>
        </w:drawing>
      </w:r>
    </w:p>
    <w:p w14:paraId="636B6BCF" w14:textId="4C551C96" w:rsidR="00EA619A" w:rsidRPr="00EE43C6" w:rsidRDefault="00506E30" w:rsidP="00757092">
      <w:pPr>
        <w:pStyle w:val="Caption"/>
        <w:spacing w:before="0" w:after="0"/>
        <w:rPr>
          <w:b w:val="0"/>
          <w:bCs w:val="0"/>
          <w:noProof w:val="0"/>
          <w:color w:val="auto"/>
        </w:rPr>
      </w:pPr>
      <w:bookmarkStart w:id="281" w:name="_Ref125019200"/>
      <w:bookmarkStart w:id="282" w:name="_Toc141445566"/>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4</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2334B">
        <w:rPr>
          <w:color w:val="00B050"/>
        </w:rPr>
        <w:t>7</w:t>
      </w:r>
      <w:r w:rsidR="0096150F">
        <w:rPr>
          <w:noProof w:val="0"/>
          <w:color w:val="00B050"/>
        </w:rPr>
        <w:fldChar w:fldCharType="end"/>
      </w:r>
      <w:bookmarkEnd w:id="281"/>
      <w:r w:rsidRPr="00EE43C6">
        <w:rPr>
          <w:noProof w:val="0"/>
          <w:color w:val="00B050"/>
        </w:rPr>
        <w:t xml:space="preserve">. </w:t>
      </w:r>
      <w:r w:rsidRPr="00EE43C6">
        <w:rPr>
          <w:b w:val="0"/>
          <w:bCs w:val="0"/>
          <w:noProof w:val="0"/>
          <w:color w:val="auto"/>
        </w:rPr>
        <w:t>Air Quality Monitoring Stations in Mersin</w:t>
      </w:r>
      <w:bookmarkEnd w:id="282"/>
    </w:p>
    <w:p w14:paraId="5BDD6E94" w14:textId="77777777" w:rsidR="00757092" w:rsidRPr="00EE43C6" w:rsidRDefault="00757092" w:rsidP="00757092">
      <w:pPr>
        <w:spacing w:before="0" w:after="0"/>
        <w:rPr>
          <w:lang w:eastAsia="en-US"/>
        </w:rPr>
      </w:pPr>
    </w:p>
    <w:p w14:paraId="3E897014" w14:textId="783686FF" w:rsidR="002E1D22" w:rsidRPr="00EE43C6" w:rsidRDefault="009D0A57" w:rsidP="002E1D22">
      <w:pPr>
        <w:rPr>
          <w:lang w:eastAsia="en-US"/>
        </w:rPr>
      </w:pPr>
      <w:r w:rsidRPr="00EE43C6">
        <w:rPr>
          <w:lang w:eastAsia="en-US"/>
        </w:rPr>
        <w:fldChar w:fldCharType="begin"/>
      </w:r>
      <w:r w:rsidRPr="00EE43C6">
        <w:rPr>
          <w:lang w:eastAsia="en-US"/>
        </w:rPr>
        <w:instrText xml:space="preserve"> REF _Ref125020189 \h </w:instrText>
      </w:r>
      <w:r w:rsidRPr="00EE43C6">
        <w:rPr>
          <w:lang w:eastAsia="en-US"/>
        </w:rPr>
      </w:r>
      <w:r w:rsidRPr="00EE43C6">
        <w:rPr>
          <w:lang w:eastAsia="en-US"/>
        </w:rPr>
        <w:fldChar w:fldCharType="separate"/>
      </w:r>
      <w:r w:rsidR="00CE3B94" w:rsidRPr="00EE43C6">
        <w:t>Table 4</w:t>
      </w:r>
      <w:r w:rsidR="00CE3B94" w:rsidRPr="00EE43C6">
        <w:noBreakHyphen/>
        <w:t>1</w:t>
      </w:r>
      <w:r w:rsidRPr="00EE43C6">
        <w:rPr>
          <w:lang w:eastAsia="en-US"/>
        </w:rPr>
        <w:fldChar w:fldCharType="end"/>
      </w:r>
      <w:r w:rsidRPr="00EE43C6">
        <w:rPr>
          <w:lang w:eastAsia="en-US"/>
        </w:rPr>
        <w:t xml:space="preserve"> </w:t>
      </w:r>
      <w:r w:rsidR="002E1D22" w:rsidRPr="00EE43C6">
        <w:rPr>
          <w:lang w:eastAsia="en-US"/>
        </w:rPr>
        <w:t xml:space="preserve">represents the mean monthly pollutant concentrations based on the national air quality monitoring system for the last 12 months </w:t>
      </w:r>
      <w:r w:rsidR="001F7BE5" w:rsidRPr="00EE43C6">
        <w:rPr>
          <w:lang w:eastAsia="en-US"/>
        </w:rPr>
        <w:t>within 2022</w:t>
      </w:r>
      <w:r w:rsidR="002E1D22" w:rsidRPr="00EE43C6">
        <w:rPr>
          <w:lang w:eastAsia="en-US"/>
        </w:rPr>
        <w:t xml:space="preserve"> at the </w:t>
      </w:r>
      <w:r w:rsidRPr="00EE43C6">
        <w:rPr>
          <w:lang w:eastAsia="en-US"/>
        </w:rPr>
        <w:t xml:space="preserve">concerned </w:t>
      </w:r>
      <w:r w:rsidR="002E1D22" w:rsidRPr="00EE43C6">
        <w:rPr>
          <w:lang w:eastAsia="en-US"/>
        </w:rPr>
        <w:t xml:space="preserve">monitoring in </w:t>
      </w:r>
      <w:r w:rsidR="003D2061" w:rsidRPr="00EE43C6">
        <w:rPr>
          <w:lang w:eastAsia="en-US"/>
        </w:rPr>
        <w:t>Tarsus</w:t>
      </w:r>
      <w:r w:rsidR="002E1D22" w:rsidRPr="00EE43C6">
        <w:rPr>
          <w:lang w:eastAsia="en-US"/>
        </w:rPr>
        <w:t>, M</w:t>
      </w:r>
      <w:r w:rsidR="003D2061" w:rsidRPr="00EE43C6">
        <w:rPr>
          <w:lang w:eastAsia="en-US"/>
        </w:rPr>
        <w:t xml:space="preserve">ersin (see </w:t>
      </w:r>
      <w:r w:rsidR="003D2061" w:rsidRPr="00EE43C6">
        <w:rPr>
          <w:lang w:eastAsia="en-US"/>
        </w:rPr>
        <w:fldChar w:fldCharType="begin"/>
      </w:r>
      <w:r w:rsidR="003D2061" w:rsidRPr="00EE43C6">
        <w:rPr>
          <w:lang w:eastAsia="en-US"/>
        </w:rPr>
        <w:instrText xml:space="preserve"> REF _Ref125019200 \h  \* MERGEFORMAT </w:instrText>
      </w:r>
      <w:r w:rsidR="003D2061" w:rsidRPr="00EE43C6">
        <w:rPr>
          <w:lang w:eastAsia="en-US"/>
        </w:rPr>
      </w:r>
      <w:r w:rsidR="003D2061" w:rsidRPr="00EE43C6">
        <w:rPr>
          <w:lang w:eastAsia="en-US"/>
        </w:rPr>
        <w:fldChar w:fldCharType="separate"/>
      </w:r>
      <w:r w:rsidR="00592356" w:rsidRPr="00592356">
        <w:rPr>
          <w:lang w:eastAsia="en-US"/>
        </w:rPr>
        <w:t>Figure 4</w:t>
      </w:r>
      <w:r w:rsidR="00592356" w:rsidRPr="00592356">
        <w:rPr>
          <w:lang w:eastAsia="en-US"/>
        </w:rPr>
        <w:noBreakHyphen/>
        <w:t>7</w:t>
      </w:r>
      <w:r w:rsidR="003D2061" w:rsidRPr="00EE43C6">
        <w:rPr>
          <w:lang w:eastAsia="en-US"/>
        </w:rPr>
        <w:fldChar w:fldCharType="end"/>
      </w:r>
      <w:r w:rsidR="003D2061" w:rsidRPr="00EE43C6">
        <w:rPr>
          <w:lang w:eastAsia="en-US"/>
        </w:rPr>
        <w:t>).</w:t>
      </w:r>
    </w:p>
    <w:p w14:paraId="0F029672" w14:textId="2FCE396A" w:rsidR="00C77B86" w:rsidRPr="00EE43C6" w:rsidRDefault="00AE6064" w:rsidP="00AE6064">
      <w:pPr>
        <w:pStyle w:val="Caption"/>
        <w:rPr>
          <w:noProof w:val="0"/>
        </w:rPr>
      </w:pPr>
      <w:bookmarkStart w:id="283" w:name="_Ref125020189"/>
      <w:bookmarkStart w:id="284" w:name="_Toc141445496"/>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4</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w:t>
      </w:r>
      <w:r w:rsidR="006D2DE8">
        <w:rPr>
          <w:noProof w:val="0"/>
        </w:rPr>
        <w:fldChar w:fldCharType="end"/>
      </w:r>
      <w:bookmarkEnd w:id="283"/>
      <w:r w:rsidRPr="00EE43C6">
        <w:rPr>
          <w:noProof w:val="0"/>
        </w:rPr>
        <w:t xml:space="preserve">. </w:t>
      </w:r>
      <w:r w:rsidR="007A7E4F" w:rsidRPr="00EE43C6">
        <w:rPr>
          <w:b w:val="0"/>
          <w:bCs w:val="0"/>
          <w:noProof w:val="0"/>
          <w:color w:val="auto"/>
        </w:rPr>
        <w:t xml:space="preserve">Monthly </w:t>
      </w:r>
      <w:r w:rsidR="00387678">
        <w:rPr>
          <w:b w:val="0"/>
          <w:bCs w:val="0"/>
          <w:noProof w:val="0"/>
          <w:color w:val="auto"/>
        </w:rPr>
        <w:t>A</w:t>
      </w:r>
      <w:r w:rsidR="007A7E4F" w:rsidRPr="00EE43C6">
        <w:rPr>
          <w:b w:val="0"/>
          <w:bCs w:val="0"/>
          <w:noProof w:val="0"/>
          <w:color w:val="auto"/>
        </w:rPr>
        <w:t xml:space="preserve">verage </w:t>
      </w:r>
      <w:r w:rsidR="00387678">
        <w:rPr>
          <w:b w:val="0"/>
          <w:bCs w:val="0"/>
          <w:noProof w:val="0"/>
          <w:color w:val="auto"/>
        </w:rPr>
        <w:t>A</w:t>
      </w:r>
      <w:r w:rsidR="007A7E4F" w:rsidRPr="00EE43C6">
        <w:rPr>
          <w:b w:val="0"/>
          <w:bCs w:val="0"/>
          <w:noProof w:val="0"/>
          <w:color w:val="auto"/>
        </w:rPr>
        <w:t xml:space="preserve">ir </w:t>
      </w:r>
      <w:r w:rsidR="00387678">
        <w:rPr>
          <w:b w:val="0"/>
          <w:bCs w:val="0"/>
          <w:noProof w:val="0"/>
          <w:color w:val="auto"/>
        </w:rPr>
        <w:t>Q</w:t>
      </w:r>
      <w:r w:rsidR="007A7E4F" w:rsidRPr="00EE43C6">
        <w:rPr>
          <w:b w:val="0"/>
          <w:bCs w:val="0"/>
          <w:noProof w:val="0"/>
          <w:color w:val="auto"/>
        </w:rPr>
        <w:t xml:space="preserve">uality </w:t>
      </w:r>
      <w:r w:rsidR="00387678">
        <w:rPr>
          <w:b w:val="0"/>
          <w:bCs w:val="0"/>
          <w:noProof w:val="0"/>
          <w:color w:val="auto"/>
        </w:rPr>
        <w:t>P</w:t>
      </w:r>
      <w:r w:rsidR="007A7E4F" w:rsidRPr="00EE43C6">
        <w:rPr>
          <w:b w:val="0"/>
          <w:bCs w:val="0"/>
          <w:noProof w:val="0"/>
          <w:color w:val="auto"/>
        </w:rPr>
        <w:t>arameters in Mersin</w:t>
      </w:r>
      <w:bookmarkEnd w:id="284"/>
    </w:p>
    <w:tbl>
      <w:tblPr>
        <w:tblStyle w:val="TableGrid11"/>
        <w:tblW w:w="5000" w:type="pct"/>
        <w:jc w:val="center"/>
        <w:tblLook w:val="04A0" w:firstRow="1" w:lastRow="0" w:firstColumn="1" w:lastColumn="0" w:noHBand="0" w:noVBand="1"/>
      </w:tblPr>
      <w:tblGrid>
        <w:gridCol w:w="1555"/>
        <w:gridCol w:w="887"/>
        <w:gridCol w:w="1353"/>
        <w:gridCol w:w="1583"/>
        <w:gridCol w:w="1559"/>
        <w:gridCol w:w="1059"/>
        <w:gridCol w:w="1058"/>
      </w:tblGrid>
      <w:tr w:rsidR="00764632" w:rsidRPr="00EE43C6" w14:paraId="4F708B9C" w14:textId="77777777" w:rsidTr="00D5795A">
        <w:trPr>
          <w:trHeight w:val="284"/>
          <w:tblHeader/>
          <w:jc w:val="center"/>
        </w:trPr>
        <w:tc>
          <w:tcPr>
            <w:tcW w:w="859" w:type="pct"/>
            <w:shd w:val="clear" w:color="auto" w:fill="4F81BD"/>
            <w:vAlign w:val="center"/>
          </w:tcPr>
          <w:p w14:paraId="2FB9F39A" w14:textId="77C44714" w:rsidR="00764632" w:rsidRPr="00EE43C6" w:rsidRDefault="00764632" w:rsidP="00D5795A">
            <w:pPr>
              <w:spacing w:before="0" w:after="0" w:line="240" w:lineRule="auto"/>
              <w:rPr>
                <w:rFonts w:cs="MS Gothic"/>
                <w:b/>
                <w:color w:val="FFFFFF" w:themeColor="background1"/>
                <w:sz w:val="18"/>
                <w:szCs w:val="18"/>
              </w:rPr>
            </w:pPr>
            <w:r w:rsidRPr="00EE43C6">
              <w:rPr>
                <w:rFonts w:cs="MS Gothic"/>
                <w:b/>
                <w:color w:val="FFFFFF" w:themeColor="background1"/>
                <w:sz w:val="18"/>
                <w:szCs w:val="18"/>
              </w:rPr>
              <w:t xml:space="preserve">Month / </w:t>
            </w:r>
            <w:r w:rsidR="00CB2B23" w:rsidRPr="00EE43C6">
              <w:rPr>
                <w:rFonts w:cs="MS Gothic"/>
                <w:b/>
                <w:color w:val="FFFFFF" w:themeColor="background1"/>
                <w:sz w:val="18"/>
                <w:szCs w:val="18"/>
              </w:rPr>
              <w:t>2022</w:t>
            </w:r>
          </w:p>
        </w:tc>
        <w:tc>
          <w:tcPr>
            <w:tcW w:w="490" w:type="pct"/>
            <w:shd w:val="clear" w:color="auto" w:fill="4F81BD"/>
            <w:vAlign w:val="center"/>
          </w:tcPr>
          <w:p w14:paraId="0BC3262D" w14:textId="77777777" w:rsidR="00764632" w:rsidRPr="00EE43C6" w:rsidRDefault="00764632" w:rsidP="00D5795A">
            <w:pPr>
              <w:spacing w:before="0" w:after="0" w:line="240" w:lineRule="auto"/>
              <w:jc w:val="center"/>
              <w:rPr>
                <w:rFonts w:cs="MS Gothic"/>
                <w:b/>
                <w:color w:val="FFFFFF" w:themeColor="background1"/>
                <w:sz w:val="18"/>
                <w:szCs w:val="18"/>
              </w:rPr>
            </w:pPr>
            <w:r w:rsidRPr="00EE43C6">
              <w:rPr>
                <w:rFonts w:cs="MS Gothic"/>
                <w:b/>
                <w:color w:val="FFFFFF" w:themeColor="background1"/>
                <w:sz w:val="18"/>
                <w:szCs w:val="18"/>
              </w:rPr>
              <w:t>SO</w:t>
            </w:r>
            <w:r w:rsidRPr="00EE43C6">
              <w:rPr>
                <w:rFonts w:cs="MS Gothic"/>
                <w:b/>
                <w:color w:val="FFFFFF" w:themeColor="background1"/>
                <w:sz w:val="18"/>
                <w:szCs w:val="18"/>
                <w:vertAlign w:val="subscript"/>
              </w:rPr>
              <w:t xml:space="preserve">2 </w:t>
            </w:r>
            <w:r w:rsidRPr="00EE43C6">
              <w:rPr>
                <w:rFonts w:cs="MS Gothic"/>
                <w:b/>
                <w:color w:val="FFFFFF" w:themeColor="background1"/>
                <w:sz w:val="18"/>
                <w:szCs w:val="18"/>
              </w:rPr>
              <w:t>(µg/m</w:t>
            </w:r>
            <w:r w:rsidRPr="00EE43C6">
              <w:rPr>
                <w:rFonts w:cs="MS Gothic"/>
                <w:b/>
                <w:color w:val="FFFFFF" w:themeColor="background1"/>
                <w:sz w:val="18"/>
                <w:szCs w:val="18"/>
                <w:vertAlign w:val="superscript"/>
              </w:rPr>
              <w:t>3</w:t>
            </w:r>
            <w:r w:rsidRPr="00EE43C6">
              <w:rPr>
                <w:rFonts w:cs="MS Gothic"/>
                <w:b/>
                <w:color w:val="FFFFFF" w:themeColor="background1"/>
                <w:sz w:val="18"/>
                <w:szCs w:val="18"/>
              </w:rPr>
              <w:t>)</w:t>
            </w:r>
          </w:p>
        </w:tc>
        <w:tc>
          <w:tcPr>
            <w:tcW w:w="747" w:type="pct"/>
            <w:shd w:val="clear" w:color="auto" w:fill="4F81BD"/>
            <w:vAlign w:val="center"/>
          </w:tcPr>
          <w:p w14:paraId="589C4DE9" w14:textId="77777777" w:rsidR="00764632" w:rsidRPr="00EE43C6" w:rsidRDefault="00764632" w:rsidP="00D5795A">
            <w:pPr>
              <w:spacing w:before="0" w:after="0" w:line="240" w:lineRule="auto"/>
              <w:jc w:val="center"/>
              <w:rPr>
                <w:rFonts w:cs="MS Gothic"/>
                <w:b/>
                <w:color w:val="FFFFFF" w:themeColor="background1"/>
                <w:sz w:val="18"/>
                <w:szCs w:val="18"/>
                <w:vertAlign w:val="subscript"/>
              </w:rPr>
            </w:pPr>
            <w:r w:rsidRPr="00EE43C6">
              <w:rPr>
                <w:rFonts w:cs="MS Gothic"/>
                <w:b/>
                <w:color w:val="FFFFFF" w:themeColor="background1"/>
                <w:sz w:val="18"/>
                <w:szCs w:val="18"/>
              </w:rPr>
              <w:t>PM</w:t>
            </w:r>
            <w:r w:rsidRPr="00EE43C6">
              <w:rPr>
                <w:rFonts w:cs="MS Gothic"/>
                <w:b/>
                <w:color w:val="FFFFFF" w:themeColor="background1"/>
                <w:sz w:val="18"/>
                <w:szCs w:val="18"/>
                <w:vertAlign w:val="subscript"/>
              </w:rPr>
              <w:t>10</w:t>
            </w:r>
          </w:p>
          <w:p w14:paraId="7F65BB02" w14:textId="77777777" w:rsidR="00764632" w:rsidRPr="00EE43C6" w:rsidRDefault="00764632" w:rsidP="00D5795A">
            <w:pPr>
              <w:spacing w:before="0" w:after="0" w:line="240" w:lineRule="auto"/>
              <w:jc w:val="center"/>
              <w:rPr>
                <w:rFonts w:cs="MS Gothic"/>
                <w:b/>
                <w:color w:val="FFFFFF" w:themeColor="background1"/>
                <w:sz w:val="18"/>
                <w:szCs w:val="18"/>
              </w:rPr>
            </w:pPr>
            <w:r w:rsidRPr="00EE43C6">
              <w:rPr>
                <w:rFonts w:cs="MS Gothic"/>
                <w:b/>
                <w:color w:val="FFFFFF" w:themeColor="background1"/>
                <w:sz w:val="18"/>
                <w:szCs w:val="18"/>
              </w:rPr>
              <w:t>(µg/m</w:t>
            </w:r>
            <w:r w:rsidRPr="00EE43C6">
              <w:rPr>
                <w:rFonts w:cs="MS Gothic"/>
                <w:b/>
                <w:color w:val="FFFFFF" w:themeColor="background1"/>
                <w:sz w:val="18"/>
                <w:szCs w:val="18"/>
                <w:vertAlign w:val="superscript"/>
              </w:rPr>
              <w:t>3</w:t>
            </w:r>
            <w:r w:rsidRPr="00EE43C6">
              <w:rPr>
                <w:rFonts w:cs="MS Gothic"/>
                <w:b/>
                <w:color w:val="FFFFFF" w:themeColor="background1"/>
                <w:sz w:val="18"/>
                <w:szCs w:val="18"/>
              </w:rPr>
              <w:t>)</w:t>
            </w:r>
          </w:p>
        </w:tc>
        <w:tc>
          <w:tcPr>
            <w:tcW w:w="874" w:type="pct"/>
            <w:shd w:val="clear" w:color="auto" w:fill="4F81BD"/>
            <w:vAlign w:val="center"/>
          </w:tcPr>
          <w:p w14:paraId="7CC433FC" w14:textId="77777777" w:rsidR="00764632" w:rsidRPr="00EE43C6" w:rsidRDefault="00764632" w:rsidP="00D5795A">
            <w:pPr>
              <w:spacing w:before="0" w:after="0" w:line="240" w:lineRule="auto"/>
              <w:jc w:val="center"/>
              <w:rPr>
                <w:rFonts w:cs="MS Gothic"/>
                <w:b/>
                <w:color w:val="FFFFFF" w:themeColor="background1"/>
                <w:sz w:val="18"/>
                <w:szCs w:val="18"/>
              </w:rPr>
            </w:pPr>
            <w:r w:rsidRPr="00EE43C6">
              <w:rPr>
                <w:rFonts w:cs="MS Gothic"/>
                <w:b/>
                <w:color w:val="FFFFFF" w:themeColor="background1"/>
                <w:sz w:val="18"/>
                <w:szCs w:val="18"/>
              </w:rPr>
              <w:t>CO</w:t>
            </w:r>
          </w:p>
          <w:p w14:paraId="0E0B38EB" w14:textId="77777777" w:rsidR="00764632" w:rsidRPr="00EE43C6" w:rsidRDefault="00764632" w:rsidP="00D5795A">
            <w:pPr>
              <w:spacing w:before="0" w:after="0" w:line="240" w:lineRule="auto"/>
              <w:jc w:val="center"/>
              <w:rPr>
                <w:rFonts w:cs="MS Gothic"/>
                <w:b/>
                <w:color w:val="FFFFFF" w:themeColor="background1"/>
                <w:sz w:val="18"/>
                <w:szCs w:val="18"/>
              </w:rPr>
            </w:pPr>
            <w:r w:rsidRPr="00EE43C6">
              <w:rPr>
                <w:rFonts w:cs="MS Gothic"/>
                <w:b/>
                <w:color w:val="FFFFFF" w:themeColor="background1"/>
                <w:sz w:val="18"/>
                <w:szCs w:val="18"/>
              </w:rPr>
              <w:t>(µg/m</w:t>
            </w:r>
            <w:r w:rsidRPr="00EE43C6">
              <w:rPr>
                <w:rFonts w:cs="MS Gothic"/>
                <w:b/>
                <w:color w:val="FFFFFF" w:themeColor="background1"/>
                <w:sz w:val="18"/>
                <w:szCs w:val="18"/>
                <w:vertAlign w:val="superscript"/>
              </w:rPr>
              <w:t>3</w:t>
            </w:r>
            <w:r w:rsidRPr="00EE43C6">
              <w:rPr>
                <w:rFonts w:cs="MS Gothic"/>
                <w:b/>
                <w:color w:val="FFFFFF" w:themeColor="background1"/>
                <w:sz w:val="18"/>
                <w:szCs w:val="18"/>
              </w:rPr>
              <w:t>)</w:t>
            </w:r>
          </w:p>
        </w:tc>
        <w:tc>
          <w:tcPr>
            <w:tcW w:w="861" w:type="pct"/>
            <w:shd w:val="clear" w:color="auto" w:fill="4F81BD"/>
            <w:vAlign w:val="center"/>
          </w:tcPr>
          <w:p w14:paraId="5F935846" w14:textId="77777777" w:rsidR="00764632" w:rsidRPr="00EE43C6" w:rsidRDefault="00764632" w:rsidP="00D5795A">
            <w:pPr>
              <w:spacing w:before="0" w:after="0" w:line="240" w:lineRule="auto"/>
              <w:jc w:val="center"/>
              <w:rPr>
                <w:rFonts w:cs="MS Gothic"/>
                <w:b/>
                <w:color w:val="FFFFFF" w:themeColor="background1"/>
                <w:sz w:val="18"/>
                <w:szCs w:val="18"/>
              </w:rPr>
            </w:pPr>
            <w:r w:rsidRPr="00EE43C6">
              <w:rPr>
                <w:rFonts w:cs="MS Gothic"/>
                <w:b/>
                <w:color w:val="FFFFFF" w:themeColor="background1"/>
                <w:sz w:val="18"/>
                <w:szCs w:val="18"/>
              </w:rPr>
              <w:t>NO</w:t>
            </w:r>
          </w:p>
          <w:p w14:paraId="32AE6B85" w14:textId="77777777" w:rsidR="00764632" w:rsidRPr="00EE43C6" w:rsidRDefault="00764632" w:rsidP="00D5795A">
            <w:pPr>
              <w:spacing w:before="0" w:after="0" w:line="240" w:lineRule="auto"/>
              <w:jc w:val="center"/>
              <w:rPr>
                <w:rFonts w:cs="MS Gothic"/>
                <w:b/>
                <w:color w:val="FFFFFF" w:themeColor="background1"/>
                <w:sz w:val="18"/>
                <w:szCs w:val="18"/>
              </w:rPr>
            </w:pPr>
            <w:r w:rsidRPr="00EE43C6">
              <w:rPr>
                <w:rFonts w:cs="MS Gothic"/>
                <w:b/>
                <w:color w:val="FFFFFF" w:themeColor="background1"/>
                <w:sz w:val="18"/>
                <w:szCs w:val="18"/>
              </w:rPr>
              <w:t>(µg/m</w:t>
            </w:r>
            <w:r w:rsidRPr="00EE43C6">
              <w:rPr>
                <w:rFonts w:cs="MS Gothic"/>
                <w:b/>
                <w:color w:val="FFFFFF" w:themeColor="background1"/>
                <w:sz w:val="18"/>
                <w:szCs w:val="18"/>
                <w:vertAlign w:val="superscript"/>
              </w:rPr>
              <w:t>3</w:t>
            </w:r>
            <w:r w:rsidRPr="00EE43C6">
              <w:rPr>
                <w:rFonts w:cs="MS Gothic"/>
                <w:b/>
                <w:color w:val="FFFFFF" w:themeColor="background1"/>
                <w:sz w:val="18"/>
                <w:szCs w:val="18"/>
              </w:rPr>
              <w:t>)</w:t>
            </w:r>
          </w:p>
        </w:tc>
        <w:tc>
          <w:tcPr>
            <w:tcW w:w="585" w:type="pct"/>
            <w:shd w:val="clear" w:color="auto" w:fill="4F81BD"/>
            <w:vAlign w:val="center"/>
          </w:tcPr>
          <w:p w14:paraId="685F8AFB" w14:textId="77777777" w:rsidR="00764632" w:rsidRPr="00EE43C6" w:rsidRDefault="00764632" w:rsidP="00D5795A">
            <w:pPr>
              <w:spacing w:before="0" w:after="0" w:line="240" w:lineRule="auto"/>
              <w:jc w:val="center"/>
              <w:rPr>
                <w:rFonts w:cs="MS Gothic"/>
                <w:b/>
                <w:color w:val="FFFFFF" w:themeColor="background1"/>
                <w:sz w:val="18"/>
                <w:szCs w:val="18"/>
                <w:vertAlign w:val="subscript"/>
              </w:rPr>
            </w:pPr>
            <w:r w:rsidRPr="00EE43C6">
              <w:rPr>
                <w:rFonts w:cs="MS Gothic"/>
                <w:b/>
                <w:color w:val="FFFFFF" w:themeColor="background1"/>
                <w:sz w:val="18"/>
                <w:szCs w:val="18"/>
              </w:rPr>
              <w:t>NO</w:t>
            </w:r>
            <w:r w:rsidRPr="00EE43C6">
              <w:rPr>
                <w:rFonts w:cs="MS Gothic"/>
                <w:b/>
                <w:color w:val="FFFFFF" w:themeColor="background1"/>
                <w:sz w:val="18"/>
                <w:szCs w:val="18"/>
                <w:vertAlign w:val="subscript"/>
              </w:rPr>
              <w:t>2</w:t>
            </w:r>
          </w:p>
          <w:p w14:paraId="3463ABD5" w14:textId="77777777" w:rsidR="00764632" w:rsidRPr="00EE43C6" w:rsidRDefault="00764632" w:rsidP="00D5795A">
            <w:pPr>
              <w:spacing w:before="0" w:after="0" w:line="240" w:lineRule="auto"/>
              <w:jc w:val="center"/>
              <w:rPr>
                <w:rFonts w:cs="MS Gothic"/>
                <w:b/>
                <w:color w:val="FFFFFF" w:themeColor="background1"/>
                <w:sz w:val="18"/>
                <w:szCs w:val="18"/>
              </w:rPr>
            </w:pPr>
            <w:r w:rsidRPr="00EE43C6">
              <w:rPr>
                <w:rFonts w:cs="MS Gothic"/>
                <w:b/>
                <w:color w:val="FFFFFF" w:themeColor="background1"/>
                <w:sz w:val="18"/>
                <w:szCs w:val="18"/>
              </w:rPr>
              <w:t>(µg/m</w:t>
            </w:r>
            <w:r w:rsidRPr="00EE43C6">
              <w:rPr>
                <w:rFonts w:cs="MS Gothic"/>
                <w:b/>
                <w:color w:val="FFFFFF" w:themeColor="background1"/>
                <w:sz w:val="18"/>
                <w:szCs w:val="18"/>
                <w:vertAlign w:val="superscript"/>
              </w:rPr>
              <w:t>3</w:t>
            </w:r>
            <w:r w:rsidRPr="00EE43C6">
              <w:rPr>
                <w:rFonts w:cs="MS Gothic"/>
                <w:b/>
                <w:color w:val="FFFFFF" w:themeColor="background1"/>
                <w:sz w:val="18"/>
                <w:szCs w:val="18"/>
              </w:rPr>
              <w:t>)</w:t>
            </w:r>
          </w:p>
        </w:tc>
        <w:tc>
          <w:tcPr>
            <w:tcW w:w="584" w:type="pct"/>
            <w:shd w:val="clear" w:color="auto" w:fill="4F81BD"/>
            <w:vAlign w:val="center"/>
          </w:tcPr>
          <w:p w14:paraId="6EC3CC63" w14:textId="77777777" w:rsidR="00764632" w:rsidRPr="00EE43C6" w:rsidRDefault="00764632" w:rsidP="00D5795A">
            <w:pPr>
              <w:spacing w:before="0" w:after="0" w:line="240" w:lineRule="auto"/>
              <w:jc w:val="center"/>
              <w:rPr>
                <w:rFonts w:cs="MS Gothic"/>
                <w:b/>
                <w:color w:val="FFFFFF" w:themeColor="background1"/>
                <w:sz w:val="18"/>
                <w:szCs w:val="18"/>
                <w:vertAlign w:val="subscript"/>
              </w:rPr>
            </w:pPr>
            <w:r w:rsidRPr="00EE43C6">
              <w:rPr>
                <w:rFonts w:cs="MS Gothic"/>
                <w:b/>
                <w:color w:val="FFFFFF" w:themeColor="background1"/>
                <w:sz w:val="18"/>
                <w:szCs w:val="18"/>
              </w:rPr>
              <w:t>NO</w:t>
            </w:r>
            <w:r w:rsidRPr="00EE43C6">
              <w:rPr>
                <w:rFonts w:cs="MS Gothic"/>
                <w:b/>
                <w:color w:val="FFFFFF" w:themeColor="background1"/>
                <w:sz w:val="18"/>
                <w:szCs w:val="18"/>
                <w:vertAlign w:val="subscript"/>
              </w:rPr>
              <w:t>x</w:t>
            </w:r>
          </w:p>
          <w:p w14:paraId="6884F324" w14:textId="77777777" w:rsidR="00764632" w:rsidRPr="00EE43C6" w:rsidRDefault="00764632" w:rsidP="00D5795A">
            <w:pPr>
              <w:spacing w:before="0" w:after="0" w:line="240" w:lineRule="auto"/>
              <w:jc w:val="center"/>
              <w:rPr>
                <w:rFonts w:cs="MS Gothic"/>
                <w:b/>
                <w:color w:val="FFFFFF" w:themeColor="background1"/>
                <w:sz w:val="18"/>
                <w:szCs w:val="18"/>
              </w:rPr>
            </w:pPr>
            <w:r w:rsidRPr="00EE43C6">
              <w:rPr>
                <w:rFonts w:cs="MS Gothic"/>
                <w:b/>
                <w:color w:val="FFFFFF" w:themeColor="background1"/>
                <w:sz w:val="18"/>
                <w:szCs w:val="18"/>
              </w:rPr>
              <w:t>(µg/m</w:t>
            </w:r>
            <w:r w:rsidRPr="00EE43C6">
              <w:rPr>
                <w:rFonts w:cs="MS Gothic"/>
                <w:b/>
                <w:color w:val="FFFFFF" w:themeColor="background1"/>
                <w:sz w:val="18"/>
                <w:szCs w:val="18"/>
                <w:vertAlign w:val="superscript"/>
              </w:rPr>
              <w:t>3</w:t>
            </w:r>
            <w:r w:rsidRPr="00EE43C6">
              <w:rPr>
                <w:rFonts w:cs="MS Gothic"/>
                <w:b/>
                <w:color w:val="FFFFFF" w:themeColor="background1"/>
                <w:sz w:val="18"/>
                <w:szCs w:val="18"/>
              </w:rPr>
              <w:t>)</w:t>
            </w:r>
          </w:p>
        </w:tc>
      </w:tr>
      <w:tr w:rsidR="00764632" w:rsidRPr="00EE43C6" w14:paraId="6B38287E" w14:textId="77777777" w:rsidTr="00D5795A">
        <w:trPr>
          <w:trHeight w:val="284"/>
          <w:jc w:val="center"/>
        </w:trPr>
        <w:tc>
          <w:tcPr>
            <w:tcW w:w="859" w:type="pct"/>
            <w:vAlign w:val="center"/>
          </w:tcPr>
          <w:p w14:paraId="0479E0FE" w14:textId="77777777" w:rsidR="00764632" w:rsidRPr="00EE43C6" w:rsidRDefault="00764632" w:rsidP="00D5795A">
            <w:pPr>
              <w:spacing w:before="0" w:after="0" w:line="240" w:lineRule="auto"/>
              <w:rPr>
                <w:rFonts w:cs="MS Gothic"/>
                <w:sz w:val="18"/>
                <w:szCs w:val="18"/>
              </w:rPr>
            </w:pPr>
            <w:r w:rsidRPr="00EE43C6">
              <w:rPr>
                <w:rFonts w:cs="MS Gothic"/>
                <w:sz w:val="18"/>
                <w:szCs w:val="18"/>
              </w:rPr>
              <w:t>January 2022</w:t>
            </w:r>
          </w:p>
        </w:tc>
        <w:tc>
          <w:tcPr>
            <w:tcW w:w="490" w:type="pct"/>
            <w:vAlign w:val="center"/>
          </w:tcPr>
          <w:p w14:paraId="52B91570" w14:textId="7F76614E" w:rsidR="00764632" w:rsidRPr="00EE43C6" w:rsidRDefault="005251DF" w:rsidP="00D5795A">
            <w:pPr>
              <w:spacing w:before="0" w:after="0" w:line="240" w:lineRule="auto"/>
              <w:jc w:val="center"/>
              <w:rPr>
                <w:rFonts w:cs="MS Gothic"/>
                <w:sz w:val="18"/>
                <w:szCs w:val="18"/>
              </w:rPr>
            </w:pPr>
            <w:r w:rsidRPr="00EE43C6">
              <w:rPr>
                <w:rFonts w:cs="MS Gothic"/>
                <w:sz w:val="18"/>
                <w:szCs w:val="18"/>
              </w:rPr>
              <w:t>11.37</w:t>
            </w:r>
          </w:p>
        </w:tc>
        <w:tc>
          <w:tcPr>
            <w:tcW w:w="747" w:type="pct"/>
            <w:vAlign w:val="center"/>
          </w:tcPr>
          <w:p w14:paraId="21784720" w14:textId="33FC7800" w:rsidR="00764632" w:rsidRPr="00EE43C6" w:rsidRDefault="00C11DB3" w:rsidP="00D5795A">
            <w:pPr>
              <w:spacing w:before="0" w:after="0" w:line="240" w:lineRule="auto"/>
              <w:jc w:val="center"/>
              <w:rPr>
                <w:rFonts w:cs="MS Gothic"/>
                <w:sz w:val="18"/>
                <w:szCs w:val="18"/>
              </w:rPr>
            </w:pPr>
            <w:r w:rsidRPr="00EE43C6">
              <w:rPr>
                <w:rFonts w:cs="MS Gothic"/>
                <w:sz w:val="18"/>
                <w:szCs w:val="18"/>
              </w:rPr>
              <w:t>49.72</w:t>
            </w:r>
          </w:p>
        </w:tc>
        <w:tc>
          <w:tcPr>
            <w:tcW w:w="874" w:type="pct"/>
            <w:vAlign w:val="center"/>
          </w:tcPr>
          <w:p w14:paraId="1E4D5D82" w14:textId="6FF490D6" w:rsidR="00764632" w:rsidRPr="00EE43C6" w:rsidRDefault="00D972EB" w:rsidP="00D5795A">
            <w:pPr>
              <w:spacing w:before="0" w:after="0" w:line="240" w:lineRule="auto"/>
              <w:jc w:val="center"/>
              <w:rPr>
                <w:rFonts w:cs="MS Gothic"/>
                <w:sz w:val="18"/>
                <w:szCs w:val="18"/>
              </w:rPr>
            </w:pPr>
            <w:r w:rsidRPr="00EE43C6">
              <w:rPr>
                <w:rFonts w:cs="MS Gothic"/>
                <w:sz w:val="18"/>
                <w:szCs w:val="18"/>
              </w:rPr>
              <w:t>751.35</w:t>
            </w:r>
          </w:p>
        </w:tc>
        <w:tc>
          <w:tcPr>
            <w:tcW w:w="861" w:type="pct"/>
            <w:vAlign w:val="center"/>
          </w:tcPr>
          <w:p w14:paraId="190917A0" w14:textId="60BD0ACF" w:rsidR="00764632" w:rsidRPr="00EE43C6" w:rsidRDefault="00E86BF3" w:rsidP="00D5795A">
            <w:pPr>
              <w:spacing w:before="0" w:after="0" w:line="240" w:lineRule="auto"/>
              <w:jc w:val="center"/>
              <w:rPr>
                <w:rFonts w:cs="MS Gothic"/>
                <w:sz w:val="18"/>
                <w:szCs w:val="18"/>
              </w:rPr>
            </w:pPr>
            <w:r w:rsidRPr="00EE43C6">
              <w:rPr>
                <w:rFonts w:cs="MS Gothic"/>
                <w:sz w:val="18"/>
                <w:szCs w:val="18"/>
              </w:rPr>
              <w:t>16.87</w:t>
            </w:r>
          </w:p>
        </w:tc>
        <w:tc>
          <w:tcPr>
            <w:tcW w:w="585" w:type="pct"/>
            <w:vAlign w:val="center"/>
          </w:tcPr>
          <w:p w14:paraId="0CDC0EF9" w14:textId="621ED91C" w:rsidR="00764632" w:rsidRPr="00EE43C6" w:rsidRDefault="003A1821" w:rsidP="00D5795A">
            <w:pPr>
              <w:spacing w:before="0" w:after="0" w:line="240" w:lineRule="auto"/>
              <w:jc w:val="center"/>
              <w:rPr>
                <w:rFonts w:cs="MS Gothic"/>
                <w:sz w:val="18"/>
                <w:szCs w:val="18"/>
              </w:rPr>
            </w:pPr>
            <w:r w:rsidRPr="00EE43C6">
              <w:rPr>
                <w:rFonts w:cs="MS Gothic"/>
                <w:sz w:val="18"/>
                <w:szCs w:val="18"/>
              </w:rPr>
              <w:t>41.17</w:t>
            </w:r>
          </w:p>
        </w:tc>
        <w:tc>
          <w:tcPr>
            <w:tcW w:w="584" w:type="pct"/>
            <w:vAlign w:val="center"/>
          </w:tcPr>
          <w:p w14:paraId="7137229F" w14:textId="3DFEFF4D" w:rsidR="00764632" w:rsidRPr="00EE43C6" w:rsidRDefault="003A1821" w:rsidP="00D5795A">
            <w:pPr>
              <w:spacing w:before="0" w:after="0" w:line="240" w:lineRule="auto"/>
              <w:jc w:val="center"/>
              <w:rPr>
                <w:rFonts w:cs="MS Gothic"/>
                <w:sz w:val="18"/>
                <w:szCs w:val="18"/>
              </w:rPr>
            </w:pPr>
            <w:r w:rsidRPr="00EE43C6">
              <w:rPr>
                <w:rFonts w:cs="MS Gothic"/>
                <w:sz w:val="18"/>
                <w:szCs w:val="18"/>
              </w:rPr>
              <w:t>58.11</w:t>
            </w:r>
          </w:p>
        </w:tc>
      </w:tr>
      <w:tr w:rsidR="00764632" w:rsidRPr="00EE43C6" w14:paraId="45BDA7AC" w14:textId="77777777" w:rsidTr="00D5795A">
        <w:trPr>
          <w:trHeight w:val="284"/>
          <w:jc w:val="center"/>
        </w:trPr>
        <w:tc>
          <w:tcPr>
            <w:tcW w:w="859" w:type="pct"/>
            <w:vAlign w:val="center"/>
          </w:tcPr>
          <w:p w14:paraId="647657FE" w14:textId="77777777" w:rsidR="00764632" w:rsidRPr="00EE43C6" w:rsidRDefault="00764632" w:rsidP="00D5795A">
            <w:pPr>
              <w:spacing w:before="0" w:after="0" w:line="240" w:lineRule="auto"/>
              <w:rPr>
                <w:rFonts w:cs="MS Gothic"/>
                <w:sz w:val="18"/>
                <w:szCs w:val="18"/>
              </w:rPr>
            </w:pPr>
            <w:r w:rsidRPr="00EE43C6">
              <w:rPr>
                <w:rFonts w:cs="MS Gothic"/>
                <w:sz w:val="18"/>
                <w:szCs w:val="18"/>
              </w:rPr>
              <w:t>February 2022</w:t>
            </w:r>
          </w:p>
        </w:tc>
        <w:tc>
          <w:tcPr>
            <w:tcW w:w="490" w:type="pct"/>
            <w:vAlign w:val="center"/>
          </w:tcPr>
          <w:p w14:paraId="2B1A8C9B" w14:textId="585C6B6E" w:rsidR="00764632" w:rsidRPr="00EE43C6" w:rsidRDefault="00731194" w:rsidP="00D5795A">
            <w:pPr>
              <w:spacing w:before="0" w:after="0" w:line="240" w:lineRule="auto"/>
              <w:jc w:val="center"/>
              <w:rPr>
                <w:rFonts w:cs="MS Gothic"/>
                <w:sz w:val="18"/>
                <w:szCs w:val="18"/>
              </w:rPr>
            </w:pPr>
            <w:r w:rsidRPr="00EE43C6">
              <w:rPr>
                <w:rFonts w:cs="MS Gothic"/>
                <w:sz w:val="18"/>
                <w:szCs w:val="18"/>
              </w:rPr>
              <w:t>9.82</w:t>
            </w:r>
          </w:p>
        </w:tc>
        <w:tc>
          <w:tcPr>
            <w:tcW w:w="747" w:type="pct"/>
            <w:vAlign w:val="center"/>
          </w:tcPr>
          <w:p w14:paraId="3490EE47" w14:textId="70A9F5D4" w:rsidR="00764632" w:rsidRPr="00EE43C6" w:rsidRDefault="00171D22" w:rsidP="00D5795A">
            <w:pPr>
              <w:spacing w:before="0" w:after="0" w:line="240" w:lineRule="auto"/>
              <w:jc w:val="center"/>
              <w:rPr>
                <w:rFonts w:cs="MS Gothic"/>
                <w:sz w:val="18"/>
                <w:szCs w:val="18"/>
              </w:rPr>
            </w:pPr>
            <w:r w:rsidRPr="00EE43C6">
              <w:rPr>
                <w:rFonts w:cs="MS Gothic"/>
                <w:sz w:val="18"/>
                <w:szCs w:val="18"/>
              </w:rPr>
              <w:t>61.69</w:t>
            </w:r>
          </w:p>
        </w:tc>
        <w:tc>
          <w:tcPr>
            <w:tcW w:w="874" w:type="pct"/>
            <w:vAlign w:val="center"/>
          </w:tcPr>
          <w:p w14:paraId="3711D6B6" w14:textId="4D2733DB" w:rsidR="00764632" w:rsidRPr="00EE43C6" w:rsidRDefault="00171D22" w:rsidP="00D5795A">
            <w:pPr>
              <w:spacing w:before="0" w:after="0" w:line="240" w:lineRule="auto"/>
              <w:jc w:val="center"/>
              <w:rPr>
                <w:rFonts w:cs="MS Gothic"/>
                <w:sz w:val="18"/>
                <w:szCs w:val="18"/>
              </w:rPr>
            </w:pPr>
            <w:r w:rsidRPr="00EE43C6">
              <w:rPr>
                <w:rFonts w:cs="MS Gothic"/>
                <w:sz w:val="18"/>
                <w:szCs w:val="18"/>
              </w:rPr>
              <w:t>698.82</w:t>
            </w:r>
          </w:p>
        </w:tc>
        <w:tc>
          <w:tcPr>
            <w:tcW w:w="861" w:type="pct"/>
            <w:vAlign w:val="center"/>
          </w:tcPr>
          <w:p w14:paraId="4266D172" w14:textId="013830EB" w:rsidR="00764632" w:rsidRPr="00EE43C6" w:rsidRDefault="00C51B3F" w:rsidP="00D5795A">
            <w:pPr>
              <w:spacing w:before="0" w:after="0" w:line="240" w:lineRule="auto"/>
              <w:jc w:val="center"/>
              <w:rPr>
                <w:rFonts w:cs="MS Gothic"/>
                <w:sz w:val="18"/>
                <w:szCs w:val="18"/>
              </w:rPr>
            </w:pPr>
            <w:r w:rsidRPr="00EE43C6">
              <w:rPr>
                <w:rFonts w:cs="MS Gothic"/>
                <w:sz w:val="18"/>
                <w:szCs w:val="18"/>
              </w:rPr>
              <w:t>21.15</w:t>
            </w:r>
          </w:p>
        </w:tc>
        <w:tc>
          <w:tcPr>
            <w:tcW w:w="585" w:type="pct"/>
            <w:vAlign w:val="center"/>
          </w:tcPr>
          <w:p w14:paraId="7D7DC745" w14:textId="6EF6B536" w:rsidR="00764632" w:rsidRPr="00EE43C6" w:rsidRDefault="00C51B3F" w:rsidP="00D5795A">
            <w:pPr>
              <w:spacing w:before="0" w:after="0" w:line="240" w:lineRule="auto"/>
              <w:jc w:val="center"/>
              <w:rPr>
                <w:rFonts w:cs="MS Gothic"/>
                <w:sz w:val="18"/>
                <w:szCs w:val="18"/>
              </w:rPr>
            </w:pPr>
            <w:r w:rsidRPr="00EE43C6">
              <w:rPr>
                <w:rFonts w:cs="MS Gothic"/>
                <w:sz w:val="18"/>
                <w:szCs w:val="18"/>
              </w:rPr>
              <w:t>53.96</w:t>
            </w:r>
          </w:p>
        </w:tc>
        <w:tc>
          <w:tcPr>
            <w:tcW w:w="584" w:type="pct"/>
            <w:vAlign w:val="center"/>
          </w:tcPr>
          <w:p w14:paraId="5D529F7F" w14:textId="6EC1465E" w:rsidR="00764632" w:rsidRPr="00EE43C6" w:rsidRDefault="00931C97" w:rsidP="00D5795A">
            <w:pPr>
              <w:spacing w:before="0" w:after="0" w:line="240" w:lineRule="auto"/>
              <w:jc w:val="center"/>
              <w:rPr>
                <w:rFonts w:cs="MS Gothic"/>
                <w:sz w:val="18"/>
                <w:szCs w:val="18"/>
              </w:rPr>
            </w:pPr>
            <w:r w:rsidRPr="00EE43C6">
              <w:rPr>
                <w:rFonts w:cs="MS Gothic"/>
                <w:sz w:val="18"/>
                <w:szCs w:val="18"/>
              </w:rPr>
              <w:t>75.15</w:t>
            </w:r>
          </w:p>
        </w:tc>
      </w:tr>
      <w:tr w:rsidR="00764632" w:rsidRPr="00EE43C6" w14:paraId="5B7FA63E" w14:textId="77777777" w:rsidTr="00D5795A">
        <w:trPr>
          <w:trHeight w:val="284"/>
          <w:jc w:val="center"/>
        </w:trPr>
        <w:tc>
          <w:tcPr>
            <w:tcW w:w="859" w:type="pct"/>
            <w:vAlign w:val="center"/>
          </w:tcPr>
          <w:p w14:paraId="17D657D7" w14:textId="77777777" w:rsidR="00764632" w:rsidRPr="00EE43C6" w:rsidRDefault="00764632" w:rsidP="00D5795A">
            <w:pPr>
              <w:spacing w:before="0" w:after="0" w:line="240" w:lineRule="auto"/>
              <w:rPr>
                <w:rFonts w:cs="MS Gothic"/>
                <w:sz w:val="18"/>
                <w:szCs w:val="18"/>
              </w:rPr>
            </w:pPr>
            <w:r w:rsidRPr="00EE43C6">
              <w:rPr>
                <w:rFonts w:cs="MS Gothic"/>
                <w:sz w:val="18"/>
                <w:szCs w:val="18"/>
              </w:rPr>
              <w:lastRenderedPageBreak/>
              <w:t>March 2022</w:t>
            </w:r>
          </w:p>
        </w:tc>
        <w:tc>
          <w:tcPr>
            <w:tcW w:w="490" w:type="pct"/>
            <w:vAlign w:val="center"/>
          </w:tcPr>
          <w:p w14:paraId="14F48B3B" w14:textId="21F5B7F1" w:rsidR="00764632" w:rsidRPr="00EE43C6" w:rsidRDefault="008C001A" w:rsidP="00D5795A">
            <w:pPr>
              <w:spacing w:before="0" w:after="0" w:line="240" w:lineRule="auto"/>
              <w:jc w:val="center"/>
              <w:rPr>
                <w:rFonts w:cs="MS Gothic"/>
                <w:sz w:val="18"/>
                <w:szCs w:val="18"/>
              </w:rPr>
            </w:pPr>
            <w:r w:rsidRPr="00EE43C6">
              <w:rPr>
                <w:rFonts w:cs="MS Gothic"/>
                <w:sz w:val="18"/>
                <w:szCs w:val="18"/>
              </w:rPr>
              <w:t>7.96</w:t>
            </w:r>
          </w:p>
        </w:tc>
        <w:tc>
          <w:tcPr>
            <w:tcW w:w="747" w:type="pct"/>
            <w:vAlign w:val="center"/>
          </w:tcPr>
          <w:p w14:paraId="048E0BC9" w14:textId="16DA020F" w:rsidR="00764632" w:rsidRPr="00EE43C6" w:rsidRDefault="00242E88" w:rsidP="00D5795A">
            <w:pPr>
              <w:spacing w:before="0" w:after="0" w:line="240" w:lineRule="auto"/>
              <w:jc w:val="center"/>
              <w:rPr>
                <w:rFonts w:cs="MS Gothic"/>
                <w:sz w:val="18"/>
                <w:szCs w:val="18"/>
              </w:rPr>
            </w:pPr>
            <w:r w:rsidRPr="00EE43C6">
              <w:rPr>
                <w:rFonts w:cs="MS Gothic"/>
                <w:sz w:val="18"/>
                <w:szCs w:val="18"/>
              </w:rPr>
              <w:t>47.63</w:t>
            </w:r>
          </w:p>
        </w:tc>
        <w:tc>
          <w:tcPr>
            <w:tcW w:w="874" w:type="pct"/>
            <w:vAlign w:val="center"/>
          </w:tcPr>
          <w:p w14:paraId="5866DE15" w14:textId="62C24695" w:rsidR="00764632" w:rsidRPr="00EE43C6" w:rsidRDefault="00242E88" w:rsidP="00D5795A">
            <w:pPr>
              <w:spacing w:before="0" w:after="0" w:line="240" w:lineRule="auto"/>
              <w:jc w:val="center"/>
              <w:rPr>
                <w:rFonts w:cs="MS Gothic"/>
                <w:sz w:val="18"/>
                <w:szCs w:val="18"/>
              </w:rPr>
            </w:pPr>
            <w:r w:rsidRPr="00EE43C6">
              <w:rPr>
                <w:rFonts w:cs="MS Gothic"/>
                <w:sz w:val="18"/>
                <w:szCs w:val="18"/>
              </w:rPr>
              <w:t>580.78</w:t>
            </w:r>
          </w:p>
        </w:tc>
        <w:tc>
          <w:tcPr>
            <w:tcW w:w="861" w:type="pct"/>
            <w:vAlign w:val="center"/>
          </w:tcPr>
          <w:p w14:paraId="7D62B114" w14:textId="465844C5" w:rsidR="00764632" w:rsidRPr="00EE43C6" w:rsidRDefault="00242E88" w:rsidP="00D5795A">
            <w:pPr>
              <w:spacing w:before="0" w:after="0" w:line="240" w:lineRule="auto"/>
              <w:jc w:val="center"/>
              <w:rPr>
                <w:rFonts w:cs="MS Gothic"/>
                <w:sz w:val="18"/>
                <w:szCs w:val="18"/>
              </w:rPr>
            </w:pPr>
            <w:r w:rsidRPr="00EE43C6">
              <w:rPr>
                <w:rFonts w:cs="MS Gothic"/>
                <w:sz w:val="18"/>
                <w:szCs w:val="18"/>
              </w:rPr>
              <w:t>10.43</w:t>
            </w:r>
          </w:p>
        </w:tc>
        <w:tc>
          <w:tcPr>
            <w:tcW w:w="585" w:type="pct"/>
            <w:vAlign w:val="center"/>
          </w:tcPr>
          <w:p w14:paraId="4E304A38" w14:textId="69BE6B03" w:rsidR="00764632" w:rsidRPr="00EE43C6" w:rsidRDefault="00100569" w:rsidP="00D5795A">
            <w:pPr>
              <w:spacing w:before="0" w:after="0" w:line="240" w:lineRule="auto"/>
              <w:jc w:val="center"/>
              <w:rPr>
                <w:rFonts w:cs="MS Gothic"/>
                <w:sz w:val="18"/>
                <w:szCs w:val="18"/>
              </w:rPr>
            </w:pPr>
            <w:r w:rsidRPr="00EE43C6">
              <w:rPr>
                <w:rFonts w:cs="MS Gothic"/>
                <w:sz w:val="18"/>
                <w:szCs w:val="18"/>
              </w:rPr>
              <w:t>38.37</w:t>
            </w:r>
          </w:p>
        </w:tc>
        <w:tc>
          <w:tcPr>
            <w:tcW w:w="584" w:type="pct"/>
            <w:vAlign w:val="center"/>
          </w:tcPr>
          <w:p w14:paraId="2D9C2D39" w14:textId="301EE782" w:rsidR="00764632" w:rsidRPr="00EE43C6" w:rsidRDefault="00100569" w:rsidP="00D5795A">
            <w:pPr>
              <w:spacing w:before="0" w:after="0" w:line="240" w:lineRule="auto"/>
              <w:jc w:val="center"/>
              <w:rPr>
                <w:rFonts w:cs="MS Gothic"/>
                <w:sz w:val="18"/>
                <w:szCs w:val="18"/>
              </w:rPr>
            </w:pPr>
            <w:r w:rsidRPr="00EE43C6">
              <w:rPr>
                <w:rFonts w:cs="MS Gothic"/>
                <w:sz w:val="18"/>
                <w:szCs w:val="18"/>
              </w:rPr>
              <w:t>48.83</w:t>
            </w:r>
          </w:p>
        </w:tc>
      </w:tr>
      <w:tr w:rsidR="00764632" w:rsidRPr="00EE43C6" w14:paraId="021FEE5A" w14:textId="77777777" w:rsidTr="00D5795A">
        <w:trPr>
          <w:trHeight w:val="284"/>
          <w:jc w:val="center"/>
        </w:trPr>
        <w:tc>
          <w:tcPr>
            <w:tcW w:w="859" w:type="pct"/>
            <w:vAlign w:val="center"/>
          </w:tcPr>
          <w:p w14:paraId="4B197DC0" w14:textId="77777777" w:rsidR="00764632" w:rsidRPr="00EE43C6" w:rsidRDefault="00764632" w:rsidP="00D5795A">
            <w:pPr>
              <w:spacing w:before="0" w:after="0" w:line="240" w:lineRule="auto"/>
              <w:rPr>
                <w:rFonts w:cs="MS Gothic"/>
                <w:sz w:val="18"/>
                <w:szCs w:val="18"/>
              </w:rPr>
            </w:pPr>
            <w:r w:rsidRPr="00EE43C6">
              <w:rPr>
                <w:rFonts w:cs="MS Gothic"/>
                <w:sz w:val="18"/>
                <w:szCs w:val="18"/>
              </w:rPr>
              <w:t>April 2022</w:t>
            </w:r>
          </w:p>
        </w:tc>
        <w:tc>
          <w:tcPr>
            <w:tcW w:w="490" w:type="pct"/>
            <w:vAlign w:val="center"/>
          </w:tcPr>
          <w:p w14:paraId="2BFA17CD" w14:textId="205C8101" w:rsidR="00764632" w:rsidRPr="00EE43C6" w:rsidRDefault="003F6557" w:rsidP="00D5795A">
            <w:pPr>
              <w:spacing w:before="0" w:after="0" w:line="240" w:lineRule="auto"/>
              <w:jc w:val="center"/>
              <w:rPr>
                <w:rFonts w:cs="MS Gothic"/>
                <w:sz w:val="18"/>
                <w:szCs w:val="18"/>
              </w:rPr>
            </w:pPr>
            <w:r w:rsidRPr="00EE43C6">
              <w:rPr>
                <w:rFonts w:cs="MS Gothic"/>
                <w:sz w:val="18"/>
                <w:szCs w:val="18"/>
              </w:rPr>
              <w:t>6.39</w:t>
            </w:r>
          </w:p>
        </w:tc>
        <w:tc>
          <w:tcPr>
            <w:tcW w:w="747" w:type="pct"/>
            <w:vAlign w:val="center"/>
          </w:tcPr>
          <w:p w14:paraId="346FE046" w14:textId="731DC832" w:rsidR="00764632" w:rsidRPr="00EE43C6" w:rsidRDefault="003F6557" w:rsidP="00D5795A">
            <w:pPr>
              <w:spacing w:before="0" w:after="0" w:line="240" w:lineRule="auto"/>
              <w:jc w:val="center"/>
              <w:rPr>
                <w:rFonts w:cs="MS Gothic"/>
                <w:sz w:val="18"/>
                <w:szCs w:val="18"/>
              </w:rPr>
            </w:pPr>
            <w:r w:rsidRPr="00EE43C6">
              <w:rPr>
                <w:rFonts w:cs="MS Gothic"/>
                <w:sz w:val="18"/>
                <w:szCs w:val="18"/>
              </w:rPr>
              <w:t>76.64</w:t>
            </w:r>
          </w:p>
        </w:tc>
        <w:tc>
          <w:tcPr>
            <w:tcW w:w="874" w:type="pct"/>
            <w:vAlign w:val="center"/>
          </w:tcPr>
          <w:p w14:paraId="42FBBE3D" w14:textId="22A2A550" w:rsidR="00764632" w:rsidRPr="00EE43C6" w:rsidRDefault="004B73EA" w:rsidP="00D5795A">
            <w:pPr>
              <w:spacing w:before="0" w:after="0" w:line="240" w:lineRule="auto"/>
              <w:jc w:val="center"/>
              <w:rPr>
                <w:rFonts w:cs="MS Gothic"/>
                <w:sz w:val="18"/>
                <w:szCs w:val="18"/>
              </w:rPr>
            </w:pPr>
            <w:r w:rsidRPr="00EE43C6">
              <w:rPr>
                <w:rFonts w:cs="MS Gothic"/>
                <w:sz w:val="18"/>
                <w:szCs w:val="18"/>
              </w:rPr>
              <w:t>317.60</w:t>
            </w:r>
          </w:p>
        </w:tc>
        <w:tc>
          <w:tcPr>
            <w:tcW w:w="861" w:type="pct"/>
            <w:vAlign w:val="center"/>
          </w:tcPr>
          <w:p w14:paraId="4EBDF7B6" w14:textId="0624735B" w:rsidR="00764632" w:rsidRPr="00EE43C6" w:rsidRDefault="004B73EA" w:rsidP="00D5795A">
            <w:pPr>
              <w:spacing w:before="0" w:after="0" w:line="240" w:lineRule="auto"/>
              <w:jc w:val="center"/>
              <w:rPr>
                <w:rFonts w:cs="MS Gothic"/>
                <w:sz w:val="18"/>
                <w:szCs w:val="18"/>
              </w:rPr>
            </w:pPr>
            <w:r w:rsidRPr="00EE43C6">
              <w:rPr>
                <w:rFonts w:cs="MS Gothic"/>
                <w:sz w:val="18"/>
                <w:szCs w:val="18"/>
              </w:rPr>
              <w:t>8.47</w:t>
            </w:r>
          </w:p>
        </w:tc>
        <w:tc>
          <w:tcPr>
            <w:tcW w:w="585" w:type="pct"/>
            <w:vAlign w:val="center"/>
          </w:tcPr>
          <w:p w14:paraId="68D4DAE1" w14:textId="603EC9DA" w:rsidR="00764632" w:rsidRPr="00EE43C6" w:rsidRDefault="008B02BE" w:rsidP="00D5795A">
            <w:pPr>
              <w:spacing w:before="0" w:after="0" w:line="240" w:lineRule="auto"/>
              <w:jc w:val="center"/>
              <w:rPr>
                <w:rFonts w:cs="MS Gothic"/>
                <w:sz w:val="18"/>
                <w:szCs w:val="18"/>
              </w:rPr>
            </w:pPr>
            <w:r w:rsidRPr="00EE43C6">
              <w:rPr>
                <w:rFonts w:cs="MS Gothic"/>
                <w:sz w:val="18"/>
                <w:szCs w:val="18"/>
              </w:rPr>
              <w:t>30.49</w:t>
            </w:r>
          </w:p>
        </w:tc>
        <w:tc>
          <w:tcPr>
            <w:tcW w:w="584" w:type="pct"/>
            <w:vAlign w:val="center"/>
          </w:tcPr>
          <w:p w14:paraId="48DDDACE" w14:textId="0EF40084" w:rsidR="00764632" w:rsidRPr="00EE43C6" w:rsidRDefault="008B02BE" w:rsidP="00D5795A">
            <w:pPr>
              <w:spacing w:before="0" w:after="0" w:line="240" w:lineRule="auto"/>
              <w:jc w:val="center"/>
              <w:rPr>
                <w:rFonts w:cs="MS Gothic"/>
                <w:sz w:val="18"/>
                <w:szCs w:val="18"/>
              </w:rPr>
            </w:pPr>
            <w:r w:rsidRPr="00EE43C6">
              <w:rPr>
                <w:rFonts w:cs="MS Gothic"/>
                <w:sz w:val="18"/>
                <w:szCs w:val="18"/>
              </w:rPr>
              <w:t>39.02</w:t>
            </w:r>
          </w:p>
        </w:tc>
      </w:tr>
      <w:tr w:rsidR="00764632" w:rsidRPr="00EE43C6" w14:paraId="3AFADBCD" w14:textId="77777777" w:rsidTr="00D5795A">
        <w:trPr>
          <w:trHeight w:val="284"/>
          <w:jc w:val="center"/>
        </w:trPr>
        <w:tc>
          <w:tcPr>
            <w:tcW w:w="859" w:type="pct"/>
            <w:vAlign w:val="center"/>
          </w:tcPr>
          <w:p w14:paraId="1E079A2F" w14:textId="77777777" w:rsidR="00764632" w:rsidRPr="00EE43C6" w:rsidRDefault="00764632" w:rsidP="00D5795A">
            <w:pPr>
              <w:spacing w:before="0" w:after="0" w:line="240" w:lineRule="auto"/>
              <w:rPr>
                <w:rFonts w:cs="MS Gothic"/>
                <w:sz w:val="18"/>
                <w:szCs w:val="18"/>
              </w:rPr>
            </w:pPr>
            <w:r w:rsidRPr="00EE43C6">
              <w:rPr>
                <w:rFonts w:cs="MS Gothic"/>
                <w:sz w:val="18"/>
                <w:szCs w:val="18"/>
              </w:rPr>
              <w:t>May 2022</w:t>
            </w:r>
          </w:p>
        </w:tc>
        <w:tc>
          <w:tcPr>
            <w:tcW w:w="490" w:type="pct"/>
            <w:vAlign w:val="center"/>
          </w:tcPr>
          <w:p w14:paraId="24B2CC5A" w14:textId="21529CE2" w:rsidR="00764632" w:rsidRPr="00EE43C6" w:rsidRDefault="00CB2B23" w:rsidP="00D5795A">
            <w:pPr>
              <w:spacing w:before="0" w:after="0" w:line="240" w:lineRule="auto"/>
              <w:jc w:val="center"/>
              <w:rPr>
                <w:rFonts w:cs="MS Gothic"/>
                <w:sz w:val="18"/>
                <w:szCs w:val="18"/>
              </w:rPr>
            </w:pPr>
            <w:r w:rsidRPr="00EE43C6">
              <w:rPr>
                <w:rFonts w:cs="MS Gothic"/>
                <w:sz w:val="18"/>
                <w:szCs w:val="18"/>
              </w:rPr>
              <w:t>5.39</w:t>
            </w:r>
          </w:p>
        </w:tc>
        <w:tc>
          <w:tcPr>
            <w:tcW w:w="747" w:type="pct"/>
            <w:vAlign w:val="center"/>
          </w:tcPr>
          <w:p w14:paraId="7A5669EA" w14:textId="120FCCC5" w:rsidR="00764632" w:rsidRPr="00EE43C6" w:rsidRDefault="00CB2B23" w:rsidP="00D5795A">
            <w:pPr>
              <w:spacing w:before="0" w:after="0" w:line="240" w:lineRule="auto"/>
              <w:jc w:val="center"/>
              <w:rPr>
                <w:rFonts w:cs="MS Gothic"/>
                <w:sz w:val="18"/>
                <w:szCs w:val="18"/>
              </w:rPr>
            </w:pPr>
            <w:r w:rsidRPr="00EE43C6">
              <w:rPr>
                <w:rFonts w:cs="MS Gothic"/>
                <w:sz w:val="18"/>
                <w:szCs w:val="18"/>
              </w:rPr>
              <w:t>52.71</w:t>
            </w:r>
          </w:p>
        </w:tc>
        <w:tc>
          <w:tcPr>
            <w:tcW w:w="874" w:type="pct"/>
            <w:vAlign w:val="center"/>
          </w:tcPr>
          <w:p w14:paraId="602A3250" w14:textId="73BB62BB" w:rsidR="00764632" w:rsidRPr="00EE43C6" w:rsidRDefault="002B12AB" w:rsidP="00D5795A">
            <w:pPr>
              <w:spacing w:before="0" w:after="0" w:line="240" w:lineRule="auto"/>
              <w:jc w:val="center"/>
              <w:rPr>
                <w:rFonts w:cs="MS Gothic"/>
                <w:sz w:val="18"/>
                <w:szCs w:val="18"/>
              </w:rPr>
            </w:pPr>
            <w:r w:rsidRPr="00EE43C6">
              <w:rPr>
                <w:rFonts w:cs="MS Gothic"/>
                <w:sz w:val="18"/>
                <w:szCs w:val="18"/>
              </w:rPr>
              <w:t>268.16</w:t>
            </w:r>
          </w:p>
        </w:tc>
        <w:tc>
          <w:tcPr>
            <w:tcW w:w="861" w:type="pct"/>
            <w:vAlign w:val="center"/>
          </w:tcPr>
          <w:p w14:paraId="4DD90E17" w14:textId="76C7A6F4" w:rsidR="00764632" w:rsidRPr="00EE43C6" w:rsidRDefault="002B12AB" w:rsidP="00D5795A">
            <w:pPr>
              <w:spacing w:before="0" w:after="0" w:line="240" w:lineRule="auto"/>
              <w:jc w:val="center"/>
              <w:rPr>
                <w:rFonts w:cs="MS Gothic"/>
                <w:sz w:val="18"/>
                <w:szCs w:val="18"/>
              </w:rPr>
            </w:pPr>
            <w:r w:rsidRPr="00EE43C6">
              <w:rPr>
                <w:rFonts w:cs="MS Gothic"/>
                <w:sz w:val="18"/>
                <w:szCs w:val="18"/>
              </w:rPr>
              <w:t>-</w:t>
            </w:r>
          </w:p>
        </w:tc>
        <w:tc>
          <w:tcPr>
            <w:tcW w:w="585" w:type="pct"/>
            <w:vAlign w:val="center"/>
          </w:tcPr>
          <w:p w14:paraId="1AFE58D5" w14:textId="645CC4C4" w:rsidR="00764632" w:rsidRPr="00EE43C6" w:rsidRDefault="002B12AB" w:rsidP="00D5795A">
            <w:pPr>
              <w:spacing w:before="0" w:after="0" w:line="240" w:lineRule="auto"/>
              <w:jc w:val="center"/>
              <w:rPr>
                <w:rFonts w:cs="MS Gothic"/>
                <w:sz w:val="18"/>
                <w:szCs w:val="18"/>
              </w:rPr>
            </w:pPr>
            <w:r w:rsidRPr="00EE43C6">
              <w:rPr>
                <w:rFonts w:cs="MS Gothic"/>
                <w:sz w:val="18"/>
                <w:szCs w:val="18"/>
              </w:rPr>
              <w:t>-</w:t>
            </w:r>
          </w:p>
        </w:tc>
        <w:tc>
          <w:tcPr>
            <w:tcW w:w="584" w:type="pct"/>
            <w:vAlign w:val="center"/>
          </w:tcPr>
          <w:p w14:paraId="2AA29A01" w14:textId="55F58338" w:rsidR="00764632" w:rsidRPr="00EE43C6" w:rsidRDefault="002B12AB" w:rsidP="00D5795A">
            <w:pPr>
              <w:spacing w:before="0" w:after="0" w:line="240" w:lineRule="auto"/>
              <w:jc w:val="center"/>
              <w:rPr>
                <w:rFonts w:cs="MS Gothic"/>
                <w:sz w:val="18"/>
                <w:szCs w:val="18"/>
              </w:rPr>
            </w:pPr>
            <w:r w:rsidRPr="00EE43C6">
              <w:rPr>
                <w:rFonts w:cs="MS Gothic"/>
                <w:sz w:val="18"/>
                <w:szCs w:val="18"/>
              </w:rPr>
              <w:t>-</w:t>
            </w:r>
          </w:p>
        </w:tc>
      </w:tr>
      <w:tr w:rsidR="00764632" w:rsidRPr="00EE43C6" w14:paraId="4DCC9193" w14:textId="77777777" w:rsidTr="00D5795A">
        <w:trPr>
          <w:trHeight w:val="284"/>
          <w:jc w:val="center"/>
        </w:trPr>
        <w:tc>
          <w:tcPr>
            <w:tcW w:w="859" w:type="pct"/>
            <w:vAlign w:val="center"/>
          </w:tcPr>
          <w:p w14:paraId="44CF0D3B" w14:textId="77777777" w:rsidR="00764632" w:rsidRPr="00EE43C6" w:rsidRDefault="00764632" w:rsidP="00D5795A">
            <w:pPr>
              <w:spacing w:before="0" w:after="0" w:line="240" w:lineRule="auto"/>
              <w:rPr>
                <w:rFonts w:cs="MS Gothic"/>
                <w:sz w:val="18"/>
                <w:szCs w:val="18"/>
              </w:rPr>
            </w:pPr>
            <w:r w:rsidRPr="00EE43C6">
              <w:rPr>
                <w:rFonts w:cs="MS Gothic"/>
                <w:sz w:val="18"/>
                <w:szCs w:val="18"/>
              </w:rPr>
              <w:t>June 2022</w:t>
            </w:r>
          </w:p>
        </w:tc>
        <w:tc>
          <w:tcPr>
            <w:tcW w:w="490" w:type="pct"/>
            <w:vAlign w:val="center"/>
          </w:tcPr>
          <w:p w14:paraId="563B6E65" w14:textId="0379C1EC" w:rsidR="00764632" w:rsidRPr="00EE43C6" w:rsidRDefault="0087631F" w:rsidP="00D5795A">
            <w:pPr>
              <w:spacing w:before="0" w:after="0" w:line="240" w:lineRule="auto"/>
              <w:jc w:val="center"/>
              <w:rPr>
                <w:rFonts w:cs="MS Gothic"/>
                <w:sz w:val="18"/>
                <w:szCs w:val="18"/>
              </w:rPr>
            </w:pPr>
            <w:r w:rsidRPr="00EE43C6">
              <w:rPr>
                <w:rFonts w:cs="MS Gothic"/>
                <w:sz w:val="18"/>
                <w:szCs w:val="18"/>
              </w:rPr>
              <w:t>3.83</w:t>
            </w:r>
          </w:p>
        </w:tc>
        <w:tc>
          <w:tcPr>
            <w:tcW w:w="747" w:type="pct"/>
            <w:vAlign w:val="center"/>
          </w:tcPr>
          <w:p w14:paraId="4106E9FD" w14:textId="239059FE" w:rsidR="00764632" w:rsidRPr="00EE43C6" w:rsidRDefault="0087631F" w:rsidP="00D5795A">
            <w:pPr>
              <w:spacing w:before="0" w:after="0" w:line="240" w:lineRule="auto"/>
              <w:jc w:val="center"/>
              <w:rPr>
                <w:rFonts w:cs="MS Gothic"/>
                <w:sz w:val="18"/>
                <w:szCs w:val="18"/>
              </w:rPr>
            </w:pPr>
            <w:r w:rsidRPr="00EE43C6">
              <w:rPr>
                <w:rFonts w:cs="MS Gothic"/>
                <w:sz w:val="18"/>
                <w:szCs w:val="18"/>
              </w:rPr>
              <w:t>50.66</w:t>
            </w:r>
          </w:p>
        </w:tc>
        <w:tc>
          <w:tcPr>
            <w:tcW w:w="874" w:type="pct"/>
            <w:vAlign w:val="center"/>
          </w:tcPr>
          <w:p w14:paraId="414B6BD2" w14:textId="6B2A6743" w:rsidR="00764632" w:rsidRPr="00EE43C6" w:rsidRDefault="0087631F" w:rsidP="00D5795A">
            <w:pPr>
              <w:spacing w:before="0" w:after="0" w:line="240" w:lineRule="auto"/>
              <w:jc w:val="center"/>
              <w:rPr>
                <w:rFonts w:cs="MS Gothic"/>
                <w:sz w:val="18"/>
                <w:szCs w:val="18"/>
              </w:rPr>
            </w:pPr>
            <w:r w:rsidRPr="00EE43C6">
              <w:rPr>
                <w:rFonts w:cs="MS Gothic"/>
                <w:sz w:val="18"/>
                <w:szCs w:val="18"/>
              </w:rPr>
              <w:t>230.99</w:t>
            </w:r>
          </w:p>
        </w:tc>
        <w:tc>
          <w:tcPr>
            <w:tcW w:w="861" w:type="pct"/>
            <w:vAlign w:val="center"/>
          </w:tcPr>
          <w:p w14:paraId="05743A20" w14:textId="1964936B" w:rsidR="00764632" w:rsidRPr="00EE43C6" w:rsidRDefault="001F5273" w:rsidP="00D5795A">
            <w:pPr>
              <w:spacing w:before="0" w:after="0" w:line="240" w:lineRule="auto"/>
              <w:jc w:val="center"/>
              <w:rPr>
                <w:rFonts w:cs="MS Gothic"/>
                <w:sz w:val="18"/>
                <w:szCs w:val="18"/>
              </w:rPr>
            </w:pPr>
            <w:r w:rsidRPr="00EE43C6">
              <w:rPr>
                <w:rFonts w:cs="MS Gothic"/>
                <w:sz w:val="18"/>
                <w:szCs w:val="18"/>
              </w:rPr>
              <w:t>4.66</w:t>
            </w:r>
          </w:p>
        </w:tc>
        <w:tc>
          <w:tcPr>
            <w:tcW w:w="585" w:type="pct"/>
            <w:vAlign w:val="center"/>
          </w:tcPr>
          <w:p w14:paraId="56E68124" w14:textId="5487D4F6" w:rsidR="00764632" w:rsidRPr="00EE43C6" w:rsidRDefault="001F5273" w:rsidP="00D5795A">
            <w:pPr>
              <w:spacing w:before="0" w:after="0" w:line="240" w:lineRule="auto"/>
              <w:jc w:val="center"/>
              <w:rPr>
                <w:rFonts w:cs="MS Gothic"/>
                <w:sz w:val="18"/>
                <w:szCs w:val="18"/>
              </w:rPr>
            </w:pPr>
            <w:r w:rsidRPr="00EE43C6">
              <w:rPr>
                <w:rFonts w:cs="MS Gothic"/>
                <w:sz w:val="18"/>
                <w:szCs w:val="18"/>
              </w:rPr>
              <w:t>24.86</w:t>
            </w:r>
          </w:p>
        </w:tc>
        <w:tc>
          <w:tcPr>
            <w:tcW w:w="584" w:type="pct"/>
            <w:vAlign w:val="center"/>
          </w:tcPr>
          <w:p w14:paraId="63F51FA9" w14:textId="155FFFC2" w:rsidR="00764632" w:rsidRPr="00EE43C6" w:rsidRDefault="00396145" w:rsidP="00D5795A">
            <w:pPr>
              <w:spacing w:before="0" w:after="0" w:line="240" w:lineRule="auto"/>
              <w:jc w:val="center"/>
              <w:rPr>
                <w:rFonts w:cs="MS Gothic"/>
                <w:sz w:val="18"/>
                <w:szCs w:val="18"/>
              </w:rPr>
            </w:pPr>
            <w:r w:rsidRPr="00EE43C6">
              <w:rPr>
                <w:rFonts w:cs="MS Gothic"/>
                <w:sz w:val="18"/>
                <w:szCs w:val="18"/>
              </w:rPr>
              <w:t>29.52</w:t>
            </w:r>
          </w:p>
        </w:tc>
      </w:tr>
      <w:tr w:rsidR="00764632" w:rsidRPr="00EE43C6" w14:paraId="03484591" w14:textId="77777777" w:rsidTr="00D5795A">
        <w:trPr>
          <w:trHeight w:val="284"/>
          <w:jc w:val="center"/>
        </w:trPr>
        <w:tc>
          <w:tcPr>
            <w:tcW w:w="859" w:type="pct"/>
            <w:vAlign w:val="center"/>
          </w:tcPr>
          <w:p w14:paraId="3BF9A5EB" w14:textId="77777777" w:rsidR="00764632" w:rsidRPr="00EE43C6" w:rsidRDefault="00764632" w:rsidP="00D5795A">
            <w:pPr>
              <w:spacing w:before="0" w:after="0" w:line="240" w:lineRule="auto"/>
              <w:rPr>
                <w:rFonts w:cs="MS Gothic"/>
                <w:sz w:val="18"/>
                <w:szCs w:val="18"/>
              </w:rPr>
            </w:pPr>
            <w:r w:rsidRPr="00EE43C6">
              <w:rPr>
                <w:rFonts w:cs="MS Gothic"/>
                <w:sz w:val="18"/>
                <w:szCs w:val="18"/>
              </w:rPr>
              <w:t>July 2022</w:t>
            </w:r>
          </w:p>
        </w:tc>
        <w:tc>
          <w:tcPr>
            <w:tcW w:w="490" w:type="pct"/>
            <w:vAlign w:val="center"/>
          </w:tcPr>
          <w:p w14:paraId="735F0953" w14:textId="764EE550" w:rsidR="00764632" w:rsidRPr="00EE43C6" w:rsidRDefault="00E20703" w:rsidP="00D5795A">
            <w:pPr>
              <w:spacing w:before="0" w:after="0" w:line="240" w:lineRule="auto"/>
              <w:jc w:val="center"/>
              <w:rPr>
                <w:rFonts w:cs="MS Gothic"/>
                <w:sz w:val="18"/>
                <w:szCs w:val="18"/>
              </w:rPr>
            </w:pPr>
            <w:r w:rsidRPr="00EE43C6">
              <w:rPr>
                <w:rFonts w:cs="MS Gothic"/>
                <w:sz w:val="18"/>
                <w:szCs w:val="18"/>
              </w:rPr>
              <w:t>3.62</w:t>
            </w:r>
          </w:p>
        </w:tc>
        <w:tc>
          <w:tcPr>
            <w:tcW w:w="747" w:type="pct"/>
            <w:vAlign w:val="center"/>
          </w:tcPr>
          <w:p w14:paraId="1FF5B701" w14:textId="493D8D5A" w:rsidR="00764632" w:rsidRPr="00EE43C6" w:rsidRDefault="005D6D61" w:rsidP="00D5795A">
            <w:pPr>
              <w:spacing w:before="0" w:after="0" w:line="240" w:lineRule="auto"/>
              <w:jc w:val="center"/>
              <w:rPr>
                <w:rFonts w:cs="MS Gothic"/>
                <w:sz w:val="18"/>
                <w:szCs w:val="18"/>
              </w:rPr>
            </w:pPr>
            <w:r w:rsidRPr="00EE43C6">
              <w:rPr>
                <w:rFonts w:cs="MS Gothic"/>
                <w:sz w:val="18"/>
                <w:szCs w:val="18"/>
              </w:rPr>
              <w:t>70.22</w:t>
            </w:r>
          </w:p>
        </w:tc>
        <w:tc>
          <w:tcPr>
            <w:tcW w:w="874" w:type="pct"/>
            <w:vAlign w:val="center"/>
          </w:tcPr>
          <w:p w14:paraId="307A72F6" w14:textId="2945FB08" w:rsidR="00764632" w:rsidRPr="00EE43C6" w:rsidRDefault="005D6D61" w:rsidP="00D5795A">
            <w:pPr>
              <w:spacing w:before="0" w:after="0" w:line="240" w:lineRule="auto"/>
              <w:jc w:val="center"/>
              <w:rPr>
                <w:rFonts w:cs="MS Gothic"/>
                <w:sz w:val="18"/>
                <w:szCs w:val="18"/>
              </w:rPr>
            </w:pPr>
            <w:r w:rsidRPr="00EE43C6">
              <w:rPr>
                <w:rFonts w:cs="MS Gothic"/>
                <w:sz w:val="18"/>
                <w:szCs w:val="18"/>
              </w:rPr>
              <w:t>311.42</w:t>
            </w:r>
          </w:p>
        </w:tc>
        <w:tc>
          <w:tcPr>
            <w:tcW w:w="861" w:type="pct"/>
            <w:vAlign w:val="center"/>
          </w:tcPr>
          <w:p w14:paraId="649919C9" w14:textId="6937961F" w:rsidR="00764632" w:rsidRPr="00EE43C6" w:rsidRDefault="005D6D61" w:rsidP="00D5795A">
            <w:pPr>
              <w:spacing w:before="0" w:after="0" w:line="240" w:lineRule="auto"/>
              <w:jc w:val="center"/>
              <w:rPr>
                <w:rFonts w:cs="MS Gothic"/>
                <w:sz w:val="18"/>
                <w:szCs w:val="18"/>
              </w:rPr>
            </w:pPr>
            <w:r w:rsidRPr="00EE43C6">
              <w:rPr>
                <w:rFonts w:cs="MS Gothic"/>
                <w:sz w:val="18"/>
                <w:szCs w:val="18"/>
              </w:rPr>
              <w:t>7.79</w:t>
            </w:r>
          </w:p>
        </w:tc>
        <w:tc>
          <w:tcPr>
            <w:tcW w:w="585" w:type="pct"/>
            <w:vAlign w:val="center"/>
          </w:tcPr>
          <w:p w14:paraId="607F2CBA" w14:textId="65F079E8" w:rsidR="00764632" w:rsidRPr="00EE43C6" w:rsidRDefault="00DE1DDE" w:rsidP="00D5795A">
            <w:pPr>
              <w:spacing w:before="0" w:after="0" w:line="240" w:lineRule="auto"/>
              <w:jc w:val="center"/>
              <w:rPr>
                <w:rFonts w:cs="MS Gothic"/>
                <w:sz w:val="18"/>
                <w:szCs w:val="18"/>
              </w:rPr>
            </w:pPr>
            <w:r w:rsidRPr="00EE43C6">
              <w:rPr>
                <w:rFonts w:cs="MS Gothic"/>
                <w:sz w:val="18"/>
                <w:szCs w:val="18"/>
              </w:rPr>
              <w:t>22.99</w:t>
            </w:r>
          </w:p>
        </w:tc>
        <w:tc>
          <w:tcPr>
            <w:tcW w:w="584" w:type="pct"/>
            <w:vAlign w:val="center"/>
          </w:tcPr>
          <w:p w14:paraId="09E3CD51" w14:textId="10C4B3CC" w:rsidR="00764632" w:rsidRPr="00EE43C6" w:rsidRDefault="00DE1DDE" w:rsidP="00D5795A">
            <w:pPr>
              <w:spacing w:before="0" w:after="0" w:line="240" w:lineRule="auto"/>
              <w:jc w:val="center"/>
              <w:rPr>
                <w:rFonts w:cs="MS Gothic"/>
                <w:sz w:val="18"/>
                <w:szCs w:val="18"/>
              </w:rPr>
            </w:pPr>
            <w:r w:rsidRPr="00EE43C6">
              <w:rPr>
                <w:rFonts w:cs="MS Gothic"/>
                <w:sz w:val="18"/>
                <w:szCs w:val="18"/>
              </w:rPr>
              <w:t>30.81</w:t>
            </w:r>
          </w:p>
        </w:tc>
      </w:tr>
      <w:tr w:rsidR="00764632" w:rsidRPr="00EE43C6" w14:paraId="2DE5071F" w14:textId="77777777" w:rsidTr="00D5795A">
        <w:trPr>
          <w:trHeight w:val="284"/>
          <w:jc w:val="center"/>
        </w:trPr>
        <w:tc>
          <w:tcPr>
            <w:tcW w:w="859" w:type="pct"/>
            <w:vAlign w:val="center"/>
          </w:tcPr>
          <w:p w14:paraId="06A17471" w14:textId="77777777" w:rsidR="00764632" w:rsidRPr="00EE43C6" w:rsidRDefault="00764632" w:rsidP="00D5795A">
            <w:pPr>
              <w:spacing w:before="0" w:after="0" w:line="240" w:lineRule="auto"/>
              <w:rPr>
                <w:rFonts w:cs="MS Gothic"/>
                <w:sz w:val="18"/>
                <w:szCs w:val="18"/>
              </w:rPr>
            </w:pPr>
            <w:r w:rsidRPr="00EE43C6">
              <w:rPr>
                <w:rFonts w:cs="MS Gothic"/>
                <w:sz w:val="18"/>
                <w:szCs w:val="18"/>
              </w:rPr>
              <w:t>August 2022</w:t>
            </w:r>
          </w:p>
        </w:tc>
        <w:tc>
          <w:tcPr>
            <w:tcW w:w="490" w:type="pct"/>
            <w:vAlign w:val="center"/>
          </w:tcPr>
          <w:p w14:paraId="7AFCBF55" w14:textId="4D61D51E" w:rsidR="00764632" w:rsidRPr="00EE43C6" w:rsidRDefault="002A1DA5" w:rsidP="00D5795A">
            <w:pPr>
              <w:spacing w:before="0" w:after="0" w:line="240" w:lineRule="auto"/>
              <w:jc w:val="center"/>
              <w:rPr>
                <w:rFonts w:cs="MS Gothic"/>
                <w:sz w:val="18"/>
                <w:szCs w:val="18"/>
              </w:rPr>
            </w:pPr>
            <w:r w:rsidRPr="00EE43C6">
              <w:rPr>
                <w:rFonts w:cs="MS Gothic"/>
                <w:sz w:val="18"/>
                <w:szCs w:val="18"/>
              </w:rPr>
              <w:t>3.47</w:t>
            </w:r>
          </w:p>
        </w:tc>
        <w:tc>
          <w:tcPr>
            <w:tcW w:w="747" w:type="pct"/>
            <w:vAlign w:val="center"/>
          </w:tcPr>
          <w:p w14:paraId="4D451E20" w14:textId="79C02AE1" w:rsidR="00764632" w:rsidRPr="00EE43C6" w:rsidRDefault="002A1DA5" w:rsidP="00D5795A">
            <w:pPr>
              <w:spacing w:before="0" w:after="0" w:line="240" w:lineRule="auto"/>
              <w:jc w:val="center"/>
              <w:rPr>
                <w:rFonts w:cs="MS Gothic"/>
                <w:sz w:val="18"/>
                <w:szCs w:val="18"/>
              </w:rPr>
            </w:pPr>
            <w:r w:rsidRPr="00EE43C6">
              <w:rPr>
                <w:rFonts w:cs="MS Gothic"/>
                <w:sz w:val="18"/>
                <w:szCs w:val="18"/>
              </w:rPr>
              <w:t>70.87</w:t>
            </w:r>
          </w:p>
        </w:tc>
        <w:tc>
          <w:tcPr>
            <w:tcW w:w="874" w:type="pct"/>
            <w:vAlign w:val="center"/>
          </w:tcPr>
          <w:p w14:paraId="6FA17EB9" w14:textId="70C39ECA" w:rsidR="00764632" w:rsidRPr="00EE43C6" w:rsidRDefault="00D26D5C" w:rsidP="00D5795A">
            <w:pPr>
              <w:spacing w:before="0" w:after="0" w:line="240" w:lineRule="auto"/>
              <w:jc w:val="center"/>
              <w:rPr>
                <w:rFonts w:cs="MS Gothic"/>
                <w:sz w:val="18"/>
                <w:szCs w:val="18"/>
              </w:rPr>
            </w:pPr>
            <w:r w:rsidRPr="00EE43C6">
              <w:rPr>
                <w:rFonts w:cs="MS Gothic"/>
                <w:sz w:val="18"/>
                <w:szCs w:val="18"/>
              </w:rPr>
              <w:t>300.24</w:t>
            </w:r>
          </w:p>
        </w:tc>
        <w:tc>
          <w:tcPr>
            <w:tcW w:w="861" w:type="pct"/>
            <w:vAlign w:val="center"/>
          </w:tcPr>
          <w:p w14:paraId="21877BE4" w14:textId="2E78B7B9" w:rsidR="00764632" w:rsidRPr="00EE43C6" w:rsidRDefault="00D26D5C" w:rsidP="00D5795A">
            <w:pPr>
              <w:spacing w:before="0" w:after="0" w:line="240" w:lineRule="auto"/>
              <w:jc w:val="center"/>
              <w:rPr>
                <w:rFonts w:cs="MS Gothic"/>
                <w:sz w:val="18"/>
                <w:szCs w:val="18"/>
              </w:rPr>
            </w:pPr>
            <w:r w:rsidRPr="00EE43C6">
              <w:rPr>
                <w:rFonts w:cs="MS Gothic"/>
                <w:sz w:val="18"/>
                <w:szCs w:val="18"/>
              </w:rPr>
              <w:t>5.54</w:t>
            </w:r>
          </w:p>
        </w:tc>
        <w:tc>
          <w:tcPr>
            <w:tcW w:w="585" w:type="pct"/>
            <w:vAlign w:val="center"/>
          </w:tcPr>
          <w:p w14:paraId="65A896E5" w14:textId="641A497A" w:rsidR="00764632" w:rsidRPr="00EE43C6" w:rsidRDefault="00D26D5C" w:rsidP="00D5795A">
            <w:pPr>
              <w:spacing w:before="0" w:after="0" w:line="240" w:lineRule="auto"/>
              <w:jc w:val="center"/>
              <w:rPr>
                <w:rFonts w:cs="MS Gothic"/>
                <w:sz w:val="18"/>
                <w:szCs w:val="18"/>
              </w:rPr>
            </w:pPr>
            <w:r w:rsidRPr="00EE43C6">
              <w:rPr>
                <w:rFonts w:cs="MS Gothic"/>
                <w:sz w:val="18"/>
                <w:szCs w:val="18"/>
              </w:rPr>
              <w:t>23.44</w:t>
            </w:r>
          </w:p>
        </w:tc>
        <w:tc>
          <w:tcPr>
            <w:tcW w:w="584" w:type="pct"/>
            <w:vAlign w:val="center"/>
          </w:tcPr>
          <w:p w14:paraId="0FB1AA75" w14:textId="0C5F06D6" w:rsidR="00764632" w:rsidRPr="00EE43C6" w:rsidRDefault="00E74051" w:rsidP="00D5795A">
            <w:pPr>
              <w:spacing w:before="0" w:after="0" w:line="240" w:lineRule="auto"/>
              <w:jc w:val="center"/>
              <w:rPr>
                <w:rFonts w:cs="MS Gothic"/>
                <w:sz w:val="18"/>
                <w:szCs w:val="18"/>
              </w:rPr>
            </w:pPr>
            <w:r w:rsidRPr="00EE43C6">
              <w:rPr>
                <w:rFonts w:cs="MS Gothic"/>
                <w:sz w:val="18"/>
                <w:szCs w:val="18"/>
              </w:rPr>
              <w:t>29.00</w:t>
            </w:r>
          </w:p>
        </w:tc>
      </w:tr>
      <w:tr w:rsidR="00764632" w:rsidRPr="00EE43C6" w14:paraId="4EE2CA9D" w14:textId="77777777" w:rsidTr="00D5795A">
        <w:trPr>
          <w:trHeight w:val="284"/>
          <w:jc w:val="center"/>
        </w:trPr>
        <w:tc>
          <w:tcPr>
            <w:tcW w:w="859" w:type="pct"/>
            <w:vAlign w:val="center"/>
          </w:tcPr>
          <w:p w14:paraId="464F0814" w14:textId="77777777" w:rsidR="00764632" w:rsidRPr="00EE43C6" w:rsidRDefault="00764632" w:rsidP="00D5795A">
            <w:pPr>
              <w:spacing w:before="0" w:after="0" w:line="240" w:lineRule="auto"/>
              <w:rPr>
                <w:rFonts w:cs="MS Gothic"/>
                <w:sz w:val="18"/>
                <w:szCs w:val="18"/>
              </w:rPr>
            </w:pPr>
            <w:r w:rsidRPr="00EE43C6">
              <w:rPr>
                <w:rFonts w:cs="MS Gothic"/>
                <w:sz w:val="18"/>
                <w:szCs w:val="18"/>
              </w:rPr>
              <w:t>September 2022</w:t>
            </w:r>
          </w:p>
        </w:tc>
        <w:tc>
          <w:tcPr>
            <w:tcW w:w="490" w:type="pct"/>
            <w:vAlign w:val="center"/>
          </w:tcPr>
          <w:p w14:paraId="60F5BC9B" w14:textId="2824402B" w:rsidR="00764632" w:rsidRPr="00EE43C6" w:rsidRDefault="007309FB" w:rsidP="00D5795A">
            <w:pPr>
              <w:spacing w:before="0" w:after="0" w:line="240" w:lineRule="auto"/>
              <w:jc w:val="center"/>
              <w:rPr>
                <w:rFonts w:cs="MS Gothic"/>
                <w:sz w:val="18"/>
                <w:szCs w:val="18"/>
              </w:rPr>
            </w:pPr>
            <w:r w:rsidRPr="00EE43C6">
              <w:rPr>
                <w:rFonts w:cs="MS Gothic"/>
                <w:sz w:val="18"/>
                <w:szCs w:val="18"/>
              </w:rPr>
              <w:t>4.80</w:t>
            </w:r>
          </w:p>
        </w:tc>
        <w:tc>
          <w:tcPr>
            <w:tcW w:w="747" w:type="pct"/>
            <w:vAlign w:val="center"/>
          </w:tcPr>
          <w:p w14:paraId="4E51823D" w14:textId="07AE51CA" w:rsidR="00764632" w:rsidRPr="00EE43C6" w:rsidRDefault="007309FB" w:rsidP="00D5795A">
            <w:pPr>
              <w:spacing w:before="0" w:after="0" w:line="240" w:lineRule="auto"/>
              <w:jc w:val="center"/>
              <w:rPr>
                <w:rFonts w:cs="MS Gothic"/>
                <w:sz w:val="18"/>
                <w:szCs w:val="18"/>
              </w:rPr>
            </w:pPr>
            <w:r w:rsidRPr="00EE43C6">
              <w:rPr>
                <w:rFonts w:cs="MS Gothic"/>
                <w:sz w:val="18"/>
                <w:szCs w:val="18"/>
              </w:rPr>
              <w:t>67.94</w:t>
            </w:r>
          </w:p>
        </w:tc>
        <w:tc>
          <w:tcPr>
            <w:tcW w:w="874" w:type="pct"/>
            <w:vAlign w:val="center"/>
          </w:tcPr>
          <w:p w14:paraId="27FE48A3" w14:textId="6ACC3734" w:rsidR="00764632" w:rsidRPr="00EE43C6" w:rsidRDefault="00CC76F1" w:rsidP="00D5795A">
            <w:pPr>
              <w:spacing w:before="0" w:after="0" w:line="240" w:lineRule="auto"/>
              <w:jc w:val="center"/>
              <w:rPr>
                <w:rFonts w:cs="MS Gothic"/>
                <w:sz w:val="18"/>
                <w:szCs w:val="18"/>
              </w:rPr>
            </w:pPr>
            <w:r w:rsidRPr="00EE43C6">
              <w:rPr>
                <w:rFonts w:cs="MS Gothic"/>
                <w:sz w:val="18"/>
                <w:szCs w:val="18"/>
              </w:rPr>
              <w:t>265.04</w:t>
            </w:r>
          </w:p>
        </w:tc>
        <w:tc>
          <w:tcPr>
            <w:tcW w:w="861" w:type="pct"/>
            <w:vAlign w:val="center"/>
          </w:tcPr>
          <w:p w14:paraId="61354CF6" w14:textId="76036A8C" w:rsidR="00764632" w:rsidRPr="00EE43C6" w:rsidRDefault="00CC76F1" w:rsidP="00D5795A">
            <w:pPr>
              <w:spacing w:before="0" w:after="0" w:line="240" w:lineRule="auto"/>
              <w:jc w:val="center"/>
              <w:rPr>
                <w:rFonts w:cs="MS Gothic"/>
                <w:sz w:val="18"/>
                <w:szCs w:val="18"/>
              </w:rPr>
            </w:pPr>
            <w:r w:rsidRPr="00EE43C6">
              <w:rPr>
                <w:rFonts w:cs="MS Gothic"/>
                <w:sz w:val="18"/>
                <w:szCs w:val="18"/>
              </w:rPr>
              <w:t>4.80</w:t>
            </w:r>
          </w:p>
        </w:tc>
        <w:tc>
          <w:tcPr>
            <w:tcW w:w="585" w:type="pct"/>
            <w:vAlign w:val="center"/>
          </w:tcPr>
          <w:p w14:paraId="54D6589A" w14:textId="02B569FB" w:rsidR="00764632" w:rsidRPr="00EE43C6" w:rsidRDefault="00CC76F1" w:rsidP="00D5795A">
            <w:pPr>
              <w:spacing w:before="0" w:after="0" w:line="240" w:lineRule="auto"/>
              <w:jc w:val="center"/>
              <w:rPr>
                <w:rFonts w:cs="MS Gothic"/>
                <w:sz w:val="18"/>
                <w:szCs w:val="18"/>
              </w:rPr>
            </w:pPr>
            <w:r w:rsidRPr="00EE43C6">
              <w:rPr>
                <w:rFonts w:cs="MS Gothic"/>
                <w:sz w:val="18"/>
                <w:szCs w:val="18"/>
              </w:rPr>
              <w:t>28.60</w:t>
            </w:r>
          </w:p>
        </w:tc>
        <w:tc>
          <w:tcPr>
            <w:tcW w:w="584" w:type="pct"/>
            <w:vAlign w:val="center"/>
          </w:tcPr>
          <w:p w14:paraId="3E11E09D" w14:textId="10DCA178" w:rsidR="00764632" w:rsidRPr="00EE43C6" w:rsidRDefault="00857E12" w:rsidP="00D5795A">
            <w:pPr>
              <w:spacing w:before="0" w:after="0" w:line="240" w:lineRule="auto"/>
              <w:jc w:val="center"/>
              <w:rPr>
                <w:rFonts w:cs="MS Gothic"/>
                <w:sz w:val="18"/>
                <w:szCs w:val="18"/>
              </w:rPr>
            </w:pPr>
            <w:r w:rsidRPr="00EE43C6">
              <w:rPr>
                <w:rFonts w:cs="MS Gothic"/>
                <w:sz w:val="18"/>
                <w:szCs w:val="18"/>
              </w:rPr>
              <w:t>33.44</w:t>
            </w:r>
          </w:p>
        </w:tc>
      </w:tr>
      <w:tr w:rsidR="00764632" w:rsidRPr="00EE43C6" w14:paraId="3976DD4B" w14:textId="77777777" w:rsidTr="00D5795A">
        <w:trPr>
          <w:trHeight w:val="284"/>
          <w:jc w:val="center"/>
        </w:trPr>
        <w:tc>
          <w:tcPr>
            <w:tcW w:w="859" w:type="pct"/>
            <w:vAlign w:val="center"/>
          </w:tcPr>
          <w:p w14:paraId="6D83D23B" w14:textId="77777777" w:rsidR="00764632" w:rsidRPr="00EE43C6" w:rsidRDefault="00764632" w:rsidP="00D5795A">
            <w:pPr>
              <w:spacing w:before="0" w:after="0" w:line="240" w:lineRule="auto"/>
              <w:rPr>
                <w:rFonts w:cs="MS Gothic"/>
                <w:sz w:val="18"/>
                <w:szCs w:val="18"/>
              </w:rPr>
            </w:pPr>
            <w:r w:rsidRPr="00EE43C6">
              <w:rPr>
                <w:rFonts w:cs="MS Gothic"/>
                <w:sz w:val="18"/>
                <w:szCs w:val="18"/>
              </w:rPr>
              <w:t>October 2022</w:t>
            </w:r>
          </w:p>
        </w:tc>
        <w:tc>
          <w:tcPr>
            <w:tcW w:w="490" w:type="pct"/>
            <w:vAlign w:val="center"/>
          </w:tcPr>
          <w:p w14:paraId="75252288" w14:textId="631C7271" w:rsidR="00764632" w:rsidRPr="00EE43C6" w:rsidRDefault="002C19CE" w:rsidP="00D5795A">
            <w:pPr>
              <w:spacing w:before="0" w:after="0" w:line="240" w:lineRule="auto"/>
              <w:jc w:val="center"/>
              <w:rPr>
                <w:rFonts w:cs="MS Gothic"/>
                <w:sz w:val="18"/>
                <w:szCs w:val="18"/>
              </w:rPr>
            </w:pPr>
            <w:r w:rsidRPr="00EE43C6">
              <w:rPr>
                <w:rFonts w:cs="MS Gothic"/>
                <w:sz w:val="18"/>
                <w:szCs w:val="18"/>
              </w:rPr>
              <w:t>4.36</w:t>
            </w:r>
          </w:p>
        </w:tc>
        <w:tc>
          <w:tcPr>
            <w:tcW w:w="747" w:type="pct"/>
            <w:vAlign w:val="center"/>
          </w:tcPr>
          <w:p w14:paraId="2CAABA69" w14:textId="27657FA5" w:rsidR="00764632" w:rsidRPr="00EE43C6" w:rsidRDefault="002C19CE" w:rsidP="00D5795A">
            <w:pPr>
              <w:spacing w:before="0" w:after="0" w:line="240" w:lineRule="auto"/>
              <w:jc w:val="center"/>
              <w:rPr>
                <w:rFonts w:cs="MS Gothic"/>
                <w:sz w:val="18"/>
                <w:szCs w:val="18"/>
              </w:rPr>
            </w:pPr>
            <w:r w:rsidRPr="00EE43C6">
              <w:rPr>
                <w:rFonts w:cs="MS Gothic"/>
                <w:sz w:val="18"/>
                <w:szCs w:val="18"/>
              </w:rPr>
              <w:t>60.80</w:t>
            </w:r>
          </w:p>
        </w:tc>
        <w:tc>
          <w:tcPr>
            <w:tcW w:w="874" w:type="pct"/>
            <w:vAlign w:val="center"/>
          </w:tcPr>
          <w:p w14:paraId="2CBE237D" w14:textId="5723EF36" w:rsidR="00764632" w:rsidRPr="00EE43C6" w:rsidRDefault="002C19CE" w:rsidP="00D5795A">
            <w:pPr>
              <w:spacing w:before="0" w:after="0" w:line="240" w:lineRule="auto"/>
              <w:jc w:val="center"/>
              <w:rPr>
                <w:rFonts w:cs="MS Gothic"/>
                <w:sz w:val="18"/>
                <w:szCs w:val="18"/>
              </w:rPr>
            </w:pPr>
            <w:r w:rsidRPr="00EE43C6">
              <w:rPr>
                <w:rFonts w:cs="MS Gothic"/>
                <w:sz w:val="18"/>
                <w:szCs w:val="18"/>
              </w:rPr>
              <w:t>287.99</w:t>
            </w:r>
          </w:p>
        </w:tc>
        <w:tc>
          <w:tcPr>
            <w:tcW w:w="861" w:type="pct"/>
            <w:vAlign w:val="center"/>
          </w:tcPr>
          <w:p w14:paraId="156447FB" w14:textId="78FC7882" w:rsidR="00764632" w:rsidRPr="00EE43C6" w:rsidRDefault="0089195D" w:rsidP="00D5795A">
            <w:pPr>
              <w:spacing w:before="0" w:after="0" w:line="240" w:lineRule="auto"/>
              <w:jc w:val="center"/>
              <w:rPr>
                <w:rFonts w:cs="MS Gothic"/>
                <w:sz w:val="18"/>
                <w:szCs w:val="18"/>
              </w:rPr>
            </w:pPr>
            <w:r w:rsidRPr="00EE43C6">
              <w:rPr>
                <w:rFonts w:cs="MS Gothic"/>
                <w:sz w:val="18"/>
                <w:szCs w:val="18"/>
              </w:rPr>
              <w:t>5.71</w:t>
            </w:r>
          </w:p>
        </w:tc>
        <w:tc>
          <w:tcPr>
            <w:tcW w:w="585" w:type="pct"/>
            <w:vAlign w:val="center"/>
          </w:tcPr>
          <w:p w14:paraId="432A2C4B" w14:textId="20524F4A" w:rsidR="00764632" w:rsidRPr="00EE43C6" w:rsidRDefault="0089195D" w:rsidP="00D5795A">
            <w:pPr>
              <w:spacing w:before="0" w:after="0" w:line="240" w:lineRule="auto"/>
              <w:jc w:val="center"/>
              <w:rPr>
                <w:rFonts w:cs="MS Gothic"/>
                <w:sz w:val="18"/>
                <w:szCs w:val="18"/>
              </w:rPr>
            </w:pPr>
            <w:r w:rsidRPr="00EE43C6">
              <w:rPr>
                <w:rFonts w:cs="MS Gothic"/>
                <w:sz w:val="18"/>
                <w:szCs w:val="18"/>
              </w:rPr>
              <w:t>27.95</w:t>
            </w:r>
          </w:p>
        </w:tc>
        <w:tc>
          <w:tcPr>
            <w:tcW w:w="584" w:type="pct"/>
            <w:vAlign w:val="center"/>
          </w:tcPr>
          <w:p w14:paraId="43F2175B" w14:textId="7BC4419B" w:rsidR="00764632" w:rsidRPr="00EE43C6" w:rsidRDefault="0089195D" w:rsidP="00D5795A">
            <w:pPr>
              <w:spacing w:before="0" w:after="0" w:line="240" w:lineRule="auto"/>
              <w:jc w:val="center"/>
              <w:rPr>
                <w:rFonts w:cs="MS Gothic"/>
                <w:sz w:val="18"/>
                <w:szCs w:val="18"/>
              </w:rPr>
            </w:pPr>
            <w:r w:rsidRPr="00EE43C6">
              <w:rPr>
                <w:rFonts w:cs="MS Gothic"/>
                <w:sz w:val="18"/>
                <w:szCs w:val="18"/>
              </w:rPr>
              <w:t>33.66</w:t>
            </w:r>
          </w:p>
        </w:tc>
      </w:tr>
      <w:tr w:rsidR="00FF33F7" w:rsidRPr="00EE43C6" w14:paraId="52CD6C5F" w14:textId="77777777" w:rsidTr="00D5795A">
        <w:trPr>
          <w:trHeight w:val="284"/>
          <w:jc w:val="center"/>
        </w:trPr>
        <w:tc>
          <w:tcPr>
            <w:tcW w:w="859" w:type="pct"/>
            <w:vAlign w:val="center"/>
          </w:tcPr>
          <w:p w14:paraId="709EE8FB" w14:textId="0560A434" w:rsidR="00FF33F7" w:rsidRPr="00EE43C6" w:rsidRDefault="00FF33F7" w:rsidP="00D5795A">
            <w:pPr>
              <w:spacing w:before="0" w:after="0" w:line="240" w:lineRule="auto"/>
              <w:rPr>
                <w:rFonts w:cs="MS Gothic"/>
                <w:sz w:val="18"/>
                <w:szCs w:val="18"/>
              </w:rPr>
            </w:pPr>
            <w:r w:rsidRPr="00EE43C6">
              <w:rPr>
                <w:rFonts w:cs="MS Gothic"/>
                <w:sz w:val="18"/>
                <w:szCs w:val="18"/>
              </w:rPr>
              <w:t>November 2022</w:t>
            </w:r>
          </w:p>
        </w:tc>
        <w:tc>
          <w:tcPr>
            <w:tcW w:w="490" w:type="pct"/>
            <w:vAlign w:val="center"/>
          </w:tcPr>
          <w:p w14:paraId="1B5CEAA2" w14:textId="234BA84E" w:rsidR="00FF33F7" w:rsidRPr="00EE43C6" w:rsidRDefault="00355E33" w:rsidP="00D5795A">
            <w:pPr>
              <w:spacing w:before="0" w:after="0" w:line="240" w:lineRule="auto"/>
              <w:jc w:val="center"/>
              <w:rPr>
                <w:rFonts w:cs="MS Gothic"/>
                <w:sz w:val="18"/>
                <w:szCs w:val="18"/>
              </w:rPr>
            </w:pPr>
            <w:r w:rsidRPr="00EE43C6">
              <w:rPr>
                <w:rFonts w:cs="MS Gothic"/>
                <w:sz w:val="18"/>
                <w:szCs w:val="18"/>
              </w:rPr>
              <w:t>4.95</w:t>
            </w:r>
          </w:p>
        </w:tc>
        <w:tc>
          <w:tcPr>
            <w:tcW w:w="747" w:type="pct"/>
            <w:vAlign w:val="center"/>
          </w:tcPr>
          <w:p w14:paraId="56A20FA8" w14:textId="31A4E0E0" w:rsidR="00FF33F7" w:rsidRPr="00EE43C6" w:rsidRDefault="00A6650E" w:rsidP="00D5795A">
            <w:pPr>
              <w:spacing w:before="0" w:after="0" w:line="240" w:lineRule="auto"/>
              <w:jc w:val="center"/>
              <w:rPr>
                <w:rFonts w:cs="MS Gothic"/>
                <w:sz w:val="18"/>
                <w:szCs w:val="18"/>
              </w:rPr>
            </w:pPr>
            <w:r w:rsidRPr="00EE43C6">
              <w:rPr>
                <w:rFonts w:cs="MS Gothic"/>
                <w:sz w:val="18"/>
                <w:szCs w:val="18"/>
              </w:rPr>
              <w:t>51.49</w:t>
            </w:r>
          </w:p>
        </w:tc>
        <w:tc>
          <w:tcPr>
            <w:tcW w:w="874" w:type="pct"/>
            <w:vAlign w:val="center"/>
          </w:tcPr>
          <w:p w14:paraId="223F92D3" w14:textId="2D39EFA6" w:rsidR="00FF33F7" w:rsidRPr="00EE43C6" w:rsidRDefault="00A6650E" w:rsidP="00D5795A">
            <w:pPr>
              <w:spacing w:before="0" w:after="0" w:line="240" w:lineRule="auto"/>
              <w:jc w:val="center"/>
              <w:rPr>
                <w:rFonts w:cs="MS Gothic"/>
                <w:sz w:val="18"/>
                <w:szCs w:val="18"/>
              </w:rPr>
            </w:pPr>
            <w:r w:rsidRPr="00EE43C6">
              <w:rPr>
                <w:rFonts w:cs="MS Gothic"/>
                <w:sz w:val="18"/>
                <w:szCs w:val="18"/>
              </w:rPr>
              <w:t>442.62</w:t>
            </w:r>
          </w:p>
        </w:tc>
        <w:tc>
          <w:tcPr>
            <w:tcW w:w="861" w:type="pct"/>
            <w:vAlign w:val="center"/>
          </w:tcPr>
          <w:p w14:paraId="7BF0669D" w14:textId="3E8CE4A5" w:rsidR="00FF33F7" w:rsidRPr="00EE43C6" w:rsidRDefault="004525F4" w:rsidP="00D5795A">
            <w:pPr>
              <w:spacing w:before="0" w:after="0" w:line="240" w:lineRule="auto"/>
              <w:jc w:val="center"/>
              <w:rPr>
                <w:rFonts w:cs="MS Gothic"/>
                <w:sz w:val="18"/>
                <w:szCs w:val="18"/>
              </w:rPr>
            </w:pPr>
            <w:r w:rsidRPr="00EE43C6">
              <w:rPr>
                <w:rFonts w:cs="MS Gothic"/>
                <w:sz w:val="18"/>
                <w:szCs w:val="18"/>
              </w:rPr>
              <w:t>-</w:t>
            </w:r>
          </w:p>
        </w:tc>
        <w:tc>
          <w:tcPr>
            <w:tcW w:w="585" w:type="pct"/>
            <w:vAlign w:val="center"/>
          </w:tcPr>
          <w:p w14:paraId="509D9D8E" w14:textId="3E2C5EB7" w:rsidR="00FF33F7" w:rsidRPr="00EE43C6" w:rsidRDefault="004525F4" w:rsidP="00D5795A">
            <w:pPr>
              <w:spacing w:before="0" w:after="0" w:line="240" w:lineRule="auto"/>
              <w:jc w:val="center"/>
              <w:rPr>
                <w:rFonts w:cs="MS Gothic"/>
                <w:sz w:val="18"/>
                <w:szCs w:val="18"/>
              </w:rPr>
            </w:pPr>
            <w:r w:rsidRPr="00EE43C6">
              <w:rPr>
                <w:rFonts w:cs="MS Gothic"/>
                <w:sz w:val="18"/>
                <w:szCs w:val="18"/>
              </w:rPr>
              <w:t>-</w:t>
            </w:r>
          </w:p>
        </w:tc>
        <w:tc>
          <w:tcPr>
            <w:tcW w:w="584" w:type="pct"/>
            <w:vAlign w:val="center"/>
          </w:tcPr>
          <w:p w14:paraId="49B228A0" w14:textId="473A64FA" w:rsidR="00FF33F7" w:rsidRPr="00EE43C6" w:rsidRDefault="004525F4" w:rsidP="00D5795A">
            <w:pPr>
              <w:spacing w:before="0" w:after="0" w:line="240" w:lineRule="auto"/>
              <w:jc w:val="center"/>
              <w:rPr>
                <w:rFonts w:cs="MS Gothic"/>
                <w:sz w:val="18"/>
                <w:szCs w:val="18"/>
              </w:rPr>
            </w:pPr>
            <w:r w:rsidRPr="00EE43C6">
              <w:rPr>
                <w:rFonts w:cs="MS Gothic"/>
                <w:sz w:val="18"/>
                <w:szCs w:val="18"/>
              </w:rPr>
              <w:t>-</w:t>
            </w:r>
          </w:p>
        </w:tc>
      </w:tr>
      <w:tr w:rsidR="00764632" w:rsidRPr="00EE43C6" w14:paraId="7CFEDD6C" w14:textId="77777777" w:rsidTr="00D5795A">
        <w:trPr>
          <w:trHeight w:val="284"/>
          <w:jc w:val="center"/>
        </w:trPr>
        <w:tc>
          <w:tcPr>
            <w:tcW w:w="859" w:type="pct"/>
            <w:vAlign w:val="center"/>
          </w:tcPr>
          <w:p w14:paraId="25A37E11" w14:textId="0AD5248C" w:rsidR="00764632" w:rsidRPr="00EE43C6" w:rsidRDefault="00764632" w:rsidP="00D5795A">
            <w:pPr>
              <w:spacing w:before="0" w:after="0" w:line="240" w:lineRule="auto"/>
              <w:rPr>
                <w:rFonts w:cs="MS Gothic"/>
                <w:sz w:val="18"/>
                <w:szCs w:val="18"/>
              </w:rPr>
            </w:pPr>
            <w:r w:rsidRPr="00EE43C6">
              <w:rPr>
                <w:rFonts w:cs="MS Gothic"/>
                <w:sz w:val="18"/>
                <w:szCs w:val="18"/>
              </w:rPr>
              <w:t>December 2022</w:t>
            </w:r>
          </w:p>
        </w:tc>
        <w:tc>
          <w:tcPr>
            <w:tcW w:w="490" w:type="pct"/>
            <w:vAlign w:val="center"/>
          </w:tcPr>
          <w:p w14:paraId="0C28286C" w14:textId="0BE00043" w:rsidR="00764632" w:rsidRPr="00EE43C6" w:rsidRDefault="006B7F44" w:rsidP="00D5795A">
            <w:pPr>
              <w:spacing w:before="0" w:after="0" w:line="240" w:lineRule="auto"/>
              <w:jc w:val="center"/>
              <w:rPr>
                <w:rFonts w:cs="MS Gothic"/>
                <w:sz w:val="18"/>
                <w:szCs w:val="18"/>
              </w:rPr>
            </w:pPr>
            <w:r w:rsidRPr="00EE43C6">
              <w:rPr>
                <w:rFonts w:cs="MS Gothic"/>
                <w:sz w:val="18"/>
                <w:szCs w:val="18"/>
              </w:rPr>
              <w:t>9.87</w:t>
            </w:r>
          </w:p>
        </w:tc>
        <w:tc>
          <w:tcPr>
            <w:tcW w:w="747" w:type="pct"/>
            <w:vAlign w:val="center"/>
          </w:tcPr>
          <w:p w14:paraId="7BA36D54" w14:textId="35B29DFC" w:rsidR="00764632" w:rsidRPr="00EE43C6" w:rsidRDefault="00193DE4" w:rsidP="00D5795A">
            <w:pPr>
              <w:spacing w:before="0" w:after="0" w:line="240" w:lineRule="auto"/>
              <w:jc w:val="center"/>
              <w:rPr>
                <w:rFonts w:cs="MS Gothic"/>
                <w:sz w:val="18"/>
                <w:szCs w:val="18"/>
              </w:rPr>
            </w:pPr>
            <w:r w:rsidRPr="00EE43C6">
              <w:rPr>
                <w:rFonts w:cs="MS Gothic"/>
                <w:sz w:val="18"/>
                <w:szCs w:val="18"/>
              </w:rPr>
              <w:t>75.41</w:t>
            </w:r>
          </w:p>
        </w:tc>
        <w:tc>
          <w:tcPr>
            <w:tcW w:w="874" w:type="pct"/>
            <w:vAlign w:val="center"/>
          </w:tcPr>
          <w:p w14:paraId="47A63543" w14:textId="7DE1F67E" w:rsidR="00764632" w:rsidRPr="00EE43C6" w:rsidRDefault="00193DE4" w:rsidP="00D5795A">
            <w:pPr>
              <w:spacing w:before="0" w:after="0" w:line="240" w:lineRule="auto"/>
              <w:jc w:val="center"/>
              <w:rPr>
                <w:rFonts w:cs="MS Gothic"/>
                <w:sz w:val="18"/>
                <w:szCs w:val="18"/>
              </w:rPr>
            </w:pPr>
            <w:r w:rsidRPr="00EE43C6">
              <w:rPr>
                <w:rFonts w:cs="MS Gothic"/>
                <w:sz w:val="18"/>
                <w:szCs w:val="18"/>
              </w:rPr>
              <w:t>948.64</w:t>
            </w:r>
          </w:p>
        </w:tc>
        <w:tc>
          <w:tcPr>
            <w:tcW w:w="861" w:type="pct"/>
            <w:vAlign w:val="center"/>
          </w:tcPr>
          <w:p w14:paraId="4E562E05" w14:textId="33AC043C" w:rsidR="00764632" w:rsidRPr="00EE43C6" w:rsidRDefault="00D3376E" w:rsidP="00D5795A">
            <w:pPr>
              <w:spacing w:before="0" w:after="0" w:line="240" w:lineRule="auto"/>
              <w:jc w:val="center"/>
              <w:rPr>
                <w:rFonts w:cs="MS Gothic"/>
                <w:sz w:val="18"/>
                <w:szCs w:val="18"/>
              </w:rPr>
            </w:pPr>
            <w:r w:rsidRPr="00EE43C6">
              <w:rPr>
                <w:rFonts w:cs="MS Gothic"/>
                <w:sz w:val="18"/>
                <w:szCs w:val="18"/>
              </w:rPr>
              <w:t>-</w:t>
            </w:r>
          </w:p>
        </w:tc>
        <w:tc>
          <w:tcPr>
            <w:tcW w:w="585" w:type="pct"/>
            <w:vAlign w:val="center"/>
          </w:tcPr>
          <w:p w14:paraId="5B30581F" w14:textId="692B4EC8" w:rsidR="00764632" w:rsidRPr="00EE43C6" w:rsidRDefault="00D3376E" w:rsidP="00D5795A">
            <w:pPr>
              <w:spacing w:before="0" w:after="0" w:line="240" w:lineRule="auto"/>
              <w:jc w:val="center"/>
              <w:rPr>
                <w:rFonts w:cs="MS Gothic"/>
                <w:sz w:val="18"/>
                <w:szCs w:val="18"/>
              </w:rPr>
            </w:pPr>
            <w:r w:rsidRPr="00EE43C6">
              <w:rPr>
                <w:rFonts w:cs="MS Gothic"/>
                <w:sz w:val="18"/>
                <w:szCs w:val="18"/>
              </w:rPr>
              <w:t>-</w:t>
            </w:r>
          </w:p>
        </w:tc>
        <w:tc>
          <w:tcPr>
            <w:tcW w:w="584" w:type="pct"/>
            <w:vAlign w:val="center"/>
          </w:tcPr>
          <w:p w14:paraId="68B18316" w14:textId="3D7A3875" w:rsidR="00764632" w:rsidRPr="00EE43C6" w:rsidRDefault="00D3376E" w:rsidP="00D5795A">
            <w:pPr>
              <w:spacing w:before="0" w:after="0" w:line="240" w:lineRule="auto"/>
              <w:jc w:val="center"/>
              <w:rPr>
                <w:rFonts w:cs="MS Gothic"/>
                <w:sz w:val="18"/>
                <w:szCs w:val="18"/>
              </w:rPr>
            </w:pPr>
            <w:r w:rsidRPr="00EE43C6">
              <w:rPr>
                <w:rFonts w:cs="MS Gothic"/>
                <w:sz w:val="18"/>
                <w:szCs w:val="18"/>
              </w:rPr>
              <w:t>-</w:t>
            </w:r>
          </w:p>
        </w:tc>
      </w:tr>
    </w:tbl>
    <w:p w14:paraId="0A0830F3" w14:textId="06ACE71A" w:rsidR="00420B7E" w:rsidRPr="00EE43C6" w:rsidRDefault="00420B7E" w:rsidP="00420B7E">
      <w:pPr>
        <w:spacing w:before="0"/>
        <w:rPr>
          <w:i/>
          <w:iCs/>
          <w:sz w:val="18"/>
          <w:szCs w:val="20"/>
        </w:rPr>
      </w:pPr>
      <w:r w:rsidRPr="00EE43C6">
        <w:rPr>
          <w:i/>
          <w:iCs/>
          <w:sz w:val="18"/>
          <w:szCs w:val="20"/>
        </w:rPr>
        <w:t xml:space="preserve">Source: Website of the MoEUCC: </w:t>
      </w:r>
      <w:hyperlink r:id="rId51" w:history="1">
        <w:r w:rsidRPr="00EE43C6">
          <w:rPr>
            <w:rStyle w:val="Hyperlink"/>
            <w:i/>
            <w:iCs/>
            <w:sz w:val="18"/>
            <w:szCs w:val="20"/>
          </w:rPr>
          <w:t>www.havaizleme.gov.tr</w:t>
        </w:r>
      </w:hyperlink>
    </w:p>
    <w:p w14:paraId="3B811CD5" w14:textId="57ABB8B5" w:rsidR="007A7E4F" w:rsidRPr="00EE43C6" w:rsidRDefault="00984B22" w:rsidP="00571857">
      <w:pPr>
        <w:rPr>
          <w:lang w:eastAsia="en-US"/>
        </w:rPr>
      </w:pPr>
      <w:r w:rsidRPr="00EE43C6">
        <w:rPr>
          <w:lang w:eastAsia="en-US"/>
        </w:rPr>
        <w:t>In this context,</w:t>
      </w:r>
      <w:r w:rsidR="00AF42A5" w:rsidRPr="00EE43C6">
        <w:rPr>
          <w:lang w:eastAsia="en-US"/>
        </w:rPr>
        <w:t xml:space="preserve"> </w:t>
      </w:r>
      <w:r w:rsidR="006A04B6" w:rsidRPr="00EE43C6">
        <w:rPr>
          <w:lang w:eastAsia="en-US"/>
        </w:rPr>
        <w:t xml:space="preserve">on the website of the MoEUCC, </w:t>
      </w:r>
      <w:r w:rsidRPr="00EE43C6">
        <w:rPr>
          <w:lang w:eastAsia="en-US"/>
        </w:rPr>
        <w:t>the current air quality index of Tarsus region is described as “medium” in terms of PM</w:t>
      </w:r>
      <w:r w:rsidRPr="00EE43C6">
        <w:rPr>
          <w:vertAlign w:val="subscript"/>
          <w:lang w:eastAsia="en-US"/>
        </w:rPr>
        <w:t>10</w:t>
      </w:r>
      <w:r w:rsidR="00687E79" w:rsidRPr="00EE43C6">
        <w:rPr>
          <w:lang w:eastAsia="en-US"/>
        </w:rPr>
        <w:t xml:space="preserve"> </w:t>
      </w:r>
      <w:r w:rsidRPr="00EE43C6">
        <w:rPr>
          <w:lang w:eastAsia="en-US"/>
        </w:rPr>
        <w:t xml:space="preserve">parameter </w:t>
      </w:r>
      <w:r w:rsidR="00945490" w:rsidRPr="00EE43C6">
        <w:rPr>
          <w:lang w:eastAsia="en-US"/>
        </w:rPr>
        <w:t>due to</w:t>
      </w:r>
      <w:r w:rsidR="008124E0" w:rsidRPr="00EE43C6">
        <w:rPr>
          <w:lang w:eastAsia="en-US"/>
        </w:rPr>
        <w:t xml:space="preserve"> </w:t>
      </w:r>
      <w:r w:rsidR="00917A02" w:rsidRPr="00EE43C6">
        <w:rPr>
          <w:lang w:eastAsia="en-US"/>
        </w:rPr>
        <w:t>slightly</w:t>
      </w:r>
      <w:r w:rsidR="008124E0" w:rsidRPr="00EE43C6">
        <w:rPr>
          <w:lang w:eastAsia="en-US"/>
        </w:rPr>
        <w:t xml:space="preserve"> </w:t>
      </w:r>
      <w:r w:rsidR="00917A02" w:rsidRPr="00EE43C6">
        <w:rPr>
          <w:lang w:eastAsia="en-US"/>
        </w:rPr>
        <w:t>above</w:t>
      </w:r>
      <w:r w:rsidR="00571857" w:rsidRPr="00EE43C6">
        <w:rPr>
          <w:lang w:eastAsia="en-US"/>
        </w:rPr>
        <w:t xml:space="preserve"> </w:t>
      </w:r>
      <w:r w:rsidR="001C271C" w:rsidRPr="00EE43C6">
        <w:rPr>
          <w:lang w:eastAsia="en-US"/>
        </w:rPr>
        <w:t>national a</w:t>
      </w:r>
      <w:r w:rsidR="00E16C7D" w:rsidRPr="00EE43C6">
        <w:rPr>
          <w:lang w:eastAsia="en-US"/>
        </w:rPr>
        <w:t xml:space="preserve">nd international limit value as </w:t>
      </w:r>
      <w:r w:rsidR="00BE58DB" w:rsidRPr="00EE43C6">
        <w:rPr>
          <w:lang w:eastAsia="en-US"/>
        </w:rPr>
        <w:t>50 µg/m³</w:t>
      </w:r>
      <w:r w:rsidR="00A30EB5" w:rsidRPr="00EE43C6">
        <w:rPr>
          <w:lang w:eastAsia="en-US"/>
        </w:rPr>
        <w:t>.</w:t>
      </w:r>
    </w:p>
    <w:p w14:paraId="566C591D" w14:textId="157D740C" w:rsidR="00E20FC6" w:rsidRPr="00EE43C6" w:rsidRDefault="00AA10F2" w:rsidP="00571857">
      <w:pPr>
        <w:rPr>
          <w:lang w:eastAsia="en-US"/>
        </w:rPr>
      </w:pPr>
      <w:r w:rsidRPr="00EE43C6">
        <w:rPr>
          <w:lang w:eastAsia="en-US"/>
        </w:rPr>
        <w:t xml:space="preserve">Currently, the air quality of the Project Area cannot be characterized as good due to the presence of </w:t>
      </w:r>
      <w:r w:rsidR="0008492F" w:rsidRPr="00EE43C6">
        <w:rPr>
          <w:lang w:eastAsia="en-US"/>
        </w:rPr>
        <w:t xml:space="preserve">the </w:t>
      </w:r>
      <w:r w:rsidRPr="00EE43C6">
        <w:rPr>
          <w:lang w:eastAsia="en-US"/>
        </w:rPr>
        <w:t>quarries operating 30 meters west of the Project Area</w:t>
      </w:r>
      <w:r w:rsidR="0008492F" w:rsidRPr="00EE43C6">
        <w:rPr>
          <w:lang w:eastAsia="en-US"/>
        </w:rPr>
        <w:t xml:space="preserve"> (see </w:t>
      </w:r>
      <w:r w:rsidR="0008492F" w:rsidRPr="00EE43C6">
        <w:rPr>
          <w:lang w:eastAsia="en-US"/>
        </w:rPr>
        <w:fldChar w:fldCharType="begin"/>
      </w:r>
      <w:r w:rsidR="0008492F" w:rsidRPr="00EE43C6">
        <w:rPr>
          <w:lang w:eastAsia="en-US"/>
        </w:rPr>
        <w:instrText xml:space="preserve"> REF _Ref125706669 \h </w:instrText>
      </w:r>
      <w:r w:rsidR="00757092" w:rsidRPr="00EE43C6">
        <w:rPr>
          <w:lang w:eastAsia="en-US"/>
        </w:rPr>
        <w:instrText xml:space="preserve"> \* MERGEFORMAT </w:instrText>
      </w:r>
      <w:r w:rsidR="0008492F" w:rsidRPr="00EE43C6">
        <w:rPr>
          <w:lang w:eastAsia="en-US"/>
        </w:rPr>
      </w:r>
      <w:r w:rsidR="0008492F" w:rsidRPr="00EE43C6">
        <w:rPr>
          <w:lang w:eastAsia="en-US"/>
        </w:rPr>
        <w:fldChar w:fldCharType="separate"/>
      </w:r>
      <w:r w:rsidR="0041038D" w:rsidRPr="00EE43C6">
        <w:rPr>
          <w:lang w:eastAsia="en-US"/>
        </w:rPr>
        <w:t>Figure 2</w:t>
      </w:r>
      <w:r w:rsidR="0041038D" w:rsidRPr="00EE43C6">
        <w:rPr>
          <w:lang w:eastAsia="en-US"/>
        </w:rPr>
        <w:noBreakHyphen/>
        <w:t>3</w:t>
      </w:r>
      <w:r w:rsidR="0008492F" w:rsidRPr="00EE43C6">
        <w:rPr>
          <w:lang w:eastAsia="en-US"/>
        </w:rPr>
        <w:fldChar w:fldCharType="end"/>
      </w:r>
      <w:r w:rsidR="0008492F" w:rsidRPr="00EE43C6">
        <w:rPr>
          <w:lang w:eastAsia="en-US"/>
        </w:rPr>
        <w:t xml:space="preserve"> and </w:t>
      </w:r>
      <w:r w:rsidR="0008492F" w:rsidRPr="00EE43C6">
        <w:rPr>
          <w:lang w:eastAsia="en-US"/>
        </w:rPr>
        <w:fldChar w:fldCharType="begin"/>
      </w:r>
      <w:r w:rsidR="0008492F" w:rsidRPr="00EE43C6">
        <w:rPr>
          <w:lang w:eastAsia="en-US"/>
        </w:rPr>
        <w:instrText xml:space="preserve"> REF _Ref124778818 \h </w:instrText>
      </w:r>
      <w:r w:rsidR="00757092" w:rsidRPr="00EE43C6">
        <w:rPr>
          <w:lang w:eastAsia="en-US"/>
        </w:rPr>
        <w:instrText xml:space="preserve"> \* MERGEFORMAT </w:instrText>
      </w:r>
      <w:r w:rsidR="0008492F" w:rsidRPr="00EE43C6">
        <w:rPr>
          <w:lang w:eastAsia="en-US"/>
        </w:rPr>
      </w:r>
      <w:r w:rsidR="0008492F" w:rsidRPr="00EE43C6">
        <w:rPr>
          <w:lang w:eastAsia="en-US"/>
        </w:rPr>
        <w:fldChar w:fldCharType="separate"/>
      </w:r>
      <w:r w:rsidR="00E52512" w:rsidRPr="004C60B9">
        <w:rPr>
          <w:lang w:eastAsia="en-US"/>
        </w:rPr>
        <w:t>Figure 2</w:t>
      </w:r>
      <w:r w:rsidR="00E52512" w:rsidRPr="004C60B9">
        <w:rPr>
          <w:lang w:eastAsia="en-US"/>
        </w:rPr>
        <w:noBreakHyphen/>
        <w:t>5</w:t>
      </w:r>
      <w:r w:rsidR="0008492F" w:rsidRPr="00EE43C6">
        <w:rPr>
          <w:lang w:eastAsia="en-US"/>
        </w:rPr>
        <w:fldChar w:fldCharType="end"/>
      </w:r>
      <w:r w:rsidR="0008492F" w:rsidRPr="00EE43C6">
        <w:rPr>
          <w:lang w:eastAsia="en-US"/>
        </w:rPr>
        <w:t>).</w:t>
      </w:r>
    </w:p>
    <w:p w14:paraId="5EC03707" w14:textId="0F307834" w:rsidR="00BB1A67" w:rsidRPr="00EE43C6" w:rsidRDefault="00BB1A67" w:rsidP="00757092">
      <w:pPr>
        <w:pStyle w:val="Heading2"/>
        <w:ind w:hanging="718"/>
        <w:rPr>
          <w:lang w:val="en-GB"/>
        </w:rPr>
      </w:pPr>
      <w:bookmarkStart w:id="285" w:name="_Toc120016924"/>
      <w:bookmarkStart w:id="286" w:name="_Toc120004702"/>
      <w:bookmarkStart w:id="287" w:name="_Toc141445413"/>
      <w:bookmarkEnd w:id="280"/>
      <w:r w:rsidRPr="00EE43C6">
        <w:rPr>
          <w:lang w:val="en-GB"/>
        </w:rPr>
        <w:t>Waste</w:t>
      </w:r>
      <w:r w:rsidR="0001768A" w:rsidRPr="00EE43C6">
        <w:rPr>
          <w:lang w:val="en-GB"/>
        </w:rPr>
        <w:t xml:space="preserve"> Management</w:t>
      </w:r>
      <w:bookmarkEnd w:id="285"/>
      <w:bookmarkEnd w:id="286"/>
      <w:bookmarkEnd w:id="287"/>
    </w:p>
    <w:p w14:paraId="18B14B38" w14:textId="2EBEC790" w:rsidR="0022492E" w:rsidRPr="00EE43C6" w:rsidRDefault="00C65D46" w:rsidP="0022492E">
      <w:bookmarkStart w:id="288" w:name="_Toc80633537"/>
      <w:bookmarkStart w:id="289" w:name="_Toc120016925"/>
      <w:bookmarkStart w:id="290" w:name="_Toc120004703"/>
      <w:r>
        <w:rPr>
          <w:rFonts w:cs="MS Gothic"/>
        </w:rPr>
        <w:t>101</w:t>
      </w:r>
      <w:r w:rsidR="00DB5D9C" w:rsidRPr="2DB09FEA">
        <w:rPr>
          <w:rFonts w:cs="MS Gothic"/>
        </w:rPr>
        <w:t xml:space="preserve"> hectares included agricultural land, stony, brushy and raw land. The acquisition methods (expropriation, purchase or agreement) of the land sold is given in the </w:t>
      </w:r>
      <w:r w:rsidR="00DB5D9C" w:rsidRPr="2DB09FEA">
        <w:rPr>
          <w:rFonts w:cs="MS Gothic"/>
        </w:rPr>
        <w:fldChar w:fldCharType="begin"/>
      </w:r>
      <w:r w:rsidR="00DB5D9C" w:rsidRPr="2DB09FEA">
        <w:rPr>
          <w:rFonts w:cs="MS Gothic"/>
        </w:rPr>
        <w:instrText xml:space="preserve"> REF _Ref135992984 \h </w:instrText>
      </w:r>
      <w:r w:rsidR="00DB5D9C" w:rsidRPr="2DB09FEA">
        <w:rPr>
          <w:rFonts w:cs="MS Gothic"/>
        </w:rPr>
      </w:r>
      <w:r w:rsidR="00DB5D9C" w:rsidRPr="2DB09FEA">
        <w:rPr>
          <w:rFonts w:cs="MS Gothic"/>
        </w:rPr>
        <w:fldChar w:fldCharType="separate"/>
      </w:r>
      <w:r w:rsidR="00DB5D9C">
        <w:t xml:space="preserve">Table </w:t>
      </w:r>
      <w:r w:rsidR="00DB5D9C" w:rsidRPr="2DB09FEA">
        <w:rPr>
          <w:noProof/>
        </w:rPr>
        <w:t>6</w:t>
      </w:r>
      <w:r w:rsidR="00DB5D9C">
        <w:noBreakHyphen/>
      </w:r>
      <w:r w:rsidR="00DB5D9C" w:rsidRPr="2DB09FEA">
        <w:rPr>
          <w:noProof/>
        </w:rPr>
        <w:t>31</w:t>
      </w:r>
      <w:r w:rsidR="00DB5D9C" w:rsidRPr="2DB09FEA">
        <w:rPr>
          <w:rFonts w:cs="MS Gothic"/>
        </w:rPr>
        <w:fldChar w:fldCharType="end"/>
      </w:r>
      <w:r w:rsidR="00DB5D9C" w:rsidRPr="2DB09FEA">
        <w:rPr>
          <w:rFonts w:cs="MS Gothic"/>
        </w:rPr>
        <w:t>.</w:t>
      </w:r>
      <w:r w:rsidR="00E77532" w:rsidRPr="2DB09FEA">
        <w:rPr>
          <w:rFonts w:cs="MS Gothic"/>
        </w:rPr>
        <w:t xml:space="preserve"> </w:t>
      </w:r>
      <w:r w:rsidR="00165429">
        <w:t>During the site visit</w:t>
      </w:r>
      <w:r w:rsidR="00777FF7">
        <w:t>,</w:t>
      </w:r>
      <w:r w:rsidR="00165429">
        <w:t xml:space="preserve"> since the title deed </w:t>
      </w:r>
      <w:r w:rsidR="00C67016">
        <w:t>processes</w:t>
      </w:r>
      <w:r w:rsidR="00165429">
        <w:t xml:space="preserve"> of </w:t>
      </w:r>
      <w:r w:rsidR="003E7430">
        <w:t>lot 105: parcel no. 1 and 2</w:t>
      </w:r>
      <w:r w:rsidR="00477624">
        <w:t xml:space="preserve"> </w:t>
      </w:r>
      <w:r w:rsidR="00165429">
        <w:t xml:space="preserve">belonging to the Project </w:t>
      </w:r>
      <w:r w:rsidR="00927160">
        <w:t>have</w:t>
      </w:r>
      <w:r w:rsidR="00165429">
        <w:t xml:space="preserve"> not </w:t>
      </w:r>
      <w:r w:rsidR="00927160">
        <w:t>been</w:t>
      </w:r>
      <w:r w:rsidR="00165429">
        <w:t xml:space="preserve"> completed yet, </w:t>
      </w:r>
      <w:r w:rsidR="0090234A" w:rsidRPr="3C3DFBEF">
        <w:rPr>
          <w:rFonts w:cs="Wingdings"/>
        </w:rPr>
        <w:t xml:space="preserve">it has been observed that ground levelling processes have not started in this area. </w:t>
      </w:r>
      <w:r w:rsidR="00777FF7">
        <w:t xml:space="preserve">2U1K </w:t>
      </w:r>
      <w:r w:rsidR="0090234A">
        <w:t xml:space="preserve">also </w:t>
      </w:r>
      <w:r w:rsidR="00777FF7">
        <w:t>observed</w:t>
      </w:r>
      <w:r w:rsidR="00927160">
        <w:t xml:space="preserve"> the</w:t>
      </w:r>
      <w:r w:rsidR="00777FF7">
        <w:t xml:space="preserve"> </w:t>
      </w:r>
      <w:r w:rsidR="00165429">
        <w:t xml:space="preserve">structures </w:t>
      </w:r>
      <w:r w:rsidR="004661CE">
        <w:t>of</w:t>
      </w:r>
      <w:r w:rsidR="00165429">
        <w:t xml:space="preserve"> the gas station that was </w:t>
      </w:r>
      <w:r w:rsidR="00946C2D">
        <w:t xml:space="preserve">previously </w:t>
      </w:r>
      <w:r w:rsidR="00165429">
        <w:t>operating in this area</w:t>
      </w:r>
      <w:r w:rsidR="00777FF7">
        <w:t xml:space="preserve"> (see</w:t>
      </w:r>
      <w:r w:rsidR="00F41056">
        <w:t xml:space="preserve"> </w:t>
      </w:r>
      <w:r w:rsidR="00DB5D9C">
        <w:fldChar w:fldCharType="begin"/>
      </w:r>
      <w:r w:rsidR="00DB5D9C">
        <w:instrText xml:space="preserve"> REF _Ref136450218 \h </w:instrText>
      </w:r>
      <w:r w:rsidR="00DB5D9C">
        <w:fldChar w:fldCharType="separate"/>
      </w:r>
      <w:r w:rsidR="00F41056">
        <w:t>Figure 4</w:t>
      </w:r>
      <w:r w:rsidR="002C074B">
        <w:t>-</w:t>
      </w:r>
      <w:r w:rsidR="00F41056">
        <w:t>5</w:t>
      </w:r>
      <w:r w:rsidR="00DB5D9C">
        <w:fldChar w:fldCharType="end"/>
      </w:r>
      <w:r w:rsidR="00777FF7" w:rsidRPr="00F41056">
        <w:t>)</w:t>
      </w:r>
      <w:r w:rsidR="00F01E18">
        <w:t xml:space="preserve"> and th</w:t>
      </w:r>
      <w:r w:rsidR="006948AF">
        <w:t xml:space="preserve">e repair and maintenance shop operated by the previous owner of this area was being used as a fuel filling location. </w:t>
      </w:r>
      <w:r w:rsidR="00C56C64">
        <w:t xml:space="preserve">In addition, </w:t>
      </w:r>
      <w:r w:rsidR="006948AF">
        <w:t xml:space="preserve">small spot fuel and oil spills were observed </w:t>
      </w:r>
      <w:r w:rsidR="00CB711F">
        <w:t xml:space="preserve">visually </w:t>
      </w:r>
      <w:r w:rsidR="006948AF">
        <w:t>at relevant area</w:t>
      </w:r>
      <w:r w:rsidR="00C56C64">
        <w:t>.</w:t>
      </w:r>
    </w:p>
    <w:p w14:paraId="236B4752" w14:textId="468C2F61" w:rsidR="00B11AAC" w:rsidRPr="00EE43C6" w:rsidRDefault="00903317" w:rsidP="00B11AAC">
      <w:pPr>
        <w:rPr>
          <w:rFonts w:eastAsiaTheme="minorHAnsi"/>
          <w:lang w:eastAsia="en-US"/>
        </w:rPr>
      </w:pPr>
      <w:r w:rsidRPr="00EE43C6">
        <w:rPr>
          <w:rFonts w:eastAsiaTheme="minorHAnsi"/>
          <w:lang w:eastAsia="en-US"/>
        </w:rPr>
        <w:t xml:space="preserve">According to the </w:t>
      </w:r>
      <w:r w:rsidR="00171EEA">
        <w:rPr>
          <w:rFonts w:eastAsiaTheme="minorHAnsi"/>
          <w:lang w:eastAsia="en-US"/>
        </w:rPr>
        <w:t>preliminary</w:t>
      </w:r>
      <w:r w:rsidR="00171EEA" w:rsidRPr="00EE43C6">
        <w:rPr>
          <w:rFonts w:eastAsiaTheme="minorHAnsi"/>
          <w:lang w:eastAsia="en-US"/>
        </w:rPr>
        <w:t xml:space="preserve"> </w:t>
      </w:r>
      <w:r w:rsidR="0090724F" w:rsidRPr="00EE43C6">
        <w:rPr>
          <w:rFonts w:eastAsiaTheme="minorHAnsi"/>
          <w:lang w:eastAsia="en-US"/>
        </w:rPr>
        <w:t>observations</w:t>
      </w:r>
      <w:r w:rsidR="000B0514" w:rsidRPr="00EE43C6">
        <w:rPr>
          <w:rFonts w:eastAsiaTheme="minorHAnsi"/>
          <w:lang w:eastAsia="en-US"/>
        </w:rPr>
        <w:t xml:space="preserve">, </w:t>
      </w:r>
      <w:r w:rsidR="005B713D" w:rsidRPr="00EE43C6">
        <w:rPr>
          <w:rFonts w:eastAsiaTheme="minorHAnsi"/>
          <w:lang w:eastAsia="en-US"/>
        </w:rPr>
        <w:t>together with</w:t>
      </w:r>
      <w:r w:rsidR="00B11AAC" w:rsidRPr="00EE43C6">
        <w:rPr>
          <w:rFonts w:eastAsiaTheme="minorHAnsi"/>
          <w:lang w:eastAsia="en-US"/>
        </w:rPr>
        <w:t xml:space="preserve"> the presence of inert wastes from the buildings to be demolished in this relevant area, there are other non-hazardous and hazardous wastes left in the area that should be disposed in accordance with the national legislation</w:t>
      </w:r>
      <w:r w:rsidR="0073678E" w:rsidRPr="00EE43C6">
        <w:rPr>
          <w:rFonts w:eastAsiaTheme="minorHAnsi"/>
          <w:lang w:eastAsia="en-US"/>
        </w:rPr>
        <w:t xml:space="preserve"> </w:t>
      </w:r>
      <w:r w:rsidR="0073678E" w:rsidRPr="00EE43C6">
        <w:t xml:space="preserve">(see </w:t>
      </w:r>
      <w:r w:rsidR="008217F8" w:rsidRPr="008217F8">
        <w:fldChar w:fldCharType="begin"/>
      </w:r>
      <w:r w:rsidR="008217F8" w:rsidRPr="008217F8">
        <w:instrText xml:space="preserve"> REF _Ref136450218 \h </w:instrText>
      </w:r>
      <w:r w:rsidR="008217F8" w:rsidRPr="008217F8">
        <w:fldChar w:fldCharType="separate"/>
      </w:r>
      <w:r w:rsidR="008217F8" w:rsidRPr="008217F8">
        <w:t>Figure 4</w:t>
      </w:r>
      <w:r w:rsidR="008217F8" w:rsidRPr="008217F8">
        <w:noBreakHyphen/>
        <w:t>5</w:t>
      </w:r>
      <w:r w:rsidR="008217F8" w:rsidRPr="008217F8">
        <w:fldChar w:fldCharType="end"/>
      </w:r>
      <w:r w:rsidR="0073678E" w:rsidRPr="008217F8">
        <w:fldChar w:fldCharType="begin"/>
      </w:r>
      <w:r w:rsidR="0073678E" w:rsidRPr="008217F8">
        <w:instrText xml:space="preserve"> REF _Ref125540205 \h  \* MERGEFORMAT </w:instrText>
      </w:r>
      <w:r w:rsidR="00EC509A">
        <w:fldChar w:fldCharType="separate"/>
      </w:r>
      <w:r w:rsidR="0073678E" w:rsidRPr="008217F8">
        <w:fldChar w:fldCharType="end"/>
      </w:r>
      <w:r w:rsidR="0073678E" w:rsidRPr="008217F8">
        <w:t>)</w:t>
      </w:r>
      <w:r w:rsidR="00B11AAC" w:rsidRPr="008217F8">
        <w:rPr>
          <w:rFonts w:eastAsiaTheme="minorHAnsi"/>
          <w:lang w:eastAsia="en-US"/>
        </w:rPr>
        <w:t>.</w:t>
      </w:r>
    </w:p>
    <w:p w14:paraId="45F15676" w14:textId="1538D0FF" w:rsidR="00B95A0F" w:rsidRPr="00EE43C6" w:rsidRDefault="007853C1" w:rsidP="0022492E">
      <w:r w:rsidRPr="00EE43C6">
        <w:t>In addition</w:t>
      </w:r>
      <w:r w:rsidR="009C2987">
        <w:t xml:space="preserve">, </w:t>
      </w:r>
      <w:r w:rsidR="00662DEC">
        <w:t xml:space="preserve">as </w:t>
      </w:r>
      <w:r w:rsidR="00F53E81">
        <w:t xml:space="preserve">spot fuel and oil spills were observed </w:t>
      </w:r>
      <w:r w:rsidR="00CB711F">
        <w:t xml:space="preserve">visually </w:t>
      </w:r>
      <w:r w:rsidR="00F53E81">
        <w:t>a</w:t>
      </w:r>
      <w:r w:rsidR="00662DEC">
        <w:t>t the relevant area,</w:t>
      </w:r>
      <w:r w:rsidRPr="00EE43C6">
        <w:t xml:space="preserve"> </w:t>
      </w:r>
      <w:r w:rsidR="00A4319C">
        <w:t xml:space="preserve">the TUIOSB will </w:t>
      </w:r>
      <w:r w:rsidR="009C2987" w:rsidRPr="009C2987">
        <w:t xml:space="preserve">take soil samples in the concerned area to be able to assess possible soil contamination in accordance with Regulation on Control of Soil Pollution and Point Source Contaminated Lands. If soil contamination is detected at the area, ground levelling works within the area will only be started </w:t>
      </w:r>
      <w:r w:rsidR="00A4319C">
        <w:t xml:space="preserve">by the contractor </w:t>
      </w:r>
      <w:r w:rsidR="009C2987" w:rsidRPr="009C2987">
        <w:t>after the rehabilitation of the area in line with the relevant regulation</w:t>
      </w:r>
      <w:r w:rsidR="00662DEC">
        <w:t>. Thus,</w:t>
      </w:r>
      <w:r w:rsidRPr="00EE43C6">
        <w:t xml:space="preserve"> </w:t>
      </w:r>
      <w:r w:rsidR="00494DB7" w:rsidRPr="00EE43C6">
        <w:t>t</w:t>
      </w:r>
      <w:r w:rsidR="00B95A0F" w:rsidRPr="00EE43C6">
        <w:t>here is a</w:t>
      </w:r>
      <w:r w:rsidR="00DB78FC" w:rsidRPr="00EE43C6">
        <w:t>n</w:t>
      </w:r>
      <w:r w:rsidR="00B95A0F" w:rsidRPr="00EE43C6">
        <w:t xml:space="preserve"> </w:t>
      </w:r>
      <w:r w:rsidR="00DB78FC" w:rsidRPr="00EE43C6">
        <w:t xml:space="preserve">obligation </w:t>
      </w:r>
      <w:r w:rsidR="00B95A0F" w:rsidRPr="00EE43C6">
        <w:t>to manage wastes within the scope of national regulations in the entire project area, primarily in this area.</w:t>
      </w:r>
    </w:p>
    <w:p w14:paraId="78188EF8" w14:textId="317682FF" w:rsidR="004339AC" w:rsidRPr="00EE43C6" w:rsidRDefault="004339AC" w:rsidP="00757092">
      <w:pPr>
        <w:pStyle w:val="Heading2"/>
        <w:ind w:hanging="718"/>
        <w:rPr>
          <w:lang w:val="en-GB"/>
        </w:rPr>
      </w:pPr>
      <w:bookmarkStart w:id="291" w:name="_Toc141445414"/>
      <w:r w:rsidRPr="00EE43C6">
        <w:rPr>
          <w:lang w:val="en-GB"/>
        </w:rPr>
        <w:lastRenderedPageBreak/>
        <w:t>Water Resources</w:t>
      </w:r>
      <w:bookmarkEnd w:id="288"/>
      <w:bookmarkEnd w:id="289"/>
      <w:bookmarkEnd w:id="290"/>
      <w:bookmarkEnd w:id="291"/>
    </w:p>
    <w:p w14:paraId="6A0D858A" w14:textId="4EB18784" w:rsidR="00CB4CFE" w:rsidRPr="00EE43C6" w:rsidRDefault="000B3EEE" w:rsidP="00CB4CFE">
      <w:r w:rsidRPr="00EE43C6">
        <w:t>Firstly</w:t>
      </w:r>
      <w:r w:rsidR="00353F71" w:rsidRPr="00EE43C6">
        <w:t>, w</w:t>
      </w:r>
      <w:r w:rsidR="00A40FEA" w:rsidRPr="00EE43C6">
        <w:t xml:space="preserve">ater </w:t>
      </w:r>
      <w:r w:rsidR="00F75B05">
        <w:t xml:space="preserve">need of </w:t>
      </w:r>
      <w:r w:rsidR="00A40FEA" w:rsidRPr="00EE43C6">
        <w:t xml:space="preserve">the facilities to be established in the </w:t>
      </w:r>
      <w:r w:rsidR="00353F71" w:rsidRPr="00EE43C6">
        <w:t>Project</w:t>
      </w:r>
      <w:r w:rsidR="00A40FEA" w:rsidRPr="00EE43C6">
        <w:t xml:space="preserve"> </w:t>
      </w:r>
      <w:r w:rsidR="00353F71" w:rsidRPr="00EE43C6">
        <w:t>A</w:t>
      </w:r>
      <w:r w:rsidR="00A40FEA" w:rsidRPr="00EE43C6">
        <w:t>rea</w:t>
      </w:r>
      <w:r w:rsidR="008D21D3" w:rsidRPr="00EE43C6">
        <w:t xml:space="preserve"> </w:t>
      </w:r>
      <w:r w:rsidR="0030267E" w:rsidRPr="00EE43C6">
        <w:t xml:space="preserve">was planned </w:t>
      </w:r>
      <w:r w:rsidR="008D21D3" w:rsidRPr="00EE43C6">
        <w:t>t</w:t>
      </w:r>
      <w:r w:rsidR="00A40FEA" w:rsidRPr="00EE43C6">
        <w:t xml:space="preserve">o be met by the water </w:t>
      </w:r>
      <w:r w:rsidR="00B61DC0">
        <w:t>released</w:t>
      </w:r>
      <w:r w:rsidR="00A40FEA" w:rsidRPr="00EE43C6">
        <w:t xml:space="preserve"> from the Berdan Dam bottom </w:t>
      </w:r>
      <w:r w:rsidR="00F8393D" w:rsidRPr="00EE43C6">
        <w:t>spillway</w:t>
      </w:r>
      <w:r w:rsidR="007328CA" w:rsidRPr="00EE43C6">
        <w:t>, which</w:t>
      </w:r>
      <w:r w:rsidR="00BB3ABE" w:rsidRPr="00EE43C6">
        <w:t xml:space="preserve"> is at a distance of 5 km by bird flight from the</w:t>
      </w:r>
      <w:r w:rsidR="007328CA" w:rsidRPr="00EE43C6">
        <w:t xml:space="preserve"> Project Area</w:t>
      </w:r>
      <w:r w:rsidR="00BB3ABE" w:rsidRPr="00EE43C6">
        <w:t xml:space="preserve">. </w:t>
      </w:r>
      <w:r w:rsidR="009B22AF" w:rsidRPr="00EE43C6">
        <w:t>According to the Department of Survey</w:t>
      </w:r>
      <w:r w:rsidR="00BB5B4A" w:rsidRPr="00EE43C6">
        <w:t>,</w:t>
      </w:r>
      <w:r w:rsidR="009B22AF" w:rsidRPr="00EE43C6">
        <w:t xml:space="preserve"> Planning and Allocation of </w:t>
      </w:r>
      <w:r w:rsidR="0046742F" w:rsidRPr="00EE43C6">
        <w:t>DSI</w:t>
      </w:r>
      <w:r w:rsidR="00B41E49" w:rsidRPr="00EE43C6">
        <w:t>’</w:t>
      </w:r>
      <w:r w:rsidR="0046742F" w:rsidRPr="00EE43C6">
        <w:t>s</w:t>
      </w:r>
      <w:r w:rsidR="00B41E49" w:rsidRPr="00EE43C6">
        <w:t xml:space="preserve"> Water Allocation Letter, dated 04.11.2021 and numbered 1706642</w:t>
      </w:r>
      <w:r w:rsidR="00BA7E71" w:rsidRPr="00EE43C6">
        <w:t xml:space="preserve"> </w:t>
      </w:r>
      <w:r w:rsidR="00FB5BB7" w:rsidRPr="00EE43C6">
        <w:t>regarding t</w:t>
      </w:r>
      <w:r w:rsidR="00675231" w:rsidRPr="00EE43C6">
        <w:t xml:space="preserve">he Project </w:t>
      </w:r>
      <w:r w:rsidR="00BA7E71" w:rsidRPr="00EE43C6">
        <w:t>(see Appendix-C</w:t>
      </w:r>
      <w:r w:rsidR="00FD6BA2" w:rsidRPr="00EE43C6">
        <w:t>), it</w:t>
      </w:r>
      <w:r w:rsidR="00172EF8" w:rsidRPr="00EE43C6">
        <w:t xml:space="preserve"> was stated that </w:t>
      </w:r>
      <w:r w:rsidR="00B5761C" w:rsidRPr="00EE43C6">
        <w:t xml:space="preserve">50 l/s </w:t>
      </w:r>
      <w:r w:rsidR="00B41E49" w:rsidRPr="00EE43C6">
        <w:t xml:space="preserve">water </w:t>
      </w:r>
      <w:r w:rsidR="00C77015" w:rsidRPr="00EE43C6">
        <w:t>can</w:t>
      </w:r>
      <w:r w:rsidR="00B5761C" w:rsidRPr="00EE43C6">
        <w:t xml:space="preserve"> be met from the left bank of the dam</w:t>
      </w:r>
      <w:r w:rsidR="00333216" w:rsidRPr="00EE43C6">
        <w:t>’</w:t>
      </w:r>
      <w:r w:rsidR="00B5761C" w:rsidRPr="00EE43C6">
        <w:t>s spillway</w:t>
      </w:r>
      <w:r w:rsidR="001C69FB" w:rsidRPr="00EE43C6">
        <w:t xml:space="preserve"> except for September, </w:t>
      </w:r>
      <w:r w:rsidR="00EC54EE" w:rsidRPr="00EE43C6">
        <w:t>October,</w:t>
      </w:r>
      <w:r w:rsidR="001C69FB" w:rsidRPr="00EE43C6">
        <w:t xml:space="preserve"> and November</w:t>
      </w:r>
      <w:r w:rsidR="00524361" w:rsidRPr="00EE43C6">
        <w:t xml:space="preserve"> months</w:t>
      </w:r>
      <w:r w:rsidR="00B41E49" w:rsidRPr="00EE43C6">
        <w:t>.</w:t>
      </w:r>
      <w:r w:rsidR="00EC54EE" w:rsidRPr="00EE43C6">
        <w:t xml:space="preserve"> </w:t>
      </w:r>
      <w:r w:rsidR="00551FFC" w:rsidRPr="00EE43C6">
        <w:t>As a result</w:t>
      </w:r>
      <w:r w:rsidR="00E55AF6" w:rsidRPr="00EE43C6">
        <w:t xml:space="preserve">, </w:t>
      </w:r>
      <w:r w:rsidR="00136134" w:rsidRPr="00EE43C6">
        <w:t>TU</w:t>
      </w:r>
      <w:r w:rsidR="00136134">
        <w:t>IO</w:t>
      </w:r>
      <w:r w:rsidR="00136134" w:rsidRPr="00EE43C6">
        <w:t xml:space="preserve">SB </w:t>
      </w:r>
      <w:r w:rsidR="00E55AF6" w:rsidRPr="00EE43C6">
        <w:t xml:space="preserve">has </w:t>
      </w:r>
      <w:r w:rsidR="00DA25DC" w:rsidRPr="00EE43C6">
        <w:t>prioritized the groundwater option for the Project</w:t>
      </w:r>
      <w:r w:rsidR="00333216" w:rsidRPr="00EE43C6">
        <w:t>’</w:t>
      </w:r>
      <w:r w:rsidR="00DA25DC" w:rsidRPr="00EE43C6">
        <w:t>s water supply.</w:t>
      </w:r>
    </w:p>
    <w:p w14:paraId="75EFBFDF" w14:textId="0BA8C48C" w:rsidR="00CB4CFE" w:rsidRPr="00EE43C6" w:rsidRDefault="00CB4CFE" w:rsidP="00B709BE">
      <w:pPr>
        <w:spacing w:after="120"/>
      </w:pPr>
      <w:r w:rsidRPr="00EE43C6">
        <w:t>In this context, TUI</w:t>
      </w:r>
      <w:r w:rsidR="00136134">
        <w:t>O</w:t>
      </w:r>
      <w:r w:rsidRPr="00EE43C6">
        <w:t xml:space="preserve">SB </w:t>
      </w:r>
      <w:r w:rsidR="00BB5A77" w:rsidRPr="00EE43C6">
        <w:t>obtained</w:t>
      </w:r>
      <w:r w:rsidRPr="00EE43C6">
        <w:t xml:space="preserve"> a Groundwater Exploration Document valid until 24.11.2022 from DSI with water allocation requirement as 4,310 ton</w:t>
      </w:r>
      <w:r w:rsidR="001932B8" w:rsidRPr="00EE43C6">
        <w:t>ne</w:t>
      </w:r>
      <w:r w:rsidRPr="00EE43C6">
        <w:t xml:space="preserve">s/day (50 l/s) and, then </w:t>
      </w:r>
      <w:r w:rsidR="00FB039D" w:rsidRPr="00EE43C6">
        <w:t xml:space="preserve">its </w:t>
      </w:r>
      <w:r w:rsidR="00373A25" w:rsidRPr="00EE43C6">
        <w:t>one-year</w:t>
      </w:r>
      <w:r w:rsidRPr="00EE43C6">
        <w:t xml:space="preserve"> extension valid until 24.11.2023 has been secured. The concerned well </w:t>
      </w:r>
      <w:r w:rsidR="00A90E42" w:rsidRPr="00EE43C6">
        <w:t xml:space="preserve">whose drilling studies </w:t>
      </w:r>
      <w:r w:rsidR="008F7548" w:rsidRPr="00EE43C6">
        <w:t>are</w:t>
      </w:r>
      <w:r w:rsidR="00A90E42" w:rsidRPr="00EE43C6">
        <w:t xml:space="preserve"> continued </w:t>
      </w:r>
      <w:r w:rsidRPr="00EE43C6">
        <w:t xml:space="preserve">can be seen </w:t>
      </w:r>
      <w:r w:rsidR="009337F2" w:rsidRPr="00EE43C6">
        <w:t>as Well</w:t>
      </w:r>
      <w:r w:rsidR="009337F2" w:rsidRPr="00022319">
        <w:t xml:space="preserve">-1 </w:t>
      </w:r>
      <w:r w:rsidRPr="00022319">
        <w:t xml:space="preserve">in </w:t>
      </w:r>
      <w:r w:rsidR="00022319" w:rsidRPr="00022319">
        <w:fldChar w:fldCharType="begin"/>
      </w:r>
      <w:r w:rsidR="00022319" w:rsidRPr="00022319">
        <w:instrText xml:space="preserve"> REF _Ref136450816 \h </w:instrText>
      </w:r>
      <w:r w:rsidR="00022319" w:rsidRPr="00022319">
        <w:fldChar w:fldCharType="separate"/>
      </w:r>
      <w:r w:rsidR="00022319" w:rsidRPr="00022319">
        <w:t>Figure 4</w:t>
      </w:r>
      <w:r w:rsidR="00022319" w:rsidRPr="00022319">
        <w:noBreakHyphen/>
        <w:t>8</w:t>
      </w:r>
      <w:r w:rsidR="00022319" w:rsidRPr="00022319">
        <w:fldChar w:fldCharType="end"/>
      </w:r>
      <w:r w:rsidRPr="00022319">
        <w:fldChar w:fldCharType="begin"/>
      </w:r>
      <w:r w:rsidRPr="00022319">
        <w:instrText xml:space="preserve"> REF _Ref125031951 \h  \* MERGEFORMAT </w:instrText>
      </w:r>
      <w:r w:rsidR="00EC509A">
        <w:fldChar w:fldCharType="separate"/>
      </w:r>
      <w:r w:rsidRPr="00022319">
        <w:fldChar w:fldCharType="end"/>
      </w:r>
      <w:r w:rsidRPr="00022319">
        <w:t>.</w:t>
      </w:r>
    </w:p>
    <w:p w14:paraId="639566BA" w14:textId="236C6E1E" w:rsidR="00A875B6" w:rsidRPr="00EE43C6" w:rsidRDefault="00E8010F" w:rsidP="00B709BE">
      <w:pPr>
        <w:spacing w:before="120" w:after="0"/>
        <w:jc w:val="center"/>
      </w:pPr>
      <w:r w:rsidRPr="00EE43C6">
        <w:rPr>
          <w:noProof/>
        </w:rPr>
        <w:lastRenderedPageBreak/>
        <w:drawing>
          <wp:inline distT="0" distB="0" distL="0" distR="0" wp14:anchorId="11C94C1E" wp14:editId="1A315E57">
            <wp:extent cx="5585181" cy="7632000"/>
            <wp:effectExtent l="38100" t="38100" r="34925" b="457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2" cstate="screen">
                      <a:extLst>
                        <a:ext uri="{28A0092B-C50C-407E-A947-70E740481C1C}">
                          <a14:useLocalDpi xmlns:a14="http://schemas.microsoft.com/office/drawing/2010/main"/>
                        </a:ext>
                      </a:extLst>
                    </a:blip>
                    <a:stretch>
                      <a:fillRect/>
                    </a:stretch>
                  </pic:blipFill>
                  <pic:spPr>
                    <a:xfrm>
                      <a:off x="0" y="0"/>
                      <a:ext cx="5585181" cy="7632000"/>
                    </a:xfrm>
                    <a:prstGeom prst="rect">
                      <a:avLst/>
                    </a:prstGeom>
                    <a:ln w="38100">
                      <a:solidFill>
                        <a:schemeClr val="tx1"/>
                      </a:solidFill>
                    </a:ln>
                  </pic:spPr>
                </pic:pic>
              </a:graphicData>
            </a:graphic>
          </wp:inline>
        </w:drawing>
      </w:r>
    </w:p>
    <w:p w14:paraId="3E767B7D" w14:textId="6D9EB168" w:rsidR="00BB70F5" w:rsidRPr="00EE43C6" w:rsidRDefault="00B90EA1" w:rsidP="00757092">
      <w:pPr>
        <w:pStyle w:val="Caption"/>
        <w:spacing w:before="0" w:after="0"/>
        <w:rPr>
          <w:b w:val="0"/>
          <w:noProof w:val="0"/>
          <w:color w:val="auto"/>
        </w:rPr>
      </w:pPr>
      <w:bookmarkStart w:id="292" w:name="_Ref136450816"/>
      <w:bookmarkStart w:id="293" w:name="_Ref125031951"/>
      <w:bookmarkStart w:id="294" w:name="_Toc141445567"/>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4</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2334B">
        <w:rPr>
          <w:color w:val="00B050"/>
        </w:rPr>
        <w:t>8</w:t>
      </w:r>
      <w:r w:rsidR="0096150F">
        <w:rPr>
          <w:noProof w:val="0"/>
          <w:color w:val="00B050"/>
        </w:rPr>
        <w:fldChar w:fldCharType="end"/>
      </w:r>
      <w:bookmarkEnd w:id="292"/>
      <w:bookmarkEnd w:id="293"/>
      <w:r w:rsidRPr="00EE43C6">
        <w:rPr>
          <w:noProof w:val="0"/>
          <w:color w:val="00B050"/>
        </w:rPr>
        <w:t xml:space="preserve">. </w:t>
      </w:r>
      <w:r w:rsidR="00A875B6" w:rsidRPr="00EE43C6">
        <w:rPr>
          <w:b w:val="0"/>
          <w:noProof w:val="0"/>
          <w:color w:val="auto"/>
        </w:rPr>
        <w:t>The Well</w:t>
      </w:r>
      <w:r w:rsidR="008010CA" w:rsidRPr="00EE43C6">
        <w:rPr>
          <w:b w:val="0"/>
          <w:noProof w:val="0"/>
          <w:color w:val="auto"/>
        </w:rPr>
        <w:t xml:space="preserve">s </w:t>
      </w:r>
      <w:r w:rsidR="00C136E5" w:rsidRPr="00EE43C6">
        <w:rPr>
          <w:b w:val="0"/>
          <w:noProof w:val="0"/>
          <w:color w:val="auto"/>
        </w:rPr>
        <w:t>a</w:t>
      </w:r>
      <w:r w:rsidR="0015713A" w:rsidRPr="00EE43C6">
        <w:rPr>
          <w:b w:val="0"/>
          <w:noProof w:val="0"/>
          <w:color w:val="auto"/>
        </w:rPr>
        <w:t>nd Water Table Contour</w:t>
      </w:r>
      <w:r w:rsidR="008010CA" w:rsidRPr="00EE43C6">
        <w:rPr>
          <w:b w:val="0"/>
          <w:noProof w:val="0"/>
          <w:color w:val="auto"/>
        </w:rPr>
        <w:t xml:space="preserve"> in </w:t>
      </w:r>
      <w:r w:rsidR="00804997" w:rsidRPr="00EE43C6">
        <w:rPr>
          <w:b w:val="0"/>
          <w:noProof w:val="0"/>
          <w:color w:val="auto"/>
        </w:rPr>
        <w:t xml:space="preserve">the </w:t>
      </w:r>
      <w:r w:rsidR="008010CA" w:rsidRPr="00EE43C6">
        <w:rPr>
          <w:b w:val="0"/>
          <w:noProof w:val="0"/>
          <w:color w:val="auto"/>
        </w:rPr>
        <w:t>AoI of the Project</w:t>
      </w:r>
      <w:bookmarkEnd w:id="294"/>
    </w:p>
    <w:p w14:paraId="43DF8DD7" w14:textId="7974CC42" w:rsidR="008A555C" w:rsidRPr="00EE43C6" w:rsidRDefault="008A555C" w:rsidP="008A555C">
      <w:r w:rsidRPr="00EE43C6">
        <w:t xml:space="preserve">Moreover, in the light of the geology of the region and the study area,  to determine the lateral and vertical changes of the units, their engineering properties, groundwater status and geotechnical parameters, 22 (twenty-two) foundation drilling with each 15 meters were </w:t>
      </w:r>
      <w:r w:rsidR="35A9008D" w:rsidRPr="00EE43C6">
        <w:lastRenderedPageBreak/>
        <w:t>conducted</w:t>
      </w:r>
      <w:r w:rsidRPr="00EE43C6">
        <w:t xml:space="preserve"> in the study area between 10.09.2018 and 27.09.2018. No groundwater was encountered </w:t>
      </w:r>
      <w:sdt>
        <w:sdtPr>
          <w:id w:val="427701046"/>
          <w:placeholder>
            <w:docPart w:val="DefaultPlaceholder_1081868574"/>
          </w:placeholder>
          <w:citation/>
        </w:sdtPr>
        <w:sdtEndPr/>
        <w:sdtContent>
          <w:r w:rsidRPr="00EE43C6">
            <w:fldChar w:fldCharType="begin"/>
          </w:r>
          <w:r w:rsidRPr="00EE43C6">
            <w:instrText xml:space="preserve"> CITATION Şen18 \l 1055 </w:instrText>
          </w:r>
          <w:r w:rsidRPr="00EE43C6">
            <w:fldChar w:fldCharType="separate"/>
          </w:r>
          <w:r w:rsidR="00CE3B94" w:rsidRPr="00EE43C6">
            <w:t>(Şen Engineering, The Geological-Geotechnical Survey Report of the Project Area, 2018)</w:t>
          </w:r>
          <w:r w:rsidRPr="00EE43C6">
            <w:fldChar w:fldCharType="end"/>
          </w:r>
        </w:sdtContent>
      </w:sdt>
      <w:r w:rsidRPr="00EE43C6">
        <w:t>.</w:t>
      </w:r>
    </w:p>
    <w:p w14:paraId="28219426" w14:textId="24E5A6F1" w:rsidR="00AB5100" w:rsidRPr="00EE43C6" w:rsidRDefault="00A50595" w:rsidP="00AB5100">
      <w:pPr>
        <w:rPr>
          <w:lang w:eastAsia="en-US"/>
        </w:rPr>
      </w:pPr>
      <w:r w:rsidRPr="00EE43C6">
        <w:rPr>
          <w:lang w:eastAsia="en-US"/>
        </w:rPr>
        <w:t xml:space="preserve">In addition, licensing studies for another </w:t>
      </w:r>
      <w:r w:rsidR="00020DFB" w:rsidRPr="00EE43C6">
        <w:rPr>
          <w:lang w:eastAsia="en-US"/>
        </w:rPr>
        <w:t xml:space="preserve">well </w:t>
      </w:r>
      <w:r w:rsidR="00F43655" w:rsidRPr="00EE43C6">
        <w:rPr>
          <w:lang w:eastAsia="en-US"/>
        </w:rPr>
        <w:t>which</w:t>
      </w:r>
      <w:r w:rsidR="009272A1" w:rsidRPr="00EE43C6">
        <w:rPr>
          <w:lang w:eastAsia="en-US"/>
        </w:rPr>
        <w:t xml:space="preserve"> </w:t>
      </w:r>
      <w:r w:rsidR="00197E56" w:rsidRPr="00EE43C6">
        <w:rPr>
          <w:lang w:eastAsia="en-US"/>
        </w:rPr>
        <w:t>can be seen</w:t>
      </w:r>
      <w:r w:rsidR="00DB2584" w:rsidRPr="00EE43C6">
        <w:rPr>
          <w:lang w:eastAsia="en-US"/>
        </w:rPr>
        <w:t xml:space="preserve"> </w:t>
      </w:r>
      <w:r w:rsidR="004851DE" w:rsidRPr="00EE43C6">
        <w:rPr>
          <w:lang w:eastAsia="en-US"/>
        </w:rPr>
        <w:t xml:space="preserve">in the map as Well-2 in </w:t>
      </w:r>
      <w:r w:rsidR="004851DE" w:rsidRPr="00EE43C6">
        <w:fldChar w:fldCharType="begin"/>
      </w:r>
      <w:r w:rsidR="004851DE" w:rsidRPr="00EE43C6">
        <w:instrText xml:space="preserve"> REF _Ref125031951 \h  \* MERGEFORMAT </w:instrText>
      </w:r>
      <w:r w:rsidR="004851DE" w:rsidRPr="00EE43C6">
        <w:fldChar w:fldCharType="separate"/>
      </w:r>
      <w:r w:rsidR="008660AB" w:rsidRPr="008660AB">
        <w:t>Figure 4</w:t>
      </w:r>
      <w:r w:rsidR="008660AB" w:rsidRPr="008660AB">
        <w:noBreakHyphen/>
        <w:t>8</w:t>
      </w:r>
      <w:r w:rsidR="004851DE" w:rsidRPr="00EE43C6">
        <w:fldChar w:fldCharType="end"/>
      </w:r>
      <w:r w:rsidR="004851DE" w:rsidRPr="00EE43C6">
        <w:rPr>
          <w:lang w:eastAsia="en-US"/>
        </w:rPr>
        <w:t xml:space="preserve"> </w:t>
      </w:r>
      <w:r w:rsidR="00020DFB" w:rsidRPr="00EE43C6">
        <w:rPr>
          <w:lang w:eastAsia="en-US"/>
        </w:rPr>
        <w:t>within</w:t>
      </w:r>
      <w:r w:rsidRPr="00EE43C6">
        <w:rPr>
          <w:lang w:eastAsia="en-US"/>
        </w:rPr>
        <w:t xml:space="preserve"> </w:t>
      </w:r>
      <w:r w:rsidR="00D137A4" w:rsidRPr="00EE43C6">
        <w:rPr>
          <w:lang w:eastAsia="en-US"/>
        </w:rPr>
        <w:t xml:space="preserve">lot </w:t>
      </w:r>
      <w:r w:rsidR="003054D7" w:rsidRPr="00EE43C6">
        <w:rPr>
          <w:lang w:eastAsia="en-US"/>
        </w:rPr>
        <w:t>105</w:t>
      </w:r>
      <w:r w:rsidR="00D137A4" w:rsidRPr="00EE43C6">
        <w:rPr>
          <w:lang w:eastAsia="en-US"/>
        </w:rPr>
        <w:t>: parcel no. 2</w:t>
      </w:r>
      <w:r w:rsidR="003054D7" w:rsidRPr="00EE43C6">
        <w:rPr>
          <w:lang w:eastAsia="en-US"/>
        </w:rPr>
        <w:t xml:space="preserve"> </w:t>
      </w:r>
      <w:r w:rsidR="00C73739" w:rsidRPr="00EE43C6">
        <w:rPr>
          <w:lang w:eastAsia="en-US"/>
        </w:rPr>
        <w:t xml:space="preserve">of the </w:t>
      </w:r>
      <w:r w:rsidRPr="00EE43C6">
        <w:rPr>
          <w:lang w:eastAsia="en-US"/>
        </w:rPr>
        <w:t>Project Area are being continued by the TUIOSB</w:t>
      </w:r>
      <w:r w:rsidR="00197E56" w:rsidRPr="00EE43C6">
        <w:rPr>
          <w:lang w:eastAsia="en-US"/>
        </w:rPr>
        <w:t xml:space="preserve"> (see </w:t>
      </w:r>
      <w:r w:rsidR="00197E56" w:rsidRPr="00EE43C6">
        <w:rPr>
          <w:lang w:eastAsia="en-US"/>
        </w:rPr>
        <w:fldChar w:fldCharType="begin"/>
      </w:r>
      <w:r w:rsidR="00197E56" w:rsidRPr="00EE43C6">
        <w:rPr>
          <w:lang w:eastAsia="en-US"/>
        </w:rPr>
        <w:instrText xml:space="preserve"> REF _Ref125538054 \h  \* MERGEFORMAT </w:instrText>
      </w:r>
      <w:r w:rsidR="00197E56" w:rsidRPr="00EE43C6">
        <w:rPr>
          <w:lang w:eastAsia="en-US"/>
        </w:rPr>
      </w:r>
      <w:r w:rsidR="00197E56" w:rsidRPr="00EE43C6">
        <w:rPr>
          <w:lang w:eastAsia="en-US"/>
        </w:rPr>
        <w:fldChar w:fldCharType="separate"/>
      </w:r>
      <w:r w:rsidR="008660AB" w:rsidRPr="008660AB">
        <w:rPr>
          <w:lang w:eastAsia="en-US"/>
        </w:rPr>
        <w:t>Figure 4</w:t>
      </w:r>
      <w:r w:rsidR="008660AB" w:rsidRPr="008660AB">
        <w:rPr>
          <w:lang w:eastAsia="en-US"/>
        </w:rPr>
        <w:noBreakHyphen/>
        <w:t>9</w:t>
      </w:r>
      <w:r w:rsidR="00197E56" w:rsidRPr="00EE43C6">
        <w:rPr>
          <w:lang w:eastAsia="en-US"/>
        </w:rPr>
        <w:fldChar w:fldCharType="end"/>
      </w:r>
      <w:r w:rsidR="00197E56" w:rsidRPr="00EE43C6">
        <w:rPr>
          <w:lang w:eastAsia="en-US"/>
        </w:rPr>
        <w:t>).</w:t>
      </w:r>
      <w:r w:rsidR="00A54777" w:rsidRPr="00EE43C6">
        <w:rPr>
          <w:lang w:eastAsia="en-US"/>
        </w:rPr>
        <w:t xml:space="preserve"> </w:t>
      </w:r>
      <w:r w:rsidR="0032547D" w:rsidRPr="00EE43C6">
        <w:rPr>
          <w:lang w:eastAsia="en-US"/>
        </w:rPr>
        <w:t xml:space="preserve">The application letter </w:t>
      </w:r>
      <w:r w:rsidR="007E2513" w:rsidRPr="00EE43C6">
        <w:rPr>
          <w:lang w:eastAsia="en-US"/>
        </w:rPr>
        <w:t xml:space="preserve">dated </w:t>
      </w:r>
      <w:r w:rsidR="00BB2D6D" w:rsidRPr="00EE43C6">
        <w:rPr>
          <w:lang w:eastAsia="en-US"/>
        </w:rPr>
        <w:t xml:space="preserve">27.01.2023 </w:t>
      </w:r>
      <w:r w:rsidR="0032547D" w:rsidRPr="00EE43C6">
        <w:rPr>
          <w:lang w:eastAsia="en-US"/>
        </w:rPr>
        <w:t>for this well</w:t>
      </w:r>
      <w:r w:rsidR="00EF24A9" w:rsidRPr="00EE43C6">
        <w:rPr>
          <w:lang w:eastAsia="en-US"/>
        </w:rPr>
        <w:t xml:space="preserve"> </w:t>
      </w:r>
      <w:r w:rsidR="0023683E" w:rsidRPr="00EE43C6">
        <w:rPr>
          <w:lang w:eastAsia="en-US"/>
        </w:rPr>
        <w:t xml:space="preserve">from the TUIOSB </w:t>
      </w:r>
      <w:r w:rsidR="00EF24A9" w:rsidRPr="00EE43C6">
        <w:rPr>
          <w:lang w:eastAsia="en-US"/>
        </w:rPr>
        <w:t>to the 6</w:t>
      </w:r>
      <w:r w:rsidR="00EF24A9" w:rsidRPr="00EE43C6">
        <w:rPr>
          <w:vertAlign w:val="superscript"/>
          <w:lang w:eastAsia="en-US"/>
        </w:rPr>
        <w:t>th</w:t>
      </w:r>
      <w:r w:rsidR="00EF24A9" w:rsidRPr="00EE43C6">
        <w:rPr>
          <w:lang w:eastAsia="en-US"/>
        </w:rPr>
        <w:t xml:space="preserve"> Regional Directorate of DSI</w:t>
      </w:r>
      <w:r w:rsidR="0032547D" w:rsidRPr="00EE43C6">
        <w:rPr>
          <w:lang w:eastAsia="en-US"/>
        </w:rPr>
        <w:t xml:space="preserve"> </w:t>
      </w:r>
      <w:r w:rsidR="00966B05" w:rsidRPr="00EE43C6">
        <w:rPr>
          <w:lang w:eastAsia="en-US"/>
        </w:rPr>
        <w:t xml:space="preserve">is presented in Appendix-C. </w:t>
      </w:r>
      <w:r w:rsidR="00A54777" w:rsidRPr="00EE43C6">
        <w:rPr>
          <w:lang w:eastAsia="en-US"/>
        </w:rPr>
        <w:t>Th</w:t>
      </w:r>
      <w:r w:rsidR="00E5263C" w:rsidRPr="00EE43C6">
        <w:rPr>
          <w:lang w:eastAsia="en-US"/>
        </w:rPr>
        <w:t xml:space="preserve">e concerned </w:t>
      </w:r>
      <w:r w:rsidR="00A54777" w:rsidRPr="00EE43C6">
        <w:rPr>
          <w:lang w:eastAsia="en-US"/>
        </w:rPr>
        <w:t xml:space="preserve">well </w:t>
      </w:r>
      <w:r w:rsidR="003F7383" w:rsidRPr="00EE43C6">
        <w:rPr>
          <w:lang w:eastAsia="en-US"/>
        </w:rPr>
        <w:t xml:space="preserve">is </w:t>
      </w:r>
      <w:r w:rsidR="006E1D24" w:rsidRPr="00EE43C6">
        <w:rPr>
          <w:lang w:eastAsia="en-US"/>
        </w:rPr>
        <w:t xml:space="preserve">the only active well </w:t>
      </w:r>
      <w:r w:rsidR="003F7383" w:rsidRPr="00EE43C6">
        <w:rPr>
          <w:lang w:eastAsia="en-US"/>
        </w:rPr>
        <w:t xml:space="preserve">in the </w:t>
      </w:r>
      <w:r w:rsidR="00DD33D8" w:rsidRPr="00EE43C6">
        <w:rPr>
          <w:lang w:eastAsia="en-US"/>
        </w:rPr>
        <w:t>Project Area and</w:t>
      </w:r>
      <w:r w:rsidR="00C91027" w:rsidRPr="00EE43C6">
        <w:rPr>
          <w:lang w:eastAsia="en-US"/>
        </w:rPr>
        <w:t xml:space="preserve"> is used as </w:t>
      </w:r>
      <w:r w:rsidR="00DD33D8" w:rsidRPr="00EE43C6">
        <w:rPr>
          <w:lang w:eastAsia="en-US"/>
        </w:rPr>
        <w:t xml:space="preserve">a </w:t>
      </w:r>
      <w:r w:rsidR="00C91027" w:rsidRPr="00EE43C6">
        <w:rPr>
          <w:lang w:eastAsia="en-US"/>
        </w:rPr>
        <w:t>domestic water source</w:t>
      </w:r>
      <w:r w:rsidR="00EF24A9" w:rsidRPr="00EE43C6">
        <w:rPr>
          <w:lang w:eastAsia="en-US"/>
        </w:rPr>
        <w:t xml:space="preserve"> for the construction phase of the Project</w:t>
      </w:r>
      <w:r w:rsidR="008579F3" w:rsidRPr="00EE43C6">
        <w:rPr>
          <w:lang w:eastAsia="en-US"/>
        </w:rPr>
        <w:t>.</w:t>
      </w:r>
    </w:p>
    <w:p w14:paraId="12CFAE8B" w14:textId="1E01CE24" w:rsidR="00AF7470" w:rsidRPr="00EE43C6" w:rsidRDefault="00742400" w:rsidP="008B7BEF">
      <w:pPr>
        <w:spacing w:before="0" w:after="0" w:line="240" w:lineRule="auto"/>
        <w:jc w:val="center"/>
        <w:rPr>
          <w:lang w:eastAsia="en-US"/>
        </w:rPr>
      </w:pPr>
      <w:r w:rsidRPr="00EE43C6">
        <w:rPr>
          <w:noProof/>
        </w:rPr>
        <w:drawing>
          <wp:inline distT="0" distB="0" distL="0" distR="0" wp14:anchorId="464DFD8A" wp14:editId="446FE8CC">
            <wp:extent cx="5655334" cy="3444035"/>
            <wp:effectExtent l="38100" t="38100" r="40640" b="4254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3">
                      <a:extLst>
                        <a:ext uri="{28A0092B-C50C-407E-A947-70E740481C1C}">
                          <a14:useLocalDpi xmlns:a14="http://schemas.microsoft.com/office/drawing/2010/main"/>
                        </a:ext>
                      </a:extLst>
                    </a:blip>
                    <a:stretch>
                      <a:fillRect/>
                    </a:stretch>
                  </pic:blipFill>
                  <pic:spPr>
                    <a:xfrm>
                      <a:off x="0" y="0"/>
                      <a:ext cx="5661818" cy="3447983"/>
                    </a:xfrm>
                    <a:prstGeom prst="rect">
                      <a:avLst/>
                    </a:prstGeom>
                    <a:ln w="38100">
                      <a:solidFill>
                        <a:schemeClr val="tx1"/>
                      </a:solidFill>
                    </a:ln>
                  </pic:spPr>
                </pic:pic>
              </a:graphicData>
            </a:graphic>
          </wp:inline>
        </w:drawing>
      </w:r>
    </w:p>
    <w:p w14:paraId="151244B6" w14:textId="59218CEA" w:rsidR="00C6494D" w:rsidRPr="00EE43C6" w:rsidRDefault="00D43F28" w:rsidP="008B7BEF">
      <w:pPr>
        <w:pStyle w:val="Caption"/>
        <w:spacing w:before="0" w:after="0"/>
        <w:rPr>
          <w:noProof w:val="0"/>
        </w:rPr>
      </w:pPr>
      <w:bookmarkStart w:id="295" w:name="_Ref125538054"/>
      <w:bookmarkStart w:id="296" w:name="_Toc141445568"/>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4</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2334B">
        <w:rPr>
          <w:color w:val="00B050"/>
        </w:rPr>
        <w:t>9</w:t>
      </w:r>
      <w:r w:rsidR="0096150F">
        <w:rPr>
          <w:noProof w:val="0"/>
          <w:color w:val="00B050"/>
        </w:rPr>
        <w:fldChar w:fldCharType="end"/>
      </w:r>
      <w:bookmarkEnd w:id="295"/>
      <w:r w:rsidRPr="00EE43C6">
        <w:rPr>
          <w:noProof w:val="0"/>
          <w:color w:val="00B050"/>
        </w:rPr>
        <w:t xml:space="preserve">. </w:t>
      </w:r>
      <w:r w:rsidR="000C0426" w:rsidRPr="00EE43C6">
        <w:rPr>
          <w:b w:val="0"/>
          <w:bCs w:val="0"/>
          <w:noProof w:val="0"/>
          <w:color w:val="auto"/>
        </w:rPr>
        <w:t xml:space="preserve">The </w:t>
      </w:r>
      <w:r w:rsidR="00185E79" w:rsidRPr="00EE43C6">
        <w:rPr>
          <w:b w:val="0"/>
          <w:bCs w:val="0"/>
          <w:noProof w:val="0"/>
          <w:color w:val="auto"/>
        </w:rPr>
        <w:t xml:space="preserve">View of the </w:t>
      </w:r>
      <w:r w:rsidR="000C0426" w:rsidRPr="00EE43C6">
        <w:rPr>
          <w:b w:val="0"/>
          <w:bCs w:val="0"/>
          <w:noProof w:val="0"/>
          <w:color w:val="auto"/>
        </w:rPr>
        <w:t>Well</w:t>
      </w:r>
      <w:r w:rsidR="00BE15C2" w:rsidRPr="00EE43C6">
        <w:rPr>
          <w:b w:val="0"/>
          <w:bCs w:val="0"/>
          <w:noProof w:val="0"/>
          <w:color w:val="auto"/>
        </w:rPr>
        <w:t>-2</w:t>
      </w:r>
      <w:r w:rsidR="000C0426" w:rsidRPr="00EE43C6">
        <w:rPr>
          <w:b w:val="0"/>
          <w:bCs w:val="0"/>
          <w:noProof w:val="0"/>
          <w:color w:val="auto"/>
        </w:rPr>
        <w:t xml:space="preserve"> </w:t>
      </w:r>
      <w:r w:rsidR="00185E79" w:rsidRPr="00EE43C6">
        <w:rPr>
          <w:b w:val="0"/>
          <w:bCs w:val="0"/>
          <w:noProof w:val="0"/>
          <w:color w:val="auto"/>
        </w:rPr>
        <w:t>in</w:t>
      </w:r>
      <w:r w:rsidR="000C0426" w:rsidRPr="00EE43C6">
        <w:rPr>
          <w:b w:val="0"/>
          <w:bCs w:val="0"/>
          <w:noProof w:val="0"/>
          <w:color w:val="auto"/>
        </w:rPr>
        <w:t xml:space="preserve"> </w:t>
      </w:r>
      <w:r w:rsidRPr="00EE43C6">
        <w:rPr>
          <w:b w:val="0"/>
          <w:bCs w:val="0"/>
          <w:noProof w:val="0"/>
          <w:color w:val="auto"/>
        </w:rPr>
        <w:t>Lot</w:t>
      </w:r>
      <w:r w:rsidR="00696B55" w:rsidRPr="00EE43C6">
        <w:rPr>
          <w:b w:val="0"/>
          <w:bCs w:val="0"/>
          <w:noProof w:val="0"/>
          <w:color w:val="auto"/>
        </w:rPr>
        <w:t xml:space="preserve"> </w:t>
      </w:r>
      <w:r w:rsidR="009679E6" w:rsidRPr="00EE43C6">
        <w:rPr>
          <w:b w:val="0"/>
          <w:bCs w:val="0"/>
          <w:noProof w:val="0"/>
          <w:color w:val="auto"/>
        </w:rPr>
        <w:t xml:space="preserve">105: Parcel no. 2 </w:t>
      </w:r>
      <w:r w:rsidR="00696B55" w:rsidRPr="00EE43C6">
        <w:rPr>
          <w:b w:val="0"/>
          <w:bCs w:val="0"/>
          <w:noProof w:val="0"/>
          <w:color w:val="auto"/>
        </w:rPr>
        <w:t>of the Project Area</w:t>
      </w:r>
      <w:bookmarkEnd w:id="296"/>
    </w:p>
    <w:p w14:paraId="0FE6F09C" w14:textId="08493E4F" w:rsidR="004339AC" w:rsidRPr="00EE43C6" w:rsidRDefault="004339AC" w:rsidP="00757092">
      <w:pPr>
        <w:pStyle w:val="Heading2"/>
        <w:ind w:hanging="718"/>
        <w:rPr>
          <w:lang w:val="en-GB"/>
        </w:rPr>
      </w:pPr>
      <w:bookmarkStart w:id="297" w:name="_Toc120028357"/>
      <w:bookmarkStart w:id="298" w:name="_Toc120028629"/>
      <w:bookmarkStart w:id="299" w:name="_Toc120186540"/>
      <w:bookmarkStart w:id="300" w:name="_Toc120204476"/>
      <w:bookmarkStart w:id="301" w:name="_Toc82779420"/>
      <w:bookmarkStart w:id="302" w:name="_Toc80633538"/>
      <w:bookmarkStart w:id="303" w:name="_Toc73933430"/>
      <w:bookmarkStart w:id="304" w:name="_Toc120016926"/>
      <w:bookmarkStart w:id="305" w:name="_Toc120004704"/>
      <w:bookmarkStart w:id="306" w:name="_Toc141445415"/>
      <w:bookmarkEnd w:id="297"/>
      <w:bookmarkEnd w:id="298"/>
      <w:bookmarkEnd w:id="299"/>
      <w:bookmarkEnd w:id="300"/>
      <w:bookmarkEnd w:id="301"/>
      <w:r w:rsidRPr="00EE43C6">
        <w:rPr>
          <w:lang w:val="en-GB"/>
        </w:rPr>
        <w:t>Climate and Vegetation</w:t>
      </w:r>
      <w:bookmarkEnd w:id="302"/>
      <w:bookmarkEnd w:id="303"/>
      <w:bookmarkEnd w:id="304"/>
      <w:bookmarkEnd w:id="305"/>
      <w:bookmarkEnd w:id="306"/>
    </w:p>
    <w:p w14:paraId="77F2164D" w14:textId="290890BC" w:rsidR="007C07A9" w:rsidRPr="00EE43C6" w:rsidRDefault="00CC4C1C" w:rsidP="00CC4C1C">
      <w:pPr>
        <w:rPr>
          <w:rFonts w:cs="MS Gothic"/>
          <w:szCs w:val="22"/>
        </w:rPr>
      </w:pPr>
      <w:r w:rsidRPr="00EE43C6">
        <w:rPr>
          <w:rFonts w:cs="MS Gothic"/>
          <w:szCs w:val="22"/>
        </w:rPr>
        <w:t xml:space="preserve">The Mediterranean climate prevails in Mersin. As </w:t>
      </w:r>
      <w:r w:rsidR="000E29AC" w:rsidRPr="00EE43C6">
        <w:rPr>
          <w:rFonts w:cs="MS Gothic"/>
          <w:szCs w:val="22"/>
        </w:rPr>
        <w:t xml:space="preserve">it is </w:t>
      </w:r>
      <w:r w:rsidR="005939E8">
        <w:rPr>
          <w:rFonts w:cs="MS Gothic"/>
          <w:szCs w:val="22"/>
        </w:rPr>
        <w:t>moved</w:t>
      </w:r>
      <w:r w:rsidR="005939E8" w:rsidRPr="00EE43C6">
        <w:rPr>
          <w:rFonts w:cs="MS Gothic"/>
          <w:szCs w:val="22"/>
        </w:rPr>
        <w:t xml:space="preserve"> </w:t>
      </w:r>
      <w:r w:rsidRPr="00EE43C6">
        <w:rPr>
          <w:rFonts w:cs="MS Gothic"/>
          <w:szCs w:val="22"/>
        </w:rPr>
        <w:t xml:space="preserve">inward from the coast, the continental climate characteristic is </w:t>
      </w:r>
      <w:r w:rsidR="00264192">
        <w:rPr>
          <w:rFonts w:cs="MS Gothic"/>
          <w:szCs w:val="22"/>
        </w:rPr>
        <w:t>observed</w:t>
      </w:r>
      <w:r w:rsidRPr="00EE43C6">
        <w:rPr>
          <w:rFonts w:cs="MS Gothic"/>
          <w:szCs w:val="22"/>
        </w:rPr>
        <w:t>. On the coasts, summers are hot and dry, and winters are warm and rainy.</w:t>
      </w:r>
      <w:r w:rsidR="001B053A" w:rsidRPr="00EE43C6">
        <w:rPr>
          <w:rFonts w:cs="MS Gothic"/>
          <w:szCs w:val="22"/>
        </w:rPr>
        <w:t xml:space="preserve"> </w:t>
      </w:r>
      <w:r w:rsidR="00BE4FEF" w:rsidRPr="00EE43C6">
        <w:rPr>
          <w:rFonts w:cs="MS Gothic"/>
          <w:szCs w:val="22"/>
        </w:rPr>
        <w:t>A</w:t>
      </w:r>
      <w:r w:rsidRPr="00EE43C6">
        <w:rPr>
          <w:rFonts w:cs="MS Gothic"/>
          <w:szCs w:val="22"/>
        </w:rPr>
        <w:t>t higher elevations, summers are cool and dry, and winters are cold and snowy. Annual precipitation amount varies between 419-1</w:t>
      </w:r>
      <w:r w:rsidR="00B401FF" w:rsidRPr="00EE43C6">
        <w:rPr>
          <w:rFonts w:cs="MS Gothic"/>
          <w:szCs w:val="22"/>
        </w:rPr>
        <w:t>,</w:t>
      </w:r>
      <w:r w:rsidRPr="00EE43C6">
        <w:rPr>
          <w:rFonts w:cs="MS Gothic"/>
          <w:szCs w:val="22"/>
        </w:rPr>
        <w:t xml:space="preserve">032 mm in each district. </w:t>
      </w:r>
      <w:r w:rsidR="004E22D5" w:rsidRPr="00EE43C6">
        <w:rPr>
          <w:rFonts w:cs="MS Gothic"/>
          <w:szCs w:val="22"/>
        </w:rPr>
        <w:t xml:space="preserve">It </w:t>
      </w:r>
      <w:r w:rsidR="001C405C" w:rsidRPr="00EE43C6">
        <w:rPr>
          <w:rFonts w:cs="MS Gothic"/>
          <w:szCs w:val="22"/>
        </w:rPr>
        <w:t xml:space="preserve">is </w:t>
      </w:r>
      <w:r w:rsidR="004E22D5" w:rsidRPr="00EE43C6">
        <w:rPr>
          <w:rFonts w:cs="MS Gothic"/>
          <w:szCs w:val="22"/>
        </w:rPr>
        <w:t xml:space="preserve">usually below zero degrees 6 days </w:t>
      </w:r>
      <w:r w:rsidR="00A4651F" w:rsidRPr="00EE43C6">
        <w:rPr>
          <w:rFonts w:cs="MS Gothic"/>
          <w:szCs w:val="22"/>
        </w:rPr>
        <w:t xml:space="preserve">in </w:t>
      </w:r>
      <w:r w:rsidR="004E22D5" w:rsidRPr="00EE43C6">
        <w:rPr>
          <w:rFonts w:cs="MS Gothic"/>
          <w:szCs w:val="22"/>
        </w:rPr>
        <w:t>a year</w:t>
      </w:r>
      <w:r w:rsidR="00A2175B" w:rsidRPr="00EE43C6">
        <w:rPr>
          <w:rFonts w:cs="MS Gothic"/>
          <w:szCs w:val="22"/>
        </w:rPr>
        <w:t>.</w:t>
      </w:r>
      <w:r w:rsidR="004E22D5" w:rsidRPr="00EE43C6">
        <w:rPr>
          <w:rFonts w:cs="MS Gothic"/>
          <w:szCs w:val="22"/>
        </w:rPr>
        <w:t xml:space="preserve"> </w:t>
      </w:r>
      <w:r w:rsidR="00A2175B" w:rsidRPr="00EE43C6">
        <w:rPr>
          <w:rFonts w:cs="MS Gothic"/>
          <w:szCs w:val="22"/>
        </w:rPr>
        <w:t>T</w:t>
      </w:r>
      <w:r w:rsidR="004E22D5" w:rsidRPr="00EE43C6">
        <w:rPr>
          <w:rFonts w:cs="MS Gothic"/>
          <w:szCs w:val="22"/>
        </w:rPr>
        <w:t xml:space="preserve">he temperature </w:t>
      </w:r>
      <w:r w:rsidR="001C405C" w:rsidRPr="00EE43C6">
        <w:rPr>
          <w:rFonts w:cs="MS Gothic"/>
          <w:szCs w:val="22"/>
        </w:rPr>
        <w:t>stays</w:t>
      </w:r>
      <w:r w:rsidR="004E22D5" w:rsidRPr="00EE43C6">
        <w:rPr>
          <w:rFonts w:cs="MS Gothic"/>
          <w:szCs w:val="22"/>
        </w:rPr>
        <w:t xml:space="preserve"> </w:t>
      </w:r>
      <w:r w:rsidR="00680C78" w:rsidRPr="00EE43C6">
        <w:rPr>
          <w:rFonts w:cs="MS Gothic"/>
          <w:szCs w:val="22"/>
        </w:rPr>
        <w:t>generally</w:t>
      </w:r>
      <w:r w:rsidR="008F78F1" w:rsidRPr="00EE43C6">
        <w:rPr>
          <w:rFonts w:cs="MS Gothic"/>
          <w:szCs w:val="22"/>
        </w:rPr>
        <w:t xml:space="preserve"> </w:t>
      </w:r>
      <w:r w:rsidR="004E22D5" w:rsidRPr="00EE43C6">
        <w:rPr>
          <w:rFonts w:cs="MS Gothic"/>
          <w:szCs w:val="22"/>
        </w:rPr>
        <w:t xml:space="preserve">between </w:t>
      </w:r>
      <w:r w:rsidR="00C54EEC" w:rsidRPr="00EE43C6">
        <w:rPr>
          <w:rFonts w:cs="MS Gothic"/>
          <w:szCs w:val="22"/>
        </w:rPr>
        <w:t>+</w:t>
      </w:r>
      <w:r w:rsidR="004E22D5" w:rsidRPr="00EE43C6">
        <w:rPr>
          <w:rFonts w:cs="MS Gothic"/>
          <w:szCs w:val="22"/>
        </w:rPr>
        <w:t>6°C and +43°C throughout the year.</w:t>
      </w:r>
    </w:p>
    <w:p w14:paraId="5A35C355" w14:textId="77777777" w:rsidR="00757092" w:rsidRPr="00EE43C6" w:rsidRDefault="00757092">
      <w:pPr>
        <w:spacing w:before="0" w:after="200" w:line="276" w:lineRule="auto"/>
        <w:jc w:val="left"/>
        <w:rPr>
          <w:b/>
          <w:bCs/>
          <w:color w:val="4F81BD"/>
          <w:sz w:val="20"/>
          <w:szCs w:val="20"/>
          <w:lang w:eastAsia="en-US"/>
        </w:rPr>
      </w:pPr>
      <w:r w:rsidRPr="00EE43C6">
        <w:br w:type="page"/>
      </w:r>
    </w:p>
    <w:p w14:paraId="30F9C5F7" w14:textId="60C136BE" w:rsidR="008074C7" w:rsidRPr="00EE43C6" w:rsidRDefault="009C288F" w:rsidP="009C288F">
      <w:pPr>
        <w:pStyle w:val="Caption"/>
        <w:rPr>
          <w:rFonts w:cs="MS Gothic"/>
          <w:noProof w:val="0"/>
          <w:szCs w:val="22"/>
        </w:rPr>
      </w:pPr>
      <w:bookmarkStart w:id="307" w:name="_Toc141445497"/>
      <w:r w:rsidRPr="00EE43C6">
        <w:rPr>
          <w:noProof w:val="0"/>
        </w:rPr>
        <w:lastRenderedPageBreak/>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4</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w:t>
      </w:r>
      <w:r w:rsidR="006D2DE8">
        <w:rPr>
          <w:noProof w:val="0"/>
        </w:rPr>
        <w:fldChar w:fldCharType="end"/>
      </w:r>
      <w:r w:rsidRPr="00EE43C6">
        <w:rPr>
          <w:noProof w:val="0"/>
        </w:rPr>
        <w:t xml:space="preserve">. </w:t>
      </w:r>
      <w:r w:rsidRPr="00EE43C6">
        <w:rPr>
          <w:rFonts w:cs="MS Gothic"/>
          <w:b w:val="0"/>
          <w:bCs w:val="0"/>
          <w:noProof w:val="0"/>
          <w:color w:val="auto"/>
          <w:szCs w:val="22"/>
        </w:rPr>
        <w:t xml:space="preserve">According to the </w:t>
      </w:r>
      <w:r w:rsidR="00BD3E21" w:rsidRPr="00EE43C6">
        <w:rPr>
          <w:rFonts w:cs="MS Gothic"/>
          <w:b w:val="0"/>
          <w:bCs w:val="0"/>
          <w:noProof w:val="0"/>
          <w:color w:val="auto"/>
          <w:szCs w:val="22"/>
        </w:rPr>
        <w:t>M</w:t>
      </w:r>
      <w:r w:rsidRPr="00EE43C6">
        <w:rPr>
          <w:rFonts w:cs="MS Gothic"/>
          <w:b w:val="0"/>
          <w:bCs w:val="0"/>
          <w:noProof w:val="0"/>
          <w:color w:val="auto"/>
          <w:szCs w:val="22"/>
        </w:rPr>
        <w:t xml:space="preserve">onths and </w:t>
      </w:r>
      <w:r w:rsidR="002C3787" w:rsidRPr="00EE43C6">
        <w:rPr>
          <w:rFonts w:cs="MS Gothic"/>
          <w:b w:val="0"/>
          <w:bCs w:val="0"/>
          <w:noProof w:val="0"/>
          <w:color w:val="auto"/>
          <w:szCs w:val="22"/>
        </w:rPr>
        <w:t>A</w:t>
      </w:r>
      <w:r w:rsidRPr="00EE43C6">
        <w:rPr>
          <w:rFonts w:cs="MS Gothic"/>
          <w:b w:val="0"/>
          <w:bCs w:val="0"/>
          <w:noProof w:val="0"/>
          <w:color w:val="auto"/>
          <w:szCs w:val="22"/>
        </w:rPr>
        <w:t xml:space="preserve">nnual </w:t>
      </w:r>
      <w:r w:rsidR="002C3787" w:rsidRPr="00EE43C6">
        <w:rPr>
          <w:rFonts w:cs="MS Gothic"/>
          <w:b w:val="0"/>
          <w:bCs w:val="0"/>
          <w:noProof w:val="0"/>
          <w:color w:val="auto"/>
          <w:szCs w:val="22"/>
        </w:rPr>
        <w:t>A</w:t>
      </w:r>
      <w:r w:rsidRPr="00EE43C6">
        <w:rPr>
          <w:rFonts w:cs="MS Gothic"/>
          <w:b w:val="0"/>
          <w:bCs w:val="0"/>
          <w:noProof w:val="0"/>
          <w:color w:val="auto"/>
          <w:szCs w:val="22"/>
        </w:rPr>
        <w:t xml:space="preserve">verage </w:t>
      </w:r>
      <w:r w:rsidR="00AE4D5C" w:rsidRPr="00EE43C6">
        <w:rPr>
          <w:rFonts w:cs="MS Gothic"/>
          <w:b w:val="0"/>
          <w:bCs w:val="0"/>
          <w:noProof w:val="0"/>
          <w:color w:val="auto"/>
          <w:szCs w:val="22"/>
        </w:rPr>
        <w:t>P</w:t>
      </w:r>
      <w:r w:rsidRPr="00EE43C6">
        <w:rPr>
          <w:rFonts w:cs="MS Gothic"/>
          <w:b w:val="0"/>
          <w:bCs w:val="0"/>
          <w:noProof w:val="0"/>
          <w:color w:val="auto"/>
          <w:szCs w:val="22"/>
        </w:rPr>
        <w:t xml:space="preserve">recipitation and </w:t>
      </w:r>
      <w:r w:rsidR="00AE4D5C" w:rsidRPr="00EE43C6">
        <w:rPr>
          <w:rFonts w:cs="MS Gothic"/>
          <w:b w:val="0"/>
          <w:bCs w:val="0"/>
          <w:noProof w:val="0"/>
          <w:color w:val="auto"/>
          <w:szCs w:val="22"/>
        </w:rPr>
        <w:t>T</w:t>
      </w:r>
      <w:r w:rsidRPr="00EE43C6">
        <w:rPr>
          <w:rFonts w:cs="MS Gothic"/>
          <w:b w:val="0"/>
          <w:bCs w:val="0"/>
          <w:noProof w:val="0"/>
          <w:color w:val="auto"/>
          <w:szCs w:val="22"/>
        </w:rPr>
        <w:t xml:space="preserve">emperature </w:t>
      </w:r>
      <w:r w:rsidR="00AE4D5C" w:rsidRPr="00EE43C6">
        <w:rPr>
          <w:rFonts w:cs="MS Gothic"/>
          <w:b w:val="0"/>
          <w:bCs w:val="0"/>
          <w:noProof w:val="0"/>
          <w:color w:val="auto"/>
          <w:szCs w:val="22"/>
        </w:rPr>
        <w:t>V</w:t>
      </w:r>
      <w:r w:rsidRPr="00EE43C6">
        <w:rPr>
          <w:rFonts w:cs="MS Gothic"/>
          <w:b w:val="0"/>
          <w:bCs w:val="0"/>
          <w:noProof w:val="0"/>
          <w:color w:val="auto"/>
          <w:szCs w:val="22"/>
        </w:rPr>
        <w:t>alues of Mersin</w:t>
      </w:r>
      <w:bookmarkEnd w:id="307"/>
    </w:p>
    <w:tbl>
      <w:tblPr>
        <w:tblStyle w:val="TableGrid11"/>
        <w:tblW w:w="5000" w:type="pct"/>
        <w:jc w:val="center"/>
        <w:tblLook w:val="04A0" w:firstRow="1" w:lastRow="0" w:firstColumn="1" w:lastColumn="0" w:noHBand="0" w:noVBand="1"/>
      </w:tblPr>
      <w:tblGrid>
        <w:gridCol w:w="947"/>
        <w:gridCol w:w="849"/>
        <w:gridCol w:w="51"/>
        <w:gridCol w:w="191"/>
        <w:gridCol w:w="372"/>
        <w:gridCol w:w="54"/>
        <w:gridCol w:w="545"/>
        <w:gridCol w:w="51"/>
        <w:gridCol w:w="75"/>
        <w:gridCol w:w="470"/>
        <w:gridCol w:w="52"/>
        <w:gridCol w:w="546"/>
        <w:gridCol w:w="52"/>
        <w:gridCol w:w="100"/>
        <w:gridCol w:w="444"/>
        <w:gridCol w:w="52"/>
        <w:gridCol w:w="546"/>
        <w:gridCol w:w="42"/>
        <w:gridCol w:w="8"/>
        <w:gridCol w:w="546"/>
        <w:gridCol w:w="52"/>
        <w:gridCol w:w="479"/>
        <w:gridCol w:w="66"/>
        <w:gridCol w:w="52"/>
        <w:gridCol w:w="546"/>
        <w:gridCol w:w="52"/>
        <w:gridCol w:w="546"/>
        <w:gridCol w:w="52"/>
        <w:gridCol w:w="42"/>
        <w:gridCol w:w="502"/>
        <w:gridCol w:w="55"/>
        <w:gridCol w:w="617"/>
      </w:tblGrid>
      <w:tr w:rsidR="00B77458" w:rsidRPr="00EE43C6" w14:paraId="6ED723D2" w14:textId="6B9F9999" w:rsidTr="002762FB">
        <w:trPr>
          <w:cantSplit/>
          <w:trHeight w:val="1142"/>
          <w:tblHeader/>
          <w:jc w:val="center"/>
        </w:trPr>
        <w:tc>
          <w:tcPr>
            <w:tcW w:w="994" w:type="pct"/>
            <w:gridSpan w:val="2"/>
            <w:tcBorders>
              <w:bottom w:val="single" w:sz="4" w:space="0" w:color="auto"/>
            </w:tcBorders>
            <w:shd w:val="clear" w:color="auto" w:fill="4F81BD"/>
            <w:vAlign w:val="center"/>
          </w:tcPr>
          <w:p w14:paraId="4C4A5FD7" w14:textId="3E2E4001" w:rsidR="006D08D2" w:rsidRPr="00EE43C6" w:rsidRDefault="006D08D2" w:rsidP="00B34432">
            <w:pPr>
              <w:spacing w:before="0" w:after="0" w:line="240" w:lineRule="auto"/>
              <w:jc w:val="left"/>
              <w:rPr>
                <w:rFonts w:cs="Arial"/>
                <w:b/>
                <w:color w:val="FFFFFF" w:themeColor="background1"/>
                <w:sz w:val="16"/>
                <w:szCs w:val="16"/>
              </w:rPr>
            </w:pPr>
            <w:r w:rsidRPr="00EE43C6">
              <w:rPr>
                <w:rFonts w:cs="Arial"/>
                <w:b/>
                <w:color w:val="FFFFFF" w:themeColor="background1"/>
                <w:sz w:val="16"/>
                <w:szCs w:val="16"/>
              </w:rPr>
              <w:t>Mersin</w:t>
            </w:r>
          </w:p>
        </w:tc>
        <w:tc>
          <w:tcPr>
            <w:tcW w:w="330" w:type="pct"/>
            <w:gridSpan w:val="3"/>
            <w:tcBorders>
              <w:bottom w:val="single" w:sz="4" w:space="0" w:color="auto"/>
            </w:tcBorders>
            <w:shd w:val="clear" w:color="auto" w:fill="4F81BD"/>
            <w:textDirection w:val="btLr"/>
            <w:vAlign w:val="center"/>
          </w:tcPr>
          <w:p w14:paraId="5C4BAB0C" w14:textId="748FF28D" w:rsidR="006D08D2" w:rsidRPr="00EE43C6" w:rsidRDefault="006D08D2" w:rsidP="006D7BAC">
            <w:pPr>
              <w:spacing w:before="0" w:after="0" w:line="240" w:lineRule="auto"/>
              <w:ind w:left="113" w:right="113"/>
              <w:jc w:val="center"/>
              <w:rPr>
                <w:rFonts w:cs="Arial"/>
                <w:b/>
                <w:color w:val="FFFFFF" w:themeColor="background1"/>
                <w:sz w:val="16"/>
                <w:szCs w:val="16"/>
              </w:rPr>
            </w:pPr>
            <w:r w:rsidRPr="00EE43C6">
              <w:rPr>
                <w:rFonts w:cs="Arial"/>
                <w:b/>
                <w:color w:val="FFFFFF" w:themeColor="background1"/>
                <w:sz w:val="16"/>
                <w:szCs w:val="16"/>
              </w:rPr>
              <w:t>January</w:t>
            </w:r>
          </w:p>
        </w:tc>
        <w:tc>
          <w:tcPr>
            <w:tcW w:w="331" w:type="pct"/>
            <w:gridSpan w:val="2"/>
            <w:tcBorders>
              <w:bottom w:val="single" w:sz="4" w:space="0" w:color="auto"/>
            </w:tcBorders>
            <w:shd w:val="clear" w:color="auto" w:fill="4F81BD"/>
            <w:textDirection w:val="btLr"/>
            <w:vAlign w:val="center"/>
          </w:tcPr>
          <w:p w14:paraId="098CFAD8" w14:textId="252C7D27" w:rsidR="006D08D2" w:rsidRPr="00EE43C6" w:rsidRDefault="006D08D2" w:rsidP="006D7BAC">
            <w:pPr>
              <w:spacing w:before="0" w:after="0" w:line="240" w:lineRule="auto"/>
              <w:ind w:left="113" w:right="113"/>
              <w:jc w:val="center"/>
              <w:rPr>
                <w:rFonts w:cs="Arial"/>
                <w:b/>
                <w:color w:val="FFFFFF" w:themeColor="background1"/>
                <w:sz w:val="16"/>
                <w:szCs w:val="16"/>
              </w:rPr>
            </w:pPr>
            <w:r w:rsidRPr="00EE43C6">
              <w:rPr>
                <w:rFonts w:cs="Arial"/>
                <w:b/>
                <w:color w:val="FFFFFF" w:themeColor="background1"/>
                <w:sz w:val="16"/>
                <w:szCs w:val="16"/>
              </w:rPr>
              <w:t>February</w:t>
            </w:r>
          </w:p>
        </w:tc>
        <w:tc>
          <w:tcPr>
            <w:tcW w:w="331" w:type="pct"/>
            <w:gridSpan w:val="3"/>
            <w:tcBorders>
              <w:bottom w:val="single" w:sz="4" w:space="0" w:color="auto"/>
            </w:tcBorders>
            <w:shd w:val="clear" w:color="auto" w:fill="4F81BD"/>
            <w:textDirection w:val="btLr"/>
            <w:vAlign w:val="center"/>
          </w:tcPr>
          <w:p w14:paraId="462A6325" w14:textId="291FC255" w:rsidR="006D08D2" w:rsidRPr="00EE43C6" w:rsidRDefault="006D08D2" w:rsidP="006D7BAC">
            <w:pPr>
              <w:spacing w:before="0" w:after="0" w:line="240" w:lineRule="auto"/>
              <w:ind w:left="113" w:right="113"/>
              <w:jc w:val="center"/>
              <w:rPr>
                <w:rFonts w:cs="Arial"/>
                <w:b/>
                <w:color w:val="FFFFFF" w:themeColor="background1"/>
                <w:sz w:val="16"/>
                <w:szCs w:val="16"/>
              </w:rPr>
            </w:pPr>
            <w:r w:rsidRPr="00EE43C6">
              <w:rPr>
                <w:rFonts w:cs="Arial"/>
                <w:b/>
                <w:color w:val="FFFFFF" w:themeColor="background1"/>
                <w:sz w:val="16"/>
                <w:szCs w:val="16"/>
              </w:rPr>
              <w:t>March</w:t>
            </w:r>
          </w:p>
        </w:tc>
        <w:tc>
          <w:tcPr>
            <w:tcW w:w="331" w:type="pct"/>
            <w:gridSpan w:val="2"/>
            <w:tcBorders>
              <w:bottom w:val="single" w:sz="4" w:space="0" w:color="auto"/>
            </w:tcBorders>
            <w:shd w:val="clear" w:color="auto" w:fill="4F81BD"/>
            <w:textDirection w:val="btLr"/>
            <w:vAlign w:val="center"/>
          </w:tcPr>
          <w:p w14:paraId="6BFAA997" w14:textId="3B1FC5B9" w:rsidR="006D08D2" w:rsidRPr="00EE43C6" w:rsidRDefault="006D08D2" w:rsidP="006D7BAC">
            <w:pPr>
              <w:spacing w:before="0" w:after="0" w:line="240" w:lineRule="auto"/>
              <w:ind w:left="113" w:right="113"/>
              <w:jc w:val="center"/>
              <w:rPr>
                <w:rFonts w:cs="Arial"/>
                <w:b/>
                <w:color w:val="FFFFFF" w:themeColor="background1"/>
                <w:sz w:val="16"/>
                <w:szCs w:val="16"/>
              </w:rPr>
            </w:pPr>
            <w:r w:rsidRPr="00EE43C6">
              <w:rPr>
                <w:rFonts w:cs="Arial"/>
                <w:b/>
                <w:color w:val="FFFFFF" w:themeColor="background1"/>
                <w:sz w:val="16"/>
                <w:szCs w:val="16"/>
              </w:rPr>
              <w:t>April</w:t>
            </w:r>
          </w:p>
        </w:tc>
        <w:tc>
          <w:tcPr>
            <w:tcW w:w="331" w:type="pct"/>
            <w:gridSpan w:val="3"/>
            <w:tcBorders>
              <w:bottom w:val="single" w:sz="4" w:space="0" w:color="auto"/>
            </w:tcBorders>
            <w:shd w:val="clear" w:color="auto" w:fill="4F81BD"/>
            <w:textDirection w:val="btLr"/>
            <w:vAlign w:val="center"/>
          </w:tcPr>
          <w:p w14:paraId="2CE21190" w14:textId="7AFBF65E" w:rsidR="006D08D2" w:rsidRPr="00EE43C6" w:rsidRDefault="006D08D2" w:rsidP="006D7BAC">
            <w:pPr>
              <w:spacing w:before="0" w:after="0" w:line="240" w:lineRule="auto"/>
              <w:ind w:left="113" w:right="113"/>
              <w:jc w:val="center"/>
              <w:rPr>
                <w:rFonts w:cs="Arial"/>
                <w:b/>
                <w:color w:val="FFFFFF" w:themeColor="background1"/>
                <w:sz w:val="16"/>
                <w:szCs w:val="16"/>
              </w:rPr>
            </w:pPr>
            <w:r w:rsidRPr="00EE43C6">
              <w:rPr>
                <w:rFonts w:cs="Arial"/>
                <w:b/>
                <w:color w:val="FFFFFF" w:themeColor="background1"/>
                <w:sz w:val="16"/>
                <w:szCs w:val="16"/>
              </w:rPr>
              <w:t>May</w:t>
            </w:r>
          </w:p>
        </w:tc>
        <w:tc>
          <w:tcPr>
            <w:tcW w:w="331" w:type="pct"/>
            <w:gridSpan w:val="2"/>
            <w:tcBorders>
              <w:bottom w:val="single" w:sz="4" w:space="0" w:color="auto"/>
            </w:tcBorders>
            <w:shd w:val="clear" w:color="auto" w:fill="4F81BD"/>
            <w:textDirection w:val="btLr"/>
            <w:vAlign w:val="center"/>
          </w:tcPr>
          <w:p w14:paraId="62A4FEFD" w14:textId="18AC4848" w:rsidR="006D08D2" w:rsidRPr="00EE43C6" w:rsidRDefault="006D08D2" w:rsidP="006D7BAC">
            <w:pPr>
              <w:spacing w:before="0" w:after="0" w:line="240" w:lineRule="auto"/>
              <w:ind w:left="113" w:right="113"/>
              <w:jc w:val="center"/>
              <w:rPr>
                <w:rFonts w:cs="Arial"/>
                <w:b/>
                <w:color w:val="FFFFFF" w:themeColor="background1"/>
                <w:sz w:val="16"/>
                <w:szCs w:val="16"/>
              </w:rPr>
            </w:pPr>
            <w:r w:rsidRPr="00EE43C6">
              <w:rPr>
                <w:rFonts w:cs="Arial"/>
                <w:b/>
                <w:color w:val="FFFFFF" w:themeColor="background1"/>
                <w:sz w:val="16"/>
                <w:szCs w:val="16"/>
              </w:rPr>
              <w:t>June</w:t>
            </w:r>
          </w:p>
        </w:tc>
        <w:tc>
          <w:tcPr>
            <w:tcW w:w="331" w:type="pct"/>
            <w:gridSpan w:val="3"/>
            <w:tcBorders>
              <w:bottom w:val="single" w:sz="4" w:space="0" w:color="auto"/>
            </w:tcBorders>
            <w:shd w:val="clear" w:color="auto" w:fill="4F81BD"/>
            <w:textDirection w:val="btLr"/>
            <w:vAlign w:val="center"/>
          </w:tcPr>
          <w:p w14:paraId="5D16F71D" w14:textId="7C12C477" w:rsidR="006D08D2" w:rsidRPr="00EE43C6" w:rsidRDefault="00AF577C" w:rsidP="006D7BAC">
            <w:pPr>
              <w:spacing w:before="0" w:after="0" w:line="240" w:lineRule="auto"/>
              <w:ind w:left="113" w:right="113"/>
              <w:jc w:val="center"/>
              <w:rPr>
                <w:rFonts w:cs="Arial"/>
                <w:b/>
                <w:color w:val="FFFFFF" w:themeColor="background1"/>
                <w:sz w:val="16"/>
                <w:szCs w:val="16"/>
              </w:rPr>
            </w:pPr>
            <w:r w:rsidRPr="00EE43C6">
              <w:rPr>
                <w:rFonts w:cs="Arial"/>
                <w:b/>
                <w:color w:val="FFFFFF" w:themeColor="background1"/>
                <w:sz w:val="16"/>
                <w:szCs w:val="16"/>
              </w:rPr>
              <w:t>July</w:t>
            </w:r>
          </w:p>
        </w:tc>
        <w:tc>
          <w:tcPr>
            <w:tcW w:w="331" w:type="pct"/>
            <w:gridSpan w:val="3"/>
            <w:tcBorders>
              <w:bottom w:val="single" w:sz="4" w:space="0" w:color="auto"/>
            </w:tcBorders>
            <w:shd w:val="clear" w:color="auto" w:fill="4F81BD"/>
            <w:textDirection w:val="btLr"/>
            <w:vAlign w:val="center"/>
          </w:tcPr>
          <w:p w14:paraId="6D2F2969" w14:textId="4C334FDF" w:rsidR="006D08D2" w:rsidRPr="00EE43C6" w:rsidRDefault="00026D61" w:rsidP="006D7BAC">
            <w:pPr>
              <w:spacing w:before="0" w:after="0" w:line="240" w:lineRule="auto"/>
              <w:ind w:left="113" w:right="113"/>
              <w:jc w:val="center"/>
              <w:rPr>
                <w:rFonts w:cs="Arial"/>
                <w:b/>
                <w:color w:val="FFFFFF" w:themeColor="background1"/>
                <w:sz w:val="16"/>
                <w:szCs w:val="16"/>
              </w:rPr>
            </w:pPr>
            <w:r w:rsidRPr="00EE43C6">
              <w:rPr>
                <w:rFonts w:cs="Arial"/>
                <w:b/>
                <w:color w:val="FFFFFF" w:themeColor="background1"/>
                <w:sz w:val="16"/>
                <w:szCs w:val="16"/>
              </w:rPr>
              <w:t>August</w:t>
            </w:r>
          </w:p>
        </w:tc>
        <w:tc>
          <w:tcPr>
            <w:tcW w:w="331" w:type="pct"/>
            <w:gridSpan w:val="2"/>
            <w:tcBorders>
              <w:bottom w:val="single" w:sz="4" w:space="0" w:color="auto"/>
            </w:tcBorders>
            <w:shd w:val="clear" w:color="auto" w:fill="4F81BD"/>
            <w:textDirection w:val="btLr"/>
            <w:vAlign w:val="center"/>
          </w:tcPr>
          <w:p w14:paraId="6266F723" w14:textId="2844943E" w:rsidR="006D08D2" w:rsidRPr="00EE43C6" w:rsidRDefault="00026D61" w:rsidP="006D7BAC">
            <w:pPr>
              <w:spacing w:before="0" w:after="0" w:line="240" w:lineRule="auto"/>
              <w:ind w:left="113" w:right="113"/>
              <w:jc w:val="center"/>
              <w:rPr>
                <w:rFonts w:cs="Arial"/>
                <w:b/>
                <w:color w:val="FFFFFF" w:themeColor="background1"/>
                <w:sz w:val="16"/>
                <w:szCs w:val="16"/>
              </w:rPr>
            </w:pPr>
            <w:r w:rsidRPr="00EE43C6">
              <w:rPr>
                <w:rFonts w:cs="Arial"/>
                <w:b/>
                <w:color w:val="FFFFFF" w:themeColor="background1"/>
                <w:sz w:val="16"/>
                <w:szCs w:val="16"/>
              </w:rPr>
              <w:t>September</w:t>
            </w:r>
          </w:p>
        </w:tc>
        <w:tc>
          <w:tcPr>
            <w:tcW w:w="331" w:type="pct"/>
            <w:gridSpan w:val="2"/>
            <w:tcBorders>
              <w:bottom w:val="single" w:sz="4" w:space="0" w:color="auto"/>
            </w:tcBorders>
            <w:shd w:val="clear" w:color="auto" w:fill="4F81BD"/>
            <w:textDirection w:val="btLr"/>
            <w:vAlign w:val="center"/>
          </w:tcPr>
          <w:p w14:paraId="57464FFA" w14:textId="0EDADEDB" w:rsidR="006D08D2" w:rsidRPr="00EE43C6" w:rsidRDefault="00026D61" w:rsidP="006D7BAC">
            <w:pPr>
              <w:spacing w:before="0" w:after="0" w:line="240" w:lineRule="auto"/>
              <w:ind w:left="113" w:right="113"/>
              <w:jc w:val="center"/>
              <w:rPr>
                <w:rFonts w:cs="Arial"/>
                <w:b/>
                <w:color w:val="FFFFFF" w:themeColor="background1"/>
                <w:sz w:val="16"/>
                <w:szCs w:val="16"/>
              </w:rPr>
            </w:pPr>
            <w:r w:rsidRPr="00EE43C6">
              <w:rPr>
                <w:rFonts w:cs="Arial"/>
                <w:b/>
                <w:color w:val="FFFFFF" w:themeColor="background1"/>
                <w:sz w:val="16"/>
                <w:szCs w:val="16"/>
              </w:rPr>
              <w:t>October</w:t>
            </w:r>
          </w:p>
        </w:tc>
        <w:tc>
          <w:tcPr>
            <w:tcW w:w="331" w:type="pct"/>
            <w:gridSpan w:val="3"/>
            <w:tcBorders>
              <w:bottom w:val="single" w:sz="4" w:space="0" w:color="auto"/>
            </w:tcBorders>
            <w:shd w:val="clear" w:color="auto" w:fill="4F81BD"/>
            <w:textDirection w:val="btLr"/>
            <w:vAlign w:val="center"/>
          </w:tcPr>
          <w:p w14:paraId="3A881321" w14:textId="060844CF" w:rsidR="006D08D2" w:rsidRPr="00EE43C6" w:rsidRDefault="00026D61" w:rsidP="006D7BAC">
            <w:pPr>
              <w:spacing w:before="0" w:after="0" w:line="240" w:lineRule="auto"/>
              <w:ind w:left="113" w:right="113"/>
              <w:jc w:val="center"/>
              <w:rPr>
                <w:rFonts w:cs="Arial"/>
                <w:b/>
                <w:color w:val="FFFFFF" w:themeColor="background1"/>
                <w:sz w:val="16"/>
                <w:szCs w:val="16"/>
              </w:rPr>
            </w:pPr>
            <w:r w:rsidRPr="00EE43C6">
              <w:rPr>
                <w:rFonts w:cs="Arial"/>
                <w:b/>
                <w:color w:val="FFFFFF" w:themeColor="background1"/>
                <w:sz w:val="16"/>
                <w:szCs w:val="16"/>
              </w:rPr>
              <w:t>November</w:t>
            </w:r>
          </w:p>
        </w:tc>
        <w:tc>
          <w:tcPr>
            <w:tcW w:w="368" w:type="pct"/>
            <w:gridSpan w:val="2"/>
            <w:tcBorders>
              <w:bottom w:val="single" w:sz="4" w:space="0" w:color="auto"/>
            </w:tcBorders>
            <w:shd w:val="clear" w:color="auto" w:fill="4F81BD"/>
            <w:textDirection w:val="btLr"/>
            <w:vAlign w:val="center"/>
          </w:tcPr>
          <w:p w14:paraId="64D47273" w14:textId="2A40F193" w:rsidR="006D08D2" w:rsidRPr="00EE43C6" w:rsidRDefault="00026D61" w:rsidP="006D7BAC">
            <w:pPr>
              <w:spacing w:before="0" w:after="0" w:line="240" w:lineRule="auto"/>
              <w:ind w:left="113" w:right="113"/>
              <w:jc w:val="center"/>
              <w:rPr>
                <w:rFonts w:cs="Arial"/>
                <w:b/>
                <w:color w:val="FFFFFF" w:themeColor="background1"/>
                <w:sz w:val="16"/>
                <w:szCs w:val="16"/>
              </w:rPr>
            </w:pPr>
            <w:r w:rsidRPr="00EE43C6">
              <w:rPr>
                <w:rFonts w:cs="Arial"/>
                <w:b/>
                <w:color w:val="FFFFFF" w:themeColor="background1"/>
                <w:sz w:val="16"/>
                <w:szCs w:val="16"/>
              </w:rPr>
              <w:t>December</w:t>
            </w:r>
          </w:p>
        </w:tc>
      </w:tr>
      <w:tr w:rsidR="00A06F4D" w:rsidRPr="00EE43C6" w14:paraId="02482705" w14:textId="77777777" w:rsidTr="00F60B11">
        <w:trPr>
          <w:cantSplit/>
          <w:trHeight w:val="284"/>
          <w:tblHeader/>
          <w:jc w:val="center"/>
        </w:trPr>
        <w:tc>
          <w:tcPr>
            <w:tcW w:w="5000" w:type="pct"/>
            <w:gridSpan w:val="32"/>
            <w:tcBorders>
              <w:bottom w:val="single" w:sz="4" w:space="0" w:color="auto"/>
            </w:tcBorders>
            <w:shd w:val="clear" w:color="auto" w:fill="4F81BD"/>
            <w:vAlign w:val="center"/>
          </w:tcPr>
          <w:p w14:paraId="37924AB1" w14:textId="6A0EEFCB" w:rsidR="00A06F4D" w:rsidRPr="00EE43C6" w:rsidRDefault="00C56D10" w:rsidP="00A06F4D">
            <w:pPr>
              <w:spacing w:before="0" w:after="0" w:line="240" w:lineRule="auto"/>
              <w:jc w:val="center"/>
              <w:rPr>
                <w:rFonts w:cs="Arial"/>
                <w:b/>
                <w:color w:val="FFFFFF" w:themeColor="background1"/>
                <w:sz w:val="16"/>
                <w:szCs w:val="16"/>
              </w:rPr>
            </w:pPr>
            <w:r w:rsidRPr="00EE43C6">
              <w:rPr>
                <w:rFonts w:cs="Arial"/>
                <w:b/>
                <w:color w:val="FFFFFF" w:themeColor="background1"/>
                <w:sz w:val="16"/>
                <w:szCs w:val="16"/>
              </w:rPr>
              <w:t xml:space="preserve">Average Values Over Many Years (1960 </w:t>
            </w:r>
            <w:r w:rsidR="00333216" w:rsidRPr="00EE43C6">
              <w:rPr>
                <w:rFonts w:cs="Arial"/>
                <w:b/>
                <w:color w:val="FFFFFF" w:themeColor="background1"/>
                <w:sz w:val="16"/>
                <w:szCs w:val="16"/>
              </w:rPr>
              <w:t>–</w:t>
            </w:r>
            <w:r w:rsidRPr="00EE43C6">
              <w:rPr>
                <w:rFonts w:cs="Arial"/>
                <w:b/>
                <w:color w:val="FFFFFF" w:themeColor="background1"/>
                <w:sz w:val="16"/>
                <w:szCs w:val="16"/>
              </w:rPr>
              <w:t xml:space="preserve"> 2015)</w:t>
            </w:r>
          </w:p>
        </w:tc>
      </w:tr>
      <w:tr w:rsidR="00CD1D0F" w:rsidRPr="00EE43C6" w14:paraId="710C6C87" w14:textId="77777777" w:rsidTr="00F60B11">
        <w:trPr>
          <w:cantSplit/>
          <w:trHeight w:val="284"/>
          <w:tblHeader/>
          <w:jc w:val="center"/>
        </w:trPr>
        <w:tc>
          <w:tcPr>
            <w:tcW w:w="1023" w:type="pct"/>
            <w:gridSpan w:val="3"/>
            <w:shd w:val="clear" w:color="auto" w:fill="DBE5F1" w:themeFill="accent1" w:themeFillTint="33"/>
            <w:vAlign w:val="center"/>
          </w:tcPr>
          <w:p w14:paraId="0BEE3F69" w14:textId="7F604234" w:rsidR="008053B0" w:rsidRPr="00EE43C6" w:rsidRDefault="008053B0" w:rsidP="008053B0">
            <w:pPr>
              <w:spacing w:before="0" w:after="0" w:line="240" w:lineRule="auto"/>
              <w:jc w:val="left"/>
              <w:rPr>
                <w:rFonts w:cs="Arial"/>
                <w:b/>
                <w:sz w:val="16"/>
                <w:szCs w:val="16"/>
              </w:rPr>
            </w:pPr>
            <w:r w:rsidRPr="00EE43C6">
              <w:rPr>
                <w:rFonts w:cs="Arial"/>
                <w:sz w:val="16"/>
                <w:szCs w:val="16"/>
              </w:rPr>
              <w:t xml:space="preserve">Average </w:t>
            </w:r>
            <w:r w:rsidR="004302FD" w:rsidRPr="00EE43C6">
              <w:rPr>
                <w:rFonts w:cs="Arial"/>
                <w:sz w:val="16"/>
                <w:szCs w:val="16"/>
              </w:rPr>
              <w:t>T</w:t>
            </w:r>
            <w:r w:rsidRPr="00EE43C6">
              <w:rPr>
                <w:rFonts w:cs="Arial"/>
                <w:sz w:val="16"/>
                <w:szCs w:val="16"/>
              </w:rPr>
              <w:t>emperature</w:t>
            </w:r>
            <w:r w:rsidR="00137292" w:rsidRPr="00EE43C6">
              <w:rPr>
                <w:rFonts w:cs="Arial"/>
                <w:sz w:val="16"/>
                <w:szCs w:val="16"/>
              </w:rPr>
              <w:t xml:space="preserve"> </w:t>
            </w:r>
            <w:r w:rsidRPr="00EE43C6">
              <w:rPr>
                <w:rFonts w:cs="Arial"/>
                <w:sz w:val="16"/>
                <w:szCs w:val="16"/>
              </w:rPr>
              <w:t>(°C)</w:t>
            </w:r>
          </w:p>
        </w:tc>
        <w:tc>
          <w:tcPr>
            <w:tcW w:w="330" w:type="pct"/>
            <w:gridSpan w:val="3"/>
            <w:shd w:val="clear" w:color="auto" w:fill="auto"/>
            <w:vAlign w:val="center"/>
          </w:tcPr>
          <w:p w14:paraId="4E0351B8" w14:textId="2386B99E"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10.1</w:t>
            </w:r>
          </w:p>
        </w:tc>
        <w:tc>
          <w:tcPr>
            <w:tcW w:w="331" w:type="pct"/>
            <w:gridSpan w:val="2"/>
            <w:shd w:val="clear" w:color="auto" w:fill="auto"/>
            <w:vAlign w:val="center"/>
          </w:tcPr>
          <w:p w14:paraId="7062F0FC" w14:textId="028B99ED"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10.9</w:t>
            </w:r>
          </w:p>
        </w:tc>
        <w:tc>
          <w:tcPr>
            <w:tcW w:w="331" w:type="pct"/>
            <w:gridSpan w:val="3"/>
            <w:shd w:val="clear" w:color="auto" w:fill="auto"/>
            <w:vAlign w:val="center"/>
          </w:tcPr>
          <w:p w14:paraId="1EC3D807" w14:textId="409CBD10"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13.7</w:t>
            </w:r>
          </w:p>
        </w:tc>
        <w:tc>
          <w:tcPr>
            <w:tcW w:w="331" w:type="pct"/>
            <w:gridSpan w:val="2"/>
            <w:shd w:val="clear" w:color="auto" w:fill="auto"/>
            <w:vAlign w:val="center"/>
          </w:tcPr>
          <w:p w14:paraId="5A434E59" w14:textId="580DEFD9"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17.5</w:t>
            </w:r>
          </w:p>
        </w:tc>
        <w:tc>
          <w:tcPr>
            <w:tcW w:w="331" w:type="pct"/>
            <w:gridSpan w:val="3"/>
            <w:shd w:val="clear" w:color="auto" w:fill="auto"/>
            <w:vAlign w:val="center"/>
          </w:tcPr>
          <w:p w14:paraId="632182F3" w14:textId="29B72AEE"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21.4</w:t>
            </w:r>
          </w:p>
        </w:tc>
        <w:tc>
          <w:tcPr>
            <w:tcW w:w="331" w:type="pct"/>
            <w:gridSpan w:val="3"/>
            <w:shd w:val="clear" w:color="auto" w:fill="auto"/>
            <w:vAlign w:val="center"/>
          </w:tcPr>
          <w:p w14:paraId="17A97D38" w14:textId="72F6B0CB"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25.2</w:t>
            </w:r>
          </w:p>
        </w:tc>
        <w:tc>
          <w:tcPr>
            <w:tcW w:w="331" w:type="pct"/>
            <w:gridSpan w:val="2"/>
            <w:shd w:val="clear" w:color="auto" w:fill="auto"/>
            <w:vAlign w:val="center"/>
          </w:tcPr>
          <w:p w14:paraId="5C35981F" w14:textId="7CE94EC2"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27.9</w:t>
            </w:r>
          </w:p>
        </w:tc>
        <w:tc>
          <w:tcPr>
            <w:tcW w:w="331" w:type="pct"/>
            <w:gridSpan w:val="3"/>
            <w:shd w:val="clear" w:color="auto" w:fill="auto"/>
            <w:vAlign w:val="center"/>
          </w:tcPr>
          <w:p w14:paraId="0F19C1BE" w14:textId="1D7F61CA"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28.4</w:t>
            </w:r>
          </w:p>
        </w:tc>
        <w:tc>
          <w:tcPr>
            <w:tcW w:w="331" w:type="pct"/>
            <w:gridSpan w:val="2"/>
            <w:shd w:val="clear" w:color="auto" w:fill="auto"/>
            <w:vAlign w:val="center"/>
          </w:tcPr>
          <w:p w14:paraId="6A2A5FC0" w14:textId="3AD738DB"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25.6</w:t>
            </w:r>
          </w:p>
        </w:tc>
        <w:tc>
          <w:tcPr>
            <w:tcW w:w="331" w:type="pct"/>
            <w:gridSpan w:val="2"/>
            <w:shd w:val="clear" w:color="auto" w:fill="auto"/>
            <w:vAlign w:val="center"/>
          </w:tcPr>
          <w:p w14:paraId="76A83EC2" w14:textId="6DAD056B"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21.1</w:t>
            </w:r>
          </w:p>
        </w:tc>
        <w:tc>
          <w:tcPr>
            <w:tcW w:w="333" w:type="pct"/>
            <w:gridSpan w:val="3"/>
            <w:shd w:val="clear" w:color="auto" w:fill="auto"/>
            <w:vAlign w:val="center"/>
          </w:tcPr>
          <w:p w14:paraId="2F7C9BE7" w14:textId="21B5CE3D"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15.7</w:t>
            </w:r>
          </w:p>
        </w:tc>
        <w:tc>
          <w:tcPr>
            <w:tcW w:w="336" w:type="pct"/>
            <w:shd w:val="clear" w:color="auto" w:fill="auto"/>
            <w:vAlign w:val="center"/>
          </w:tcPr>
          <w:p w14:paraId="5A75B778" w14:textId="56B5B115"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11.7</w:t>
            </w:r>
          </w:p>
        </w:tc>
      </w:tr>
      <w:tr w:rsidR="00E663C4" w:rsidRPr="00EE43C6" w14:paraId="4B992A00" w14:textId="77777777" w:rsidTr="00F60B11">
        <w:trPr>
          <w:cantSplit/>
          <w:trHeight w:val="284"/>
          <w:tblHeader/>
          <w:jc w:val="center"/>
        </w:trPr>
        <w:tc>
          <w:tcPr>
            <w:tcW w:w="1023" w:type="pct"/>
            <w:gridSpan w:val="3"/>
            <w:shd w:val="clear" w:color="auto" w:fill="DBE5F1" w:themeFill="accent1" w:themeFillTint="33"/>
            <w:vAlign w:val="center"/>
          </w:tcPr>
          <w:p w14:paraId="1C5E87B1" w14:textId="08A8F416" w:rsidR="008053B0" w:rsidRPr="00EE43C6" w:rsidRDefault="008053B0" w:rsidP="008053B0">
            <w:pPr>
              <w:spacing w:before="0" w:after="0" w:line="240" w:lineRule="auto"/>
              <w:jc w:val="left"/>
              <w:rPr>
                <w:rFonts w:cs="Arial"/>
                <w:b/>
                <w:sz w:val="16"/>
                <w:szCs w:val="16"/>
              </w:rPr>
            </w:pPr>
            <w:r w:rsidRPr="00EE43C6">
              <w:rPr>
                <w:rFonts w:cs="Arial"/>
                <w:sz w:val="16"/>
                <w:szCs w:val="16"/>
              </w:rPr>
              <w:t>Average High</w:t>
            </w:r>
            <w:r w:rsidR="00CC7DD2" w:rsidRPr="00EE43C6">
              <w:rPr>
                <w:rFonts w:cs="Arial"/>
                <w:sz w:val="16"/>
                <w:szCs w:val="16"/>
              </w:rPr>
              <w:t>est</w:t>
            </w:r>
            <w:r w:rsidRPr="00EE43C6">
              <w:rPr>
                <w:rFonts w:cs="Arial"/>
                <w:sz w:val="16"/>
                <w:szCs w:val="16"/>
              </w:rPr>
              <w:t xml:space="preserve"> </w:t>
            </w:r>
            <w:r w:rsidR="004302FD" w:rsidRPr="00EE43C6">
              <w:rPr>
                <w:rFonts w:cs="Arial"/>
                <w:sz w:val="16"/>
                <w:szCs w:val="16"/>
              </w:rPr>
              <w:t>T</w:t>
            </w:r>
            <w:r w:rsidRPr="00EE43C6">
              <w:rPr>
                <w:rFonts w:cs="Arial"/>
                <w:sz w:val="16"/>
                <w:szCs w:val="16"/>
              </w:rPr>
              <w:t>emperature (°C)</w:t>
            </w:r>
          </w:p>
        </w:tc>
        <w:tc>
          <w:tcPr>
            <w:tcW w:w="330" w:type="pct"/>
            <w:gridSpan w:val="3"/>
            <w:shd w:val="clear" w:color="auto" w:fill="auto"/>
            <w:vAlign w:val="center"/>
          </w:tcPr>
          <w:p w14:paraId="71884C57" w14:textId="17EF3FD4"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14.7</w:t>
            </w:r>
          </w:p>
        </w:tc>
        <w:tc>
          <w:tcPr>
            <w:tcW w:w="331" w:type="pct"/>
            <w:gridSpan w:val="2"/>
            <w:shd w:val="clear" w:color="auto" w:fill="auto"/>
            <w:vAlign w:val="center"/>
          </w:tcPr>
          <w:p w14:paraId="14E5AAE8" w14:textId="5070611C"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15.5</w:t>
            </w:r>
          </w:p>
        </w:tc>
        <w:tc>
          <w:tcPr>
            <w:tcW w:w="331" w:type="pct"/>
            <w:gridSpan w:val="3"/>
            <w:shd w:val="clear" w:color="auto" w:fill="auto"/>
            <w:vAlign w:val="center"/>
          </w:tcPr>
          <w:p w14:paraId="49DA3F27" w14:textId="024A58C0"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18.2</w:t>
            </w:r>
          </w:p>
        </w:tc>
        <w:tc>
          <w:tcPr>
            <w:tcW w:w="331" w:type="pct"/>
            <w:gridSpan w:val="2"/>
            <w:shd w:val="clear" w:color="auto" w:fill="auto"/>
            <w:vAlign w:val="center"/>
          </w:tcPr>
          <w:p w14:paraId="54B58FD6" w14:textId="793B6E9A"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21.6</w:t>
            </w:r>
          </w:p>
        </w:tc>
        <w:tc>
          <w:tcPr>
            <w:tcW w:w="331" w:type="pct"/>
            <w:gridSpan w:val="3"/>
            <w:shd w:val="clear" w:color="auto" w:fill="auto"/>
            <w:vAlign w:val="center"/>
          </w:tcPr>
          <w:p w14:paraId="545BE852" w14:textId="780EF445"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24.8</w:t>
            </w:r>
          </w:p>
        </w:tc>
        <w:tc>
          <w:tcPr>
            <w:tcW w:w="331" w:type="pct"/>
            <w:gridSpan w:val="3"/>
            <w:shd w:val="clear" w:color="auto" w:fill="auto"/>
            <w:vAlign w:val="center"/>
          </w:tcPr>
          <w:p w14:paraId="64EC7AFD" w14:textId="70BDE23D"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28.1</w:t>
            </w:r>
          </w:p>
        </w:tc>
        <w:tc>
          <w:tcPr>
            <w:tcW w:w="331" w:type="pct"/>
            <w:gridSpan w:val="2"/>
            <w:shd w:val="clear" w:color="auto" w:fill="auto"/>
            <w:vAlign w:val="center"/>
          </w:tcPr>
          <w:p w14:paraId="5F3716A6" w14:textId="3F9D4302"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30.7</w:t>
            </w:r>
          </w:p>
        </w:tc>
        <w:tc>
          <w:tcPr>
            <w:tcW w:w="331" w:type="pct"/>
            <w:gridSpan w:val="3"/>
            <w:shd w:val="clear" w:color="auto" w:fill="auto"/>
            <w:vAlign w:val="center"/>
          </w:tcPr>
          <w:p w14:paraId="5F6CB6DE" w14:textId="0F207F84"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31.5</w:t>
            </w:r>
          </w:p>
        </w:tc>
        <w:tc>
          <w:tcPr>
            <w:tcW w:w="331" w:type="pct"/>
            <w:gridSpan w:val="2"/>
            <w:shd w:val="clear" w:color="auto" w:fill="auto"/>
            <w:vAlign w:val="center"/>
          </w:tcPr>
          <w:p w14:paraId="68B0574F" w14:textId="6CC8B1FC"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30.0</w:t>
            </w:r>
          </w:p>
        </w:tc>
        <w:tc>
          <w:tcPr>
            <w:tcW w:w="331" w:type="pct"/>
            <w:gridSpan w:val="2"/>
            <w:shd w:val="clear" w:color="auto" w:fill="auto"/>
            <w:vAlign w:val="center"/>
          </w:tcPr>
          <w:p w14:paraId="50126AC8" w14:textId="6A60F1E0"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26.7</w:t>
            </w:r>
          </w:p>
        </w:tc>
        <w:tc>
          <w:tcPr>
            <w:tcW w:w="333" w:type="pct"/>
            <w:gridSpan w:val="3"/>
            <w:shd w:val="clear" w:color="auto" w:fill="auto"/>
            <w:vAlign w:val="center"/>
          </w:tcPr>
          <w:p w14:paraId="6D9768E0" w14:textId="242C1CC8"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21.4</w:t>
            </w:r>
          </w:p>
        </w:tc>
        <w:tc>
          <w:tcPr>
            <w:tcW w:w="336" w:type="pct"/>
            <w:shd w:val="clear" w:color="auto" w:fill="auto"/>
            <w:vAlign w:val="center"/>
          </w:tcPr>
          <w:p w14:paraId="649F3AA1" w14:textId="4B58E88A" w:rsidR="008053B0" w:rsidRPr="00EE43C6" w:rsidRDefault="008053B0" w:rsidP="008053B0">
            <w:pPr>
              <w:spacing w:before="0" w:after="0" w:line="240" w:lineRule="auto"/>
              <w:jc w:val="center"/>
              <w:rPr>
                <w:rFonts w:cs="Arial"/>
                <w:b/>
                <w:color w:val="FFFFFF" w:themeColor="background1"/>
                <w:sz w:val="16"/>
                <w:szCs w:val="16"/>
              </w:rPr>
            </w:pPr>
            <w:r w:rsidRPr="00EE43C6">
              <w:rPr>
                <w:rFonts w:cs="Arial"/>
                <w:sz w:val="16"/>
                <w:szCs w:val="16"/>
              </w:rPr>
              <w:t>16.6</w:t>
            </w:r>
          </w:p>
        </w:tc>
      </w:tr>
      <w:tr w:rsidR="004302FD" w:rsidRPr="00EE43C6" w14:paraId="1079D29A" w14:textId="77777777" w:rsidTr="00F60B11">
        <w:trPr>
          <w:cantSplit/>
          <w:trHeight w:val="284"/>
          <w:tblHeader/>
          <w:jc w:val="center"/>
        </w:trPr>
        <w:tc>
          <w:tcPr>
            <w:tcW w:w="1023" w:type="pct"/>
            <w:gridSpan w:val="3"/>
            <w:shd w:val="clear" w:color="auto" w:fill="DBE5F1" w:themeFill="accent1" w:themeFillTint="33"/>
            <w:vAlign w:val="center"/>
          </w:tcPr>
          <w:p w14:paraId="006939C4" w14:textId="30C54A9D" w:rsidR="004302FD" w:rsidRPr="00EE43C6" w:rsidRDefault="00CC7DD2" w:rsidP="008053B0">
            <w:pPr>
              <w:spacing w:before="0" w:after="0" w:line="240" w:lineRule="auto"/>
              <w:jc w:val="left"/>
              <w:rPr>
                <w:rFonts w:cs="Arial"/>
                <w:sz w:val="16"/>
                <w:szCs w:val="16"/>
              </w:rPr>
            </w:pPr>
            <w:r w:rsidRPr="00EE43C6">
              <w:rPr>
                <w:rFonts w:cs="Arial"/>
                <w:sz w:val="16"/>
                <w:szCs w:val="16"/>
              </w:rPr>
              <w:t>Average Lowest Temperature (°C)</w:t>
            </w:r>
          </w:p>
        </w:tc>
        <w:tc>
          <w:tcPr>
            <w:tcW w:w="330" w:type="pct"/>
            <w:gridSpan w:val="3"/>
            <w:shd w:val="clear" w:color="auto" w:fill="auto"/>
            <w:vAlign w:val="center"/>
          </w:tcPr>
          <w:p w14:paraId="5FD9CE1F" w14:textId="7E8BC260" w:rsidR="004302FD" w:rsidRPr="00EE43C6" w:rsidRDefault="00256ECC" w:rsidP="008053B0">
            <w:pPr>
              <w:spacing w:before="0" w:after="0" w:line="240" w:lineRule="auto"/>
              <w:jc w:val="center"/>
              <w:rPr>
                <w:rFonts w:cs="Arial"/>
                <w:sz w:val="16"/>
                <w:szCs w:val="16"/>
              </w:rPr>
            </w:pPr>
            <w:r w:rsidRPr="00EE43C6">
              <w:rPr>
                <w:rFonts w:cs="Arial"/>
                <w:sz w:val="16"/>
                <w:szCs w:val="16"/>
              </w:rPr>
              <w:t>6.3</w:t>
            </w:r>
          </w:p>
        </w:tc>
        <w:tc>
          <w:tcPr>
            <w:tcW w:w="331" w:type="pct"/>
            <w:gridSpan w:val="2"/>
            <w:shd w:val="clear" w:color="auto" w:fill="auto"/>
            <w:vAlign w:val="center"/>
          </w:tcPr>
          <w:p w14:paraId="41C564C3" w14:textId="267F46D0" w:rsidR="004302FD" w:rsidRPr="00EE43C6" w:rsidRDefault="007009C8" w:rsidP="008053B0">
            <w:pPr>
              <w:spacing w:before="0" w:after="0" w:line="240" w:lineRule="auto"/>
              <w:jc w:val="center"/>
              <w:rPr>
                <w:rFonts w:cs="Arial"/>
                <w:sz w:val="16"/>
                <w:szCs w:val="16"/>
              </w:rPr>
            </w:pPr>
            <w:r w:rsidRPr="00EE43C6">
              <w:rPr>
                <w:rFonts w:cs="Arial"/>
                <w:sz w:val="16"/>
                <w:szCs w:val="16"/>
              </w:rPr>
              <w:t>6.8</w:t>
            </w:r>
          </w:p>
        </w:tc>
        <w:tc>
          <w:tcPr>
            <w:tcW w:w="331" w:type="pct"/>
            <w:gridSpan w:val="3"/>
            <w:shd w:val="clear" w:color="auto" w:fill="auto"/>
            <w:vAlign w:val="center"/>
          </w:tcPr>
          <w:p w14:paraId="4CB76B79" w14:textId="2B47872C" w:rsidR="004302FD" w:rsidRPr="00EE43C6" w:rsidRDefault="001B3122" w:rsidP="008053B0">
            <w:pPr>
              <w:spacing w:before="0" w:after="0" w:line="240" w:lineRule="auto"/>
              <w:jc w:val="center"/>
              <w:rPr>
                <w:rFonts w:cs="Arial"/>
                <w:sz w:val="16"/>
                <w:szCs w:val="16"/>
              </w:rPr>
            </w:pPr>
            <w:r w:rsidRPr="00EE43C6">
              <w:rPr>
                <w:rFonts w:cs="Arial"/>
                <w:sz w:val="16"/>
                <w:szCs w:val="16"/>
              </w:rPr>
              <w:t>9.3</w:t>
            </w:r>
          </w:p>
        </w:tc>
        <w:tc>
          <w:tcPr>
            <w:tcW w:w="331" w:type="pct"/>
            <w:gridSpan w:val="2"/>
            <w:shd w:val="clear" w:color="auto" w:fill="auto"/>
            <w:vAlign w:val="center"/>
          </w:tcPr>
          <w:p w14:paraId="33A2EA9B" w14:textId="0BB1B18C" w:rsidR="004302FD" w:rsidRPr="00EE43C6" w:rsidRDefault="001B3122" w:rsidP="008053B0">
            <w:pPr>
              <w:spacing w:before="0" w:after="0" w:line="240" w:lineRule="auto"/>
              <w:jc w:val="center"/>
              <w:rPr>
                <w:rFonts w:cs="Arial"/>
                <w:sz w:val="16"/>
                <w:szCs w:val="16"/>
              </w:rPr>
            </w:pPr>
            <w:r w:rsidRPr="00EE43C6">
              <w:rPr>
                <w:rFonts w:cs="Arial"/>
                <w:sz w:val="16"/>
                <w:szCs w:val="16"/>
              </w:rPr>
              <w:t>13.0</w:t>
            </w:r>
          </w:p>
        </w:tc>
        <w:tc>
          <w:tcPr>
            <w:tcW w:w="331" w:type="pct"/>
            <w:gridSpan w:val="3"/>
            <w:shd w:val="clear" w:color="auto" w:fill="auto"/>
            <w:vAlign w:val="center"/>
          </w:tcPr>
          <w:p w14:paraId="0C0F1A7F" w14:textId="781A9115" w:rsidR="004302FD" w:rsidRPr="00EE43C6" w:rsidRDefault="001A3812" w:rsidP="008053B0">
            <w:pPr>
              <w:spacing w:before="0" w:after="0" w:line="240" w:lineRule="auto"/>
              <w:jc w:val="center"/>
              <w:rPr>
                <w:rFonts w:cs="Arial"/>
                <w:sz w:val="16"/>
                <w:szCs w:val="16"/>
              </w:rPr>
            </w:pPr>
            <w:r w:rsidRPr="00EE43C6">
              <w:rPr>
                <w:rFonts w:cs="Arial"/>
                <w:sz w:val="16"/>
                <w:szCs w:val="16"/>
              </w:rPr>
              <w:t>16.8</w:t>
            </w:r>
          </w:p>
        </w:tc>
        <w:tc>
          <w:tcPr>
            <w:tcW w:w="331" w:type="pct"/>
            <w:gridSpan w:val="3"/>
            <w:shd w:val="clear" w:color="auto" w:fill="auto"/>
            <w:vAlign w:val="center"/>
          </w:tcPr>
          <w:p w14:paraId="3A7839FA" w14:textId="5CE2D53C" w:rsidR="004302FD" w:rsidRPr="00EE43C6" w:rsidRDefault="004F70A2" w:rsidP="008053B0">
            <w:pPr>
              <w:spacing w:before="0" w:after="0" w:line="240" w:lineRule="auto"/>
              <w:jc w:val="center"/>
              <w:rPr>
                <w:rFonts w:cs="Arial"/>
                <w:sz w:val="16"/>
                <w:szCs w:val="16"/>
              </w:rPr>
            </w:pPr>
            <w:r w:rsidRPr="00EE43C6">
              <w:rPr>
                <w:rFonts w:cs="Arial"/>
                <w:sz w:val="16"/>
                <w:szCs w:val="16"/>
              </w:rPr>
              <w:t>20.8</w:t>
            </w:r>
          </w:p>
        </w:tc>
        <w:tc>
          <w:tcPr>
            <w:tcW w:w="331" w:type="pct"/>
            <w:gridSpan w:val="2"/>
            <w:shd w:val="clear" w:color="auto" w:fill="auto"/>
            <w:vAlign w:val="center"/>
          </w:tcPr>
          <w:p w14:paraId="3154FC5F" w14:textId="0E3FE8C2" w:rsidR="004302FD" w:rsidRPr="00EE43C6" w:rsidRDefault="00973C6F" w:rsidP="008053B0">
            <w:pPr>
              <w:spacing w:before="0" w:after="0" w:line="240" w:lineRule="auto"/>
              <w:jc w:val="center"/>
              <w:rPr>
                <w:rFonts w:cs="Arial"/>
                <w:sz w:val="16"/>
                <w:szCs w:val="16"/>
              </w:rPr>
            </w:pPr>
            <w:r w:rsidRPr="00EE43C6">
              <w:rPr>
                <w:rFonts w:cs="Arial"/>
                <w:sz w:val="16"/>
                <w:szCs w:val="16"/>
              </w:rPr>
              <w:t>24.0</w:t>
            </w:r>
          </w:p>
        </w:tc>
        <w:tc>
          <w:tcPr>
            <w:tcW w:w="331" w:type="pct"/>
            <w:gridSpan w:val="3"/>
            <w:shd w:val="clear" w:color="auto" w:fill="auto"/>
            <w:vAlign w:val="center"/>
          </w:tcPr>
          <w:p w14:paraId="2462861B" w14:textId="2ECA87DB" w:rsidR="004302FD" w:rsidRPr="00EE43C6" w:rsidRDefault="00AD7795" w:rsidP="008053B0">
            <w:pPr>
              <w:spacing w:before="0" w:after="0" w:line="240" w:lineRule="auto"/>
              <w:jc w:val="center"/>
              <w:rPr>
                <w:rFonts w:cs="Arial"/>
                <w:sz w:val="16"/>
                <w:szCs w:val="16"/>
              </w:rPr>
            </w:pPr>
            <w:r w:rsidRPr="00EE43C6">
              <w:rPr>
                <w:rFonts w:cs="Arial"/>
                <w:sz w:val="16"/>
                <w:szCs w:val="16"/>
              </w:rPr>
              <w:t>24.2</w:t>
            </w:r>
          </w:p>
        </w:tc>
        <w:tc>
          <w:tcPr>
            <w:tcW w:w="331" w:type="pct"/>
            <w:gridSpan w:val="2"/>
            <w:shd w:val="clear" w:color="auto" w:fill="auto"/>
            <w:vAlign w:val="center"/>
          </w:tcPr>
          <w:p w14:paraId="72BF791F" w14:textId="13AA2A90" w:rsidR="004302FD" w:rsidRPr="00EE43C6" w:rsidRDefault="00AD7795" w:rsidP="008053B0">
            <w:pPr>
              <w:spacing w:before="0" w:after="0" w:line="240" w:lineRule="auto"/>
              <w:jc w:val="center"/>
              <w:rPr>
                <w:rFonts w:cs="Arial"/>
                <w:sz w:val="16"/>
                <w:szCs w:val="16"/>
              </w:rPr>
            </w:pPr>
            <w:r w:rsidRPr="00EE43C6">
              <w:rPr>
                <w:rFonts w:cs="Arial"/>
                <w:sz w:val="16"/>
                <w:szCs w:val="16"/>
              </w:rPr>
              <w:t>21.0</w:t>
            </w:r>
          </w:p>
        </w:tc>
        <w:tc>
          <w:tcPr>
            <w:tcW w:w="331" w:type="pct"/>
            <w:gridSpan w:val="2"/>
            <w:shd w:val="clear" w:color="auto" w:fill="auto"/>
            <w:vAlign w:val="center"/>
          </w:tcPr>
          <w:p w14:paraId="369686C2" w14:textId="300AB1A1" w:rsidR="004302FD" w:rsidRPr="00EE43C6" w:rsidRDefault="00625340" w:rsidP="008053B0">
            <w:pPr>
              <w:spacing w:before="0" w:after="0" w:line="240" w:lineRule="auto"/>
              <w:jc w:val="center"/>
              <w:rPr>
                <w:rFonts w:cs="Arial"/>
                <w:sz w:val="16"/>
                <w:szCs w:val="16"/>
              </w:rPr>
            </w:pPr>
            <w:r w:rsidRPr="00EE43C6">
              <w:rPr>
                <w:rFonts w:cs="Arial"/>
                <w:sz w:val="16"/>
                <w:szCs w:val="16"/>
              </w:rPr>
              <w:t>16.4</w:t>
            </w:r>
          </w:p>
        </w:tc>
        <w:tc>
          <w:tcPr>
            <w:tcW w:w="333" w:type="pct"/>
            <w:gridSpan w:val="3"/>
            <w:shd w:val="clear" w:color="auto" w:fill="auto"/>
            <w:vAlign w:val="center"/>
          </w:tcPr>
          <w:p w14:paraId="47BC9AEA" w14:textId="4855312A" w:rsidR="004302FD" w:rsidRPr="00EE43C6" w:rsidRDefault="007359BB" w:rsidP="008053B0">
            <w:pPr>
              <w:spacing w:before="0" w:after="0" w:line="240" w:lineRule="auto"/>
              <w:jc w:val="center"/>
              <w:rPr>
                <w:rFonts w:cs="Arial"/>
                <w:sz w:val="16"/>
                <w:szCs w:val="16"/>
              </w:rPr>
            </w:pPr>
            <w:r w:rsidRPr="00EE43C6">
              <w:rPr>
                <w:rFonts w:cs="Arial"/>
                <w:sz w:val="16"/>
                <w:szCs w:val="16"/>
              </w:rPr>
              <w:t>11.4</w:t>
            </w:r>
          </w:p>
        </w:tc>
        <w:tc>
          <w:tcPr>
            <w:tcW w:w="336" w:type="pct"/>
            <w:shd w:val="clear" w:color="auto" w:fill="auto"/>
            <w:vAlign w:val="center"/>
          </w:tcPr>
          <w:p w14:paraId="298FE611" w14:textId="2BA0E321" w:rsidR="004302FD" w:rsidRPr="00EE43C6" w:rsidRDefault="00137292" w:rsidP="008053B0">
            <w:pPr>
              <w:spacing w:before="0" w:after="0" w:line="240" w:lineRule="auto"/>
              <w:jc w:val="center"/>
              <w:rPr>
                <w:rFonts w:cs="Arial"/>
                <w:sz w:val="16"/>
                <w:szCs w:val="16"/>
              </w:rPr>
            </w:pPr>
            <w:r w:rsidRPr="00EE43C6">
              <w:rPr>
                <w:rFonts w:cs="Arial"/>
                <w:sz w:val="16"/>
                <w:szCs w:val="16"/>
              </w:rPr>
              <w:t>7.9</w:t>
            </w:r>
          </w:p>
        </w:tc>
      </w:tr>
      <w:tr w:rsidR="00137292" w:rsidRPr="00EE43C6" w14:paraId="70BC2840" w14:textId="77777777" w:rsidTr="00F60B11">
        <w:trPr>
          <w:cantSplit/>
          <w:trHeight w:val="284"/>
          <w:tblHeader/>
          <w:jc w:val="center"/>
        </w:trPr>
        <w:tc>
          <w:tcPr>
            <w:tcW w:w="1023" w:type="pct"/>
            <w:gridSpan w:val="3"/>
            <w:shd w:val="clear" w:color="auto" w:fill="DBE5F1" w:themeFill="accent1" w:themeFillTint="33"/>
            <w:vAlign w:val="center"/>
          </w:tcPr>
          <w:p w14:paraId="4401974A" w14:textId="2F812616" w:rsidR="00137292" w:rsidRPr="00EE43C6" w:rsidRDefault="0080707C" w:rsidP="008053B0">
            <w:pPr>
              <w:spacing w:before="0" w:after="0" w:line="240" w:lineRule="auto"/>
              <w:jc w:val="left"/>
              <w:rPr>
                <w:rFonts w:cs="Arial"/>
                <w:sz w:val="16"/>
                <w:szCs w:val="16"/>
              </w:rPr>
            </w:pPr>
            <w:r w:rsidRPr="00EE43C6">
              <w:rPr>
                <w:rFonts w:cs="Arial"/>
                <w:sz w:val="16"/>
                <w:szCs w:val="16"/>
              </w:rPr>
              <w:t>Average Sunshine Duration (hours)</w:t>
            </w:r>
          </w:p>
        </w:tc>
        <w:tc>
          <w:tcPr>
            <w:tcW w:w="330" w:type="pct"/>
            <w:gridSpan w:val="3"/>
            <w:shd w:val="clear" w:color="auto" w:fill="auto"/>
            <w:vAlign w:val="center"/>
          </w:tcPr>
          <w:p w14:paraId="0C15C2BC" w14:textId="00CEEFC3" w:rsidR="00137292" w:rsidRPr="00EE43C6" w:rsidRDefault="00E84EC1" w:rsidP="008053B0">
            <w:pPr>
              <w:spacing w:before="0" w:after="0" w:line="240" w:lineRule="auto"/>
              <w:jc w:val="center"/>
              <w:rPr>
                <w:rFonts w:cs="Arial"/>
                <w:sz w:val="16"/>
                <w:szCs w:val="16"/>
              </w:rPr>
            </w:pPr>
            <w:r w:rsidRPr="00EE43C6">
              <w:rPr>
                <w:rFonts w:cs="Arial"/>
                <w:sz w:val="16"/>
                <w:szCs w:val="16"/>
              </w:rPr>
              <w:t>4.5</w:t>
            </w:r>
          </w:p>
        </w:tc>
        <w:tc>
          <w:tcPr>
            <w:tcW w:w="331" w:type="pct"/>
            <w:gridSpan w:val="2"/>
            <w:shd w:val="clear" w:color="auto" w:fill="auto"/>
            <w:vAlign w:val="center"/>
          </w:tcPr>
          <w:p w14:paraId="39DC5966" w14:textId="23DBB8E9" w:rsidR="00137292" w:rsidRPr="00EE43C6" w:rsidRDefault="00B4536E" w:rsidP="008053B0">
            <w:pPr>
              <w:spacing w:before="0" w:after="0" w:line="240" w:lineRule="auto"/>
              <w:jc w:val="center"/>
              <w:rPr>
                <w:rFonts w:cs="Arial"/>
                <w:sz w:val="16"/>
                <w:szCs w:val="16"/>
              </w:rPr>
            </w:pPr>
            <w:r w:rsidRPr="00EE43C6">
              <w:rPr>
                <w:rFonts w:cs="Arial"/>
                <w:sz w:val="16"/>
                <w:szCs w:val="16"/>
              </w:rPr>
              <w:t>5.4</w:t>
            </w:r>
          </w:p>
        </w:tc>
        <w:tc>
          <w:tcPr>
            <w:tcW w:w="331" w:type="pct"/>
            <w:gridSpan w:val="3"/>
            <w:shd w:val="clear" w:color="auto" w:fill="auto"/>
            <w:vAlign w:val="center"/>
          </w:tcPr>
          <w:p w14:paraId="555E733F" w14:textId="125B2164" w:rsidR="00137292" w:rsidRPr="00EE43C6" w:rsidRDefault="00B4536E" w:rsidP="008053B0">
            <w:pPr>
              <w:spacing w:before="0" w:after="0" w:line="240" w:lineRule="auto"/>
              <w:jc w:val="center"/>
              <w:rPr>
                <w:rFonts w:cs="Arial"/>
                <w:sz w:val="16"/>
                <w:szCs w:val="16"/>
              </w:rPr>
            </w:pPr>
            <w:r w:rsidRPr="00EE43C6">
              <w:rPr>
                <w:rFonts w:cs="Arial"/>
                <w:sz w:val="16"/>
                <w:szCs w:val="16"/>
              </w:rPr>
              <w:t>6.5</w:t>
            </w:r>
          </w:p>
        </w:tc>
        <w:tc>
          <w:tcPr>
            <w:tcW w:w="331" w:type="pct"/>
            <w:gridSpan w:val="2"/>
            <w:shd w:val="clear" w:color="auto" w:fill="auto"/>
            <w:vAlign w:val="center"/>
          </w:tcPr>
          <w:p w14:paraId="237825E2" w14:textId="75EE9DD7" w:rsidR="00137292" w:rsidRPr="00EE43C6" w:rsidRDefault="006A11E3" w:rsidP="008053B0">
            <w:pPr>
              <w:spacing w:before="0" w:after="0" w:line="240" w:lineRule="auto"/>
              <w:jc w:val="center"/>
              <w:rPr>
                <w:rFonts w:cs="Arial"/>
                <w:sz w:val="16"/>
                <w:szCs w:val="16"/>
              </w:rPr>
            </w:pPr>
            <w:r w:rsidRPr="00EE43C6">
              <w:rPr>
                <w:rFonts w:cs="Arial"/>
                <w:sz w:val="16"/>
                <w:szCs w:val="16"/>
              </w:rPr>
              <w:t>7.4</w:t>
            </w:r>
          </w:p>
        </w:tc>
        <w:tc>
          <w:tcPr>
            <w:tcW w:w="331" w:type="pct"/>
            <w:gridSpan w:val="3"/>
            <w:shd w:val="clear" w:color="auto" w:fill="auto"/>
            <w:vAlign w:val="center"/>
          </w:tcPr>
          <w:p w14:paraId="53521B74" w14:textId="48B78902" w:rsidR="00137292" w:rsidRPr="00EE43C6" w:rsidRDefault="004B1022" w:rsidP="008053B0">
            <w:pPr>
              <w:spacing w:before="0" w:after="0" w:line="240" w:lineRule="auto"/>
              <w:jc w:val="center"/>
              <w:rPr>
                <w:rFonts w:cs="Arial"/>
                <w:sz w:val="16"/>
                <w:szCs w:val="16"/>
              </w:rPr>
            </w:pPr>
            <w:r w:rsidRPr="00EE43C6">
              <w:rPr>
                <w:rFonts w:cs="Arial"/>
                <w:sz w:val="16"/>
                <w:szCs w:val="16"/>
              </w:rPr>
              <w:t>8.5</w:t>
            </w:r>
          </w:p>
        </w:tc>
        <w:tc>
          <w:tcPr>
            <w:tcW w:w="331" w:type="pct"/>
            <w:gridSpan w:val="3"/>
            <w:shd w:val="clear" w:color="auto" w:fill="auto"/>
            <w:vAlign w:val="center"/>
          </w:tcPr>
          <w:p w14:paraId="0FF40E81" w14:textId="59A3E247" w:rsidR="00137292" w:rsidRPr="00EE43C6" w:rsidRDefault="004B1022" w:rsidP="008053B0">
            <w:pPr>
              <w:spacing w:before="0" w:after="0" w:line="240" w:lineRule="auto"/>
              <w:jc w:val="center"/>
              <w:rPr>
                <w:rFonts w:cs="Arial"/>
                <w:sz w:val="16"/>
                <w:szCs w:val="16"/>
              </w:rPr>
            </w:pPr>
            <w:r w:rsidRPr="00EE43C6">
              <w:rPr>
                <w:rFonts w:cs="Arial"/>
                <w:sz w:val="16"/>
                <w:szCs w:val="16"/>
              </w:rPr>
              <w:t>10.1</w:t>
            </w:r>
          </w:p>
        </w:tc>
        <w:tc>
          <w:tcPr>
            <w:tcW w:w="331" w:type="pct"/>
            <w:gridSpan w:val="2"/>
            <w:shd w:val="clear" w:color="auto" w:fill="auto"/>
            <w:vAlign w:val="center"/>
          </w:tcPr>
          <w:p w14:paraId="20DD2AC8" w14:textId="0670257E" w:rsidR="00137292" w:rsidRPr="00EE43C6" w:rsidRDefault="009A003D" w:rsidP="008053B0">
            <w:pPr>
              <w:spacing w:before="0" w:after="0" w:line="240" w:lineRule="auto"/>
              <w:jc w:val="center"/>
              <w:rPr>
                <w:rFonts w:cs="Arial"/>
                <w:sz w:val="16"/>
                <w:szCs w:val="16"/>
              </w:rPr>
            </w:pPr>
            <w:r w:rsidRPr="00EE43C6">
              <w:rPr>
                <w:rFonts w:cs="Arial"/>
                <w:sz w:val="16"/>
                <w:szCs w:val="16"/>
              </w:rPr>
              <w:t>10.1</w:t>
            </w:r>
          </w:p>
        </w:tc>
        <w:tc>
          <w:tcPr>
            <w:tcW w:w="331" w:type="pct"/>
            <w:gridSpan w:val="3"/>
            <w:shd w:val="clear" w:color="auto" w:fill="auto"/>
            <w:vAlign w:val="center"/>
          </w:tcPr>
          <w:p w14:paraId="5FBEEBCF" w14:textId="20B95C3E" w:rsidR="00137292" w:rsidRPr="00EE43C6" w:rsidRDefault="004D1942" w:rsidP="008053B0">
            <w:pPr>
              <w:spacing w:before="0" w:after="0" w:line="240" w:lineRule="auto"/>
              <w:jc w:val="center"/>
              <w:rPr>
                <w:rFonts w:cs="Arial"/>
                <w:sz w:val="16"/>
                <w:szCs w:val="16"/>
              </w:rPr>
            </w:pPr>
            <w:r w:rsidRPr="00EE43C6">
              <w:rPr>
                <w:rFonts w:cs="Arial"/>
                <w:sz w:val="16"/>
                <w:szCs w:val="16"/>
              </w:rPr>
              <w:t>10.0</w:t>
            </w:r>
          </w:p>
        </w:tc>
        <w:tc>
          <w:tcPr>
            <w:tcW w:w="331" w:type="pct"/>
            <w:gridSpan w:val="2"/>
            <w:shd w:val="clear" w:color="auto" w:fill="auto"/>
            <w:vAlign w:val="center"/>
          </w:tcPr>
          <w:p w14:paraId="3A694408" w14:textId="23CC20EB" w:rsidR="00137292" w:rsidRPr="00EE43C6" w:rsidRDefault="006722E0" w:rsidP="008053B0">
            <w:pPr>
              <w:spacing w:before="0" w:after="0" w:line="240" w:lineRule="auto"/>
              <w:jc w:val="center"/>
              <w:rPr>
                <w:rFonts w:cs="Arial"/>
                <w:sz w:val="16"/>
                <w:szCs w:val="16"/>
              </w:rPr>
            </w:pPr>
            <w:r w:rsidRPr="00EE43C6">
              <w:rPr>
                <w:rFonts w:cs="Arial"/>
                <w:sz w:val="16"/>
                <w:szCs w:val="16"/>
              </w:rPr>
              <w:t>9.2</w:t>
            </w:r>
          </w:p>
        </w:tc>
        <w:tc>
          <w:tcPr>
            <w:tcW w:w="331" w:type="pct"/>
            <w:gridSpan w:val="2"/>
            <w:shd w:val="clear" w:color="auto" w:fill="auto"/>
            <w:vAlign w:val="center"/>
          </w:tcPr>
          <w:p w14:paraId="7363CCF5" w14:textId="6F176EC2" w:rsidR="00137292" w:rsidRPr="00EE43C6" w:rsidRDefault="006722E0" w:rsidP="008053B0">
            <w:pPr>
              <w:spacing w:before="0" w:after="0" w:line="240" w:lineRule="auto"/>
              <w:jc w:val="center"/>
              <w:rPr>
                <w:rFonts w:cs="Arial"/>
                <w:sz w:val="16"/>
                <w:szCs w:val="16"/>
              </w:rPr>
            </w:pPr>
            <w:r w:rsidRPr="00EE43C6">
              <w:rPr>
                <w:rFonts w:cs="Arial"/>
                <w:sz w:val="16"/>
                <w:szCs w:val="16"/>
              </w:rPr>
              <w:t>7.5</w:t>
            </w:r>
          </w:p>
        </w:tc>
        <w:tc>
          <w:tcPr>
            <w:tcW w:w="333" w:type="pct"/>
            <w:gridSpan w:val="3"/>
            <w:shd w:val="clear" w:color="auto" w:fill="auto"/>
            <w:vAlign w:val="center"/>
          </w:tcPr>
          <w:p w14:paraId="56BABBFA" w14:textId="4E7CDD7F" w:rsidR="00137292" w:rsidRPr="00EE43C6" w:rsidRDefault="002A21AD" w:rsidP="008053B0">
            <w:pPr>
              <w:spacing w:before="0" w:after="0" w:line="240" w:lineRule="auto"/>
              <w:jc w:val="center"/>
              <w:rPr>
                <w:rFonts w:cs="Arial"/>
                <w:sz w:val="16"/>
                <w:szCs w:val="16"/>
              </w:rPr>
            </w:pPr>
            <w:r w:rsidRPr="00EE43C6">
              <w:rPr>
                <w:rFonts w:cs="Arial"/>
                <w:sz w:val="16"/>
                <w:szCs w:val="16"/>
              </w:rPr>
              <w:t>5.6</w:t>
            </w:r>
          </w:p>
        </w:tc>
        <w:tc>
          <w:tcPr>
            <w:tcW w:w="336" w:type="pct"/>
            <w:shd w:val="clear" w:color="auto" w:fill="auto"/>
            <w:vAlign w:val="center"/>
          </w:tcPr>
          <w:p w14:paraId="54CA5217" w14:textId="1E936ED6" w:rsidR="00137292" w:rsidRPr="00EE43C6" w:rsidRDefault="00D54111" w:rsidP="008053B0">
            <w:pPr>
              <w:spacing w:before="0" w:after="0" w:line="240" w:lineRule="auto"/>
              <w:jc w:val="center"/>
              <w:rPr>
                <w:rFonts w:cs="Arial"/>
                <w:sz w:val="16"/>
                <w:szCs w:val="16"/>
              </w:rPr>
            </w:pPr>
            <w:r w:rsidRPr="00EE43C6">
              <w:rPr>
                <w:rFonts w:cs="Arial"/>
                <w:sz w:val="16"/>
                <w:szCs w:val="16"/>
              </w:rPr>
              <w:t>4.5</w:t>
            </w:r>
          </w:p>
        </w:tc>
      </w:tr>
      <w:tr w:rsidR="00D54111" w:rsidRPr="00EE43C6" w14:paraId="7F315446" w14:textId="77777777" w:rsidTr="00F60B11">
        <w:trPr>
          <w:cantSplit/>
          <w:trHeight w:val="284"/>
          <w:tblHeader/>
          <w:jc w:val="center"/>
        </w:trPr>
        <w:tc>
          <w:tcPr>
            <w:tcW w:w="1023" w:type="pct"/>
            <w:gridSpan w:val="3"/>
            <w:shd w:val="clear" w:color="auto" w:fill="DBE5F1" w:themeFill="accent1" w:themeFillTint="33"/>
            <w:vAlign w:val="center"/>
          </w:tcPr>
          <w:p w14:paraId="435EF0F6" w14:textId="2D92ED9B" w:rsidR="00D54111" w:rsidRPr="00EE43C6" w:rsidRDefault="00863FC9" w:rsidP="008053B0">
            <w:pPr>
              <w:spacing w:before="0" w:after="0" w:line="240" w:lineRule="auto"/>
              <w:jc w:val="left"/>
              <w:rPr>
                <w:rFonts w:cs="Arial"/>
                <w:sz w:val="16"/>
                <w:szCs w:val="16"/>
              </w:rPr>
            </w:pPr>
            <w:r w:rsidRPr="00EE43C6">
              <w:rPr>
                <w:rFonts w:cs="Arial"/>
                <w:sz w:val="16"/>
                <w:szCs w:val="16"/>
              </w:rPr>
              <w:t>Average Number of Rainy Days</w:t>
            </w:r>
          </w:p>
        </w:tc>
        <w:tc>
          <w:tcPr>
            <w:tcW w:w="330" w:type="pct"/>
            <w:gridSpan w:val="3"/>
            <w:shd w:val="clear" w:color="auto" w:fill="auto"/>
            <w:vAlign w:val="center"/>
          </w:tcPr>
          <w:p w14:paraId="2C4EDFB7" w14:textId="1C4D89C5" w:rsidR="00D54111" w:rsidRPr="00EE43C6" w:rsidRDefault="00863FC9" w:rsidP="008053B0">
            <w:pPr>
              <w:spacing w:before="0" w:after="0" w:line="240" w:lineRule="auto"/>
              <w:jc w:val="center"/>
              <w:rPr>
                <w:rFonts w:cs="Arial"/>
                <w:sz w:val="16"/>
                <w:szCs w:val="16"/>
              </w:rPr>
            </w:pPr>
            <w:r w:rsidRPr="00EE43C6">
              <w:rPr>
                <w:rFonts w:cs="Arial"/>
                <w:sz w:val="16"/>
                <w:szCs w:val="16"/>
              </w:rPr>
              <w:t>10.1</w:t>
            </w:r>
          </w:p>
        </w:tc>
        <w:tc>
          <w:tcPr>
            <w:tcW w:w="331" w:type="pct"/>
            <w:gridSpan w:val="2"/>
            <w:shd w:val="clear" w:color="auto" w:fill="auto"/>
            <w:vAlign w:val="center"/>
          </w:tcPr>
          <w:p w14:paraId="68E93ADB" w14:textId="64FECC6A" w:rsidR="00D54111" w:rsidRPr="00EE43C6" w:rsidRDefault="00863FC9" w:rsidP="008053B0">
            <w:pPr>
              <w:spacing w:before="0" w:after="0" w:line="240" w:lineRule="auto"/>
              <w:jc w:val="center"/>
              <w:rPr>
                <w:rFonts w:cs="Arial"/>
                <w:sz w:val="16"/>
                <w:szCs w:val="16"/>
              </w:rPr>
            </w:pPr>
            <w:r w:rsidRPr="00EE43C6">
              <w:rPr>
                <w:rFonts w:cs="Arial"/>
                <w:sz w:val="16"/>
                <w:szCs w:val="16"/>
              </w:rPr>
              <w:t>9.3</w:t>
            </w:r>
          </w:p>
        </w:tc>
        <w:tc>
          <w:tcPr>
            <w:tcW w:w="331" w:type="pct"/>
            <w:gridSpan w:val="3"/>
            <w:shd w:val="clear" w:color="auto" w:fill="auto"/>
            <w:vAlign w:val="center"/>
          </w:tcPr>
          <w:p w14:paraId="5683D96B" w14:textId="2E678622" w:rsidR="00D54111" w:rsidRPr="00EE43C6" w:rsidRDefault="00863FC9" w:rsidP="008053B0">
            <w:pPr>
              <w:spacing w:before="0" w:after="0" w:line="240" w:lineRule="auto"/>
              <w:jc w:val="center"/>
              <w:rPr>
                <w:rFonts w:cs="Arial"/>
                <w:sz w:val="16"/>
                <w:szCs w:val="16"/>
              </w:rPr>
            </w:pPr>
            <w:r w:rsidRPr="00EE43C6">
              <w:rPr>
                <w:rFonts w:cs="Arial"/>
                <w:sz w:val="16"/>
                <w:szCs w:val="16"/>
              </w:rPr>
              <w:t>7.7</w:t>
            </w:r>
          </w:p>
        </w:tc>
        <w:tc>
          <w:tcPr>
            <w:tcW w:w="331" w:type="pct"/>
            <w:gridSpan w:val="2"/>
            <w:shd w:val="clear" w:color="auto" w:fill="auto"/>
            <w:vAlign w:val="center"/>
          </w:tcPr>
          <w:p w14:paraId="1B38D35C" w14:textId="708E9B2A" w:rsidR="00D54111" w:rsidRPr="00EE43C6" w:rsidRDefault="00863FC9" w:rsidP="008053B0">
            <w:pPr>
              <w:spacing w:before="0" w:after="0" w:line="240" w:lineRule="auto"/>
              <w:jc w:val="center"/>
              <w:rPr>
                <w:rFonts w:cs="Arial"/>
                <w:sz w:val="16"/>
                <w:szCs w:val="16"/>
              </w:rPr>
            </w:pPr>
            <w:r w:rsidRPr="00EE43C6">
              <w:rPr>
                <w:rFonts w:cs="Arial"/>
                <w:sz w:val="16"/>
                <w:szCs w:val="16"/>
              </w:rPr>
              <w:t>6.8</w:t>
            </w:r>
          </w:p>
        </w:tc>
        <w:tc>
          <w:tcPr>
            <w:tcW w:w="331" w:type="pct"/>
            <w:gridSpan w:val="3"/>
            <w:shd w:val="clear" w:color="auto" w:fill="auto"/>
            <w:vAlign w:val="center"/>
          </w:tcPr>
          <w:p w14:paraId="6E114311" w14:textId="16019E43" w:rsidR="00D54111" w:rsidRPr="00EE43C6" w:rsidRDefault="00863FC9" w:rsidP="008053B0">
            <w:pPr>
              <w:spacing w:before="0" w:after="0" w:line="240" w:lineRule="auto"/>
              <w:jc w:val="center"/>
              <w:rPr>
                <w:rFonts w:cs="Arial"/>
                <w:sz w:val="16"/>
                <w:szCs w:val="16"/>
              </w:rPr>
            </w:pPr>
            <w:r w:rsidRPr="00EE43C6">
              <w:rPr>
                <w:rFonts w:cs="Arial"/>
                <w:sz w:val="16"/>
                <w:szCs w:val="16"/>
              </w:rPr>
              <w:t>5.2</w:t>
            </w:r>
          </w:p>
        </w:tc>
        <w:tc>
          <w:tcPr>
            <w:tcW w:w="331" w:type="pct"/>
            <w:gridSpan w:val="3"/>
            <w:shd w:val="clear" w:color="auto" w:fill="auto"/>
            <w:vAlign w:val="center"/>
          </w:tcPr>
          <w:p w14:paraId="2746CA6E" w14:textId="19E07451" w:rsidR="00D54111" w:rsidRPr="00EE43C6" w:rsidRDefault="00863FC9" w:rsidP="008053B0">
            <w:pPr>
              <w:spacing w:before="0" w:after="0" w:line="240" w:lineRule="auto"/>
              <w:jc w:val="center"/>
              <w:rPr>
                <w:rFonts w:cs="Arial"/>
                <w:sz w:val="16"/>
                <w:szCs w:val="16"/>
              </w:rPr>
            </w:pPr>
            <w:r w:rsidRPr="00EE43C6">
              <w:rPr>
                <w:rFonts w:cs="Arial"/>
                <w:sz w:val="16"/>
                <w:szCs w:val="16"/>
              </w:rPr>
              <w:t>2.3</w:t>
            </w:r>
          </w:p>
        </w:tc>
        <w:tc>
          <w:tcPr>
            <w:tcW w:w="331" w:type="pct"/>
            <w:gridSpan w:val="2"/>
            <w:shd w:val="clear" w:color="auto" w:fill="auto"/>
            <w:vAlign w:val="center"/>
          </w:tcPr>
          <w:p w14:paraId="61D09D20" w14:textId="78CB2AEE" w:rsidR="00D54111" w:rsidRPr="00EE43C6" w:rsidRDefault="00863FC9" w:rsidP="008053B0">
            <w:pPr>
              <w:spacing w:before="0" w:after="0" w:line="240" w:lineRule="auto"/>
              <w:jc w:val="center"/>
              <w:rPr>
                <w:rFonts w:cs="Arial"/>
                <w:sz w:val="16"/>
                <w:szCs w:val="16"/>
              </w:rPr>
            </w:pPr>
            <w:r w:rsidRPr="00EE43C6">
              <w:rPr>
                <w:rFonts w:cs="Arial"/>
                <w:sz w:val="16"/>
                <w:szCs w:val="16"/>
              </w:rPr>
              <w:t>1.0</w:t>
            </w:r>
          </w:p>
        </w:tc>
        <w:tc>
          <w:tcPr>
            <w:tcW w:w="331" w:type="pct"/>
            <w:gridSpan w:val="3"/>
            <w:shd w:val="clear" w:color="auto" w:fill="auto"/>
            <w:vAlign w:val="center"/>
          </w:tcPr>
          <w:p w14:paraId="1B28B330" w14:textId="04F3E587" w:rsidR="00D54111" w:rsidRPr="00EE43C6" w:rsidRDefault="00863FC9" w:rsidP="008053B0">
            <w:pPr>
              <w:spacing w:before="0" w:after="0" w:line="240" w:lineRule="auto"/>
              <w:jc w:val="center"/>
              <w:rPr>
                <w:rFonts w:cs="Arial"/>
                <w:sz w:val="16"/>
                <w:szCs w:val="16"/>
              </w:rPr>
            </w:pPr>
            <w:r w:rsidRPr="00EE43C6">
              <w:rPr>
                <w:rFonts w:cs="Arial"/>
                <w:sz w:val="16"/>
                <w:szCs w:val="16"/>
              </w:rPr>
              <w:t>0.8</w:t>
            </w:r>
          </w:p>
        </w:tc>
        <w:tc>
          <w:tcPr>
            <w:tcW w:w="331" w:type="pct"/>
            <w:gridSpan w:val="2"/>
            <w:shd w:val="clear" w:color="auto" w:fill="auto"/>
            <w:vAlign w:val="center"/>
          </w:tcPr>
          <w:p w14:paraId="036EF4C2" w14:textId="5BD4B2D4" w:rsidR="00D54111" w:rsidRPr="00EE43C6" w:rsidRDefault="00863FC9" w:rsidP="008053B0">
            <w:pPr>
              <w:spacing w:before="0" w:after="0" w:line="240" w:lineRule="auto"/>
              <w:jc w:val="center"/>
              <w:rPr>
                <w:rFonts w:cs="Arial"/>
                <w:sz w:val="16"/>
                <w:szCs w:val="16"/>
              </w:rPr>
            </w:pPr>
            <w:r w:rsidRPr="00EE43C6">
              <w:rPr>
                <w:rFonts w:cs="Arial"/>
                <w:sz w:val="16"/>
                <w:szCs w:val="16"/>
              </w:rPr>
              <w:t>1.7</w:t>
            </w:r>
          </w:p>
        </w:tc>
        <w:tc>
          <w:tcPr>
            <w:tcW w:w="331" w:type="pct"/>
            <w:gridSpan w:val="2"/>
            <w:shd w:val="clear" w:color="auto" w:fill="auto"/>
            <w:vAlign w:val="center"/>
          </w:tcPr>
          <w:p w14:paraId="52B0726B" w14:textId="36B22672" w:rsidR="00D54111" w:rsidRPr="00EE43C6" w:rsidRDefault="00863FC9" w:rsidP="008053B0">
            <w:pPr>
              <w:spacing w:before="0" w:after="0" w:line="240" w:lineRule="auto"/>
              <w:jc w:val="center"/>
              <w:rPr>
                <w:rFonts w:cs="Arial"/>
                <w:sz w:val="16"/>
                <w:szCs w:val="16"/>
              </w:rPr>
            </w:pPr>
            <w:r w:rsidRPr="00EE43C6">
              <w:rPr>
                <w:rFonts w:cs="Arial"/>
                <w:sz w:val="16"/>
                <w:szCs w:val="16"/>
              </w:rPr>
              <w:t>5.0</w:t>
            </w:r>
          </w:p>
        </w:tc>
        <w:tc>
          <w:tcPr>
            <w:tcW w:w="333" w:type="pct"/>
            <w:gridSpan w:val="3"/>
            <w:shd w:val="clear" w:color="auto" w:fill="auto"/>
            <w:vAlign w:val="center"/>
          </w:tcPr>
          <w:p w14:paraId="562258B3" w14:textId="4B383E0C" w:rsidR="00D54111" w:rsidRPr="00EE43C6" w:rsidRDefault="00863FC9" w:rsidP="008053B0">
            <w:pPr>
              <w:spacing w:before="0" w:after="0" w:line="240" w:lineRule="auto"/>
              <w:jc w:val="center"/>
              <w:rPr>
                <w:rFonts w:cs="Arial"/>
                <w:sz w:val="16"/>
                <w:szCs w:val="16"/>
              </w:rPr>
            </w:pPr>
            <w:r w:rsidRPr="00EE43C6">
              <w:rPr>
                <w:rFonts w:cs="Arial"/>
                <w:sz w:val="16"/>
                <w:szCs w:val="16"/>
              </w:rPr>
              <w:t>6.8</w:t>
            </w:r>
          </w:p>
        </w:tc>
        <w:tc>
          <w:tcPr>
            <w:tcW w:w="336" w:type="pct"/>
            <w:shd w:val="clear" w:color="auto" w:fill="auto"/>
            <w:vAlign w:val="center"/>
          </w:tcPr>
          <w:p w14:paraId="7EB19F18" w14:textId="2BC1DACB" w:rsidR="00D54111" w:rsidRPr="00EE43C6" w:rsidRDefault="00863FC9" w:rsidP="008053B0">
            <w:pPr>
              <w:spacing w:before="0" w:after="0" w:line="240" w:lineRule="auto"/>
              <w:jc w:val="center"/>
              <w:rPr>
                <w:rFonts w:cs="Arial"/>
                <w:sz w:val="16"/>
                <w:szCs w:val="16"/>
              </w:rPr>
            </w:pPr>
            <w:r w:rsidRPr="00EE43C6">
              <w:rPr>
                <w:rFonts w:cs="Arial"/>
                <w:sz w:val="16"/>
                <w:szCs w:val="16"/>
              </w:rPr>
              <w:t>10.1</w:t>
            </w:r>
          </w:p>
        </w:tc>
      </w:tr>
      <w:tr w:rsidR="0011791D" w:rsidRPr="00EE43C6" w14:paraId="41AB3946" w14:textId="77777777" w:rsidTr="00F60B11">
        <w:trPr>
          <w:cantSplit/>
          <w:trHeight w:val="284"/>
          <w:tblHeader/>
          <w:jc w:val="center"/>
        </w:trPr>
        <w:tc>
          <w:tcPr>
            <w:tcW w:w="1023" w:type="pct"/>
            <w:gridSpan w:val="3"/>
            <w:shd w:val="clear" w:color="auto" w:fill="DBE5F1" w:themeFill="accent1" w:themeFillTint="33"/>
            <w:vAlign w:val="center"/>
          </w:tcPr>
          <w:p w14:paraId="7B3EC1FB" w14:textId="0A751896" w:rsidR="0011791D" w:rsidRPr="00EE43C6" w:rsidRDefault="0011791D" w:rsidP="008053B0">
            <w:pPr>
              <w:spacing w:before="0" w:after="0" w:line="240" w:lineRule="auto"/>
              <w:jc w:val="left"/>
              <w:rPr>
                <w:rFonts w:cs="Arial"/>
                <w:sz w:val="16"/>
                <w:szCs w:val="16"/>
              </w:rPr>
            </w:pPr>
            <w:r w:rsidRPr="00EE43C6">
              <w:rPr>
                <w:rFonts w:cs="Arial"/>
                <w:sz w:val="16"/>
                <w:szCs w:val="16"/>
              </w:rPr>
              <w:t>Average Monthly Total Rainfall (kg/m</w:t>
            </w:r>
            <w:r w:rsidRPr="00EE43C6">
              <w:rPr>
                <w:rFonts w:cs="Arial"/>
                <w:sz w:val="16"/>
                <w:szCs w:val="16"/>
                <w:vertAlign w:val="superscript"/>
              </w:rPr>
              <w:t>2</w:t>
            </w:r>
            <w:r w:rsidRPr="00EE43C6">
              <w:rPr>
                <w:rFonts w:cs="Arial"/>
                <w:sz w:val="16"/>
                <w:szCs w:val="16"/>
              </w:rPr>
              <w:t>)</w:t>
            </w:r>
          </w:p>
        </w:tc>
        <w:tc>
          <w:tcPr>
            <w:tcW w:w="330" w:type="pct"/>
            <w:gridSpan w:val="3"/>
            <w:shd w:val="clear" w:color="auto" w:fill="auto"/>
            <w:vAlign w:val="center"/>
          </w:tcPr>
          <w:p w14:paraId="31A4C062" w14:textId="7B74953B" w:rsidR="0011791D" w:rsidRPr="00EE43C6" w:rsidRDefault="00D96764" w:rsidP="008053B0">
            <w:pPr>
              <w:spacing w:before="0" w:after="0" w:line="240" w:lineRule="auto"/>
              <w:jc w:val="center"/>
              <w:rPr>
                <w:rFonts w:cs="Arial"/>
                <w:sz w:val="16"/>
                <w:szCs w:val="16"/>
              </w:rPr>
            </w:pPr>
            <w:r w:rsidRPr="00EE43C6">
              <w:rPr>
                <w:rFonts w:cs="Arial"/>
                <w:sz w:val="16"/>
                <w:szCs w:val="16"/>
              </w:rPr>
              <w:t>113.7</w:t>
            </w:r>
          </w:p>
        </w:tc>
        <w:tc>
          <w:tcPr>
            <w:tcW w:w="331" w:type="pct"/>
            <w:gridSpan w:val="2"/>
            <w:shd w:val="clear" w:color="auto" w:fill="auto"/>
            <w:vAlign w:val="center"/>
          </w:tcPr>
          <w:p w14:paraId="18752F5E" w14:textId="1539D435" w:rsidR="0011791D" w:rsidRPr="00EE43C6" w:rsidRDefault="003C6F3D" w:rsidP="008053B0">
            <w:pPr>
              <w:spacing w:before="0" w:after="0" w:line="240" w:lineRule="auto"/>
              <w:jc w:val="center"/>
              <w:rPr>
                <w:rFonts w:cs="Arial"/>
                <w:sz w:val="16"/>
                <w:szCs w:val="16"/>
              </w:rPr>
            </w:pPr>
            <w:r w:rsidRPr="00EE43C6">
              <w:rPr>
                <w:rFonts w:cs="Arial"/>
                <w:sz w:val="16"/>
                <w:szCs w:val="16"/>
              </w:rPr>
              <w:t>80.7</w:t>
            </w:r>
          </w:p>
        </w:tc>
        <w:tc>
          <w:tcPr>
            <w:tcW w:w="331" w:type="pct"/>
            <w:gridSpan w:val="3"/>
            <w:shd w:val="clear" w:color="auto" w:fill="auto"/>
            <w:vAlign w:val="center"/>
          </w:tcPr>
          <w:p w14:paraId="62A6F2BA" w14:textId="79F614B9" w:rsidR="0011791D" w:rsidRPr="00EE43C6" w:rsidRDefault="003C6F3D" w:rsidP="008053B0">
            <w:pPr>
              <w:spacing w:before="0" w:after="0" w:line="240" w:lineRule="auto"/>
              <w:jc w:val="center"/>
              <w:rPr>
                <w:rFonts w:cs="Arial"/>
                <w:sz w:val="16"/>
                <w:szCs w:val="16"/>
              </w:rPr>
            </w:pPr>
            <w:r w:rsidRPr="00EE43C6">
              <w:rPr>
                <w:rFonts w:cs="Arial"/>
                <w:sz w:val="16"/>
                <w:szCs w:val="16"/>
              </w:rPr>
              <w:t>56.3</w:t>
            </w:r>
          </w:p>
        </w:tc>
        <w:tc>
          <w:tcPr>
            <w:tcW w:w="331" w:type="pct"/>
            <w:gridSpan w:val="2"/>
            <w:shd w:val="clear" w:color="auto" w:fill="auto"/>
            <w:vAlign w:val="center"/>
          </w:tcPr>
          <w:p w14:paraId="39BAB1A5" w14:textId="15559BD8" w:rsidR="0011791D" w:rsidRPr="00EE43C6" w:rsidRDefault="00CE1349" w:rsidP="008053B0">
            <w:pPr>
              <w:spacing w:before="0" w:after="0" w:line="240" w:lineRule="auto"/>
              <w:jc w:val="center"/>
              <w:rPr>
                <w:rFonts w:cs="Arial"/>
                <w:sz w:val="16"/>
                <w:szCs w:val="16"/>
              </w:rPr>
            </w:pPr>
            <w:r w:rsidRPr="00EE43C6">
              <w:rPr>
                <w:rFonts w:cs="Arial"/>
                <w:sz w:val="16"/>
                <w:szCs w:val="16"/>
              </w:rPr>
              <w:t>34.8</w:t>
            </w:r>
          </w:p>
        </w:tc>
        <w:tc>
          <w:tcPr>
            <w:tcW w:w="331" w:type="pct"/>
            <w:gridSpan w:val="3"/>
            <w:shd w:val="clear" w:color="auto" w:fill="auto"/>
            <w:vAlign w:val="center"/>
          </w:tcPr>
          <w:p w14:paraId="4A3DEC3F" w14:textId="3DA2F76D" w:rsidR="0011791D" w:rsidRPr="00EE43C6" w:rsidRDefault="00CD0D1B" w:rsidP="008053B0">
            <w:pPr>
              <w:spacing w:before="0" w:after="0" w:line="240" w:lineRule="auto"/>
              <w:jc w:val="center"/>
              <w:rPr>
                <w:rFonts w:cs="Arial"/>
                <w:sz w:val="16"/>
                <w:szCs w:val="16"/>
              </w:rPr>
            </w:pPr>
            <w:r w:rsidRPr="00EE43C6">
              <w:rPr>
                <w:rFonts w:cs="Arial"/>
                <w:sz w:val="16"/>
                <w:szCs w:val="16"/>
              </w:rPr>
              <w:t>23.4</w:t>
            </w:r>
          </w:p>
        </w:tc>
        <w:tc>
          <w:tcPr>
            <w:tcW w:w="331" w:type="pct"/>
            <w:gridSpan w:val="3"/>
            <w:shd w:val="clear" w:color="auto" w:fill="auto"/>
            <w:vAlign w:val="center"/>
          </w:tcPr>
          <w:p w14:paraId="449CF68B" w14:textId="394C5DFA" w:rsidR="0011791D" w:rsidRPr="00EE43C6" w:rsidRDefault="00CD0D1B" w:rsidP="008053B0">
            <w:pPr>
              <w:spacing w:before="0" w:after="0" w:line="240" w:lineRule="auto"/>
              <w:jc w:val="center"/>
              <w:rPr>
                <w:rFonts w:cs="Arial"/>
                <w:sz w:val="16"/>
                <w:szCs w:val="16"/>
              </w:rPr>
            </w:pPr>
            <w:r w:rsidRPr="00EE43C6">
              <w:rPr>
                <w:rFonts w:cs="Arial"/>
                <w:sz w:val="16"/>
                <w:szCs w:val="16"/>
              </w:rPr>
              <w:t>8.9</w:t>
            </w:r>
          </w:p>
        </w:tc>
        <w:tc>
          <w:tcPr>
            <w:tcW w:w="331" w:type="pct"/>
            <w:gridSpan w:val="2"/>
            <w:shd w:val="clear" w:color="auto" w:fill="auto"/>
            <w:vAlign w:val="center"/>
          </w:tcPr>
          <w:p w14:paraId="54AAFB2D" w14:textId="5B07EA3F" w:rsidR="0011791D" w:rsidRPr="00EE43C6" w:rsidRDefault="006029D4" w:rsidP="008053B0">
            <w:pPr>
              <w:spacing w:before="0" w:after="0" w:line="240" w:lineRule="auto"/>
              <w:jc w:val="center"/>
              <w:rPr>
                <w:rFonts w:cs="Arial"/>
                <w:sz w:val="16"/>
                <w:szCs w:val="16"/>
              </w:rPr>
            </w:pPr>
            <w:r w:rsidRPr="00EE43C6">
              <w:rPr>
                <w:rFonts w:cs="Arial"/>
                <w:sz w:val="16"/>
                <w:szCs w:val="16"/>
              </w:rPr>
              <w:t>7.5</w:t>
            </w:r>
          </w:p>
        </w:tc>
        <w:tc>
          <w:tcPr>
            <w:tcW w:w="331" w:type="pct"/>
            <w:gridSpan w:val="3"/>
            <w:shd w:val="clear" w:color="auto" w:fill="auto"/>
            <w:vAlign w:val="center"/>
          </w:tcPr>
          <w:p w14:paraId="3E72CE88" w14:textId="3FEDDF30" w:rsidR="0011791D" w:rsidRPr="00EE43C6" w:rsidRDefault="006029D4" w:rsidP="008053B0">
            <w:pPr>
              <w:spacing w:before="0" w:after="0" w:line="240" w:lineRule="auto"/>
              <w:jc w:val="center"/>
              <w:rPr>
                <w:rFonts w:cs="Arial"/>
                <w:sz w:val="16"/>
                <w:szCs w:val="16"/>
              </w:rPr>
            </w:pPr>
            <w:r w:rsidRPr="00EE43C6">
              <w:rPr>
                <w:rFonts w:cs="Arial"/>
                <w:sz w:val="16"/>
                <w:szCs w:val="16"/>
              </w:rPr>
              <w:t>4.6</w:t>
            </w:r>
          </w:p>
        </w:tc>
        <w:tc>
          <w:tcPr>
            <w:tcW w:w="331" w:type="pct"/>
            <w:gridSpan w:val="2"/>
            <w:shd w:val="clear" w:color="auto" w:fill="auto"/>
            <w:vAlign w:val="center"/>
          </w:tcPr>
          <w:p w14:paraId="556A016F" w14:textId="3461006A" w:rsidR="0011791D" w:rsidRPr="00EE43C6" w:rsidRDefault="00B03120" w:rsidP="008053B0">
            <w:pPr>
              <w:spacing w:before="0" w:after="0" w:line="240" w:lineRule="auto"/>
              <w:jc w:val="center"/>
              <w:rPr>
                <w:rFonts w:cs="Arial"/>
                <w:sz w:val="16"/>
                <w:szCs w:val="16"/>
              </w:rPr>
            </w:pPr>
            <w:r w:rsidRPr="00EE43C6">
              <w:rPr>
                <w:rFonts w:cs="Arial"/>
                <w:sz w:val="16"/>
                <w:szCs w:val="16"/>
              </w:rPr>
              <w:t>8.4</w:t>
            </w:r>
          </w:p>
        </w:tc>
        <w:tc>
          <w:tcPr>
            <w:tcW w:w="331" w:type="pct"/>
            <w:gridSpan w:val="2"/>
            <w:shd w:val="clear" w:color="auto" w:fill="auto"/>
            <w:vAlign w:val="center"/>
          </w:tcPr>
          <w:p w14:paraId="5EC5EAD8" w14:textId="5811E543" w:rsidR="0011791D" w:rsidRPr="00EE43C6" w:rsidRDefault="00914762" w:rsidP="008053B0">
            <w:pPr>
              <w:spacing w:before="0" w:after="0" w:line="240" w:lineRule="auto"/>
              <w:jc w:val="center"/>
              <w:rPr>
                <w:rFonts w:cs="Arial"/>
                <w:sz w:val="16"/>
                <w:szCs w:val="16"/>
              </w:rPr>
            </w:pPr>
            <w:r w:rsidRPr="00EE43C6">
              <w:rPr>
                <w:rFonts w:cs="Arial"/>
                <w:sz w:val="16"/>
                <w:szCs w:val="16"/>
              </w:rPr>
              <w:t>38.3</w:t>
            </w:r>
          </w:p>
        </w:tc>
        <w:tc>
          <w:tcPr>
            <w:tcW w:w="333" w:type="pct"/>
            <w:gridSpan w:val="3"/>
            <w:shd w:val="clear" w:color="auto" w:fill="auto"/>
            <w:vAlign w:val="center"/>
          </w:tcPr>
          <w:p w14:paraId="69CF5368" w14:textId="03933404" w:rsidR="0011791D" w:rsidRPr="00EE43C6" w:rsidRDefault="00EF73F8" w:rsidP="008053B0">
            <w:pPr>
              <w:spacing w:before="0" w:after="0" w:line="240" w:lineRule="auto"/>
              <w:jc w:val="center"/>
              <w:rPr>
                <w:rFonts w:cs="Arial"/>
                <w:sz w:val="16"/>
                <w:szCs w:val="16"/>
              </w:rPr>
            </w:pPr>
            <w:r w:rsidRPr="00EE43C6">
              <w:rPr>
                <w:rFonts w:cs="Arial"/>
                <w:sz w:val="16"/>
                <w:szCs w:val="16"/>
              </w:rPr>
              <w:t>77.9</w:t>
            </w:r>
          </w:p>
        </w:tc>
        <w:tc>
          <w:tcPr>
            <w:tcW w:w="336" w:type="pct"/>
            <w:shd w:val="clear" w:color="auto" w:fill="auto"/>
            <w:vAlign w:val="center"/>
          </w:tcPr>
          <w:p w14:paraId="51BFAF0C" w14:textId="4D0CF39C" w:rsidR="0011791D" w:rsidRPr="00EE43C6" w:rsidRDefault="00932333" w:rsidP="008053B0">
            <w:pPr>
              <w:spacing w:before="0" w:after="0" w:line="240" w:lineRule="auto"/>
              <w:jc w:val="center"/>
              <w:rPr>
                <w:rFonts w:cs="Arial"/>
                <w:sz w:val="16"/>
                <w:szCs w:val="16"/>
              </w:rPr>
            </w:pPr>
            <w:r w:rsidRPr="00EE43C6">
              <w:rPr>
                <w:rFonts w:cs="Arial"/>
                <w:sz w:val="16"/>
                <w:szCs w:val="16"/>
              </w:rPr>
              <w:t>133.9</w:t>
            </w:r>
          </w:p>
        </w:tc>
      </w:tr>
      <w:tr w:rsidR="00E55C1C" w:rsidRPr="00EE43C6" w14:paraId="16E827F7" w14:textId="77777777" w:rsidTr="00F60B11">
        <w:trPr>
          <w:cantSplit/>
          <w:trHeight w:val="284"/>
          <w:tblHeader/>
          <w:jc w:val="center"/>
        </w:trPr>
        <w:tc>
          <w:tcPr>
            <w:tcW w:w="5000" w:type="pct"/>
            <w:gridSpan w:val="32"/>
            <w:tcBorders>
              <w:bottom w:val="single" w:sz="4" w:space="0" w:color="auto"/>
            </w:tcBorders>
            <w:shd w:val="clear" w:color="auto" w:fill="4F81BD"/>
            <w:vAlign w:val="center"/>
          </w:tcPr>
          <w:p w14:paraId="19F9957A" w14:textId="5A122506" w:rsidR="00E55C1C" w:rsidRPr="00EE43C6" w:rsidRDefault="007B16AF">
            <w:pPr>
              <w:spacing w:before="0" w:after="0" w:line="240" w:lineRule="auto"/>
              <w:jc w:val="center"/>
              <w:rPr>
                <w:rFonts w:cs="Arial"/>
                <w:b/>
                <w:color w:val="FFFFFF" w:themeColor="background1"/>
                <w:sz w:val="16"/>
                <w:szCs w:val="16"/>
              </w:rPr>
            </w:pPr>
            <w:r w:rsidRPr="00EE43C6">
              <w:rPr>
                <w:rFonts w:cs="Arial"/>
                <w:b/>
                <w:color w:val="FFFFFF" w:themeColor="background1"/>
                <w:sz w:val="16"/>
                <w:szCs w:val="16"/>
              </w:rPr>
              <w:t xml:space="preserve">Highest and Lowest Values in Many Years (1960 </w:t>
            </w:r>
            <w:r w:rsidR="00333216" w:rsidRPr="00EE43C6">
              <w:rPr>
                <w:rFonts w:cs="Arial"/>
                <w:b/>
                <w:color w:val="FFFFFF" w:themeColor="background1"/>
                <w:sz w:val="16"/>
                <w:szCs w:val="16"/>
              </w:rPr>
              <w:t>–</w:t>
            </w:r>
            <w:r w:rsidRPr="00EE43C6">
              <w:rPr>
                <w:rFonts w:cs="Arial"/>
                <w:b/>
                <w:color w:val="FFFFFF" w:themeColor="background1"/>
                <w:sz w:val="16"/>
                <w:szCs w:val="16"/>
              </w:rPr>
              <w:t xml:space="preserve"> 2015)</w:t>
            </w:r>
          </w:p>
        </w:tc>
      </w:tr>
      <w:tr w:rsidR="00345D5B" w:rsidRPr="00EE43C6" w14:paraId="7DD4463D" w14:textId="77777777" w:rsidTr="00F60B11">
        <w:trPr>
          <w:cantSplit/>
          <w:trHeight w:val="284"/>
          <w:tblHeader/>
          <w:jc w:val="center"/>
        </w:trPr>
        <w:tc>
          <w:tcPr>
            <w:tcW w:w="1023" w:type="pct"/>
            <w:gridSpan w:val="3"/>
            <w:shd w:val="clear" w:color="auto" w:fill="DBE5F1" w:themeFill="accent1" w:themeFillTint="33"/>
            <w:vAlign w:val="center"/>
          </w:tcPr>
          <w:p w14:paraId="51EBEDF0" w14:textId="2E99FC5F" w:rsidR="0055411D" w:rsidRPr="00EE43C6" w:rsidRDefault="0055411D">
            <w:pPr>
              <w:spacing w:before="0" w:after="0" w:line="240" w:lineRule="auto"/>
              <w:jc w:val="left"/>
              <w:rPr>
                <w:rFonts w:cs="Arial"/>
                <w:sz w:val="16"/>
                <w:szCs w:val="16"/>
              </w:rPr>
            </w:pPr>
            <w:r w:rsidRPr="00EE43C6">
              <w:rPr>
                <w:rFonts w:cs="Arial"/>
                <w:sz w:val="16"/>
                <w:szCs w:val="16"/>
              </w:rPr>
              <w:t>Highest Temperature (°C)</w:t>
            </w:r>
          </w:p>
        </w:tc>
        <w:tc>
          <w:tcPr>
            <w:tcW w:w="330" w:type="pct"/>
            <w:gridSpan w:val="3"/>
            <w:shd w:val="clear" w:color="auto" w:fill="auto"/>
            <w:vAlign w:val="center"/>
          </w:tcPr>
          <w:p w14:paraId="6313FD5B" w14:textId="53AF3D29" w:rsidR="0055411D" w:rsidRPr="00EE43C6" w:rsidRDefault="00345D5B">
            <w:pPr>
              <w:spacing w:before="0" w:after="0" w:line="240" w:lineRule="auto"/>
              <w:jc w:val="center"/>
              <w:rPr>
                <w:rFonts w:cs="Arial"/>
                <w:sz w:val="16"/>
                <w:szCs w:val="16"/>
              </w:rPr>
            </w:pPr>
            <w:r w:rsidRPr="00EE43C6">
              <w:rPr>
                <w:rFonts w:cs="Arial"/>
                <w:sz w:val="16"/>
                <w:szCs w:val="16"/>
              </w:rPr>
              <w:t>25.2</w:t>
            </w:r>
          </w:p>
        </w:tc>
        <w:tc>
          <w:tcPr>
            <w:tcW w:w="331" w:type="pct"/>
            <w:gridSpan w:val="2"/>
            <w:shd w:val="clear" w:color="auto" w:fill="auto"/>
            <w:vAlign w:val="center"/>
          </w:tcPr>
          <w:p w14:paraId="10EB7EDA" w14:textId="21FA8E73" w:rsidR="0055411D" w:rsidRPr="00EE43C6" w:rsidRDefault="00262E2F">
            <w:pPr>
              <w:spacing w:before="0" w:after="0" w:line="240" w:lineRule="auto"/>
              <w:jc w:val="center"/>
              <w:rPr>
                <w:rFonts w:cs="Arial"/>
                <w:sz w:val="16"/>
                <w:szCs w:val="16"/>
              </w:rPr>
            </w:pPr>
            <w:r w:rsidRPr="00EE43C6">
              <w:rPr>
                <w:rFonts w:cs="Arial"/>
                <w:sz w:val="16"/>
                <w:szCs w:val="16"/>
              </w:rPr>
              <w:t>26.5</w:t>
            </w:r>
          </w:p>
        </w:tc>
        <w:tc>
          <w:tcPr>
            <w:tcW w:w="331" w:type="pct"/>
            <w:gridSpan w:val="3"/>
            <w:shd w:val="clear" w:color="auto" w:fill="auto"/>
            <w:vAlign w:val="center"/>
          </w:tcPr>
          <w:p w14:paraId="356E2F29" w14:textId="0F8E923C" w:rsidR="0055411D" w:rsidRPr="00EE43C6" w:rsidRDefault="00262E2F">
            <w:pPr>
              <w:spacing w:before="0" w:after="0" w:line="240" w:lineRule="auto"/>
              <w:jc w:val="center"/>
              <w:rPr>
                <w:rFonts w:cs="Arial"/>
                <w:sz w:val="16"/>
                <w:szCs w:val="16"/>
              </w:rPr>
            </w:pPr>
            <w:r w:rsidRPr="00EE43C6">
              <w:rPr>
                <w:rFonts w:cs="Arial"/>
                <w:sz w:val="16"/>
                <w:szCs w:val="16"/>
              </w:rPr>
              <w:t>29.8</w:t>
            </w:r>
          </w:p>
        </w:tc>
        <w:tc>
          <w:tcPr>
            <w:tcW w:w="331" w:type="pct"/>
            <w:gridSpan w:val="2"/>
            <w:shd w:val="clear" w:color="auto" w:fill="auto"/>
            <w:vAlign w:val="center"/>
          </w:tcPr>
          <w:p w14:paraId="5F141A0D" w14:textId="028F10A8" w:rsidR="0055411D" w:rsidRPr="00EE43C6" w:rsidRDefault="00976F62">
            <w:pPr>
              <w:spacing w:before="0" w:after="0" w:line="240" w:lineRule="auto"/>
              <w:jc w:val="center"/>
              <w:rPr>
                <w:rFonts w:cs="Arial"/>
                <w:sz w:val="16"/>
                <w:szCs w:val="16"/>
              </w:rPr>
            </w:pPr>
            <w:r w:rsidRPr="00EE43C6">
              <w:rPr>
                <w:rFonts w:cs="Arial"/>
                <w:sz w:val="16"/>
                <w:szCs w:val="16"/>
              </w:rPr>
              <w:t>34.7</w:t>
            </w:r>
          </w:p>
        </w:tc>
        <w:tc>
          <w:tcPr>
            <w:tcW w:w="331" w:type="pct"/>
            <w:gridSpan w:val="3"/>
            <w:shd w:val="clear" w:color="auto" w:fill="auto"/>
            <w:vAlign w:val="center"/>
          </w:tcPr>
          <w:p w14:paraId="21383C9E" w14:textId="7674BA6F" w:rsidR="0055411D" w:rsidRPr="00EE43C6" w:rsidRDefault="00976F62">
            <w:pPr>
              <w:spacing w:before="0" w:after="0" w:line="240" w:lineRule="auto"/>
              <w:jc w:val="center"/>
              <w:rPr>
                <w:rFonts w:cs="Arial"/>
                <w:sz w:val="16"/>
                <w:szCs w:val="16"/>
              </w:rPr>
            </w:pPr>
            <w:r w:rsidRPr="00EE43C6">
              <w:rPr>
                <w:rFonts w:cs="Arial"/>
                <w:sz w:val="16"/>
                <w:szCs w:val="16"/>
              </w:rPr>
              <w:t>35.8</w:t>
            </w:r>
          </w:p>
        </w:tc>
        <w:tc>
          <w:tcPr>
            <w:tcW w:w="331" w:type="pct"/>
            <w:gridSpan w:val="3"/>
            <w:shd w:val="clear" w:color="auto" w:fill="auto"/>
            <w:vAlign w:val="center"/>
          </w:tcPr>
          <w:p w14:paraId="057A2F5A" w14:textId="1E167550" w:rsidR="0055411D" w:rsidRPr="00EE43C6" w:rsidRDefault="006569B6">
            <w:pPr>
              <w:spacing w:before="0" w:after="0" w:line="240" w:lineRule="auto"/>
              <w:jc w:val="center"/>
              <w:rPr>
                <w:rFonts w:cs="Arial"/>
                <w:sz w:val="16"/>
                <w:szCs w:val="16"/>
              </w:rPr>
            </w:pPr>
            <w:r w:rsidRPr="00EE43C6">
              <w:rPr>
                <w:rFonts w:cs="Arial"/>
                <w:sz w:val="16"/>
                <w:szCs w:val="16"/>
              </w:rPr>
              <w:t>38.2</w:t>
            </w:r>
          </w:p>
        </w:tc>
        <w:tc>
          <w:tcPr>
            <w:tcW w:w="331" w:type="pct"/>
            <w:gridSpan w:val="2"/>
            <w:shd w:val="clear" w:color="auto" w:fill="auto"/>
            <w:vAlign w:val="center"/>
          </w:tcPr>
          <w:p w14:paraId="3B773AC8" w14:textId="4A52C3FC" w:rsidR="0055411D" w:rsidRPr="00EE43C6" w:rsidRDefault="00B7045E">
            <w:pPr>
              <w:spacing w:before="0" w:after="0" w:line="240" w:lineRule="auto"/>
              <w:jc w:val="center"/>
              <w:rPr>
                <w:rFonts w:cs="Arial"/>
                <w:sz w:val="16"/>
                <w:szCs w:val="16"/>
              </w:rPr>
            </w:pPr>
            <w:r w:rsidRPr="00EE43C6">
              <w:rPr>
                <w:rFonts w:cs="Arial"/>
                <w:sz w:val="16"/>
                <w:szCs w:val="16"/>
              </w:rPr>
              <w:t>37.3</w:t>
            </w:r>
          </w:p>
        </w:tc>
        <w:tc>
          <w:tcPr>
            <w:tcW w:w="331" w:type="pct"/>
            <w:gridSpan w:val="3"/>
            <w:shd w:val="clear" w:color="auto" w:fill="auto"/>
            <w:vAlign w:val="center"/>
          </w:tcPr>
          <w:p w14:paraId="6816CF23" w14:textId="7FEFBC5D" w:rsidR="0055411D" w:rsidRPr="00EE43C6" w:rsidRDefault="00AE4240">
            <w:pPr>
              <w:spacing w:before="0" w:after="0" w:line="240" w:lineRule="auto"/>
              <w:jc w:val="center"/>
              <w:rPr>
                <w:rFonts w:cs="Arial"/>
                <w:sz w:val="16"/>
                <w:szCs w:val="16"/>
              </w:rPr>
            </w:pPr>
            <w:r w:rsidRPr="00EE43C6">
              <w:rPr>
                <w:rFonts w:cs="Arial"/>
                <w:sz w:val="16"/>
                <w:szCs w:val="16"/>
              </w:rPr>
              <w:t>39.8</w:t>
            </w:r>
          </w:p>
        </w:tc>
        <w:tc>
          <w:tcPr>
            <w:tcW w:w="331" w:type="pct"/>
            <w:gridSpan w:val="2"/>
            <w:shd w:val="clear" w:color="auto" w:fill="auto"/>
            <w:vAlign w:val="center"/>
          </w:tcPr>
          <w:p w14:paraId="4E1572AA" w14:textId="48CD6D3E" w:rsidR="0055411D" w:rsidRPr="00EE43C6" w:rsidRDefault="00EA60CA">
            <w:pPr>
              <w:spacing w:before="0" w:after="0" w:line="240" w:lineRule="auto"/>
              <w:jc w:val="center"/>
              <w:rPr>
                <w:rFonts w:cs="Arial"/>
                <w:sz w:val="16"/>
                <w:szCs w:val="16"/>
              </w:rPr>
            </w:pPr>
            <w:r w:rsidRPr="00EE43C6">
              <w:rPr>
                <w:rFonts w:cs="Arial"/>
                <w:sz w:val="16"/>
                <w:szCs w:val="16"/>
              </w:rPr>
              <w:t>38.5</w:t>
            </w:r>
          </w:p>
        </w:tc>
        <w:tc>
          <w:tcPr>
            <w:tcW w:w="331" w:type="pct"/>
            <w:gridSpan w:val="2"/>
            <w:shd w:val="clear" w:color="auto" w:fill="auto"/>
            <w:vAlign w:val="center"/>
          </w:tcPr>
          <w:p w14:paraId="27DCD4C0" w14:textId="5B5851F0" w:rsidR="0055411D" w:rsidRPr="00EE43C6" w:rsidRDefault="00FA3919">
            <w:pPr>
              <w:spacing w:before="0" w:after="0" w:line="240" w:lineRule="auto"/>
              <w:jc w:val="center"/>
              <w:rPr>
                <w:rFonts w:cs="Arial"/>
                <w:sz w:val="16"/>
                <w:szCs w:val="16"/>
              </w:rPr>
            </w:pPr>
            <w:r w:rsidRPr="00EE43C6">
              <w:rPr>
                <w:rFonts w:cs="Arial"/>
                <w:sz w:val="16"/>
                <w:szCs w:val="16"/>
              </w:rPr>
              <w:t>36.4</w:t>
            </w:r>
          </w:p>
        </w:tc>
        <w:tc>
          <w:tcPr>
            <w:tcW w:w="333" w:type="pct"/>
            <w:gridSpan w:val="3"/>
            <w:shd w:val="clear" w:color="auto" w:fill="auto"/>
            <w:vAlign w:val="center"/>
          </w:tcPr>
          <w:p w14:paraId="5DDAA04A" w14:textId="069FE464" w:rsidR="0055411D" w:rsidRPr="00EE43C6" w:rsidRDefault="00FA3919">
            <w:pPr>
              <w:spacing w:before="0" w:after="0" w:line="240" w:lineRule="auto"/>
              <w:jc w:val="center"/>
              <w:rPr>
                <w:rFonts w:cs="Arial"/>
                <w:sz w:val="16"/>
                <w:szCs w:val="16"/>
              </w:rPr>
            </w:pPr>
            <w:r w:rsidRPr="00EE43C6">
              <w:rPr>
                <w:rFonts w:cs="Arial"/>
                <w:sz w:val="16"/>
                <w:szCs w:val="16"/>
              </w:rPr>
              <w:t>31.0</w:t>
            </w:r>
          </w:p>
        </w:tc>
        <w:tc>
          <w:tcPr>
            <w:tcW w:w="336" w:type="pct"/>
            <w:shd w:val="clear" w:color="auto" w:fill="auto"/>
            <w:vAlign w:val="center"/>
          </w:tcPr>
          <w:p w14:paraId="27442F38" w14:textId="60CEB3EB" w:rsidR="0055411D" w:rsidRPr="00EE43C6" w:rsidRDefault="00FD37D9">
            <w:pPr>
              <w:spacing w:before="0" w:after="0" w:line="240" w:lineRule="auto"/>
              <w:jc w:val="center"/>
              <w:rPr>
                <w:rFonts w:cs="Arial"/>
                <w:sz w:val="16"/>
                <w:szCs w:val="16"/>
              </w:rPr>
            </w:pPr>
            <w:r w:rsidRPr="00EE43C6">
              <w:rPr>
                <w:rFonts w:cs="Arial"/>
                <w:sz w:val="16"/>
                <w:szCs w:val="16"/>
              </w:rPr>
              <w:t>27.0</w:t>
            </w:r>
          </w:p>
        </w:tc>
      </w:tr>
      <w:tr w:rsidR="00345D5B" w:rsidRPr="00EE43C6" w14:paraId="0B20C3D6" w14:textId="77777777" w:rsidTr="00F60B11">
        <w:trPr>
          <w:cantSplit/>
          <w:trHeight w:val="284"/>
          <w:tblHeader/>
          <w:jc w:val="center"/>
        </w:trPr>
        <w:tc>
          <w:tcPr>
            <w:tcW w:w="1023" w:type="pct"/>
            <w:gridSpan w:val="3"/>
            <w:shd w:val="clear" w:color="auto" w:fill="DBE5F1" w:themeFill="accent1" w:themeFillTint="33"/>
            <w:vAlign w:val="center"/>
          </w:tcPr>
          <w:p w14:paraId="53979CA0" w14:textId="1467F378" w:rsidR="0055411D" w:rsidRPr="00EE43C6" w:rsidRDefault="0055411D">
            <w:pPr>
              <w:spacing w:before="0" w:after="0" w:line="240" w:lineRule="auto"/>
              <w:jc w:val="left"/>
              <w:rPr>
                <w:rFonts w:cs="Arial"/>
                <w:sz w:val="16"/>
                <w:szCs w:val="16"/>
              </w:rPr>
            </w:pPr>
            <w:r w:rsidRPr="00EE43C6">
              <w:rPr>
                <w:rFonts w:cs="Arial"/>
                <w:sz w:val="16"/>
                <w:szCs w:val="16"/>
              </w:rPr>
              <w:t>Lowest Temperature (°C)</w:t>
            </w:r>
          </w:p>
        </w:tc>
        <w:tc>
          <w:tcPr>
            <w:tcW w:w="330" w:type="pct"/>
            <w:gridSpan w:val="3"/>
            <w:tcBorders>
              <w:bottom w:val="single" w:sz="4" w:space="0" w:color="auto"/>
            </w:tcBorders>
            <w:shd w:val="clear" w:color="auto" w:fill="auto"/>
            <w:vAlign w:val="center"/>
          </w:tcPr>
          <w:p w14:paraId="7A6099BC" w14:textId="5DD265E4" w:rsidR="0055411D" w:rsidRPr="00EE43C6" w:rsidRDefault="00D060E4">
            <w:pPr>
              <w:spacing w:before="0" w:after="0" w:line="240" w:lineRule="auto"/>
              <w:jc w:val="center"/>
              <w:rPr>
                <w:rFonts w:cs="Arial"/>
                <w:sz w:val="16"/>
                <w:szCs w:val="16"/>
              </w:rPr>
            </w:pPr>
            <w:r w:rsidRPr="00EE43C6">
              <w:rPr>
                <w:rFonts w:cs="Arial"/>
                <w:sz w:val="16"/>
                <w:szCs w:val="16"/>
              </w:rPr>
              <w:t>-6.3</w:t>
            </w:r>
          </w:p>
        </w:tc>
        <w:tc>
          <w:tcPr>
            <w:tcW w:w="331" w:type="pct"/>
            <w:gridSpan w:val="2"/>
            <w:tcBorders>
              <w:bottom w:val="single" w:sz="4" w:space="0" w:color="auto"/>
            </w:tcBorders>
            <w:shd w:val="clear" w:color="auto" w:fill="auto"/>
            <w:vAlign w:val="center"/>
          </w:tcPr>
          <w:p w14:paraId="66F6CBEA" w14:textId="4B36D1AD" w:rsidR="0055411D" w:rsidRPr="00EE43C6" w:rsidRDefault="005601CB">
            <w:pPr>
              <w:spacing w:before="0" w:after="0" w:line="240" w:lineRule="auto"/>
              <w:jc w:val="center"/>
              <w:rPr>
                <w:rFonts w:cs="Arial"/>
                <w:sz w:val="16"/>
                <w:szCs w:val="16"/>
              </w:rPr>
            </w:pPr>
            <w:r w:rsidRPr="00EE43C6">
              <w:rPr>
                <w:rFonts w:cs="Arial"/>
                <w:sz w:val="16"/>
                <w:szCs w:val="16"/>
              </w:rPr>
              <w:t>-6.6</w:t>
            </w:r>
          </w:p>
        </w:tc>
        <w:tc>
          <w:tcPr>
            <w:tcW w:w="331" w:type="pct"/>
            <w:gridSpan w:val="3"/>
            <w:tcBorders>
              <w:bottom w:val="single" w:sz="4" w:space="0" w:color="auto"/>
            </w:tcBorders>
            <w:shd w:val="clear" w:color="auto" w:fill="auto"/>
            <w:vAlign w:val="center"/>
          </w:tcPr>
          <w:p w14:paraId="24F9AB59" w14:textId="42E89EA4" w:rsidR="0055411D" w:rsidRPr="00EE43C6" w:rsidRDefault="00C410C6">
            <w:pPr>
              <w:spacing w:before="0" w:after="0" w:line="240" w:lineRule="auto"/>
              <w:jc w:val="center"/>
              <w:rPr>
                <w:rFonts w:cs="Arial"/>
                <w:sz w:val="16"/>
                <w:szCs w:val="16"/>
              </w:rPr>
            </w:pPr>
            <w:r w:rsidRPr="00EE43C6">
              <w:rPr>
                <w:rFonts w:cs="Arial"/>
                <w:sz w:val="16"/>
                <w:szCs w:val="16"/>
              </w:rPr>
              <w:t>-2.2</w:t>
            </w:r>
          </w:p>
        </w:tc>
        <w:tc>
          <w:tcPr>
            <w:tcW w:w="331" w:type="pct"/>
            <w:gridSpan w:val="2"/>
            <w:tcBorders>
              <w:bottom w:val="single" w:sz="4" w:space="0" w:color="auto"/>
            </w:tcBorders>
            <w:shd w:val="clear" w:color="auto" w:fill="auto"/>
            <w:vAlign w:val="center"/>
          </w:tcPr>
          <w:p w14:paraId="192F38EC" w14:textId="6FAC458C" w:rsidR="0055411D" w:rsidRPr="00EE43C6" w:rsidRDefault="001141EA">
            <w:pPr>
              <w:spacing w:before="0" w:after="0" w:line="240" w:lineRule="auto"/>
              <w:jc w:val="center"/>
              <w:rPr>
                <w:rFonts w:cs="Arial"/>
                <w:sz w:val="16"/>
                <w:szCs w:val="16"/>
              </w:rPr>
            </w:pPr>
            <w:r w:rsidRPr="00EE43C6">
              <w:rPr>
                <w:rFonts w:cs="Arial"/>
                <w:sz w:val="16"/>
                <w:szCs w:val="16"/>
              </w:rPr>
              <w:t>0.6</w:t>
            </w:r>
          </w:p>
        </w:tc>
        <w:tc>
          <w:tcPr>
            <w:tcW w:w="331" w:type="pct"/>
            <w:gridSpan w:val="3"/>
            <w:tcBorders>
              <w:bottom w:val="single" w:sz="4" w:space="0" w:color="auto"/>
            </w:tcBorders>
            <w:shd w:val="clear" w:color="auto" w:fill="auto"/>
            <w:vAlign w:val="center"/>
          </w:tcPr>
          <w:p w14:paraId="43A76311" w14:textId="0D30B3A1" w:rsidR="0055411D" w:rsidRPr="00EE43C6" w:rsidRDefault="00E3551F">
            <w:pPr>
              <w:spacing w:before="0" w:after="0" w:line="240" w:lineRule="auto"/>
              <w:jc w:val="center"/>
              <w:rPr>
                <w:rFonts w:cs="Arial"/>
                <w:sz w:val="16"/>
                <w:szCs w:val="16"/>
              </w:rPr>
            </w:pPr>
            <w:r w:rsidRPr="00EE43C6">
              <w:rPr>
                <w:rFonts w:cs="Arial"/>
                <w:sz w:val="16"/>
                <w:szCs w:val="16"/>
              </w:rPr>
              <w:t>7.0</w:t>
            </w:r>
          </w:p>
        </w:tc>
        <w:tc>
          <w:tcPr>
            <w:tcW w:w="331" w:type="pct"/>
            <w:gridSpan w:val="3"/>
            <w:tcBorders>
              <w:bottom w:val="single" w:sz="4" w:space="0" w:color="auto"/>
            </w:tcBorders>
            <w:shd w:val="clear" w:color="auto" w:fill="auto"/>
            <w:vAlign w:val="center"/>
          </w:tcPr>
          <w:p w14:paraId="079058E6" w14:textId="57234881" w:rsidR="0055411D" w:rsidRPr="00EE43C6" w:rsidRDefault="00F26004">
            <w:pPr>
              <w:spacing w:before="0" w:after="0" w:line="240" w:lineRule="auto"/>
              <w:jc w:val="center"/>
              <w:rPr>
                <w:rFonts w:cs="Arial"/>
                <w:sz w:val="16"/>
                <w:szCs w:val="16"/>
              </w:rPr>
            </w:pPr>
            <w:r w:rsidRPr="00EE43C6">
              <w:rPr>
                <w:rFonts w:cs="Arial"/>
                <w:sz w:val="16"/>
                <w:szCs w:val="16"/>
              </w:rPr>
              <w:t>5.3</w:t>
            </w:r>
          </w:p>
        </w:tc>
        <w:tc>
          <w:tcPr>
            <w:tcW w:w="331" w:type="pct"/>
            <w:gridSpan w:val="2"/>
            <w:tcBorders>
              <w:bottom w:val="single" w:sz="4" w:space="0" w:color="auto"/>
            </w:tcBorders>
            <w:shd w:val="clear" w:color="auto" w:fill="auto"/>
            <w:vAlign w:val="center"/>
          </w:tcPr>
          <w:p w14:paraId="47AF1B3D" w14:textId="5A366E68" w:rsidR="0055411D" w:rsidRPr="00EE43C6" w:rsidRDefault="00F26004">
            <w:pPr>
              <w:spacing w:before="0" w:after="0" w:line="240" w:lineRule="auto"/>
              <w:jc w:val="center"/>
              <w:rPr>
                <w:rFonts w:cs="Arial"/>
                <w:sz w:val="16"/>
                <w:szCs w:val="16"/>
              </w:rPr>
            </w:pPr>
            <w:r w:rsidRPr="00EE43C6">
              <w:rPr>
                <w:rFonts w:cs="Arial"/>
                <w:sz w:val="16"/>
                <w:szCs w:val="16"/>
              </w:rPr>
              <w:t>16.1</w:t>
            </w:r>
          </w:p>
        </w:tc>
        <w:tc>
          <w:tcPr>
            <w:tcW w:w="331" w:type="pct"/>
            <w:gridSpan w:val="3"/>
            <w:tcBorders>
              <w:bottom w:val="single" w:sz="4" w:space="0" w:color="auto"/>
            </w:tcBorders>
            <w:shd w:val="clear" w:color="auto" w:fill="auto"/>
            <w:vAlign w:val="center"/>
          </w:tcPr>
          <w:p w14:paraId="23B4C908" w14:textId="163ECB07" w:rsidR="0055411D" w:rsidRPr="00EE43C6" w:rsidRDefault="00F26004">
            <w:pPr>
              <w:spacing w:before="0" w:after="0" w:line="240" w:lineRule="auto"/>
              <w:jc w:val="center"/>
              <w:rPr>
                <w:rFonts w:cs="Arial"/>
                <w:sz w:val="16"/>
                <w:szCs w:val="16"/>
              </w:rPr>
            </w:pPr>
            <w:r w:rsidRPr="00EE43C6">
              <w:rPr>
                <w:rFonts w:cs="Arial"/>
                <w:sz w:val="16"/>
                <w:szCs w:val="16"/>
              </w:rPr>
              <w:t>15.0</w:t>
            </w:r>
          </w:p>
        </w:tc>
        <w:tc>
          <w:tcPr>
            <w:tcW w:w="331" w:type="pct"/>
            <w:gridSpan w:val="2"/>
            <w:tcBorders>
              <w:bottom w:val="single" w:sz="4" w:space="0" w:color="auto"/>
            </w:tcBorders>
            <w:shd w:val="clear" w:color="auto" w:fill="auto"/>
            <w:vAlign w:val="center"/>
          </w:tcPr>
          <w:p w14:paraId="6990F186" w14:textId="78630ECE" w:rsidR="0055411D" w:rsidRPr="00EE43C6" w:rsidRDefault="00F26004">
            <w:pPr>
              <w:spacing w:before="0" w:after="0" w:line="240" w:lineRule="auto"/>
              <w:jc w:val="center"/>
              <w:rPr>
                <w:rFonts w:cs="Arial"/>
                <w:sz w:val="16"/>
                <w:szCs w:val="16"/>
              </w:rPr>
            </w:pPr>
            <w:r w:rsidRPr="00EE43C6">
              <w:rPr>
                <w:rFonts w:cs="Arial"/>
                <w:sz w:val="16"/>
                <w:szCs w:val="16"/>
              </w:rPr>
              <w:t>11.0</w:t>
            </w:r>
          </w:p>
        </w:tc>
        <w:tc>
          <w:tcPr>
            <w:tcW w:w="331" w:type="pct"/>
            <w:gridSpan w:val="2"/>
            <w:tcBorders>
              <w:bottom w:val="single" w:sz="4" w:space="0" w:color="auto"/>
            </w:tcBorders>
            <w:shd w:val="clear" w:color="auto" w:fill="auto"/>
            <w:vAlign w:val="center"/>
          </w:tcPr>
          <w:p w14:paraId="788E95AA" w14:textId="0A5628BC" w:rsidR="0055411D" w:rsidRPr="00EE43C6" w:rsidRDefault="00F26004">
            <w:pPr>
              <w:spacing w:before="0" w:after="0" w:line="240" w:lineRule="auto"/>
              <w:jc w:val="center"/>
              <w:rPr>
                <w:rFonts w:cs="Arial"/>
                <w:sz w:val="16"/>
                <w:szCs w:val="16"/>
              </w:rPr>
            </w:pPr>
            <w:r w:rsidRPr="00EE43C6">
              <w:rPr>
                <w:rFonts w:cs="Arial"/>
                <w:sz w:val="16"/>
                <w:szCs w:val="16"/>
              </w:rPr>
              <w:t>2.7</w:t>
            </w:r>
          </w:p>
        </w:tc>
        <w:tc>
          <w:tcPr>
            <w:tcW w:w="333" w:type="pct"/>
            <w:gridSpan w:val="3"/>
            <w:tcBorders>
              <w:bottom w:val="single" w:sz="4" w:space="0" w:color="auto"/>
            </w:tcBorders>
            <w:shd w:val="clear" w:color="auto" w:fill="auto"/>
            <w:vAlign w:val="center"/>
          </w:tcPr>
          <w:p w14:paraId="1110A1DB" w14:textId="00F2B013" w:rsidR="0055411D" w:rsidRPr="00EE43C6" w:rsidRDefault="00F26004">
            <w:pPr>
              <w:spacing w:before="0" w:after="0" w:line="240" w:lineRule="auto"/>
              <w:jc w:val="center"/>
              <w:rPr>
                <w:rFonts w:cs="Arial"/>
                <w:sz w:val="16"/>
                <w:szCs w:val="16"/>
              </w:rPr>
            </w:pPr>
            <w:r w:rsidRPr="00EE43C6">
              <w:rPr>
                <w:rFonts w:cs="Arial"/>
                <w:sz w:val="16"/>
                <w:szCs w:val="16"/>
              </w:rPr>
              <w:t>-3.3</w:t>
            </w:r>
          </w:p>
        </w:tc>
        <w:tc>
          <w:tcPr>
            <w:tcW w:w="336" w:type="pct"/>
            <w:tcBorders>
              <w:bottom w:val="single" w:sz="4" w:space="0" w:color="auto"/>
            </w:tcBorders>
            <w:shd w:val="clear" w:color="auto" w:fill="auto"/>
            <w:vAlign w:val="center"/>
          </w:tcPr>
          <w:p w14:paraId="461E1537" w14:textId="34F31595" w:rsidR="0055411D" w:rsidRPr="00EE43C6" w:rsidRDefault="00F26004">
            <w:pPr>
              <w:spacing w:before="0" w:after="0" w:line="240" w:lineRule="auto"/>
              <w:jc w:val="center"/>
              <w:rPr>
                <w:rFonts w:cs="Arial"/>
                <w:sz w:val="16"/>
                <w:szCs w:val="16"/>
              </w:rPr>
            </w:pPr>
            <w:r w:rsidRPr="00EE43C6">
              <w:rPr>
                <w:rFonts w:cs="Arial"/>
                <w:sz w:val="16"/>
                <w:szCs w:val="16"/>
              </w:rPr>
              <w:t>-3.0</w:t>
            </w:r>
          </w:p>
        </w:tc>
      </w:tr>
      <w:tr w:rsidR="009E5028" w:rsidRPr="00EE43C6" w14:paraId="30C91679" w14:textId="77777777" w:rsidTr="00F60B11">
        <w:trPr>
          <w:cantSplit/>
          <w:trHeight w:val="284"/>
          <w:tblHeader/>
          <w:jc w:val="center"/>
        </w:trPr>
        <w:tc>
          <w:tcPr>
            <w:tcW w:w="1023" w:type="pct"/>
            <w:gridSpan w:val="3"/>
            <w:vMerge w:val="restart"/>
            <w:shd w:val="clear" w:color="auto" w:fill="DBE5F1" w:themeFill="accent1" w:themeFillTint="33"/>
            <w:vAlign w:val="center"/>
          </w:tcPr>
          <w:p w14:paraId="10B0B116" w14:textId="41F45A40" w:rsidR="009E5028" w:rsidRPr="00EE43C6" w:rsidRDefault="009E5028">
            <w:pPr>
              <w:spacing w:before="0" w:after="0" w:line="240" w:lineRule="auto"/>
              <w:jc w:val="left"/>
              <w:rPr>
                <w:rFonts w:cs="Arial"/>
                <w:sz w:val="16"/>
                <w:szCs w:val="16"/>
              </w:rPr>
            </w:pPr>
            <w:r w:rsidRPr="00EE43C6">
              <w:rPr>
                <w:rFonts w:cs="Arial"/>
                <w:sz w:val="16"/>
                <w:szCs w:val="16"/>
              </w:rPr>
              <w:t xml:space="preserve">Yearly Average </w:t>
            </w:r>
          </w:p>
        </w:tc>
        <w:tc>
          <w:tcPr>
            <w:tcW w:w="661" w:type="pct"/>
            <w:gridSpan w:val="5"/>
            <w:shd w:val="clear" w:color="auto" w:fill="4F81BD"/>
            <w:vAlign w:val="center"/>
          </w:tcPr>
          <w:p w14:paraId="6E0D93CC" w14:textId="54E937C6" w:rsidR="009E5028" w:rsidRPr="00EE43C6" w:rsidRDefault="00553E38">
            <w:pPr>
              <w:spacing w:before="0" w:after="0" w:line="240" w:lineRule="auto"/>
              <w:jc w:val="center"/>
              <w:rPr>
                <w:rFonts w:cs="Arial"/>
                <w:color w:val="FFFFFF" w:themeColor="background1"/>
                <w:sz w:val="16"/>
                <w:szCs w:val="16"/>
              </w:rPr>
            </w:pPr>
            <w:r w:rsidRPr="00EE43C6">
              <w:rPr>
                <w:rFonts w:cs="Arial"/>
                <w:color w:val="FFFFFF" w:themeColor="background1"/>
                <w:sz w:val="16"/>
                <w:szCs w:val="16"/>
              </w:rPr>
              <w:t>Average Temperature (°C)</w:t>
            </w:r>
          </w:p>
        </w:tc>
        <w:tc>
          <w:tcPr>
            <w:tcW w:w="662" w:type="pct"/>
            <w:gridSpan w:val="5"/>
            <w:shd w:val="clear" w:color="auto" w:fill="4F81BD"/>
            <w:vAlign w:val="center"/>
          </w:tcPr>
          <w:p w14:paraId="07EE7BAF" w14:textId="2435465B" w:rsidR="009E5028" w:rsidRPr="00EE43C6" w:rsidRDefault="00F426AF">
            <w:pPr>
              <w:spacing w:before="0" w:after="0" w:line="240" w:lineRule="auto"/>
              <w:jc w:val="center"/>
              <w:rPr>
                <w:rFonts w:cs="Arial"/>
                <w:color w:val="FFFFFF" w:themeColor="background1"/>
                <w:sz w:val="16"/>
                <w:szCs w:val="16"/>
              </w:rPr>
            </w:pPr>
            <w:r w:rsidRPr="00EE43C6">
              <w:rPr>
                <w:rFonts w:cs="Arial"/>
                <w:color w:val="FFFFFF" w:themeColor="background1"/>
                <w:sz w:val="16"/>
                <w:szCs w:val="16"/>
              </w:rPr>
              <w:t>Average Highest Temperature (°C)</w:t>
            </w:r>
          </w:p>
        </w:tc>
        <w:tc>
          <w:tcPr>
            <w:tcW w:w="662" w:type="pct"/>
            <w:gridSpan w:val="6"/>
            <w:shd w:val="clear" w:color="auto" w:fill="4F81BD"/>
            <w:vAlign w:val="center"/>
          </w:tcPr>
          <w:p w14:paraId="4CFEAC75" w14:textId="6D2C5634" w:rsidR="009E5028" w:rsidRPr="00EE43C6" w:rsidRDefault="00D30CEF">
            <w:pPr>
              <w:spacing w:before="0" w:after="0" w:line="240" w:lineRule="auto"/>
              <w:jc w:val="center"/>
              <w:rPr>
                <w:rFonts w:cs="Arial"/>
                <w:color w:val="FFFFFF" w:themeColor="background1"/>
                <w:sz w:val="16"/>
                <w:szCs w:val="16"/>
              </w:rPr>
            </w:pPr>
            <w:r w:rsidRPr="00EE43C6">
              <w:rPr>
                <w:rFonts w:cs="Arial"/>
                <w:color w:val="FFFFFF" w:themeColor="background1"/>
                <w:sz w:val="16"/>
                <w:szCs w:val="16"/>
              </w:rPr>
              <w:t>Average Lowest Temperature (°C)</w:t>
            </w:r>
          </w:p>
        </w:tc>
        <w:tc>
          <w:tcPr>
            <w:tcW w:w="662" w:type="pct"/>
            <w:gridSpan w:val="5"/>
            <w:shd w:val="clear" w:color="auto" w:fill="4F81BD"/>
            <w:vAlign w:val="center"/>
          </w:tcPr>
          <w:p w14:paraId="465873DB" w14:textId="42B95C76" w:rsidR="009E5028" w:rsidRPr="00EE43C6" w:rsidRDefault="00D30CEF">
            <w:pPr>
              <w:spacing w:before="0" w:after="0" w:line="240" w:lineRule="auto"/>
              <w:jc w:val="center"/>
              <w:rPr>
                <w:rFonts w:cs="Arial"/>
                <w:color w:val="FFFFFF" w:themeColor="background1"/>
                <w:sz w:val="16"/>
                <w:szCs w:val="16"/>
              </w:rPr>
            </w:pPr>
            <w:r w:rsidRPr="00EE43C6">
              <w:rPr>
                <w:rFonts w:cs="Arial"/>
                <w:color w:val="FFFFFF" w:themeColor="background1"/>
                <w:sz w:val="16"/>
                <w:szCs w:val="16"/>
              </w:rPr>
              <w:t>Average Sunshine Duration (hours)</w:t>
            </w:r>
          </w:p>
        </w:tc>
        <w:tc>
          <w:tcPr>
            <w:tcW w:w="662" w:type="pct"/>
            <w:gridSpan w:val="4"/>
            <w:shd w:val="clear" w:color="auto" w:fill="4F81BD"/>
            <w:vAlign w:val="center"/>
          </w:tcPr>
          <w:p w14:paraId="14DC4258" w14:textId="3705CE81" w:rsidR="009E5028" w:rsidRPr="00EE43C6" w:rsidRDefault="00E434F3">
            <w:pPr>
              <w:spacing w:before="0" w:after="0" w:line="240" w:lineRule="auto"/>
              <w:jc w:val="center"/>
              <w:rPr>
                <w:rFonts w:cs="Arial"/>
                <w:color w:val="FFFFFF" w:themeColor="background1"/>
                <w:sz w:val="16"/>
                <w:szCs w:val="16"/>
              </w:rPr>
            </w:pPr>
            <w:r w:rsidRPr="00EE43C6">
              <w:rPr>
                <w:rFonts w:cs="Arial"/>
                <w:color w:val="FFFFFF" w:themeColor="background1"/>
                <w:sz w:val="16"/>
                <w:szCs w:val="16"/>
              </w:rPr>
              <w:t>Average Number of Rainy Days</w:t>
            </w:r>
          </w:p>
        </w:tc>
        <w:tc>
          <w:tcPr>
            <w:tcW w:w="669" w:type="pct"/>
            <w:gridSpan w:val="4"/>
            <w:shd w:val="clear" w:color="auto" w:fill="4F81BD"/>
            <w:vAlign w:val="center"/>
          </w:tcPr>
          <w:p w14:paraId="0A42692A" w14:textId="0FF17534" w:rsidR="009E5028" w:rsidRPr="00EE43C6" w:rsidRDefault="0005027D">
            <w:pPr>
              <w:spacing w:before="0" w:after="0" w:line="240" w:lineRule="auto"/>
              <w:jc w:val="center"/>
              <w:rPr>
                <w:rFonts w:cs="Arial"/>
                <w:color w:val="FFFFFF" w:themeColor="background1"/>
                <w:sz w:val="16"/>
                <w:szCs w:val="16"/>
              </w:rPr>
            </w:pPr>
            <w:r w:rsidRPr="00EE43C6">
              <w:rPr>
                <w:rFonts w:cs="Arial"/>
                <w:color w:val="FFFFFF" w:themeColor="background1"/>
                <w:sz w:val="16"/>
                <w:szCs w:val="16"/>
              </w:rPr>
              <w:t>Average Monthly Total Rainfall (kg/m</w:t>
            </w:r>
            <w:r w:rsidRPr="00EE43C6">
              <w:rPr>
                <w:rFonts w:cs="Arial"/>
                <w:color w:val="FFFFFF" w:themeColor="background1"/>
                <w:sz w:val="16"/>
                <w:szCs w:val="16"/>
                <w:vertAlign w:val="superscript"/>
              </w:rPr>
              <w:t>2</w:t>
            </w:r>
            <w:r w:rsidRPr="00EE43C6">
              <w:rPr>
                <w:rFonts w:cs="Arial"/>
                <w:color w:val="FFFFFF" w:themeColor="background1"/>
                <w:sz w:val="16"/>
                <w:szCs w:val="16"/>
              </w:rPr>
              <w:t>)</w:t>
            </w:r>
          </w:p>
        </w:tc>
      </w:tr>
      <w:tr w:rsidR="009E5028" w:rsidRPr="00EE43C6" w14:paraId="361580C5" w14:textId="77777777" w:rsidTr="00F60B11">
        <w:trPr>
          <w:cantSplit/>
          <w:trHeight w:val="284"/>
          <w:tblHeader/>
          <w:jc w:val="center"/>
        </w:trPr>
        <w:tc>
          <w:tcPr>
            <w:tcW w:w="1023" w:type="pct"/>
            <w:gridSpan w:val="3"/>
            <w:vMerge/>
            <w:shd w:val="clear" w:color="auto" w:fill="DBE5F1" w:themeFill="accent1" w:themeFillTint="33"/>
            <w:vAlign w:val="center"/>
          </w:tcPr>
          <w:p w14:paraId="51E6E372" w14:textId="77777777" w:rsidR="009E5028" w:rsidRPr="00EE43C6" w:rsidRDefault="009E5028">
            <w:pPr>
              <w:spacing w:before="0" w:after="0" w:line="240" w:lineRule="auto"/>
              <w:jc w:val="left"/>
              <w:rPr>
                <w:rFonts w:cs="Arial"/>
                <w:sz w:val="16"/>
                <w:szCs w:val="16"/>
              </w:rPr>
            </w:pPr>
          </w:p>
        </w:tc>
        <w:tc>
          <w:tcPr>
            <w:tcW w:w="661" w:type="pct"/>
            <w:gridSpan w:val="5"/>
            <w:shd w:val="clear" w:color="auto" w:fill="auto"/>
            <w:vAlign w:val="center"/>
          </w:tcPr>
          <w:p w14:paraId="21B07BAF" w14:textId="7D8F83F9" w:rsidR="009E5028" w:rsidRPr="00EE43C6" w:rsidRDefault="00FF59C8">
            <w:pPr>
              <w:spacing w:before="0" w:after="0" w:line="240" w:lineRule="auto"/>
              <w:jc w:val="center"/>
              <w:rPr>
                <w:rFonts w:cs="Arial"/>
                <w:sz w:val="16"/>
                <w:szCs w:val="16"/>
              </w:rPr>
            </w:pPr>
            <w:r w:rsidRPr="00EE43C6">
              <w:rPr>
                <w:rFonts w:cs="Arial"/>
                <w:sz w:val="16"/>
                <w:szCs w:val="16"/>
              </w:rPr>
              <w:t>19.1</w:t>
            </w:r>
          </w:p>
        </w:tc>
        <w:tc>
          <w:tcPr>
            <w:tcW w:w="662" w:type="pct"/>
            <w:gridSpan w:val="5"/>
            <w:shd w:val="clear" w:color="auto" w:fill="auto"/>
            <w:vAlign w:val="center"/>
          </w:tcPr>
          <w:p w14:paraId="0A85B84D" w14:textId="699AD421" w:rsidR="009E5028" w:rsidRPr="00EE43C6" w:rsidRDefault="002469DF">
            <w:pPr>
              <w:spacing w:before="0" w:after="0" w:line="240" w:lineRule="auto"/>
              <w:jc w:val="center"/>
              <w:rPr>
                <w:rFonts w:cs="Arial"/>
                <w:sz w:val="16"/>
                <w:szCs w:val="16"/>
              </w:rPr>
            </w:pPr>
            <w:r w:rsidRPr="00EE43C6">
              <w:rPr>
                <w:rFonts w:cs="Arial"/>
                <w:sz w:val="16"/>
                <w:szCs w:val="16"/>
              </w:rPr>
              <w:t>23.3</w:t>
            </w:r>
          </w:p>
        </w:tc>
        <w:tc>
          <w:tcPr>
            <w:tcW w:w="662" w:type="pct"/>
            <w:gridSpan w:val="6"/>
            <w:tcBorders>
              <w:bottom w:val="single" w:sz="4" w:space="0" w:color="auto"/>
            </w:tcBorders>
            <w:shd w:val="clear" w:color="auto" w:fill="auto"/>
            <w:vAlign w:val="center"/>
          </w:tcPr>
          <w:p w14:paraId="46FC1FA3" w14:textId="1FD47BD4" w:rsidR="009E5028" w:rsidRPr="00EE43C6" w:rsidRDefault="007A4ED5">
            <w:pPr>
              <w:spacing w:before="0" w:after="0" w:line="240" w:lineRule="auto"/>
              <w:jc w:val="center"/>
              <w:rPr>
                <w:rFonts w:cs="Arial"/>
                <w:sz w:val="16"/>
                <w:szCs w:val="16"/>
              </w:rPr>
            </w:pPr>
            <w:r w:rsidRPr="00EE43C6">
              <w:rPr>
                <w:rFonts w:cs="Arial"/>
                <w:sz w:val="16"/>
                <w:szCs w:val="16"/>
              </w:rPr>
              <w:t>14.8</w:t>
            </w:r>
          </w:p>
        </w:tc>
        <w:tc>
          <w:tcPr>
            <w:tcW w:w="662" w:type="pct"/>
            <w:gridSpan w:val="5"/>
            <w:shd w:val="clear" w:color="auto" w:fill="auto"/>
            <w:vAlign w:val="center"/>
          </w:tcPr>
          <w:p w14:paraId="51569CDC" w14:textId="5CEDD156" w:rsidR="009E5028" w:rsidRPr="00EE43C6" w:rsidRDefault="00FE10EB">
            <w:pPr>
              <w:spacing w:before="0" w:after="0" w:line="240" w:lineRule="auto"/>
              <w:jc w:val="center"/>
              <w:rPr>
                <w:rFonts w:cs="Arial"/>
                <w:sz w:val="16"/>
                <w:szCs w:val="16"/>
              </w:rPr>
            </w:pPr>
            <w:r w:rsidRPr="00EE43C6">
              <w:rPr>
                <w:rFonts w:cs="Arial"/>
                <w:sz w:val="16"/>
                <w:szCs w:val="16"/>
              </w:rPr>
              <w:t>89.3</w:t>
            </w:r>
          </w:p>
        </w:tc>
        <w:tc>
          <w:tcPr>
            <w:tcW w:w="662" w:type="pct"/>
            <w:gridSpan w:val="4"/>
            <w:shd w:val="clear" w:color="auto" w:fill="auto"/>
            <w:vAlign w:val="center"/>
          </w:tcPr>
          <w:p w14:paraId="02CC8C4D" w14:textId="5755324F" w:rsidR="009E5028" w:rsidRPr="00EE43C6" w:rsidRDefault="00A16B92">
            <w:pPr>
              <w:spacing w:before="0" w:after="0" w:line="240" w:lineRule="auto"/>
              <w:jc w:val="center"/>
              <w:rPr>
                <w:rFonts w:cs="Arial"/>
                <w:sz w:val="16"/>
                <w:szCs w:val="16"/>
              </w:rPr>
            </w:pPr>
            <w:r w:rsidRPr="00EE43C6">
              <w:rPr>
                <w:rFonts w:cs="Arial"/>
                <w:sz w:val="16"/>
                <w:szCs w:val="16"/>
              </w:rPr>
              <w:t>66.8</w:t>
            </w:r>
          </w:p>
        </w:tc>
        <w:tc>
          <w:tcPr>
            <w:tcW w:w="669" w:type="pct"/>
            <w:gridSpan w:val="4"/>
            <w:shd w:val="clear" w:color="auto" w:fill="auto"/>
            <w:vAlign w:val="center"/>
          </w:tcPr>
          <w:p w14:paraId="7C2F1A6B" w14:textId="295F0B36" w:rsidR="009E5028" w:rsidRPr="00EE43C6" w:rsidRDefault="00A16B92">
            <w:pPr>
              <w:spacing w:before="0" w:after="0" w:line="240" w:lineRule="auto"/>
              <w:jc w:val="center"/>
              <w:rPr>
                <w:rFonts w:cs="Arial"/>
                <w:sz w:val="16"/>
                <w:szCs w:val="16"/>
              </w:rPr>
            </w:pPr>
            <w:r w:rsidRPr="00EE43C6">
              <w:rPr>
                <w:rFonts w:cs="Arial"/>
                <w:sz w:val="16"/>
                <w:szCs w:val="16"/>
              </w:rPr>
              <w:t>588.4</w:t>
            </w:r>
          </w:p>
        </w:tc>
      </w:tr>
      <w:tr w:rsidR="005E1155" w:rsidRPr="00EE43C6" w14:paraId="017BF21F" w14:textId="77777777" w:rsidTr="00F60B11">
        <w:trPr>
          <w:cantSplit/>
          <w:trHeight w:val="284"/>
          <w:tblHeader/>
          <w:jc w:val="center"/>
        </w:trPr>
        <w:tc>
          <w:tcPr>
            <w:tcW w:w="524" w:type="pct"/>
            <w:shd w:val="clear" w:color="auto" w:fill="DBE5F1" w:themeFill="accent1" w:themeFillTint="33"/>
            <w:vAlign w:val="center"/>
          </w:tcPr>
          <w:p w14:paraId="75B0F01E" w14:textId="77777777" w:rsidR="00CD1D0F" w:rsidRPr="00EE43C6" w:rsidRDefault="00CD1D0F">
            <w:pPr>
              <w:spacing w:before="0" w:after="0" w:line="240" w:lineRule="auto"/>
              <w:jc w:val="left"/>
              <w:rPr>
                <w:rFonts w:cs="Arial"/>
                <w:sz w:val="16"/>
                <w:szCs w:val="16"/>
              </w:rPr>
            </w:pPr>
            <w:r w:rsidRPr="00EE43C6">
              <w:rPr>
                <w:rFonts w:cs="Arial"/>
                <w:sz w:val="16"/>
                <w:szCs w:val="16"/>
              </w:rPr>
              <w:t>Daily Total Highest Rainfall</w:t>
            </w:r>
          </w:p>
        </w:tc>
        <w:tc>
          <w:tcPr>
            <w:tcW w:w="601" w:type="pct"/>
            <w:gridSpan w:val="3"/>
            <w:shd w:val="clear" w:color="auto" w:fill="auto"/>
            <w:vAlign w:val="center"/>
          </w:tcPr>
          <w:p w14:paraId="1FF892A1" w14:textId="77777777" w:rsidR="00CD1D0F" w:rsidRPr="00EE43C6" w:rsidRDefault="00CD1D0F">
            <w:pPr>
              <w:spacing w:before="0" w:after="0" w:line="240" w:lineRule="auto"/>
              <w:jc w:val="center"/>
              <w:rPr>
                <w:rFonts w:cs="Arial"/>
                <w:sz w:val="16"/>
                <w:szCs w:val="16"/>
              </w:rPr>
            </w:pPr>
            <w:r w:rsidRPr="00EE43C6">
              <w:rPr>
                <w:rFonts w:cs="Arial"/>
                <w:sz w:val="16"/>
                <w:szCs w:val="16"/>
              </w:rPr>
              <w:t>26.12.1968</w:t>
            </w:r>
          </w:p>
        </w:tc>
        <w:tc>
          <w:tcPr>
            <w:tcW w:w="601" w:type="pct"/>
            <w:gridSpan w:val="5"/>
            <w:shd w:val="clear" w:color="auto" w:fill="auto"/>
            <w:vAlign w:val="center"/>
          </w:tcPr>
          <w:p w14:paraId="1E1DFB57" w14:textId="77777777" w:rsidR="00CD1D0F" w:rsidRPr="00EE43C6" w:rsidRDefault="00CD1D0F">
            <w:pPr>
              <w:spacing w:before="0" w:after="0" w:line="240" w:lineRule="auto"/>
              <w:jc w:val="center"/>
              <w:rPr>
                <w:rFonts w:cs="Arial"/>
                <w:sz w:val="16"/>
                <w:szCs w:val="16"/>
              </w:rPr>
            </w:pPr>
            <w:r w:rsidRPr="00EE43C6">
              <w:rPr>
                <w:rFonts w:cs="Arial"/>
                <w:sz w:val="16"/>
                <w:szCs w:val="16"/>
              </w:rPr>
              <w:t>199.5 kg/m</w:t>
            </w:r>
            <w:r w:rsidRPr="00EE43C6">
              <w:rPr>
                <w:rFonts w:cs="Arial"/>
                <w:sz w:val="16"/>
                <w:szCs w:val="16"/>
                <w:vertAlign w:val="superscript"/>
              </w:rPr>
              <w:t>2</w:t>
            </w:r>
          </w:p>
        </w:tc>
        <w:tc>
          <w:tcPr>
            <w:tcW w:w="676" w:type="pct"/>
            <w:gridSpan w:val="5"/>
            <w:shd w:val="clear" w:color="auto" w:fill="DBE5F1" w:themeFill="accent1" w:themeFillTint="33"/>
            <w:vAlign w:val="center"/>
          </w:tcPr>
          <w:p w14:paraId="7F3FEBB4" w14:textId="77777777" w:rsidR="00CD1D0F" w:rsidRPr="00EE43C6" w:rsidRDefault="00CD1D0F">
            <w:pPr>
              <w:spacing w:before="0" w:after="0" w:line="240" w:lineRule="auto"/>
              <w:jc w:val="center"/>
              <w:rPr>
                <w:rFonts w:cs="Arial"/>
                <w:sz w:val="16"/>
                <w:szCs w:val="16"/>
              </w:rPr>
            </w:pPr>
            <w:r w:rsidRPr="00EE43C6">
              <w:rPr>
                <w:rFonts w:cs="Arial"/>
                <w:sz w:val="16"/>
                <w:szCs w:val="16"/>
              </w:rPr>
              <w:t>Daily Fastest Wind</w:t>
            </w:r>
          </w:p>
        </w:tc>
        <w:tc>
          <w:tcPr>
            <w:tcW w:w="601" w:type="pct"/>
            <w:gridSpan w:val="4"/>
            <w:shd w:val="clear" w:color="auto" w:fill="auto"/>
            <w:vAlign w:val="center"/>
          </w:tcPr>
          <w:p w14:paraId="524253F2" w14:textId="77777777" w:rsidR="00CD1D0F" w:rsidRPr="00EE43C6" w:rsidRDefault="00CD1D0F">
            <w:pPr>
              <w:spacing w:before="0" w:after="0" w:line="240" w:lineRule="auto"/>
              <w:jc w:val="center"/>
              <w:rPr>
                <w:rFonts w:cs="Arial"/>
                <w:sz w:val="16"/>
                <w:szCs w:val="16"/>
              </w:rPr>
            </w:pPr>
            <w:r w:rsidRPr="00EE43C6">
              <w:rPr>
                <w:rFonts w:cs="Arial"/>
                <w:sz w:val="16"/>
                <w:szCs w:val="16"/>
              </w:rPr>
              <w:t>22.08.2014</w:t>
            </w:r>
          </w:p>
        </w:tc>
        <w:tc>
          <w:tcPr>
            <w:tcW w:w="601" w:type="pct"/>
            <w:gridSpan w:val="4"/>
            <w:shd w:val="clear" w:color="auto" w:fill="auto"/>
            <w:vAlign w:val="center"/>
          </w:tcPr>
          <w:p w14:paraId="559B58FC" w14:textId="77777777" w:rsidR="00CD1D0F" w:rsidRPr="00EE43C6" w:rsidRDefault="00CD1D0F">
            <w:pPr>
              <w:spacing w:before="0" w:after="0" w:line="240" w:lineRule="auto"/>
              <w:jc w:val="center"/>
              <w:rPr>
                <w:rFonts w:cs="Arial"/>
                <w:sz w:val="16"/>
                <w:szCs w:val="16"/>
              </w:rPr>
            </w:pPr>
            <w:r w:rsidRPr="00EE43C6">
              <w:rPr>
                <w:rFonts w:cs="Arial"/>
                <w:sz w:val="16"/>
                <w:szCs w:val="16"/>
              </w:rPr>
              <w:t>135.7 km/h</w:t>
            </w:r>
          </w:p>
        </w:tc>
        <w:tc>
          <w:tcPr>
            <w:tcW w:w="752" w:type="pct"/>
            <w:gridSpan w:val="7"/>
            <w:shd w:val="clear" w:color="auto" w:fill="DBE5F1" w:themeFill="accent1" w:themeFillTint="33"/>
            <w:vAlign w:val="center"/>
          </w:tcPr>
          <w:p w14:paraId="43B18EDE" w14:textId="77777777" w:rsidR="00CD1D0F" w:rsidRPr="00EE43C6" w:rsidRDefault="00CD1D0F">
            <w:pPr>
              <w:spacing w:before="0" w:after="0" w:line="240" w:lineRule="auto"/>
              <w:jc w:val="center"/>
              <w:rPr>
                <w:rFonts w:cs="Arial"/>
                <w:sz w:val="16"/>
                <w:szCs w:val="16"/>
              </w:rPr>
            </w:pPr>
            <w:r w:rsidRPr="00EE43C6">
              <w:rPr>
                <w:rFonts w:cs="Arial"/>
                <w:sz w:val="16"/>
                <w:szCs w:val="16"/>
              </w:rPr>
              <w:t>Maximum Snow Thickness</w:t>
            </w:r>
          </w:p>
        </w:tc>
        <w:tc>
          <w:tcPr>
            <w:tcW w:w="643" w:type="pct"/>
            <w:gridSpan w:val="3"/>
            <w:shd w:val="clear" w:color="auto" w:fill="auto"/>
            <w:vAlign w:val="center"/>
          </w:tcPr>
          <w:p w14:paraId="3A7F8A3A" w14:textId="77777777" w:rsidR="00E36692" w:rsidRPr="00EE43C6" w:rsidRDefault="00CD1D0F">
            <w:pPr>
              <w:spacing w:before="0" w:after="0" w:line="240" w:lineRule="auto"/>
              <w:jc w:val="center"/>
              <w:rPr>
                <w:rFonts w:cs="Arial"/>
                <w:sz w:val="16"/>
                <w:szCs w:val="16"/>
              </w:rPr>
            </w:pPr>
            <w:r w:rsidRPr="00EE43C6">
              <w:rPr>
                <w:rFonts w:cs="Arial"/>
                <w:sz w:val="16"/>
                <w:szCs w:val="16"/>
              </w:rPr>
              <w:t>13.01.1950</w:t>
            </w:r>
          </w:p>
          <w:p w14:paraId="0DC2B3E4" w14:textId="50327356" w:rsidR="00CD1D0F" w:rsidRPr="00EE43C6" w:rsidRDefault="00CD1D0F">
            <w:pPr>
              <w:spacing w:before="0" w:after="0" w:line="240" w:lineRule="auto"/>
              <w:jc w:val="center"/>
              <w:rPr>
                <w:rFonts w:cs="Arial"/>
                <w:sz w:val="16"/>
                <w:szCs w:val="16"/>
              </w:rPr>
            </w:pPr>
            <w:r w:rsidRPr="00EE43C6">
              <w:rPr>
                <w:rFonts w:cs="Arial"/>
                <w:sz w:val="16"/>
                <w:szCs w:val="16"/>
              </w:rPr>
              <w:t>2.0 cm</w:t>
            </w:r>
          </w:p>
        </w:tc>
      </w:tr>
    </w:tbl>
    <w:p w14:paraId="0B0A435E" w14:textId="7ED641C6" w:rsidR="00680C78" w:rsidRPr="00EE43C6" w:rsidRDefault="00E72CB5" w:rsidP="00EE7978">
      <w:pPr>
        <w:spacing w:before="0"/>
        <w:rPr>
          <w:rFonts w:cs="MS Gothic"/>
          <w:i/>
          <w:iCs/>
          <w:sz w:val="18"/>
          <w:szCs w:val="18"/>
        </w:rPr>
      </w:pPr>
      <w:r w:rsidRPr="00EE43C6">
        <w:rPr>
          <w:rFonts w:cs="MS Gothic"/>
          <w:i/>
          <w:iCs/>
          <w:sz w:val="18"/>
          <w:szCs w:val="18"/>
        </w:rPr>
        <w:t>Source: Meteorology</w:t>
      </w:r>
      <w:r w:rsidR="000A536B" w:rsidRPr="00EE43C6">
        <w:rPr>
          <w:rFonts w:cs="MS Gothic"/>
          <w:i/>
          <w:iCs/>
          <w:sz w:val="18"/>
          <w:szCs w:val="18"/>
        </w:rPr>
        <w:t xml:space="preserve"> </w:t>
      </w:r>
      <w:r w:rsidRPr="00EE43C6">
        <w:rPr>
          <w:rFonts w:cs="MS Gothic"/>
          <w:i/>
          <w:iCs/>
          <w:sz w:val="18"/>
          <w:szCs w:val="18"/>
        </w:rPr>
        <w:t xml:space="preserve">General Directorate of </w:t>
      </w:r>
      <w:r w:rsidR="000A536B" w:rsidRPr="00EE43C6">
        <w:rPr>
          <w:rFonts w:cs="MS Gothic"/>
          <w:i/>
          <w:iCs/>
          <w:sz w:val="18"/>
          <w:szCs w:val="18"/>
        </w:rPr>
        <w:t xml:space="preserve">MoEUCC: </w:t>
      </w:r>
      <w:hyperlink r:id="rId54" w:history="1">
        <w:r w:rsidR="0027078F" w:rsidRPr="00EE43C6">
          <w:rPr>
            <w:rStyle w:val="Hyperlink"/>
            <w:rFonts w:cs="MS Gothic"/>
            <w:i/>
            <w:iCs/>
            <w:sz w:val="18"/>
            <w:szCs w:val="18"/>
          </w:rPr>
          <w:t>https://www.mgm.gov.tr</w:t>
        </w:r>
      </w:hyperlink>
    </w:p>
    <w:p w14:paraId="52A4BB27" w14:textId="73C9DE24" w:rsidR="00013D68" w:rsidRPr="00EE43C6" w:rsidRDefault="00E84AF1" w:rsidP="00013D68">
      <w:pPr>
        <w:rPr>
          <w:rFonts w:cs="MS Gothic"/>
          <w:szCs w:val="22"/>
        </w:rPr>
      </w:pPr>
      <w:r w:rsidRPr="00EE43C6">
        <w:rPr>
          <w:rFonts w:cs="MS Gothic"/>
          <w:szCs w:val="22"/>
        </w:rPr>
        <w:t xml:space="preserve">As for the vegetation characteristics of the </w:t>
      </w:r>
      <w:r w:rsidR="00210DBC" w:rsidRPr="00EE43C6">
        <w:rPr>
          <w:rFonts w:cs="MS Gothic"/>
          <w:szCs w:val="22"/>
        </w:rPr>
        <w:t>region, t</w:t>
      </w:r>
      <w:r w:rsidR="005469A1" w:rsidRPr="00EE43C6">
        <w:rPr>
          <w:rFonts w:cs="MS Gothic"/>
          <w:szCs w:val="22"/>
        </w:rPr>
        <w:t>he</w:t>
      </w:r>
      <w:r w:rsidR="00013D68" w:rsidRPr="00EE43C6">
        <w:rPr>
          <w:rFonts w:cs="MS Gothic"/>
          <w:szCs w:val="22"/>
        </w:rPr>
        <w:t xml:space="preserve"> Anatolian peninsula is under the influence of three floristic regions due to the differences in topographic structure and climatic characteristics. These</w:t>
      </w:r>
      <w:r w:rsidR="00BF32BF" w:rsidRPr="00EE43C6">
        <w:rPr>
          <w:rFonts w:cs="MS Gothic"/>
          <w:szCs w:val="22"/>
        </w:rPr>
        <w:t xml:space="preserve"> are</w:t>
      </w:r>
      <w:r w:rsidR="00013D68" w:rsidRPr="00EE43C6">
        <w:rPr>
          <w:rFonts w:cs="MS Gothic"/>
          <w:szCs w:val="22"/>
        </w:rPr>
        <w:t xml:space="preserve"> Mediterranean</w:t>
      </w:r>
      <w:r w:rsidR="00BF32BF" w:rsidRPr="00EE43C6">
        <w:rPr>
          <w:rFonts w:cs="MS Gothic"/>
          <w:szCs w:val="22"/>
        </w:rPr>
        <w:t>,</w:t>
      </w:r>
      <w:r w:rsidR="00013D68" w:rsidRPr="00EE43C6">
        <w:rPr>
          <w:rFonts w:cs="MS Gothic"/>
          <w:szCs w:val="22"/>
        </w:rPr>
        <w:t xml:space="preserve"> Irano-Turanian and Euro-Siberian </w:t>
      </w:r>
      <w:r w:rsidR="005469A1" w:rsidRPr="00EE43C6">
        <w:rPr>
          <w:rFonts w:cs="MS Gothic"/>
          <w:szCs w:val="22"/>
        </w:rPr>
        <w:t>region</w:t>
      </w:r>
      <w:r w:rsidR="00995D85" w:rsidRPr="00EE43C6">
        <w:rPr>
          <w:rFonts w:cs="MS Gothic"/>
          <w:szCs w:val="22"/>
        </w:rPr>
        <w:t>s</w:t>
      </w:r>
      <w:r w:rsidR="005469A1" w:rsidRPr="00EE43C6">
        <w:rPr>
          <w:rFonts w:cs="MS Gothic"/>
          <w:szCs w:val="22"/>
        </w:rPr>
        <w:t xml:space="preserve">. The </w:t>
      </w:r>
      <w:r w:rsidR="001363C4" w:rsidRPr="00EE43C6">
        <w:rPr>
          <w:rFonts w:cs="MS Gothic"/>
          <w:szCs w:val="22"/>
        </w:rPr>
        <w:t>Project Area</w:t>
      </w:r>
      <w:r w:rsidR="00013D68" w:rsidRPr="00EE43C6">
        <w:rPr>
          <w:rFonts w:cs="MS Gothic"/>
          <w:szCs w:val="22"/>
        </w:rPr>
        <w:t xml:space="preserve"> is located within the borders of the Mediterranean Floristic Region in the </w:t>
      </w:r>
      <w:r w:rsidR="00C805D6" w:rsidRPr="00EE43C6">
        <w:rPr>
          <w:rFonts w:cs="MS Gothic"/>
          <w:szCs w:val="22"/>
        </w:rPr>
        <w:t>district</w:t>
      </w:r>
      <w:r w:rsidR="00013D68" w:rsidRPr="00EE43C6">
        <w:rPr>
          <w:rFonts w:cs="MS Gothic"/>
          <w:szCs w:val="22"/>
        </w:rPr>
        <w:t xml:space="preserve"> of Tarsus in Mersin.</w:t>
      </w:r>
    </w:p>
    <w:p w14:paraId="14ACA6B4" w14:textId="31C34280" w:rsidR="00013D68" w:rsidRPr="00EE43C6" w:rsidRDefault="00013D68" w:rsidP="00013D68">
      <w:pPr>
        <w:rPr>
          <w:rFonts w:cs="MS Gothic"/>
          <w:szCs w:val="22"/>
        </w:rPr>
      </w:pPr>
      <w:r w:rsidRPr="00EE43C6">
        <w:rPr>
          <w:rFonts w:cs="MS Gothic"/>
          <w:szCs w:val="22"/>
        </w:rPr>
        <w:t xml:space="preserve">There are no endemic species in the </w:t>
      </w:r>
      <w:r w:rsidR="00423870" w:rsidRPr="00EE43C6">
        <w:rPr>
          <w:rFonts w:cs="MS Gothic"/>
          <w:szCs w:val="22"/>
        </w:rPr>
        <w:t>P</w:t>
      </w:r>
      <w:r w:rsidR="005469A1" w:rsidRPr="00EE43C6">
        <w:rPr>
          <w:rFonts w:cs="MS Gothic"/>
          <w:szCs w:val="22"/>
        </w:rPr>
        <w:t xml:space="preserve">roject </w:t>
      </w:r>
      <w:r w:rsidR="00423870" w:rsidRPr="00EE43C6">
        <w:rPr>
          <w:rFonts w:cs="MS Gothic"/>
          <w:szCs w:val="22"/>
        </w:rPr>
        <w:t>A</w:t>
      </w:r>
      <w:r w:rsidR="005469A1" w:rsidRPr="00EE43C6">
        <w:rPr>
          <w:rFonts w:cs="MS Gothic"/>
          <w:szCs w:val="22"/>
        </w:rPr>
        <w:t>rea.</w:t>
      </w:r>
      <w:r w:rsidRPr="00EE43C6">
        <w:rPr>
          <w:rFonts w:cs="MS Gothic"/>
          <w:szCs w:val="22"/>
        </w:rPr>
        <w:t xml:space="preserve"> Flora and fauna studies </w:t>
      </w:r>
      <w:r w:rsidR="00423870" w:rsidRPr="00EE43C6">
        <w:rPr>
          <w:rFonts w:cs="MS Gothic"/>
          <w:szCs w:val="22"/>
        </w:rPr>
        <w:t>were</w:t>
      </w:r>
      <w:r w:rsidRPr="00EE43C6">
        <w:rPr>
          <w:rFonts w:cs="MS Gothic"/>
          <w:szCs w:val="22"/>
        </w:rPr>
        <w:t xml:space="preserve"> carried out in the current area during the EIA process </w:t>
      </w:r>
      <w:r w:rsidR="005F5AC8" w:rsidRPr="00EE43C6">
        <w:rPr>
          <w:rFonts w:cs="MS Gothic"/>
          <w:szCs w:val="22"/>
        </w:rPr>
        <w:t>of t</w:t>
      </w:r>
      <w:r w:rsidR="00723AF2" w:rsidRPr="00EE43C6">
        <w:rPr>
          <w:rFonts w:cs="MS Gothic"/>
          <w:szCs w:val="22"/>
        </w:rPr>
        <w:t>he OIZ</w:t>
      </w:r>
      <w:r w:rsidR="00EB5C3E" w:rsidRPr="00EE43C6">
        <w:rPr>
          <w:rFonts w:cs="MS Gothic"/>
          <w:szCs w:val="22"/>
        </w:rPr>
        <w:t>,</w:t>
      </w:r>
      <w:r w:rsidR="00723AF2" w:rsidRPr="00EE43C6">
        <w:rPr>
          <w:rFonts w:cs="MS Gothic"/>
          <w:szCs w:val="22"/>
        </w:rPr>
        <w:t xml:space="preserve"> </w:t>
      </w:r>
      <w:r w:rsidR="005469A1" w:rsidRPr="00EE43C6">
        <w:rPr>
          <w:rFonts w:cs="MS Gothic"/>
          <w:szCs w:val="22"/>
        </w:rPr>
        <w:t>and</w:t>
      </w:r>
      <w:r w:rsidRPr="00EE43C6">
        <w:rPr>
          <w:rFonts w:cs="MS Gothic"/>
          <w:szCs w:val="22"/>
        </w:rPr>
        <w:t xml:space="preserve"> it has been determined that </w:t>
      </w:r>
      <w:r w:rsidR="00027B0C" w:rsidRPr="00EE43C6">
        <w:rPr>
          <w:rFonts w:cs="MS Gothic"/>
          <w:szCs w:val="22"/>
        </w:rPr>
        <w:t xml:space="preserve">there is </w:t>
      </w:r>
      <w:r w:rsidRPr="00EE43C6">
        <w:rPr>
          <w:rFonts w:cs="MS Gothic"/>
          <w:szCs w:val="22"/>
        </w:rPr>
        <w:t xml:space="preserve">not a protected or endemic species. In general, there are oak species in the form of small bushes. </w:t>
      </w:r>
      <w:r w:rsidR="005469A1" w:rsidRPr="00EE43C6">
        <w:rPr>
          <w:rFonts w:cs="MS Gothic"/>
          <w:szCs w:val="22"/>
        </w:rPr>
        <w:t>This type of field is very sparse due to the unsuitable soil structure.</w:t>
      </w:r>
    </w:p>
    <w:p w14:paraId="3F0B7F60" w14:textId="79709859" w:rsidR="00013D68" w:rsidRPr="00EE43C6" w:rsidRDefault="00013D68" w:rsidP="00013D68">
      <w:pPr>
        <w:rPr>
          <w:rFonts w:cs="MS Gothic"/>
          <w:szCs w:val="22"/>
        </w:rPr>
      </w:pPr>
      <w:r w:rsidRPr="00EE43C6">
        <w:rPr>
          <w:rFonts w:cs="MS Gothic"/>
          <w:szCs w:val="22"/>
        </w:rPr>
        <w:t xml:space="preserve">Most of the </w:t>
      </w:r>
      <w:r w:rsidR="002F5E47" w:rsidRPr="00EE43C6">
        <w:rPr>
          <w:rFonts w:cs="MS Gothic"/>
          <w:szCs w:val="22"/>
        </w:rPr>
        <w:t>P</w:t>
      </w:r>
      <w:r w:rsidR="005469A1" w:rsidRPr="00EE43C6">
        <w:rPr>
          <w:rFonts w:cs="MS Gothic"/>
          <w:szCs w:val="22"/>
        </w:rPr>
        <w:t xml:space="preserve">roject </w:t>
      </w:r>
      <w:r w:rsidR="002F5E47" w:rsidRPr="00EE43C6">
        <w:rPr>
          <w:rFonts w:cs="MS Gothic"/>
          <w:szCs w:val="22"/>
        </w:rPr>
        <w:t>A</w:t>
      </w:r>
      <w:r w:rsidR="005469A1" w:rsidRPr="00EE43C6">
        <w:rPr>
          <w:rFonts w:cs="MS Gothic"/>
          <w:szCs w:val="22"/>
        </w:rPr>
        <w:t>rea</w:t>
      </w:r>
      <w:r w:rsidRPr="00EE43C6">
        <w:rPr>
          <w:rFonts w:cs="MS Gothic"/>
          <w:szCs w:val="22"/>
        </w:rPr>
        <w:t xml:space="preserve"> consists of forest qualified area and a small part of it consists of marginal agricultural area.</w:t>
      </w:r>
      <w:r w:rsidR="000463CC" w:rsidRPr="00EE43C6">
        <w:rPr>
          <w:rFonts w:cs="MS Gothic"/>
          <w:szCs w:val="22"/>
        </w:rPr>
        <w:t xml:space="preserve"> </w:t>
      </w:r>
      <w:r w:rsidRPr="00EE43C6">
        <w:rPr>
          <w:rFonts w:cs="MS Gothic"/>
          <w:szCs w:val="22"/>
        </w:rPr>
        <w:t xml:space="preserve">When viewed from the soil quality side, it presents a sandy-loamy structure. The entire </w:t>
      </w:r>
      <w:r w:rsidR="000463CC" w:rsidRPr="00EE43C6">
        <w:rPr>
          <w:rFonts w:cs="MS Gothic"/>
          <w:szCs w:val="22"/>
        </w:rPr>
        <w:t>P</w:t>
      </w:r>
      <w:r w:rsidR="005469A1" w:rsidRPr="00EE43C6">
        <w:rPr>
          <w:rFonts w:cs="MS Gothic"/>
          <w:szCs w:val="22"/>
        </w:rPr>
        <w:t xml:space="preserve">roject </w:t>
      </w:r>
      <w:r w:rsidR="000463CC" w:rsidRPr="00EE43C6">
        <w:rPr>
          <w:rFonts w:cs="MS Gothic"/>
          <w:szCs w:val="22"/>
        </w:rPr>
        <w:t>A</w:t>
      </w:r>
      <w:r w:rsidR="005469A1" w:rsidRPr="00EE43C6">
        <w:rPr>
          <w:rFonts w:cs="MS Gothic"/>
          <w:szCs w:val="22"/>
        </w:rPr>
        <w:t>rea</w:t>
      </w:r>
      <w:r w:rsidRPr="00EE43C6">
        <w:rPr>
          <w:rFonts w:cs="MS Gothic"/>
          <w:szCs w:val="22"/>
        </w:rPr>
        <w:t xml:space="preserve"> contains almost no vegetative soil.</w:t>
      </w:r>
    </w:p>
    <w:p w14:paraId="354B1830" w14:textId="1FBF6B81" w:rsidR="004339AC" w:rsidRPr="00EE43C6" w:rsidRDefault="00013D68" w:rsidP="004339AC">
      <w:pPr>
        <w:rPr>
          <w:rFonts w:cs="MS Gothic"/>
          <w:szCs w:val="22"/>
        </w:rPr>
      </w:pPr>
      <w:r w:rsidRPr="00EE43C6">
        <w:rPr>
          <w:rFonts w:cs="MS Gothic"/>
          <w:szCs w:val="22"/>
        </w:rPr>
        <w:t xml:space="preserve">The </w:t>
      </w:r>
      <w:r w:rsidR="000463CC" w:rsidRPr="00EE43C6">
        <w:rPr>
          <w:rFonts w:cs="MS Gothic"/>
          <w:szCs w:val="22"/>
        </w:rPr>
        <w:t>P</w:t>
      </w:r>
      <w:r w:rsidR="005469A1" w:rsidRPr="00EE43C6">
        <w:rPr>
          <w:rFonts w:cs="MS Gothic"/>
          <w:szCs w:val="22"/>
        </w:rPr>
        <w:t xml:space="preserve">roject </w:t>
      </w:r>
      <w:r w:rsidR="000463CC" w:rsidRPr="00EE43C6">
        <w:rPr>
          <w:rFonts w:cs="MS Gothic"/>
          <w:szCs w:val="22"/>
        </w:rPr>
        <w:t>A</w:t>
      </w:r>
      <w:r w:rsidR="005469A1" w:rsidRPr="00EE43C6">
        <w:rPr>
          <w:rFonts w:cs="MS Gothic"/>
          <w:szCs w:val="22"/>
        </w:rPr>
        <w:t>rea</w:t>
      </w:r>
      <w:r w:rsidRPr="00EE43C6">
        <w:rPr>
          <w:rFonts w:cs="MS Gothic"/>
          <w:szCs w:val="22"/>
        </w:rPr>
        <w:t xml:space="preserve"> </w:t>
      </w:r>
      <w:r w:rsidR="009055BC" w:rsidRPr="00EE43C6">
        <w:rPr>
          <w:rFonts w:cs="MS Gothic"/>
          <w:szCs w:val="22"/>
        </w:rPr>
        <w:t>has</w:t>
      </w:r>
      <w:r w:rsidRPr="00EE43C6">
        <w:rPr>
          <w:rFonts w:cs="MS Gothic"/>
          <w:szCs w:val="22"/>
        </w:rPr>
        <w:t xml:space="preserve"> stand type OT-T and OT-T1. It shows that the stand of this area is stony treeless forest soil. It is also Çfa0 stand type in small area. In this stand type, it means an empty forest land that has been determined as the area where pine nuts will be planted but has not been planted.</w:t>
      </w:r>
      <w:sdt>
        <w:sdtPr>
          <w:rPr>
            <w:rFonts w:cs="MS Gothic"/>
            <w:szCs w:val="22"/>
          </w:rPr>
          <w:id w:val="-146975505"/>
          <w:citation/>
        </w:sdtPr>
        <w:sdtEndPr/>
        <w:sdtContent>
          <w:r w:rsidR="00D63785" w:rsidRPr="00EE43C6">
            <w:rPr>
              <w:rFonts w:cs="MS Gothic"/>
              <w:szCs w:val="22"/>
            </w:rPr>
            <w:fldChar w:fldCharType="begin"/>
          </w:r>
          <w:r w:rsidR="00D63785" w:rsidRPr="00EE43C6">
            <w:rPr>
              <w:rFonts w:cs="MS Gothic"/>
              <w:szCs w:val="22"/>
            </w:rPr>
            <w:instrText xml:space="preserve"> CITATION Şen18 \l 1055 </w:instrText>
          </w:r>
          <w:r w:rsidR="00D63785" w:rsidRPr="00EE43C6">
            <w:rPr>
              <w:rFonts w:cs="MS Gothic"/>
              <w:szCs w:val="22"/>
            </w:rPr>
            <w:fldChar w:fldCharType="separate"/>
          </w:r>
          <w:r w:rsidR="00CE3B94" w:rsidRPr="00EE43C6">
            <w:rPr>
              <w:rFonts w:cs="MS Gothic"/>
              <w:szCs w:val="22"/>
            </w:rPr>
            <w:t xml:space="preserve"> (Şen Engineering, The Geological-Geotechnical Survey Report of the Project Area, 2018)</w:t>
          </w:r>
          <w:r w:rsidR="00D63785" w:rsidRPr="00EE43C6">
            <w:rPr>
              <w:rFonts w:cs="MS Gothic"/>
              <w:szCs w:val="22"/>
            </w:rPr>
            <w:fldChar w:fldCharType="end"/>
          </w:r>
        </w:sdtContent>
      </w:sdt>
    </w:p>
    <w:p w14:paraId="2880679D" w14:textId="77777777" w:rsidR="004339AC" w:rsidRPr="00EE43C6" w:rsidRDefault="004339AC" w:rsidP="00F60B11">
      <w:pPr>
        <w:pStyle w:val="Heading2"/>
        <w:ind w:hanging="718"/>
        <w:rPr>
          <w:lang w:val="en-GB"/>
        </w:rPr>
      </w:pPr>
      <w:bookmarkStart w:id="308" w:name="_Toc80633540"/>
      <w:bookmarkStart w:id="309" w:name="_Toc120016927"/>
      <w:bookmarkStart w:id="310" w:name="_Toc120004705"/>
      <w:bookmarkStart w:id="311" w:name="_Toc141445416"/>
      <w:bookmarkStart w:id="312" w:name="_Toc73933433"/>
      <w:r w:rsidRPr="00EE43C6">
        <w:rPr>
          <w:lang w:val="en-GB"/>
        </w:rPr>
        <w:lastRenderedPageBreak/>
        <w:t>Natural Disaster Potential</w:t>
      </w:r>
      <w:bookmarkEnd w:id="308"/>
      <w:bookmarkEnd w:id="309"/>
      <w:bookmarkEnd w:id="310"/>
      <w:bookmarkEnd w:id="311"/>
      <w:r w:rsidRPr="00EE43C6">
        <w:rPr>
          <w:lang w:val="en-GB"/>
        </w:rPr>
        <w:t xml:space="preserve"> </w:t>
      </w:r>
      <w:bookmarkEnd w:id="312"/>
    </w:p>
    <w:p w14:paraId="4E676B78" w14:textId="7C192519" w:rsidR="00551A0B" w:rsidRPr="00EE43C6" w:rsidRDefault="007F446B" w:rsidP="00EF5CC1">
      <w:r w:rsidRPr="00EE43C6">
        <w:t>The Project Area is in the 3</w:t>
      </w:r>
      <w:r w:rsidRPr="00EE43C6">
        <w:rPr>
          <w:vertAlign w:val="superscript"/>
        </w:rPr>
        <w:t>rd</w:t>
      </w:r>
      <w:r w:rsidRPr="00EE43C6">
        <w:t xml:space="preserve"> Degree Earthquake Zone according to the </w:t>
      </w:r>
      <w:r w:rsidR="00117757">
        <w:t>Türkiye</w:t>
      </w:r>
      <w:r w:rsidRPr="00EE43C6">
        <w:t xml:space="preserve"> Earthquake Zones Map, which entered into force with the decision of the Council of Ministers dated 18.04.1996 and numbered 96/8109</w:t>
      </w:r>
      <w:r w:rsidR="00EA5928" w:rsidRPr="00EE43C6">
        <w:t xml:space="preserve"> (see </w:t>
      </w:r>
      <w:r w:rsidR="00AC6FD5" w:rsidRPr="00EE43C6">
        <w:fldChar w:fldCharType="begin"/>
      </w:r>
      <w:r w:rsidR="00AC6FD5" w:rsidRPr="00EE43C6">
        <w:instrText xml:space="preserve"> REF _Ref125042828 \h  \* MERGEFORMAT </w:instrText>
      </w:r>
      <w:r w:rsidR="00AC6FD5" w:rsidRPr="00EE43C6">
        <w:fldChar w:fldCharType="separate"/>
      </w:r>
      <w:r w:rsidR="008660AB" w:rsidRPr="008660AB">
        <w:t>Figure 4</w:t>
      </w:r>
      <w:r w:rsidR="008660AB" w:rsidRPr="008660AB">
        <w:noBreakHyphen/>
        <w:t>10</w:t>
      </w:r>
      <w:r w:rsidR="00AC6FD5" w:rsidRPr="00EE43C6">
        <w:fldChar w:fldCharType="end"/>
      </w:r>
      <w:r w:rsidR="00EA5928" w:rsidRPr="00EE43C6">
        <w:t>)</w:t>
      </w:r>
      <w:r w:rsidRPr="00EE43C6">
        <w:t>.</w:t>
      </w:r>
    </w:p>
    <w:p w14:paraId="6C481D10" w14:textId="1DE9D710" w:rsidR="00E44F8E" w:rsidRPr="00EE43C6" w:rsidRDefault="00393CD6" w:rsidP="00F60B11">
      <w:pPr>
        <w:spacing w:before="0" w:after="0"/>
        <w:jc w:val="center"/>
      </w:pPr>
      <w:r w:rsidRPr="00EE43C6">
        <w:rPr>
          <w:noProof/>
        </w:rPr>
        <w:drawing>
          <wp:inline distT="0" distB="0" distL="0" distR="0" wp14:anchorId="2EEC4167" wp14:editId="0BA73421">
            <wp:extent cx="5666192" cy="3588589"/>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5">
                      <a:extLst>
                        <a:ext uri="{28A0092B-C50C-407E-A947-70E740481C1C}">
                          <a14:useLocalDpi xmlns:a14="http://schemas.microsoft.com/office/drawing/2010/main"/>
                        </a:ext>
                      </a:extLst>
                    </a:blip>
                    <a:stretch>
                      <a:fillRect/>
                    </a:stretch>
                  </pic:blipFill>
                  <pic:spPr>
                    <a:xfrm>
                      <a:off x="0" y="0"/>
                      <a:ext cx="5668153" cy="3589831"/>
                    </a:xfrm>
                    <a:prstGeom prst="rect">
                      <a:avLst/>
                    </a:prstGeom>
                    <a:ln w="38100">
                      <a:noFill/>
                    </a:ln>
                  </pic:spPr>
                </pic:pic>
              </a:graphicData>
            </a:graphic>
          </wp:inline>
        </w:drawing>
      </w:r>
    </w:p>
    <w:p w14:paraId="050AE352" w14:textId="1CD49726" w:rsidR="00FE1CD6" w:rsidRPr="00EE43C6" w:rsidRDefault="00D91D77" w:rsidP="00F60B11">
      <w:pPr>
        <w:pStyle w:val="Caption"/>
        <w:spacing w:before="0" w:after="0"/>
        <w:rPr>
          <w:b w:val="0"/>
          <w:noProof w:val="0"/>
          <w:color w:val="auto"/>
        </w:rPr>
      </w:pPr>
      <w:bookmarkStart w:id="313" w:name="_Ref125042828"/>
      <w:bookmarkStart w:id="314" w:name="_Toc141445569"/>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4</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2334B">
        <w:rPr>
          <w:color w:val="00B050"/>
        </w:rPr>
        <w:t>10</w:t>
      </w:r>
      <w:r w:rsidR="0096150F">
        <w:rPr>
          <w:noProof w:val="0"/>
          <w:color w:val="00B050"/>
        </w:rPr>
        <w:fldChar w:fldCharType="end"/>
      </w:r>
      <w:bookmarkEnd w:id="313"/>
      <w:r w:rsidRPr="00EE43C6">
        <w:rPr>
          <w:noProof w:val="0"/>
          <w:color w:val="00B050"/>
        </w:rPr>
        <w:t xml:space="preserve">. </w:t>
      </w:r>
      <w:r w:rsidR="00FE1CD6" w:rsidRPr="00EE43C6">
        <w:rPr>
          <w:b w:val="0"/>
          <w:noProof w:val="0"/>
          <w:color w:val="auto"/>
        </w:rPr>
        <w:t>Mersin Province Earthquake Zones Map (Earthquake Research Department Ankara)</w:t>
      </w:r>
      <w:bookmarkEnd w:id="314"/>
    </w:p>
    <w:p w14:paraId="50985F9B" w14:textId="2B0A626A" w:rsidR="00D91D77" w:rsidRPr="00EE43C6" w:rsidRDefault="00327079" w:rsidP="00D91D77">
      <w:pPr>
        <w:rPr>
          <w:lang w:eastAsia="en-US"/>
        </w:rPr>
      </w:pPr>
      <w:r w:rsidRPr="00EE43C6">
        <w:rPr>
          <w:lang w:eastAsia="en-US"/>
        </w:rPr>
        <w:t xml:space="preserve">The topographic slope of the Project Area is between 0 – 50%. Observed assemblies are Upper Miocene </w:t>
      </w:r>
      <w:r w:rsidR="00333216" w:rsidRPr="00EE43C6">
        <w:rPr>
          <w:lang w:eastAsia="en-US"/>
        </w:rPr>
        <w:t>–</w:t>
      </w:r>
      <w:r w:rsidRPr="00EE43C6">
        <w:rPr>
          <w:lang w:eastAsia="en-US"/>
        </w:rPr>
        <w:t xml:space="preserve"> Pliocene in age, and the Handere Formation</w:t>
      </w:r>
      <w:r w:rsidR="00664DBC" w:rsidRPr="00EE43C6">
        <w:rPr>
          <w:lang w:eastAsia="en-US"/>
        </w:rPr>
        <w:t>.</w:t>
      </w:r>
      <w:r w:rsidRPr="00EE43C6">
        <w:rPr>
          <w:lang w:eastAsia="en-US"/>
        </w:rPr>
        <w:t xml:space="preserve"> It forms the geology of caliche bedded clay and clayey marl. As of the current situation, stability problems such as landslides and rockfalls are not expected in the </w:t>
      </w:r>
      <w:r w:rsidR="00D84113" w:rsidRPr="00EE43C6">
        <w:rPr>
          <w:lang w:eastAsia="en-US"/>
        </w:rPr>
        <w:t>Project A</w:t>
      </w:r>
      <w:r w:rsidRPr="00EE43C6">
        <w:rPr>
          <w:lang w:eastAsia="en-US"/>
        </w:rPr>
        <w:t>rea</w:t>
      </w:r>
      <w:r w:rsidR="00D84113" w:rsidRPr="00EE43C6">
        <w:rPr>
          <w:lang w:eastAsia="en-US"/>
        </w:rPr>
        <w:t xml:space="preserve"> </w:t>
      </w:r>
      <w:sdt>
        <w:sdtPr>
          <w:rPr>
            <w:lang w:eastAsia="en-US"/>
          </w:rPr>
          <w:id w:val="1396472149"/>
          <w:citation/>
        </w:sdtPr>
        <w:sdtEndPr/>
        <w:sdtContent>
          <w:r w:rsidR="00D84113" w:rsidRPr="00EE43C6">
            <w:rPr>
              <w:lang w:eastAsia="en-US"/>
            </w:rPr>
            <w:fldChar w:fldCharType="begin"/>
          </w:r>
          <w:r w:rsidR="00D84113" w:rsidRPr="00EE43C6">
            <w:rPr>
              <w:lang w:eastAsia="en-US"/>
            </w:rPr>
            <w:instrText xml:space="preserve"> CITATION Şen18 \l 1055 </w:instrText>
          </w:r>
          <w:r w:rsidR="00D84113" w:rsidRPr="00EE43C6">
            <w:rPr>
              <w:lang w:eastAsia="en-US"/>
            </w:rPr>
            <w:fldChar w:fldCharType="separate"/>
          </w:r>
          <w:r w:rsidR="00CE3B94" w:rsidRPr="00EE43C6">
            <w:rPr>
              <w:lang w:eastAsia="en-US"/>
            </w:rPr>
            <w:t>(Şen Engineering, The Geological-Geotechnical Survey Report of the Project Area, 2018)</w:t>
          </w:r>
          <w:r w:rsidR="00D84113" w:rsidRPr="00EE43C6">
            <w:rPr>
              <w:lang w:eastAsia="en-US"/>
            </w:rPr>
            <w:fldChar w:fldCharType="end"/>
          </w:r>
        </w:sdtContent>
      </w:sdt>
      <w:r w:rsidRPr="00EE43C6">
        <w:rPr>
          <w:lang w:eastAsia="en-US"/>
        </w:rPr>
        <w:t>.</w:t>
      </w:r>
    </w:p>
    <w:p w14:paraId="1F761BED" w14:textId="3C0AE004" w:rsidR="00542E83" w:rsidRPr="00EE43C6" w:rsidRDefault="00805204" w:rsidP="00D91D77">
      <w:pPr>
        <w:rPr>
          <w:lang w:eastAsia="en-US"/>
        </w:rPr>
      </w:pPr>
      <w:r w:rsidRPr="3C3DFBEF">
        <w:rPr>
          <w:lang w:eastAsia="en-US"/>
        </w:rPr>
        <w:t>T</w:t>
      </w:r>
      <w:r w:rsidR="00345F78" w:rsidRPr="3C3DFBEF">
        <w:rPr>
          <w:lang w:eastAsia="en-US"/>
        </w:rPr>
        <w:t xml:space="preserve">here is no flood risk for the </w:t>
      </w:r>
      <w:r w:rsidR="00496318" w:rsidRPr="3C3DFBEF">
        <w:rPr>
          <w:lang w:eastAsia="en-US"/>
        </w:rPr>
        <w:t>Project A</w:t>
      </w:r>
      <w:r w:rsidR="00345F78" w:rsidRPr="3C3DFBEF">
        <w:rPr>
          <w:lang w:eastAsia="en-US"/>
        </w:rPr>
        <w:t>rea</w:t>
      </w:r>
      <w:r w:rsidR="00BB7560" w:rsidRPr="3C3DFBEF">
        <w:rPr>
          <w:lang w:eastAsia="en-US"/>
        </w:rPr>
        <w:t xml:space="preserve">  considering </w:t>
      </w:r>
      <w:r w:rsidR="362C2342" w:rsidRPr="3C3DFBEF">
        <w:rPr>
          <w:lang w:eastAsia="en-US"/>
        </w:rPr>
        <w:t xml:space="preserve">its </w:t>
      </w:r>
      <w:r w:rsidR="00BB7560" w:rsidRPr="3C3DFBEF">
        <w:rPr>
          <w:lang w:eastAsia="en-US"/>
        </w:rPr>
        <w:t xml:space="preserve"> location  and the distance of the surface waters. </w:t>
      </w:r>
      <w:r w:rsidR="00542E83" w:rsidRPr="3C3DFBEF">
        <w:rPr>
          <w:lang w:eastAsia="en-US"/>
        </w:rPr>
        <w:t xml:space="preserve">The seasonal Evcisuyu Stream passing through the land will be arranged as a </w:t>
      </w:r>
      <w:r w:rsidR="00D1567B" w:rsidRPr="3C3DFBEF">
        <w:rPr>
          <w:lang w:eastAsia="en-US"/>
        </w:rPr>
        <w:t xml:space="preserve">diversion canal </w:t>
      </w:r>
      <w:r w:rsidR="00542E83" w:rsidRPr="3C3DFBEF">
        <w:rPr>
          <w:lang w:eastAsia="en-US"/>
        </w:rPr>
        <w:t xml:space="preserve">by </w:t>
      </w:r>
      <w:r w:rsidR="00F35368" w:rsidRPr="3C3DFBEF">
        <w:rPr>
          <w:lang w:eastAsia="en-US"/>
        </w:rPr>
        <w:t xml:space="preserve">considering </w:t>
      </w:r>
      <w:r w:rsidR="00542E83" w:rsidRPr="3C3DFBEF">
        <w:rPr>
          <w:lang w:eastAsia="en-US"/>
        </w:rPr>
        <w:t xml:space="preserve">the flood risks within the scope of this Project. </w:t>
      </w:r>
      <w:r w:rsidR="00BB7560" w:rsidRPr="3C3DFBEF">
        <w:rPr>
          <w:lang w:eastAsia="en-US"/>
        </w:rPr>
        <w:t>In this context, w</w:t>
      </w:r>
      <w:r w:rsidR="00542E83" w:rsidRPr="3C3DFBEF">
        <w:rPr>
          <w:lang w:eastAsia="en-US"/>
        </w:rPr>
        <w:t>ith the official letter of the 6</w:t>
      </w:r>
      <w:r w:rsidR="00542E83" w:rsidRPr="3C3DFBEF">
        <w:rPr>
          <w:vertAlign w:val="superscript"/>
          <w:lang w:eastAsia="en-US"/>
        </w:rPr>
        <w:t>th</w:t>
      </w:r>
      <w:r w:rsidR="00542E83" w:rsidRPr="3C3DFBEF">
        <w:rPr>
          <w:lang w:eastAsia="en-US"/>
        </w:rPr>
        <w:t xml:space="preserve"> Regional Directorate of DSI </w:t>
      </w:r>
      <w:r w:rsidR="00E8366D" w:rsidRPr="3C3DFBEF">
        <w:rPr>
          <w:lang w:eastAsia="en-US"/>
        </w:rPr>
        <w:t>dated 26.03.2021 and numbered 1099955</w:t>
      </w:r>
      <w:r w:rsidR="007A5798" w:rsidRPr="3C3DFBEF">
        <w:rPr>
          <w:lang w:eastAsia="en-US"/>
        </w:rPr>
        <w:t xml:space="preserve"> (see Appendix-C)</w:t>
      </w:r>
      <w:r w:rsidR="00E8366D" w:rsidRPr="3C3DFBEF">
        <w:rPr>
          <w:lang w:eastAsia="en-US"/>
        </w:rPr>
        <w:t xml:space="preserve">, </w:t>
      </w:r>
      <w:r w:rsidR="007A5798" w:rsidRPr="3C3DFBEF">
        <w:rPr>
          <w:lang w:eastAsia="en-US"/>
        </w:rPr>
        <w:t>t</w:t>
      </w:r>
      <w:r w:rsidR="00E8366D" w:rsidRPr="3C3DFBEF">
        <w:rPr>
          <w:lang w:eastAsia="en-US"/>
        </w:rPr>
        <w:t xml:space="preserve">he improvement sections prepared for Evcisuyu Stream </w:t>
      </w:r>
      <w:r w:rsidR="00542E83" w:rsidRPr="3C3DFBEF">
        <w:rPr>
          <w:lang w:eastAsia="en-US"/>
        </w:rPr>
        <w:t>were found to be hydraulically appropriate</w:t>
      </w:r>
      <w:r w:rsidR="004B4DE4" w:rsidRPr="3C3DFBEF">
        <w:rPr>
          <w:lang w:eastAsia="en-US"/>
        </w:rPr>
        <w:t xml:space="preserve">, and it was determined that they met the criteria specified in </w:t>
      </w:r>
      <w:r w:rsidR="0051090F" w:rsidRPr="3C3DFBEF">
        <w:rPr>
          <w:lang w:eastAsia="en-US"/>
        </w:rPr>
        <w:t>Regulation on the Control of Flood and Sedimentation</w:t>
      </w:r>
      <w:r w:rsidR="00213A7F" w:rsidRPr="3C3DFBEF">
        <w:rPr>
          <w:lang w:eastAsia="en-US"/>
        </w:rPr>
        <w:t>.</w:t>
      </w:r>
    </w:p>
    <w:p w14:paraId="52F01313" w14:textId="77777777" w:rsidR="00F60B11" w:rsidRPr="00EE43C6" w:rsidRDefault="00F60B11">
      <w:pPr>
        <w:spacing w:before="0" w:after="200" w:line="276" w:lineRule="auto"/>
        <w:jc w:val="left"/>
        <w:rPr>
          <w:rFonts w:cs="Arial"/>
          <w:b/>
          <w:bCs/>
          <w:color w:val="4F81BD"/>
          <w:sz w:val="24"/>
        </w:rPr>
      </w:pPr>
      <w:bookmarkStart w:id="315" w:name="_Toc120016928"/>
      <w:bookmarkStart w:id="316" w:name="_Toc120004706"/>
      <w:bookmarkStart w:id="317" w:name="_Toc80633541"/>
      <w:r w:rsidRPr="00EE43C6">
        <w:br w:type="page"/>
      </w:r>
    </w:p>
    <w:p w14:paraId="1603D549" w14:textId="25E16518" w:rsidR="006A10D7" w:rsidRPr="00EE43C6" w:rsidRDefault="2736F200" w:rsidP="00F60B11">
      <w:pPr>
        <w:pStyle w:val="Heading2"/>
        <w:ind w:hanging="718"/>
        <w:rPr>
          <w:lang w:val="en-GB"/>
        </w:rPr>
      </w:pPr>
      <w:bookmarkStart w:id="318" w:name="_Toc141445417"/>
      <w:r w:rsidRPr="00EE43C6">
        <w:rPr>
          <w:lang w:val="en-GB"/>
        </w:rPr>
        <w:lastRenderedPageBreak/>
        <w:t>Biodiversity and Protected Areas</w:t>
      </w:r>
      <w:bookmarkEnd w:id="315"/>
      <w:bookmarkEnd w:id="316"/>
      <w:bookmarkEnd w:id="318"/>
    </w:p>
    <w:p w14:paraId="64C4A04F" w14:textId="0840BE8A" w:rsidR="00082434" w:rsidRPr="00EE43C6" w:rsidRDefault="00082434" w:rsidP="009904D2">
      <w:pPr>
        <w:spacing w:after="120"/>
        <w:rPr>
          <w:rFonts w:cs="MS Gothic"/>
          <w:szCs w:val="22"/>
        </w:rPr>
      </w:pPr>
      <w:r w:rsidRPr="00EE43C6">
        <w:rPr>
          <w:rFonts w:cs="MS Gothic"/>
          <w:szCs w:val="22"/>
        </w:rPr>
        <w:t xml:space="preserve">The Project </w:t>
      </w:r>
      <w:r w:rsidR="00B538E2" w:rsidRPr="00EE43C6">
        <w:rPr>
          <w:rFonts w:cs="MS Gothic"/>
          <w:szCs w:val="22"/>
        </w:rPr>
        <w:t xml:space="preserve">Area </w:t>
      </w:r>
      <w:r w:rsidRPr="00EE43C6">
        <w:rPr>
          <w:rFonts w:cs="MS Gothic"/>
          <w:szCs w:val="22"/>
        </w:rPr>
        <w:t>is under the influence of the Mediterranean climate. According to the Corine</w:t>
      </w:r>
      <w:r w:rsidRPr="00EE43C6">
        <w:rPr>
          <w:vertAlign w:val="superscript"/>
        </w:rPr>
        <w:footnoteReference w:id="5"/>
      </w:r>
      <w:r w:rsidR="008660AB">
        <w:rPr>
          <w:rFonts w:cs="MS Gothic"/>
          <w:szCs w:val="22"/>
        </w:rPr>
        <w:t xml:space="preserve"> </w:t>
      </w:r>
      <w:r w:rsidRPr="00EE43C6">
        <w:rPr>
          <w:rFonts w:cs="MS Gothic"/>
          <w:szCs w:val="22"/>
        </w:rPr>
        <w:t xml:space="preserve">2018 Land Cover data, the Project </w:t>
      </w:r>
      <w:r w:rsidR="00B538E2" w:rsidRPr="00EE43C6">
        <w:rPr>
          <w:rFonts w:cs="MS Gothic"/>
          <w:szCs w:val="22"/>
        </w:rPr>
        <w:t xml:space="preserve">Area </w:t>
      </w:r>
      <w:r w:rsidR="009963A2" w:rsidRPr="00EE43C6">
        <w:rPr>
          <w:rFonts w:cs="MS Gothic"/>
          <w:szCs w:val="22"/>
        </w:rPr>
        <w:t>is in</w:t>
      </w:r>
      <w:r w:rsidRPr="00EE43C6">
        <w:rPr>
          <w:rFonts w:cs="MS Gothic"/>
          <w:szCs w:val="22"/>
        </w:rPr>
        <w:t xml:space="preserve"> </w:t>
      </w:r>
      <w:r w:rsidR="006C2836" w:rsidRPr="00EE43C6">
        <w:rPr>
          <w:rFonts w:cs="MS Gothic"/>
          <w:szCs w:val="22"/>
        </w:rPr>
        <w:t>Sparsely vegetated areas</w:t>
      </w:r>
      <w:r w:rsidR="00530BB8" w:rsidRPr="00EE43C6">
        <w:rPr>
          <w:rFonts w:cs="MS Gothic"/>
          <w:szCs w:val="22"/>
        </w:rPr>
        <w:t>,</w:t>
      </w:r>
      <w:r w:rsidR="00254078" w:rsidRPr="00EE43C6">
        <w:rPr>
          <w:rFonts w:cs="MS Gothic"/>
          <w:szCs w:val="22"/>
        </w:rPr>
        <w:t xml:space="preserve"> Mineral extraction sites</w:t>
      </w:r>
      <w:r w:rsidR="00530BB8" w:rsidRPr="00EE43C6">
        <w:rPr>
          <w:rFonts w:cs="MS Gothic"/>
          <w:szCs w:val="22"/>
        </w:rPr>
        <w:t xml:space="preserve"> and Fruit trees and berry plantations</w:t>
      </w:r>
      <w:r w:rsidRPr="00EE43C6">
        <w:rPr>
          <w:rFonts w:cs="MS Gothic"/>
          <w:szCs w:val="22"/>
        </w:rPr>
        <w:t xml:space="preserve">. The surroundings of the Project area are also composed of </w:t>
      </w:r>
      <w:r w:rsidR="00747B56" w:rsidRPr="00EE43C6">
        <w:rPr>
          <w:rFonts w:cs="MS Gothic"/>
          <w:szCs w:val="22"/>
        </w:rPr>
        <w:t xml:space="preserve">Transitional woodland-shrub and </w:t>
      </w:r>
      <w:r w:rsidR="00E42A45" w:rsidRPr="00EE43C6">
        <w:rPr>
          <w:rFonts w:cs="MS Gothic"/>
          <w:szCs w:val="22"/>
        </w:rPr>
        <w:t xml:space="preserve">various </w:t>
      </w:r>
      <w:r w:rsidR="00CD204B" w:rsidRPr="00EE43C6">
        <w:rPr>
          <w:rFonts w:cs="MS Gothic"/>
          <w:szCs w:val="22"/>
        </w:rPr>
        <w:t>agricultural fields</w:t>
      </w:r>
      <w:r w:rsidR="0088403E" w:rsidRPr="00EE43C6">
        <w:rPr>
          <w:rFonts w:cs="MS Gothic"/>
          <w:szCs w:val="22"/>
        </w:rPr>
        <w:t xml:space="preserve"> (</w:t>
      </w:r>
      <w:r w:rsidR="0088403E" w:rsidRPr="00EE43C6">
        <w:rPr>
          <w:rFonts w:cs="MS Gothic"/>
          <w:szCs w:val="22"/>
        </w:rPr>
        <w:fldChar w:fldCharType="begin"/>
      </w:r>
      <w:r w:rsidR="0088403E" w:rsidRPr="00EE43C6">
        <w:rPr>
          <w:rFonts w:cs="MS Gothic"/>
          <w:szCs w:val="22"/>
        </w:rPr>
        <w:instrText xml:space="preserve"> REF _Ref125623850 \h  \* MERGEFORMAT </w:instrText>
      </w:r>
      <w:r w:rsidR="0088403E" w:rsidRPr="00EE43C6">
        <w:rPr>
          <w:rFonts w:cs="MS Gothic"/>
          <w:szCs w:val="22"/>
        </w:rPr>
      </w:r>
      <w:r w:rsidR="0088403E" w:rsidRPr="00EE43C6">
        <w:rPr>
          <w:rFonts w:cs="MS Gothic"/>
          <w:szCs w:val="22"/>
        </w:rPr>
        <w:fldChar w:fldCharType="separate"/>
      </w:r>
      <w:r w:rsidR="008660AB" w:rsidRPr="008660AB">
        <w:rPr>
          <w:rFonts w:cs="MS Gothic"/>
          <w:szCs w:val="22"/>
        </w:rPr>
        <w:t>Figure 4</w:t>
      </w:r>
      <w:r w:rsidR="008660AB" w:rsidRPr="008660AB">
        <w:rPr>
          <w:rFonts w:cs="MS Gothic"/>
          <w:szCs w:val="22"/>
        </w:rPr>
        <w:noBreakHyphen/>
        <w:t>11</w:t>
      </w:r>
      <w:r w:rsidR="0088403E" w:rsidRPr="00EE43C6">
        <w:rPr>
          <w:rFonts w:cs="MS Gothic"/>
          <w:szCs w:val="22"/>
        </w:rPr>
        <w:fldChar w:fldCharType="end"/>
      </w:r>
      <w:r w:rsidR="0088403E" w:rsidRPr="00EE43C6">
        <w:rPr>
          <w:rFonts w:cs="MS Gothic"/>
          <w:szCs w:val="22"/>
        </w:rPr>
        <w:t>)</w:t>
      </w:r>
      <w:r w:rsidRPr="00EE43C6">
        <w:rPr>
          <w:rFonts w:cs="MS Gothic"/>
          <w:szCs w:val="22"/>
        </w:rPr>
        <w:t>.</w:t>
      </w:r>
      <w:r w:rsidR="00F84326" w:rsidRPr="00EE43C6">
        <w:rPr>
          <w:rFonts w:cs="MS Gothic"/>
          <w:szCs w:val="22"/>
        </w:rPr>
        <w:t xml:space="preserve"> </w:t>
      </w:r>
    </w:p>
    <w:p w14:paraId="6646DF4C" w14:textId="5989E846" w:rsidR="00082434" w:rsidRPr="00EE43C6" w:rsidRDefault="00B27B22" w:rsidP="009904D2">
      <w:pPr>
        <w:keepNext/>
        <w:spacing w:before="120" w:after="0" w:line="240" w:lineRule="auto"/>
        <w:jc w:val="center"/>
        <w:rPr>
          <w:highlight w:val="yellow"/>
        </w:rPr>
      </w:pPr>
      <w:r w:rsidRPr="00EE43C6">
        <w:rPr>
          <w:noProof/>
        </w:rPr>
        <w:drawing>
          <wp:inline distT="0" distB="0" distL="0" distR="0" wp14:anchorId="61F89175" wp14:editId="5EC4DC33">
            <wp:extent cx="4860000" cy="6866926"/>
            <wp:effectExtent l="38100" t="38100" r="36195" b="2921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860000" cy="6866926"/>
                    </a:xfrm>
                    <a:prstGeom prst="rect">
                      <a:avLst/>
                    </a:prstGeom>
                    <a:noFill/>
                    <a:ln w="38100">
                      <a:solidFill>
                        <a:schemeClr val="tx1"/>
                      </a:solidFill>
                    </a:ln>
                  </pic:spPr>
                </pic:pic>
              </a:graphicData>
            </a:graphic>
          </wp:inline>
        </w:drawing>
      </w:r>
    </w:p>
    <w:p w14:paraId="47F15654" w14:textId="5C8E5559" w:rsidR="00082434" w:rsidRPr="00EE43C6" w:rsidRDefault="00082434" w:rsidP="00082434">
      <w:pPr>
        <w:pStyle w:val="Caption"/>
        <w:rPr>
          <w:rFonts w:eastAsia="Cambria" w:cs="MS Gothic"/>
          <w:b w:val="0"/>
          <w:noProof w:val="0"/>
          <w:color w:val="000000"/>
          <w:szCs w:val="22"/>
        </w:rPr>
      </w:pPr>
      <w:bookmarkStart w:id="319" w:name="_Ref125623850"/>
      <w:bookmarkStart w:id="320" w:name="_Toc62821488"/>
      <w:bookmarkStart w:id="321" w:name="_Toc120016839"/>
      <w:bookmarkStart w:id="322" w:name="_Toc120004617"/>
      <w:bookmarkStart w:id="323" w:name="_Toc122089723"/>
      <w:bookmarkStart w:id="324" w:name="_Toc141445570"/>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4</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2334B">
        <w:rPr>
          <w:color w:val="00B050"/>
        </w:rPr>
        <w:t>11</w:t>
      </w:r>
      <w:r w:rsidR="0096150F">
        <w:rPr>
          <w:noProof w:val="0"/>
          <w:color w:val="00B050"/>
        </w:rPr>
        <w:fldChar w:fldCharType="end"/>
      </w:r>
      <w:bookmarkEnd w:id="319"/>
      <w:r w:rsidRPr="00EE43C6">
        <w:rPr>
          <w:noProof w:val="0"/>
          <w:color w:val="00B050"/>
        </w:rPr>
        <w:t xml:space="preserve">. </w:t>
      </w:r>
      <w:r w:rsidRPr="00EE43C6">
        <w:rPr>
          <w:b w:val="0"/>
          <w:noProof w:val="0"/>
          <w:color w:val="000000"/>
        </w:rPr>
        <w:t xml:space="preserve">Habitats within the </w:t>
      </w:r>
      <w:bookmarkEnd w:id="320"/>
      <w:r w:rsidRPr="00EE43C6">
        <w:rPr>
          <w:b w:val="0"/>
          <w:noProof w:val="0"/>
          <w:color w:val="000000"/>
        </w:rPr>
        <w:t>Project Area and Close Vicinity</w:t>
      </w:r>
      <w:bookmarkEnd w:id="321"/>
      <w:bookmarkEnd w:id="322"/>
      <w:bookmarkEnd w:id="323"/>
      <w:bookmarkEnd w:id="324"/>
      <w:r w:rsidRPr="00EE43C6">
        <w:rPr>
          <w:b w:val="0"/>
          <w:noProof w:val="0"/>
        </w:rPr>
        <w:t xml:space="preserve"> </w:t>
      </w:r>
    </w:p>
    <w:p w14:paraId="19E2CF01" w14:textId="77777777" w:rsidR="009A4203" w:rsidRPr="00EE43C6" w:rsidRDefault="009A4203" w:rsidP="00F60B11">
      <w:pPr>
        <w:spacing w:before="0" w:after="0"/>
        <w:rPr>
          <w:rFonts w:cs="MS Gothic"/>
        </w:rPr>
      </w:pPr>
      <w:r w:rsidRPr="00EE43C6">
        <w:rPr>
          <w:noProof/>
        </w:rPr>
        <w:lastRenderedPageBreak/>
        <w:drawing>
          <wp:inline distT="0" distB="0" distL="0" distR="0" wp14:anchorId="348A3E9C" wp14:editId="77E47DD2">
            <wp:extent cx="5760000" cy="3455746"/>
            <wp:effectExtent l="38100" t="38100" r="31750" b="30480"/>
            <wp:docPr id="102" name="Resim 102" descr="metin, zemin, açık hava,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sim 102" descr="metin, zemin, açık hava, doğa içeren bir resim&#10;&#10;Açıklama otomatik olarak oluşturuldu"/>
                    <pic:cNvPicPr/>
                  </pic:nvPicPr>
                  <pic:blipFill>
                    <a:blip r:embed="rId57" cstate="screen">
                      <a:extLst>
                        <a:ext uri="{28A0092B-C50C-407E-A947-70E740481C1C}">
                          <a14:useLocalDpi xmlns:a14="http://schemas.microsoft.com/office/drawing/2010/main"/>
                        </a:ext>
                      </a:extLst>
                    </a:blip>
                    <a:stretch>
                      <a:fillRect/>
                    </a:stretch>
                  </pic:blipFill>
                  <pic:spPr>
                    <a:xfrm>
                      <a:off x="0" y="0"/>
                      <a:ext cx="5760000" cy="3455746"/>
                    </a:xfrm>
                    <a:prstGeom prst="rect">
                      <a:avLst/>
                    </a:prstGeom>
                    <a:ln w="38100">
                      <a:solidFill>
                        <a:schemeClr val="tx1"/>
                      </a:solidFill>
                    </a:ln>
                  </pic:spPr>
                </pic:pic>
              </a:graphicData>
            </a:graphic>
          </wp:inline>
        </w:drawing>
      </w:r>
    </w:p>
    <w:p w14:paraId="1150DF1D" w14:textId="3617A979" w:rsidR="009A4203" w:rsidRPr="00EE43C6" w:rsidRDefault="009A4203" w:rsidP="00F60B11">
      <w:pPr>
        <w:pStyle w:val="Caption"/>
        <w:spacing w:before="0" w:after="0"/>
        <w:rPr>
          <w:b w:val="0"/>
          <w:noProof w:val="0"/>
          <w:color w:val="000000"/>
        </w:rPr>
      </w:pPr>
      <w:bookmarkStart w:id="325" w:name="_Toc141445571"/>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4</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2334B">
        <w:rPr>
          <w:color w:val="00B050"/>
        </w:rPr>
        <w:t>12</w:t>
      </w:r>
      <w:r w:rsidR="0096150F">
        <w:rPr>
          <w:noProof w:val="0"/>
          <w:color w:val="00B050"/>
        </w:rPr>
        <w:fldChar w:fldCharType="end"/>
      </w:r>
      <w:r w:rsidRPr="00EE43C6">
        <w:rPr>
          <w:noProof w:val="0"/>
        </w:rPr>
        <w:t xml:space="preserve"> </w:t>
      </w:r>
      <w:r w:rsidRPr="00EE43C6">
        <w:rPr>
          <w:b w:val="0"/>
          <w:noProof w:val="0"/>
          <w:color w:val="000000"/>
        </w:rPr>
        <w:t xml:space="preserve">General </w:t>
      </w:r>
      <w:r w:rsidR="009904D2" w:rsidRPr="00EE43C6">
        <w:rPr>
          <w:b w:val="0"/>
          <w:noProof w:val="0"/>
          <w:color w:val="000000"/>
        </w:rPr>
        <w:t xml:space="preserve">View </w:t>
      </w:r>
      <w:r w:rsidR="00FA6776" w:rsidRPr="00EE43C6">
        <w:rPr>
          <w:b w:val="0"/>
          <w:noProof w:val="0"/>
          <w:color w:val="000000"/>
        </w:rPr>
        <w:t>f</w:t>
      </w:r>
      <w:r w:rsidRPr="00EE43C6">
        <w:rPr>
          <w:b w:val="0"/>
          <w:noProof w:val="0"/>
          <w:color w:val="000000"/>
        </w:rPr>
        <w:t>rom the Project Area</w:t>
      </w:r>
      <w:bookmarkEnd w:id="325"/>
    </w:p>
    <w:p w14:paraId="13DB4C16" w14:textId="77777777" w:rsidR="00FA6776" w:rsidRPr="00EE43C6" w:rsidRDefault="009A4203" w:rsidP="009904D2">
      <w:pPr>
        <w:spacing w:before="720" w:after="0"/>
        <w:rPr>
          <w:rFonts w:cs="MS Gothic"/>
        </w:rPr>
      </w:pPr>
      <w:r w:rsidRPr="00EE43C6">
        <w:rPr>
          <w:noProof/>
        </w:rPr>
        <w:drawing>
          <wp:inline distT="0" distB="0" distL="0" distR="0" wp14:anchorId="6861100E" wp14:editId="01564B05">
            <wp:extent cx="5760000" cy="3455746"/>
            <wp:effectExtent l="38100" t="38100" r="31750" b="30480"/>
            <wp:docPr id="105" name="Resim 105" descr="açık hava, gök, çayır,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esim 105" descr="açık hava, gök, çayır, doğa içeren bir resim&#10;&#10;Açıklama otomatik olarak oluşturuldu"/>
                    <pic:cNvPicPr/>
                  </pic:nvPicPr>
                  <pic:blipFill>
                    <a:blip r:embed="rId58" cstate="screen">
                      <a:extLst>
                        <a:ext uri="{28A0092B-C50C-407E-A947-70E740481C1C}">
                          <a14:useLocalDpi xmlns:a14="http://schemas.microsoft.com/office/drawing/2010/main"/>
                        </a:ext>
                      </a:extLst>
                    </a:blip>
                    <a:stretch>
                      <a:fillRect/>
                    </a:stretch>
                  </pic:blipFill>
                  <pic:spPr>
                    <a:xfrm>
                      <a:off x="0" y="0"/>
                      <a:ext cx="5760000" cy="3455746"/>
                    </a:xfrm>
                    <a:prstGeom prst="rect">
                      <a:avLst/>
                    </a:prstGeom>
                    <a:ln w="38100">
                      <a:solidFill>
                        <a:schemeClr val="tx1"/>
                      </a:solidFill>
                    </a:ln>
                  </pic:spPr>
                </pic:pic>
              </a:graphicData>
            </a:graphic>
          </wp:inline>
        </w:drawing>
      </w:r>
    </w:p>
    <w:p w14:paraId="03522DEA" w14:textId="76440598" w:rsidR="00FA6776" w:rsidRPr="00EE43C6" w:rsidRDefault="00FA6776" w:rsidP="00F60B11">
      <w:pPr>
        <w:pStyle w:val="Caption"/>
        <w:spacing w:before="0" w:after="0"/>
        <w:rPr>
          <w:rFonts w:cs="MS Gothic"/>
          <w:noProof w:val="0"/>
        </w:rPr>
      </w:pPr>
      <w:bookmarkStart w:id="326" w:name="_Toc141445572"/>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4</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2334B">
        <w:rPr>
          <w:color w:val="00B050"/>
        </w:rPr>
        <w:t>13</w:t>
      </w:r>
      <w:r w:rsidR="0096150F">
        <w:rPr>
          <w:noProof w:val="0"/>
          <w:color w:val="00B050"/>
        </w:rPr>
        <w:fldChar w:fldCharType="end"/>
      </w:r>
      <w:r w:rsidRPr="00EE43C6">
        <w:rPr>
          <w:noProof w:val="0"/>
          <w:color w:val="00B050"/>
        </w:rPr>
        <w:t xml:space="preserve"> </w:t>
      </w:r>
      <w:r w:rsidRPr="00EE43C6">
        <w:rPr>
          <w:b w:val="0"/>
          <w:noProof w:val="0"/>
          <w:color w:val="000000"/>
        </w:rPr>
        <w:t xml:space="preserve">General </w:t>
      </w:r>
      <w:r w:rsidR="009904D2" w:rsidRPr="00EE43C6">
        <w:rPr>
          <w:b w:val="0"/>
          <w:noProof w:val="0"/>
          <w:color w:val="000000"/>
        </w:rPr>
        <w:t xml:space="preserve">View </w:t>
      </w:r>
      <w:r w:rsidRPr="00EE43C6">
        <w:rPr>
          <w:b w:val="0"/>
          <w:noProof w:val="0"/>
          <w:color w:val="000000"/>
        </w:rPr>
        <w:t>from the Project Area</w:t>
      </w:r>
      <w:bookmarkEnd w:id="326"/>
    </w:p>
    <w:p w14:paraId="312A15AB" w14:textId="2FC11FD5" w:rsidR="00F60B11" w:rsidRPr="00EE43C6" w:rsidRDefault="00F60B11">
      <w:pPr>
        <w:spacing w:before="0" w:after="200" w:line="276" w:lineRule="auto"/>
        <w:jc w:val="left"/>
        <w:rPr>
          <w:rFonts w:cs="MS Gothic"/>
        </w:rPr>
      </w:pPr>
    </w:p>
    <w:p w14:paraId="2A8E37E4" w14:textId="77777777" w:rsidR="001E6725" w:rsidRPr="00EE43C6" w:rsidRDefault="001E6725">
      <w:pPr>
        <w:spacing w:before="0" w:after="200" w:line="276" w:lineRule="auto"/>
        <w:jc w:val="left"/>
        <w:rPr>
          <w:rFonts w:cs="MS Gothic"/>
        </w:rPr>
      </w:pPr>
    </w:p>
    <w:p w14:paraId="1089A7B0" w14:textId="0D5C28DD" w:rsidR="00082434" w:rsidRPr="00EE43C6" w:rsidRDefault="0597B555" w:rsidP="00082434">
      <w:pPr>
        <w:spacing w:after="120"/>
        <w:rPr>
          <w:rFonts w:eastAsia="Cambria" w:cs="MS Gothic"/>
          <w:color w:val="000000"/>
          <w:szCs w:val="22"/>
        </w:rPr>
      </w:pPr>
      <w:r w:rsidRPr="00EE43C6">
        <w:rPr>
          <w:rFonts w:cs="MS Gothic"/>
        </w:rPr>
        <w:lastRenderedPageBreak/>
        <w:t>Due to the intense anthropogenic impact observed in the project area, the distribution of flora and fauna is highly suppressed. The flora and fauna species that can be observed in the area comprise cosmopolitan species</w:t>
      </w:r>
      <w:r w:rsidR="31659825" w:rsidRPr="00EE43C6">
        <w:rPr>
          <w:rFonts w:cs="MS Gothic"/>
        </w:rPr>
        <w:t>.</w:t>
      </w:r>
      <w:r w:rsidRPr="00EE43C6">
        <w:rPr>
          <w:rFonts w:eastAsia="Cambria" w:cs="MS Gothic"/>
          <w:color w:val="000000" w:themeColor="text1"/>
        </w:rPr>
        <w:t xml:space="preserve"> The herbaceous vegetation on the Project </w:t>
      </w:r>
      <w:r w:rsidR="00B538E2" w:rsidRPr="00EE43C6">
        <w:rPr>
          <w:rFonts w:eastAsia="Cambria" w:cs="MS Gothic"/>
          <w:color w:val="000000" w:themeColor="text1"/>
        </w:rPr>
        <w:t xml:space="preserve">Area </w:t>
      </w:r>
      <w:r w:rsidRPr="00EE43C6">
        <w:rPr>
          <w:rFonts w:eastAsia="Cambria" w:cs="MS Gothic"/>
          <w:color w:val="000000" w:themeColor="text1"/>
        </w:rPr>
        <w:t>was not in good form, being quite degenerated.</w:t>
      </w:r>
    </w:p>
    <w:p w14:paraId="7E11D10D" w14:textId="77777777" w:rsidR="00082434" w:rsidRPr="00EE43C6" w:rsidRDefault="00082434" w:rsidP="00082434">
      <w:pPr>
        <w:rPr>
          <w:rFonts w:cs="MS Gothic"/>
          <w:szCs w:val="22"/>
        </w:rPr>
      </w:pPr>
      <w:r w:rsidRPr="00EE43C6">
        <w:rPr>
          <w:rFonts w:cs="MS Gothic"/>
          <w:szCs w:val="22"/>
        </w:rPr>
        <w:t>In evaluating the threat/protection status of species, Bern Convention (Convention on the Conservation of European Wildlife and Natural Habitats); and IUCN (International Union for Conservation of Nature) Red List Database were used.</w:t>
      </w:r>
    </w:p>
    <w:p w14:paraId="0C8DD956" w14:textId="77777777" w:rsidR="00082434" w:rsidRPr="00EE43C6" w:rsidRDefault="00082434" w:rsidP="00082434">
      <w:pPr>
        <w:rPr>
          <w:rFonts w:cs="MS Gothic"/>
          <w:szCs w:val="22"/>
          <w:u w:val="single"/>
        </w:rPr>
      </w:pPr>
      <w:r w:rsidRPr="00EE43C6">
        <w:rPr>
          <w:rFonts w:cs="MS Gothic"/>
          <w:szCs w:val="22"/>
          <w:u w:val="single"/>
        </w:rPr>
        <w:t>Bern Convention</w:t>
      </w:r>
    </w:p>
    <w:p w14:paraId="38D7643A" w14:textId="77777777" w:rsidR="00082434" w:rsidRPr="00EE43C6" w:rsidRDefault="00082434" w:rsidP="00082434">
      <w:pPr>
        <w:rPr>
          <w:rFonts w:cs="MS Gothic"/>
          <w:szCs w:val="22"/>
        </w:rPr>
      </w:pPr>
      <w:r w:rsidRPr="00EE43C6">
        <w:rPr>
          <w:rFonts w:cs="MS Gothic"/>
          <w:szCs w:val="22"/>
        </w:rPr>
        <w:t xml:space="preserve">The Convention was put into force in 1982 for the conservation of European wildlife and natural habitats. Fauna species protected by Bern Convention are listed in four categories: </w:t>
      </w:r>
    </w:p>
    <w:p w14:paraId="3A2CD073" w14:textId="77777777" w:rsidR="00082434" w:rsidRPr="00EE43C6" w:rsidRDefault="00082434" w:rsidP="00854BE8">
      <w:pPr>
        <w:pStyle w:val="ListParagraph"/>
        <w:numPr>
          <w:ilvl w:val="0"/>
          <w:numId w:val="27"/>
        </w:numPr>
        <w:rPr>
          <w:noProof w:val="0"/>
        </w:rPr>
      </w:pPr>
      <w:r w:rsidRPr="00EE43C6">
        <w:rPr>
          <w:noProof w:val="0"/>
        </w:rPr>
        <w:t>Appendix I: Strictly protected flora species</w:t>
      </w:r>
    </w:p>
    <w:p w14:paraId="64459B46" w14:textId="77777777" w:rsidR="00082434" w:rsidRPr="00EE43C6" w:rsidRDefault="00082434" w:rsidP="00854BE8">
      <w:pPr>
        <w:pStyle w:val="ListParagraph"/>
        <w:numPr>
          <w:ilvl w:val="0"/>
          <w:numId w:val="27"/>
        </w:numPr>
        <w:rPr>
          <w:noProof w:val="0"/>
        </w:rPr>
      </w:pPr>
      <w:r w:rsidRPr="00EE43C6">
        <w:rPr>
          <w:noProof w:val="0"/>
        </w:rPr>
        <w:t>Appendix II: Strictly protected fauna species</w:t>
      </w:r>
    </w:p>
    <w:p w14:paraId="5D62C1EA" w14:textId="77777777" w:rsidR="00082434" w:rsidRPr="00EE43C6" w:rsidRDefault="00082434" w:rsidP="00854BE8">
      <w:pPr>
        <w:pStyle w:val="ListParagraph"/>
        <w:numPr>
          <w:ilvl w:val="0"/>
          <w:numId w:val="27"/>
        </w:numPr>
        <w:rPr>
          <w:noProof w:val="0"/>
        </w:rPr>
      </w:pPr>
      <w:r w:rsidRPr="00EE43C6">
        <w:rPr>
          <w:noProof w:val="0"/>
        </w:rPr>
        <w:t>Appendix III: Protected fauna species</w:t>
      </w:r>
    </w:p>
    <w:p w14:paraId="30B62705" w14:textId="77777777" w:rsidR="00082434" w:rsidRPr="00EE43C6" w:rsidRDefault="00082434" w:rsidP="00854BE8">
      <w:pPr>
        <w:pStyle w:val="ListParagraph"/>
        <w:numPr>
          <w:ilvl w:val="0"/>
          <w:numId w:val="27"/>
        </w:numPr>
        <w:rPr>
          <w:noProof w:val="0"/>
        </w:rPr>
      </w:pPr>
      <w:r w:rsidRPr="00EE43C6">
        <w:rPr>
          <w:noProof w:val="0"/>
        </w:rPr>
        <w:t>Appendix IV: Prohibited means and methods of killing, capture and other forms of exploitation</w:t>
      </w:r>
    </w:p>
    <w:p w14:paraId="5703ABB4" w14:textId="77777777" w:rsidR="00082434" w:rsidRPr="00EE43C6" w:rsidRDefault="00082434" w:rsidP="00082434">
      <w:pPr>
        <w:rPr>
          <w:rFonts w:cs="MS Gothic"/>
          <w:szCs w:val="22"/>
          <w:u w:val="single"/>
        </w:rPr>
      </w:pPr>
      <w:bookmarkStart w:id="327" w:name="_Toc405986613"/>
      <w:bookmarkStart w:id="328" w:name="_Toc440251084"/>
      <w:bookmarkStart w:id="329" w:name="_Toc479751892"/>
      <w:r w:rsidRPr="00EE43C6">
        <w:rPr>
          <w:rFonts w:cs="MS Gothic"/>
          <w:szCs w:val="22"/>
          <w:u w:val="single"/>
        </w:rPr>
        <w:t xml:space="preserve">IUCN Red List of Threatened Species </w:t>
      </w:r>
      <w:bookmarkEnd w:id="327"/>
      <w:bookmarkEnd w:id="328"/>
      <w:bookmarkEnd w:id="329"/>
    </w:p>
    <w:p w14:paraId="42DEFDC5" w14:textId="77777777" w:rsidR="00082434" w:rsidRPr="00EE43C6" w:rsidRDefault="00082434" w:rsidP="00082434">
      <w:pPr>
        <w:rPr>
          <w:rFonts w:cs="MS Gothic"/>
          <w:szCs w:val="22"/>
        </w:rPr>
      </w:pPr>
      <w:r w:rsidRPr="00EE43C6">
        <w:rPr>
          <w:rFonts w:cs="MS Gothic"/>
          <w:szCs w:val="22"/>
        </w:rPr>
        <w:t>The International Union for Conservation of Nature (IUCN) Red List is published to draw attention to the species whose population is under risk or threatened. IUCN includes the species to the Red List after researching the reasons causing decrease in its population. IUCN Red List categories are given below:</w:t>
      </w:r>
    </w:p>
    <w:p w14:paraId="7FBA3F30" w14:textId="77777777" w:rsidR="00082434" w:rsidRPr="00EE43C6" w:rsidRDefault="00082434" w:rsidP="00854BE8">
      <w:pPr>
        <w:pStyle w:val="ListParagraph"/>
        <w:numPr>
          <w:ilvl w:val="0"/>
          <w:numId w:val="28"/>
        </w:numPr>
        <w:rPr>
          <w:noProof w:val="0"/>
        </w:rPr>
      </w:pPr>
      <w:r w:rsidRPr="00EE43C6">
        <w:rPr>
          <w:noProof w:val="0"/>
        </w:rPr>
        <w:t>EX:</w:t>
      </w:r>
      <w:r w:rsidRPr="00EE43C6">
        <w:rPr>
          <w:noProof w:val="0"/>
        </w:rPr>
        <w:tab/>
        <w:t>Extinct</w:t>
      </w:r>
    </w:p>
    <w:p w14:paraId="2716FF5D" w14:textId="77777777" w:rsidR="00082434" w:rsidRPr="00EE43C6" w:rsidRDefault="00082434" w:rsidP="00854BE8">
      <w:pPr>
        <w:pStyle w:val="ListParagraph"/>
        <w:numPr>
          <w:ilvl w:val="0"/>
          <w:numId w:val="28"/>
        </w:numPr>
        <w:rPr>
          <w:noProof w:val="0"/>
        </w:rPr>
      </w:pPr>
      <w:r w:rsidRPr="00EE43C6">
        <w:rPr>
          <w:noProof w:val="0"/>
        </w:rPr>
        <w:t>EW:</w:t>
      </w:r>
      <w:r w:rsidRPr="00EE43C6">
        <w:rPr>
          <w:noProof w:val="0"/>
        </w:rPr>
        <w:tab/>
        <w:t>Extinct in the Wild</w:t>
      </w:r>
    </w:p>
    <w:p w14:paraId="384F4E0E" w14:textId="77777777" w:rsidR="00082434" w:rsidRPr="00EE43C6" w:rsidRDefault="00082434" w:rsidP="00854BE8">
      <w:pPr>
        <w:pStyle w:val="ListParagraph"/>
        <w:numPr>
          <w:ilvl w:val="0"/>
          <w:numId w:val="28"/>
        </w:numPr>
        <w:rPr>
          <w:noProof w:val="0"/>
        </w:rPr>
      </w:pPr>
      <w:r w:rsidRPr="00EE43C6">
        <w:rPr>
          <w:noProof w:val="0"/>
        </w:rPr>
        <w:t>CR:</w:t>
      </w:r>
      <w:r w:rsidRPr="00EE43C6">
        <w:rPr>
          <w:noProof w:val="0"/>
        </w:rPr>
        <w:tab/>
        <w:t>Critically Endangered</w:t>
      </w:r>
    </w:p>
    <w:p w14:paraId="55723C90" w14:textId="77777777" w:rsidR="00082434" w:rsidRPr="00EE43C6" w:rsidRDefault="00082434" w:rsidP="00854BE8">
      <w:pPr>
        <w:pStyle w:val="ListParagraph"/>
        <w:numPr>
          <w:ilvl w:val="0"/>
          <w:numId w:val="28"/>
        </w:numPr>
        <w:rPr>
          <w:noProof w:val="0"/>
        </w:rPr>
      </w:pPr>
      <w:r w:rsidRPr="00EE43C6">
        <w:rPr>
          <w:noProof w:val="0"/>
        </w:rPr>
        <w:t>EN:</w:t>
      </w:r>
      <w:r w:rsidRPr="00EE43C6">
        <w:rPr>
          <w:noProof w:val="0"/>
        </w:rPr>
        <w:tab/>
        <w:t>Endangered</w:t>
      </w:r>
    </w:p>
    <w:p w14:paraId="1A8A331C" w14:textId="77777777" w:rsidR="00082434" w:rsidRPr="00EE43C6" w:rsidRDefault="00082434" w:rsidP="00854BE8">
      <w:pPr>
        <w:pStyle w:val="ListParagraph"/>
        <w:numPr>
          <w:ilvl w:val="0"/>
          <w:numId w:val="28"/>
        </w:numPr>
        <w:rPr>
          <w:noProof w:val="0"/>
        </w:rPr>
      </w:pPr>
      <w:r w:rsidRPr="00EE43C6">
        <w:rPr>
          <w:noProof w:val="0"/>
        </w:rPr>
        <w:t>VU:</w:t>
      </w:r>
      <w:r w:rsidRPr="00EE43C6">
        <w:rPr>
          <w:noProof w:val="0"/>
        </w:rPr>
        <w:tab/>
        <w:t>Vulnerable</w:t>
      </w:r>
    </w:p>
    <w:p w14:paraId="42D787FF" w14:textId="77777777" w:rsidR="00082434" w:rsidRPr="00EE43C6" w:rsidRDefault="00082434" w:rsidP="00854BE8">
      <w:pPr>
        <w:pStyle w:val="ListParagraph"/>
        <w:numPr>
          <w:ilvl w:val="0"/>
          <w:numId w:val="28"/>
        </w:numPr>
        <w:rPr>
          <w:noProof w:val="0"/>
        </w:rPr>
      </w:pPr>
      <w:r w:rsidRPr="00EE43C6">
        <w:rPr>
          <w:noProof w:val="0"/>
        </w:rPr>
        <w:t>NT:</w:t>
      </w:r>
      <w:r w:rsidRPr="00EE43C6">
        <w:rPr>
          <w:noProof w:val="0"/>
        </w:rPr>
        <w:tab/>
        <w:t>Near Threatened</w:t>
      </w:r>
    </w:p>
    <w:p w14:paraId="61891EC5" w14:textId="77777777" w:rsidR="00082434" w:rsidRPr="00EE43C6" w:rsidRDefault="00082434" w:rsidP="00854BE8">
      <w:pPr>
        <w:pStyle w:val="ListParagraph"/>
        <w:numPr>
          <w:ilvl w:val="0"/>
          <w:numId w:val="28"/>
        </w:numPr>
        <w:rPr>
          <w:noProof w:val="0"/>
        </w:rPr>
      </w:pPr>
      <w:r w:rsidRPr="00EE43C6">
        <w:rPr>
          <w:noProof w:val="0"/>
        </w:rPr>
        <w:t>LC:</w:t>
      </w:r>
      <w:r w:rsidRPr="00EE43C6">
        <w:rPr>
          <w:noProof w:val="0"/>
        </w:rPr>
        <w:tab/>
        <w:t>Least Concern</w:t>
      </w:r>
    </w:p>
    <w:p w14:paraId="646E634D" w14:textId="77777777" w:rsidR="00082434" w:rsidRPr="00EE43C6" w:rsidRDefault="00082434" w:rsidP="00854BE8">
      <w:pPr>
        <w:pStyle w:val="ListParagraph"/>
        <w:numPr>
          <w:ilvl w:val="0"/>
          <w:numId w:val="28"/>
        </w:numPr>
        <w:rPr>
          <w:noProof w:val="0"/>
        </w:rPr>
      </w:pPr>
      <w:r w:rsidRPr="00EE43C6">
        <w:rPr>
          <w:noProof w:val="0"/>
        </w:rPr>
        <w:t>DD:</w:t>
      </w:r>
      <w:r w:rsidRPr="00EE43C6">
        <w:rPr>
          <w:noProof w:val="0"/>
        </w:rPr>
        <w:tab/>
        <w:t>Data Deficient</w:t>
      </w:r>
    </w:p>
    <w:p w14:paraId="79E464D9" w14:textId="77777777" w:rsidR="00082434" w:rsidRPr="00EE43C6" w:rsidRDefault="00082434" w:rsidP="00854BE8">
      <w:pPr>
        <w:pStyle w:val="ListParagraph"/>
        <w:numPr>
          <w:ilvl w:val="0"/>
          <w:numId w:val="28"/>
        </w:numPr>
        <w:rPr>
          <w:noProof w:val="0"/>
        </w:rPr>
      </w:pPr>
      <w:r w:rsidRPr="00EE43C6">
        <w:rPr>
          <w:noProof w:val="0"/>
        </w:rPr>
        <w:t>NE:</w:t>
      </w:r>
      <w:r w:rsidRPr="00EE43C6">
        <w:rPr>
          <w:noProof w:val="0"/>
        </w:rPr>
        <w:tab/>
        <w:t>Not Evaluated</w:t>
      </w:r>
    </w:p>
    <w:p w14:paraId="393A28E8" w14:textId="14B3B980" w:rsidR="00CB67F4" w:rsidRPr="00EE43C6" w:rsidRDefault="00082434" w:rsidP="00CB67F4">
      <w:pPr>
        <w:rPr>
          <w:rFonts w:cs="MS Gothic"/>
          <w:szCs w:val="22"/>
        </w:rPr>
      </w:pPr>
      <w:r w:rsidRPr="00EE43C6">
        <w:rPr>
          <w:rFonts w:cs="MS Gothic"/>
          <w:szCs w:val="22"/>
        </w:rPr>
        <w:t xml:space="preserve">Red Book of Flora in </w:t>
      </w:r>
      <w:r w:rsidR="00117757">
        <w:rPr>
          <w:rFonts w:cs="MS Gothic"/>
          <w:szCs w:val="22"/>
        </w:rPr>
        <w:t>Türkiye</w:t>
      </w:r>
      <w:r w:rsidRPr="00EE43C6">
        <w:rPr>
          <w:rFonts w:cs="MS Gothic"/>
          <w:szCs w:val="22"/>
        </w:rPr>
        <w:t xml:space="preserve"> (Ekim et al., 2000), which is prepared as per the 1994 IUCN Red List Categories and Criteria, is used during the determination of risk status of the flora species in the study area. </w:t>
      </w:r>
    </w:p>
    <w:p w14:paraId="08BA6C72" w14:textId="6F35954E" w:rsidR="00CF7E88" w:rsidRPr="00EE43C6" w:rsidRDefault="00520C26" w:rsidP="00082434">
      <w:pPr>
        <w:rPr>
          <w:rFonts w:cs="MS Gothic"/>
          <w:szCs w:val="22"/>
        </w:rPr>
      </w:pPr>
      <w:r w:rsidRPr="00F12129">
        <w:rPr>
          <w:rFonts w:cs="MS Gothic"/>
          <w:szCs w:val="22"/>
        </w:rPr>
        <w:t>The flora and fauna data were generated using EIAs dated May 2018 and February 2022, and they were verified through a field study conducted on 20th December 2022</w:t>
      </w:r>
      <w:r w:rsidR="00AB73CD">
        <w:rPr>
          <w:rFonts w:cs="MS Gothic"/>
          <w:szCs w:val="22"/>
        </w:rPr>
        <w:t xml:space="preserve"> </w:t>
      </w:r>
      <w:r w:rsidR="001F55D6">
        <w:rPr>
          <w:rFonts w:cs="MS Gothic"/>
          <w:szCs w:val="22"/>
        </w:rPr>
        <w:t xml:space="preserve">in the scope of this ESMP preparation process </w:t>
      </w:r>
      <w:r w:rsidR="00AB73CD" w:rsidRPr="00EE43C6">
        <w:rPr>
          <w:rFonts w:cs="MS Gothic"/>
          <w:szCs w:val="22"/>
        </w:rPr>
        <w:t>and literature research</w:t>
      </w:r>
      <w:r w:rsidRPr="00F12129">
        <w:rPr>
          <w:rFonts w:cs="MS Gothic"/>
          <w:szCs w:val="22"/>
        </w:rPr>
        <w:t>.</w:t>
      </w:r>
    </w:p>
    <w:p w14:paraId="014FBD08" w14:textId="77777777" w:rsidR="008F46D4" w:rsidRPr="00CB67F4" w:rsidRDefault="008F46D4" w:rsidP="008F46D4">
      <w:pPr>
        <w:rPr>
          <w:rFonts w:cs="MS Gothic"/>
          <w:szCs w:val="22"/>
        </w:rPr>
      </w:pPr>
      <w:r w:rsidRPr="00CB67F4">
        <w:rPr>
          <w:rFonts w:cs="MS Gothic"/>
          <w:szCs w:val="22"/>
        </w:rPr>
        <w:lastRenderedPageBreak/>
        <w:t>The primary objective of the ESMP studies was to validate the findings outlined in the EIA and identify potential additional species. However, it should be noted that significant land preparations had already been executed, resulting in the removal of vegetation within the project area. Despite the fieldwork taking place before the flowering period, which posed challenges in identifying herbaceous species, the habitat assessment effectively facilitated the determination or confirmation of potential species within the area.</w:t>
      </w:r>
    </w:p>
    <w:p w14:paraId="024BBC76" w14:textId="6B138EC8" w:rsidR="00F60B11" w:rsidRPr="00EE43C6" w:rsidRDefault="008F46D4" w:rsidP="008F46D4">
      <w:pPr>
        <w:rPr>
          <w:rFonts w:eastAsia="Cambria" w:cs="MS Gothic"/>
          <w:b/>
          <w:i/>
          <w:u w:val="single"/>
        </w:rPr>
      </w:pPr>
      <w:r w:rsidRPr="00CB67F4">
        <w:rPr>
          <w:rFonts w:cs="MS Gothic"/>
          <w:szCs w:val="22"/>
        </w:rPr>
        <w:t>In conclusion, while direct observation of the species mentioned in the EIA was precluded due to the clearance of vegetation within the project area, the vast majority of these species were subsequently observed in the immediate vicinity of the project site.</w:t>
      </w:r>
    </w:p>
    <w:p w14:paraId="71F77CD5" w14:textId="368E0B14" w:rsidR="00082434" w:rsidRPr="00EE43C6" w:rsidRDefault="00082434" w:rsidP="00082434">
      <w:pPr>
        <w:spacing w:line="240" w:lineRule="auto"/>
        <w:rPr>
          <w:rFonts w:eastAsia="Cambria" w:cs="MS Gothic"/>
          <w:b/>
          <w:i/>
          <w:u w:val="single"/>
        </w:rPr>
      </w:pPr>
      <w:r w:rsidRPr="00EE43C6">
        <w:rPr>
          <w:rFonts w:eastAsia="Cambria" w:cs="MS Gothic"/>
          <w:b/>
          <w:i/>
          <w:u w:val="single"/>
        </w:rPr>
        <w:t>Flora</w:t>
      </w:r>
    </w:p>
    <w:p w14:paraId="3E7CDDF5" w14:textId="75ADBB95" w:rsidR="00082434" w:rsidRPr="00EE43C6" w:rsidRDefault="00E954BF" w:rsidP="00082434">
      <w:pPr>
        <w:rPr>
          <w:lang w:eastAsia="tr-TR"/>
        </w:rPr>
      </w:pPr>
      <w:r w:rsidRPr="00E954BF">
        <w:rPr>
          <w:lang w:eastAsia="tr-TR"/>
        </w:rPr>
        <w:t>According to the field studies carried out during the EIA studies</w:t>
      </w:r>
      <w:r w:rsidR="00082434" w:rsidRPr="00EE43C6">
        <w:rPr>
          <w:lang w:eastAsia="tr-TR"/>
        </w:rPr>
        <w:t xml:space="preserve">, </w:t>
      </w:r>
      <w:r w:rsidR="00A1032D" w:rsidRPr="00EE43C6">
        <w:rPr>
          <w:lang w:eastAsia="tr-TR"/>
        </w:rPr>
        <w:t>164</w:t>
      </w:r>
      <w:r w:rsidR="00082434" w:rsidRPr="00EE43C6">
        <w:rPr>
          <w:lang w:eastAsia="tr-TR"/>
        </w:rPr>
        <w:t xml:space="preserve"> species belonging to </w:t>
      </w:r>
      <w:r w:rsidR="002142C6" w:rsidRPr="00EE43C6">
        <w:rPr>
          <w:lang w:eastAsia="tr-TR"/>
        </w:rPr>
        <w:t>47</w:t>
      </w:r>
      <w:r w:rsidR="00082434" w:rsidRPr="00EE43C6">
        <w:rPr>
          <w:lang w:eastAsia="tr-TR"/>
        </w:rPr>
        <w:t xml:space="preserve"> families were identified</w:t>
      </w:r>
      <w:r w:rsidR="00C45B5F">
        <w:rPr>
          <w:lang w:eastAsia="tr-TR"/>
        </w:rPr>
        <w:t xml:space="preserve"> </w:t>
      </w:r>
      <w:r w:rsidR="00A037B1" w:rsidRPr="005F1B45">
        <w:rPr>
          <w:rFonts w:cs="MS Gothic"/>
          <w:szCs w:val="22"/>
        </w:rPr>
        <w:t xml:space="preserve">through </w:t>
      </w:r>
      <w:r w:rsidR="00A037B1">
        <w:rPr>
          <w:rFonts w:cs="MS Gothic"/>
          <w:szCs w:val="22"/>
        </w:rPr>
        <w:t xml:space="preserve">site observations and </w:t>
      </w:r>
      <w:r w:rsidR="00A037B1" w:rsidRPr="005F1B45">
        <w:rPr>
          <w:rFonts w:cs="MS Gothic"/>
          <w:szCs w:val="22"/>
        </w:rPr>
        <w:t>literature research</w:t>
      </w:r>
      <w:r w:rsidR="00C45B5F" w:rsidRPr="00EE43C6">
        <w:rPr>
          <w:rFonts w:cs="MS Gothic"/>
          <w:szCs w:val="22"/>
        </w:rPr>
        <w:t xml:space="preserve">. </w:t>
      </w:r>
      <w:r w:rsidR="00C45B5F" w:rsidRPr="002F52ED">
        <w:rPr>
          <w:rFonts w:cs="MS Gothic"/>
          <w:szCs w:val="22"/>
        </w:rPr>
        <w:t>Furthermore, during the ESMP study, habitat suitability was assessed for these species</w:t>
      </w:r>
      <w:r w:rsidR="00082434" w:rsidRPr="00EE43C6">
        <w:rPr>
          <w:lang w:eastAsia="tr-TR"/>
        </w:rPr>
        <w:t xml:space="preserve">. </w:t>
      </w:r>
      <w:r w:rsidR="003D2BC8" w:rsidRPr="00EE43C6">
        <w:rPr>
          <w:lang w:eastAsia="tr-TR"/>
        </w:rPr>
        <w:t>4 endemic plant species (</w:t>
      </w:r>
      <w:r w:rsidR="003D2BC8" w:rsidRPr="00EE43C6">
        <w:rPr>
          <w:i/>
          <w:iCs/>
          <w:lang w:eastAsia="tr-TR"/>
        </w:rPr>
        <w:t>Astragalus condensatus</w:t>
      </w:r>
      <w:r w:rsidR="003D2BC8" w:rsidRPr="00EE43C6">
        <w:rPr>
          <w:lang w:eastAsia="tr-TR"/>
        </w:rPr>
        <w:t xml:space="preserve"> (</w:t>
      </w:r>
      <w:r w:rsidR="00443EEC" w:rsidRPr="00EE43C6">
        <w:rPr>
          <w:lang w:eastAsia="tr-TR"/>
        </w:rPr>
        <w:t>Milkvetch</w:t>
      </w:r>
      <w:r w:rsidR="003D2BC8" w:rsidRPr="00EE43C6">
        <w:rPr>
          <w:lang w:eastAsia="tr-TR"/>
        </w:rPr>
        <w:t xml:space="preserve">), </w:t>
      </w:r>
      <w:r w:rsidR="003D2BC8" w:rsidRPr="00EE43C6">
        <w:rPr>
          <w:i/>
          <w:iCs/>
          <w:lang w:eastAsia="tr-TR"/>
        </w:rPr>
        <w:t>Marrubium globosum</w:t>
      </w:r>
      <w:r w:rsidR="003D2BC8" w:rsidRPr="00EE43C6">
        <w:rPr>
          <w:lang w:eastAsia="tr-TR"/>
        </w:rPr>
        <w:t xml:space="preserve"> subsp. </w:t>
      </w:r>
      <w:r w:rsidR="00165A8C" w:rsidRPr="00EE43C6">
        <w:rPr>
          <w:i/>
          <w:iCs/>
          <w:lang w:eastAsia="tr-TR"/>
        </w:rPr>
        <w:t>G</w:t>
      </w:r>
      <w:r w:rsidR="003D2BC8" w:rsidRPr="00EE43C6">
        <w:rPr>
          <w:i/>
          <w:iCs/>
          <w:lang w:eastAsia="tr-TR"/>
        </w:rPr>
        <w:t>lobosum</w:t>
      </w:r>
      <w:r w:rsidR="003D2BC8" w:rsidRPr="00EE43C6">
        <w:rPr>
          <w:lang w:eastAsia="tr-TR"/>
        </w:rPr>
        <w:t xml:space="preserve"> (</w:t>
      </w:r>
      <w:r w:rsidR="004D72B4" w:rsidRPr="00EE43C6">
        <w:rPr>
          <w:lang w:eastAsia="tr-TR"/>
        </w:rPr>
        <w:t>Horehound</w:t>
      </w:r>
      <w:r w:rsidR="003D2BC8" w:rsidRPr="00EE43C6">
        <w:rPr>
          <w:lang w:eastAsia="tr-TR"/>
        </w:rPr>
        <w:t xml:space="preserve">), </w:t>
      </w:r>
      <w:r w:rsidR="003D2BC8" w:rsidRPr="00EE43C6">
        <w:rPr>
          <w:i/>
          <w:iCs/>
          <w:lang w:eastAsia="tr-TR"/>
        </w:rPr>
        <w:t>Aubrieta canescens</w:t>
      </w:r>
      <w:r w:rsidR="003D2BC8" w:rsidRPr="00EE43C6">
        <w:rPr>
          <w:lang w:eastAsia="tr-TR"/>
        </w:rPr>
        <w:t xml:space="preserve"> (Obrisia), </w:t>
      </w:r>
      <w:r w:rsidR="003D2BC8" w:rsidRPr="00EE43C6">
        <w:rPr>
          <w:i/>
          <w:iCs/>
          <w:lang w:eastAsia="tr-TR"/>
        </w:rPr>
        <w:t>Arabian aubrietioides</w:t>
      </w:r>
      <w:r w:rsidR="003D2BC8" w:rsidRPr="00EE43C6">
        <w:rPr>
          <w:lang w:eastAsia="tr-TR"/>
        </w:rPr>
        <w:t xml:space="preserve"> (Rose caster)) were detected in the activity area and its surroundings. These species are widely distributed species and do not require protection measures</w:t>
      </w:r>
      <w:r w:rsidR="00082434" w:rsidRPr="00EE43C6">
        <w:rPr>
          <w:lang w:eastAsia="tr-TR"/>
        </w:rPr>
        <w:t xml:space="preserve">. The conservation status of flora identified in the project area is given in </w:t>
      </w:r>
      <w:r w:rsidR="00082434" w:rsidRPr="00EE43C6">
        <w:rPr>
          <w:lang w:eastAsia="tr-TR"/>
        </w:rPr>
        <w:fldChar w:fldCharType="begin"/>
      </w:r>
      <w:r w:rsidR="00082434" w:rsidRPr="00EE43C6">
        <w:rPr>
          <w:lang w:eastAsia="tr-TR"/>
        </w:rPr>
        <w:instrText xml:space="preserve"> REF _Ref120284057 \h  \* MERGEFORMAT </w:instrText>
      </w:r>
      <w:r w:rsidR="00082434" w:rsidRPr="00EE43C6">
        <w:rPr>
          <w:lang w:eastAsia="tr-TR"/>
        </w:rPr>
      </w:r>
      <w:r w:rsidR="00082434" w:rsidRPr="00EE43C6">
        <w:rPr>
          <w:lang w:eastAsia="tr-TR"/>
        </w:rPr>
        <w:fldChar w:fldCharType="separate"/>
      </w:r>
      <w:r w:rsidR="00CE3B94" w:rsidRPr="00EE43C6">
        <w:t>Table 4</w:t>
      </w:r>
      <w:r w:rsidR="00CE3B94" w:rsidRPr="00EE43C6">
        <w:noBreakHyphen/>
        <w:t>3</w:t>
      </w:r>
      <w:r w:rsidR="00082434" w:rsidRPr="00EE43C6">
        <w:rPr>
          <w:lang w:eastAsia="tr-TR"/>
        </w:rPr>
        <w:fldChar w:fldCharType="end"/>
      </w:r>
      <w:r w:rsidR="00082434" w:rsidRPr="00EE43C6">
        <w:rPr>
          <w:lang w:eastAsia="tr-TR"/>
        </w:rPr>
        <w:t>.</w:t>
      </w:r>
    </w:p>
    <w:p w14:paraId="575BCD1B" w14:textId="2C13C606" w:rsidR="00082434" w:rsidRPr="00EE43C6" w:rsidRDefault="00082434" w:rsidP="00082434">
      <w:pPr>
        <w:pStyle w:val="Caption"/>
        <w:rPr>
          <w:rFonts w:cs="MS Gothic"/>
          <w:b w:val="0"/>
          <w:noProof w:val="0"/>
          <w:color w:val="auto"/>
        </w:rPr>
      </w:pPr>
      <w:bookmarkStart w:id="330" w:name="_Ref120284057"/>
      <w:bookmarkStart w:id="331" w:name="_Ref106712063"/>
      <w:bookmarkStart w:id="332" w:name="_Toc109643795"/>
      <w:bookmarkStart w:id="333" w:name="_Toc120016851"/>
      <w:bookmarkStart w:id="334" w:name="_Toc120004629"/>
      <w:bookmarkStart w:id="335" w:name="_Toc122089687"/>
      <w:bookmarkStart w:id="336" w:name="_Toc141445498"/>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4</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3</w:t>
      </w:r>
      <w:r w:rsidR="006D2DE8">
        <w:rPr>
          <w:noProof w:val="0"/>
        </w:rPr>
        <w:fldChar w:fldCharType="end"/>
      </w:r>
      <w:bookmarkEnd w:id="330"/>
      <w:r w:rsidRPr="00EE43C6">
        <w:rPr>
          <w:noProof w:val="0"/>
        </w:rPr>
        <w:t xml:space="preserve">. </w:t>
      </w:r>
      <w:r w:rsidRPr="00EE43C6">
        <w:rPr>
          <w:rFonts w:cs="MS Gothic"/>
          <w:b w:val="0"/>
          <w:noProof w:val="0"/>
          <w:color w:val="auto"/>
        </w:rPr>
        <w:t xml:space="preserve">Flora Species Identified in the AoI as a Result of Studies  </w:t>
      </w:r>
      <w:r w:rsidRPr="00EE43C6">
        <w:rPr>
          <w:rStyle w:val="FootnoteReference"/>
          <w:rFonts w:cs="MS Gothic"/>
          <w:b w:val="0"/>
          <w:noProof w:val="0"/>
          <w:color w:val="auto"/>
        </w:rPr>
        <w:footnoteReference w:id="6"/>
      </w:r>
      <w:r w:rsidRPr="00EE43C6">
        <w:rPr>
          <w:rStyle w:val="FootnoteReference"/>
          <w:rFonts w:cs="MS Gothic"/>
          <w:b w:val="0"/>
          <w:noProof w:val="0"/>
          <w:color w:val="auto"/>
        </w:rPr>
        <w:footnoteReference w:id="7"/>
      </w:r>
      <w:bookmarkEnd w:id="331"/>
      <w:bookmarkEnd w:id="332"/>
      <w:bookmarkEnd w:id="333"/>
      <w:bookmarkEnd w:id="334"/>
      <w:bookmarkEnd w:id="335"/>
      <w:bookmarkEnd w:id="336"/>
    </w:p>
    <w:tbl>
      <w:tblPr>
        <w:tblW w:w="5000" w:type="pct"/>
        <w:tblCellMar>
          <w:left w:w="70" w:type="dxa"/>
          <w:right w:w="70" w:type="dxa"/>
        </w:tblCellMar>
        <w:tblLook w:val="04A0" w:firstRow="1" w:lastRow="0" w:firstColumn="1" w:lastColumn="0" w:noHBand="0" w:noVBand="1"/>
      </w:tblPr>
      <w:tblGrid>
        <w:gridCol w:w="2485"/>
        <w:gridCol w:w="1603"/>
        <w:gridCol w:w="1603"/>
        <w:gridCol w:w="1603"/>
        <w:gridCol w:w="1603"/>
        <w:gridCol w:w="147"/>
      </w:tblGrid>
      <w:tr w:rsidR="0072083E" w:rsidRPr="00EE43C6" w14:paraId="1D46C172" w14:textId="77777777" w:rsidTr="00F60B11">
        <w:trPr>
          <w:gridAfter w:val="1"/>
          <w:wAfter w:w="81" w:type="pct"/>
          <w:trHeight w:val="284"/>
          <w:tblHeader/>
        </w:trPr>
        <w:tc>
          <w:tcPr>
            <w:tcW w:w="1374" w:type="pct"/>
            <w:tcBorders>
              <w:top w:val="single" w:sz="8" w:space="0" w:color="auto"/>
              <w:left w:val="single" w:sz="8" w:space="0" w:color="auto"/>
              <w:bottom w:val="single" w:sz="8" w:space="0" w:color="auto"/>
              <w:right w:val="single" w:sz="8" w:space="0" w:color="auto"/>
            </w:tcBorders>
            <w:shd w:val="clear" w:color="000000" w:fill="4F81BD"/>
            <w:vAlign w:val="center"/>
            <w:hideMark/>
          </w:tcPr>
          <w:p w14:paraId="0E00F4EC" w14:textId="77777777" w:rsidR="0072083E" w:rsidRPr="00EE43C6" w:rsidRDefault="0072083E" w:rsidP="00F60B11">
            <w:pPr>
              <w:spacing w:before="0" w:after="0" w:line="240" w:lineRule="auto"/>
              <w:jc w:val="left"/>
              <w:rPr>
                <w:rFonts w:cs="Arial"/>
                <w:b/>
                <w:color w:val="FFFFFF"/>
                <w:sz w:val="18"/>
                <w:szCs w:val="18"/>
                <w:lang w:eastAsia="tr-TR"/>
              </w:rPr>
            </w:pPr>
            <w:r w:rsidRPr="00EE43C6">
              <w:rPr>
                <w:rFonts w:cs="Arial"/>
                <w:b/>
                <w:bCs/>
                <w:color w:val="FFFFFF"/>
                <w:sz w:val="18"/>
                <w:szCs w:val="18"/>
              </w:rPr>
              <w:t>Species Name</w:t>
            </w:r>
          </w:p>
        </w:tc>
        <w:tc>
          <w:tcPr>
            <w:tcW w:w="886" w:type="pct"/>
            <w:tcBorders>
              <w:top w:val="single" w:sz="8" w:space="0" w:color="auto"/>
              <w:left w:val="nil"/>
              <w:bottom w:val="single" w:sz="8" w:space="0" w:color="auto"/>
              <w:right w:val="single" w:sz="8" w:space="0" w:color="auto"/>
            </w:tcBorders>
            <w:shd w:val="clear" w:color="000000" w:fill="4F81BD"/>
            <w:vAlign w:val="center"/>
            <w:hideMark/>
          </w:tcPr>
          <w:p w14:paraId="55C0BFB3" w14:textId="77777777" w:rsidR="0072083E" w:rsidRPr="00EE43C6" w:rsidRDefault="0072083E" w:rsidP="00F60B11">
            <w:pPr>
              <w:spacing w:before="0" w:after="0" w:line="240" w:lineRule="auto"/>
              <w:jc w:val="center"/>
              <w:rPr>
                <w:rFonts w:cs="Arial"/>
                <w:b/>
                <w:bCs/>
                <w:color w:val="FFFFFF"/>
                <w:sz w:val="18"/>
                <w:szCs w:val="18"/>
              </w:rPr>
            </w:pPr>
            <w:r w:rsidRPr="00EE43C6">
              <w:rPr>
                <w:rFonts w:cs="Arial"/>
                <w:b/>
                <w:bCs/>
                <w:color w:val="FFFFFF"/>
                <w:sz w:val="18"/>
                <w:szCs w:val="18"/>
              </w:rPr>
              <w:t>Common Name</w:t>
            </w:r>
          </w:p>
        </w:tc>
        <w:tc>
          <w:tcPr>
            <w:tcW w:w="886" w:type="pct"/>
            <w:tcBorders>
              <w:top w:val="single" w:sz="8" w:space="0" w:color="auto"/>
              <w:left w:val="nil"/>
              <w:bottom w:val="single" w:sz="8" w:space="0" w:color="auto"/>
              <w:right w:val="single" w:sz="8" w:space="0" w:color="auto"/>
            </w:tcBorders>
            <w:shd w:val="clear" w:color="000000" w:fill="4F81BD"/>
            <w:vAlign w:val="center"/>
            <w:hideMark/>
          </w:tcPr>
          <w:p w14:paraId="5E87182F" w14:textId="6CEE768E" w:rsidR="0072083E" w:rsidRPr="00EE43C6" w:rsidRDefault="007A36E8" w:rsidP="00F60B11">
            <w:pPr>
              <w:spacing w:before="0" w:after="0" w:line="240" w:lineRule="auto"/>
              <w:jc w:val="center"/>
              <w:rPr>
                <w:rFonts w:cs="Arial"/>
                <w:b/>
                <w:bCs/>
                <w:color w:val="FFFFFF"/>
                <w:sz w:val="18"/>
                <w:szCs w:val="18"/>
              </w:rPr>
            </w:pPr>
            <w:r w:rsidRPr="00EE43C6">
              <w:rPr>
                <w:rFonts w:cs="Arial"/>
                <w:b/>
                <w:bCs/>
                <w:color w:val="FFFFFF"/>
                <w:sz w:val="18"/>
                <w:szCs w:val="18"/>
              </w:rPr>
              <w:t>Endemism</w:t>
            </w:r>
          </w:p>
        </w:tc>
        <w:tc>
          <w:tcPr>
            <w:tcW w:w="886" w:type="pct"/>
            <w:tcBorders>
              <w:top w:val="single" w:sz="8" w:space="0" w:color="auto"/>
              <w:left w:val="nil"/>
              <w:bottom w:val="single" w:sz="8" w:space="0" w:color="auto"/>
              <w:right w:val="single" w:sz="8" w:space="0" w:color="auto"/>
            </w:tcBorders>
            <w:shd w:val="clear" w:color="000000" w:fill="4F81BD"/>
            <w:vAlign w:val="center"/>
            <w:hideMark/>
          </w:tcPr>
          <w:p w14:paraId="7FB79AF6" w14:textId="77777777" w:rsidR="0072083E" w:rsidRPr="00EE43C6" w:rsidRDefault="0072083E" w:rsidP="00F60B11">
            <w:pPr>
              <w:spacing w:before="0" w:after="0" w:line="240" w:lineRule="auto"/>
              <w:jc w:val="center"/>
              <w:rPr>
                <w:rFonts w:cs="Arial"/>
                <w:b/>
                <w:bCs/>
                <w:color w:val="FFFFFF"/>
                <w:sz w:val="18"/>
                <w:szCs w:val="18"/>
              </w:rPr>
            </w:pPr>
            <w:r w:rsidRPr="00EE43C6">
              <w:rPr>
                <w:rFonts w:cs="Arial"/>
                <w:b/>
                <w:bCs/>
                <w:color w:val="FFFFFF"/>
                <w:sz w:val="18"/>
                <w:szCs w:val="18"/>
              </w:rPr>
              <w:t>IUCN</w:t>
            </w:r>
          </w:p>
        </w:tc>
        <w:tc>
          <w:tcPr>
            <w:tcW w:w="886" w:type="pct"/>
            <w:tcBorders>
              <w:top w:val="single" w:sz="8" w:space="0" w:color="auto"/>
              <w:left w:val="nil"/>
              <w:bottom w:val="single" w:sz="8" w:space="0" w:color="auto"/>
              <w:right w:val="single" w:sz="8" w:space="0" w:color="auto"/>
            </w:tcBorders>
            <w:shd w:val="clear" w:color="000000" w:fill="4F81BD"/>
            <w:vAlign w:val="center"/>
            <w:hideMark/>
          </w:tcPr>
          <w:p w14:paraId="41C0D20B" w14:textId="77777777" w:rsidR="0072083E" w:rsidRPr="00EE43C6" w:rsidRDefault="0072083E" w:rsidP="00F60B11">
            <w:pPr>
              <w:spacing w:before="0" w:after="0" w:line="240" w:lineRule="auto"/>
              <w:jc w:val="center"/>
              <w:rPr>
                <w:rFonts w:cs="Arial"/>
                <w:b/>
                <w:bCs/>
                <w:color w:val="FFFFFF"/>
                <w:sz w:val="18"/>
                <w:szCs w:val="18"/>
              </w:rPr>
            </w:pPr>
            <w:r w:rsidRPr="00EE43C6">
              <w:rPr>
                <w:rFonts w:cs="Arial"/>
                <w:b/>
                <w:bCs/>
                <w:color w:val="FFFFFF"/>
                <w:sz w:val="18"/>
                <w:szCs w:val="18"/>
              </w:rPr>
              <w:t>BERN</w:t>
            </w:r>
          </w:p>
        </w:tc>
      </w:tr>
      <w:tr w:rsidR="0072083E" w:rsidRPr="00EE43C6" w14:paraId="16D48CD9"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E77F6E6"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Anacardiaceae</w:t>
            </w:r>
          </w:p>
        </w:tc>
        <w:tc>
          <w:tcPr>
            <w:tcW w:w="886" w:type="pct"/>
            <w:tcBorders>
              <w:top w:val="nil"/>
              <w:left w:val="nil"/>
              <w:bottom w:val="single" w:sz="8" w:space="0" w:color="auto"/>
              <w:right w:val="single" w:sz="8" w:space="0" w:color="auto"/>
            </w:tcBorders>
            <w:shd w:val="clear" w:color="auto" w:fill="auto"/>
            <w:vAlign w:val="center"/>
            <w:hideMark/>
          </w:tcPr>
          <w:p w14:paraId="1B47B02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83D4612"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1B5F71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CD4B29A"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r>
      <w:tr w:rsidR="0072083E" w:rsidRPr="00EE43C6" w14:paraId="69134E6A"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32C1E92"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Pistacia terebinthus</w:t>
            </w:r>
            <w:r w:rsidRPr="00EE43C6">
              <w:rPr>
                <w:rFonts w:cs="Arial"/>
                <w:color w:val="000000"/>
                <w:sz w:val="18"/>
                <w:szCs w:val="18"/>
              </w:rPr>
              <w:t xml:space="preserve"> L. subsp. </w:t>
            </w:r>
            <w:r w:rsidRPr="00EE43C6">
              <w:rPr>
                <w:rFonts w:cs="Arial"/>
                <w:i/>
                <w:iCs/>
                <w:color w:val="000000"/>
                <w:sz w:val="18"/>
                <w:szCs w:val="18"/>
              </w:rPr>
              <w:t>palaeTtina</w:t>
            </w:r>
            <w:r w:rsidRPr="00EE43C6">
              <w:rPr>
                <w:rFonts w:cs="Arial"/>
                <w:color w:val="000000"/>
                <w:sz w:val="18"/>
                <w:szCs w:val="18"/>
              </w:rPr>
              <w:t xml:space="preserve"> (Boiss.) Engler</w:t>
            </w:r>
          </w:p>
        </w:tc>
        <w:tc>
          <w:tcPr>
            <w:tcW w:w="886" w:type="pct"/>
            <w:tcBorders>
              <w:top w:val="nil"/>
              <w:left w:val="nil"/>
              <w:bottom w:val="single" w:sz="8" w:space="0" w:color="auto"/>
              <w:right w:val="single" w:sz="8" w:space="0" w:color="auto"/>
            </w:tcBorders>
            <w:shd w:val="clear" w:color="auto" w:fill="auto"/>
            <w:vAlign w:val="center"/>
            <w:hideMark/>
          </w:tcPr>
          <w:p w14:paraId="7E9DBAA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Eastern Turpentine Tree</w:t>
            </w:r>
          </w:p>
        </w:tc>
        <w:tc>
          <w:tcPr>
            <w:tcW w:w="886" w:type="pct"/>
            <w:tcBorders>
              <w:top w:val="nil"/>
              <w:left w:val="nil"/>
              <w:bottom w:val="single" w:sz="8" w:space="0" w:color="auto"/>
              <w:right w:val="single" w:sz="8" w:space="0" w:color="auto"/>
            </w:tcBorders>
            <w:shd w:val="clear" w:color="auto" w:fill="auto"/>
            <w:vAlign w:val="center"/>
            <w:hideMark/>
          </w:tcPr>
          <w:p w14:paraId="040E7D00"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ADE24D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7739378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79366969"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4B430C5"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Apiaceae</w:t>
            </w:r>
          </w:p>
        </w:tc>
        <w:tc>
          <w:tcPr>
            <w:tcW w:w="886" w:type="pct"/>
            <w:tcBorders>
              <w:top w:val="nil"/>
              <w:left w:val="nil"/>
              <w:bottom w:val="single" w:sz="8" w:space="0" w:color="auto"/>
              <w:right w:val="single" w:sz="8" w:space="0" w:color="auto"/>
            </w:tcBorders>
            <w:shd w:val="clear" w:color="auto" w:fill="auto"/>
            <w:vAlign w:val="center"/>
            <w:hideMark/>
          </w:tcPr>
          <w:p w14:paraId="2FBFBD80"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9D5995C"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26951A9"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D6EA82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r>
      <w:tr w:rsidR="0072083E" w:rsidRPr="00EE43C6" w14:paraId="6F9FD364"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776E1A6"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Anthriscus nemorosa</w:t>
            </w:r>
            <w:r w:rsidRPr="00EE43C6">
              <w:rPr>
                <w:rFonts w:cs="Arial"/>
                <w:b/>
                <w:bCs/>
                <w:color w:val="000000"/>
                <w:sz w:val="18"/>
                <w:szCs w:val="18"/>
              </w:rPr>
              <w:t xml:space="preserve"> </w:t>
            </w:r>
            <w:r w:rsidRPr="00EE43C6">
              <w:rPr>
                <w:rFonts w:cs="Arial"/>
                <w:color w:val="000000"/>
                <w:sz w:val="18"/>
                <w:szCs w:val="18"/>
              </w:rPr>
              <w:t>(M.Bieb) Spreng</w:t>
            </w:r>
          </w:p>
        </w:tc>
        <w:tc>
          <w:tcPr>
            <w:tcW w:w="886" w:type="pct"/>
            <w:tcBorders>
              <w:top w:val="nil"/>
              <w:left w:val="nil"/>
              <w:bottom w:val="single" w:sz="8" w:space="0" w:color="auto"/>
              <w:right w:val="single" w:sz="8" w:space="0" w:color="auto"/>
            </w:tcBorders>
            <w:shd w:val="clear" w:color="auto" w:fill="auto"/>
            <w:vAlign w:val="center"/>
            <w:hideMark/>
          </w:tcPr>
          <w:p w14:paraId="66BB648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E0DB830"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F5FD50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A7CC50A"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361ABD3A"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17D9D76" w14:textId="7A6D3F12"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Astradaucus orientalis</w:t>
            </w:r>
            <w:r w:rsidR="007A36E8" w:rsidRPr="00EE43C6">
              <w:rPr>
                <w:rFonts w:cs="Arial"/>
                <w:i/>
                <w:iCs/>
                <w:color w:val="000000"/>
                <w:sz w:val="18"/>
                <w:szCs w:val="18"/>
              </w:rPr>
              <w:t xml:space="preserve"> </w:t>
            </w:r>
            <w:r w:rsidRPr="00EE43C6">
              <w:rPr>
                <w:rFonts w:cs="Arial"/>
                <w:b/>
                <w:bCs/>
                <w:color w:val="000000"/>
                <w:sz w:val="18"/>
                <w:szCs w:val="18"/>
              </w:rPr>
              <w:t>(</w:t>
            </w:r>
            <w:r w:rsidRPr="00EE43C6">
              <w:rPr>
                <w:rFonts w:cs="Arial"/>
                <w:color w:val="000000"/>
                <w:sz w:val="18"/>
                <w:szCs w:val="18"/>
              </w:rPr>
              <w:t>L.) Drude.</w:t>
            </w:r>
          </w:p>
        </w:tc>
        <w:tc>
          <w:tcPr>
            <w:tcW w:w="886" w:type="pct"/>
            <w:tcBorders>
              <w:top w:val="nil"/>
              <w:left w:val="nil"/>
              <w:bottom w:val="single" w:sz="8" w:space="0" w:color="auto"/>
              <w:right w:val="single" w:sz="8" w:space="0" w:color="auto"/>
            </w:tcBorders>
            <w:shd w:val="clear" w:color="auto" w:fill="auto"/>
            <w:vAlign w:val="center"/>
            <w:hideMark/>
          </w:tcPr>
          <w:p w14:paraId="2B0E94B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96B9940"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FE3209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767043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606CA531"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ADA39D4"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Caucalis platycarpos</w:t>
            </w:r>
            <w:r w:rsidRPr="00EE43C6">
              <w:rPr>
                <w:rFonts w:cs="Arial"/>
                <w:b/>
                <w:bCs/>
                <w:color w:val="000000"/>
                <w:sz w:val="18"/>
                <w:szCs w:val="18"/>
              </w:rPr>
              <w:t xml:space="preserve"> </w:t>
            </w:r>
            <w:r w:rsidRPr="00EE43C6">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60E9591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Carrot Bur Parsley</w:t>
            </w:r>
          </w:p>
        </w:tc>
        <w:tc>
          <w:tcPr>
            <w:tcW w:w="886" w:type="pct"/>
            <w:tcBorders>
              <w:top w:val="nil"/>
              <w:left w:val="nil"/>
              <w:bottom w:val="single" w:sz="8" w:space="0" w:color="auto"/>
              <w:right w:val="single" w:sz="8" w:space="0" w:color="auto"/>
            </w:tcBorders>
            <w:shd w:val="clear" w:color="auto" w:fill="auto"/>
            <w:vAlign w:val="center"/>
            <w:hideMark/>
          </w:tcPr>
          <w:p w14:paraId="730C012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E96072C"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C9DE52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5F57FDE7"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30A2018"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Eryngium campestre</w:t>
            </w:r>
            <w:r w:rsidRPr="00EE43C6">
              <w:rPr>
                <w:rFonts w:cs="Arial"/>
                <w:color w:val="000000"/>
                <w:sz w:val="18"/>
                <w:szCs w:val="18"/>
              </w:rPr>
              <w:t xml:space="preserve"> L</w:t>
            </w:r>
            <w:r w:rsidRPr="00EE43C6">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67E03A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Watling Street Thistle</w:t>
            </w:r>
          </w:p>
        </w:tc>
        <w:tc>
          <w:tcPr>
            <w:tcW w:w="886" w:type="pct"/>
            <w:tcBorders>
              <w:top w:val="nil"/>
              <w:left w:val="nil"/>
              <w:bottom w:val="single" w:sz="8" w:space="0" w:color="auto"/>
              <w:right w:val="single" w:sz="8" w:space="0" w:color="auto"/>
            </w:tcBorders>
            <w:shd w:val="clear" w:color="auto" w:fill="auto"/>
            <w:vAlign w:val="center"/>
            <w:hideMark/>
          </w:tcPr>
          <w:p w14:paraId="5B5EC35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D7961F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4B0D7E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7F515A10"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DB47536"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Eryngium creticum</w:t>
            </w:r>
            <w:r w:rsidRPr="00EE43C6">
              <w:rPr>
                <w:rFonts w:cs="Arial"/>
                <w:b/>
                <w:bCs/>
                <w:color w:val="000000"/>
                <w:sz w:val="18"/>
                <w:szCs w:val="18"/>
              </w:rPr>
              <w:t xml:space="preserve"> </w:t>
            </w:r>
            <w:r w:rsidRPr="00EE43C6">
              <w:rPr>
                <w:rFonts w:cs="Arial"/>
                <w:color w:val="000000"/>
                <w:sz w:val="18"/>
                <w:szCs w:val="18"/>
              </w:rPr>
              <w:t>Lam.</w:t>
            </w:r>
          </w:p>
        </w:tc>
        <w:tc>
          <w:tcPr>
            <w:tcW w:w="886" w:type="pct"/>
            <w:tcBorders>
              <w:top w:val="nil"/>
              <w:left w:val="nil"/>
              <w:bottom w:val="single" w:sz="8" w:space="0" w:color="auto"/>
              <w:right w:val="single" w:sz="8" w:space="0" w:color="auto"/>
            </w:tcBorders>
            <w:shd w:val="clear" w:color="auto" w:fill="auto"/>
            <w:vAlign w:val="center"/>
            <w:hideMark/>
          </w:tcPr>
          <w:p w14:paraId="1F0180D8" w14:textId="0539A96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Sea Holly</w:t>
            </w:r>
          </w:p>
        </w:tc>
        <w:tc>
          <w:tcPr>
            <w:tcW w:w="886" w:type="pct"/>
            <w:tcBorders>
              <w:top w:val="nil"/>
              <w:left w:val="nil"/>
              <w:bottom w:val="single" w:sz="8" w:space="0" w:color="auto"/>
              <w:right w:val="single" w:sz="8" w:space="0" w:color="auto"/>
            </w:tcBorders>
            <w:shd w:val="clear" w:color="auto" w:fill="auto"/>
            <w:vAlign w:val="center"/>
            <w:hideMark/>
          </w:tcPr>
          <w:p w14:paraId="17B8AB59"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29236B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E4B06D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03690BF3"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EF9055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Ferulago cassia Boiss.</w:t>
            </w:r>
          </w:p>
        </w:tc>
        <w:tc>
          <w:tcPr>
            <w:tcW w:w="886" w:type="pct"/>
            <w:tcBorders>
              <w:top w:val="nil"/>
              <w:left w:val="nil"/>
              <w:bottom w:val="single" w:sz="8" w:space="0" w:color="auto"/>
              <w:right w:val="single" w:sz="8" w:space="0" w:color="auto"/>
            </w:tcBorders>
            <w:shd w:val="clear" w:color="auto" w:fill="auto"/>
            <w:vAlign w:val="center"/>
            <w:hideMark/>
          </w:tcPr>
          <w:p w14:paraId="624F637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AA81D0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E6F84D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748156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64E41ED2"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FFC175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Johrenia dichotoma DC. Subsp.dichotoma</w:t>
            </w:r>
          </w:p>
        </w:tc>
        <w:tc>
          <w:tcPr>
            <w:tcW w:w="886" w:type="pct"/>
            <w:tcBorders>
              <w:top w:val="nil"/>
              <w:left w:val="nil"/>
              <w:bottom w:val="single" w:sz="8" w:space="0" w:color="auto"/>
              <w:right w:val="single" w:sz="8" w:space="0" w:color="auto"/>
            </w:tcBorders>
            <w:shd w:val="clear" w:color="auto" w:fill="auto"/>
            <w:vAlign w:val="center"/>
            <w:hideMark/>
          </w:tcPr>
          <w:p w14:paraId="3518F31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932D56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E32C48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CA9B07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30D9F85B"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E7F4AB6"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Laser </w:t>
            </w:r>
            <w:r w:rsidRPr="00EE43C6">
              <w:rPr>
                <w:rFonts w:cs="Arial"/>
                <w:i/>
                <w:color w:val="000000"/>
                <w:sz w:val="18"/>
                <w:szCs w:val="18"/>
              </w:rPr>
              <w:t xml:space="preserve">triobium </w:t>
            </w:r>
            <w:r w:rsidRPr="00EE43C6">
              <w:rPr>
                <w:rFonts w:cs="Arial"/>
                <w:color w:val="000000"/>
                <w:sz w:val="18"/>
                <w:szCs w:val="18"/>
              </w:rPr>
              <w:t>(L.) Borkh</w:t>
            </w:r>
          </w:p>
        </w:tc>
        <w:tc>
          <w:tcPr>
            <w:tcW w:w="886" w:type="pct"/>
            <w:tcBorders>
              <w:top w:val="nil"/>
              <w:left w:val="nil"/>
              <w:bottom w:val="single" w:sz="8" w:space="0" w:color="auto"/>
              <w:right w:val="single" w:sz="8" w:space="0" w:color="auto"/>
            </w:tcBorders>
            <w:shd w:val="clear" w:color="auto" w:fill="auto"/>
            <w:vAlign w:val="center"/>
            <w:hideMark/>
          </w:tcPr>
          <w:p w14:paraId="1461FB9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DFD90A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3A3CE8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E370C2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091D19CE"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51979C6"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Torilis arvensis (Huds.) Link</w:t>
            </w:r>
          </w:p>
        </w:tc>
        <w:tc>
          <w:tcPr>
            <w:tcW w:w="886" w:type="pct"/>
            <w:tcBorders>
              <w:top w:val="nil"/>
              <w:left w:val="nil"/>
              <w:bottom w:val="single" w:sz="8" w:space="0" w:color="auto"/>
              <w:right w:val="single" w:sz="8" w:space="0" w:color="auto"/>
            </w:tcBorders>
            <w:shd w:val="clear" w:color="auto" w:fill="auto"/>
            <w:vAlign w:val="center"/>
            <w:hideMark/>
          </w:tcPr>
          <w:p w14:paraId="2D617C0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Common Hedge Parsley</w:t>
            </w:r>
          </w:p>
        </w:tc>
        <w:tc>
          <w:tcPr>
            <w:tcW w:w="886" w:type="pct"/>
            <w:tcBorders>
              <w:top w:val="nil"/>
              <w:left w:val="nil"/>
              <w:bottom w:val="single" w:sz="8" w:space="0" w:color="auto"/>
              <w:right w:val="single" w:sz="8" w:space="0" w:color="auto"/>
            </w:tcBorders>
            <w:shd w:val="clear" w:color="auto" w:fill="auto"/>
            <w:vAlign w:val="center"/>
            <w:hideMark/>
          </w:tcPr>
          <w:p w14:paraId="0FE0870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3A96AB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56EDCE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53888DBE"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C73BACB"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Apocynaceae</w:t>
            </w:r>
          </w:p>
        </w:tc>
        <w:tc>
          <w:tcPr>
            <w:tcW w:w="886" w:type="pct"/>
            <w:tcBorders>
              <w:top w:val="nil"/>
              <w:left w:val="nil"/>
              <w:bottom w:val="single" w:sz="8" w:space="0" w:color="auto"/>
              <w:right w:val="single" w:sz="8" w:space="0" w:color="auto"/>
            </w:tcBorders>
            <w:shd w:val="clear" w:color="auto" w:fill="auto"/>
            <w:vAlign w:val="center"/>
            <w:hideMark/>
          </w:tcPr>
          <w:p w14:paraId="3ED1D81C"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35C8643"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F9774E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06BD2F3"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r>
      <w:tr w:rsidR="0072083E" w:rsidRPr="00EE43C6" w14:paraId="1DCF8868"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8B28738"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Nerium oleander </w:t>
            </w:r>
            <w:r w:rsidRPr="00EE43C6">
              <w:rPr>
                <w:rFonts w:cs="Arial"/>
                <w:color w:val="000000"/>
                <w:sz w:val="18"/>
                <w:szCs w:val="18"/>
              </w:rPr>
              <w:t>L</w:t>
            </w:r>
            <w:r w:rsidRPr="00EE43C6">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3FA36F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Oleander</w:t>
            </w:r>
          </w:p>
        </w:tc>
        <w:tc>
          <w:tcPr>
            <w:tcW w:w="886" w:type="pct"/>
            <w:tcBorders>
              <w:top w:val="nil"/>
              <w:left w:val="nil"/>
              <w:bottom w:val="single" w:sz="8" w:space="0" w:color="auto"/>
              <w:right w:val="single" w:sz="8" w:space="0" w:color="auto"/>
            </w:tcBorders>
            <w:shd w:val="clear" w:color="auto" w:fill="auto"/>
            <w:vAlign w:val="center"/>
            <w:hideMark/>
          </w:tcPr>
          <w:p w14:paraId="211BE12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59A325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478A403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18ED6FA0"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DB0B740"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Aspidiaceae</w:t>
            </w:r>
          </w:p>
        </w:tc>
        <w:tc>
          <w:tcPr>
            <w:tcW w:w="886" w:type="pct"/>
            <w:tcBorders>
              <w:top w:val="nil"/>
              <w:left w:val="nil"/>
              <w:bottom w:val="single" w:sz="8" w:space="0" w:color="auto"/>
              <w:right w:val="single" w:sz="8" w:space="0" w:color="auto"/>
            </w:tcBorders>
            <w:shd w:val="clear" w:color="auto" w:fill="auto"/>
            <w:vAlign w:val="center"/>
            <w:hideMark/>
          </w:tcPr>
          <w:p w14:paraId="3F72F84D"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8AC8AF3"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E5B521C"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069E11A"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r>
      <w:tr w:rsidR="0072083E" w:rsidRPr="00EE43C6" w14:paraId="0D39A146"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7E0040C"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lastRenderedPageBreak/>
              <w:t>Dryopteris pallida</w:t>
            </w:r>
            <w:r w:rsidRPr="00EE43C6">
              <w:rPr>
                <w:rFonts w:cs="Arial"/>
                <w:color w:val="000000"/>
                <w:sz w:val="18"/>
                <w:szCs w:val="18"/>
              </w:rPr>
              <w:t xml:space="preserve"> (Bory) Fomin</w:t>
            </w:r>
          </w:p>
        </w:tc>
        <w:tc>
          <w:tcPr>
            <w:tcW w:w="886" w:type="pct"/>
            <w:tcBorders>
              <w:top w:val="nil"/>
              <w:left w:val="nil"/>
              <w:bottom w:val="single" w:sz="8" w:space="0" w:color="auto"/>
              <w:right w:val="single" w:sz="8" w:space="0" w:color="auto"/>
            </w:tcBorders>
            <w:shd w:val="clear" w:color="auto" w:fill="auto"/>
            <w:vAlign w:val="center"/>
            <w:hideMark/>
          </w:tcPr>
          <w:p w14:paraId="18081FAC"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AB3BEC3"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CA9F7F0"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0F99756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0EA2BE60"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6ECBE63"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Aspleniaceae</w:t>
            </w:r>
          </w:p>
        </w:tc>
        <w:tc>
          <w:tcPr>
            <w:tcW w:w="886" w:type="pct"/>
            <w:tcBorders>
              <w:top w:val="nil"/>
              <w:left w:val="nil"/>
              <w:bottom w:val="single" w:sz="8" w:space="0" w:color="auto"/>
              <w:right w:val="single" w:sz="8" w:space="0" w:color="auto"/>
            </w:tcBorders>
            <w:shd w:val="clear" w:color="auto" w:fill="auto"/>
            <w:vAlign w:val="center"/>
            <w:hideMark/>
          </w:tcPr>
          <w:p w14:paraId="7350D280"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EA8601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C7C8D8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14F6A02"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r>
      <w:tr w:rsidR="0072083E" w:rsidRPr="00EE43C6" w14:paraId="5B63412A"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46E0EDE" w14:textId="77777777" w:rsidR="0072083E" w:rsidRPr="00E67C71" w:rsidRDefault="0072083E" w:rsidP="00F60B11">
            <w:pPr>
              <w:spacing w:before="0" w:after="0" w:line="240" w:lineRule="auto"/>
              <w:jc w:val="left"/>
              <w:rPr>
                <w:rFonts w:cs="Arial"/>
                <w:i/>
                <w:iCs/>
                <w:sz w:val="18"/>
                <w:szCs w:val="18"/>
              </w:rPr>
            </w:pPr>
            <w:r w:rsidRPr="00E67C71">
              <w:rPr>
                <w:rFonts w:cs="Arial"/>
                <w:i/>
                <w:iCs/>
                <w:sz w:val="18"/>
                <w:szCs w:val="18"/>
              </w:rPr>
              <w:t xml:space="preserve">Ceterach officinarum </w:t>
            </w:r>
            <w:r w:rsidRPr="00E67C71">
              <w:rPr>
                <w:rFonts w:cs="Arial"/>
                <w:sz w:val="18"/>
                <w:szCs w:val="18"/>
              </w:rPr>
              <w:t>DC.</w:t>
            </w:r>
          </w:p>
        </w:tc>
        <w:tc>
          <w:tcPr>
            <w:tcW w:w="886" w:type="pct"/>
            <w:tcBorders>
              <w:top w:val="nil"/>
              <w:left w:val="nil"/>
              <w:bottom w:val="single" w:sz="8" w:space="0" w:color="auto"/>
              <w:right w:val="single" w:sz="8" w:space="0" w:color="auto"/>
            </w:tcBorders>
            <w:shd w:val="clear" w:color="auto" w:fill="auto"/>
            <w:vAlign w:val="center"/>
            <w:hideMark/>
          </w:tcPr>
          <w:p w14:paraId="5D3D11A5" w14:textId="311717B1"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Common Rustyback Fern</w:t>
            </w:r>
          </w:p>
        </w:tc>
        <w:tc>
          <w:tcPr>
            <w:tcW w:w="886" w:type="pct"/>
            <w:tcBorders>
              <w:top w:val="nil"/>
              <w:left w:val="nil"/>
              <w:bottom w:val="single" w:sz="8" w:space="0" w:color="auto"/>
              <w:right w:val="single" w:sz="8" w:space="0" w:color="auto"/>
            </w:tcBorders>
            <w:shd w:val="clear" w:color="auto" w:fill="auto"/>
            <w:vAlign w:val="center"/>
            <w:hideMark/>
          </w:tcPr>
          <w:p w14:paraId="0ADACD39"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6FFB4D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1ACA3BC2"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0483CD41"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9C7D13C" w14:textId="77777777" w:rsidR="0072083E" w:rsidRPr="00E67C71" w:rsidRDefault="0072083E" w:rsidP="00F60B11">
            <w:pPr>
              <w:spacing w:before="0" w:after="0" w:line="240" w:lineRule="auto"/>
              <w:jc w:val="left"/>
              <w:rPr>
                <w:rFonts w:cs="Arial"/>
                <w:b/>
                <w:bCs/>
                <w:sz w:val="18"/>
                <w:szCs w:val="18"/>
              </w:rPr>
            </w:pPr>
            <w:r w:rsidRPr="00E67C71">
              <w:rPr>
                <w:rFonts w:cs="Arial"/>
                <w:b/>
                <w:bCs/>
                <w:sz w:val="18"/>
                <w:szCs w:val="18"/>
              </w:rPr>
              <w:t>A</w:t>
            </w:r>
            <w:r w:rsidRPr="00E67C71">
              <w:rPr>
                <w:rFonts w:cs="Arial"/>
                <w:b/>
                <w:sz w:val="18"/>
                <w:szCs w:val="18"/>
              </w:rPr>
              <w:t>steraceae</w:t>
            </w:r>
          </w:p>
        </w:tc>
        <w:tc>
          <w:tcPr>
            <w:tcW w:w="886" w:type="pct"/>
            <w:tcBorders>
              <w:top w:val="nil"/>
              <w:left w:val="nil"/>
              <w:bottom w:val="single" w:sz="8" w:space="0" w:color="auto"/>
              <w:right w:val="single" w:sz="8" w:space="0" w:color="auto"/>
            </w:tcBorders>
            <w:shd w:val="clear" w:color="auto" w:fill="auto"/>
            <w:vAlign w:val="center"/>
            <w:hideMark/>
          </w:tcPr>
          <w:p w14:paraId="51B2B0A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F2EF56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789D70C"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E0BC4A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r>
      <w:tr w:rsidR="0072083E" w:rsidRPr="00EE43C6" w14:paraId="72D6D60D"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F65EBE3" w14:textId="77777777" w:rsidR="0072083E" w:rsidRPr="00E67C71" w:rsidRDefault="0072083E" w:rsidP="00F60B11">
            <w:pPr>
              <w:spacing w:before="0" w:after="0" w:line="240" w:lineRule="auto"/>
              <w:jc w:val="left"/>
              <w:rPr>
                <w:rFonts w:cs="Arial"/>
                <w:i/>
                <w:iCs/>
                <w:sz w:val="18"/>
                <w:szCs w:val="18"/>
              </w:rPr>
            </w:pPr>
            <w:r w:rsidRPr="00E67C71">
              <w:rPr>
                <w:rFonts w:cs="Arial"/>
                <w:i/>
                <w:iCs/>
                <w:sz w:val="18"/>
                <w:szCs w:val="18"/>
              </w:rPr>
              <w:t xml:space="preserve">Centaurea solstitialis </w:t>
            </w:r>
            <w:r w:rsidRPr="00E67C71">
              <w:rPr>
                <w:rFonts w:cs="Arial"/>
                <w:sz w:val="18"/>
                <w:szCs w:val="18"/>
              </w:rPr>
              <w:t xml:space="preserve">susbs </w:t>
            </w:r>
            <w:r w:rsidRPr="00E67C71">
              <w:rPr>
                <w:rFonts w:cs="Arial"/>
                <w:i/>
                <w:iCs/>
                <w:sz w:val="18"/>
                <w:szCs w:val="18"/>
              </w:rPr>
              <w:t>solstitialis</w:t>
            </w:r>
          </w:p>
        </w:tc>
        <w:tc>
          <w:tcPr>
            <w:tcW w:w="886" w:type="pct"/>
            <w:tcBorders>
              <w:top w:val="nil"/>
              <w:left w:val="nil"/>
              <w:bottom w:val="single" w:sz="8" w:space="0" w:color="auto"/>
              <w:right w:val="single" w:sz="8" w:space="0" w:color="auto"/>
            </w:tcBorders>
            <w:shd w:val="clear" w:color="auto" w:fill="auto"/>
            <w:vAlign w:val="center"/>
            <w:hideMark/>
          </w:tcPr>
          <w:p w14:paraId="141742ED"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Golden Starthistle</w:t>
            </w:r>
          </w:p>
        </w:tc>
        <w:tc>
          <w:tcPr>
            <w:tcW w:w="886" w:type="pct"/>
            <w:tcBorders>
              <w:top w:val="nil"/>
              <w:left w:val="nil"/>
              <w:bottom w:val="single" w:sz="8" w:space="0" w:color="auto"/>
              <w:right w:val="single" w:sz="8" w:space="0" w:color="auto"/>
            </w:tcBorders>
            <w:shd w:val="clear" w:color="auto" w:fill="auto"/>
            <w:vAlign w:val="center"/>
            <w:hideMark/>
          </w:tcPr>
          <w:p w14:paraId="5B6F414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6294AE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92BDD5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545864CF"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6DE9833" w14:textId="77777777" w:rsidR="0072083E" w:rsidRPr="00E67C71" w:rsidRDefault="0072083E" w:rsidP="00F60B11">
            <w:pPr>
              <w:spacing w:before="0" w:after="0" w:line="240" w:lineRule="auto"/>
              <w:jc w:val="left"/>
              <w:rPr>
                <w:rFonts w:cs="Arial"/>
                <w:i/>
                <w:iCs/>
                <w:sz w:val="18"/>
                <w:szCs w:val="18"/>
              </w:rPr>
            </w:pPr>
            <w:r w:rsidRPr="00E67C71">
              <w:rPr>
                <w:rFonts w:cs="Arial"/>
                <w:i/>
                <w:iCs/>
                <w:sz w:val="18"/>
                <w:szCs w:val="18"/>
              </w:rPr>
              <w:t>Centaurea triumfettii</w:t>
            </w:r>
          </w:p>
        </w:tc>
        <w:tc>
          <w:tcPr>
            <w:tcW w:w="886" w:type="pct"/>
            <w:tcBorders>
              <w:top w:val="nil"/>
              <w:left w:val="nil"/>
              <w:bottom w:val="single" w:sz="8" w:space="0" w:color="auto"/>
              <w:right w:val="single" w:sz="8" w:space="0" w:color="auto"/>
            </w:tcBorders>
            <w:shd w:val="clear" w:color="auto" w:fill="auto"/>
            <w:vAlign w:val="center"/>
            <w:hideMark/>
          </w:tcPr>
          <w:p w14:paraId="1481B08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Squarrose Knapweed</w:t>
            </w:r>
          </w:p>
        </w:tc>
        <w:tc>
          <w:tcPr>
            <w:tcW w:w="886" w:type="pct"/>
            <w:tcBorders>
              <w:top w:val="nil"/>
              <w:left w:val="nil"/>
              <w:bottom w:val="single" w:sz="8" w:space="0" w:color="auto"/>
              <w:right w:val="single" w:sz="8" w:space="0" w:color="auto"/>
            </w:tcBorders>
            <w:shd w:val="clear" w:color="auto" w:fill="auto"/>
            <w:vAlign w:val="center"/>
            <w:hideMark/>
          </w:tcPr>
          <w:p w14:paraId="4E5DCFE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FFDDF3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968CB9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64499317"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E202F11" w14:textId="77777777" w:rsidR="0072083E" w:rsidRPr="00E67C71" w:rsidRDefault="0072083E" w:rsidP="00F60B11">
            <w:pPr>
              <w:spacing w:before="0" w:after="0" w:line="240" w:lineRule="auto"/>
              <w:jc w:val="left"/>
              <w:rPr>
                <w:rFonts w:cs="Arial"/>
                <w:i/>
                <w:iCs/>
                <w:sz w:val="18"/>
                <w:szCs w:val="18"/>
              </w:rPr>
            </w:pPr>
            <w:r w:rsidRPr="00E67C71">
              <w:rPr>
                <w:rFonts w:cs="Arial"/>
                <w:i/>
                <w:iCs/>
                <w:sz w:val="18"/>
                <w:szCs w:val="18"/>
              </w:rPr>
              <w:t xml:space="preserve">Cichorium intybus </w:t>
            </w:r>
            <w:r w:rsidRPr="00E67C71">
              <w:rPr>
                <w:rFonts w:cs="Arial"/>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13BA7F29"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Common Chicory </w:t>
            </w:r>
          </w:p>
        </w:tc>
        <w:tc>
          <w:tcPr>
            <w:tcW w:w="886" w:type="pct"/>
            <w:tcBorders>
              <w:top w:val="nil"/>
              <w:left w:val="nil"/>
              <w:bottom w:val="single" w:sz="8" w:space="0" w:color="auto"/>
              <w:right w:val="single" w:sz="8" w:space="0" w:color="auto"/>
            </w:tcBorders>
            <w:shd w:val="clear" w:color="auto" w:fill="auto"/>
            <w:vAlign w:val="center"/>
            <w:hideMark/>
          </w:tcPr>
          <w:p w14:paraId="74AD158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F1F700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41A696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04DFE8E8"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59CC5EC" w14:textId="77777777" w:rsidR="0072083E" w:rsidRPr="00E67C71" w:rsidRDefault="0072083E" w:rsidP="00F60B11">
            <w:pPr>
              <w:spacing w:before="0" w:after="0" w:line="240" w:lineRule="auto"/>
              <w:jc w:val="left"/>
              <w:rPr>
                <w:rFonts w:cs="Arial"/>
                <w:i/>
                <w:iCs/>
                <w:sz w:val="18"/>
                <w:szCs w:val="18"/>
              </w:rPr>
            </w:pPr>
            <w:r w:rsidRPr="00E67C71">
              <w:rPr>
                <w:rFonts w:cs="Arial"/>
                <w:i/>
                <w:iCs/>
                <w:sz w:val="18"/>
                <w:szCs w:val="18"/>
              </w:rPr>
              <w:t>Cirsium vulgare</w:t>
            </w:r>
          </w:p>
        </w:tc>
        <w:tc>
          <w:tcPr>
            <w:tcW w:w="886" w:type="pct"/>
            <w:tcBorders>
              <w:top w:val="nil"/>
              <w:left w:val="nil"/>
              <w:bottom w:val="single" w:sz="8" w:space="0" w:color="auto"/>
              <w:right w:val="single" w:sz="8" w:space="0" w:color="auto"/>
            </w:tcBorders>
            <w:shd w:val="clear" w:color="auto" w:fill="auto"/>
            <w:vAlign w:val="center"/>
            <w:hideMark/>
          </w:tcPr>
          <w:p w14:paraId="1A61F68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Bull Thistle</w:t>
            </w:r>
          </w:p>
        </w:tc>
        <w:tc>
          <w:tcPr>
            <w:tcW w:w="886" w:type="pct"/>
            <w:tcBorders>
              <w:top w:val="nil"/>
              <w:left w:val="nil"/>
              <w:bottom w:val="single" w:sz="8" w:space="0" w:color="auto"/>
              <w:right w:val="single" w:sz="8" w:space="0" w:color="auto"/>
            </w:tcBorders>
            <w:shd w:val="clear" w:color="auto" w:fill="auto"/>
            <w:vAlign w:val="center"/>
            <w:hideMark/>
          </w:tcPr>
          <w:p w14:paraId="3B3A91CC"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0F81E4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9AE0AC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0A5E38E6"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CF6CEBF" w14:textId="77777777" w:rsidR="0072083E" w:rsidRPr="00E67C71" w:rsidRDefault="0072083E" w:rsidP="00F60B11">
            <w:pPr>
              <w:spacing w:before="0" w:after="0" w:line="240" w:lineRule="auto"/>
              <w:jc w:val="left"/>
              <w:rPr>
                <w:rFonts w:cs="Arial"/>
                <w:i/>
                <w:iCs/>
                <w:sz w:val="18"/>
                <w:szCs w:val="18"/>
              </w:rPr>
            </w:pPr>
            <w:r w:rsidRPr="00E67C71">
              <w:rPr>
                <w:rFonts w:cs="Arial"/>
                <w:i/>
                <w:iCs/>
                <w:sz w:val="18"/>
                <w:szCs w:val="18"/>
              </w:rPr>
              <w:t>Filago pyramidata</w:t>
            </w:r>
            <w:r w:rsidRPr="00E67C71">
              <w:rPr>
                <w:rFonts w:cs="Arial"/>
                <w:sz w:val="18"/>
                <w:szCs w:val="18"/>
              </w:rPr>
              <w:t xml:space="preserve"> L</w:t>
            </w:r>
            <w:r w:rsidRPr="00E67C71">
              <w:rPr>
                <w:rFonts w:cs="Arial"/>
                <w:i/>
                <w:iCs/>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3662D49"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Broad Leaved Cutweed</w:t>
            </w:r>
          </w:p>
        </w:tc>
        <w:tc>
          <w:tcPr>
            <w:tcW w:w="886" w:type="pct"/>
            <w:tcBorders>
              <w:top w:val="nil"/>
              <w:left w:val="nil"/>
              <w:bottom w:val="single" w:sz="8" w:space="0" w:color="auto"/>
              <w:right w:val="single" w:sz="8" w:space="0" w:color="auto"/>
            </w:tcBorders>
            <w:shd w:val="clear" w:color="auto" w:fill="auto"/>
            <w:vAlign w:val="center"/>
            <w:hideMark/>
          </w:tcPr>
          <w:p w14:paraId="41E4105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55332F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3D62BE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2FA7C1BC"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BB98115" w14:textId="72981332" w:rsidR="0072083E" w:rsidRPr="00E67C71" w:rsidRDefault="0072083E" w:rsidP="00F60B11">
            <w:pPr>
              <w:spacing w:before="0" w:after="0" w:line="240" w:lineRule="auto"/>
              <w:jc w:val="left"/>
              <w:rPr>
                <w:rFonts w:cs="Arial"/>
                <w:i/>
                <w:iCs/>
                <w:sz w:val="18"/>
                <w:szCs w:val="18"/>
              </w:rPr>
            </w:pPr>
            <w:r w:rsidRPr="00E67C71">
              <w:rPr>
                <w:rFonts w:cs="Arial"/>
                <w:i/>
                <w:iCs/>
                <w:sz w:val="18"/>
                <w:szCs w:val="18"/>
              </w:rPr>
              <w:t xml:space="preserve">Onopordum </w:t>
            </w:r>
            <w:r w:rsidR="00165A8C" w:rsidRPr="00E67C71">
              <w:rPr>
                <w:rFonts w:cs="Arial"/>
                <w:i/>
                <w:iCs/>
                <w:sz w:val="18"/>
                <w:szCs w:val="18"/>
              </w:rPr>
              <w:pgNum/>
            </w:r>
            <w:r w:rsidR="00165A8C" w:rsidRPr="00E67C71">
              <w:rPr>
                <w:rFonts w:cs="Arial"/>
                <w:i/>
                <w:iCs/>
                <w:sz w:val="18"/>
                <w:szCs w:val="18"/>
              </w:rPr>
              <w:t>aurica</w:t>
            </w:r>
            <w:r w:rsidR="00165A8C" w:rsidRPr="00E67C71">
              <w:rPr>
                <w:rFonts w:cs="Arial"/>
                <w:i/>
                <w:iCs/>
                <w:sz w:val="18"/>
                <w:szCs w:val="18"/>
              </w:rPr>
              <w:pgNum/>
            </w:r>
            <w:r w:rsidR="00165A8C" w:rsidRPr="00E67C71">
              <w:rPr>
                <w:rFonts w:cs="Arial"/>
                <w:i/>
                <w:iCs/>
                <w:sz w:val="18"/>
                <w:szCs w:val="18"/>
              </w:rPr>
              <w:t>t</w:t>
            </w:r>
            <w:r w:rsidRPr="00E67C71">
              <w:rPr>
                <w:rFonts w:cs="Arial"/>
                <w:i/>
                <w:iCs/>
                <w:sz w:val="18"/>
                <w:szCs w:val="18"/>
              </w:rPr>
              <w:t xml:space="preserve"> </w:t>
            </w:r>
            <w:r w:rsidRPr="00E67C71">
              <w:rPr>
                <w:rFonts w:cs="Arial"/>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7699DEF0"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Illyrian Thistle.</w:t>
            </w:r>
          </w:p>
        </w:tc>
        <w:tc>
          <w:tcPr>
            <w:tcW w:w="886" w:type="pct"/>
            <w:tcBorders>
              <w:top w:val="nil"/>
              <w:left w:val="nil"/>
              <w:bottom w:val="single" w:sz="8" w:space="0" w:color="auto"/>
              <w:right w:val="single" w:sz="8" w:space="0" w:color="auto"/>
            </w:tcBorders>
            <w:shd w:val="clear" w:color="auto" w:fill="auto"/>
            <w:vAlign w:val="center"/>
            <w:hideMark/>
          </w:tcPr>
          <w:p w14:paraId="080A950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902E59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2D808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6342DEED"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1C02037" w14:textId="0DA0AE2C" w:rsidR="0072083E" w:rsidRPr="00E67C71" w:rsidRDefault="0072083E" w:rsidP="00F60B11">
            <w:pPr>
              <w:spacing w:before="0" w:after="0" w:line="240" w:lineRule="auto"/>
              <w:jc w:val="left"/>
              <w:rPr>
                <w:rFonts w:cs="Arial"/>
                <w:i/>
                <w:iCs/>
                <w:sz w:val="18"/>
                <w:szCs w:val="18"/>
              </w:rPr>
            </w:pPr>
            <w:r w:rsidRPr="00E67C71">
              <w:rPr>
                <w:rFonts w:cs="Arial"/>
                <w:i/>
                <w:iCs/>
                <w:sz w:val="18"/>
                <w:szCs w:val="18"/>
              </w:rPr>
              <w:t xml:space="preserve">Picris </w:t>
            </w:r>
            <w:r w:rsidR="00BF37E4" w:rsidRPr="00E67C71">
              <w:rPr>
                <w:rFonts w:cs="Arial"/>
                <w:i/>
                <w:iCs/>
                <w:sz w:val="18"/>
                <w:szCs w:val="18"/>
              </w:rPr>
              <w:t>strigose</w:t>
            </w:r>
          </w:p>
        </w:tc>
        <w:tc>
          <w:tcPr>
            <w:tcW w:w="886" w:type="pct"/>
            <w:tcBorders>
              <w:top w:val="nil"/>
              <w:left w:val="nil"/>
              <w:bottom w:val="single" w:sz="8" w:space="0" w:color="auto"/>
              <w:right w:val="single" w:sz="8" w:space="0" w:color="auto"/>
            </w:tcBorders>
            <w:shd w:val="clear" w:color="auto" w:fill="auto"/>
            <w:vAlign w:val="center"/>
            <w:hideMark/>
          </w:tcPr>
          <w:p w14:paraId="52A0AC6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903D89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39A0B6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7B343F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164DD9F6"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76F0A88" w14:textId="77777777" w:rsidR="0072083E" w:rsidRPr="00E67C71" w:rsidRDefault="0072083E" w:rsidP="00F60B11">
            <w:pPr>
              <w:spacing w:before="0" w:after="0" w:line="240" w:lineRule="auto"/>
              <w:jc w:val="left"/>
              <w:rPr>
                <w:rFonts w:cs="Arial"/>
                <w:i/>
                <w:iCs/>
                <w:sz w:val="18"/>
                <w:szCs w:val="18"/>
              </w:rPr>
            </w:pPr>
            <w:r w:rsidRPr="00E67C71">
              <w:rPr>
                <w:rFonts w:cs="Arial"/>
                <w:i/>
                <w:iCs/>
                <w:sz w:val="18"/>
                <w:szCs w:val="18"/>
              </w:rPr>
              <w:t>Scolymus hispanicus</w:t>
            </w:r>
            <w:r w:rsidRPr="00E67C71">
              <w:rPr>
                <w:rFonts w:cs="Arial"/>
                <w:sz w:val="18"/>
                <w:szCs w:val="18"/>
              </w:rPr>
              <w:t xml:space="preserve"> L</w:t>
            </w:r>
            <w:r w:rsidRPr="00E67C71">
              <w:rPr>
                <w:rFonts w:cs="Arial"/>
                <w:i/>
                <w:iCs/>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9F3D47B"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Common Golden Thistle</w:t>
            </w:r>
          </w:p>
        </w:tc>
        <w:tc>
          <w:tcPr>
            <w:tcW w:w="886" w:type="pct"/>
            <w:tcBorders>
              <w:top w:val="nil"/>
              <w:left w:val="nil"/>
              <w:bottom w:val="single" w:sz="8" w:space="0" w:color="auto"/>
              <w:right w:val="single" w:sz="8" w:space="0" w:color="auto"/>
            </w:tcBorders>
            <w:shd w:val="clear" w:color="auto" w:fill="auto"/>
            <w:vAlign w:val="center"/>
            <w:hideMark/>
          </w:tcPr>
          <w:p w14:paraId="3A2B3AB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7776122"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9D61E1C"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r>
      <w:tr w:rsidR="0072083E" w:rsidRPr="00EE43C6" w14:paraId="789C2908"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3AF7846" w14:textId="77777777" w:rsidR="0072083E" w:rsidRPr="00E67C71" w:rsidRDefault="0072083E" w:rsidP="00F60B11">
            <w:pPr>
              <w:spacing w:before="0" w:after="0" w:line="240" w:lineRule="auto"/>
              <w:jc w:val="left"/>
              <w:rPr>
                <w:rFonts w:cs="Arial"/>
                <w:i/>
                <w:iCs/>
                <w:sz w:val="18"/>
                <w:szCs w:val="18"/>
              </w:rPr>
            </w:pPr>
            <w:r w:rsidRPr="00E67C71">
              <w:rPr>
                <w:rFonts w:cs="Arial"/>
                <w:i/>
                <w:iCs/>
                <w:sz w:val="18"/>
                <w:szCs w:val="18"/>
              </w:rPr>
              <w:t>Senecio vernalis</w:t>
            </w:r>
          </w:p>
        </w:tc>
        <w:tc>
          <w:tcPr>
            <w:tcW w:w="886" w:type="pct"/>
            <w:tcBorders>
              <w:top w:val="nil"/>
              <w:left w:val="nil"/>
              <w:bottom w:val="single" w:sz="8" w:space="0" w:color="auto"/>
              <w:right w:val="single" w:sz="8" w:space="0" w:color="auto"/>
            </w:tcBorders>
            <w:shd w:val="clear" w:color="auto" w:fill="auto"/>
            <w:vAlign w:val="center"/>
            <w:hideMark/>
          </w:tcPr>
          <w:p w14:paraId="3DA6015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Eastern Groundsel</w:t>
            </w:r>
          </w:p>
        </w:tc>
        <w:tc>
          <w:tcPr>
            <w:tcW w:w="886" w:type="pct"/>
            <w:tcBorders>
              <w:top w:val="nil"/>
              <w:left w:val="nil"/>
              <w:bottom w:val="single" w:sz="8" w:space="0" w:color="auto"/>
              <w:right w:val="single" w:sz="8" w:space="0" w:color="auto"/>
            </w:tcBorders>
            <w:shd w:val="clear" w:color="auto" w:fill="auto"/>
            <w:vAlign w:val="center"/>
            <w:hideMark/>
          </w:tcPr>
          <w:p w14:paraId="248DBC93"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C880AB2"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A0F50D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6E3757A4"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9DF0036" w14:textId="77777777" w:rsidR="0072083E" w:rsidRPr="00E67C71" w:rsidRDefault="0072083E" w:rsidP="00F60B11">
            <w:pPr>
              <w:spacing w:before="0" w:after="0" w:line="240" w:lineRule="auto"/>
              <w:jc w:val="left"/>
              <w:rPr>
                <w:rFonts w:cs="Arial"/>
                <w:i/>
                <w:iCs/>
                <w:sz w:val="18"/>
                <w:szCs w:val="18"/>
              </w:rPr>
            </w:pPr>
            <w:r w:rsidRPr="00E67C71">
              <w:rPr>
                <w:rFonts w:cs="Arial"/>
                <w:i/>
                <w:iCs/>
                <w:sz w:val="18"/>
                <w:szCs w:val="18"/>
              </w:rPr>
              <w:t xml:space="preserve">Tripleurospermum oreades </w:t>
            </w:r>
            <w:r w:rsidRPr="00E67C71">
              <w:rPr>
                <w:rFonts w:cs="Arial"/>
                <w:sz w:val="18"/>
                <w:szCs w:val="18"/>
              </w:rPr>
              <w:t>(Boiss.) Rech.f</w:t>
            </w:r>
            <w:r w:rsidRPr="00E67C71">
              <w:rPr>
                <w:rFonts w:cs="Arial"/>
                <w:i/>
                <w:iCs/>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B17C51A"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9F133BC"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55AA37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13DE2E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5F12137B"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C2A1B99" w14:textId="77777777" w:rsidR="0072083E" w:rsidRPr="00E67C71" w:rsidRDefault="0072083E" w:rsidP="00F60B11">
            <w:pPr>
              <w:spacing w:before="0" w:after="0" w:line="240" w:lineRule="auto"/>
              <w:jc w:val="left"/>
              <w:rPr>
                <w:rFonts w:cs="Arial"/>
                <w:i/>
                <w:iCs/>
                <w:sz w:val="18"/>
                <w:szCs w:val="18"/>
              </w:rPr>
            </w:pPr>
            <w:r w:rsidRPr="00E67C71">
              <w:rPr>
                <w:rFonts w:cs="Arial"/>
                <w:i/>
                <w:iCs/>
                <w:sz w:val="18"/>
                <w:szCs w:val="18"/>
              </w:rPr>
              <w:t xml:space="preserve">Xanthium spinosum </w:t>
            </w:r>
            <w:r w:rsidRPr="00E67C71">
              <w:rPr>
                <w:rFonts w:cs="Arial"/>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5671A182"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Spiny Cocklebur</w:t>
            </w:r>
          </w:p>
        </w:tc>
        <w:tc>
          <w:tcPr>
            <w:tcW w:w="886" w:type="pct"/>
            <w:tcBorders>
              <w:top w:val="nil"/>
              <w:left w:val="nil"/>
              <w:bottom w:val="single" w:sz="8" w:space="0" w:color="auto"/>
              <w:right w:val="single" w:sz="8" w:space="0" w:color="auto"/>
            </w:tcBorders>
            <w:shd w:val="clear" w:color="auto" w:fill="auto"/>
            <w:vAlign w:val="center"/>
            <w:hideMark/>
          </w:tcPr>
          <w:p w14:paraId="604DEBC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85A9B7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70BE9B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50D1F60B"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3823524"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Xanthium strumarium </w:t>
            </w:r>
            <w:r w:rsidRPr="00EE43C6">
              <w:rPr>
                <w:rFonts w:cs="Arial"/>
                <w:color w:val="000000"/>
                <w:sz w:val="18"/>
                <w:szCs w:val="18"/>
              </w:rPr>
              <w:t>subsp.</w:t>
            </w:r>
            <w:r w:rsidRPr="00EE43C6">
              <w:rPr>
                <w:rFonts w:cs="Arial"/>
                <w:i/>
                <w:iCs/>
                <w:color w:val="000000"/>
                <w:sz w:val="18"/>
                <w:szCs w:val="18"/>
              </w:rPr>
              <w:t xml:space="preserve"> Strumarium</w:t>
            </w:r>
          </w:p>
        </w:tc>
        <w:tc>
          <w:tcPr>
            <w:tcW w:w="886" w:type="pct"/>
            <w:tcBorders>
              <w:top w:val="nil"/>
              <w:left w:val="nil"/>
              <w:bottom w:val="single" w:sz="8" w:space="0" w:color="auto"/>
              <w:right w:val="single" w:sz="8" w:space="0" w:color="auto"/>
            </w:tcBorders>
            <w:shd w:val="clear" w:color="auto" w:fill="auto"/>
            <w:vAlign w:val="center"/>
            <w:hideMark/>
          </w:tcPr>
          <w:p w14:paraId="453D8FA7"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Clotbur</w:t>
            </w:r>
          </w:p>
        </w:tc>
        <w:tc>
          <w:tcPr>
            <w:tcW w:w="886" w:type="pct"/>
            <w:tcBorders>
              <w:top w:val="nil"/>
              <w:left w:val="nil"/>
              <w:bottom w:val="single" w:sz="8" w:space="0" w:color="auto"/>
              <w:right w:val="single" w:sz="8" w:space="0" w:color="auto"/>
            </w:tcBorders>
            <w:shd w:val="clear" w:color="auto" w:fill="auto"/>
            <w:vAlign w:val="center"/>
            <w:hideMark/>
          </w:tcPr>
          <w:p w14:paraId="65BCD0E2"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7A6586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39B1DC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r>
      <w:tr w:rsidR="0072083E" w:rsidRPr="00EE43C6" w14:paraId="3BEFD683"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1D8D7EB"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Berberidaceae</w:t>
            </w:r>
          </w:p>
        </w:tc>
        <w:tc>
          <w:tcPr>
            <w:tcW w:w="886" w:type="pct"/>
            <w:tcBorders>
              <w:top w:val="nil"/>
              <w:left w:val="nil"/>
              <w:bottom w:val="single" w:sz="8" w:space="0" w:color="auto"/>
              <w:right w:val="single" w:sz="8" w:space="0" w:color="auto"/>
            </w:tcBorders>
            <w:shd w:val="clear" w:color="auto" w:fill="auto"/>
            <w:vAlign w:val="center"/>
            <w:hideMark/>
          </w:tcPr>
          <w:p w14:paraId="16E016A2"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DD10A89"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78E00C3"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DC00E42"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r>
      <w:tr w:rsidR="0072083E" w:rsidRPr="00EE43C6" w14:paraId="4C24DD7E"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B0545F0"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Berberis crataegina</w:t>
            </w:r>
          </w:p>
        </w:tc>
        <w:tc>
          <w:tcPr>
            <w:tcW w:w="886" w:type="pct"/>
            <w:tcBorders>
              <w:top w:val="nil"/>
              <w:left w:val="nil"/>
              <w:bottom w:val="single" w:sz="8" w:space="0" w:color="auto"/>
              <w:right w:val="single" w:sz="8" w:space="0" w:color="auto"/>
            </w:tcBorders>
            <w:shd w:val="clear" w:color="auto" w:fill="auto"/>
            <w:vAlign w:val="center"/>
            <w:hideMark/>
          </w:tcPr>
          <w:p w14:paraId="14590D0A"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755EE0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69A7C7A"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A65C0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r>
      <w:tr w:rsidR="0072083E" w:rsidRPr="00EE43C6" w14:paraId="4CDEC2DD"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D521506"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Boraginaceae</w:t>
            </w:r>
          </w:p>
        </w:tc>
        <w:tc>
          <w:tcPr>
            <w:tcW w:w="886" w:type="pct"/>
            <w:tcBorders>
              <w:top w:val="nil"/>
              <w:left w:val="nil"/>
              <w:bottom w:val="single" w:sz="8" w:space="0" w:color="auto"/>
              <w:right w:val="single" w:sz="8" w:space="0" w:color="auto"/>
            </w:tcBorders>
            <w:shd w:val="clear" w:color="auto" w:fill="auto"/>
            <w:vAlign w:val="center"/>
            <w:hideMark/>
          </w:tcPr>
          <w:p w14:paraId="10FD506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101AB32"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8119713"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5DD7BA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r>
      <w:tr w:rsidR="0072083E" w:rsidRPr="00EE43C6" w14:paraId="4F7EE86E"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8E66D7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Anchusa undulata L.subsp.hybrida (Ten.) Coutinho</w:t>
            </w:r>
          </w:p>
        </w:tc>
        <w:tc>
          <w:tcPr>
            <w:tcW w:w="886" w:type="pct"/>
            <w:tcBorders>
              <w:top w:val="nil"/>
              <w:left w:val="nil"/>
              <w:bottom w:val="single" w:sz="8" w:space="0" w:color="auto"/>
              <w:right w:val="single" w:sz="8" w:space="0" w:color="auto"/>
            </w:tcBorders>
            <w:shd w:val="clear" w:color="auto" w:fill="auto"/>
            <w:vAlign w:val="center"/>
            <w:hideMark/>
          </w:tcPr>
          <w:p w14:paraId="5B02CF5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5D822C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BB09A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56E31F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r>
      <w:tr w:rsidR="0072083E" w:rsidRPr="00EE43C6" w14:paraId="68B6804E"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2A7A3C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Asperugo procumbens L.</w:t>
            </w:r>
          </w:p>
        </w:tc>
        <w:tc>
          <w:tcPr>
            <w:tcW w:w="886" w:type="pct"/>
            <w:tcBorders>
              <w:top w:val="nil"/>
              <w:left w:val="nil"/>
              <w:bottom w:val="single" w:sz="8" w:space="0" w:color="auto"/>
              <w:right w:val="single" w:sz="8" w:space="0" w:color="auto"/>
            </w:tcBorders>
            <w:shd w:val="clear" w:color="auto" w:fill="auto"/>
            <w:vAlign w:val="center"/>
            <w:hideMark/>
          </w:tcPr>
          <w:p w14:paraId="044388C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German Madwort</w:t>
            </w:r>
          </w:p>
        </w:tc>
        <w:tc>
          <w:tcPr>
            <w:tcW w:w="886" w:type="pct"/>
            <w:tcBorders>
              <w:top w:val="nil"/>
              <w:left w:val="nil"/>
              <w:bottom w:val="single" w:sz="8" w:space="0" w:color="auto"/>
              <w:right w:val="single" w:sz="8" w:space="0" w:color="auto"/>
            </w:tcBorders>
            <w:shd w:val="clear" w:color="auto" w:fill="auto"/>
            <w:vAlign w:val="center"/>
            <w:hideMark/>
          </w:tcPr>
          <w:p w14:paraId="2DE3E316"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A8B88D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60CEB9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r>
      <w:tr w:rsidR="0072083E" w:rsidRPr="00EE43C6" w14:paraId="6521F82C"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C650DC6"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Brunnera orientalis (Schenk) Johnston</w:t>
            </w:r>
          </w:p>
        </w:tc>
        <w:tc>
          <w:tcPr>
            <w:tcW w:w="886" w:type="pct"/>
            <w:tcBorders>
              <w:top w:val="nil"/>
              <w:left w:val="nil"/>
              <w:bottom w:val="single" w:sz="8" w:space="0" w:color="auto"/>
              <w:right w:val="single" w:sz="8" w:space="0" w:color="auto"/>
            </w:tcBorders>
            <w:shd w:val="clear" w:color="auto" w:fill="auto"/>
            <w:vAlign w:val="center"/>
            <w:hideMark/>
          </w:tcPr>
          <w:p w14:paraId="0BCE2BD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F739DF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17FA03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8321A2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r>
      <w:tr w:rsidR="0072083E" w:rsidRPr="00EE43C6" w14:paraId="54091228"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33A9E0D"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Echium italicum </w:t>
            </w:r>
            <w:r w:rsidRPr="00EE43C6">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5ACE5268" w14:textId="4F255BC6"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Italian Viper</w:t>
            </w:r>
            <w:r w:rsidR="00165A8C">
              <w:rPr>
                <w:rFonts w:cs="Arial"/>
                <w:iCs/>
                <w:color w:val="000000"/>
                <w:sz w:val="18"/>
                <w:szCs w:val="18"/>
              </w:rPr>
              <w:t>’</w:t>
            </w:r>
            <w:r w:rsidRPr="00EE43C6">
              <w:rPr>
                <w:rFonts w:cs="Arial"/>
                <w:iCs/>
                <w:color w:val="000000"/>
                <w:sz w:val="18"/>
                <w:szCs w:val="18"/>
              </w:rPr>
              <w:t>s Bugloss</w:t>
            </w:r>
          </w:p>
        </w:tc>
        <w:tc>
          <w:tcPr>
            <w:tcW w:w="886" w:type="pct"/>
            <w:tcBorders>
              <w:top w:val="nil"/>
              <w:left w:val="nil"/>
              <w:bottom w:val="single" w:sz="8" w:space="0" w:color="auto"/>
              <w:right w:val="single" w:sz="8" w:space="0" w:color="auto"/>
            </w:tcBorders>
            <w:shd w:val="clear" w:color="auto" w:fill="auto"/>
            <w:vAlign w:val="center"/>
            <w:hideMark/>
          </w:tcPr>
          <w:p w14:paraId="383C3906"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9645B7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A15DE9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r>
      <w:tr w:rsidR="0072083E" w:rsidRPr="00EE43C6" w14:paraId="5D548BDE"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B0A776C"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Heliotropium </w:t>
            </w:r>
            <w:r w:rsidRPr="00EE43C6">
              <w:rPr>
                <w:rFonts w:cs="Arial"/>
                <w:i/>
                <w:color w:val="000000"/>
                <w:sz w:val="18"/>
                <w:szCs w:val="18"/>
              </w:rPr>
              <w:t>europaeum</w:t>
            </w:r>
            <w:r w:rsidRPr="00EE43C6">
              <w:rPr>
                <w:rFonts w:cs="Arial"/>
                <w:color w:val="000000"/>
                <w:sz w:val="18"/>
                <w:szCs w:val="18"/>
              </w:rPr>
              <w:t xml:space="preserve"> L</w:t>
            </w:r>
            <w:r w:rsidRPr="00EE43C6">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B9463D7"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Common Heliotrope</w:t>
            </w:r>
          </w:p>
        </w:tc>
        <w:tc>
          <w:tcPr>
            <w:tcW w:w="886" w:type="pct"/>
            <w:tcBorders>
              <w:top w:val="nil"/>
              <w:left w:val="nil"/>
              <w:bottom w:val="single" w:sz="8" w:space="0" w:color="auto"/>
              <w:right w:val="single" w:sz="8" w:space="0" w:color="auto"/>
            </w:tcBorders>
            <w:shd w:val="clear" w:color="auto" w:fill="auto"/>
            <w:vAlign w:val="center"/>
            <w:hideMark/>
          </w:tcPr>
          <w:p w14:paraId="66C727D0"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14F484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995A7D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r>
      <w:tr w:rsidR="0072083E" w:rsidRPr="00EE43C6" w14:paraId="7F5E7364"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F86A1C3"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Myosotis </w:t>
            </w:r>
            <w:r w:rsidRPr="00EE43C6">
              <w:rPr>
                <w:rFonts w:cs="Arial"/>
                <w:i/>
                <w:color w:val="000000"/>
                <w:sz w:val="18"/>
                <w:szCs w:val="18"/>
              </w:rPr>
              <w:t xml:space="preserve">arvensis </w:t>
            </w:r>
            <w:r w:rsidRPr="00EE43C6">
              <w:rPr>
                <w:rFonts w:cs="Arial"/>
                <w:color w:val="000000"/>
                <w:sz w:val="18"/>
                <w:szCs w:val="18"/>
              </w:rPr>
              <w:t>(L) Hill</w:t>
            </w:r>
          </w:p>
        </w:tc>
        <w:tc>
          <w:tcPr>
            <w:tcW w:w="886" w:type="pct"/>
            <w:tcBorders>
              <w:top w:val="nil"/>
              <w:left w:val="nil"/>
              <w:bottom w:val="single" w:sz="8" w:space="0" w:color="auto"/>
              <w:right w:val="single" w:sz="8" w:space="0" w:color="auto"/>
            </w:tcBorders>
            <w:shd w:val="clear" w:color="auto" w:fill="auto"/>
            <w:vAlign w:val="center"/>
            <w:hideMark/>
          </w:tcPr>
          <w:p w14:paraId="3AF86EB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Field Forget-Me-Not</w:t>
            </w:r>
          </w:p>
        </w:tc>
        <w:tc>
          <w:tcPr>
            <w:tcW w:w="886" w:type="pct"/>
            <w:tcBorders>
              <w:top w:val="nil"/>
              <w:left w:val="nil"/>
              <w:bottom w:val="single" w:sz="8" w:space="0" w:color="auto"/>
              <w:right w:val="single" w:sz="8" w:space="0" w:color="auto"/>
            </w:tcBorders>
            <w:shd w:val="clear" w:color="auto" w:fill="auto"/>
            <w:vAlign w:val="center"/>
            <w:hideMark/>
          </w:tcPr>
          <w:p w14:paraId="67BC10C9"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4DCD29A"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68820C9"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r>
      <w:tr w:rsidR="0072083E" w:rsidRPr="00EE43C6" w14:paraId="5B49173D"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57DC241"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Brassicaceae</w:t>
            </w:r>
          </w:p>
        </w:tc>
        <w:tc>
          <w:tcPr>
            <w:tcW w:w="886" w:type="pct"/>
            <w:tcBorders>
              <w:top w:val="nil"/>
              <w:left w:val="nil"/>
              <w:bottom w:val="single" w:sz="8" w:space="0" w:color="auto"/>
              <w:right w:val="single" w:sz="8" w:space="0" w:color="auto"/>
            </w:tcBorders>
            <w:shd w:val="clear" w:color="auto" w:fill="auto"/>
            <w:vAlign w:val="center"/>
            <w:hideMark/>
          </w:tcPr>
          <w:p w14:paraId="24922C6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6BF3242"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FF7CD9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096FBD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r>
      <w:tr w:rsidR="0072083E" w:rsidRPr="00EE43C6" w14:paraId="6FA531EC"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E0D63B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Aethionema arabicum (L.) DC.</w:t>
            </w:r>
          </w:p>
        </w:tc>
        <w:tc>
          <w:tcPr>
            <w:tcW w:w="886" w:type="pct"/>
            <w:tcBorders>
              <w:top w:val="nil"/>
              <w:left w:val="nil"/>
              <w:bottom w:val="single" w:sz="8" w:space="0" w:color="auto"/>
              <w:right w:val="single" w:sz="8" w:space="0" w:color="auto"/>
            </w:tcBorders>
            <w:shd w:val="clear" w:color="auto" w:fill="auto"/>
            <w:vAlign w:val="center"/>
            <w:hideMark/>
          </w:tcPr>
          <w:p w14:paraId="02B7342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959943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C98C59A"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BE15C7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4BA5137B"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F790BC5"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Alyssum minutum </w:t>
            </w:r>
            <w:r w:rsidRPr="00EE43C6">
              <w:rPr>
                <w:rFonts w:cs="Arial"/>
                <w:color w:val="000000"/>
                <w:sz w:val="18"/>
                <w:szCs w:val="18"/>
              </w:rPr>
              <w:t>(L) Schlecht. Ex Dc.</w:t>
            </w:r>
          </w:p>
        </w:tc>
        <w:tc>
          <w:tcPr>
            <w:tcW w:w="886" w:type="pct"/>
            <w:tcBorders>
              <w:top w:val="nil"/>
              <w:left w:val="nil"/>
              <w:bottom w:val="single" w:sz="8" w:space="0" w:color="auto"/>
              <w:right w:val="single" w:sz="8" w:space="0" w:color="auto"/>
            </w:tcBorders>
            <w:shd w:val="clear" w:color="auto" w:fill="auto"/>
            <w:vAlign w:val="center"/>
            <w:hideMark/>
          </w:tcPr>
          <w:p w14:paraId="51C540BC"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75140A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32AA7D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675435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01860D11"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6E93C5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Arabis aubrietioides</w:t>
            </w:r>
          </w:p>
        </w:tc>
        <w:tc>
          <w:tcPr>
            <w:tcW w:w="886" w:type="pct"/>
            <w:tcBorders>
              <w:top w:val="nil"/>
              <w:left w:val="nil"/>
              <w:bottom w:val="single" w:sz="8" w:space="0" w:color="auto"/>
              <w:right w:val="single" w:sz="8" w:space="0" w:color="auto"/>
            </w:tcBorders>
            <w:shd w:val="clear" w:color="auto" w:fill="auto"/>
            <w:vAlign w:val="center"/>
            <w:hideMark/>
          </w:tcPr>
          <w:p w14:paraId="0CBC833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7038664" w14:textId="78C9E401" w:rsidR="0072083E" w:rsidRPr="00EE43C6" w:rsidRDefault="005D51EA" w:rsidP="00F60B11">
            <w:pPr>
              <w:spacing w:before="0" w:after="0" w:line="240" w:lineRule="auto"/>
              <w:jc w:val="center"/>
              <w:rPr>
                <w:rFonts w:cs="Arial"/>
                <w:color w:val="000000"/>
                <w:sz w:val="18"/>
                <w:szCs w:val="18"/>
              </w:rPr>
            </w:pPr>
            <w:r w:rsidRPr="00EE43C6">
              <w:rPr>
                <w:rFonts w:eastAsia="Cambria" w:cs="MS Gothic"/>
                <w:color w:val="000000"/>
                <w:sz w:val="18"/>
                <w:szCs w:val="18"/>
              </w:rPr>
              <w:t>Endemic</w:t>
            </w:r>
          </w:p>
        </w:tc>
        <w:tc>
          <w:tcPr>
            <w:tcW w:w="886" w:type="pct"/>
            <w:tcBorders>
              <w:top w:val="nil"/>
              <w:left w:val="nil"/>
              <w:bottom w:val="single" w:sz="8" w:space="0" w:color="auto"/>
              <w:right w:val="single" w:sz="8" w:space="0" w:color="auto"/>
            </w:tcBorders>
            <w:shd w:val="clear" w:color="auto" w:fill="auto"/>
            <w:vAlign w:val="center"/>
            <w:hideMark/>
          </w:tcPr>
          <w:p w14:paraId="1D476BE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802E132"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r>
      <w:tr w:rsidR="0072083E" w:rsidRPr="00EE43C6" w14:paraId="3C2B6C0F"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EAFE6BF"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Aubrieta canescens </w:t>
            </w:r>
          </w:p>
        </w:tc>
        <w:tc>
          <w:tcPr>
            <w:tcW w:w="886" w:type="pct"/>
            <w:tcBorders>
              <w:top w:val="nil"/>
              <w:left w:val="nil"/>
              <w:bottom w:val="single" w:sz="8" w:space="0" w:color="auto"/>
              <w:right w:val="single" w:sz="8" w:space="0" w:color="auto"/>
            </w:tcBorders>
            <w:shd w:val="clear" w:color="auto" w:fill="auto"/>
            <w:vAlign w:val="center"/>
            <w:hideMark/>
          </w:tcPr>
          <w:p w14:paraId="0D33EF4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C6E42A1" w14:textId="032EABA3" w:rsidR="0072083E" w:rsidRPr="00EE43C6" w:rsidRDefault="005D51EA" w:rsidP="00F60B11">
            <w:pPr>
              <w:spacing w:before="0" w:after="0" w:line="240" w:lineRule="auto"/>
              <w:jc w:val="center"/>
              <w:rPr>
                <w:rFonts w:cs="Arial"/>
                <w:color w:val="000000"/>
                <w:sz w:val="18"/>
                <w:szCs w:val="18"/>
              </w:rPr>
            </w:pPr>
            <w:r w:rsidRPr="00EE43C6">
              <w:rPr>
                <w:rFonts w:eastAsia="Cambria" w:cs="MS Gothic"/>
                <w:color w:val="000000"/>
                <w:sz w:val="18"/>
                <w:szCs w:val="18"/>
              </w:rPr>
              <w:t>Endemic</w:t>
            </w:r>
          </w:p>
        </w:tc>
        <w:tc>
          <w:tcPr>
            <w:tcW w:w="886" w:type="pct"/>
            <w:tcBorders>
              <w:top w:val="nil"/>
              <w:left w:val="nil"/>
              <w:bottom w:val="single" w:sz="8" w:space="0" w:color="auto"/>
              <w:right w:val="single" w:sz="8" w:space="0" w:color="auto"/>
            </w:tcBorders>
            <w:shd w:val="clear" w:color="auto" w:fill="auto"/>
            <w:vAlign w:val="center"/>
            <w:hideMark/>
          </w:tcPr>
          <w:p w14:paraId="4CFEEA8C"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A78ED10"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r>
      <w:tr w:rsidR="0072083E" w:rsidRPr="00EE43C6" w14:paraId="6CD7C8A2"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8DD4ED8"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Capsella bursa- pastoris.</w:t>
            </w:r>
          </w:p>
        </w:tc>
        <w:tc>
          <w:tcPr>
            <w:tcW w:w="886" w:type="pct"/>
            <w:tcBorders>
              <w:top w:val="nil"/>
              <w:left w:val="nil"/>
              <w:bottom w:val="single" w:sz="8" w:space="0" w:color="auto"/>
              <w:right w:val="single" w:sz="8" w:space="0" w:color="auto"/>
            </w:tcBorders>
            <w:shd w:val="clear" w:color="auto" w:fill="auto"/>
            <w:vAlign w:val="center"/>
            <w:hideMark/>
          </w:tcPr>
          <w:p w14:paraId="0D2694AE"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Shepherd’s Purse</w:t>
            </w:r>
          </w:p>
        </w:tc>
        <w:tc>
          <w:tcPr>
            <w:tcW w:w="886" w:type="pct"/>
            <w:tcBorders>
              <w:top w:val="nil"/>
              <w:left w:val="nil"/>
              <w:bottom w:val="single" w:sz="8" w:space="0" w:color="auto"/>
              <w:right w:val="single" w:sz="8" w:space="0" w:color="auto"/>
            </w:tcBorders>
            <w:shd w:val="clear" w:color="auto" w:fill="auto"/>
            <w:vAlign w:val="center"/>
            <w:hideMark/>
          </w:tcPr>
          <w:p w14:paraId="1C22936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57CC49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4E8F5C6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2E1EC7B3"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D38CF10"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Erysimum crassipes </w:t>
            </w:r>
            <w:r w:rsidRPr="00EE43C6">
              <w:rPr>
                <w:rFonts w:cs="Arial"/>
                <w:color w:val="000000"/>
                <w:sz w:val="18"/>
                <w:szCs w:val="18"/>
              </w:rPr>
              <w:t>Fisch.&amp; C.C.Mey</w:t>
            </w:r>
          </w:p>
        </w:tc>
        <w:tc>
          <w:tcPr>
            <w:tcW w:w="886" w:type="pct"/>
            <w:tcBorders>
              <w:top w:val="nil"/>
              <w:left w:val="nil"/>
              <w:bottom w:val="single" w:sz="8" w:space="0" w:color="auto"/>
              <w:right w:val="single" w:sz="8" w:space="0" w:color="auto"/>
            </w:tcBorders>
            <w:shd w:val="clear" w:color="auto" w:fill="auto"/>
            <w:vAlign w:val="center"/>
            <w:hideMark/>
          </w:tcPr>
          <w:p w14:paraId="776C54FA"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204F58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34D107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E7CA04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4DB343B3"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DDFDF10"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Erysimum goniocolon </w:t>
            </w:r>
            <w:r w:rsidRPr="00EE43C6">
              <w:rPr>
                <w:rFonts w:cs="Arial"/>
                <w:color w:val="000000"/>
                <w:sz w:val="18"/>
                <w:szCs w:val="18"/>
              </w:rPr>
              <w:t>Boiss.</w:t>
            </w:r>
          </w:p>
        </w:tc>
        <w:tc>
          <w:tcPr>
            <w:tcW w:w="886" w:type="pct"/>
            <w:tcBorders>
              <w:top w:val="nil"/>
              <w:left w:val="nil"/>
              <w:bottom w:val="single" w:sz="8" w:space="0" w:color="auto"/>
              <w:right w:val="single" w:sz="8" w:space="0" w:color="auto"/>
            </w:tcBorders>
            <w:shd w:val="clear" w:color="auto" w:fill="auto"/>
            <w:vAlign w:val="center"/>
            <w:hideMark/>
          </w:tcPr>
          <w:p w14:paraId="407D5C21"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444267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583AFB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7F7EFB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6516C94D"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139012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Silene behen</w:t>
            </w:r>
            <w:r w:rsidRPr="00EE43C6">
              <w:rPr>
                <w:rFonts w:cs="Arial"/>
                <w:color w:val="000000"/>
                <w:sz w:val="18"/>
                <w:szCs w:val="18"/>
              </w:rPr>
              <w:t xml:space="preserve"> L</w:t>
            </w:r>
            <w:r w:rsidRPr="00EE43C6">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2EEB1FA"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Hairless Catchfly</w:t>
            </w:r>
          </w:p>
        </w:tc>
        <w:tc>
          <w:tcPr>
            <w:tcW w:w="886" w:type="pct"/>
            <w:tcBorders>
              <w:top w:val="nil"/>
              <w:left w:val="nil"/>
              <w:bottom w:val="single" w:sz="8" w:space="0" w:color="auto"/>
              <w:right w:val="single" w:sz="8" w:space="0" w:color="auto"/>
            </w:tcBorders>
            <w:shd w:val="clear" w:color="auto" w:fill="auto"/>
            <w:vAlign w:val="center"/>
            <w:hideMark/>
          </w:tcPr>
          <w:p w14:paraId="0A2E984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894376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91D537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64AF316E"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635721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Silene italica </w:t>
            </w:r>
            <w:r w:rsidRPr="00EE43C6">
              <w:rPr>
                <w:rFonts w:cs="Arial"/>
                <w:color w:val="000000"/>
                <w:sz w:val="18"/>
                <w:szCs w:val="18"/>
              </w:rPr>
              <w:t>(L.) Pers</w:t>
            </w:r>
            <w:r w:rsidRPr="00EE43C6">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B673533"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Italian Catchfly</w:t>
            </w:r>
          </w:p>
        </w:tc>
        <w:tc>
          <w:tcPr>
            <w:tcW w:w="886" w:type="pct"/>
            <w:tcBorders>
              <w:top w:val="nil"/>
              <w:left w:val="nil"/>
              <w:bottom w:val="single" w:sz="8" w:space="0" w:color="auto"/>
              <w:right w:val="single" w:sz="8" w:space="0" w:color="auto"/>
            </w:tcBorders>
            <w:shd w:val="clear" w:color="auto" w:fill="auto"/>
            <w:vAlign w:val="center"/>
            <w:hideMark/>
          </w:tcPr>
          <w:p w14:paraId="0170B2A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B81A0C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702E24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40C98442"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00823ED" w14:textId="1A69108E"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Silene vulgaris </w:t>
            </w:r>
            <w:r w:rsidRPr="00EE43C6">
              <w:rPr>
                <w:rFonts w:cs="Arial"/>
                <w:color w:val="000000"/>
                <w:sz w:val="18"/>
                <w:szCs w:val="18"/>
              </w:rPr>
              <w:t>(Moench) Garcke</w:t>
            </w:r>
            <w:r w:rsidRPr="00EE43C6">
              <w:rPr>
                <w:rFonts w:cs="Arial"/>
                <w:i/>
                <w:iCs/>
                <w:color w:val="000000"/>
                <w:sz w:val="18"/>
                <w:szCs w:val="18"/>
              </w:rPr>
              <w:t xml:space="preserve"> </w:t>
            </w:r>
            <w:r w:rsidRPr="00EE43C6">
              <w:rPr>
                <w:rFonts w:cs="Arial"/>
                <w:color w:val="000000"/>
                <w:sz w:val="18"/>
                <w:szCs w:val="18"/>
              </w:rPr>
              <w:t>subsp</w:t>
            </w:r>
            <w:r w:rsidRPr="00EE43C6">
              <w:rPr>
                <w:rFonts w:cs="Arial"/>
                <w:i/>
                <w:iCs/>
                <w:color w:val="000000"/>
                <w:sz w:val="18"/>
                <w:szCs w:val="18"/>
              </w:rPr>
              <w:t xml:space="preserve">. </w:t>
            </w:r>
            <w:r w:rsidR="00165A8C" w:rsidRPr="00EE43C6">
              <w:rPr>
                <w:rFonts w:cs="Arial"/>
                <w:i/>
                <w:iCs/>
                <w:color w:val="000000"/>
                <w:sz w:val="18"/>
                <w:szCs w:val="18"/>
              </w:rPr>
              <w:t>V</w:t>
            </w:r>
            <w:r w:rsidRPr="00EE43C6">
              <w:rPr>
                <w:rFonts w:cs="Arial"/>
                <w:i/>
                <w:iCs/>
                <w:color w:val="000000"/>
                <w:sz w:val="18"/>
                <w:szCs w:val="18"/>
              </w:rPr>
              <w:t>ulgaris</w:t>
            </w:r>
          </w:p>
        </w:tc>
        <w:tc>
          <w:tcPr>
            <w:tcW w:w="886" w:type="pct"/>
            <w:tcBorders>
              <w:top w:val="nil"/>
              <w:left w:val="nil"/>
              <w:bottom w:val="single" w:sz="8" w:space="0" w:color="auto"/>
              <w:right w:val="single" w:sz="8" w:space="0" w:color="auto"/>
            </w:tcBorders>
            <w:shd w:val="clear" w:color="auto" w:fill="auto"/>
            <w:vAlign w:val="center"/>
            <w:hideMark/>
          </w:tcPr>
          <w:p w14:paraId="43570234"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Bladder Campion</w:t>
            </w:r>
          </w:p>
        </w:tc>
        <w:tc>
          <w:tcPr>
            <w:tcW w:w="886" w:type="pct"/>
            <w:tcBorders>
              <w:top w:val="nil"/>
              <w:left w:val="nil"/>
              <w:bottom w:val="single" w:sz="8" w:space="0" w:color="auto"/>
              <w:right w:val="single" w:sz="8" w:space="0" w:color="auto"/>
            </w:tcBorders>
            <w:shd w:val="clear" w:color="auto" w:fill="auto"/>
            <w:vAlign w:val="center"/>
            <w:hideMark/>
          </w:tcPr>
          <w:p w14:paraId="7BFC6D3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DF5C4A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885D1A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24B8625E"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DE3AAA0"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lastRenderedPageBreak/>
              <w:t>Caprifoliaceae</w:t>
            </w:r>
          </w:p>
        </w:tc>
        <w:tc>
          <w:tcPr>
            <w:tcW w:w="886" w:type="pct"/>
            <w:tcBorders>
              <w:top w:val="nil"/>
              <w:left w:val="nil"/>
              <w:bottom w:val="single" w:sz="8" w:space="0" w:color="auto"/>
              <w:right w:val="single" w:sz="8" w:space="0" w:color="auto"/>
            </w:tcBorders>
            <w:shd w:val="clear" w:color="auto" w:fill="auto"/>
            <w:vAlign w:val="center"/>
            <w:hideMark/>
          </w:tcPr>
          <w:p w14:paraId="72157D03"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D69C17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D2FE94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215ADC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r>
      <w:tr w:rsidR="0072083E" w:rsidRPr="00EE43C6" w14:paraId="5B1160E5"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0A27708"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Valeriana tuberosa</w:t>
            </w:r>
          </w:p>
        </w:tc>
        <w:tc>
          <w:tcPr>
            <w:tcW w:w="886" w:type="pct"/>
            <w:tcBorders>
              <w:top w:val="nil"/>
              <w:left w:val="nil"/>
              <w:bottom w:val="single" w:sz="8" w:space="0" w:color="auto"/>
              <w:right w:val="single" w:sz="8" w:space="0" w:color="auto"/>
            </w:tcBorders>
            <w:shd w:val="clear" w:color="auto" w:fill="auto"/>
            <w:vAlign w:val="center"/>
            <w:hideMark/>
          </w:tcPr>
          <w:p w14:paraId="03BD414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Tuberous Valerian</w:t>
            </w:r>
          </w:p>
        </w:tc>
        <w:tc>
          <w:tcPr>
            <w:tcW w:w="886" w:type="pct"/>
            <w:tcBorders>
              <w:top w:val="nil"/>
              <w:left w:val="nil"/>
              <w:bottom w:val="single" w:sz="8" w:space="0" w:color="auto"/>
              <w:right w:val="single" w:sz="8" w:space="0" w:color="auto"/>
            </w:tcBorders>
            <w:shd w:val="clear" w:color="auto" w:fill="auto"/>
            <w:vAlign w:val="center"/>
            <w:hideMark/>
          </w:tcPr>
          <w:p w14:paraId="0E7F072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A43523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43B6E8E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6414F26D"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4BF2AE0"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Chenopodiaceae</w:t>
            </w:r>
          </w:p>
        </w:tc>
        <w:tc>
          <w:tcPr>
            <w:tcW w:w="886" w:type="pct"/>
            <w:tcBorders>
              <w:top w:val="nil"/>
              <w:left w:val="nil"/>
              <w:bottom w:val="single" w:sz="8" w:space="0" w:color="auto"/>
              <w:right w:val="single" w:sz="8" w:space="0" w:color="auto"/>
            </w:tcBorders>
            <w:shd w:val="clear" w:color="auto" w:fill="auto"/>
            <w:vAlign w:val="center"/>
            <w:hideMark/>
          </w:tcPr>
          <w:p w14:paraId="74DCAC9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0D6E9B0"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FCFD91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3C7D3C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r>
      <w:tr w:rsidR="0072083E" w:rsidRPr="00EE43C6" w14:paraId="64588EF1"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2A53E14"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Chenopodium urbicum </w:t>
            </w:r>
            <w:r w:rsidRPr="00EE43C6">
              <w:rPr>
                <w:rFonts w:cs="Arial"/>
                <w:i/>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684B501E"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City Goosefoot</w:t>
            </w:r>
          </w:p>
        </w:tc>
        <w:tc>
          <w:tcPr>
            <w:tcW w:w="886" w:type="pct"/>
            <w:tcBorders>
              <w:top w:val="nil"/>
              <w:left w:val="nil"/>
              <w:bottom w:val="single" w:sz="8" w:space="0" w:color="auto"/>
              <w:right w:val="single" w:sz="8" w:space="0" w:color="auto"/>
            </w:tcBorders>
            <w:shd w:val="clear" w:color="auto" w:fill="auto"/>
            <w:vAlign w:val="center"/>
            <w:hideMark/>
          </w:tcPr>
          <w:p w14:paraId="2C4D7A5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35B6DF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595869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53BE64AE"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4708FB7"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Cistaceae</w:t>
            </w:r>
          </w:p>
        </w:tc>
        <w:tc>
          <w:tcPr>
            <w:tcW w:w="886" w:type="pct"/>
            <w:tcBorders>
              <w:top w:val="nil"/>
              <w:left w:val="nil"/>
              <w:bottom w:val="single" w:sz="8" w:space="0" w:color="auto"/>
              <w:right w:val="single" w:sz="8" w:space="0" w:color="auto"/>
            </w:tcBorders>
            <w:shd w:val="clear" w:color="auto" w:fill="auto"/>
            <w:vAlign w:val="center"/>
            <w:hideMark/>
          </w:tcPr>
          <w:p w14:paraId="5D4622FD"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6B936F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A7FD4D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5150DC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r>
      <w:tr w:rsidR="0072083E" w:rsidRPr="00EE43C6" w14:paraId="4BC407A4"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A295BCD"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Helianthemum ledifolium </w:t>
            </w:r>
            <w:r w:rsidRPr="00EE43C6">
              <w:rPr>
                <w:rFonts w:cs="Arial"/>
                <w:color w:val="000000"/>
                <w:sz w:val="18"/>
                <w:szCs w:val="18"/>
              </w:rPr>
              <w:t>(L.) Miller var.</w:t>
            </w:r>
            <w:r w:rsidRPr="00EE43C6">
              <w:rPr>
                <w:rFonts w:cs="Arial"/>
                <w:i/>
                <w:iCs/>
                <w:color w:val="000000"/>
                <w:sz w:val="18"/>
                <w:szCs w:val="18"/>
              </w:rPr>
              <w:t xml:space="preserve"> microcarpum </w:t>
            </w:r>
            <w:r w:rsidRPr="00EE43C6">
              <w:rPr>
                <w:rFonts w:cs="Arial"/>
                <w:color w:val="000000"/>
                <w:sz w:val="18"/>
                <w:szCs w:val="18"/>
              </w:rPr>
              <w:t>Wilk</w:t>
            </w:r>
          </w:p>
        </w:tc>
        <w:tc>
          <w:tcPr>
            <w:tcW w:w="886" w:type="pct"/>
            <w:tcBorders>
              <w:top w:val="nil"/>
              <w:left w:val="nil"/>
              <w:bottom w:val="single" w:sz="8" w:space="0" w:color="auto"/>
              <w:right w:val="single" w:sz="8" w:space="0" w:color="auto"/>
            </w:tcBorders>
            <w:shd w:val="clear" w:color="auto" w:fill="auto"/>
            <w:vAlign w:val="center"/>
            <w:hideMark/>
          </w:tcPr>
          <w:p w14:paraId="2FB3933A"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723E40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6F0813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39AFC0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1D3A077F"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A65E9A8"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Compositae</w:t>
            </w:r>
          </w:p>
        </w:tc>
        <w:tc>
          <w:tcPr>
            <w:tcW w:w="886" w:type="pct"/>
            <w:tcBorders>
              <w:top w:val="nil"/>
              <w:left w:val="nil"/>
              <w:bottom w:val="single" w:sz="8" w:space="0" w:color="auto"/>
              <w:right w:val="single" w:sz="8" w:space="0" w:color="auto"/>
            </w:tcBorders>
            <w:shd w:val="clear" w:color="auto" w:fill="auto"/>
            <w:vAlign w:val="center"/>
            <w:hideMark/>
          </w:tcPr>
          <w:p w14:paraId="72C1AC04"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AF11B6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EB5F5B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5A16F5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r>
      <w:tr w:rsidR="0072083E" w:rsidRPr="00EE43C6" w14:paraId="08062851"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63E5C44"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Achillea biebersteinii </w:t>
            </w:r>
            <w:r w:rsidRPr="00EE43C6">
              <w:rPr>
                <w:rFonts w:cs="Arial"/>
                <w:color w:val="000000"/>
                <w:sz w:val="18"/>
                <w:szCs w:val="18"/>
              </w:rPr>
              <w:t>Afan</w:t>
            </w:r>
          </w:p>
        </w:tc>
        <w:tc>
          <w:tcPr>
            <w:tcW w:w="886" w:type="pct"/>
            <w:tcBorders>
              <w:top w:val="nil"/>
              <w:left w:val="nil"/>
              <w:bottom w:val="single" w:sz="8" w:space="0" w:color="auto"/>
              <w:right w:val="single" w:sz="8" w:space="0" w:color="auto"/>
            </w:tcBorders>
            <w:shd w:val="clear" w:color="auto" w:fill="auto"/>
            <w:vAlign w:val="center"/>
            <w:hideMark/>
          </w:tcPr>
          <w:p w14:paraId="31668155"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47C718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51CCF4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D48418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7D98CF0B"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F456A4A"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Anthemis tinctoria</w:t>
            </w:r>
            <w:r w:rsidRPr="00EE43C6">
              <w:rPr>
                <w:rFonts w:cs="Arial"/>
                <w:color w:val="000000"/>
                <w:sz w:val="18"/>
                <w:szCs w:val="18"/>
              </w:rPr>
              <w:t xml:space="preserve"> L. var</w:t>
            </w:r>
            <w:r w:rsidRPr="00EE43C6">
              <w:rPr>
                <w:rFonts w:cs="Arial"/>
                <w:i/>
                <w:iCs/>
                <w:color w:val="000000"/>
                <w:sz w:val="18"/>
                <w:szCs w:val="18"/>
              </w:rPr>
              <w:t>. tinctoria</w:t>
            </w:r>
          </w:p>
        </w:tc>
        <w:tc>
          <w:tcPr>
            <w:tcW w:w="886" w:type="pct"/>
            <w:tcBorders>
              <w:top w:val="nil"/>
              <w:left w:val="nil"/>
              <w:bottom w:val="single" w:sz="8" w:space="0" w:color="auto"/>
              <w:right w:val="single" w:sz="8" w:space="0" w:color="auto"/>
            </w:tcBorders>
            <w:shd w:val="clear" w:color="auto" w:fill="auto"/>
            <w:vAlign w:val="center"/>
            <w:hideMark/>
          </w:tcPr>
          <w:p w14:paraId="550B81EE"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Golden Chamomile</w:t>
            </w:r>
          </w:p>
        </w:tc>
        <w:tc>
          <w:tcPr>
            <w:tcW w:w="886" w:type="pct"/>
            <w:tcBorders>
              <w:top w:val="nil"/>
              <w:left w:val="nil"/>
              <w:bottom w:val="single" w:sz="8" w:space="0" w:color="auto"/>
              <w:right w:val="single" w:sz="8" w:space="0" w:color="auto"/>
            </w:tcBorders>
            <w:shd w:val="clear" w:color="auto" w:fill="auto"/>
            <w:vAlign w:val="center"/>
            <w:hideMark/>
          </w:tcPr>
          <w:p w14:paraId="35847AC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666ECA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5926E2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39AFCC10" w14:textId="77777777" w:rsidTr="00F60B11">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A4BC304"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Bellis perennis </w:t>
            </w:r>
            <w:r w:rsidRPr="00EE43C6">
              <w:rPr>
                <w:rFonts w:cs="Arial"/>
                <w:color w:val="000000"/>
                <w:sz w:val="18"/>
                <w:szCs w:val="18"/>
              </w:rPr>
              <w:t>L</w:t>
            </w:r>
            <w:r w:rsidRPr="00EE43C6">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785718D"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English Daisy</w:t>
            </w:r>
          </w:p>
        </w:tc>
        <w:tc>
          <w:tcPr>
            <w:tcW w:w="886" w:type="pct"/>
            <w:tcBorders>
              <w:top w:val="nil"/>
              <w:left w:val="nil"/>
              <w:bottom w:val="single" w:sz="8" w:space="0" w:color="auto"/>
              <w:right w:val="single" w:sz="8" w:space="0" w:color="auto"/>
            </w:tcBorders>
            <w:shd w:val="clear" w:color="auto" w:fill="auto"/>
            <w:vAlign w:val="center"/>
            <w:hideMark/>
          </w:tcPr>
          <w:p w14:paraId="55622D2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26AFF9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DDD310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AE19FC" w:rsidRPr="00EE43C6" w14:paraId="6BBCC331" w14:textId="77777777" w:rsidTr="00F60B11">
        <w:trPr>
          <w:gridAfter w:val="1"/>
          <w:wAfter w:w="81" w:type="pct"/>
          <w:trHeight w:val="491"/>
        </w:trPr>
        <w:tc>
          <w:tcPr>
            <w:tcW w:w="1374" w:type="pct"/>
            <w:tcBorders>
              <w:top w:val="nil"/>
              <w:left w:val="single" w:sz="8" w:space="0" w:color="auto"/>
              <w:bottom w:val="single" w:sz="8" w:space="0" w:color="000000"/>
              <w:right w:val="single" w:sz="8" w:space="0" w:color="auto"/>
            </w:tcBorders>
            <w:shd w:val="clear" w:color="auto" w:fill="auto"/>
            <w:vAlign w:val="center"/>
            <w:hideMark/>
          </w:tcPr>
          <w:p w14:paraId="283463D2"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Carduus nutans </w:t>
            </w:r>
            <w:r w:rsidRPr="00EE43C6">
              <w:rPr>
                <w:rFonts w:cs="Arial"/>
                <w:color w:val="000000"/>
                <w:sz w:val="18"/>
                <w:szCs w:val="18"/>
              </w:rPr>
              <w:t>L</w:t>
            </w:r>
            <w:r w:rsidRPr="00EE43C6">
              <w:rPr>
                <w:rFonts w:cs="Arial"/>
                <w:i/>
                <w:iCs/>
                <w:color w:val="000000"/>
                <w:sz w:val="18"/>
                <w:szCs w:val="18"/>
              </w:rPr>
              <w:t>.</w:t>
            </w:r>
          </w:p>
        </w:tc>
        <w:tc>
          <w:tcPr>
            <w:tcW w:w="886" w:type="pct"/>
            <w:tcBorders>
              <w:top w:val="nil"/>
              <w:left w:val="single" w:sz="8" w:space="0" w:color="auto"/>
              <w:bottom w:val="single" w:sz="8" w:space="0" w:color="000000"/>
              <w:right w:val="single" w:sz="8" w:space="0" w:color="auto"/>
            </w:tcBorders>
            <w:shd w:val="clear" w:color="auto" w:fill="auto"/>
            <w:vAlign w:val="center"/>
            <w:hideMark/>
          </w:tcPr>
          <w:p w14:paraId="7CE6393D"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Musk Thistle</w:t>
            </w:r>
          </w:p>
        </w:tc>
        <w:tc>
          <w:tcPr>
            <w:tcW w:w="886" w:type="pct"/>
            <w:tcBorders>
              <w:top w:val="nil"/>
              <w:left w:val="single" w:sz="8" w:space="0" w:color="auto"/>
              <w:bottom w:val="single" w:sz="8" w:space="0" w:color="000000"/>
              <w:right w:val="single" w:sz="8" w:space="0" w:color="auto"/>
            </w:tcBorders>
            <w:shd w:val="clear" w:color="auto" w:fill="auto"/>
            <w:vAlign w:val="center"/>
            <w:hideMark/>
          </w:tcPr>
          <w:p w14:paraId="272EE41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single" w:sz="8" w:space="0" w:color="auto"/>
              <w:bottom w:val="single" w:sz="8" w:space="0" w:color="000000"/>
              <w:right w:val="single" w:sz="8" w:space="0" w:color="auto"/>
            </w:tcBorders>
            <w:shd w:val="clear" w:color="auto" w:fill="auto"/>
            <w:vAlign w:val="center"/>
            <w:hideMark/>
          </w:tcPr>
          <w:p w14:paraId="4CF0A41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single" w:sz="8" w:space="0" w:color="auto"/>
              <w:bottom w:val="single" w:sz="8" w:space="0" w:color="000000"/>
              <w:right w:val="single" w:sz="8" w:space="0" w:color="auto"/>
            </w:tcBorders>
            <w:shd w:val="clear" w:color="auto" w:fill="auto"/>
            <w:vAlign w:val="center"/>
            <w:hideMark/>
          </w:tcPr>
          <w:p w14:paraId="46D4C60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r>
      <w:tr w:rsidR="0072083E" w:rsidRPr="00EE43C6" w14:paraId="6295AC9A"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4A13354"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Carlina corymbose </w:t>
            </w:r>
            <w:r w:rsidRPr="00EE43C6">
              <w:rPr>
                <w:rFonts w:cs="Arial"/>
                <w:color w:val="000000"/>
                <w:sz w:val="18"/>
                <w:szCs w:val="18"/>
              </w:rPr>
              <w:t>L</w:t>
            </w:r>
            <w:r w:rsidRPr="00EE43C6">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73ACAED"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Clustered Carline Thistle</w:t>
            </w:r>
          </w:p>
        </w:tc>
        <w:tc>
          <w:tcPr>
            <w:tcW w:w="886" w:type="pct"/>
            <w:tcBorders>
              <w:top w:val="nil"/>
              <w:left w:val="nil"/>
              <w:bottom w:val="single" w:sz="8" w:space="0" w:color="auto"/>
              <w:right w:val="single" w:sz="8" w:space="0" w:color="auto"/>
            </w:tcBorders>
            <w:shd w:val="clear" w:color="auto" w:fill="auto"/>
            <w:vAlign w:val="center"/>
            <w:hideMark/>
          </w:tcPr>
          <w:p w14:paraId="75879C6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E88A92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BCE602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74AFB41" w14:textId="77777777" w:rsidR="0072083E" w:rsidRPr="00EE43C6" w:rsidRDefault="0072083E" w:rsidP="00F60B11">
            <w:pPr>
              <w:spacing w:before="0" w:after="0" w:line="240" w:lineRule="auto"/>
              <w:rPr>
                <w:rFonts w:cs="Arial"/>
                <w:sz w:val="18"/>
                <w:szCs w:val="18"/>
              </w:rPr>
            </w:pPr>
          </w:p>
        </w:tc>
      </w:tr>
      <w:tr w:rsidR="0072083E" w:rsidRPr="00EE43C6" w14:paraId="4E573673"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30B6E6F"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Centaurea iberica Trev. Ex Sprengel</w:t>
            </w:r>
          </w:p>
        </w:tc>
        <w:tc>
          <w:tcPr>
            <w:tcW w:w="886" w:type="pct"/>
            <w:tcBorders>
              <w:top w:val="nil"/>
              <w:left w:val="nil"/>
              <w:bottom w:val="single" w:sz="8" w:space="0" w:color="auto"/>
              <w:right w:val="single" w:sz="8" w:space="0" w:color="auto"/>
            </w:tcBorders>
            <w:shd w:val="clear" w:color="auto" w:fill="auto"/>
            <w:vAlign w:val="center"/>
            <w:hideMark/>
          </w:tcPr>
          <w:p w14:paraId="08984DAD"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Iberian Star-Thistle</w:t>
            </w:r>
          </w:p>
        </w:tc>
        <w:tc>
          <w:tcPr>
            <w:tcW w:w="886" w:type="pct"/>
            <w:tcBorders>
              <w:top w:val="nil"/>
              <w:left w:val="nil"/>
              <w:bottom w:val="single" w:sz="8" w:space="0" w:color="auto"/>
              <w:right w:val="single" w:sz="8" w:space="0" w:color="auto"/>
            </w:tcBorders>
            <w:shd w:val="clear" w:color="auto" w:fill="auto"/>
            <w:vAlign w:val="center"/>
            <w:hideMark/>
          </w:tcPr>
          <w:p w14:paraId="55E8A5E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931C11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4C9B3A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8FEB44A" w14:textId="77777777" w:rsidR="0072083E" w:rsidRPr="00EE43C6" w:rsidRDefault="0072083E" w:rsidP="00F60B11">
            <w:pPr>
              <w:spacing w:before="0" w:after="0" w:line="240" w:lineRule="auto"/>
              <w:rPr>
                <w:rFonts w:cs="Arial"/>
                <w:sz w:val="18"/>
                <w:szCs w:val="18"/>
              </w:rPr>
            </w:pPr>
          </w:p>
        </w:tc>
      </w:tr>
      <w:tr w:rsidR="0072083E" w:rsidRPr="00EE43C6" w14:paraId="378680E6" w14:textId="77777777" w:rsidTr="00F60B11">
        <w:trPr>
          <w:trHeight w:val="284"/>
        </w:trPr>
        <w:tc>
          <w:tcPr>
            <w:tcW w:w="1374" w:type="pct"/>
            <w:vMerge w:val="restart"/>
            <w:tcBorders>
              <w:top w:val="nil"/>
              <w:left w:val="single" w:sz="8" w:space="0" w:color="auto"/>
              <w:bottom w:val="single" w:sz="8" w:space="0" w:color="000000"/>
              <w:right w:val="single" w:sz="8" w:space="0" w:color="auto"/>
            </w:tcBorders>
            <w:shd w:val="clear" w:color="auto" w:fill="auto"/>
            <w:vAlign w:val="center"/>
            <w:hideMark/>
          </w:tcPr>
          <w:p w14:paraId="02D0C321"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Centaurea virgata Lam.</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1DDA8B4D"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Squarrose Knapweed</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641ED94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0E831EA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573C225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38FF5C58" w14:textId="77777777" w:rsidR="0072083E" w:rsidRPr="00EE43C6" w:rsidRDefault="0072083E" w:rsidP="00F60B11">
            <w:pPr>
              <w:spacing w:before="0" w:after="0" w:line="240" w:lineRule="auto"/>
              <w:rPr>
                <w:rFonts w:cs="Arial"/>
                <w:sz w:val="18"/>
                <w:szCs w:val="18"/>
              </w:rPr>
            </w:pPr>
          </w:p>
        </w:tc>
      </w:tr>
      <w:tr w:rsidR="0072083E" w:rsidRPr="00EE43C6" w14:paraId="59E870BF" w14:textId="77777777" w:rsidTr="00F60B11">
        <w:trPr>
          <w:trHeight w:val="284"/>
        </w:trPr>
        <w:tc>
          <w:tcPr>
            <w:tcW w:w="1374" w:type="pct"/>
            <w:vMerge/>
            <w:tcBorders>
              <w:top w:val="nil"/>
              <w:left w:val="single" w:sz="8" w:space="0" w:color="auto"/>
              <w:bottom w:val="single" w:sz="8" w:space="0" w:color="000000"/>
              <w:right w:val="single" w:sz="8" w:space="0" w:color="auto"/>
            </w:tcBorders>
            <w:vAlign w:val="center"/>
            <w:hideMark/>
          </w:tcPr>
          <w:p w14:paraId="3E0BC4BB" w14:textId="77777777" w:rsidR="0072083E" w:rsidRPr="00EE43C6" w:rsidRDefault="0072083E" w:rsidP="00F60B11">
            <w:pPr>
              <w:spacing w:before="0" w:after="0" w:line="240" w:lineRule="auto"/>
              <w:jc w:val="left"/>
              <w:rPr>
                <w:rFonts w:cs="Arial"/>
                <w:i/>
                <w:iCs/>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64871738" w14:textId="77777777" w:rsidR="0072083E" w:rsidRPr="00EE43C6" w:rsidRDefault="0072083E" w:rsidP="00F60B11">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2D929EA7" w14:textId="77777777" w:rsidR="0072083E" w:rsidRPr="00EE43C6" w:rsidRDefault="0072083E" w:rsidP="00F60B11">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6CDD484E" w14:textId="77777777" w:rsidR="0072083E" w:rsidRPr="00EE43C6" w:rsidRDefault="0072083E" w:rsidP="00F60B11">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002BB7CC" w14:textId="77777777" w:rsidR="0072083E" w:rsidRPr="00EE43C6" w:rsidRDefault="0072083E" w:rsidP="00F60B11">
            <w:pPr>
              <w:spacing w:before="0" w:after="0" w:line="240" w:lineRule="auto"/>
              <w:rPr>
                <w:rFonts w:cs="Arial"/>
                <w:color w:val="000000"/>
                <w:sz w:val="18"/>
                <w:szCs w:val="18"/>
              </w:rPr>
            </w:pPr>
          </w:p>
        </w:tc>
        <w:tc>
          <w:tcPr>
            <w:tcW w:w="81" w:type="pct"/>
            <w:tcBorders>
              <w:top w:val="nil"/>
              <w:left w:val="nil"/>
              <w:bottom w:val="nil"/>
              <w:right w:val="nil"/>
            </w:tcBorders>
            <w:shd w:val="clear" w:color="auto" w:fill="auto"/>
            <w:noWrap/>
            <w:vAlign w:val="bottom"/>
            <w:hideMark/>
          </w:tcPr>
          <w:p w14:paraId="2836D079" w14:textId="77777777" w:rsidR="0072083E" w:rsidRPr="00EE43C6" w:rsidRDefault="0072083E" w:rsidP="00F60B11">
            <w:pPr>
              <w:spacing w:before="0" w:after="0" w:line="240" w:lineRule="auto"/>
              <w:jc w:val="center"/>
              <w:rPr>
                <w:rFonts w:cs="Arial"/>
                <w:color w:val="000000"/>
                <w:sz w:val="18"/>
                <w:szCs w:val="18"/>
              </w:rPr>
            </w:pPr>
          </w:p>
        </w:tc>
      </w:tr>
      <w:tr w:rsidR="0072083E" w:rsidRPr="00EE43C6" w14:paraId="059CDD8F"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53A3FD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Chondrilla juncea </w:t>
            </w:r>
            <w:r w:rsidRPr="00EE43C6">
              <w:rPr>
                <w:rFonts w:cs="Arial"/>
                <w:color w:val="000000"/>
                <w:sz w:val="18"/>
                <w:szCs w:val="18"/>
              </w:rPr>
              <w:t>L.var</w:t>
            </w:r>
            <w:r w:rsidRPr="00EE43C6">
              <w:rPr>
                <w:rFonts w:cs="Arial"/>
                <w:i/>
                <w:iCs/>
                <w:color w:val="000000"/>
                <w:sz w:val="18"/>
                <w:szCs w:val="18"/>
              </w:rPr>
              <w:t>.juncea</w:t>
            </w:r>
          </w:p>
        </w:tc>
        <w:tc>
          <w:tcPr>
            <w:tcW w:w="886" w:type="pct"/>
            <w:tcBorders>
              <w:top w:val="nil"/>
              <w:left w:val="nil"/>
              <w:bottom w:val="single" w:sz="8" w:space="0" w:color="auto"/>
              <w:right w:val="single" w:sz="8" w:space="0" w:color="auto"/>
            </w:tcBorders>
            <w:shd w:val="clear" w:color="auto" w:fill="auto"/>
            <w:vAlign w:val="center"/>
            <w:hideMark/>
          </w:tcPr>
          <w:p w14:paraId="66B080AF"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Rush Skeletonweed</w:t>
            </w:r>
          </w:p>
        </w:tc>
        <w:tc>
          <w:tcPr>
            <w:tcW w:w="886" w:type="pct"/>
            <w:tcBorders>
              <w:top w:val="nil"/>
              <w:left w:val="nil"/>
              <w:bottom w:val="single" w:sz="8" w:space="0" w:color="auto"/>
              <w:right w:val="single" w:sz="8" w:space="0" w:color="auto"/>
            </w:tcBorders>
            <w:shd w:val="clear" w:color="auto" w:fill="auto"/>
            <w:vAlign w:val="center"/>
            <w:hideMark/>
          </w:tcPr>
          <w:p w14:paraId="1C45A86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759F6F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1645E7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5289A572" w14:textId="77777777" w:rsidR="0072083E" w:rsidRPr="00EE43C6" w:rsidRDefault="0072083E" w:rsidP="00F60B11">
            <w:pPr>
              <w:spacing w:before="0" w:after="0" w:line="240" w:lineRule="auto"/>
              <w:rPr>
                <w:rFonts w:cs="Arial"/>
                <w:sz w:val="18"/>
                <w:szCs w:val="18"/>
              </w:rPr>
            </w:pPr>
          </w:p>
        </w:tc>
      </w:tr>
      <w:tr w:rsidR="0072083E" w:rsidRPr="00EE43C6" w14:paraId="3AEF280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DEC73F0"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Cichorium intybus L.</w:t>
            </w:r>
          </w:p>
        </w:tc>
        <w:tc>
          <w:tcPr>
            <w:tcW w:w="886" w:type="pct"/>
            <w:tcBorders>
              <w:top w:val="nil"/>
              <w:left w:val="nil"/>
              <w:bottom w:val="single" w:sz="8" w:space="0" w:color="auto"/>
              <w:right w:val="single" w:sz="8" w:space="0" w:color="auto"/>
            </w:tcBorders>
            <w:shd w:val="clear" w:color="auto" w:fill="auto"/>
            <w:vAlign w:val="center"/>
            <w:hideMark/>
          </w:tcPr>
          <w:p w14:paraId="2328B8D9"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Chicory</w:t>
            </w:r>
          </w:p>
        </w:tc>
        <w:tc>
          <w:tcPr>
            <w:tcW w:w="886" w:type="pct"/>
            <w:tcBorders>
              <w:top w:val="nil"/>
              <w:left w:val="nil"/>
              <w:bottom w:val="single" w:sz="8" w:space="0" w:color="auto"/>
              <w:right w:val="single" w:sz="8" w:space="0" w:color="auto"/>
            </w:tcBorders>
            <w:shd w:val="clear" w:color="auto" w:fill="auto"/>
            <w:vAlign w:val="center"/>
            <w:hideMark/>
          </w:tcPr>
          <w:p w14:paraId="6C481DA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5A6215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715A4E7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3080093D" w14:textId="77777777" w:rsidR="0072083E" w:rsidRPr="00EE43C6" w:rsidRDefault="0072083E" w:rsidP="00F60B11">
            <w:pPr>
              <w:spacing w:before="0" w:after="0" w:line="240" w:lineRule="auto"/>
              <w:rPr>
                <w:rFonts w:cs="Arial"/>
                <w:sz w:val="18"/>
                <w:szCs w:val="18"/>
              </w:rPr>
            </w:pPr>
          </w:p>
        </w:tc>
      </w:tr>
      <w:tr w:rsidR="0072083E" w:rsidRPr="00EE43C6" w14:paraId="6578E9FA"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3DF573C" w14:textId="40A62316"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Crepis foetida </w:t>
            </w:r>
            <w:r w:rsidRPr="00EE43C6">
              <w:rPr>
                <w:rFonts w:cs="Arial"/>
                <w:color w:val="000000"/>
                <w:sz w:val="18"/>
                <w:szCs w:val="18"/>
              </w:rPr>
              <w:t>L. subsp</w:t>
            </w:r>
            <w:r w:rsidRPr="00EE43C6">
              <w:rPr>
                <w:rFonts w:cs="Arial"/>
                <w:i/>
                <w:iCs/>
                <w:color w:val="000000"/>
                <w:sz w:val="18"/>
                <w:szCs w:val="18"/>
              </w:rPr>
              <w:t xml:space="preserve">. </w:t>
            </w:r>
            <w:r w:rsidR="00165A8C" w:rsidRPr="00EE43C6">
              <w:rPr>
                <w:rFonts w:cs="Arial"/>
                <w:i/>
                <w:iCs/>
                <w:color w:val="000000"/>
                <w:sz w:val="18"/>
                <w:szCs w:val="18"/>
              </w:rPr>
              <w:t>R</w:t>
            </w:r>
            <w:r w:rsidRPr="00EE43C6">
              <w:rPr>
                <w:rFonts w:cs="Arial"/>
                <w:i/>
                <w:iCs/>
                <w:color w:val="000000"/>
                <w:sz w:val="18"/>
                <w:szCs w:val="18"/>
              </w:rPr>
              <w:t xml:space="preserve">hoeadifolia </w:t>
            </w:r>
            <w:r w:rsidRPr="00EE43C6">
              <w:rPr>
                <w:rFonts w:cs="Arial"/>
                <w:color w:val="000000"/>
                <w:sz w:val="18"/>
                <w:szCs w:val="18"/>
              </w:rPr>
              <w:t>(M.Bieb) Celak</w:t>
            </w:r>
          </w:p>
        </w:tc>
        <w:tc>
          <w:tcPr>
            <w:tcW w:w="886" w:type="pct"/>
            <w:tcBorders>
              <w:top w:val="nil"/>
              <w:left w:val="nil"/>
              <w:bottom w:val="single" w:sz="8" w:space="0" w:color="auto"/>
              <w:right w:val="single" w:sz="8" w:space="0" w:color="auto"/>
            </w:tcBorders>
            <w:shd w:val="clear" w:color="auto" w:fill="auto"/>
            <w:vAlign w:val="center"/>
            <w:hideMark/>
          </w:tcPr>
          <w:p w14:paraId="2A223F3D"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Stinking Hawksbeard</w:t>
            </w:r>
          </w:p>
        </w:tc>
        <w:tc>
          <w:tcPr>
            <w:tcW w:w="886" w:type="pct"/>
            <w:tcBorders>
              <w:top w:val="nil"/>
              <w:left w:val="nil"/>
              <w:bottom w:val="single" w:sz="8" w:space="0" w:color="auto"/>
              <w:right w:val="single" w:sz="8" w:space="0" w:color="auto"/>
            </w:tcBorders>
            <w:shd w:val="clear" w:color="auto" w:fill="auto"/>
            <w:vAlign w:val="center"/>
            <w:hideMark/>
          </w:tcPr>
          <w:p w14:paraId="7EE0C19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F7024D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42E5C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D753B84" w14:textId="77777777" w:rsidR="0072083E" w:rsidRPr="00EE43C6" w:rsidRDefault="0072083E" w:rsidP="00F60B11">
            <w:pPr>
              <w:spacing w:before="0" w:after="0" w:line="240" w:lineRule="auto"/>
              <w:rPr>
                <w:rFonts w:cs="Arial"/>
                <w:sz w:val="18"/>
                <w:szCs w:val="18"/>
              </w:rPr>
            </w:pPr>
          </w:p>
        </w:tc>
      </w:tr>
      <w:tr w:rsidR="0072083E" w:rsidRPr="00EE43C6" w14:paraId="0FD54CE5"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AB51068"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Crupina crupinastrum </w:t>
            </w:r>
            <w:r w:rsidRPr="00EE43C6">
              <w:rPr>
                <w:rFonts w:cs="Arial"/>
                <w:color w:val="000000"/>
                <w:sz w:val="18"/>
                <w:szCs w:val="18"/>
              </w:rPr>
              <w:t>(Moris)</w:t>
            </w:r>
            <w:r w:rsidRPr="00EE43C6">
              <w:rPr>
                <w:rFonts w:cs="Arial"/>
                <w:i/>
                <w:iCs/>
                <w:color w:val="000000"/>
                <w:sz w:val="18"/>
                <w:szCs w:val="18"/>
              </w:rPr>
              <w:t xml:space="preserve"> </w:t>
            </w:r>
            <w:r w:rsidRPr="00EE43C6">
              <w:rPr>
                <w:rFonts w:cs="Arial"/>
                <w:color w:val="000000"/>
                <w:sz w:val="18"/>
                <w:szCs w:val="18"/>
              </w:rPr>
              <w:t>Vis</w:t>
            </w:r>
            <w:r w:rsidRPr="00EE43C6">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F4357E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False Saw-Wort</w:t>
            </w:r>
          </w:p>
        </w:tc>
        <w:tc>
          <w:tcPr>
            <w:tcW w:w="886" w:type="pct"/>
            <w:tcBorders>
              <w:top w:val="nil"/>
              <w:left w:val="nil"/>
              <w:bottom w:val="single" w:sz="8" w:space="0" w:color="auto"/>
              <w:right w:val="single" w:sz="8" w:space="0" w:color="auto"/>
            </w:tcBorders>
            <w:shd w:val="clear" w:color="auto" w:fill="auto"/>
            <w:vAlign w:val="center"/>
            <w:hideMark/>
          </w:tcPr>
          <w:p w14:paraId="158FDE8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B58E84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CD4336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63C4CC0F" w14:textId="77777777" w:rsidR="0072083E" w:rsidRPr="00EE43C6" w:rsidRDefault="0072083E" w:rsidP="00F60B11">
            <w:pPr>
              <w:spacing w:before="0" w:after="0" w:line="240" w:lineRule="auto"/>
              <w:rPr>
                <w:rFonts w:cs="Arial"/>
                <w:sz w:val="18"/>
                <w:szCs w:val="18"/>
              </w:rPr>
            </w:pPr>
          </w:p>
        </w:tc>
      </w:tr>
      <w:tr w:rsidR="0072083E" w:rsidRPr="00EE43C6" w14:paraId="4D292941"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4F3A0D2"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Ecinops orientalis </w:t>
            </w:r>
            <w:r w:rsidRPr="00EE43C6">
              <w:rPr>
                <w:rFonts w:cs="Arial"/>
                <w:color w:val="000000"/>
                <w:sz w:val="18"/>
                <w:szCs w:val="18"/>
              </w:rPr>
              <w:t>Trautv.</w:t>
            </w:r>
          </w:p>
        </w:tc>
        <w:tc>
          <w:tcPr>
            <w:tcW w:w="886" w:type="pct"/>
            <w:tcBorders>
              <w:top w:val="nil"/>
              <w:left w:val="nil"/>
              <w:bottom w:val="single" w:sz="8" w:space="0" w:color="auto"/>
              <w:right w:val="single" w:sz="8" w:space="0" w:color="auto"/>
            </w:tcBorders>
            <w:shd w:val="clear" w:color="auto" w:fill="auto"/>
            <w:vAlign w:val="center"/>
            <w:hideMark/>
          </w:tcPr>
          <w:p w14:paraId="116D518A"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9DDC5E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BFE975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100F60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CEBCD21" w14:textId="77777777" w:rsidR="0072083E" w:rsidRPr="00EE43C6" w:rsidRDefault="0072083E" w:rsidP="00F60B11">
            <w:pPr>
              <w:spacing w:before="0" w:after="0" w:line="240" w:lineRule="auto"/>
              <w:rPr>
                <w:rFonts w:cs="Arial"/>
                <w:sz w:val="18"/>
                <w:szCs w:val="18"/>
              </w:rPr>
            </w:pPr>
          </w:p>
        </w:tc>
      </w:tr>
      <w:tr w:rsidR="0072083E" w:rsidRPr="00EE43C6" w14:paraId="657A2364"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F207A48"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Filago eriocephala </w:t>
            </w:r>
            <w:r w:rsidRPr="00EE43C6">
              <w:rPr>
                <w:rFonts w:cs="Arial"/>
                <w:color w:val="000000"/>
                <w:sz w:val="18"/>
                <w:szCs w:val="18"/>
              </w:rPr>
              <w:t>Guss.</w:t>
            </w:r>
          </w:p>
        </w:tc>
        <w:tc>
          <w:tcPr>
            <w:tcW w:w="886" w:type="pct"/>
            <w:tcBorders>
              <w:top w:val="nil"/>
              <w:left w:val="nil"/>
              <w:bottom w:val="single" w:sz="8" w:space="0" w:color="auto"/>
              <w:right w:val="single" w:sz="8" w:space="0" w:color="auto"/>
            </w:tcBorders>
            <w:shd w:val="clear" w:color="auto" w:fill="auto"/>
            <w:vAlign w:val="center"/>
            <w:hideMark/>
          </w:tcPr>
          <w:p w14:paraId="5BFFE390"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2C9E92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70133F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4342FB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116DF1E" w14:textId="77777777" w:rsidR="0072083E" w:rsidRPr="00EE43C6" w:rsidRDefault="0072083E" w:rsidP="00F60B11">
            <w:pPr>
              <w:spacing w:before="0" w:after="0" w:line="240" w:lineRule="auto"/>
              <w:rPr>
                <w:rFonts w:cs="Arial"/>
                <w:sz w:val="18"/>
                <w:szCs w:val="18"/>
              </w:rPr>
            </w:pPr>
          </w:p>
        </w:tc>
      </w:tr>
      <w:tr w:rsidR="0072083E" w:rsidRPr="00EE43C6" w14:paraId="59DB0D6C"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9AC9497" w14:textId="523EE6C8"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Lapsana communis L. subsp. </w:t>
            </w:r>
            <w:r w:rsidR="00165A8C" w:rsidRPr="00EE43C6">
              <w:rPr>
                <w:rFonts w:cs="Arial"/>
                <w:i/>
                <w:iCs/>
                <w:color w:val="000000"/>
                <w:sz w:val="18"/>
                <w:szCs w:val="18"/>
              </w:rPr>
              <w:t>A</w:t>
            </w:r>
            <w:r w:rsidRPr="00EE43C6">
              <w:rPr>
                <w:rFonts w:cs="Arial"/>
                <w:i/>
                <w:iCs/>
                <w:color w:val="000000"/>
                <w:sz w:val="18"/>
                <w:szCs w:val="18"/>
              </w:rPr>
              <w:t xml:space="preserve">denphoa </w:t>
            </w:r>
            <w:r w:rsidRPr="00EE43C6">
              <w:rPr>
                <w:rFonts w:cs="Arial"/>
                <w:color w:val="000000"/>
                <w:sz w:val="18"/>
                <w:szCs w:val="18"/>
              </w:rPr>
              <w:t>(Boiss.)</w:t>
            </w:r>
            <w:r w:rsidRPr="00EE43C6">
              <w:rPr>
                <w:rFonts w:cs="Arial"/>
                <w:i/>
                <w:iCs/>
                <w:color w:val="000000"/>
                <w:sz w:val="18"/>
                <w:szCs w:val="18"/>
              </w:rPr>
              <w:t xml:space="preserve"> </w:t>
            </w:r>
            <w:r w:rsidRPr="00EE43C6">
              <w:rPr>
                <w:rFonts w:cs="Arial"/>
                <w:color w:val="000000"/>
                <w:sz w:val="18"/>
                <w:szCs w:val="18"/>
              </w:rPr>
              <w:t xml:space="preserve">Rech. </w:t>
            </w:r>
            <w:r w:rsidR="00165A8C" w:rsidRPr="00EE43C6">
              <w:rPr>
                <w:rFonts w:cs="Arial"/>
                <w:color w:val="000000"/>
                <w:sz w:val="18"/>
                <w:szCs w:val="18"/>
              </w:rPr>
              <w:t>F</w:t>
            </w:r>
            <w:r w:rsidRPr="00EE43C6">
              <w:rPr>
                <w:rFonts w:cs="Arial"/>
                <w:color w:val="000000"/>
                <w:sz w:val="18"/>
                <w:szCs w:val="18"/>
              </w:rPr>
              <w:t>il</w:t>
            </w:r>
            <w:r w:rsidRPr="00EE43C6">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CCD1AF5"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Common Nipplewort</w:t>
            </w:r>
          </w:p>
        </w:tc>
        <w:tc>
          <w:tcPr>
            <w:tcW w:w="886" w:type="pct"/>
            <w:tcBorders>
              <w:top w:val="nil"/>
              <w:left w:val="nil"/>
              <w:bottom w:val="single" w:sz="8" w:space="0" w:color="auto"/>
              <w:right w:val="single" w:sz="8" w:space="0" w:color="auto"/>
            </w:tcBorders>
            <w:shd w:val="clear" w:color="auto" w:fill="auto"/>
            <w:vAlign w:val="center"/>
            <w:hideMark/>
          </w:tcPr>
          <w:p w14:paraId="338FE20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1DEE2C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EAF145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DACD102" w14:textId="77777777" w:rsidR="0072083E" w:rsidRPr="00EE43C6" w:rsidRDefault="0072083E" w:rsidP="00F60B11">
            <w:pPr>
              <w:spacing w:before="0" w:after="0" w:line="240" w:lineRule="auto"/>
              <w:rPr>
                <w:rFonts w:cs="Arial"/>
                <w:sz w:val="18"/>
                <w:szCs w:val="18"/>
              </w:rPr>
            </w:pPr>
          </w:p>
        </w:tc>
      </w:tr>
      <w:tr w:rsidR="0072083E" w:rsidRPr="00EE43C6" w14:paraId="4A6D239B"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39EBDF4"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Picnomon acarna </w:t>
            </w:r>
            <w:r w:rsidRPr="00EE43C6">
              <w:rPr>
                <w:rFonts w:cs="Arial"/>
                <w:color w:val="000000"/>
                <w:sz w:val="18"/>
                <w:szCs w:val="18"/>
              </w:rPr>
              <w:t>(L.) Cass.</w:t>
            </w:r>
          </w:p>
        </w:tc>
        <w:tc>
          <w:tcPr>
            <w:tcW w:w="886" w:type="pct"/>
            <w:tcBorders>
              <w:top w:val="nil"/>
              <w:left w:val="nil"/>
              <w:bottom w:val="single" w:sz="8" w:space="0" w:color="auto"/>
              <w:right w:val="single" w:sz="8" w:space="0" w:color="auto"/>
            </w:tcBorders>
            <w:shd w:val="clear" w:color="auto" w:fill="auto"/>
            <w:vAlign w:val="center"/>
            <w:hideMark/>
          </w:tcPr>
          <w:p w14:paraId="3BEA0BB0"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Soldier Thistle</w:t>
            </w:r>
          </w:p>
        </w:tc>
        <w:tc>
          <w:tcPr>
            <w:tcW w:w="886" w:type="pct"/>
            <w:tcBorders>
              <w:top w:val="nil"/>
              <w:left w:val="nil"/>
              <w:bottom w:val="single" w:sz="8" w:space="0" w:color="auto"/>
              <w:right w:val="single" w:sz="8" w:space="0" w:color="auto"/>
            </w:tcBorders>
            <w:shd w:val="clear" w:color="auto" w:fill="auto"/>
            <w:vAlign w:val="center"/>
            <w:hideMark/>
          </w:tcPr>
          <w:p w14:paraId="1CCF34C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429A2D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581FE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3BCD34BE" w14:textId="77777777" w:rsidR="0072083E" w:rsidRPr="00EE43C6" w:rsidRDefault="0072083E" w:rsidP="00F60B11">
            <w:pPr>
              <w:spacing w:before="0" w:after="0" w:line="240" w:lineRule="auto"/>
              <w:rPr>
                <w:rFonts w:cs="Arial"/>
                <w:sz w:val="18"/>
                <w:szCs w:val="18"/>
              </w:rPr>
            </w:pPr>
          </w:p>
        </w:tc>
      </w:tr>
      <w:tr w:rsidR="0072083E" w:rsidRPr="00EE43C6" w14:paraId="24E39780"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7FBCF31" w14:textId="74F6182E"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Ptilostemon diacantha </w:t>
            </w:r>
            <w:r w:rsidRPr="00EE43C6">
              <w:rPr>
                <w:rFonts w:cs="Arial"/>
                <w:color w:val="000000"/>
                <w:sz w:val="18"/>
                <w:szCs w:val="18"/>
              </w:rPr>
              <w:t>(Lab.)</w:t>
            </w:r>
            <w:r w:rsidRPr="00EE43C6">
              <w:rPr>
                <w:rFonts w:cs="Arial"/>
                <w:i/>
                <w:iCs/>
                <w:color w:val="000000"/>
                <w:sz w:val="18"/>
                <w:szCs w:val="18"/>
              </w:rPr>
              <w:t xml:space="preserve"> Greuter </w:t>
            </w:r>
            <w:r w:rsidRPr="00EE43C6">
              <w:rPr>
                <w:rFonts w:cs="Arial"/>
                <w:color w:val="000000"/>
                <w:sz w:val="18"/>
                <w:szCs w:val="18"/>
              </w:rPr>
              <w:t>subsp</w:t>
            </w:r>
            <w:r w:rsidRPr="00EE43C6">
              <w:rPr>
                <w:rFonts w:cs="Arial"/>
                <w:i/>
                <w:iCs/>
                <w:color w:val="000000"/>
                <w:sz w:val="18"/>
                <w:szCs w:val="18"/>
              </w:rPr>
              <w:t xml:space="preserve">. </w:t>
            </w:r>
            <w:r w:rsidR="00165A8C" w:rsidRPr="00EE43C6">
              <w:rPr>
                <w:rFonts w:cs="Arial"/>
                <w:i/>
                <w:iCs/>
                <w:color w:val="000000"/>
                <w:sz w:val="18"/>
                <w:szCs w:val="18"/>
              </w:rPr>
              <w:t>T</w:t>
            </w:r>
            <w:r w:rsidRPr="00EE43C6">
              <w:rPr>
                <w:rFonts w:cs="Arial"/>
                <w:i/>
                <w:iCs/>
                <w:color w:val="000000"/>
                <w:sz w:val="18"/>
                <w:szCs w:val="18"/>
              </w:rPr>
              <w:t xml:space="preserve">urcicus </w:t>
            </w:r>
            <w:r w:rsidRPr="00EE43C6">
              <w:rPr>
                <w:rFonts w:cs="Arial"/>
                <w:color w:val="000000"/>
                <w:sz w:val="18"/>
                <w:szCs w:val="18"/>
              </w:rPr>
              <w:t>Greuter</w:t>
            </w:r>
          </w:p>
        </w:tc>
        <w:tc>
          <w:tcPr>
            <w:tcW w:w="886" w:type="pct"/>
            <w:tcBorders>
              <w:top w:val="nil"/>
              <w:left w:val="nil"/>
              <w:bottom w:val="single" w:sz="8" w:space="0" w:color="auto"/>
              <w:right w:val="single" w:sz="8" w:space="0" w:color="auto"/>
            </w:tcBorders>
            <w:shd w:val="clear" w:color="auto" w:fill="auto"/>
            <w:vAlign w:val="center"/>
            <w:hideMark/>
          </w:tcPr>
          <w:p w14:paraId="72487B7D"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1B671C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F38CE5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151C08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8537606" w14:textId="77777777" w:rsidR="0072083E" w:rsidRPr="00EE43C6" w:rsidRDefault="0072083E" w:rsidP="00F60B11">
            <w:pPr>
              <w:spacing w:before="0" w:after="0" w:line="240" w:lineRule="auto"/>
              <w:rPr>
                <w:rFonts w:cs="Arial"/>
                <w:sz w:val="18"/>
                <w:szCs w:val="18"/>
              </w:rPr>
            </w:pPr>
          </w:p>
        </w:tc>
      </w:tr>
      <w:tr w:rsidR="0072083E" w:rsidRPr="00EE43C6" w14:paraId="6B8BEA81"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A37E2BD"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Tussilago farfara L.</w:t>
            </w:r>
          </w:p>
        </w:tc>
        <w:tc>
          <w:tcPr>
            <w:tcW w:w="886" w:type="pct"/>
            <w:tcBorders>
              <w:top w:val="nil"/>
              <w:left w:val="nil"/>
              <w:bottom w:val="single" w:sz="8" w:space="0" w:color="auto"/>
              <w:right w:val="single" w:sz="8" w:space="0" w:color="auto"/>
            </w:tcBorders>
            <w:shd w:val="clear" w:color="auto" w:fill="auto"/>
            <w:vAlign w:val="center"/>
            <w:hideMark/>
          </w:tcPr>
          <w:p w14:paraId="5D02534F"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Coltsfoot</w:t>
            </w:r>
          </w:p>
        </w:tc>
        <w:tc>
          <w:tcPr>
            <w:tcW w:w="886" w:type="pct"/>
            <w:tcBorders>
              <w:top w:val="nil"/>
              <w:left w:val="nil"/>
              <w:bottom w:val="single" w:sz="8" w:space="0" w:color="auto"/>
              <w:right w:val="single" w:sz="8" w:space="0" w:color="auto"/>
            </w:tcBorders>
            <w:shd w:val="clear" w:color="auto" w:fill="auto"/>
            <w:vAlign w:val="center"/>
            <w:hideMark/>
          </w:tcPr>
          <w:p w14:paraId="3D42F80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D3322A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3DC62EC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76FD394B" w14:textId="77777777" w:rsidR="0072083E" w:rsidRPr="00EE43C6" w:rsidRDefault="0072083E" w:rsidP="00F60B11">
            <w:pPr>
              <w:spacing w:before="0" w:after="0" w:line="240" w:lineRule="auto"/>
              <w:rPr>
                <w:rFonts w:cs="Arial"/>
                <w:sz w:val="18"/>
                <w:szCs w:val="18"/>
              </w:rPr>
            </w:pPr>
          </w:p>
        </w:tc>
      </w:tr>
      <w:tr w:rsidR="0072083E" w:rsidRPr="00EE43C6" w14:paraId="365ACE6C"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1B0453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Xeranthemum annuum L.</w:t>
            </w:r>
          </w:p>
        </w:tc>
        <w:tc>
          <w:tcPr>
            <w:tcW w:w="886" w:type="pct"/>
            <w:tcBorders>
              <w:top w:val="nil"/>
              <w:left w:val="nil"/>
              <w:bottom w:val="single" w:sz="8" w:space="0" w:color="auto"/>
              <w:right w:val="single" w:sz="8" w:space="0" w:color="auto"/>
            </w:tcBorders>
            <w:shd w:val="clear" w:color="auto" w:fill="auto"/>
            <w:vAlign w:val="center"/>
            <w:hideMark/>
          </w:tcPr>
          <w:p w14:paraId="125CD7B5"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Common Immortelle</w:t>
            </w:r>
          </w:p>
        </w:tc>
        <w:tc>
          <w:tcPr>
            <w:tcW w:w="886" w:type="pct"/>
            <w:tcBorders>
              <w:top w:val="nil"/>
              <w:left w:val="nil"/>
              <w:bottom w:val="single" w:sz="8" w:space="0" w:color="auto"/>
              <w:right w:val="single" w:sz="8" w:space="0" w:color="auto"/>
            </w:tcBorders>
            <w:shd w:val="clear" w:color="auto" w:fill="auto"/>
            <w:vAlign w:val="center"/>
            <w:hideMark/>
          </w:tcPr>
          <w:p w14:paraId="0ECBE43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EFDF06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EFDBAD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56F5FF95" w14:textId="77777777" w:rsidR="0072083E" w:rsidRPr="00EE43C6" w:rsidRDefault="0072083E" w:rsidP="00F60B11">
            <w:pPr>
              <w:spacing w:before="0" w:after="0" w:line="240" w:lineRule="auto"/>
              <w:rPr>
                <w:rFonts w:cs="Arial"/>
                <w:sz w:val="18"/>
                <w:szCs w:val="18"/>
              </w:rPr>
            </w:pPr>
          </w:p>
        </w:tc>
      </w:tr>
      <w:tr w:rsidR="0072083E" w:rsidRPr="00EE43C6" w14:paraId="11CAE25E"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4ADD029"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Convolvulaceae</w:t>
            </w:r>
          </w:p>
        </w:tc>
        <w:tc>
          <w:tcPr>
            <w:tcW w:w="886" w:type="pct"/>
            <w:tcBorders>
              <w:top w:val="nil"/>
              <w:left w:val="nil"/>
              <w:bottom w:val="single" w:sz="8" w:space="0" w:color="auto"/>
              <w:right w:val="single" w:sz="8" w:space="0" w:color="auto"/>
            </w:tcBorders>
            <w:shd w:val="clear" w:color="auto" w:fill="auto"/>
            <w:vAlign w:val="center"/>
            <w:hideMark/>
          </w:tcPr>
          <w:p w14:paraId="2B17A750"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57A698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43016A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3E0A7C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1C916B37" w14:textId="77777777" w:rsidR="0072083E" w:rsidRPr="00EE43C6" w:rsidRDefault="0072083E" w:rsidP="00F60B11">
            <w:pPr>
              <w:spacing w:before="0" w:after="0" w:line="240" w:lineRule="auto"/>
              <w:rPr>
                <w:rFonts w:cs="Arial"/>
                <w:sz w:val="18"/>
                <w:szCs w:val="18"/>
              </w:rPr>
            </w:pPr>
          </w:p>
        </w:tc>
      </w:tr>
      <w:tr w:rsidR="0072083E" w:rsidRPr="00EE43C6" w14:paraId="747C4AEB"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F5AEB45"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Convolvulus arvensis L.</w:t>
            </w:r>
          </w:p>
        </w:tc>
        <w:tc>
          <w:tcPr>
            <w:tcW w:w="886" w:type="pct"/>
            <w:tcBorders>
              <w:top w:val="nil"/>
              <w:left w:val="nil"/>
              <w:bottom w:val="single" w:sz="8" w:space="0" w:color="auto"/>
              <w:right w:val="single" w:sz="8" w:space="0" w:color="auto"/>
            </w:tcBorders>
            <w:shd w:val="clear" w:color="auto" w:fill="auto"/>
            <w:vAlign w:val="center"/>
            <w:hideMark/>
          </w:tcPr>
          <w:p w14:paraId="4E00759B"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Field Bindweed</w:t>
            </w:r>
          </w:p>
        </w:tc>
        <w:tc>
          <w:tcPr>
            <w:tcW w:w="886" w:type="pct"/>
            <w:tcBorders>
              <w:top w:val="nil"/>
              <w:left w:val="nil"/>
              <w:bottom w:val="single" w:sz="8" w:space="0" w:color="auto"/>
              <w:right w:val="single" w:sz="8" w:space="0" w:color="auto"/>
            </w:tcBorders>
            <w:shd w:val="clear" w:color="auto" w:fill="auto"/>
            <w:vAlign w:val="center"/>
            <w:hideMark/>
          </w:tcPr>
          <w:p w14:paraId="02AC965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210A26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33353F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328EF97" w14:textId="77777777" w:rsidR="0072083E" w:rsidRPr="00EE43C6" w:rsidRDefault="0072083E" w:rsidP="00F60B11">
            <w:pPr>
              <w:spacing w:before="0" w:after="0" w:line="240" w:lineRule="auto"/>
              <w:rPr>
                <w:rFonts w:cs="Arial"/>
                <w:sz w:val="18"/>
                <w:szCs w:val="18"/>
              </w:rPr>
            </w:pPr>
          </w:p>
        </w:tc>
      </w:tr>
      <w:tr w:rsidR="0072083E" w:rsidRPr="00EE43C6" w14:paraId="0E447F81"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F531C1F"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Cupressaceae</w:t>
            </w:r>
          </w:p>
        </w:tc>
        <w:tc>
          <w:tcPr>
            <w:tcW w:w="886" w:type="pct"/>
            <w:tcBorders>
              <w:top w:val="nil"/>
              <w:left w:val="nil"/>
              <w:bottom w:val="single" w:sz="8" w:space="0" w:color="auto"/>
              <w:right w:val="single" w:sz="8" w:space="0" w:color="auto"/>
            </w:tcBorders>
            <w:shd w:val="clear" w:color="auto" w:fill="auto"/>
            <w:vAlign w:val="center"/>
            <w:hideMark/>
          </w:tcPr>
          <w:p w14:paraId="126AA9C1"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0FF187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559A44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AFF3F7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7D32506E" w14:textId="77777777" w:rsidR="0072083E" w:rsidRPr="00EE43C6" w:rsidRDefault="0072083E" w:rsidP="00F60B11">
            <w:pPr>
              <w:spacing w:before="0" w:after="0" w:line="240" w:lineRule="auto"/>
              <w:rPr>
                <w:rFonts w:cs="Arial"/>
                <w:sz w:val="18"/>
                <w:szCs w:val="18"/>
              </w:rPr>
            </w:pPr>
          </w:p>
        </w:tc>
      </w:tr>
      <w:tr w:rsidR="0072083E" w:rsidRPr="00EE43C6" w14:paraId="71E2A9E4"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4DC2EEF"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Juniperus sabina L.</w:t>
            </w:r>
          </w:p>
        </w:tc>
        <w:tc>
          <w:tcPr>
            <w:tcW w:w="886" w:type="pct"/>
            <w:tcBorders>
              <w:top w:val="nil"/>
              <w:left w:val="nil"/>
              <w:bottom w:val="single" w:sz="8" w:space="0" w:color="auto"/>
              <w:right w:val="single" w:sz="8" w:space="0" w:color="auto"/>
            </w:tcBorders>
            <w:shd w:val="clear" w:color="auto" w:fill="auto"/>
            <w:vAlign w:val="center"/>
            <w:hideMark/>
          </w:tcPr>
          <w:p w14:paraId="3E017412"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Savin Juniper</w:t>
            </w:r>
          </w:p>
        </w:tc>
        <w:tc>
          <w:tcPr>
            <w:tcW w:w="886" w:type="pct"/>
            <w:tcBorders>
              <w:top w:val="nil"/>
              <w:left w:val="nil"/>
              <w:bottom w:val="single" w:sz="8" w:space="0" w:color="auto"/>
              <w:right w:val="single" w:sz="8" w:space="0" w:color="auto"/>
            </w:tcBorders>
            <w:shd w:val="clear" w:color="auto" w:fill="auto"/>
            <w:vAlign w:val="center"/>
            <w:hideMark/>
          </w:tcPr>
          <w:p w14:paraId="58CEAA1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B5FD5C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7698E73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62EB2476" w14:textId="77777777" w:rsidR="0072083E" w:rsidRPr="00EE43C6" w:rsidRDefault="0072083E" w:rsidP="00F60B11">
            <w:pPr>
              <w:spacing w:before="0" w:after="0" w:line="240" w:lineRule="auto"/>
              <w:rPr>
                <w:rFonts w:cs="Arial"/>
                <w:sz w:val="18"/>
                <w:szCs w:val="18"/>
              </w:rPr>
            </w:pPr>
          </w:p>
        </w:tc>
      </w:tr>
      <w:tr w:rsidR="0072083E" w:rsidRPr="00EE43C6" w14:paraId="22F64B9C"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F9C86AB"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Crassulaceae</w:t>
            </w:r>
          </w:p>
        </w:tc>
        <w:tc>
          <w:tcPr>
            <w:tcW w:w="886" w:type="pct"/>
            <w:tcBorders>
              <w:top w:val="nil"/>
              <w:left w:val="nil"/>
              <w:bottom w:val="single" w:sz="8" w:space="0" w:color="auto"/>
              <w:right w:val="single" w:sz="8" w:space="0" w:color="auto"/>
            </w:tcBorders>
            <w:shd w:val="clear" w:color="auto" w:fill="auto"/>
            <w:vAlign w:val="center"/>
            <w:hideMark/>
          </w:tcPr>
          <w:p w14:paraId="52E704E5"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3B3969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BA3F63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C28948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3BD62FD8" w14:textId="77777777" w:rsidR="0072083E" w:rsidRPr="00EE43C6" w:rsidRDefault="0072083E" w:rsidP="00F60B11">
            <w:pPr>
              <w:spacing w:before="0" w:after="0" w:line="240" w:lineRule="auto"/>
              <w:rPr>
                <w:rFonts w:cs="Arial"/>
                <w:sz w:val="18"/>
                <w:szCs w:val="18"/>
              </w:rPr>
            </w:pPr>
          </w:p>
        </w:tc>
      </w:tr>
      <w:tr w:rsidR="0072083E" w:rsidRPr="00EE43C6" w14:paraId="34206FA8"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DBF66DA"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Sedum album L.</w:t>
            </w:r>
          </w:p>
        </w:tc>
        <w:tc>
          <w:tcPr>
            <w:tcW w:w="886" w:type="pct"/>
            <w:tcBorders>
              <w:top w:val="nil"/>
              <w:left w:val="nil"/>
              <w:bottom w:val="single" w:sz="8" w:space="0" w:color="auto"/>
              <w:right w:val="single" w:sz="8" w:space="0" w:color="auto"/>
            </w:tcBorders>
            <w:shd w:val="clear" w:color="auto" w:fill="auto"/>
            <w:vAlign w:val="center"/>
            <w:hideMark/>
          </w:tcPr>
          <w:p w14:paraId="12D9A878"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White Stonecrop</w:t>
            </w:r>
          </w:p>
        </w:tc>
        <w:tc>
          <w:tcPr>
            <w:tcW w:w="886" w:type="pct"/>
            <w:tcBorders>
              <w:top w:val="nil"/>
              <w:left w:val="nil"/>
              <w:bottom w:val="single" w:sz="8" w:space="0" w:color="auto"/>
              <w:right w:val="single" w:sz="8" w:space="0" w:color="auto"/>
            </w:tcBorders>
            <w:shd w:val="clear" w:color="auto" w:fill="auto"/>
            <w:vAlign w:val="center"/>
            <w:hideMark/>
          </w:tcPr>
          <w:p w14:paraId="4320ACF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797F0A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AF8BCC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336E9394" w14:textId="77777777" w:rsidR="0072083E" w:rsidRPr="00EE43C6" w:rsidRDefault="0072083E" w:rsidP="00F60B11">
            <w:pPr>
              <w:spacing w:before="0" w:after="0" w:line="240" w:lineRule="auto"/>
              <w:rPr>
                <w:rFonts w:cs="Arial"/>
                <w:sz w:val="18"/>
                <w:szCs w:val="18"/>
              </w:rPr>
            </w:pPr>
          </w:p>
        </w:tc>
      </w:tr>
      <w:tr w:rsidR="0072083E" w:rsidRPr="00EE43C6" w14:paraId="5E168A1E"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B68402B" w14:textId="6C59E73E" w:rsidR="0072083E" w:rsidRPr="002F52ED" w:rsidRDefault="0072083E" w:rsidP="00F60B11">
            <w:pPr>
              <w:spacing w:before="0" w:after="0" w:line="240" w:lineRule="auto"/>
              <w:jc w:val="left"/>
              <w:rPr>
                <w:rFonts w:cs="Arial"/>
                <w:i/>
                <w:color w:val="000000"/>
                <w:sz w:val="18"/>
                <w:szCs w:val="18"/>
                <w:lang w:val="da-DK"/>
              </w:rPr>
            </w:pPr>
            <w:r w:rsidRPr="002F52ED">
              <w:rPr>
                <w:rFonts w:cs="Arial"/>
                <w:i/>
                <w:color w:val="000000"/>
                <w:sz w:val="18"/>
                <w:szCs w:val="18"/>
                <w:lang w:val="da-DK"/>
              </w:rPr>
              <w:t xml:space="preserve">Sedum pallidum </w:t>
            </w:r>
            <w:r w:rsidRPr="002F52ED">
              <w:rPr>
                <w:rFonts w:cs="Arial"/>
                <w:color w:val="000000"/>
                <w:sz w:val="18"/>
                <w:szCs w:val="18"/>
                <w:lang w:val="da-DK"/>
              </w:rPr>
              <w:t>Bieb. Var</w:t>
            </w:r>
            <w:r w:rsidRPr="002F52ED">
              <w:rPr>
                <w:rFonts w:cs="Arial"/>
                <w:i/>
                <w:color w:val="000000"/>
                <w:sz w:val="18"/>
                <w:szCs w:val="18"/>
                <w:lang w:val="da-DK"/>
              </w:rPr>
              <w:t xml:space="preserve">. </w:t>
            </w:r>
            <w:r w:rsidR="007320CA" w:rsidRPr="007320CA">
              <w:rPr>
                <w:rFonts w:cs="Arial"/>
                <w:i/>
                <w:color w:val="000000"/>
                <w:sz w:val="18"/>
                <w:szCs w:val="18"/>
                <w:lang w:val="da-DK"/>
              </w:rPr>
              <w:t>P</w:t>
            </w:r>
            <w:r w:rsidRPr="002F52ED">
              <w:rPr>
                <w:rFonts w:cs="Arial"/>
                <w:i/>
                <w:color w:val="000000"/>
                <w:sz w:val="18"/>
                <w:szCs w:val="18"/>
                <w:lang w:val="da-DK"/>
              </w:rPr>
              <w:t>allidum</w:t>
            </w:r>
          </w:p>
        </w:tc>
        <w:tc>
          <w:tcPr>
            <w:tcW w:w="886" w:type="pct"/>
            <w:tcBorders>
              <w:top w:val="nil"/>
              <w:left w:val="nil"/>
              <w:bottom w:val="single" w:sz="8" w:space="0" w:color="auto"/>
              <w:right w:val="single" w:sz="8" w:space="0" w:color="auto"/>
            </w:tcBorders>
            <w:shd w:val="clear" w:color="auto" w:fill="auto"/>
            <w:vAlign w:val="center"/>
            <w:hideMark/>
          </w:tcPr>
          <w:p w14:paraId="49729E0B"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D25DF7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0FABF6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E8DD73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5285478B" w14:textId="77777777" w:rsidR="0072083E" w:rsidRPr="00EE43C6" w:rsidRDefault="0072083E" w:rsidP="00F60B11">
            <w:pPr>
              <w:spacing w:before="0" w:after="0" w:line="240" w:lineRule="auto"/>
              <w:rPr>
                <w:rFonts w:cs="Arial"/>
                <w:sz w:val="18"/>
                <w:szCs w:val="18"/>
              </w:rPr>
            </w:pPr>
          </w:p>
        </w:tc>
      </w:tr>
      <w:tr w:rsidR="0072083E" w:rsidRPr="00EE43C6" w14:paraId="1FF0FA3D"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1BD8CF2"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Cyperaceae</w:t>
            </w:r>
          </w:p>
        </w:tc>
        <w:tc>
          <w:tcPr>
            <w:tcW w:w="886" w:type="pct"/>
            <w:tcBorders>
              <w:top w:val="nil"/>
              <w:left w:val="nil"/>
              <w:bottom w:val="single" w:sz="8" w:space="0" w:color="auto"/>
              <w:right w:val="single" w:sz="8" w:space="0" w:color="auto"/>
            </w:tcBorders>
            <w:shd w:val="clear" w:color="auto" w:fill="auto"/>
            <w:vAlign w:val="center"/>
            <w:hideMark/>
          </w:tcPr>
          <w:p w14:paraId="7FD4F6E7"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810F7B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DFB6A9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133FCA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6270E43E" w14:textId="77777777" w:rsidR="0072083E" w:rsidRPr="00EE43C6" w:rsidRDefault="0072083E" w:rsidP="00F60B11">
            <w:pPr>
              <w:spacing w:before="0" w:after="0" w:line="240" w:lineRule="auto"/>
              <w:rPr>
                <w:rFonts w:cs="Arial"/>
                <w:sz w:val="18"/>
                <w:szCs w:val="18"/>
              </w:rPr>
            </w:pPr>
          </w:p>
        </w:tc>
      </w:tr>
      <w:tr w:rsidR="0072083E" w:rsidRPr="00EE43C6" w14:paraId="4AA2D1DA"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ABCB638" w14:textId="5288CAE0"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Carex elata </w:t>
            </w:r>
            <w:r w:rsidRPr="00EE43C6">
              <w:rPr>
                <w:rFonts w:cs="Arial"/>
                <w:color w:val="000000"/>
                <w:sz w:val="18"/>
                <w:szCs w:val="18"/>
              </w:rPr>
              <w:t>all. Subsp.</w:t>
            </w:r>
            <w:r w:rsidRPr="00EE43C6">
              <w:rPr>
                <w:rFonts w:cs="Arial"/>
                <w:i/>
                <w:iCs/>
                <w:color w:val="000000"/>
                <w:sz w:val="18"/>
                <w:szCs w:val="18"/>
              </w:rPr>
              <w:t xml:space="preserve"> </w:t>
            </w:r>
            <w:r w:rsidR="00165A8C" w:rsidRPr="00EE43C6">
              <w:rPr>
                <w:rFonts w:cs="Arial"/>
                <w:i/>
                <w:iCs/>
                <w:color w:val="000000"/>
                <w:sz w:val="18"/>
                <w:szCs w:val="18"/>
              </w:rPr>
              <w:t>O</w:t>
            </w:r>
            <w:r w:rsidRPr="00EE43C6">
              <w:rPr>
                <w:rFonts w:cs="Arial"/>
                <w:i/>
                <w:iCs/>
                <w:color w:val="000000"/>
                <w:sz w:val="18"/>
                <w:szCs w:val="18"/>
              </w:rPr>
              <w:t>mskiana (</w:t>
            </w:r>
            <w:r w:rsidRPr="00EE43C6">
              <w:rPr>
                <w:rFonts w:cs="Arial"/>
                <w:color w:val="000000"/>
                <w:sz w:val="18"/>
                <w:szCs w:val="18"/>
              </w:rPr>
              <w:t>Meinsh) Jalas</w:t>
            </w:r>
          </w:p>
        </w:tc>
        <w:tc>
          <w:tcPr>
            <w:tcW w:w="886" w:type="pct"/>
            <w:tcBorders>
              <w:top w:val="nil"/>
              <w:left w:val="nil"/>
              <w:bottom w:val="single" w:sz="8" w:space="0" w:color="auto"/>
              <w:right w:val="single" w:sz="8" w:space="0" w:color="auto"/>
            </w:tcBorders>
            <w:shd w:val="clear" w:color="auto" w:fill="auto"/>
            <w:vAlign w:val="center"/>
            <w:hideMark/>
          </w:tcPr>
          <w:p w14:paraId="34A78E29"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Tufted Sedge</w:t>
            </w:r>
          </w:p>
        </w:tc>
        <w:tc>
          <w:tcPr>
            <w:tcW w:w="886" w:type="pct"/>
            <w:tcBorders>
              <w:top w:val="nil"/>
              <w:left w:val="nil"/>
              <w:bottom w:val="single" w:sz="8" w:space="0" w:color="auto"/>
              <w:right w:val="single" w:sz="8" w:space="0" w:color="auto"/>
            </w:tcBorders>
            <w:shd w:val="clear" w:color="auto" w:fill="auto"/>
            <w:vAlign w:val="center"/>
            <w:hideMark/>
          </w:tcPr>
          <w:p w14:paraId="1B0592A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FD7459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40958B8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44173D98" w14:textId="77777777" w:rsidR="0072083E" w:rsidRPr="00EE43C6" w:rsidRDefault="0072083E" w:rsidP="00F60B11">
            <w:pPr>
              <w:spacing w:before="0" w:after="0" w:line="240" w:lineRule="auto"/>
              <w:rPr>
                <w:rFonts w:cs="Arial"/>
                <w:sz w:val="18"/>
                <w:szCs w:val="18"/>
              </w:rPr>
            </w:pPr>
          </w:p>
        </w:tc>
      </w:tr>
      <w:tr w:rsidR="0072083E" w:rsidRPr="00EE43C6" w14:paraId="22896162"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35965AB" w14:textId="5F0EEC24"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Schoenoplectus lacustris (L.) Palla </w:t>
            </w:r>
            <w:r w:rsidRPr="00EE43C6">
              <w:rPr>
                <w:rFonts w:cs="Arial"/>
                <w:color w:val="000000"/>
                <w:sz w:val="18"/>
                <w:szCs w:val="18"/>
              </w:rPr>
              <w:t>subsp.</w:t>
            </w:r>
            <w:r w:rsidRPr="00EE43C6">
              <w:rPr>
                <w:rFonts w:cs="Arial"/>
                <w:i/>
                <w:iCs/>
                <w:color w:val="000000"/>
                <w:sz w:val="18"/>
                <w:szCs w:val="18"/>
              </w:rPr>
              <w:t xml:space="preserve"> </w:t>
            </w:r>
            <w:r w:rsidR="00165A8C" w:rsidRPr="00EE43C6">
              <w:rPr>
                <w:rFonts w:cs="Arial"/>
                <w:i/>
                <w:iCs/>
                <w:color w:val="000000"/>
                <w:sz w:val="18"/>
                <w:szCs w:val="18"/>
              </w:rPr>
              <w:lastRenderedPageBreak/>
              <w:t>T</w:t>
            </w:r>
            <w:r w:rsidRPr="00EE43C6">
              <w:rPr>
                <w:rFonts w:cs="Arial"/>
                <w:i/>
                <w:iCs/>
                <w:color w:val="000000"/>
                <w:sz w:val="18"/>
                <w:szCs w:val="18"/>
              </w:rPr>
              <w:t xml:space="preserve">abernaemontani </w:t>
            </w:r>
            <w:r w:rsidRPr="00EE43C6">
              <w:rPr>
                <w:rFonts w:cs="Arial"/>
                <w:color w:val="000000"/>
                <w:sz w:val="18"/>
                <w:szCs w:val="18"/>
              </w:rPr>
              <w:t>(C.C Gmelin) A.&amp;D. Löve</w:t>
            </w:r>
          </w:p>
        </w:tc>
        <w:tc>
          <w:tcPr>
            <w:tcW w:w="886" w:type="pct"/>
            <w:tcBorders>
              <w:top w:val="nil"/>
              <w:left w:val="nil"/>
              <w:bottom w:val="single" w:sz="8" w:space="0" w:color="auto"/>
              <w:right w:val="single" w:sz="8" w:space="0" w:color="auto"/>
            </w:tcBorders>
            <w:shd w:val="clear" w:color="auto" w:fill="auto"/>
            <w:vAlign w:val="center"/>
            <w:hideMark/>
          </w:tcPr>
          <w:p w14:paraId="779E4A47"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lastRenderedPageBreak/>
              <w:t>-</w:t>
            </w:r>
          </w:p>
        </w:tc>
        <w:tc>
          <w:tcPr>
            <w:tcW w:w="886" w:type="pct"/>
            <w:tcBorders>
              <w:top w:val="nil"/>
              <w:left w:val="nil"/>
              <w:bottom w:val="single" w:sz="8" w:space="0" w:color="auto"/>
              <w:right w:val="single" w:sz="8" w:space="0" w:color="auto"/>
            </w:tcBorders>
            <w:shd w:val="clear" w:color="auto" w:fill="auto"/>
            <w:vAlign w:val="center"/>
            <w:hideMark/>
          </w:tcPr>
          <w:p w14:paraId="0E947AF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13ECC5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131372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81E03ED" w14:textId="77777777" w:rsidR="0072083E" w:rsidRPr="00EE43C6" w:rsidRDefault="0072083E" w:rsidP="00F60B11">
            <w:pPr>
              <w:spacing w:before="0" w:after="0" w:line="240" w:lineRule="auto"/>
              <w:rPr>
                <w:rFonts w:cs="Arial"/>
                <w:sz w:val="18"/>
                <w:szCs w:val="18"/>
              </w:rPr>
            </w:pPr>
          </w:p>
        </w:tc>
      </w:tr>
      <w:tr w:rsidR="0072083E" w:rsidRPr="00EE43C6" w14:paraId="7EA3981B"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B69AE9E"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Dipsacaceae</w:t>
            </w:r>
          </w:p>
        </w:tc>
        <w:tc>
          <w:tcPr>
            <w:tcW w:w="886" w:type="pct"/>
            <w:tcBorders>
              <w:top w:val="nil"/>
              <w:left w:val="nil"/>
              <w:bottom w:val="single" w:sz="8" w:space="0" w:color="auto"/>
              <w:right w:val="single" w:sz="8" w:space="0" w:color="auto"/>
            </w:tcBorders>
            <w:shd w:val="clear" w:color="auto" w:fill="auto"/>
            <w:vAlign w:val="center"/>
            <w:hideMark/>
          </w:tcPr>
          <w:p w14:paraId="705C97D8"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B3A3F5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49DC36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35E207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2D10F569" w14:textId="77777777" w:rsidR="0072083E" w:rsidRPr="00EE43C6" w:rsidRDefault="0072083E" w:rsidP="00F60B11">
            <w:pPr>
              <w:spacing w:before="0" w:after="0" w:line="240" w:lineRule="auto"/>
              <w:rPr>
                <w:rFonts w:cs="Arial"/>
                <w:sz w:val="18"/>
                <w:szCs w:val="18"/>
              </w:rPr>
            </w:pPr>
          </w:p>
        </w:tc>
      </w:tr>
      <w:tr w:rsidR="0072083E" w:rsidRPr="00EE43C6" w14:paraId="4144B8D5"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50F314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Dipsacus laciniatus L.</w:t>
            </w:r>
          </w:p>
        </w:tc>
        <w:tc>
          <w:tcPr>
            <w:tcW w:w="886" w:type="pct"/>
            <w:tcBorders>
              <w:top w:val="nil"/>
              <w:left w:val="nil"/>
              <w:bottom w:val="single" w:sz="8" w:space="0" w:color="auto"/>
              <w:right w:val="single" w:sz="8" w:space="0" w:color="auto"/>
            </w:tcBorders>
            <w:shd w:val="clear" w:color="auto" w:fill="auto"/>
            <w:vAlign w:val="center"/>
            <w:hideMark/>
          </w:tcPr>
          <w:p w14:paraId="12E2592C"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Cutleaf Teasel</w:t>
            </w:r>
          </w:p>
        </w:tc>
        <w:tc>
          <w:tcPr>
            <w:tcW w:w="886" w:type="pct"/>
            <w:tcBorders>
              <w:top w:val="nil"/>
              <w:left w:val="nil"/>
              <w:bottom w:val="single" w:sz="8" w:space="0" w:color="auto"/>
              <w:right w:val="single" w:sz="8" w:space="0" w:color="auto"/>
            </w:tcBorders>
            <w:shd w:val="clear" w:color="auto" w:fill="auto"/>
            <w:vAlign w:val="center"/>
            <w:hideMark/>
          </w:tcPr>
          <w:p w14:paraId="1083A17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4D4FED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A42081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723DA08A" w14:textId="77777777" w:rsidR="0072083E" w:rsidRPr="00EE43C6" w:rsidRDefault="0072083E" w:rsidP="00F60B11">
            <w:pPr>
              <w:spacing w:before="0" w:after="0" w:line="240" w:lineRule="auto"/>
              <w:rPr>
                <w:rFonts w:cs="Arial"/>
                <w:sz w:val="18"/>
                <w:szCs w:val="18"/>
              </w:rPr>
            </w:pPr>
          </w:p>
        </w:tc>
      </w:tr>
      <w:tr w:rsidR="0072083E" w:rsidRPr="00EE43C6" w14:paraId="3AAEC788"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4739009"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Scabiosa argentea L.</w:t>
            </w:r>
          </w:p>
        </w:tc>
        <w:tc>
          <w:tcPr>
            <w:tcW w:w="886" w:type="pct"/>
            <w:tcBorders>
              <w:top w:val="nil"/>
              <w:left w:val="nil"/>
              <w:bottom w:val="single" w:sz="8" w:space="0" w:color="auto"/>
              <w:right w:val="single" w:sz="8" w:space="0" w:color="auto"/>
            </w:tcBorders>
            <w:shd w:val="clear" w:color="auto" w:fill="auto"/>
            <w:vAlign w:val="center"/>
            <w:hideMark/>
          </w:tcPr>
          <w:p w14:paraId="606955C6"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Silver Scabious</w:t>
            </w:r>
          </w:p>
        </w:tc>
        <w:tc>
          <w:tcPr>
            <w:tcW w:w="886" w:type="pct"/>
            <w:tcBorders>
              <w:top w:val="nil"/>
              <w:left w:val="nil"/>
              <w:bottom w:val="single" w:sz="8" w:space="0" w:color="auto"/>
              <w:right w:val="single" w:sz="8" w:space="0" w:color="auto"/>
            </w:tcBorders>
            <w:shd w:val="clear" w:color="auto" w:fill="auto"/>
            <w:vAlign w:val="center"/>
            <w:hideMark/>
          </w:tcPr>
          <w:p w14:paraId="440C891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FF3EA0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B65207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319BA251" w14:textId="77777777" w:rsidR="0072083E" w:rsidRPr="00EE43C6" w:rsidRDefault="0072083E" w:rsidP="00F60B11">
            <w:pPr>
              <w:spacing w:before="0" w:after="0" w:line="240" w:lineRule="auto"/>
              <w:rPr>
                <w:rFonts w:cs="Arial"/>
                <w:sz w:val="18"/>
                <w:szCs w:val="18"/>
              </w:rPr>
            </w:pPr>
          </w:p>
        </w:tc>
      </w:tr>
      <w:tr w:rsidR="0072083E" w:rsidRPr="00EE43C6" w14:paraId="06B9026F"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E297888"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Euphorbiaceae</w:t>
            </w:r>
          </w:p>
        </w:tc>
        <w:tc>
          <w:tcPr>
            <w:tcW w:w="886" w:type="pct"/>
            <w:tcBorders>
              <w:top w:val="nil"/>
              <w:left w:val="nil"/>
              <w:bottom w:val="single" w:sz="8" w:space="0" w:color="auto"/>
              <w:right w:val="single" w:sz="8" w:space="0" w:color="auto"/>
            </w:tcBorders>
            <w:shd w:val="clear" w:color="auto" w:fill="auto"/>
            <w:vAlign w:val="center"/>
            <w:hideMark/>
          </w:tcPr>
          <w:p w14:paraId="7801E839"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C36C55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C3DBDD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7AA0C6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61AB611A" w14:textId="77777777" w:rsidR="0072083E" w:rsidRPr="00EE43C6" w:rsidRDefault="0072083E" w:rsidP="00F60B11">
            <w:pPr>
              <w:spacing w:before="0" w:after="0" w:line="240" w:lineRule="auto"/>
              <w:rPr>
                <w:rFonts w:cs="Arial"/>
                <w:sz w:val="18"/>
                <w:szCs w:val="18"/>
              </w:rPr>
            </w:pPr>
          </w:p>
        </w:tc>
      </w:tr>
      <w:tr w:rsidR="0072083E" w:rsidRPr="00EE43C6" w14:paraId="5200F856"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29F039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Euphorbia apios L.</w:t>
            </w:r>
          </w:p>
        </w:tc>
        <w:tc>
          <w:tcPr>
            <w:tcW w:w="886" w:type="pct"/>
            <w:tcBorders>
              <w:top w:val="nil"/>
              <w:left w:val="nil"/>
              <w:bottom w:val="single" w:sz="8" w:space="0" w:color="auto"/>
              <w:right w:val="single" w:sz="8" w:space="0" w:color="auto"/>
            </w:tcBorders>
            <w:shd w:val="clear" w:color="auto" w:fill="auto"/>
            <w:vAlign w:val="center"/>
            <w:hideMark/>
          </w:tcPr>
          <w:p w14:paraId="2959723A"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77FE1A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000B88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6B5073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9E2847A" w14:textId="77777777" w:rsidR="0072083E" w:rsidRPr="00EE43C6" w:rsidRDefault="0072083E" w:rsidP="00F60B11">
            <w:pPr>
              <w:spacing w:before="0" w:after="0" w:line="240" w:lineRule="auto"/>
              <w:rPr>
                <w:rFonts w:cs="Arial"/>
                <w:sz w:val="18"/>
                <w:szCs w:val="18"/>
              </w:rPr>
            </w:pPr>
          </w:p>
        </w:tc>
      </w:tr>
      <w:tr w:rsidR="0072083E" w:rsidRPr="00EE43C6" w14:paraId="5CFECE73"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A43E80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Euphorbia kotschyana </w:t>
            </w:r>
            <w:r w:rsidRPr="00EE43C6">
              <w:rPr>
                <w:rFonts w:cs="Arial"/>
                <w:color w:val="000000"/>
                <w:sz w:val="18"/>
                <w:szCs w:val="18"/>
              </w:rPr>
              <w:t>Fenzl</w:t>
            </w:r>
          </w:p>
        </w:tc>
        <w:tc>
          <w:tcPr>
            <w:tcW w:w="886" w:type="pct"/>
            <w:tcBorders>
              <w:top w:val="nil"/>
              <w:left w:val="nil"/>
              <w:bottom w:val="single" w:sz="8" w:space="0" w:color="auto"/>
              <w:right w:val="single" w:sz="8" w:space="0" w:color="auto"/>
            </w:tcBorders>
            <w:shd w:val="clear" w:color="auto" w:fill="auto"/>
            <w:vAlign w:val="center"/>
            <w:hideMark/>
          </w:tcPr>
          <w:p w14:paraId="6A299794"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8A901B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6B3104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E85903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64F9C4C6" w14:textId="77777777" w:rsidR="0072083E" w:rsidRPr="00EE43C6" w:rsidRDefault="0072083E" w:rsidP="00F60B11">
            <w:pPr>
              <w:spacing w:before="0" w:after="0" w:line="240" w:lineRule="auto"/>
              <w:rPr>
                <w:rFonts w:cs="Arial"/>
                <w:sz w:val="18"/>
                <w:szCs w:val="18"/>
              </w:rPr>
            </w:pPr>
          </w:p>
        </w:tc>
      </w:tr>
      <w:tr w:rsidR="0072083E" w:rsidRPr="00EE43C6" w14:paraId="728FA45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642E88C"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Euphorbia macroclada </w:t>
            </w:r>
            <w:r w:rsidRPr="00EE43C6">
              <w:rPr>
                <w:rFonts w:cs="Arial"/>
                <w:color w:val="000000"/>
                <w:sz w:val="18"/>
                <w:szCs w:val="18"/>
              </w:rPr>
              <w:t>Boiss.</w:t>
            </w:r>
          </w:p>
        </w:tc>
        <w:tc>
          <w:tcPr>
            <w:tcW w:w="886" w:type="pct"/>
            <w:tcBorders>
              <w:top w:val="nil"/>
              <w:left w:val="nil"/>
              <w:bottom w:val="single" w:sz="8" w:space="0" w:color="auto"/>
              <w:right w:val="single" w:sz="8" w:space="0" w:color="auto"/>
            </w:tcBorders>
            <w:shd w:val="clear" w:color="auto" w:fill="auto"/>
            <w:vAlign w:val="center"/>
            <w:hideMark/>
          </w:tcPr>
          <w:p w14:paraId="3FE0035F"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FEE3C6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1906D5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C0BE8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695B671D" w14:textId="77777777" w:rsidR="0072083E" w:rsidRPr="00EE43C6" w:rsidRDefault="0072083E" w:rsidP="00F60B11">
            <w:pPr>
              <w:spacing w:before="0" w:after="0" w:line="240" w:lineRule="auto"/>
              <w:rPr>
                <w:rFonts w:cs="Arial"/>
                <w:sz w:val="18"/>
                <w:szCs w:val="18"/>
              </w:rPr>
            </w:pPr>
          </w:p>
        </w:tc>
      </w:tr>
      <w:tr w:rsidR="0072083E" w:rsidRPr="00EE43C6" w14:paraId="2E60CB0A"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BA09186"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Euphorbia rigida </w:t>
            </w:r>
            <w:r w:rsidRPr="00EE43C6">
              <w:rPr>
                <w:rFonts w:cs="Arial"/>
                <w:color w:val="000000"/>
                <w:sz w:val="18"/>
                <w:szCs w:val="18"/>
              </w:rPr>
              <w:t>Bieb.</w:t>
            </w:r>
          </w:p>
        </w:tc>
        <w:tc>
          <w:tcPr>
            <w:tcW w:w="886" w:type="pct"/>
            <w:tcBorders>
              <w:top w:val="nil"/>
              <w:left w:val="nil"/>
              <w:bottom w:val="single" w:sz="8" w:space="0" w:color="auto"/>
              <w:right w:val="single" w:sz="8" w:space="0" w:color="auto"/>
            </w:tcBorders>
            <w:shd w:val="clear" w:color="auto" w:fill="auto"/>
            <w:vAlign w:val="center"/>
            <w:hideMark/>
          </w:tcPr>
          <w:p w14:paraId="29FB7528"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Rigid Spurge</w:t>
            </w:r>
          </w:p>
        </w:tc>
        <w:tc>
          <w:tcPr>
            <w:tcW w:w="886" w:type="pct"/>
            <w:tcBorders>
              <w:top w:val="nil"/>
              <w:left w:val="nil"/>
              <w:bottom w:val="single" w:sz="8" w:space="0" w:color="auto"/>
              <w:right w:val="single" w:sz="8" w:space="0" w:color="auto"/>
            </w:tcBorders>
            <w:shd w:val="clear" w:color="auto" w:fill="auto"/>
            <w:vAlign w:val="center"/>
            <w:hideMark/>
          </w:tcPr>
          <w:p w14:paraId="2ECA513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29A114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B95C56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BC20C5C" w14:textId="77777777" w:rsidR="0072083E" w:rsidRPr="00EE43C6" w:rsidRDefault="0072083E" w:rsidP="00F60B11">
            <w:pPr>
              <w:spacing w:before="0" w:after="0" w:line="240" w:lineRule="auto"/>
              <w:rPr>
                <w:rFonts w:cs="Arial"/>
                <w:sz w:val="18"/>
                <w:szCs w:val="18"/>
              </w:rPr>
            </w:pPr>
          </w:p>
        </w:tc>
      </w:tr>
      <w:tr w:rsidR="0072083E" w:rsidRPr="00EE43C6" w14:paraId="157CFB80"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259F927"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Equisetaceae</w:t>
            </w:r>
          </w:p>
        </w:tc>
        <w:tc>
          <w:tcPr>
            <w:tcW w:w="886" w:type="pct"/>
            <w:tcBorders>
              <w:top w:val="nil"/>
              <w:left w:val="nil"/>
              <w:bottom w:val="single" w:sz="8" w:space="0" w:color="auto"/>
              <w:right w:val="single" w:sz="8" w:space="0" w:color="auto"/>
            </w:tcBorders>
            <w:shd w:val="clear" w:color="auto" w:fill="auto"/>
            <w:vAlign w:val="center"/>
            <w:hideMark/>
          </w:tcPr>
          <w:p w14:paraId="60B821AF"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2F1329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A2E493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CBB503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69023A21" w14:textId="77777777" w:rsidR="0072083E" w:rsidRPr="00EE43C6" w:rsidRDefault="0072083E" w:rsidP="00F60B11">
            <w:pPr>
              <w:spacing w:before="0" w:after="0" w:line="240" w:lineRule="auto"/>
              <w:rPr>
                <w:rFonts w:cs="Arial"/>
                <w:sz w:val="18"/>
                <w:szCs w:val="18"/>
              </w:rPr>
            </w:pPr>
          </w:p>
        </w:tc>
      </w:tr>
      <w:tr w:rsidR="0072083E" w:rsidRPr="00EE43C6" w14:paraId="268320DE" w14:textId="77777777" w:rsidTr="00F60B11">
        <w:trPr>
          <w:trHeight w:val="284"/>
        </w:trPr>
        <w:tc>
          <w:tcPr>
            <w:tcW w:w="1374" w:type="pct"/>
            <w:vMerge w:val="restart"/>
            <w:tcBorders>
              <w:top w:val="nil"/>
              <w:left w:val="single" w:sz="8" w:space="0" w:color="auto"/>
              <w:bottom w:val="single" w:sz="8" w:space="0" w:color="000000"/>
              <w:right w:val="single" w:sz="8" w:space="0" w:color="auto"/>
            </w:tcBorders>
            <w:shd w:val="clear" w:color="auto" w:fill="auto"/>
            <w:vAlign w:val="center"/>
            <w:hideMark/>
          </w:tcPr>
          <w:p w14:paraId="76C92C79"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Equisetum ramosissimum </w:t>
            </w:r>
            <w:r w:rsidRPr="00EE43C6">
              <w:rPr>
                <w:rFonts w:cs="Arial"/>
                <w:color w:val="000000"/>
                <w:sz w:val="18"/>
                <w:szCs w:val="18"/>
              </w:rPr>
              <w:t>Desf.</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1EBC0908" w14:textId="77777777" w:rsidR="0072083E" w:rsidRPr="00EE43C6" w:rsidRDefault="0072083E" w:rsidP="00F60B11">
            <w:pPr>
              <w:spacing w:before="0" w:after="0" w:line="240" w:lineRule="auto"/>
              <w:jc w:val="center"/>
              <w:rPr>
                <w:rFonts w:cs="Arial"/>
                <w:color w:val="000000"/>
                <w:sz w:val="18"/>
                <w:szCs w:val="18"/>
              </w:rPr>
            </w:pPr>
            <w:r w:rsidRPr="00EE43C6">
              <w:rPr>
                <w:rFonts w:cs="Arial"/>
                <w:iCs/>
                <w:color w:val="000000"/>
                <w:sz w:val="18"/>
                <w:szCs w:val="18"/>
              </w:rPr>
              <w:t>Branched Horsetail</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2EB3411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2DD5BAC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7B6AEB1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4FCA7F51" w14:textId="77777777" w:rsidR="0072083E" w:rsidRPr="00EE43C6" w:rsidRDefault="0072083E" w:rsidP="00F60B11">
            <w:pPr>
              <w:spacing w:before="0" w:after="0" w:line="240" w:lineRule="auto"/>
              <w:rPr>
                <w:rFonts w:cs="Arial"/>
                <w:sz w:val="18"/>
                <w:szCs w:val="18"/>
              </w:rPr>
            </w:pPr>
          </w:p>
        </w:tc>
      </w:tr>
      <w:tr w:rsidR="0072083E" w:rsidRPr="00EE43C6" w14:paraId="5824365E" w14:textId="77777777" w:rsidTr="00F60B11">
        <w:trPr>
          <w:trHeight w:val="284"/>
        </w:trPr>
        <w:tc>
          <w:tcPr>
            <w:tcW w:w="1374" w:type="pct"/>
            <w:vMerge/>
            <w:tcBorders>
              <w:top w:val="nil"/>
              <w:left w:val="single" w:sz="8" w:space="0" w:color="auto"/>
              <w:bottom w:val="single" w:sz="8" w:space="0" w:color="000000"/>
              <w:right w:val="single" w:sz="8" w:space="0" w:color="auto"/>
            </w:tcBorders>
            <w:vAlign w:val="center"/>
            <w:hideMark/>
          </w:tcPr>
          <w:p w14:paraId="0F90A158" w14:textId="77777777" w:rsidR="0072083E" w:rsidRPr="00EE43C6" w:rsidRDefault="0072083E" w:rsidP="00F60B11">
            <w:pPr>
              <w:spacing w:before="0" w:after="0" w:line="240" w:lineRule="auto"/>
              <w:jc w:val="left"/>
              <w:rPr>
                <w:rFonts w:cs="Arial"/>
                <w:i/>
                <w:iCs/>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3A8A6564" w14:textId="77777777" w:rsidR="0072083E" w:rsidRPr="00EE43C6" w:rsidRDefault="0072083E" w:rsidP="00F60B11">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6A607E8C" w14:textId="77777777" w:rsidR="0072083E" w:rsidRPr="00EE43C6" w:rsidRDefault="0072083E" w:rsidP="00F60B11">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12E3BD2B" w14:textId="77777777" w:rsidR="0072083E" w:rsidRPr="00EE43C6" w:rsidRDefault="0072083E" w:rsidP="00F60B11">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45DCDB36" w14:textId="77777777" w:rsidR="0072083E" w:rsidRPr="00EE43C6" w:rsidRDefault="0072083E" w:rsidP="00F60B11">
            <w:pPr>
              <w:spacing w:before="0" w:after="0" w:line="240" w:lineRule="auto"/>
              <w:rPr>
                <w:rFonts w:cs="Arial"/>
                <w:color w:val="000000"/>
                <w:sz w:val="18"/>
                <w:szCs w:val="18"/>
              </w:rPr>
            </w:pPr>
          </w:p>
        </w:tc>
        <w:tc>
          <w:tcPr>
            <w:tcW w:w="81" w:type="pct"/>
            <w:tcBorders>
              <w:top w:val="nil"/>
              <w:left w:val="nil"/>
              <w:bottom w:val="nil"/>
              <w:right w:val="nil"/>
            </w:tcBorders>
            <w:shd w:val="clear" w:color="auto" w:fill="auto"/>
            <w:noWrap/>
            <w:vAlign w:val="bottom"/>
            <w:hideMark/>
          </w:tcPr>
          <w:p w14:paraId="44D2701F" w14:textId="77777777" w:rsidR="0072083E" w:rsidRPr="00EE43C6" w:rsidRDefault="0072083E" w:rsidP="00F60B11">
            <w:pPr>
              <w:spacing w:before="0" w:after="0" w:line="240" w:lineRule="auto"/>
              <w:jc w:val="center"/>
              <w:rPr>
                <w:rFonts w:cs="Arial"/>
                <w:color w:val="000000"/>
                <w:sz w:val="18"/>
                <w:szCs w:val="18"/>
              </w:rPr>
            </w:pPr>
          </w:p>
        </w:tc>
      </w:tr>
      <w:tr w:rsidR="0072083E" w:rsidRPr="00EE43C6" w14:paraId="609DBD02"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0469D94"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Fabaceae</w:t>
            </w:r>
          </w:p>
        </w:tc>
        <w:tc>
          <w:tcPr>
            <w:tcW w:w="886" w:type="pct"/>
            <w:tcBorders>
              <w:top w:val="nil"/>
              <w:left w:val="nil"/>
              <w:bottom w:val="single" w:sz="8" w:space="0" w:color="auto"/>
              <w:right w:val="single" w:sz="8" w:space="0" w:color="auto"/>
            </w:tcBorders>
            <w:shd w:val="clear" w:color="auto" w:fill="auto"/>
            <w:vAlign w:val="center"/>
            <w:hideMark/>
          </w:tcPr>
          <w:p w14:paraId="3017D9A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E06DAC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803E21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805E92C"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1" w:type="pct"/>
            <w:vAlign w:val="center"/>
            <w:hideMark/>
          </w:tcPr>
          <w:p w14:paraId="35CEFBC6" w14:textId="77777777" w:rsidR="0072083E" w:rsidRPr="00EE43C6" w:rsidRDefault="0072083E" w:rsidP="00F60B11">
            <w:pPr>
              <w:spacing w:before="0" w:after="0" w:line="240" w:lineRule="auto"/>
              <w:rPr>
                <w:rFonts w:cs="Arial"/>
                <w:sz w:val="18"/>
                <w:szCs w:val="18"/>
              </w:rPr>
            </w:pPr>
          </w:p>
        </w:tc>
      </w:tr>
      <w:tr w:rsidR="0072083E" w:rsidRPr="00EE43C6" w14:paraId="21E51A1C"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E68ED04"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Astragalus condensatus</w:t>
            </w:r>
          </w:p>
        </w:tc>
        <w:tc>
          <w:tcPr>
            <w:tcW w:w="886" w:type="pct"/>
            <w:tcBorders>
              <w:top w:val="nil"/>
              <w:left w:val="nil"/>
              <w:bottom w:val="single" w:sz="8" w:space="0" w:color="auto"/>
              <w:right w:val="single" w:sz="8" w:space="0" w:color="auto"/>
            </w:tcBorders>
            <w:shd w:val="clear" w:color="auto" w:fill="auto"/>
            <w:vAlign w:val="center"/>
            <w:hideMark/>
          </w:tcPr>
          <w:p w14:paraId="3A596C86"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3A521C1" w14:textId="3F8DDB4A" w:rsidR="0072083E" w:rsidRPr="00EE43C6" w:rsidRDefault="005D51EA" w:rsidP="00F60B11">
            <w:pPr>
              <w:spacing w:before="0" w:after="0" w:line="240" w:lineRule="auto"/>
              <w:jc w:val="center"/>
              <w:rPr>
                <w:rFonts w:cs="Arial"/>
                <w:color w:val="000000"/>
                <w:sz w:val="18"/>
                <w:szCs w:val="18"/>
              </w:rPr>
            </w:pPr>
            <w:r w:rsidRPr="00EE43C6">
              <w:rPr>
                <w:rFonts w:eastAsia="Cambria" w:cs="MS Gothic"/>
                <w:color w:val="000000"/>
                <w:sz w:val="18"/>
                <w:szCs w:val="18"/>
              </w:rPr>
              <w:t>Endemic</w:t>
            </w:r>
          </w:p>
        </w:tc>
        <w:tc>
          <w:tcPr>
            <w:tcW w:w="886" w:type="pct"/>
            <w:tcBorders>
              <w:top w:val="nil"/>
              <w:left w:val="nil"/>
              <w:bottom w:val="single" w:sz="8" w:space="0" w:color="auto"/>
              <w:right w:val="single" w:sz="8" w:space="0" w:color="auto"/>
            </w:tcBorders>
            <w:shd w:val="clear" w:color="auto" w:fill="auto"/>
            <w:vAlign w:val="center"/>
            <w:hideMark/>
          </w:tcPr>
          <w:p w14:paraId="410CB11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1EF3BB1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75D507A" w14:textId="77777777" w:rsidR="0072083E" w:rsidRPr="00EE43C6" w:rsidRDefault="0072083E" w:rsidP="00F60B11">
            <w:pPr>
              <w:spacing w:before="0" w:after="0" w:line="240" w:lineRule="auto"/>
              <w:rPr>
                <w:rFonts w:cs="Arial"/>
                <w:sz w:val="18"/>
                <w:szCs w:val="18"/>
              </w:rPr>
            </w:pPr>
          </w:p>
        </w:tc>
      </w:tr>
      <w:tr w:rsidR="0072083E" w:rsidRPr="00EE43C6" w14:paraId="63101D73"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D276A14"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Astragalus microcephalus Willd.</w:t>
            </w:r>
          </w:p>
        </w:tc>
        <w:tc>
          <w:tcPr>
            <w:tcW w:w="886" w:type="pct"/>
            <w:tcBorders>
              <w:top w:val="nil"/>
              <w:left w:val="nil"/>
              <w:bottom w:val="single" w:sz="8" w:space="0" w:color="auto"/>
              <w:right w:val="single" w:sz="8" w:space="0" w:color="auto"/>
            </w:tcBorders>
            <w:shd w:val="clear" w:color="auto" w:fill="auto"/>
            <w:vAlign w:val="center"/>
            <w:hideMark/>
          </w:tcPr>
          <w:p w14:paraId="1C1D6D2A"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FF1AD5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592B3B9"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8059BF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A3E4CAC" w14:textId="77777777" w:rsidR="0072083E" w:rsidRPr="00EE43C6" w:rsidRDefault="0072083E" w:rsidP="00F60B11">
            <w:pPr>
              <w:spacing w:before="0" w:after="0" w:line="240" w:lineRule="auto"/>
              <w:rPr>
                <w:rFonts w:cs="Arial"/>
                <w:sz w:val="18"/>
                <w:szCs w:val="18"/>
              </w:rPr>
            </w:pPr>
          </w:p>
        </w:tc>
      </w:tr>
      <w:tr w:rsidR="0072083E" w:rsidRPr="00EE43C6" w14:paraId="2AC9486B"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C46C31A"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Calicotome villosa (Poir)</w:t>
            </w:r>
          </w:p>
        </w:tc>
        <w:tc>
          <w:tcPr>
            <w:tcW w:w="886" w:type="pct"/>
            <w:tcBorders>
              <w:top w:val="nil"/>
              <w:left w:val="nil"/>
              <w:bottom w:val="single" w:sz="8" w:space="0" w:color="auto"/>
              <w:right w:val="single" w:sz="8" w:space="0" w:color="auto"/>
            </w:tcBorders>
            <w:shd w:val="clear" w:color="auto" w:fill="auto"/>
            <w:vAlign w:val="center"/>
            <w:hideMark/>
          </w:tcPr>
          <w:p w14:paraId="41B7C61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Spiny Broom</w:t>
            </w:r>
          </w:p>
        </w:tc>
        <w:tc>
          <w:tcPr>
            <w:tcW w:w="886" w:type="pct"/>
            <w:tcBorders>
              <w:top w:val="nil"/>
              <w:left w:val="nil"/>
              <w:bottom w:val="single" w:sz="8" w:space="0" w:color="auto"/>
              <w:right w:val="single" w:sz="8" w:space="0" w:color="auto"/>
            </w:tcBorders>
            <w:shd w:val="clear" w:color="auto" w:fill="auto"/>
            <w:vAlign w:val="center"/>
            <w:hideMark/>
          </w:tcPr>
          <w:p w14:paraId="42372DC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9E3374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CCD7E4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72726CEA" w14:textId="77777777" w:rsidR="0072083E" w:rsidRPr="00EE43C6" w:rsidRDefault="0072083E" w:rsidP="00F60B11">
            <w:pPr>
              <w:spacing w:before="0" w:after="0" w:line="240" w:lineRule="auto"/>
              <w:rPr>
                <w:rFonts w:cs="Arial"/>
                <w:sz w:val="18"/>
                <w:szCs w:val="18"/>
              </w:rPr>
            </w:pPr>
          </w:p>
        </w:tc>
      </w:tr>
      <w:tr w:rsidR="0072083E" w:rsidRPr="00EE43C6" w14:paraId="7370B20F"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6EBEAA5"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Cicer pinnatifidum Jaub.&amp; Spach</w:t>
            </w:r>
          </w:p>
        </w:tc>
        <w:tc>
          <w:tcPr>
            <w:tcW w:w="886" w:type="pct"/>
            <w:tcBorders>
              <w:top w:val="nil"/>
              <w:left w:val="nil"/>
              <w:bottom w:val="single" w:sz="8" w:space="0" w:color="auto"/>
              <w:right w:val="single" w:sz="8" w:space="0" w:color="auto"/>
            </w:tcBorders>
            <w:shd w:val="clear" w:color="auto" w:fill="auto"/>
            <w:vAlign w:val="center"/>
            <w:hideMark/>
          </w:tcPr>
          <w:p w14:paraId="2395712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7224A9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9938A5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DD</w:t>
            </w:r>
          </w:p>
        </w:tc>
        <w:tc>
          <w:tcPr>
            <w:tcW w:w="886" w:type="pct"/>
            <w:tcBorders>
              <w:top w:val="nil"/>
              <w:left w:val="nil"/>
              <w:bottom w:val="single" w:sz="8" w:space="0" w:color="auto"/>
              <w:right w:val="single" w:sz="8" w:space="0" w:color="auto"/>
            </w:tcBorders>
            <w:shd w:val="clear" w:color="auto" w:fill="auto"/>
            <w:vAlign w:val="center"/>
            <w:hideMark/>
          </w:tcPr>
          <w:p w14:paraId="6C30355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07BAB8B" w14:textId="77777777" w:rsidR="0072083E" w:rsidRPr="00EE43C6" w:rsidRDefault="0072083E" w:rsidP="00F60B11">
            <w:pPr>
              <w:spacing w:before="0" w:after="0" w:line="240" w:lineRule="auto"/>
              <w:rPr>
                <w:rFonts w:cs="Arial"/>
                <w:sz w:val="18"/>
                <w:szCs w:val="18"/>
              </w:rPr>
            </w:pPr>
          </w:p>
        </w:tc>
      </w:tr>
      <w:tr w:rsidR="0072083E" w:rsidRPr="00EE43C6" w14:paraId="69113543" w14:textId="77777777" w:rsidTr="00F60B11">
        <w:trPr>
          <w:trHeight w:val="284"/>
        </w:trPr>
        <w:tc>
          <w:tcPr>
            <w:tcW w:w="1374" w:type="pct"/>
            <w:vMerge w:val="restart"/>
            <w:tcBorders>
              <w:top w:val="nil"/>
              <w:left w:val="single" w:sz="8" w:space="0" w:color="auto"/>
              <w:bottom w:val="single" w:sz="8" w:space="0" w:color="000000"/>
              <w:right w:val="single" w:sz="8" w:space="0" w:color="auto"/>
            </w:tcBorders>
            <w:shd w:val="clear" w:color="auto" w:fill="auto"/>
            <w:vAlign w:val="center"/>
            <w:hideMark/>
          </w:tcPr>
          <w:p w14:paraId="456BDCFD"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Coronilla varia L.</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5609B35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Purple Crownvetch</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4D32243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17A4256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LC</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0F3AB41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5A1B6C29" w14:textId="77777777" w:rsidR="0072083E" w:rsidRPr="00EE43C6" w:rsidRDefault="0072083E" w:rsidP="00F60B11">
            <w:pPr>
              <w:spacing w:before="0" w:after="0" w:line="240" w:lineRule="auto"/>
              <w:rPr>
                <w:rFonts w:cs="Arial"/>
                <w:sz w:val="18"/>
                <w:szCs w:val="18"/>
              </w:rPr>
            </w:pPr>
          </w:p>
        </w:tc>
      </w:tr>
      <w:tr w:rsidR="0072083E" w:rsidRPr="00EE43C6" w14:paraId="5C01B371" w14:textId="77777777" w:rsidTr="00F60B11">
        <w:trPr>
          <w:trHeight w:val="284"/>
        </w:trPr>
        <w:tc>
          <w:tcPr>
            <w:tcW w:w="1374" w:type="pct"/>
            <w:vMerge/>
            <w:tcBorders>
              <w:top w:val="nil"/>
              <w:left w:val="single" w:sz="8" w:space="0" w:color="auto"/>
              <w:bottom w:val="single" w:sz="8" w:space="0" w:color="000000"/>
              <w:right w:val="single" w:sz="8" w:space="0" w:color="auto"/>
            </w:tcBorders>
            <w:vAlign w:val="center"/>
            <w:hideMark/>
          </w:tcPr>
          <w:p w14:paraId="54353969" w14:textId="77777777" w:rsidR="0072083E" w:rsidRPr="00EE43C6" w:rsidRDefault="0072083E" w:rsidP="00F60B11">
            <w:pPr>
              <w:spacing w:before="0" w:after="0" w:line="240" w:lineRule="auto"/>
              <w:jc w:val="left"/>
              <w:rPr>
                <w:rFonts w:cs="Arial"/>
                <w:i/>
                <w:iCs/>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18E84478" w14:textId="77777777" w:rsidR="0072083E" w:rsidRPr="00EE43C6" w:rsidRDefault="0072083E" w:rsidP="00F60B11">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21976279" w14:textId="77777777" w:rsidR="0072083E" w:rsidRPr="00EE43C6" w:rsidRDefault="0072083E" w:rsidP="00F60B11">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47A97C3F" w14:textId="77777777" w:rsidR="0072083E" w:rsidRPr="00EE43C6" w:rsidRDefault="0072083E" w:rsidP="00F60B11">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4C1050E2" w14:textId="77777777" w:rsidR="0072083E" w:rsidRPr="00EE43C6" w:rsidRDefault="0072083E" w:rsidP="00F60B11">
            <w:pPr>
              <w:spacing w:before="0" w:after="0" w:line="240" w:lineRule="auto"/>
              <w:rPr>
                <w:rFonts w:cs="Arial"/>
                <w:color w:val="000000"/>
                <w:sz w:val="18"/>
                <w:szCs w:val="18"/>
              </w:rPr>
            </w:pPr>
          </w:p>
        </w:tc>
        <w:tc>
          <w:tcPr>
            <w:tcW w:w="81" w:type="pct"/>
            <w:tcBorders>
              <w:top w:val="nil"/>
              <w:left w:val="nil"/>
              <w:bottom w:val="nil"/>
              <w:right w:val="nil"/>
            </w:tcBorders>
            <w:shd w:val="clear" w:color="auto" w:fill="auto"/>
            <w:noWrap/>
            <w:vAlign w:val="bottom"/>
            <w:hideMark/>
          </w:tcPr>
          <w:p w14:paraId="28FBB955" w14:textId="77777777" w:rsidR="0072083E" w:rsidRPr="00EE43C6" w:rsidRDefault="0072083E" w:rsidP="00F60B11">
            <w:pPr>
              <w:spacing w:before="0" w:after="0" w:line="240" w:lineRule="auto"/>
              <w:jc w:val="center"/>
              <w:rPr>
                <w:rFonts w:cs="Arial"/>
                <w:color w:val="000000"/>
                <w:sz w:val="18"/>
                <w:szCs w:val="18"/>
              </w:rPr>
            </w:pPr>
          </w:p>
        </w:tc>
      </w:tr>
      <w:tr w:rsidR="0072083E" w:rsidRPr="00EE43C6" w14:paraId="481CD06A"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84DCD6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Cytisopsis dorcyniifolia Jaub. &amp; Spach subsp.dorycniifolia</w:t>
            </w:r>
          </w:p>
        </w:tc>
        <w:tc>
          <w:tcPr>
            <w:tcW w:w="886" w:type="pct"/>
            <w:tcBorders>
              <w:top w:val="nil"/>
              <w:left w:val="nil"/>
              <w:bottom w:val="single" w:sz="8" w:space="0" w:color="auto"/>
              <w:right w:val="single" w:sz="8" w:space="0" w:color="auto"/>
            </w:tcBorders>
            <w:shd w:val="clear" w:color="auto" w:fill="auto"/>
            <w:vAlign w:val="center"/>
            <w:hideMark/>
          </w:tcPr>
          <w:p w14:paraId="6BCE53C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570747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632145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A4400A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4DDA3B2B" w14:textId="77777777" w:rsidR="0072083E" w:rsidRPr="00EE43C6" w:rsidRDefault="0072083E" w:rsidP="00F60B11">
            <w:pPr>
              <w:spacing w:before="0" w:after="0" w:line="240" w:lineRule="auto"/>
              <w:rPr>
                <w:rFonts w:cs="Arial"/>
                <w:sz w:val="18"/>
                <w:szCs w:val="18"/>
              </w:rPr>
            </w:pPr>
          </w:p>
        </w:tc>
      </w:tr>
      <w:tr w:rsidR="0072083E" w:rsidRPr="00EE43C6" w14:paraId="2BC6CD8E"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4744CA6"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Gonocytisus angulatus (L.) Spach</w:t>
            </w:r>
          </w:p>
        </w:tc>
        <w:tc>
          <w:tcPr>
            <w:tcW w:w="886" w:type="pct"/>
            <w:tcBorders>
              <w:top w:val="nil"/>
              <w:left w:val="nil"/>
              <w:bottom w:val="single" w:sz="8" w:space="0" w:color="auto"/>
              <w:right w:val="single" w:sz="8" w:space="0" w:color="auto"/>
            </w:tcBorders>
            <w:shd w:val="clear" w:color="auto" w:fill="auto"/>
            <w:vAlign w:val="center"/>
            <w:hideMark/>
          </w:tcPr>
          <w:p w14:paraId="4CAD437C"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E02DB5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EA48226"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821CFD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542F0B06" w14:textId="77777777" w:rsidR="0072083E" w:rsidRPr="00EE43C6" w:rsidRDefault="0072083E" w:rsidP="00F60B11">
            <w:pPr>
              <w:spacing w:before="0" w:after="0" w:line="240" w:lineRule="auto"/>
              <w:rPr>
                <w:rFonts w:cs="Arial"/>
                <w:sz w:val="18"/>
                <w:szCs w:val="18"/>
              </w:rPr>
            </w:pPr>
          </w:p>
        </w:tc>
      </w:tr>
      <w:tr w:rsidR="0072083E" w:rsidRPr="00EE43C6" w14:paraId="77916EE5"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4C89B6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Medicago </w:t>
            </w:r>
            <w:r w:rsidRPr="00EE43C6">
              <w:rPr>
                <w:rFonts w:cs="Arial"/>
                <w:i/>
                <w:color w:val="000000"/>
                <w:sz w:val="18"/>
                <w:szCs w:val="18"/>
              </w:rPr>
              <w:t xml:space="preserve">discidormis </w:t>
            </w:r>
            <w:r w:rsidRPr="00EE43C6">
              <w:rPr>
                <w:rFonts w:cs="Arial"/>
                <w:color w:val="000000"/>
                <w:sz w:val="18"/>
                <w:szCs w:val="18"/>
              </w:rPr>
              <w:t>DC</w:t>
            </w:r>
          </w:p>
        </w:tc>
        <w:tc>
          <w:tcPr>
            <w:tcW w:w="886" w:type="pct"/>
            <w:tcBorders>
              <w:top w:val="nil"/>
              <w:left w:val="nil"/>
              <w:bottom w:val="single" w:sz="8" w:space="0" w:color="auto"/>
              <w:right w:val="single" w:sz="8" w:space="0" w:color="auto"/>
            </w:tcBorders>
            <w:shd w:val="clear" w:color="auto" w:fill="auto"/>
            <w:vAlign w:val="center"/>
            <w:hideMark/>
          </w:tcPr>
          <w:p w14:paraId="1EFE779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Veinless Medick</w:t>
            </w:r>
          </w:p>
        </w:tc>
        <w:tc>
          <w:tcPr>
            <w:tcW w:w="886" w:type="pct"/>
            <w:tcBorders>
              <w:top w:val="nil"/>
              <w:left w:val="nil"/>
              <w:bottom w:val="single" w:sz="8" w:space="0" w:color="auto"/>
              <w:right w:val="single" w:sz="8" w:space="0" w:color="auto"/>
            </w:tcBorders>
            <w:shd w:val="clear" w:color="auto" w:fill="auto"/>
            <w:vAlign w:val="center"/>
            <w:hideMark/>
          </w:tcPr>
          <w:p w14:paraId="233EA60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5747A5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0872C7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6CC25DB2" w14:textId="77777777" w:rsidR="0072083E" w:rsidRPr="00EE43C6" w:rsidRDefault="0072083E" w:rsidP="00F60B11">
            <w:pPr>
              <w:spacing w:before="0" w:after="0" w:line="240" w:lineRule="auto"/>
              <w:rPr>
                <w:rFonts w:cs="Arial"/>
                <w:sz w:val="18"/>
                <w:szCs w:val="18"/>
              </w:rPr>
            </w:pPr>
          </w:p>
        </w:tc>
      </w:tr>
      <w:tr w:rsidR="0072083E" w:rsidRPr="00EE43C6" w14:paraId="031C4BFD"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1584380"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Medicago x varia Martyn</w:t>
            </w:r>
          </w:p>
        </w:tc>
        <w:tc>
          <w:tcPr>
            <w:tcW w:w="886" w:type="pct"/>
            <w:tcBorders>
              <w:top w:val="nil"/>
              <w:left w:val="nil"/>
              <w:bottom w:val="single" w:sz="8" w:space="0" w:color="auto"/>
              <w:right w:val="single" w:sz="8" w:space="0" w:color="auto"/>
            </w:tcBorders>
            <w:shd w:val="clear" w:color="auto" w:fill="auto"/>
            <w:vAlign w:val="center"/>
            <w:hideMark/>
          </w:tcPr>
          <w:p w14:paraId="5222462A"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Hybrid Alfalfa</w:t>
            </w:r>
          </w:p>
        </w:tc>
        <w:tc>
          <w:tcPr>
            <w:tcW w:w="886" w:type="pct"/>
            <w:tcBorders>
              <w:top w:val="nil"/>
              <w:left w:val="nil"/>
              <w:bottom w:val="single" w:sz="8" w:space="0" w:color="auto"/>
              <w:right w:val="single" w:sz="8" w:space="0" w:color="auto"/>
            </w:tcBorders>
            <w:shd w:val="clear" w:color="auto" w:fill="auto"/>
            <w:vAlign w:val="center"/>
            <w:hideMark/>
          </w:tcPr>
          <w:p w14:paraId="07EA89B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BB2A7E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E0CC2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E0579BF" w14:textId="77777777" w:rsidR="0072083E" w:rsidRPr="00EE43C6" w:rsidRDefault="0072083E" w:rsidP="00F60B11">
            <w:pPr>
              <w:spacing w:before="0" w:after="0" w:line="240" w:lineRule="auto"/>
              <w:rPr>
                <w:rFonts w:cs="Arial"/>
                <w:sz w:val="18"/>
                <w:szCs w:val="18"/>
              </w:rPr>
            </w:pPr>
          </w:p>
        </w:tc>
      </w:tr>
      <w:tr w:rsidR="0072083E" w:rsidRPr="00EE43C6" w14:paraId="42D089F5"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F9BD3D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Onobrychis cornuta (L.) Desv</w:t>
            </w:r>
          </w:p>
        </w:tc>
        <w:tc>
          <w:tcPr>
            <w:tcW w:w="886" w:type="pct"/>
            <w:tcBorders>
              <w:top w:val="nil"/>
              <w:left w:val="nil"/>
              <w:bottom w:val="single" w:sz="8" w:space="0" w:color="auto"/>
              <w:right w:val="single" w:sz="8" w:space="0" w:color="auto"/>
            </w:tcBorders>
            <w:shd w:val="clear" w:color="auto" w:fill="auto"/>
            <w:vAlign w:val="center"/>
            <w:hideMark/>
          </w:tcPr>
          <w:p w14:paraId="481AE262"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A6B9D2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D78829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3368EC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4F1063C6" w14:textId="77777777" w:rsidR="0072083E" w:rsidRPr="00EE43C6" w:rsidRDefault="0072083E" w:rsidP="00F60B11">
            <w:pPr>
              <w:spacing w:before="0" w:after="0" w:line="240" w:lineRule="auto"/>
              <w:rPr>
                <w:rFonts w:cs="Arial"/>
                <w:sz w:val="18"/>
                <w:szCs w:val="18"/>
              </w:rPr>
            </w:pPr>
          </w:p>
        </w:tc>
      </w:tr>
      <w:tr w:rsidR="0072083E" w:rsidRPr="00EE43C6" w14:paraId="35D2171C"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5494C7A"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Podocytisus caramanicus Boiss.&amp; Heldr.</w:t>
            </w:r>
          </w:p>
        </w:tc>
        <w:tc>
          <w:tcPr>
            <w:tcW w:w="886" w:type="pct"/>
            <w:tcBorders>
              <w:top w:val="nil"/>
              <w:left w:val="nil"/>
              <w:bottom w:val="single" w:sz="8" w:space="0" w:color="auto"/>
              <w:right w:val="single" w:sz="8" w:space="0" w:color="auto"/>
            </w:tcBorders>
            <w:shd w:val="clear" w:color="auto" w:fill="auto"/>
            <w:vAlign w:val="center"/>
            <w:hideMark/>
          </w:tcPr>
          <w:p w14:paraId="7807C14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8FB72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0717F7A"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D3422E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42C62AC" w14:textId="77777777" w:rsidR="0072083E" w:rsidRPr="00EE43C6" w:rsidRDefault="0072083E" w:rsidP="00F60B11">
            <w:pPr>
              <w:spacing w:before="0" w:after="0" w:line="240" w:lineRule="auto"/>
              <w:rPr>
                <w:rFonts w:cs="Arial"/>
                <w:sz w:val="18"/>
                <w:szCs w:val="18"/>
              </w:rPr>
            </w:pPr>
          </w:p>
        </w:tc>
      </w:tr>
      <w:tr w:rsidR="0072083E" w:rsidRPr="00EE43C6" w14:paraId="507FB9C3"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7CD509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Spartium junceum L.</w:t>
            </w:r>
          </w:p>
        </w:tc>
        <w:tc>
          <w:tcPr>
            <w:tcW w:w="886" w:type="pct"/>
            <w:tcBorders>
              <w:top w:val="nil"/>
              <w:left w:val="nil"/>
              <w:bottom w:val="single" w:sz="8" w:space="0" w:color="auto"/>
              <w:right w:val="single" w:sz="8" w:space="0" w:color="auto"/>
            </w:tcBorders>
            <w:shd w:val="clear" w:color="auto" w:fill="auto"/>
            <w:vAlign w:val="center"/>
            <w:hideMark/>
          </w:tcPr>
          <w:p w14:paraId="7A9A366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Spanish Broom</w:t>
            </w:r>
          </w:p>
        </w:tc>
        <w:tc>
          <w:tcPr>
            <w:tcW w:w="886" w:type="pct"/>
            <w:tcBorders>
              <w:top w:val="nil"/>
              <w:left w:val="nil"/>
              <w:bottom w:val="single" w:sz="8" w:space="0" w:color="auto"/>
              <w:right w:val="single" w:sz="8" w:space="0" w:color="auto"/>
            </w:tcBorders>
            <w:shd w:val="clear" w:color="auto" w:fill="auto"/>
            <w:vAlign w:val="center"/>
            <w:hideMark/>
          </w:tcPr>
          <w:p w14:paraId="0926F7E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701EA2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F81D18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251358A" w14:textId="77777777" w:rsidR="0072083E" w:rsidRPr="00EE43C6" w:rsidRDefault="0072083E" w:rsidP="00F60B11">
            <w:pPr>
              <w:spacing w:before="0" w:after="0" w:line="240" w:lineRule="auto"/>
              <w:rPr>
                <w:rFonts w:cs="Arial"/>
                <w:sz w:val="18"/>
                <w:szCs w:val="18"/>
              </w:rPr>
            </w:pPr>
          </w:p>
        </w:tc>
      </w:tr>
      <w:tr w:rsidR="0072083E" w:rsidRPr="00EE43C6" w14:paraId="3B854150"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F064462"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Trifolium campestre Schreb.</w:t>
            </w:r>
          </w:p>
        </w:tc>
        <w:tc>
          <w:tcPr>
            <w:tcW w:w="886" w:type="pct"/>
            <w:tcBorders>
              <w:top w:val="nil"/>
              <w:left w:val="nil"/>
              <w:bottom w:val="single" w:sz="8" w:space="0" w:color="auto"/>
              <w:right w:val="single" w:sz="8" w:space="0" w:color="auto"/>
            </w:tcBorders>
            <w:shd w:val="clear" w:color="auto" w:fill="auto"/>
            <w:vAlign w:val="center"/>
            <w:hideMark/>
          </w:tcPr>
          <w:p w14:paraId="3E7A3593"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Hop Trefoil</w:t>
            </w:r>
          </w:p>
        </w:tc>
        <w:tc>
          <w:tcPr>
            <w:tcW w:w="886" w:type="pct"/>
            <w:tcBorders>
              <w:top w:val="nil"/>
              <w:left w:val="nil"/>
              <w:bottom w:val="single" w:sz="8" w:space="0" w:color="auto"/>
              <w:right w:val="single" w:sz="8" w:space="0" w:color="auto"/>
            </w:tcBorders>
            <w:shd w:val="clear" w:color="auto" w:fill="auto"/>
            <w:vAlign w:val="center"/>
            <w:hideMark/>
          </w:tcPr>
          <w:p w14:paraId="7166174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498C913"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466D18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7809949" w14:textId="77777777" w:rsidR="0072083E" w:rsidRPr="00EE43C6" w:rsidRDefault="0072083E" w:rsidP="00F60B11">
            <w:pPr>
              <w:spacing w:before="0" w:after="0" w:line="240" w:lineRule="auto"/>
              <w:rPr>
                <w:rFonts w:cs="Arial"/>
                <w:sz w:val="18"/>
                <w:szCs w:val="18"/>
              </w:rPr>
            </w:pPr>
          </w:p>
        </w:tc>
      </w:tr>
      <w:tr w:rsidR="0072083E" w:rsidRPr="00EE43C6" w14:paraId="1D8B1DEE"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22771F5"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Trifolium </w:t>
            </w:r>
            <w:r w:rsidRPr="00EE43C6">
              <w:rPr>
                <w:rFonts w:cs="Arial"/>
                <w:i/>
                <w:color w:val="000000"/>
                <w:sz w:val="18"/>
                <w:szCs w:val="18"/>
              </w:rPr>
              <w:t xml:space="preserve">caudatum </w:t>
            </w:r>
            <w:r w:rsidRPr="00EE43C6">
              <w:rPr>
                <w:rFonts w:cs="Arial"/>
                <w:color w:val="000000"/>
                <w:sz w:val="18"/>
                <w:szCs w:val="18"/>
              </w:rPr>
              <w:t>BOISS.</w:t>
            </w:r>
          </w:p>
        </w:tc>
        <w:tc>
          <w:tcPr>
            <w:tcW w:w="886" w:type="pct"/>
            <w:tcBorders>
              <w:top w:val="nil"/>
              <w:left w:val="nil"/>
              <w:bottom w:val="single" w:sz="8" w:space="0" w:color="auto"/>
              <w:right w:val="single" w:sz="8" w:space="0" w:color="auto"/>
            </w:tcBorders>
            <w:shd w:val="clear" w:color="auto" w:fill="auto"/>
            <w:vAlign w:val="center"/>
            <w:hideMark/>
          </w:tcPr>
          <w:p w14:paraId="3E4B79F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092571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923E8D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1A8781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712F699" w14:textId="77777777" w:rsidR="0072083E" w:rsidRPr="00EE43C6" w:rsidRDefault="0072083E" w:rsidP="00F60B11">
            <w:pPr>
              <w:spacing w:before="0" w:after="0" w:line="240" w:lineRule="auto"/>
              <w:rPr>
                <w:rFonts w:cs="Arial"/>
                <w:sz w:val="18"/>
                <w:szCs w:val="18"/>
              </w:rPr>
            </w:pPr>
          </w:p>
        </w:tc>
      </w:tr>
      <w:tr w:rsidR="0072083E" w:rsidRPr="00EE43C6" w14:paraId="6D67DE52"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D07FED6" w14:textId="6613C033"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Trifolium monantha C.A. Meyer. Subsp. </w:t>
            </w:r>
            <w:r w:rsidR="00165A8C" w:rsidRPr="00EE43C6">
              <w:rPr>
                <w:rFonts w:cs="Arial"/>
                <w:i/>
                <w:iCs/>
                <w:color w:val="000000"/>
                <w:sz w:val="18"/>
                <w:szCs w:val="18"/>
              </w:rPr>
              <w:t>M</w:t>
            </w:r>
            <w:r w:rsidRPr="00EE43C6">
              <w:rPr>
                <w:rFonts w:cs="Arial"/>
                <w:i/>
                <w:iCs/>
                <w:color w:val="000000"/>
                <w:sz w:val="18"/>
                <w:szCs w:val="18"/>
              </w:rPr>
              <w:t xml:space="preserve">onantha </w:t>
            </w:r>
          </w:p>
        </w:tc>
        <w:tc>
          <w:tcPr>
            <w:tcW w:w="886" w:type="pct"/>
            <w:tcBorders>
              <w:top w:val="nil"/>
              <w:left w:val="nil"/>
              <w:bottom w:val="single" w:sz="8" w:space="0" w:color="auto"/>
              <w:right w:val="single" w:sz="8" w:space="0" w:color="auto"/>
            </w:tcBorders>
            <w:shd w:val="clear" w:color="auto" w:fill="auto"/>
            <w:vAlign w:val="center"/>
            <w:hideMark/>
          </w:tcPr>
          <w:p w14:paraId="36C84D9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D56028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7AB0ED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865313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D1EB08E" w14:textId="77777777" w:rsidR="0072083E" w:rsidRPr="00EE43C6" w:rsidRDefault="0072083E" w:rsidP="00F60B11">
            <w:pPr>
              <w:spacing w:before="0" w:after="0" w:line="240" w:lineRule="auto"/>
              <w:rPr>
                <w:rFonts w:cs="Arial"/>
                <w:sz w:val="18"/>
                <w:szCs w:val="18"/>
              </w:rPr>
            </w:pPr>
          </w:p>
        </w:tc>
      </w:tr>
      <w:tr w:rsidR="0072083E" w:rsidRPr="00EE43C6" w14:paraId="19769B1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4C8EC78"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Trifolium nigrescens Viv.Subsp. petrisavii (Clem.) Holmboe</w:t>
            </w:r>
          </w:p>
        </w:tc>
        <w:tc>
          <w:tcPr>
            <w:tcW w:w="886" w:type="pct"/>
            <w:tcBorders>
              <w:top w:val="nil"/>
              <w:left w:val="nil"/>
              <w:bottom w:val="single" w:sz="8" w:space="0" w:color="auto"/>
              <w:right w:val="single" w:sz="8" w:space="0" w:color="auto"/>
            </w:tcBorders>
            <w:shd w:val="clear" w:color="auto" w:fill="auto"/>
            <w:vAlign w:val="center"/>
            <w:hideMark/>
          </w:tcPr>
          <w:p w14:paraId="6B249B0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Ball Clover</w:t>
            </w:r>
          </w:p>
        </w:tc>
        <w:tc>
          <w:tcPr>
            <w:tcW w:w="886" w:type="pct"/>
            <w:tcBorders>
              <w:top w:val="nil"/>
              <w:left w:val="nil"/>
              <w:bottom w:val="single" w:sz="8" w:space="0" w:color="auto"/>
              <w:right w:val="single" w:sz="8" w:space="0" w:color="auto"/>
            </w:tcBorders>
            <w:shd w:val="clear" w:color="auto" w:fill="auto"/>
            <w:vAlign w:val="center"/>
            <w:hideMark/>
          </w:tcPr>
          <w:p w14:paraId="765C107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4EFA22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82DA48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4A0E1634" w14:textId="77777777" w:rsidR="0072083E" w:rsidRPr="00EE43C6" w:rsidRDefault="0072083E" w:rsidP="00F60B11">
            <w:pPr>
              <w:spacing w:before="0" w:after="0" w:line="240" w:lineRule="auto"/>
              <w:rPr>
                <w:rFonts w:cs="Arial"/>
                <w:sz w:val="18"/>
                <w:szCs w:val="18"/>
              </w:rPr>
            </w:pPr>
          </w:p>
        </w:tc>
      </w:tr>
      <w:tr w:rsidR="0072083E" w:rsidRPr="00EE43C6" w14:paraId="7BC52CF4"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6287EC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Trifolium physodes Stev. Var.physodes</w:t>
            </w:r>
          </w:p>
        </w:tc>
        <w:tc>
          <w:tcPr>
            <w:tcW w:w="886" w:type="pct"/>
            <w:tcBorders>
              <w:top w:val="nil"/>
              <w:left w:val="nil"/>
              <w:bottom w:val="single" w:sz="8" w:space="0" w:color="auto"/>
              <w:right w:val="single" w:sz="8" w:space="0" w:color="auto"/>
            </w:tcBorders>
            <w:shd w:val="clear" w:color="auto" w:fill="auto"/>
            <w:vAlign w:val="center"/>
            <w:hideMark/>
          </w:tcPr>
          <w:p w14:paraId="0A952FD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8598CA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E757699"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B53B18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4CF9CF5" w14:textId="77777777" w:rsidR="0072083E" w:rsidRPr="00EE43C6" w:rsidRDefault="0072083E" w:rsidP="00F60B11">
            <w:pPr>
              <w:spacing w:before="0" w:after="0" w:line="240" w:lineRule="auto"/>
              <w:rPr>
                <w:rFonts w:cs="Arial"/>
                <w:sz w:val="18"/>
                <w:szCs w:val="18"/>
              </w:rPr>
            </w:pPr>
          </w:p>
        </w:tc>
      </w:tr>
      <w:tr w:rsidR="0072083E" w:rsidRPr="00EE43C6" w14:paraId="514EC5A5"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65A978F"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Trifolium resupinatum L.var. resupinatum</w:t>
            </w:r>
          </w:p>
        </w:tc>
        <w:tc>
          <w:tcPr>
            <w:tcW w:w="886" w:type="pct"/>
            <w:tcBorders>
              <w:top w:val="nil"/>
              <w:left w:val="nil"/>
              <w:bottom w:val="single" w:sz="8" w:space="0" w:color="auto"/>
              <w:right w:val="single" w:sz="8" w:space="0" w:color="auto"/>
            </w:tcBorders>
            <w:shd w:val="clear" w:color="auto" w:fill="auto"/>
            <w:vAlign w:val="center"/>
            <w:hideMark/>
          </w:tcPr>
          <w:p w14:paraId="6C7519C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Persian Clover</w:t>
            </w:r>
          </w:p>
        </w:tc>
        <w:tc>
          <w:tcPr>
            <w:tcW w:w="886" w:type="pct"/>
            <w:tcBorders>
              <w:top w:val="nil"/>
              <w:left w:val="nil"/>
              <w:bottom w:val="single" w:sz="8" w:space="0" w:color="auto"/>
              <w:right w:val="single" w:sz="8" w:space="0" w:color="auto"/>
            </w:tcBorders>
            <w:shd w:val="clear" w:color="auto" w:fill="auto"/>
            <w:vAlign w:val="center"/>
            <w:hideMark/>
          </w:tcPr>
          <w:p w14:paraId="636B809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E305CB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062E0F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3C5CDB1D" w14:textId="77777777" w:rsidR="0072083E" w:rsidRPr="00EE43C6" w:rsidRDefault="0072083E" w:rsidP="00F60B11">
            <w:pPr>
              <w:spacing w:before="0" w:after="0" w:line="240" w:lineRule="auto"/>
              <w:rPr>
                <w:rFonts w:cs="Arial"/>
                <w:sz w:val="18"/>
                <w:szCs w:val="18"/>
              </w:rPr>
            </w:pPr>
          </w:p>
        </w:tc>
      </w:tr>
      <w:tr w:rsidR="0072083E" w:rsidRPr="00EE43C6" w14:paraId="19902AE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6012A2D"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Fagaceae</w:t>
            </w:r>
          </w:p>
        </w:tc>
        <w:tc>
          <w:tcPr>
            <w:tcW w:w="886" w:type="pct"/>
            <w:tcBorders>
              <w:top w:val="nil"/>
              <w:left w:val="nil"/>
              <w:bottom w:val="single" w:sz="8" w:space="0" w:color="auto"/>
              <w:right w:val="single" w:sz="8" w:space="0" w:color="auto"/>
            </w:tcBorders>
            <w:shd w:val="clear" w:color="auto" w:fill="auto"/>
            <w:vAlign w:val="center"/>
            <w:hideMark/>
          </w:tcPr>
          <w:p w14:paraId="05BBD50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1E7DE09"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73DC21C"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74C608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1" w:type="pct"/>
            <w:vAlign w:val="center"/>
            <w:hideMark/>
          </w:tcPr>
          <w:p w14:paraId="7820B36C" w14:textId="77777777" w:rsidR="0072083E" w:rsidRPr="00EE43C6" w:rsidRDefault="0072083E" w:rsidP="00F60B11">
            <w:pPr>
              <w:spacing w:before="0" w:after="0" w:line="240" w:lineRule="auto"/>
              <w:rPr>
                <w:rFonts w:cs="Arial"/>
                <w:sz w:val="18"/>
                <w:szCs w:val="18"/>
              </w:rPr>
            </w:pPr>
          </w:p>
        </w:tc>
      </w:tr>
      <w:tr w:rsidR="0072083E" w:rsidRPr="00EE43C6" w14:paraId="6F37EE96"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ACA8C5A"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Quercus </w:t>
            </w:r>
            <w:r w:rsidRPr="00EE43C6">
              <w:rPr>
                <w:rFonts w:cs="Arial"/>
                <w:i/>
                <w:color w:val="000000"/>
                <w:sz w:val="18"/>
                <w:szCs w:val="18"/>
              </w:rPr>
              <w:t xml:space="preserve">coccifera </w:t>
            </w:r>
            <w:r w:rsidRPr="00EE43C6">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5777278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Kermes Oak</w:t>
            </w:r>
          </w:p>
        </w:tc>
        <w:tc>
          <w:tcPr>
            <w:tcW w:w="886" w:type="pct"/>
            <w:tcBorders>
              <w:top w:val="nil"/>
              <w:left w:val="nil"/>
              <w:bottom w:val="single" w:sz="8" w:space="0" w:color="auto"/>
              <w:right w:val="single" w:sz="8" w:space="0" w:color="auto"/>
            </w:tcBorders>
            <w:shd w:val="clear" w:color="auto" w:fill="auto"/>
            <w:vAlign w:val="center"/>
            <w:hideMark/>
          </w:tcPr>
          <w:p w14:paraId="1133F67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182918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5915327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D3E044E" w14:textId="77777777" w:rsidR="0072083E" w:rsidRPr="00EE43C6" w:rsidRDefault="0072083E" w:rsidP="00F60B11">
            <w:pPr>
              <w:spacing w:before="0" w:after="0" w:line="240" w:lineRule="auto"/>
              <w:rPr>
                <w:rFonts w:cs="Arial"/>
                <w:sz w:val="18"/>
                <w:szCs w:val="18"/>
              </w:rPr>
            </w:pPr>
          </w:p>
        </w:tc>
      </w:tr>
      <w:tr w:rsidR="0072083E" w:rsidRPr="00EE43C6" w14:paraId="2720A751"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FC8F0EB"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iCs/>
                <w:color w:val="000000"/>
                <w:sz w:val="18"/>
                <w:szCs w:val="18"/>
              </w:rPr>
              <w:t>Geraniaceae</w:t>
            </w:r>
          </w:p>
        </w:tc>
        <w:tc>
          <w:tcPr>
            <w:tcW w:w="886" w:type="pct"/>
            <w:tcBorders>
              <w:top w:val="nil"/>
              <w:left w:val="nil"/>
              <w:bottom w:val="single" w:sz="8" w:space="0" w:color="auto"/>
              <w:right w:val="single" w:sz="8" w:space="0" w:color="auto"/>
            </w:tcBorders>
            <w:shd w:val="clear" w:color="auto" w:fill="auto"/>
            <w:vAlign w:val="center"/>
            <w:hideMark/>
          </w:tcPr>
          <w:p w14:paraId="6ACF4E1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DF3F00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24CC39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5F9544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5922CD09" w14:textId="77777777" w:rsidR="0072083E" w:rsidRPr="00EE43C6" w:rsidRDefault="0072083E" w:rsidP="00F60B11">
            <w:pPr>
              <w:spacing w:before="0" w:after="0" w:line="240" w:lineRule="auto"/>
              <w:rPr>
                <w:rFonts w:cs="Arial"/>
                <w:sz w:val="18"/>
                <w:szCs w:val="18"/>
              </w:rPr>
            </w:pPr>
          </w:p>
        </w:tc>
      </w:tr>
      <w:tr w:rsidR="0072083E" w:rsidRPr="00EE43C6" w14:paraId="59161E83"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ABF881F"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Geranium tuberosum L.</w:t>
            </w:r>
          </w:p>
        </w:tc>
        <w:tc>
          <w:tcPr>
            <w:tcW w:w="886" w:type="pct"/>
            <w:tcBorders>
              <w:top w:val="nil"/>
              <w:left w:val="nil"/>
              <w:bottom w:val="single" w:sz="8" w:space="0" w:color="auto"/>
              <w:right w:val="single" w:sz="8" w:space="0" w:color="auto"/>
            </w:tcBorders>
            <w:shd w:val="clear" w:color="auto" w:fill="auto"/>
            <w:vAlign w:val="center"/>
            <w:hideMark/>
          </w:tcPr>
          <w:p w14:paraId="10D5E1DC" w14:textId="77777777" w:rsidR="0072083E" w:rsidRPr="00EE43C6" w:rsidRDefault="0072083E" w:rsidP="00F60B11">
            <w:pPr>
              <w:spacing w:before="0" w:after="0" w:line="240" w:lineRule="auto"/>
              <w:jc w:val="center"/>
              <w:rPr>
                <w:rFonts w:cs="Arial"/>
                <w:color w:val="202124"/>
                <w:sz w:val="18"/>
                <w:szCs w:val="18"/>
              </w:rPr>
            </w:pPr>
            <w:r w:rsidRPr="00EE43C6">
              <w:rPr>
                <w:rFonts w:cs="Arial"/>
                <w:color w:val="202124"/>
                <w:sz w:val="18"/>
                <w:szCs w:val="18"/>
              </w:rPr>
              <w:t> </w:t>
            </w:r>
            <w:r w:rsidRPr="00EE43C6">
              <w:rPr>
                <w:rFonts w:cs="Arial"/>
                <w:color w:val="000000"/>
                <w:sz w:val="18"/>
                <w:szCs w:val="18"/>
              </w:rPr>
              <w:t>Tuberous-Rooted Cranesbill</w:t>
            </w:r>
          </w:p>
        </w:tc>
        <w:tc>
          <w:tcPr>
            <w:tcW w:w="886" w:type="pct"/>
            <w:tcBorders>
              <w:top w:val="nil"/>
              <w:left w:val="nil"/>
              <w:bottom w:val="single" w:sz="8" w:space="0" w:color="auto"/>
              <w:right w:val="single" w:sz="8" w:space="0" w:color="auto"/>
            </w:tcBorders>
            <w:shd w:val="clear" w:color="auto" w:fill="auto"/>
            <w:vAlign w:val="center"/>
            <w:hideMark/>
          </w:tcPr>
          <w:p w14:paraId="78466B2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08A3DF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27720F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7F396CF6" w14:textId="77777777" w:rsidR="0072083E" w:rsidRPr="00EE43C6" w:rsidRDefault="0072083E" w:rsidP="00F60B11">
            <w:pPr>
              <w:spacing w:before="0" w:after="0" w:line="240" w:lineRule="auto"/>
              <w:rPr>
                <w:rFonts w:cs="Arial"/>
                <w:sz w:val="18"/>
                <w:szCs w:val="18"/>
              </w:rPr>
            </w:pPr>
          </w:p>
        </w:tc>
      </w:tr>
      <w:tr w:rsidR="0072083E" w:rsidRPr="00EE43C6" w14:paraId="7E0FF9A9"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09D7F40"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Guttiferae</w:t>
            </w:r>
          </w:p>
        </w:tc>
        <w:tc>
          <w:tcPr>
            <w:tcW w:w="886" w:type="pct"/>
            <w:tcBorders>
              <w:top w:val="nil"/>
              <w:left w:val="nil"/>
              <w:bottom w:val="single" w:sz="8" w:space="0" w:color="auto"/>
              <w:right w:val="single" w:sz="8" w:space="0" w:color="auto"/>
            </w:tcBorders>
            <w:shd w:val="clear" w:color="auto" w:fill="auto"/>
            <w:vAlign w:val="center"/>
            <w:hideMark/>
          </w:tcPr>
          <w:p w14:paraId="7527972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ADEE2B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3ACC38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5D5D03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66A25E7E" w14:textId="77777777" w:rsidR="0072083E" w:rsidRPr="00EE43C6" w:rsidRDefault="0072083E" w:rsidP="00F60B11">
            <w:pPr>
              <w:spacing w:before="0" w:after="0" w:line="240" w:lineRule="auto"/>
              <w:rPr>
                <w:rFonts w:cs="Arial"/>
                <w:sz w:val="18"/>
                <w:szCs w:val="18"/>
              </w:rPr>
            </w:pPr>
          </w:p>
        </w:tc>
      </w:tr>
      <w:tr w:rsidR="0072083E" w:rsidRPr="00EE43C6" w14:paraId="726B3981"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5E9CC32"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Hypericum calycinum </w:t>
            </w:r>
            <w:r w:rsidRPr="00EE43C6">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354B611F" w14:textId="673EA972"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Aaron</w:t>
            </w:r>
            <w:r w:rsidR="00165A8C">
              <w:rPr>
                <w:rFonts w:cs="Arial"/>
                <w:color w:val="000000"/>
                <w:sz w:val="18"/>
                <w:szCs w:val="18"/>
              </w:rPr>
              <w:t>’</w:t>
            </w:r>
            <w:r w:rsidRPr="00EE43C6">
              <w:rPr>
                <w:rFonts w:cs="Arial"/>
                <w:color w:val="000000"/>
                <w:sz w:val="18"/>
                <w:szCs w:val="18"/>
              </w:rPr>
              <w:t>s Beard</w:t>
            </w:r>
          </w:p>
        </w:tc>
        <w:tc>
          <w:tcPr>
            <w:tcW w:w="886" w:type="pct"/>
            <w:tcBorders>
              <w:top w:val="nil"/>
              <w:left w:val="nil"/>
              <w:bottom w:val="single" w:sz="8" w:space="0" w:color="auto"/>
              <w:right w:val="single" w:sz="8" w:space="0" w:color="auto"/>
            </w:tcBorders>
            <w:shd w:val="clear" w:color="auto" w:fill="auto"/>
            <w:vAlign w:val="center"/>
            <w:hideMark/>
          </w:tcPr>
          <w:p w14:paraId="27D9BCA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726223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CFB548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0E66988" w14:textId="77777777" w:rsidR="0072083E" w:rsidRPr="00EE43C6" w:rsidRDefault="0072083E" w:rsidP="00F60B11">
            <w:pPr>
              <w:spacing w:before="0" w:after="0" w:line="240" w:lineRule="auto"/>
              <w:rPr>
                <w:rFonts w:cs="Arial"/>
                <w:sz w:val="18"/>
                <w:szCs w:val="18"/>
              </w:rPr>
            </w:pPr>
          </w:p>
        </w:tc>
      </w:tr>
      <w:tr w:rsidR="0072083E" w:rsidRPr="00EE43C6" w14:paraId="47B08D3C"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68A056C"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Hypericum perforatum</w:t>
            </w:r>
          </w:p>
        </w:tc>
        <w:tc>
          <w:tcPr>
            <w:tcW w:w="886" w:type="pct"/>
            <w:tcBorders>
              <w:top w:val="nil"/>
              <w:left w:val="nil"/>
              <w:bottom w:val="single" w:sz="8" w:space="0" w:color="auto"/>
              <w:right w:val="single" w:sz="8" w:space="0" w:color="auto"/>
            </w:tcBorders>
            <w:shd w:val="clear" w:color="auto" w:fill="auto"/>
            <w:vAlign w:val="center"/>
            <w:hideMark/>
          </w:tcPr>
          <w:p w14:paraId="47FEC7F1" w14:textId="69F7778B"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St. John</w:t>
            </w:r>
            <w:r w:rsidR="00165A8C">
              <w:rPr>
                <w:rFonts w:cs="Arial"/>
                <w:color w:val="000000"/>
                <w:sz w:val="18"/>
                <w:szCs w:val="18"/>
              </w:rPr>
              <w:t>’</w:t>
            </w:r>
            <w:r w:rsidRPr="00EE43C6">
              <w:rPr>
                <w:rFonts w:cs="Arial"/>
                <w:color w:val="000000"/>
                <w:sz w:val="18"/>
                <w:szCs w:val="18"/>
              </w:rPr>
              <w:t>s Wort</w:t>
            </w:r>
          </w:p>
        </w:tc>
        <w:tc>
          <w:tcPr>
            <w:tcW w:w="886" w:type="pct"/>
            <w:tcBorders>
              <w:top w:val="nil"/>
              <w:left w:val="nil"/>
              <w:bottom w:val="single" w:sz="8" w:space="0" w:color="auto"/>
              <w:right w:val="single" w:sz="8" w:space="0" w:color="auto"/>
            </w:tcBorders>
            <w:shd w:val="clear" w:color="auto" w:fill="auto"/>
            <w:vAlign w:val="center"/>
            <w:hideMark/>
          </w:tcPr>
          <w:p w14:paraId="14493BE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88AB34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0B84E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40F665EA" w14:textId="77777777" w:rsidR="0072083E" w:rsidRPr="00EE43C6" w:rsidRDefault="0072083E" w:rsidP="00F60B11">
            <w:pPr>
              <w:spacing w:before="0" w:after="0" w:line="240" w:lineRule="auto"/>
              <w:rPr>
                <w:rFonts w:cs="Arial"/>
                <w:sz w:val="18"/>
                <w:szCs w:val="18"/>
              </w:rPr>
            </w:pPr>
          </w:p>
        </w:tc>
      </w:tr>
      <w:tr w:rsidR="0072083E" w:rsidRPr="00EE43C6" w14:paraId="3C143534"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B271EB9"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iCs/>
                <w:color w:val="000000"/>
                <w:sz w:val="18"/>
                <w:szCs w:val="18"/>
              </w:rPr>
              <w:lastRenderedPageBreak/>
              <w:t>Hypericaceae</w:t>
            </w:r>
          </w:p>
        </w:tc>
        <w:tc>
          <w:tcPr>
            <w:tcW w:w="886" w:type="pct"/>
            <w:tcBorders>
              <w:top w:val="nil"/>
              <w:left w:val="nil"/>
              <w:bottom w:val="single" w:sz="8" w:space="0" w:color="auto"/>
              <w:right w:val="single" w:sz="8" w:space="0" w:color="auto"/>
            </w:tcBorders>
            <w:shd w:val="clear" w:color="auto" w:fill="auto"/>
            <w:vAlign w:val="center"/>
            <w:hideMark/>
          </w:tcPr>
          <w:p w14:paraId="06D2769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31BB74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953CCE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EE8A22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4DA13251" w14:textId="77777777" w:rsidR="0072083E" w:rsidRPr="00EE43C6" w:rsidRDefault="0072083E" w:rsidP="00F60B11">
            <w:pPr>
              <w:spacing w:before="0" w:after="0" w:line="240" w:lineRule="auto"/>
              <w:rPr>
                <w:rFonts w:cs="Arial"/>
                <w:sz w:val="18"/>
                <w:szCs w:val="18"/>
              </w:rPr>
            </w:pPr>
          </w:p>
        </w:tc>
      </w:tr>
      <w:tr w:rsidR="0072083E" w:rsidRPr="00EE43C6" w14:paraId="15B9DD0E"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E49D551" w14:textId="77777777" w:rsidR="0072083E" w:rsidRPr="002F52ED" w:rsidRDefault="0072083E" w:rsidP="00F60B11">
            <w:pPr>
              <w:spacing w:before="0" w:after="0" w:line="240" w:lineRule="auto"/>
              <w:jc w:val="left"/>
              <w:rPr>
                <w:rFonts w:cs="Arial"/>
                <w:i/>
                <w:color w:val="000000"/>
                <w:sz w:val="18"/>
                <w:szCs w:val="18"/>
                <w:lang w:val="da-DK"/>
              </w:rPr>
            </w:pPr>
            <w:r w:rsidRPr="002F52ED">
              <w:rPr>
                <w:rFonts w:cs="Arial"/>
                <w:i/>
                <w:color w:val="000000"/>
                <w:sz w:val="18"/>
                <w:szCs w:val="18"/>
                <w:lang w:val="da-DK"/>
              </w:rPr>
              <w:t>Hypericum lanuginosum Lam. Var. lanuginosum</w:t>
            </w:r>
          </w:p>
        </w:tc>
        <w:tc>
          <w:tcPr>
            <w:tcW w:w="886" w:type="pct"/>
            <w:tcBorders>
              <w:top w:val="nil"/>
              <w:left w:val="nil"/>
              <w:bottom w:val="single" w:sz="8" w:space="0" w:color="auto"/>
              <w:right w:val="single" w:sz="8" w:space="0" w:color="auto"/>
            </w:tcBorders>
            <w:shd w:val="clear" w:color="auto" w:fill="auto"/>
            <w:vAlign w:val="center"/>
            <w:hideMark/>
          </w:tcPr>
          <w:p w14:paraId="218984EE" w14:textId="55B1F65F"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Downy St. John</w:t>
            </w:r>
            <w:r w:rsidR="00165A8C">
              <w:rPr>
                <w:rFonts w:cs="Arial"/>
                <w:color w:val="000000"/>
                <w:sz w:val="18"/>
                <w:szCs w:val="18"/>
              </w:rPr>
              <w:t>’</w:t>
            </w:r>
            <w:r w:rsidRPr="00EE43C6">
              <w:rPr>
                <w:rFonts w:cs="Arial"/>
                <w:color w:val="000000"/>
                <w:sz w:val="18"/>
                <w:szCs w:val="18"/>
              </w:rPr>
              <w:t>s Wort</w:t>
            </w:r>
          </w:p>
        </w:tc>
        <w:tc>
          <w:tcPr>
            <w:tcW w:w="886" w:type="pct"/>
            <w:tcBorders>
              <w:top w:val="nil"/>
              <w:left w:val="nil"/>
              <w:bottom w:val="single" w:sz="8" w:space="0" w:color="auto"/>
              <w:right w:val="single" w:sz="8" w:space="0" w:color="auto"/>
            </w:tcBorders>
            <w:shd w:val="clear" w:color="auto" w:fill="auto"/>
            <w:vAlign w:val="center"/>
            <w:hideMark/>
          </w:tcPr>
          <w:p w14:paraId="33BD65B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3F413B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5A5457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70660AD1" w14:textId="77777777" w:rsidR="0072083E" w:rsidRPr="00EE43C6" w:rsidRDefault="0072083E" w:rsidP="00F60B11">
            <w:pPr>
              <w:spacing w:before="0" w:after="0" w:line="240" w:lineRule="auto"/>
              <w:rPr>
                <w:rFonts w:cs="Arial"/>
                <w:sz w:val="18"/>
                <w:szCs w:val="18"/>
              </w:rPr>
            </w:pPr>
          </w:p>
        </w:tc>
      </w:tr>
      <w:tr w:rsidR="0072083E" w:rsidRPr="00EE43C6" w14:paraId="0A4016F5"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6620F92"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iCs/>
                <w:color w:val="000000"/>
                <w:sz w:val="18"/>
                <w:szCs w:val="18"/>
              </w:rPr>
              <w:t>Hypolepidaceae</w:t>
            </w:r>
          </w:p>
        </w:tc>
        <w:tc>
          <w:tcPr>
            <w:tcW w:w="886" w:type="pct"/>
            <w:tcBorders>
              <w:top w:val="nil"/>
              <w:left w:val="nil"/>
              <w:bottom w:val="single" w:sz="8" w:space="0" w:color="auto"/>
              <w:right w:val="single" w:sz="8" w:space="0" w:color="auto"/>
            </w:tcBorders>
            <w:shd w:val="clear" w:color="auto" w:fill="auto"/>
            <w:vAlign w:val="center"/>
            <w:hideMark/>
          </w:tcPr>
          <w:p w14:paraId="4AFC115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331B3A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4C7173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4D18BB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35EAC2CE" w14:textId="77777777" w:rsidR="0072083E" w:rsidRPr="00EE43C6" w:rsidRDefault="0072083E" w:rsidP="00F60B11">
            <w:pPr>
              <w:spacing w:before="0" w:after="0" w:line="240" w:lineRule="auto"/>
              <w:rPr>
                <w:rFonts w:cs="Arial"/>
                <w:sz w:val="18"/>
                <w:szCs w:val="18"/>
              </w:rPr>
            </w:pPr>
          </w:p>
        </w:tc>
      </w:tr>
      <w:tr w:rsidR="0072083E" w:rsidRPr="00EE43C6" w14:paraId="0FAFCB0D"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7BD585E"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Pteridium aquilinum (L.) Kuhn</w:t>
            </w:r>
          </w:p>
        </w:tc>
        <w:tc>
          <w:tcPr>
            <w:tcW w:w="886" w:type="pct"/>
            <w:tcBorders>
              <w:top w:val="nil"/>
              <w:left w:val="nil"/>
              <w:bottom w:val="single" w:sz="8" w:space="0" w:color="auto"/>
              <w:right w:val="single" w:sz="8" w:space="0" w:color="auto"/>
            </w:tcBorders>
            <w:shd w:val="clear" w:color="auto" w:fill="auto"/>
            <w:vAlign w:val="center"/>
            <w:hideMark/>
          </w:tcPr>
          <w:p w14:paraId="15F4042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D5075F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2CA026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3ACB37C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127D1FE" w14:textId="77777777" w:rsidR="0072083E" w:rsidRPr="00EE43C6" w:rsidRDefault="0072083E" w:rsidP="00F60B11">
            <w:pPr>
              <w:spacing w:before="0" w:after="0" w:line="240" w:lineRule="auto"/>
              <w:rPr>
                <w:rFonts w:cs="Arial"/>
                <w:sz w:val="18"/>
                <w:szCs w:val="18"/>
              </w:rPr>
            </w:pPr>
          </w:p>
        </w:tc>
      </w:tr>
      <w:tr w:rsidR="0072083E" w:rsidRPr="00EE43C6" w14:paraId="6563052A"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60D7A07"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Lamiaceae</w:t>
            </w:r>
          </w:p>
        </w:tc>
        <w:tc>
          <w:tcPr>
            <w:tcW w:w="886" w:type="pct"/>
            <w:tcBorders>
              <w:top w:val="nil"/>
              <w:left w:val="nil"/>
              <w:bottom w:val="single" w:sz="8" w:space="0" w:color="auto"/>
              <w:right w:val="single" w:sz="8" w:space="0" w:color="auto"/>
            </w:tcBorders>
            <w:shd w:val="clear" w:color="auto" w:fill="auto"/>
            <w:vAlign w:val="center"/>
            <w:hideMark/>
          </w:tcPr>
          <w:p w14:paraId="2E0F433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A93A68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D6825F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F8552E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08CAC137" w14:textId="77777777" w:rsidR="0072083E" w:rsidRPr="00EE43C6" w:rsidRDefault="0072083E" w:rsidP="00F60B11">
            <w:pPr>
              <w:spacing w:before="0" w:after="0" w:line="240" w:lineRule="auto"/>
              <w:rPr>
                <w:rFonts w:cs="Arial"/>
                <w:sz w:val="18"/>
                <w:szCs w:val="18"/>
              </w:rPr>
            </w:pPr>
          </w:p>
        </w:tc>
      </w:tr>
      <w:tr w:rsidR="0072083E" w:rsidRPr="00EE43C6" w14:paraId="5BE0D1F9"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2CA003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Clinopodium vulgare L.subsp. vulgare</w:t>
            </w:r>
          </w:p>
        </w:tc>
        <w:tc>
          <w:tcPr>
            <w:tcW w:w="886" w:type="pct"/>
            <w:tcBorders>
              <w:top w:val="nil"/>
              <w:left w:val="nil"/>
              <w:bottom w:val="single" w:sz="8" w:space="0" w:color="auto"/>
              <w:right w:val="single" w:sz="8" w:space="0" w:color="auto"/>
            </w:tcBorders>
            <w:shd w:val="clear" w:color="auto" w:fill="auto"/>
            <w:vAlign w:val="center"/>
            <w:hideMark/>
          </w:tcPr>
          <w:p w14:paraId="3A76FD4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1E012B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C3BDD7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FABDAE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EFA8583" w14:textId="77777777" w:rsidR="0072083E" w:rsidRPr="00EE43C6" w:rsidRDefault="0072083E" w:rsidP="00F60B11">
            <w:pPr>
              <w:spacing w:before="0" w:after="0" w:line="240" w:lineRule="auto"/>
              <w:rPr>
                <w:rFonts w:cs="Arial"/>
                <w:sz w:val="18"/>
                <w:szCs w:val="18"/>
              </w:rPr>
            </w:pPr>
          </w:p>
        </w:tc>
      </w:tr>
      <w:tr w:rsidR="0072083E" w:rsidRPr="00EE43C6" w14:paraId="50978125"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AE42010"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Lamium garganicum L.</w:t>
            </w:r>
          </w:p>
        </w:tc>
        <w:tc>
          <w:tcPr>
            <w:tcW w:w="886" w:type="pct"/>
            <w:tcBorders>
              <w:top w:val="nil"/>
              <w:left w:val="nil"/>
              <w:bottom w:val="single" w:sz="8" w:space="0" w:color="auto"/>
              <w:right w:val="single" w:sz="8" w:space="0" w:color="auto"/>
            </w:tcBorders>
            <w:shd w:val="clear" w:color="auto" w:fill="auto"/>
            <w:vAlign w:val="center"/>
            <w:hideMark/>
          </w:tcPr>
          <w:p w14:paraId="7CAEE12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0058C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459B7F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0F315A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892BE34" w14:textId="77777777" w:rsidR="0072083E" w:rsidRPr="00EE43C6" w:rsidRDefault="0072083E" w:rsidP="00F60B11">
            <w:pPr>
              <w:spacing w:before="0" w:after="0" w:line="240" w:lineRule="auto"/>
              <w:rPr>
                <w:rFonts w:cs="Arial"/>
                <w:sz w:val="18"/>
                <w:szCs w:val="18"/>
              </w:rPr>
            </w:pPr>
          </w:p>
        </w:tc>
      </w:tr>
      <w:tr w:rsidR="0072083E" w:rsidRPr="00EE43C6" w14:paraId="5994FF92"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F424161"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Marrubium astracanicum</w:t>
            </w:r>
          </w:p>
        </w:tc>
        <w:tc>
          <w:tcPr>
            <w:tcW w:w="886" w:type="pct"/>
            <w:tcBorders>
              <w:top w:val="nil"/>
              <w:left w:val="nil"/>
              <w:bottom w:val="single" w:sz="8" w:space="0" w:color="auto"/>
              <w:right w:val="single" w:sz="8" w:space="0" w:color="auto"/>
            </w:tcBorders>
            <w:shd w:val="clear" w:color="auto" w:fill="auto"/>
            <w:vAlign w:val="center"/>
            <w:hideMark/>
          </w:tcPr>
          <w:p w14:paraId="0BD3176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C34C8B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005049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B8D4B0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6850EC9" w14:textId="77777777" w:rsidR="0072083E" w:rsidRPr="00EE43C6" w:rsidRDefault="0072083E" w:rsidP="00F60B11">
            <w:pPr>
              <w:spacing w:before="0" w:after="0" w:line="240" w:lineRule="auto"/>
              <w:rPr>
                <w:rFonts w:cs="Arial"/>
                <w:sz w:val="18"/>
                <w:szCs w:val="18"/>
              </w:rPr>
            </w:pPr>
          </w:p>
        </w:tc>
      </w:tr>
      <w:tr w:rsidR="0072083E" w:rsidRPr="00EE43C6" w14:paraId="7A88E70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41D79FA" w14:textId="5F55506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Marrubium </w:t>
            </w:r>
            <w:r w:rsidRPr="00EE43C6">
              <w:rPr>
                <w:rFonts w:cs="Arial"/>
                <w:i/>
                <w:color w:val="000000"/>
                <w:sz w:val="18"/>
                <w:szCs w:val="18"/>
              </w:rPr>
              <w:t xml:space="preserve">globosum subsp. </w:t>
            </w:r>
            <w:r w:rsidR="00165A8C" w:rsidRPr="00EE43C6">
              <w:rPr>
                <w:rFonts w:cs="Arial"/>
                <w:i/>
                <w:color w:val="000000"/>
                <w:sz w:val="18"/>
                <w:szCs w:val="18"/>
              </w:rPr>
              <w:t>G</w:t>
            </w:r>
            <w:r w:rsidRPr="00EE43C6">
              <w:rPr>
                <w:rFonts w:cs="Arial"/>
                <w:i/>
                <w:color w:val="000000"/>
                <w:sz w:val="18"/>
                <w:szCs w:val="18"/>
              </w:rPr>
              <w:t>lobosum</w:t>
            </w:r>
          </w:p>
        </w:tc>
        <w:tc>
          <w:tcPr>
            <w:tcW w:w="886" w:type="pct"/>
            <w:tcBorders>
              <w:top w:val="nil"/>
              <w:left w:val="nil"/>
              <w:bottom w:val="single" w:sz="8" w:space="0" w:color="auto"/>
              <w:right w:val="single" w:sz="8" w:space="0" w:color="auto"/>
            </w:tcBorders>
            <w:shd w:val="clear" w:color="auto" w:fill="auto"/>
            <w:vAlign w:val="center"/>
            <w:hideMark/>
          </w:tcPr>
          <w:p w14:paraId="39DD41E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8367C88" w14:textId="06890A50" w:rsidR="0072083E" w:rsidRPr="00EE43C6" w:rsidRDefault="005D51EA" w:rsidP="00F60B11">
            <w:pPr>
              <w:spacing w:before="0" w:after="0" w:line="240" w:lineRule="auto"/>
              <w:jc w:val="center"/>
              <w:rPr>
                <w:rFonts w:cs="Arial"/>
                <w:color w:val="000000"/>
                <w:sz w:val="18"/>
                <w:szCs w:val="18"/>
              </w:rPr>
            </w:pPr>
            <w:r w:rsidRPr="00EE43C6">
              <w:rPr>
                <w:rFonts w:eastAsia="Cambria" w:cs="MS Gothic"/>
                <w:color w:val="000000"/>
                <w:sz w:val="18"/>
                <w:szCs w:val="18"/>
              </w:rPr>
              <w:t>Endemic</w:t>
            </w:r>
          </w:p>
        </w:tc>
        <w:tc>
          <w:tcPr>
            <w:tcW w:w="886" w:type="pct"/>
            <w:tcBorders>
              <w:top w:val="nil"/>
              <w:left w:val="nil"/>
              <w:bottom w:val="single" w:sz="8" w:space="0" w:color="auto"/>
              <w:right w:val="single" w:sz="8" w:space="0" w:color="auto"/>
            </w:tcBorders>
            <w:shd w:val="clear" w:color="auto" w:fill="auto"/>
            <w:vAlign w:val="center"/>
            <w:hideMark/>
          </w:tcPr>
          <w:p w14:paraId="5D54550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074EF5D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7B39FC17" w14:textId="77777777" w:rsidR="0072083E" w:rsidRPr="00EE43C6" w:rsidRDefault="0072083E" w:rsidP="00F60B11">
            <w:pPr>
              <w:spacing w:before="0" w:after="0" w:line="240" w:lineRule="auto"/>
              <w:rPr>
                <w:rFonts w:cs="Arial"/>
                <w:sz w:val="18"/>
                <w:szCs w:val="18"/>
              </w:rPr>
            </w:pPr>
          </w:p>
        </w:tc>
      </w:tr>
      <w:tr w:rsidR="0072083E" w:rsidRPr="00EE43C6" w14:paraId="151CF0B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113EE4D"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Melissa officinalis L.subsp.inodora (Bornm.) Bornm.</w:t>
            </w:r>
          </w:p>
        </w:tc>
        <w:tc>
          <w:tcPr>
            <w:tcW w:w="886" w:type="pct"/>
            <w:tcBorders>
              <w:top w:val="nil"/>
              <w:left w:val="nil"/>
              <w:bottom w:val="single" w:sz="8" w:space="0" w:color="auto"/>
              <w:right w:val="single" w:sz="8" w:space="0" w:color="auto"/>
            </w:tcBorders>
            <w:shd w:val="clear" w:color="auto" w:fill="auto"/>
            <w:vAlign w:val="center"/>
            <w:hideMark/>
          </w:tcPr>
          <w:p w14:paraId="24A9FC6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845D69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A451A8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818243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132CE31" w14:textId="77777777" w:rsidR="0072083E" w:rsidRPr="00EE43C6" w:rsidRDefault="0072083E" w:rsidP="00F60B11">
            <w:pPr>
              <w:spacing w:before="0" w:after="0" w:line="240" w:lineRule="auto"/>
              <w:rPr>
                <w:rFonts w:cs="Arial"/>
                <w:sz w:val="18"/>
                <w:szCs w:val="18"/>
              </w:rPr>
            </w:pPr>
          </w:p>
        </w:tc>
      </w:tr>
      <w:tr w:rsidR="0072083E" w:rsidRPr="00EE43C6" w14:paraId="012E6786"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24B57D4" w14:textId="2DF7025F"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Mentha longifolia (L.) Hudson subsp. </w:t>
            </w:r>
            <w:r w:rsidR="00165A8C" w:rsidRPr="00EE43C6">
              <w:rPr>
                <w:rFonts w:cs="Arial"/>
                <w:i/>
                <w:iCs/>
                <w:color w:val="000000"/>
                <w:sz w:val="18"/>
                <w:szCs w:val="18"/>
              </w:rPr>
              <w:t>T</w:t>
            </w:r>
            <w:r w:rsidRPr="00EE43C6">
              <w:rPr>
                <w:rFonts w:cs="Arial"/>
                <w:i/>
                <w:iCs/>
                <w:color w:val="000000"/>
                <w:sz w:val="18"/>
                <w:szCs w:val="18"/>
              </w:rPr>
              <w:t xml:space="preserve">yphoides (Briq.) Harley var. typhoides </w:t>
            </w:r>
          </w:p>
        </w:tc>
        <w:tc>
          <w:tcPr>
            <w:tcW w:w="886" w:type="pct"/>
            <w:tcBorders>
              <w:top w:val="nil"/>
              <w:left w:val="nil"/>
              <w:bottom w:val="single" w:sz="8" w:space="0" w:color="auto"/>
              <w:right w:val="single" w:sz="8" w:space="0" w:color="auto"/>
            </w:tcBorders>
            <w:shd w:val="clear" w:color="auto" w:fill="auto"/>
            <w:vAlign w:val="center"/>
            <w:hideMark/>
          </w:tcPr>
          <w:p w14:paraId="6F75199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A63DFE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49196E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058059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BDB8FF5" w14:textId="77777777" w:rsidR="0072083E" w:rsidRPr="00EE43C6" w:rsidRDefault="0072083E" w:rsidP="00F60B11">
            <w:pPr>
              <w:spacing w:before="0" w:after="0" w:line="240" w:lineRule="auto"/>
              <w:rPr>
                <w:rFonts w:cs="Arial"/>
                <w:sz w:val="18"/>
                <w:szCs w:val="18"/>
              </w:rPr>
            </w:pPr>
          </w:p>
        </w:tc>
      </w:tr>
      <w:tr w:rsidR="0072083E" w:rsidRPr="00EE43C6" w14:paraId="7FADB788"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C463806"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Micromeria myrtifolia Boiss. &amp;Hohen</w:t>
            </w:r>
          </w:p>
        </w:tc>
        <w:tc>
          <w:tcPr>
            <w:tcW w:w="886" w:type="pct"/>
            <w:tcBorders>
              <w:top w:val="nil"/>
              <w:left w:val="nil"/>
              <w:bottom w:val="single" w:sz="8" w:space="0" w:color="auto"/>
              <w:right w:val="single" w:sz="8" w:space="0" w:color="auto"/>
            </w:tcBorders>
            <w:shd w:val="clear" w:color="auto" w:fill="auto"/>
            <w:vAlign w:val="center"/>
            <w:hideMark/>
          </w:tcPr>
          <w:p w14:paraId="5CE02EC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702DC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D99648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0B1F66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76463D61" w14:textId="77777777" w:rsidR="0072083E" w:rsidRPr="00EE43C6" w:rsidRDefault="0072083E" w:rsidP="00F60B11">
            <w:pPr>
              <w:spacing w:before="0" w:after="0" w:line="240" w:lineRule="auto"/>
              <w:rPr>
                <w:rFonts w:cs="Arial"/>
                <w:sz w:val="18"/>
                <w:szCs w:val="18"/>
              </w:rPr>
            </w:pPr>
          </w:p>
        </w:tc>
      </w:tr>
      <w:tr w:rsidR="0072083E" w:rsidRPr="00EE43C6" w14:paraId="78FE41E9"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666E201"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Salvia verticllata L.subsp. amasiaca ( freyn &amp; Bornm.) Bornm.</w:t>
            </w:r>
          </w:p>
        </w:tc>
        <w:tc>
          <w:tcPr>
            <w:tcW w:w="886" w:type="pct"/>
            <w:tcBorders>
              <w:top w:val="nil"/>
              <w:left w:val="nil"/>
              <w:bottom w:val="single" w:sz="8" w:space="0" w:color="auto"/>
              <w:right w:val="single" w:sz="8" w:space="0" w:color="auto"/>
            </w:tcBorders>
            <w:shd w:val="clear" w:color="auto" w:fill="auto"/>
            <w:vAlign w:val="center"/>
            <w:hideMark/>
          </w:tcPr>
          <w:p w14:paraId="73F9151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5AB975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2DA634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F1FD09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62913DD7" w14:textId="77777777" w:rsidR="0072083E" w:rsidRPr="00EE43C6" w:rsidRDefault="0072083E" w:rsidP="00F60B11">
            <w:pPr>
              <w:spacing w:before="0" w:after="0" w:line="240" w:lineRule="auto"/>
              <w:rPr>
                <w:rFonts w:cs="Arial"/>
                <w:sz w:val="18"/>
                <w:szCs w:val="18"/>
              </w:rPr>
            </w:pPr>
          </w:p>
        </w:tc>
      </w:tr>
      <w:tr w:rsidR="0072083E" w:rsidRPr="00EE43C6" w14:paraId="715A2FE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D337B8F"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Salvia virgata L.</w:t>
            </w:r>
          </w:p>
        </w:tc>
        <w:tc>
          <w:tcPr>
            <w:tcW w:w="886" w:type="pct"/>
            <w:tcBorders>
              <w:top w:val="nil"/>
              <w:left w:val="nil"/>
              <w:bottom w:val="single" w:sz="8" w:space="0" w:color="auto"/>
              <w:right w:val="single" w:sz="8" w:space="0" w:color="auto"/>
            </w:tcBorders>
            <w:shd w:val="clear" w:color="auto" w:fill="auto"/>
            <w:vAlign w:val="center"/>
            <w:hideMark/>
          </w:tcPr>
          <w:p w14:paraId="4B17F6C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Wand Sage</w:t>
            </w:r>
          </w:p>
        </w:tc>
        <w:tc>
          <w:tcPr>
            <w:tcW w:w="886" w:type="pct"/>
            <w:tcBorders>
              <w:top w:val="nil"/>
              <w:left w:val="nil"/>
              <w:bottom w:val="single" w:sz="8" w:space="0" w:color="auto"/>
              <w:right w:val="single" w:sz="8" w:space="0" w:color="auto"/>
            </w:tcBorders>
            <w:shd w:val="clear" w:color="auto" w:fill="auto"/>
            <w:vAlign w:val="center"/>
            <w:hideMark/>
          </w:tcPr>
          <w:p w14:paraId="7163750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F8E737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6F0DD9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4172EF7C" w14:textId="77777777" w:rsidR="0072083E" w:rsidRPr="00EE43C6" w:rsidRDefault="0072083E" w:rsidP="00F60B11">
            <w:pPr>
              <w:spacing w:before="0" w:after="0" w:line="240" w:lineRule="auto"/>
              <w:rPr>
                <w:rFonts w:cs="Arial"/>
                <w:sz w:val="18"/>
                <w:szCs w:val="18"/>
              </w:rPr>
            </w:pPr>
          </w:p>
        </w:tc>
      </w:tr>
      <w:tr w:rsidR="0072083E" w:rsidRPr="00EE43C6" w14:paraId="6D8D742F"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BEC922D"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Teucrium chamaedrys L.</w:t>
            </w:r>
          </w:p>
        </w:tc>
        <w:tc>
          <w:tcPr>
            <w:tcW w:w="886" w:type="pct"/>
            <w:tcBorders>
              <w:top w:val="nil"/>
              <w:left w:val="nil"/>
              <w:bottom w:val="single" w:sz="8" w:space="0" w:color="auto"/>
              <w:right w:val="single" w:sz="8" w:space="0" w:color="auto"/>
            </w:tcBorders>
            <w:shd w:val="clear" w:color="auto" w:fill="auto"/>
            <w:vAlign w:val="center"/>
            <w:hideMark/>
          </w:tcPr>
          <w:p w14:paraId="2DB0997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Wall Germander</w:t>
            </w:r>
          </w:p>
        </w:tc>
        <w:tc>
          <w:tcPr>
            <w:tcW w:w="886" w:type="pct"/>
            <w:tcBorders>
              <w:top w:val="nil"/>
              <w:left w:val="nil"/>
              <w:bottom w:val="single" w:sz="8" w:space="0" w:color="auto"/>
              <w:right w:val="single" w:sz="8" w:space="0" w:color="auto"/>
            </w:tcBorders>
            <w:shd w:val="clear" w:color="auto" w:fill="auto"/>
            <w:vAlign w:val="center"/>
            <w:hideMark/>
          </w:tcPr>
          <w:p w14:paraId="6AFD6C1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729593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28518F1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5BEB50F3" w14:textId="77777777" w:rsidR="0072083E" w:rsidRPr="00EE43C6" w:rsidRDefault="0072083E" w:rsidP="00F60B11">
            <w:pPr>
              <w:spacing w:before="0" w:after="0" w:line="240" w:lineRule="auto"/>
              <w:rPr>
                <w:rFonts w:cs="Arial"/>
                <w:sz w:val="18"/>
                <w:szCs w:val="18"/>
              </w:rPr>
            </w:pPr>
          </w:p>
        </w:tc>
      </w:tr>
      <w:tr w:rsidR="0072083E" w:rsidRPr="00EE43C6" w14:paraId="5F7EF6D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6AF1D3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Teucrium kotschyanum Poech</w:t>
            </w:r>
          </w:p>
        </w:tc>
        <w:tc>
          <w:tcPr>
            <w:tcW w:w="886" w:type="pct"/>
            <w:tcBorders>
              <w:top w:val="nil"/>
              <w:left w:val="nil"/>
              <w:bottom w:val="single" w:sz="8" w:space="0" w:color="auto"/>
              <w:right w:val="single" w:sz="8" w:space="0" w:color="auto"/>
            </w:tcBorders>
            <w:shd w:val="clear" w:color="auto" w:fill="auto"/>
            <w:vAlign w:val="center"/>
            <w:hideMark/>
          </w:tcPr>
          <w:p w14:paraId="6700C7C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3FD26B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1C2F2E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EED592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2819006" w14:textId="77777777" w:rsidR="0072083E" w:rsidRPr="00EE43C6" w:rsidRDefault="0072083E" w:rsidP="00F60B11">
            <w:pPr>
              <w:spacing w:before="0" w:after="0" w:line="240" w:lineRule="auto"/>
              <w:rPr>
                <w:rFonts w:cs="Arial"/>
                <w:sz w:val="18"/>
                <w:szCs w:val="18"/>
              </w:rPr>
            </w:pPr>
          </w:p>
        </w:tc>
      </w:tr>
      <w:tr w:rsidR="0072083E" w:rsidRPr="00EE43C6" w14:paraId="3040D265"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4D08CF2"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Teucrium polium L.</w:t>
            </w:r>
          </w:p>
        </w:tc>
        <w:tc>
          <w:tcPr>
            <w:tcW w:w="886" w:type="pct"/>
            <w:tcBorders>
              <w:top w:val="nil"/>
              <w:left w:val="nil"/>
              <w:bottom w:val="single" w:sz="8" w:space="0" w:color="auto"/>
              <w:right w:val="single" w:sz="8" w:space="0" w:color="auto"/>
            </w:tcBorders>
            <w:shd w:val="clear" w:color="auto" w:fill="auto"/>
            <w:vAlign w:val="center"/>
            <w:hideMark/>
          </w:tcPr>
          <w:p w14:paraId="6FBBD68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Felty Germander</w:t>
            </w:r>
          </w:p>
        </w:tc>
        <w:tc>
          <w:tcPr>
            <w:tcW w:w="886" w:type="pct"/>
            <w:tcBorders>
              <w:top w:val="nil"/>
              <w:left w:val="nil"/>
              <w:bottom w:val="single" w:sz="8" w:space="0" w:color="auto"/>
              <w:right w:val="single" w:sz="8" w:space="0" w:color="auto"/>
            </w:tcBorders>
            <w:shd w:val="clear" w:color="auto" w:fill="auto"/>
            <w:vAlign w:val="center"/>
            <w:hideMark/>
          </w:tcPr>
          <w:p w14:paraId="14222F9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E87B9C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7EFA51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7F9C74FC" w14:textId="77777777" w:rsidR="0072083E" w:rsidRPr="00EE43C6" w:rsidRDefault="0072083E" w:rsidP="00F60B11">
            <w:pPr>
              <w:spacing w:before="0" w:after="0" w:line="240" w:lineRule="auto"/>
              <w:rPr>
                <w:rFonts w:cs="Arial"/>
                <w:sz w:val="18"/>
                <w:szCs w:val="18"/>
              </w:rPr>
            </w:pPr>
          </w:p>
        </w:tc>
      </w:tr>
      <w:tr w:rsidR="0072083E" w:rsidRPr="00EE43C6" w14:paraId="5C7D6D8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1D4476E"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Liliaceae</w:t>
            </w:r>
          </w:p>
        </w:tc>
        <w:tc>
          <w:tcPr>
            <w:tcW w:w="886" w:type="pct"/>
            <w:tcBorders>
              <w:top w:val="nil"/>
              <w:left w:val="nil"/>
              <w:bottom w:val="single" w:sz="8" w:space="0" w:color="auto"/>
              <w:right w:val="single" w:sz="8" w:space="0" w:color="auto"/>
            </w:tcBorders>
            <w:shd w:val="clear" w:color="auto" w:fill="auto"/>
            <w:vAlign w:val="center"/>
            <w:hideMark/>
          </w:tcPr>
          <w:p w14:paraId="07C51F8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0574C5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0189EB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B8CB42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0FE843CB" w14:textId="77777777" w:rsidR="0072083E" w:rsidRPr="00EE43C6" w:rsidRDefault="0072083E" w:rsidP="00F60B11">
            <w:pPr>
              <w:spacing w:before="0" w:after="0" w:line="240" w:lineRule="auto"/>
              <w:rPr>
                <w:rFonts w:cs="Arial"/>
                <w:sz w:val="18"/>
                <w:szCs w:val="18"/>
              </w:rPr>
            </w:pPr>
          </w:p>
        </w:tc>
      </w:tr>
      <w:tr w:rsidR="0072083E" w:rsidRPr="00EE43C6" w14:paraId="621C1C00"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2DFC961"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Eremurus </w:t>
            </w:r>
            <w:r w:rsidRPr="00EE43C6">
              <w:rPr>
                <w:rFonts w:cs="Arial"/>
                <w:i/>
                <w:color w:val="000000"/>
                <w:sz w:val="18"/>
                <w:szCs w:val="18"/>
              </w:rPr>
              <w:t xml:space="preserve">spectabilis </w:t>
            </w:r>
            <w:r w:rsidRPr="00EE43C6">
              <w:rPr>
                <w:rFonts w:cs="Arial"/>
                <w:color w:val="000000"/>
                <w:sz w:val="18"/>
                <w:szCs w:val="18"/>
              </w:rPr>
              <w:t>BIEB.</w:t>
            </w:r>
          </w:p>
        </w:tc>
        <w:tc>
          <w:tcPr>
            <w:tcW w:w="886" w:type="pct"/>
            <w:tcBorders>
              <w:top w:val="nil"/>
              <w:left w:val="nil"/>
              <w:bottom w:val="single" w:sz="8" w:space="0" w:color="auto"/>
              <w:right w:val="single" w:sz="8" w:space="0" w:color="auto"/>
            </w:tcBorders>
            <w:shd w:val="clear" w:color="auto" w:fill="auto"/>
            <w:vAlign w:val="center"/>
            <w:hideMark/>
          </w:tcPr>
          <w:p w14:paraId="6E3D794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Foxtail Lily</w:t>
            </w:r>
          </w:p>
        </w:tc>
        <w:tc>
          <w:tcPr>
            <w:tcW w:w="886" w:type="pct"/>
            <w:tcBorders>
              <w:top w:val="nil"/>
              <w:left w:val="nil"/>
              <w:bottom w:val="single" w:sz="8" w:space="0" w:color="auto"/>
              <w:right w:val="single" w:sz="8" w:space="0" w:color="auto"/>
            </w:tcBorders>
            <w:shd w:val="clear" w:color="auto" w:fill="auto"/>
            <w:vAlign w:val="center"/>
            <w:hideMark/>
          </w:tcPr>
          <w:p w14:paraId="4763BB3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8112B6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5BBF2A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3657D1E5" w14:textId="77777777" w:rsidR="0072083E" w:rsidRPr="00EE43C6" w:rsidRDefault="0072083E" w:rsidP="00F60B11">
            <w:pPr>
              <w:spacing w:before="0" w:after="0" w:line="240" w:lineRule="auto"/>
              <w:rPr>
                <w:rFonts w:cs="Arial"/>
                <w:sz w:val="18"/>
                <w:szCs w:val="18"/>
              </w:rPr>
            </w:pPr>
          </w:p>
        </w:tc>
      </w:tr>
      <w:tr w:rsidR="0072083E" w:rsidRPr="00EE43C6" w14:paraId="752919B9"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B6B15B9"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Gagea bohemica (Zauschn.) Schultes &amp; Schultes fil.</w:t>
            </w:r>
          </w:p>
        </w:tc>
        <w:tc>
          <w:tcPr>
            <w:tcW w:w="886" w:type="pct"/>
            <w:tcBorders>
              <w:top w:val="nil"/>
              <w:left w:val="nil"/>
              <w:bottom w:val="single" w:sz="8" w:space="0" w:color="auto"/>
              <w:right w:val="single" w:sz="8" w:space="0" w:color="auto"/>
            </w:tcBorders>
            <w:shd w:val="clear" w:color="auto" w:fill="auto"/>
            <w:vAlign w:val="center"/>
            <w:hideMark/>
          </w:tcPr>
          <w:p w14:paraId="062D3F5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Peruzzi’s Gagea</w:t>
            </w:r>
          </w:p>
        </w:tc>
        <w:tc>
          <w:tcPr>
            <w:tcW w:w="886" w:type="pct"/>
            <w:tcBorders>
              <w:top w:val="nil"/>
              <w:left w:val="nil"/>
              <w:bottom w:val="single" w:sz="8" w:space="0" w:color="auto"/>
              <w:right w:val="single" w:sz="8" w:space="0" w:color="auto"/>
            </w:tcBorders>
            <w:shd w:val="clear" w:color="auto" w:fill="auto"/>
            <w:vAlign w:val="center"/>
            <w:hideMark/>
          </w:tcPr>
          <w:p w14:paraId="10E48EA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B417B8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0A2CC23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7224499E" w14:textId="77777777" w:rsidR="0072083E" w:rsidRPr="00EE43C6" w:rsidRDefault="0072083E" w:rsidP="00F60B11">
            <w:pPr>
              <w:spacing w:before="0" w:after="0" w:line="240" w:lineRule="auto"/>
              <w:rPr>
                <w:rFonts w:cs="Arial"/>
                <w:sz w:val="18"/>
                <w:szCs w:val="18"/>
              </w:rPr>
            </w:pPr>
          </w:p>
        </w:tc>
      </w:tr>
      <w:tr w:rsidR="0072083E" w:rsidRPr="00EE43C6" w14:paraId="15AE3B0A"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4CCBAA1"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Muscari armeniacum Leichtlin ex Baker</w:t>
            </w:r>
          </w:p>
        </w:tc>
        <w:tc>
          <w:tcPr>
            <w:tcW w:w="886" w:type="pct"/>
            <w:tcBorders>
              <w:top w:val="nil"/>
              <w:left w:val="nil"/>
              <w:bottom w:val="single" w:sz="8" w:space="0" w:color="auto"/>
              <w:right w:val="single" w:sz="8" w:space="0" w:color="auto"/>
            </w:tcBorders>
            <w:shd w:val="clear" w:color="auto" w:fill="auto"/>
            <w:vAlign w:val="center"/>
            <w:hideMark/>
          </w:tcPr>
          <w:p w14:paraId="7D20860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3C2CF0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38E002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9A907F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4A2D410" w14:textId="77777777" w:rsidR="0072083E" w:rsidRPr="00EE43C6" w:rsidRDefault="0072083E" w:rsidP="00F60B11">
            <w:pPr>
              <w:spacing w:before="0" w:after="0" w:line="240" w:lineRule="auto"/>
              <w:rPr>
                <w:rFonts w:cs="Arial"/>
                <w:sz w:val="18"/>
                <w:szCs w:val="18"/>
              </w:rPr>
            </w:pPr>
          </w:p>
        </w:tc>
      </w:tr>
      <w:tr w:rsidR="0072083E" w:rsidRPr="00EE43C6" w14:paraId="46040D3F"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81B9E36"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Muscari comosum (L.) Miller</w:t>
            </w:r>
          </w:p>
        </w:tc>
        <w:tc>
          <w:tcPr>
            <w:tcW w:w="886" w:type="pct"/>
            <w:tcBorders>
              <w:top w:val="nil"/>
              <w:left w:val="nil"/>
              <w:bottom w:val="single" w:sz="8" w:space="0" w:color="auto"/>
              <w:right w:val="single" w:sz="8" w:space="0" w:color="auto"/>
            </w:tcBorders>
            <w:shd w:val="clear" w:color="auto" w:fill="auto"/>
            <w:vAlign w:val="center"/>
            <w:hideMark/>
          </w:tcPr>
          <w:p w14:paraId="3691649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2CBFE8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6F0FB9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5F12C5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504018CB" w14:textId="77777777" w:rsidR="0072083E" w:rsidRPr="00EE43C6" w:rsidRDefault="0072083E" w:rsidP="00F60B11">
            <w:pPr>
              <w:spacing w:before="0" w:after="0" w:line="240" w:lineRule="auto"/>
              <w:rPr>
                <w:rFonts w:cs="Arial"/>
                <w:sz w:val="18"/>
                <w:szCs w:val="18"/>
              </w:rPr>
            </w:pPr>
          </w:p>
        </w:tc>
      </w:tr>
      <w:tr w:rsidR="0072083E" w:rsidRPr="00EE43C6" w14:paraId="6C5171A3"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47CFA23"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Ruscus aculeatus L. var.angustifolius Boiss.</w:t>
            </w:r>
          </w:p>
        </w:tc>
        <w:tc>
          <w:tcPr>
            <w:tcW w:w="886" w:type="pct"/>
            <w:tcBorders>
              <w:top w:val="nil"/>
              <w:left w:val="nil"/>
              <w:bottom w:val="single" w:sz="8" w:space="0" w:color="auto"/>
              <w:right w:val="single" w:sz="8" w:space="0" w:color="auto"/>
            </w:tcBorders>
            <w:shd w:val="clear" w:color="auto" w:fill="auto"/>
            <w:vAlign w:val="center"/>
            <w:hideMark/>
          </w:tcPr>
          <w:p w14:paraId="6994D8C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E4DD9E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BAD844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AB8805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31F8C2E" w14:textId="77777777" w:rsidR="0072083E" w:rsidRPr="00EE43C6" w:rsidRDefault="0072083E" w:rsidP="00F60B11">
            <w:pPr>
              <w:spacing w:before="0" w:after="0" w:line="240" w:lineRule="auto"/>
              <w:rPr>
                <w:rFonts w:cs="Arial"/>
                <w:sz w:val="18"/>
                <w:szCs w:val="18"/>
              </w:rPr>
            </w:pPr>
          </w:p>
        </w:tc>
      </w:tr>
      <w:tr w:rsidR="0072083E" w:rsidRPr="00EE43C6" w14:paraId="5105AD9F"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B816B83"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Scilla autumnalis </w:t>
            </w:r>
            <w:r w:rsidRPr="00EE43C6">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7F063D5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Autumn Squill</w:t>
            </w:r>
          </w:p>
        </w:tc>
        <w:tc>
          <w:tcPr>
            <w:tcW w:w="886" w:type="pct"/>
            <w:tcBorders>
              <w:top w:val="nil"/>
              <w:left w:val="nil"/>
              <w:bottom w:val="single" w:sz="8" w:space="0" w:color="auto"/>
              <w:right w:val="single" w:sz="8" w:space="0" w:color="auto"/>
            </w:tcBorders>
            <w:shd w:val="clear" w:color="auto" w:fill="auto"/>
            <w:vAlign w:val="center"/>
            <w:hideMark/>
          </w:tcPr>
          <w:p w14:paraId="2D6CB1D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DEE45D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8F920D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86CCD1E" w14:textId="77777777" w:rsidR="0072083E" w:rsidRPr="00EE43C6" w:rsidRDefault="0072083E" w:rsidP="00F60B11">
            <w:pPr>
              <w:spacing w:before="0" w:after="0" w:line="240" w:lineRule="auto"/>
              <w:rPr>
                <w:rFonts w:cs="Arial"/>
                <w:sz w:val="18"/>
                <w:szCs w:val="18"/>
              </w:rPr>
            </w:pPr>
          </w:p>
        </w:tc>
      </w:tr>
      <w:tr w:rsidR="0072083E" w:rsidRPr="00EE43C6" w14:paraId="096969BD"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1E28FAA"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iCs/>
                <w:color w:val="000000"/>
                <w:sz w:val="18"/>
                <w:szCs w:val="18"/>
              </w:rPr>
              <w:t>Myrtaceae</w:t>
            </w:r>
          </w:p>
        </w:tc>
        <w:tc>
          <w:tcPr>
            <w:tcW w:w="886" w:type="pct"/>
            <w:tcBorders>
              <w:top w:val="nil"/>
              <w:left w:val="nil"/>
              <w:bottom w:val="single" w:sz="8" w:space="0" w:color="auto"/>
              <w:right w:val="single" w:sz="8" w:space="0" w:color="auto"/>
            </w:tcBorders>
            <w:shd w:val="clear" w:color="auto" w:fill="auto"/>
            <w:vAlign w:val="center"/>
            <w:hideMark/>
          </w:tcPr>
          <w:p w14:paraId="4BAE63F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C3DFA8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0C2152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0B1F42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25F02934" w14:textId="77777777" w:rsidR="0072083E" w:rsidRPr="00EE43C6" w:rsidRDefault="0072083E" w:rsidP="00F60B11">
            <w:pPr>
              <w:spacing w:before="0" w:after="0" w:line="240" w:lineRule="auto"/>
              <w:rPr>
                <w:rFonts w:cs="Arial"/>
                <w:sz w:val="18"/>
                <w:szCs w:val="18"/>
              </w:rPr>
            </w:pPr>
          </w:p>
        </w:tc>
      </w:tr>
      <w:tr w:rsidR="0072083E" w:rsidRPr="00EE43C6" w14:paraId="4E73C094"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C0A33D4"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Myrtus communis L.</w:t>
            </w:r>
          </w:p>
        </w:tc>
        <w:tc>
          <w:tcPr>
            <w:tcW w:w="886" w:type="pct"/>
            <w:tcBorders>
              <w:top w:val="nil"/>
              <w:left w:val="nil"/>
              <w:bottom w:val="single" w:sz="8" w:space="0" w:color="auto"/>
              <w:right w:val="single" w:sz="8" w:space="0" w:color="auto"/>
            </w:tcBorders>
            <w:shd w:val="clear" w:color="auto" w:fill="auto"/>
            <w:vAlign w:val="center"/>
            <w:hideMark/>
          </w:tcPr>
          <w:p w14:paraId="1E73206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Myrtle</w:t>
            </w:r>
          </w:p>
        </w:tc>
        <w:tc>
          <w:tcPr>
            <w:tcW w:w="886" w:type="pct"/>
            <w:tcBorders>
              <w:top w:val="nil"/>
              <w:left w:val="nil"/>
              <w:bottom w:val="single" w:sz="8" w:space="0" w:color="auto"/>
              <w:right w:val="single" w:sz="8" w:space="0" w:color="auto"/>
            </w:tcBorders>
            <w:shd w:val="clear" w:color="auto" w:fill="auto"/>
            <w:vAlign w:val="center"/>
            <w:hideMark/>
          </w:tcPr>
          <w:p w14:paraId="41AE3DA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480C2C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6ABE321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D93E98E" w14:textId="77777777" w:rsidR="0072083E" w:rsidRPr="00EE43C6" w:rsidRDefault="0072083E" w:rsidP="00F60B11">
            <w:pPr>
              <w:spacing w:before="0" w:after="0" w:line="240" w:lineRule="auto"/>
              <w:rPr>
                <w:rFonts w:cs="Arial"/>
                <w:sz w:val="18"/>
                <w:szCs w:val="18"/>
              </w:rPr>
            </w:pPr>
          </w:p>
        </w:tc>
      </w:tr>
      <w:tr w:rsidR="0072083E" w:rsidRPr="00EE43C6" w14:paraId="45465183"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9AFDF5B"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iCs/>
                <w:color w:val="000000"/>
                <w:sz w:val="18"/>
                <w:szCs w:val="18"/>
              </w:rPr>
              <w:t>Onagraceae</w:t>
            </w:r>
          </w:p>
        </w:tc>
        <w:tc>
          <w:tcPr>
            <w:tcW w:w="886" w:type="pct"/>
            <w:tcBorders>
              <w:top w:val="nil"/>
              <w:left w:val="nil"/>
              <w:bottom w:val="single" w:sz="8" w:space="0" w:color="auto"/>
              <w:right w:val="single" w:sz="8" w:space="0" w:color="auto"/>
            </w:tcBorders>
            <w:shd w:val="clear" w:color="auto" w:fill="auto"/>
            <w:vAlign w:val="center"/>
            <w:hideMark/>
          </w:tcPr>
          <w:p w14:paraId="7B188DF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80BD3E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8CD8A0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036110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35382092" w14:textId="77777777" w:rsidR="0072083E" w:rsidRPr="00EE43C6" w:rsidRDefault="0072083E" w:rsidP="00F60B11">
            <w:pPr>
              <w:spacing w:before="0" w:after="0" w:line="240" w:lineRule="auto"/>
              <w:rPr>
                <w:rFonts w:cs="Arial"/>
                <w:sz w:val="18"/>
                <w:szCs w:val="18"/>
              </w:rPr>
            </w:pPr>
          </w:p>
        </w:tc>
      </w:tr>
      <w:tr w:rsidR="0072083E" w:rsidRPr="00EE43C6" w14:paraId="6129BF21"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5B1F9F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Epilobium parviflorum Schreber</w:t>
            </w:r>
          </w:p>
        </w:tc>
        <w:tc>
          <w:tcPr>
            <w:tcW w:w="886" w:type="pct"/>
            <w:tcBorders>
              <w:top w:val="nil"/>
              <w:left w:val="nil"/>
              <w:bottom w:val="single" w:sz="8" w:space="0" w:color="auto"/>
              <w:right w:val="single" w:sz="8" w:space="0" w:color="auto"/>
            </w:tcBorders>
            <w:shd w:val="clear" w:color="auto" w:fill="auto"/>
            <w:vAlign w:val="center"/>
            <w:hideMark/>
          </w:tcPr>
          <w:p w14:paraId="07CF376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Hoary Willowherb</w:t>
            </w:r>
          </w:p>
        </w:tc>
        <w:tc>
          <w:tcPr>
            <w:tcW w:w="886" w:type="pct"/>
            <w:tcBorders>
              <w:top w:val="nil"/>
              <w:left w:val="nil"/>
              <w:bottom w:val="single" w:sz="8" w:space="0" w:color="auto"/>
              <w:right w:val="single" w:sz="8" w:space="0" w:color="auto"/>
            </w:tcBorders>
            <w:shd w:val="clear" w:color="auto" w:fill="auto"/>
            <w:vAlign w:val="center"/>
            <w:hideMark/>
          </w:tcPr>
          <w:p w14:paraId="338C0BA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EA8053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2EDC2ED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4FFE12F2" w14:textId="77777777" w:rsidR="0072083E" w:rsidRPr="00EE43C6" w:rsidRDefault="0072083E" w:rsidP="00F60B11">
            <w:pPr>
              <w:spacing w:before="0" w:after="0" w:line="240" w:lineRule="auto"/>
              <w:rPr>
                <w:rFonts w:cs="Arial"/>
                <w:sz w:val="18"/>
                <w:szCs w:val="18"/>
              </w:rPr>
            </w:pPr>
          </w:p>
        </w:tc>
      </w:tr>
      <w:tr w:rsidR="0072083E" w:rsidRPr="00EE43C6" w14:paraId="71BA3F3E"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9964070"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Oleaceae</w:t>
            </w:r>
          </w:p>
        </w:tc>
        <w:tc>
          <w:tcPr>
            <w:tcW w:w="886" w:type="pct"/>
            <w:tcBorders>
              <w:top w:val="nil"/>
              <w:left w:val="nil"/>
              <w:bottom w:val="single" w:sz="8" w:space="0" w:color="auto"/>
              <w:right w:val="single" w:sz="8" w:space="0" w:color="auto"/>
            </w:tcBorders>
            <w:shd w:val="clear" w:color="auto" w:fill="auto"/>
            <w:vAlign w:val="center"/>
            <w:hideMark/>
          </w:tcPr>
          <w:p w14:paraId="3432CE4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C2109A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A7B656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AED897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75C06A48" w14:textId="77777777" w:rsidR="0072083E" w:rsidRPr="00EE43C6" w:rsidRDefault="0072083E" w:rsidP="00F60B11">
            <w:pPr>
              <w:spacing w:before="0" w:after="0" w:line="240" w:lineRule="auto"/>
              <w:rPr>
                <w:rFonts w:cs="Arial"/>
                <w:sz w:val="18"/>
                <w:szCs w:val="18"/>
              </w:rPr>
            </w:pPr>
          </w:p>
        </w:tc>
      </w:tr>
      <w:tr w:rsidR="0072083E" w:rsidRPr="00EE43C6" w14:paraId="0E77E252"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1192DB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Phyllyrea latifolia L</w:t>
            </w:r>
          </w:p>
        </w:tc>
        <w:tc>
          <w:tcPr>
            <w:tcW w:w="886" w:type="pct"/>
            <w:tcBorders>
              <w:top w:val="nil"/>
              <w:left w:val="nil"/>
              <w:bottom w:val="single" w:sz="8" w:space="0" w:color="auto"/>
              <w:right w:val="single" w:sz="8" w:space="0" w:color="auto"/>
            </w:tcBorders>
            <w:shd w:val="clear" w:color="auto" w:fill="auto"/>
            <w:vAlign w:val="center"/>
            <w:hideMark/>
          </w:tcPr>
          <w:p w14:paraId="0DFC0A5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924A5C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DF8DA2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ED4C9C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044CB993" w14:textId="77777777" w:rsidR="0072083E" w:rsidRPr="00EE43C6" w:rsidRDefault="0072083E" w:rsidP="00F60B11">
            <w:pPr>
              <w:spacing w:before="0" w:after="0" w:line="240" w:lineRule="auto"/>
              <w:rPr>
                <w:rFonts w:cs="Arial"/>
                <w:sz w:val="18"/>
                <w:szCs w:val="18"/>
              </w:rPr>
            </w:pPr>
          </w:p>
        </w:tc>
      </w:tr>
      <w:tr w:rsidR="0072083E" w:rsidRPr="00EE43C6" w14:paraId="743806C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83213D2"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Orchidaceae</w:t>
            </w:r>
          </w:p>
        </w:tc>
        <w:tc>
          <w:tcPr>
            <w:tcW w:w="886" w:type="pct"/>
            <w:tcBorders>
              <w:top w:val="nil"/>
              <w:left w:val="nil"/>
              <w:bottom w:val="single" w:sz="8" w:space="0" w:color="auto"/>
              <w:right w:val="single" w:sz="8" w:space="0" w:color="auto"/>
            </w:tcBorders>
            <w:shd w:val="clear" w:color="auto" w:fill="auto"/>
            <w:vAlign w:val="center"/>
            <w:hideMark/>
          </w:tcPr>
          <w:p w14:paraId="242F235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F6AFE4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6AA669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22EF63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6EA96942" w14:textId="77777777" w:rsidR="0072083E" w:rsidRPr="00EE43C6" w:rsidRDefault="0072083E" w:rsidP="00F60B11">
            <w:pPr>
              <w:spacing w:before="0" w:after="0" w:line="240" w:lineRule="auto"/>
              <w:rPr>
                <w:rFonts w:cs="Arial"/>
                <w:sz w:val="18"/>
                <w:szCs w:val="18"/>
              </w:rPr>
            </w:pPr>
          </w:p>
        </w:tc>
      </w:tr>
      <w:tr w:rsidR="0072083E" w:rsidRPr="00EE43C6" w14:paraId="0A7C261C"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468FF99"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Limodorum abortivum (L.) Swartz</w:t>
            </w:r>
          </w:p>
        </w:tc>
        <w:tc>
          <w:tcPr>
            <w:tcW w:w="886" w:type="pct"/>
            <w:tcBorders>
              <w:top w:val="nil"/>
              <w:left w:val="nil"/>
              <w:bottom w:val="single" w:sz="8" w:space="0" w:color="auto"/>
              <w:right w:val="single" w:sz="8" w:space="0" w:color="auto"/>
            </w:tcBorders>
            <w:shd w:val="clear" w:color="auto" w:fill="auto"/>
            <w:vAlign w:val="center"/>
            <w:hideMark/>
          </w:tcPr>
          <w:p w14:paraId="6B225B6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Violet Limodore</w:t>
            </w:r>
          </w:p>
        </w:tc>
        <w:tc>
          <w:tcPr>
            <w:tcW w:w="886" w:type="pct"/>
            <w:tcBorders>
              <w:top w:val="nil"/>
              <w:left w:val="nil"/>
              <w:bottom w:val="single" w:sz="8" w:space="0" w:color="auto"/>
              <w:right w:val="single" w:sz="8" w:space="0" w:color="auto"/>
            </w:tcBorders>
            <w:shd w:val="clear" w:color="auto" w:fill="auto"/>
            <w:vAlign w:val="center"/>
            <w:hideMark/>
          </w:tcPr>
          <w:p w14:paraId="201A9CC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7FD1DB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468C6E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42A336DA" w14:textId="77777777" w:rsidR="0072083E" w:rsidRPr="00EE43C6" w:rsidRDefault="0072083E" w:rsidP="00F60B11">
            <w:pPr>
              <w:spacing w:before="0" w:after="0" w:line="240" w:lineRule="auto"/>
              <w:rPr>
                <w:rFonts w:cs="Arial"/>
                <w:sz w:val="18"/>
                <w:szCs w:val="18"/>
              </w:rPr>
            </w:pPr>
          </w:p>
        </w:tc>
      </w:tr>
      <w:tr w:rsidR="0072083E" w:rsidRPr="00EE43C6" w14:paraId="7FF465EF"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7CEBCA3"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Platanthera bifolia </w:t>
            </w:r>
            <w:r w:rsidRPr="00EE43C6">
              <w:rPr>
                <w:rFonts w:cs="Arial"/>
                <w:i/>
                <w:color w:val="000000"/>
                <w:sz w:val="18"/>
                <w:szCs w:val="18"/>
              </w:rPr>
              <w:t>(</w:t>
            </w:r>
            <w:r w:rsidRPr="00EE43C6">
              <w:rPr>
                <w:rFonts w:cs="Arial"/>
                <w:color w:val="000000"/>
                <w:sz w:val="18"/>
                <w:szCs w:val="18"/>
              </w:rPr>
              <w:t>L.) L. C. M. Richard</w:t>
            </w:r>
          </w:p>
        </w:tc>
        <w:tc>
          <w:tcPr>
            <w:tcW w:w="886" w:type="pct"/>
            <w:tcBorders>
              <w:top w:val="nil"/>
              <w:left w:val="nil"/>
              <w:bottom w:val="single" w:sz="8" w:space="0" w:color="auto"/>
              <w:right w:val="single" w:sz="8" w:space="0" w:color="auto"/>
            </w:tcBorders>
            <w:shd w:val="clear" w:color="auto" w:fill="auto"/>
            <w:vAlign w:val="center"/>
            <w:hideMark/>
          </w:tcPr>
          <w:p w14:paraId="3127A97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Lesser Butterfly Orchid.</w:t>
            </w:r>
          </w:p>
        </w:tc>
        <w:tc>
          <w:tcPr>
            <w:tcW w:w="886" w:type="pct"/>
            <w:tcBorders>
              <w:top w:val="nil"/>
              <w:left w:val="nil"/>
              <w:bottom w:val="single" w:sz="8" w:space="0" w:color="auto"/>
              <w:right w:val="single" w:sz="8" w:space="0" w:color="auto"/>
            </w:tcBorders>
            <w:shd w:val="clear" w:color="auto" w:fill="auto"/>
            <w:vAlign w:val="center"/>
            <w:hideMark/>
          </w:tcPr>
          <w:p w14:paraId="599CCB1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F28062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D81B78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4698A89" w14:textId="77777777" w:rsidR="0072083E" w:rsidRPr="00EE43C6" w:rsidRDefault="0072083E" w:rsidP="00F60B11">
            <w:pPr>
              <w:spacing w:before="0" w:after="0" w:line="240" w:lineRule="auto"/>
              <w:rPr>
                <w:rFonts w:cs="Arial"/>
                <w:sz w:val="18"/>
                <w:szCs w:val="18"/>
              </w:rPr>
            </w:pPr>
          </w:p>
        </w:tc>
      </w:tr>
      <w:tr w:rsidR="0072083E" w:rsidRPr="00EE43C6" w14:paraId="12C785B1"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DF77C8E"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Papaveraceae</w:t>
            </w:r>
          </w:p>
        </w:tc>
        <w:tc>
          <w:tcPr>
            <w:tcW w:w="886" w:type="pct"/>
            <w:tcBorders>
              <w:top w:val="nil"/>
              <w:left w:val="nil"/>
              <w:bottom w:val="single" w:sz="8" w:space="0" w:color="auto"/>
              <w:right w:val="single" w:sz="8" w:space="0" w:color="auto"/>
            </w:tcBorders>
            <w:shd w:val="clear" w:color="auto" w:fill="auto"/>
            <w:vAlign w:val="center"/>
            <w:hideMark/>
          </w:tcPr>
          <w:p w14:paraId="7A7241C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C535D19"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52732D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BD73D9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1" w:type="pct"/>
            <w:vAlign w:val="center"/>
            <w:hideMark/>
          </w:tcPr>
          <w:p w14:paraId="0B63E7FD" w14:textId="77777777" w:rsidR="0072083E" w:rsidRPr="00EE43C6" w:rsidRDefault="0072083E" w:rsidP="00F60B11">
            <w:pPr>
              <w:spacing w:before="0" w:after="0" w:line="240" w:lineRule="auto"/>
              <w:rPr>
                <w:rFonts w:cs="Arial"/>
                <w:sz w:val="18"/>
                <w:szCs w:val="18"/>
              </w:rPr>
            </w:pPr>
          </w:p>
        </w:tc>
      </w:tr>
      <w:tr w:rsidR="0072083E" w:rsidRPr="00EE43C6" w14:paraId="75B0995E"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B60944C"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Fumaria officinalis</w:t>
            </w:r>
          </w:p>
        </w:tc>
        <w:tc>
          <w:tcPr>
            <w:tcW w:w="886" w:type="pct"/>
            <w:tcBorders>
              <w:top w:val="nil"/>
              <w:left w:val="nil"/>
              <w:bottom w:val="single" w:sz="8" w:space="0" w:color="auto"/>
              <w:right w:val="single" w:sz="8" w:space="0" w:color="auto"/>
            </w:tcBorders>
            <w:shd w:val="clear" w:color="auto" w:fill="auto"/>
            <w:vAlign w:val="center"/>
            <w:hideMark/>
          </w:tcPr>
          <w:p w14:paraId="1325D58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Common Fumitory</w:t>
            </w:r>
          </w:p>
        </w:tc>
        <w:tc>
          <w:tcPr>
            <w:tcW w:w="886" w:type="pct"/>
            <w:tcBorders>
              <w:top w:val="nil"/>
              <w:left w:val="nil"/>
              <w:bottom w:val="single" w:sz="8" w:space="0" w:color="auto"/>
              <w:right w:val="single" w:sz="8" w:space="0" w:color="auto"/>
            </w:tcBorders>
            <w:shd w:val="clear" w:color="auto" w:fill="auto"/>
            <w:vAlign w:val="center"/>
            <w:hideMark/>
          </w:tcPr>
          <w:p w14:paraId="2D7DF63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45C333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026840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0A3C45B" w14:textId="77777777" w:rsidR="0072083E" w:rsidRPr="00EE43C6" w:rsidRDefault="0072083E" w:rsidP="00F60B11">
            <w:pPr>
              <w:spacing w:before="0" w:after="0" w:line="240" w:lineRule="auto"/>
              <w:rPr>
                <w:rFonts w:cs="Arial"/>
                <w:sz w:val="18"/>
                <w:szCs w:val="18"/>
              </w:rPr>
            </w:pPr>
          </w:p>
        </w:tc>
      </w:tr>
      <w:tr w:rsidR="0072083E" w:rsidRPr="00EE43C6" w14:paraId="3FCB906B"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2F8A1D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lastRenderedPageBreak/>
              <w:t xml:space="preserve">Papaver rhoeas </w:t>
            </w:r>
          </w:p>
        </w:tc>
        <w:tc>
          <w:tcPr>
            <w:tcW w:w="886" w:type="pct"/>
            <w:tcBorders>
              <w:top w:val="nil"/>
              <w:left w:val="nil"/>
              <w:bottom w:val="single" w:sz="8" w:space="0" w:color="auto"/>
              <w:right w:val="single" w:sz="8" w:space="0" w:color="auto"/>
            </w:tcBorders>
            <w:shd w:val="clear" w:color="auto" w:fill="auto"/>
            <w:vAlign w:val="center"/>
            <w:hideMark/>
          </w:tcPr>
          <w:p w14:paraId="67655DC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Common Poppy</w:t>
            </w:r>
          </w:p>
        </w:tc>
        <w:tc>
          <w:tcPr>
            <w:tcW w:w="886" w:type="pct"/>
            <w:tcBorders>
              <w:top w:val="nil"/>
              <w:left w:val="nil"/>
              <w:bottom w:val="single" w:sz="8" w:space="0" w:color="auto"/>
              <w:right w:val="single" w:sz="8" w:space="0" w:color="auto"/>
            </w:tcBorders>
            <w:shd w:val="clear" w:color="auto" w:fill="auto"/>
            <w:vAlign w:val="center"/>
            <w:hideMark/>
          </w:tcPr>
          <w:p w14:paraId="36CC006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B391A9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68BE914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71D97E34" w14:textId="77777777" w:rsidR="0072083E" w:rsidRPr="00EE43C6" w:rsidRDefault="0072083E" w:rsidP="00F60B11">
            <w:pPr>
              <w:spacing w:before="0" w:after="0" w:line="240" w:lineRule="auto"/>
              <w:rPr>
                <w:rFonts w:cs="Arial"/>
                <w:sz w:val="18"/>
                <w:szCs w:val="18"/>
              </w:rPr>
            </w:pPr>
          </w:p>
        </w:tc>
      </w:tr>
      <w:tr w:rsidR="0072083E" w:rsidRPr="00EE43C6" w14:paraId="2B47971D"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F7038B3"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Phytolaccaceae</w:t>
            </w:r>
          </w:p>
        </w:tc>
        <w:tc>
          <w:tcPr>
            <w:tcW w:w="886" w:type="pct"/>
            <w:tcBorders>
              <w:top w:val="nil"/>
              <w:left w:val="nil"/>
              <w:bottom w:val="single" w:sz="8" w:space="0" w:color="auto"/>
              <w:right w:val="single" w:sz="8" w:space="0" w:color="auto"/>
            </w:tcBorders>
            <w:shd w:val="clear" w:color="auto" w:fill="auto"/>
            <w:vAlign w:val="center"/>
            <w:hideMark/>
          </w:tcPr>
          <w:p w14:paraId="0F3C377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427D32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6DD391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FE5109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11BA186C" w14:textId="77777777" w:rsidR="0072083E" w:rsidRPr="00EE43C6" w:rsidRDefault="0072083E" w:rsidP="00F60B11">
            <w:pPr>
              <w:spacing w:before="0" w:after="0" w:line="240" w:lineRule="auto"/>
              <w:rPr>
                <w:rFonts w:cs="Arial"/>
                <w:sz w:val="18"/>
                <w:szCs w:val="18"/>
              </w:rPr>
            </w:pPr>
          </w:p>
        </w:tc>
      </w:tr>
      <w:tr w:rsidR="0072083E" w:rsidRPr="00EE43C6" w14:paraId="778AC398"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47D0FFE"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Phytolacca americana L.</w:t>
            </w:r>
          </w:p>
        </w:tc>
        <w:tc>
          <w:tcPr>
            <w:tcW w:w="886" w:type="pct"/>
            <w:tcBorders>
              <w:top w:val="nil"/>
              <w:left w:val="nil"/>
              <w:bottom w:val="single" w:sz="8" w:space="0" w:color="auto"/>
              <w:right w:val="single" w:sz="8" w:space="0" w:color="auto"/>
            </w:tcBorders>
            <w:shd w:val="clear" w:color="auto" w:fill="auto"/>
            <w:vAlign w:val="center"/>
            <w:hideMark/>
          </w:tcPr>
          <w:p w14:paraId="7CDB890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Pokeweed</w:t>
            </w:r>
          </w:p>
        </w:tc>
        <w:tc>
          <w:tcPr>
            <w:tcW w:w="886" w:type="pct"/>
            <w:tcBorders>
              <w:top w:val="nil"/>
              <w:left w:val="nil"/>
              <w:bottom w:val="single" w:sz="8" w:space="0" w:color="auto"/>
              <w:right w:val="single" w:sz="8" w:space="0" w:color="auto"/>
            </w:tcBorders>
            <w:shd w:val="clear" w:color="auto" w:fill="auto"/>
            <w:vAlign w:val="center"/>
            <w:hideMark/>
          </w:tcPr>
          <w:p w14:paraId="0D24678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8A3558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D1495C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59C1B6B2" w14:textId="77777777" w:rsidR="0072083E" w:rsidRPr="00EE43C6" w:rsidRDefault="0072083E" w:rsidP="00F60B11">
            <w:pPr>
              <w:spacing w:before="0" w:after="0" w:line="240" w:lineRule="auto"/>
              <w:rPr>
                <w:rFonts w:cs="Arial"/>
                <w:sz w:val="18"/>
                <w:szCs w:val="18"/>
              </w:rPr>
            </w:pPr>
          </w:p>
        </w:tc>
      </w:tr>
      <w:tr w:rsidR="0072083E" w:rsidRPr="00EE43C6" w14:paraId="3FA97AE0"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17EA4DE"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Plumbaginecea</w:t>
            </w:r>
          </w:p>
        </w:tc>
        <w:tc>
          <w:tcPr>
            <w:tcW w:w="886" w:type="pct"/>
            <w:tcBorders>
              <w:top w:val="nil"/>
              <w:left w:val="nil"/>
              <w:bottom w:val="single" w:sz="8" w:space="0" w:color="auto"/>
              <w:right w:val="single" w:sz="8" w:space="0" w:color="auto"/>
            </w:tcBorders>
            <w:shd w:val="clear" w:color="auto" w:fill="auto"/>
            <w:vAlign w:val="center"/>
            <w:hideMark/>
          </w:tcPr>
          <w:p w14:paraId="12879BD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7731E2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6580F0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B45C2E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4E52202F" w14:textId="77777777" w:rsidR="0072083E" w:rsidRPr="00EE43C6" w:rsidRDefault="0072083E" w:rsidP="00F60B11">
            <w:pPr>
              <w:spacing w:before="0" w:after="0" w:line="240" w:lineRule="auto"/>
              <w:rPr>
                <w:rFonts w:cs="Arial"/>
                <w:sz w:val="18"/>
                <w:szCs w:val="18"/>
              </w:rPr>
            </w:pPr>
          </w:p>
        </w:tc>
      </w:tr>
      <w:tr w:rsidR="0072083E" w:rsidRPr="00EE43C6" w14:paraId="0E406750"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3DBA802"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Acantholimon acerosum</w:t>
            </w:r>
          </w:p>
        </w:tc>
        <w:tc>
          <w:tcPr>
            <w:tcW w:w="886" w:type="pct"/>
            <w:tcBorders>
              <w:top w:val="nil"/>
              <w:left w:val="nil"/>
              <w:bottom w:val="single" w:sz="8" w:space="0" w:color="auto"/>
              <w:right w:val="single" w:sz="8" w:space="0" w:color="auto"/>
            </w:tcBorders>
            <w:shd w:val="clear" w:color="auto" w:fill="auto"/>
            <w:vAlign w:val="center"/>
            <w:hideMark/>
          </w:tcPr>
          <w:p w14:paraId="7CC93D4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F3FA90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8433C7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67293E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4A1622F" w14:textId="77777777" w:rsidR="0072083E" w:rsidRPr="00EE43C6" w:rsidRDefault="0072083E" w:rsidP="00F60B11">
            <w:pPr>
              <w:spacing w:before="0" w:after="0" w:line="240" w:lineRule="auto"/>
              <w:rPr>
                <w:rFonts w:cs="Arial"/>
                <w:sz w:val="18"/>
                <w:szCs w:val="18"/>
              </w:rPr>
            </w:pPr>
          </w:p>
        </w:tc>
      </w:tr>
      <w:tr w:rsidR="0072083E" w:rsidRPr="00EE43C6" w14:paraId="7F1B05D2"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7C8316B"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Primulaceae</w:t>
            </w:r>
          </w:p>
        </w:tc>
        <w:tc>
          <w:tcPr>
            <w:tcW w:w="886" w:type="pct"/>
            <w:tcBorders>
              <w:top w:val="nil"/>
              <w:left w:val="nil"/>
              <w:bottom w:val="single" w:sz="8" w:space="0" w:color="auto"/>
              <w:right w:val="single" w:sz="8" w:space="0" w:color="auto"/>
            </w:tcBorders>
            <w:shd w:val="clear" w:color="auto" w:fill="auto"/>
            <w:vAlign w:val="center"/>
            <w:hideMark/>
          </w:tcPr>
          <w:p w14:paraId="361CA90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48DD64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063108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37CF81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6C471C71" w14:textId="77777777" w:rsidR="0072083E" w:rsidRPr="00EE43C6" w:rsidRDefault="0072083E" w:rsidP="00F60B11">
            <w:pPr>
              <w:spacing w:before="0" w:after="0" w:line="240" w:lineRule="auto"/>
              <w:rPr>
                <w:rFonts w:cs="Arial"/>
                <w:sz w:val="18"/>
                <w:szCs w:val="18"/>
              </w:rPr>
            </w:pPr>
          </w:p>
        </w:tc>
      </w:tr>
      <w:tr w:rsidR="0072083E" w:rsidRPr="00EE43C6" w14:paraId="16100B89"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ABB4359"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Lysimachia atropurpurea L.</w:t>
            </w:r>
          </w:p>
        </w:tc>
        <w:tc>
          <w:tcPr>
            <w:tcW w:w="886" w:type="pct"/>
            <w:tcBorders>
              <w:top w:val="nil"/>
              <w:left w:val="nil"/>
              <w:bottom w:val="single" w:sz="8" w:space="0" w:color="auto"/>
              <w:right w:val="single" w:sz="8" w:space="0" w:color="auto"/>
            </w:tcBorders>
            <w:shd w:val="clear" w:color="auto" w:fill="auto"/>
            <w:vAlign w:val="center"/>
            <w:hideMark/>
          </w:tcPr>
          <w:p w14:paraId="0D13832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Burgundy Gooseneck Loosestrife</w:t>
            </w:r>
          </w:p>
        </w:tc>
        <w:tc>
          <w:tcPr>
            <w:tcW w:w="886" w:type="pct"/>
            <w:tcBorders>
              <w:top w:val="nil"/>
              <w:left w:val="nil"/>
              <w:bottom w:val="single" w:sz="8" w:space="0" w:color="auto"/>
              <w:right w:val="single" w:sz="8" w:space="0" w:color="auto"/>
            </w:tcBorders>
            <w:shd w:val="clear" w:color="auto" w:fill="auto"/>
            <w:vAlign w:val="center"/>
            <w:hideMark/>
          </w:tcPr>
          <w:p w14:paraId="409A3BA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7EED45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054548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5E3AEFD8" w14:textId="77777777" w:rsidR="0072083E" w:rsidRPr="00EE43C6" w:rsidRDefault="0072083E" w:rsidP="00F60B11">
            <w:pPr>
              <w:spacing w:before="0" w:after="0" w:line="240" w:lineRule="auto"/>
              <w:rPr>
                <w:rFonts w:cs="Arial"/>
                <w:sz w:val="18"/>
                <w:szCs w:val="18"/>
              </w:rPr>
            </w:pPr>
          </w:p>
        </w:tc>
      </w:tr>
      <w:tr w:rsidR="0072083E" w:rsidRPr="00EE43C6" w14:paraId="450971AE"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09746FD"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Poaceae</w:t>
            </w:r>
          </w:p>
        </w:tc>
        <w:tc>
          <w:tcPr>
            <w:tcW w:w="886" w:type="pct"/>
            <w:tcBorders>
              <w:top w:val="nil"/>
              <w:left w:val="nil"/>
              <w:bottom w:val="single" w:sz="8" w:space="0" w:color="auto"/>
              <w:right w:val="single" w:sz="8" w:space="0" w:color="auto"/>
            </w:tcBorders>
            <w:shd w:val="clear" w:color="auto" w:fill="auto"/>
            <w:vAlign w:val="center"/>
            <w:hideMark/>
          </w:tcPr>
          <w:p w14:paraId="468AFE93"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D551CC0"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53CE4C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C210613"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1" w:type="pct"/>
            <w:vAlign w:val="center"/>
            <w:hideMark/>
          </w:tcPr>
          <w:p w14:paraId="09F2DCB3" w14:textId="77777777" w:rsidR="0072083E" w:rsidRPr="00EE43C6" w:rsidRDefault="0072083E" w:rsidP="00F60B11">
            <w:pPr>
              <w:spacing w:before="0" w:after="0" w:line="240" w:lineRule="auto"/>
              <w:rPr>
                <w:rFonts w:cs="Arial"/>
                <w:sz w:val="18"/>
                <w:szCs w:val="18"/>
              </w:rPr>
            </w:pPr>
          </w:p>
        </w:tc>
      </w:tr>
      <w:tr w:rsidR="0072083E" w:rsidRPr="00EE43C6" w14:paraId="1DDFF2D6"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65AF1F6" w14:textId="2745836A"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Aegilops </w:t>
            </w:r>
            <w:r w:rsidR="00165A8C">
              <w:rPr>
                <w:rFonts w:cs="Arial"/>
                <w:i/>
                <w:color w:val="000000"/>
                <w:sz w:val="18"/>
                <w:szCs w:val="18"/>
              </w:rPr>
              <w:pgNum/>
            </w:r>
            <w:r w:rsidR="00165A8C">
              <w:rPr>
                <w:rFonts w:cs="Arial"/>
                <w:i/>
                <w:color w:val="000000"/>
                <w:sz w:val="18"/>
                <w:szCs w:val="18"/>
              </w:rPr>
              <w:t>aurica</w:t>
            </w:r>
            <w:r w:rsidR="00165A8C">
              <w:rPr>
                <w:rFonts w:cs="Arial"/>
                <w:i/>
                <w:color w:val="000000"/>
                <w:sz w:val="18"/>
                <w:szCs w:val="18"/>
              </w:rPr>
              <w:pgNum/>
            </w:r>
            <w:r w:rsidR="00165A8C">
              <w:rPr>
                <w:rFonts w:cs="Arial"/>
                <w:i/>
                <w:color w:val="000000"/>
                <w:sz w:val="18"/>
                <w:szCs w:val="18"/>
              </w:rPr>
              <w:t>te</w:t>
            </w:r>
            <w:r w:rsidRPr="00EE43C6">
              <w:rPr>
                <w:rFonts w:cs="Arial"/>
                <w:i/>
                <w:color w:val="000000"/>
                <w:sz w:val="18"/>
                <w:szCs w:val="18"/>
              </w:rPr>
              <w:t xml:space="preserve"> </w:t>
            </w:r>
            <w:r w:rsidRPr="00EE43C6">
              <w:rPr>
                <w:rFonts w:cs="Arial"/>
                <w:color w:val="000000"/>
                <w:sz w:val="18"/>
                <w:szCs w:val="18"/>
              </w:rPr>
              <w:t>Roth.</w:t>
            </w:r>
          </w:p>
        </w:tc>
        <w:tc>
          <w:tcPr>
            <w:tcW w:w="886" w:type="pct"/>
            <w:tcBorders>
              <w:top w:val="nil"/>
              <w:left w:val="nil"/>
              <w:bottom w:val="single" w:sz="8" w:space="0" w:color="auto"/>
              <w:right w:val="single" w:sz="8" w:space="0" w:color="auto"/>
            </w:tcBorders>
            <w:shd w:val="clear" w:color="auto" w:fill="auto"/>
            <w:vAlign w:val="center"/>
            <w:hideMark/>
          </w:tcPr>
          <w:p w14:paraId="3A01245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Ovate Goat Grass</w:t>
            </w:r>
          </w:p>
        </w:tc>
        <w:tc>
          <w:tcPr>
            <w:tcW w:w="886" w:type="pct"/>
            <w:tcBorders>
              <w:top w:val="nil"/>
              <w:left w:val="nil"/>
              <w:bottom w:val="single" w:sz="8" w:space="0" w:color="auto"/>
              <w:right w:val="single" w:sz="8" w:space="0" w:color="auto"/>
            </w:tcBorders>
            <w:shd w:val="clear" w:color="auto" w:fill="auto"/>
            <w:vAlign w:val="center"/>
            <w:hideMark/>
          </w:tcPr>
          <w:p w14:paraId="58DCCDE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9D36FF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2F7AD27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5E8C526" w14:textId="77777777" w:rsidR="0072083E" w:rsidRPr="00EE43C6" w:rsidRDefault="0072083E" w:rsidP="00F60B11">
            <w:pPr>
              <w:spacing w:before="0" w:after="0" w:line="240" w:lineRule="auto"/>
              <w:rPr>
                <w:rFonts w:cs="Arial"/>
                <w:sz w:val="18"/>
                <w:szCs w:val="18"/>
              </w:rPr>
            </w:pPr>
          </w:p>
        </w:tc>
      </w:tr>
      <w:tr w:rsidR="0072083E" w:rsidRPr="00EE43C6" w14:paraId="20172742"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373BFC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Avena barbata </w:t>
            </w:r>
            <w:r w:rsidRPr="00EE43C6">
              <w:rPr>
                <w:rFonts w:cs="Arial"/>
                <w:color w:val="000000"/>
                <w:sz w:val="18"/>
                <w:szCs w:val="18"/>
              </w:rPr>
              <w:t>Pott.  Ex Link.</w:t>
            </w:r>
          </w:p>
        </w:tc>
        <w:tc>
          <w:tcPr>
            <w:tcW w:w="886" w:type="pct"/>
            <w:tcBorders>
              <w:top w:val="nil"/>
              <w:left w:val="nil"/>
              <w:bottom w:val="single" w:sz="8" w:space="0" w:color="auto"/>
              <w:right w:val="single" w:sz="8" w:space="0" w:color="auto"/>
            </w:tcBorders>
            <w:shd w:val="clear" w:color="auto" w:fill="auto"/>
            <w:vAlign w:val="center"/>
            <w:hideMark/>
          </w:tcPr>
          <w:p w14:paraId="7A910C6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Barbed Oat</w:t>
            </w:r>
          </w:p>
        </w:tc>
        <w:tc>
          <w:tcPr>
            <w:tcW w:w="886" w:type="pct"/>
            <w:tcBorders>
              <w:top w:val="nil"/>
              <w:left w:val="nil"/>
              <w:bottom w:val="single" w:sz="8" w:space="0" w:color="auto"/>
              <w:right w:val="single" w:sz="8" w:space="0" w:color="auto"/>
            </w:tcBorders>
            <w:shd w:val="clear" w:color="auto" w:fill="auto"/>
            <w:vAlign w:val="center"/>
            <w:hideMark/>
          </w:tcPr>
          <w:p w14:paraId="2996E1A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C5CA4A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9258FB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106E1F5" w14:textId="77777777" w:rsidR="0072083E" w:rsidRPr="00EE43C6" w:rsidRDefault="0072083E" w:rsidP="00F60B11">
            <w:pPr>
              <w:spacing w:before="0" w:after="0" w:line="240" w:lineRule="auto"/>
              <w:rPr>
                <w:rFonts w:cs="Arial"/>
                <w:sz w:val="18"/>
                <w:szCs w:val="18"/>
              </w:rPr>
            </w:pPr>
          </w:p>
        </w:tc>
      </w:tr>
      <w:tr w:rsidR="0072083E" w:rsidRPr="00EE43C6" w14:paraId="305658BA"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349CBBF"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Brachypodium sylvaticum (Hudson) P. Beauv</w:t>
            </w:r>
          </w:p>
        </w:tc>
        <w:tc>
          <w:tcPr>
            <w:tcW w:w="886" w:type="pct"/>
            <w:tcBorders>
              <w:top w:val="nil"/>
              <w:left w:val="nil"/>
              <w:bottom w:val="single" w:sz="8" w:space="0" w:color="auto"/>
              <w:right w:val="single" w:sz="8" w:space="0" w:color="auto"/>
            </w:tcBorders>
            <w:shd w:val="clear" w:color="auto" w:fill="auto"/>
            <w:vAlign w:val="center"/>
            <w:hideMark/>
          </w:tcPr>
          <w:p w14:paraId="311A1DC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Slender False Brome</w:t>
            </w:r>
          </w:p>
        </w:tc>
        <w:tc>
          <w:tcPr>
            <w:tcW w:w="886" w:type="pct"/>
            <w:tcBorders>
              <w:top w:val="nil"/>
              <w:left w:val="nil"/>
              <w:bottom w:val="single" w:sz="8" w:space="0" w:color="auto"/>
              <w:right w:val="single" w:sz="8" w:space="0" w:color="auto"/>
            </w:tcBorders>
            <w:shd w:val="clear" w:color="auto" w:fill="auto"/>
            <w:vAlign w:val="center"/>
            <w:hideMark/>
          </w:tcPr>
          <w:p w14:paraId="51F5286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51B810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B310D2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33D292CC" w14:textId="77777777" w:rsidR="0072083E" w:rsidRPr="00EE43C6" w:rsidRDefault="0072083E" w:rsidP="00F60B11">
            <w:pPr>
              <w:spacing w:before="0" w:after="0" w:line="240" w:lineRule="auto"/>
              <w:rPr>
                <w:rFonts w:cs="Arial"/>
                <w:sz w:val="18"/>
                <w:szCs w:val="18"/>
              </w:rPr>
            </w:pPr>
          </w:p>
        </w:tc>
      </w:tr>
      <w:tr w:rsidR="0072083E" w:rsidRPr="00EE43C6" w14:paraId="10AD3EB4"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B96AF62"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Briza maxima </w:t>
            </w:r>
            <w:r w:rsidRPr="00EE43C6">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5ED33E4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Greater Quaking-Grass</w:t>
            </w:r>
          </w:p>
        </w:tc>
        <w:tc>
          <w:tcPr>
            <w:tcW w:w="886" w:type="pct"/>
            <w:tcBorders>
              <w:top w:val="nil"/>
              <w:left w:val="nil"/>
              <w:bottom w:val="single" w:sz="8" w:space="0" w:color="auto"/>
              <w:right w:val="single" w:sz="8" w:space="0" w:color="auto"/>
            </w:tcBorders>
            <w:shd w:val="clear" w:color="auto" w:fill="auto"/>
            <w:vAlign w:val="center"/>
            <w:hideMark/>
          </w:tcPr>
          <w:p w14:paraId="690A325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73A250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CAC175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10890F2" w14:textId="77777777" w:rsidR="0072083E" w:rsidRPr="00EE43C6" w:rsidRDefault="0072083E" w:rsidP="00F60B11">
            <w:pPr>
              <w:spacing w:before="0" w:after="0" w:line="240" w:lineRule="auto"/>
              <w:rPr>
                <w:rFonts w:cs="Arial"/>
                <w:sz w:val="18"/>
                <w:szCs w:val="18"/>
              </w:rPr>
            </w:pPr>
          </w:p>
        </w:tc>
      </w:tr>
      <w:tr w:rsidR="0072083E" w:rsidRPr="00EE43C6" w14:paraId="641A4945"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14B2800" w14:textId="733682C9"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Bromus japonicus Thunb. </w:t>
            </w:r>
            <w:r w:rsidR="00165A8C" w:rsidRPr="00EE43C6">
              <w:rPr>
                <w:rFonts w:cs="Arial"/>
                <w:i/>
                <w:iCs/>
                <w:color w:val="000000"/>
                <w:sz w:val="18"/>
                <w:szCs w:val="18"/>
              </w:rPr>
              <w:t>S</w:t>
            </w:r>
            <w:r w:rsidRPr="00EE43C6">
              <w:rPr>
                <w:rFonts w:cs="Arial"/>
                <w:i/>
                <w:iCs/>
                <w:color w:val="000000"/>
                <w:sz w:val="18"/>
                <w:szCs w:val="18"/>
              </w:rPr>
              <w:t xml:space="preserve">ubsp. </w:t>
            </w:r>
            <w:r w:rsidR="00165A8C" w:rsidRPr="00EE43C6">
              <w:rPr>
                <w:rFonts w:cs="Arial"/>
                <w:i/>
                <w:iCs/>
                <w:color w:val="000000"/>
                <w:sz w:val="18"/>
                <w:szCs w:val="18"/>
              </w:rPr>
              <w:t>J</w:t>
            </w:r>
            <w:r w:rsidRPr="00EE43C6">
              <w:rPr>
                <w:rFonts w:cs="Arial"/>
                <w:i/>
                <w:iCs/>
                <w:color w:val="000000"/>
                <w:sz w:val="18"/>
                <w:szCs w:val="18"/>
              </w:rPr>
              <w:t>aponicus</w:t>
            </w:r>
          </w:p>
        </w:tc>
        <w:tc>
          <w:tcPr>
            <w:tcW w:w="886" w:type="pct"/>
            <w:tcBorders>
              <w:top w:val="nil"/>
              <w:left w:val="nil"/>
              <w:bottom w:val="single" w:sz="8" w:space="0" w:color="auto"/>
              <w:right w:val="single" w:sz="8" w:space="0" w:color="auto"/>
            </w:tcBorders>
            <w:shd w:val="clear" w:color="auto" w:fill="auto"/>
            <w:vAlign w:val="center"/>
            <w:hideMark/>
          </w:tcPr>
          <w:p w14:paraId="1B4A731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22D690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3233C8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9D62B7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84D2F3F" w14:textId="77777777" w:rsidR="0072083E" w:rsidRPr="00EE43C6" w:rsidRDefault="0072083E" w:rsidP="00F60B11">
            <w:pPr>
              <w:spacing w:before="0" w:after="0" w:line="240" w:lineRule="auto"/>
              <w:rPr>
                <w:rFonts w:cs="Arial"/>
                <w:sz w:val="18"/>
                <w:szCs w:val="18"/>
              </w:rPr>
            </w:pPr>
          </w:p>
        </w:tc>
      </w:tr>
      <w:tr w:rsidR="0072083E" w:rsidRPr="00EE43C6" w14:paraId="4E4EDBA8"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F79BD8C"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Cynodon </w:t>
            </w:r>
            <w:r w:rsidRPr="00EE43C6">
              <w:rPr>
                <w:rFonts w:cs="Arial"/>
                <w:i/>
                <w:color w:val="000000"/>
                <w:sz w:val="18"/>
                <w:szCs w:val="18"/>
              </w:rPr>
              <w:t xml:space="preserve">dactylon </w:t>
            </w:r>
            <w:r w:rsidRPr="00EE43C6">
              <w:rPr>
                <w:rFonts w:cs="Arial"/>
                <w:color w:val="000000"/>
                <w:sz w:val="18"/>
                <w:szCs w:val="18"/>
              </w:rPr>
              <w:t>(L) Pers</w:t>
            </w:r>
            <w:r w:rsidRPr="00EE43C6">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6989C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Bermuda Grass</w:t>
            </w:r>
          </w:p>
        </w:tc>
        <w:tc>
          <w:tcPr>
            <w:tcW w:w="886" w:type="pct"/>
            <w:tcBorders>
              <w:top w:val="nil"/>
              <w:left w:val="nil"/>
              <w:bottom w:val="single" w:sz="8" w:space="0" w:color="auto"/>
              <w:right w:val="single" w:sz="8" w:space="0" w:color="auto"/>
            </w:tcBorders>
            <w:shd w:val="clear" w:color="auto" w:fill="auto"/>
            <w:vAlign w:val="center"/>
            <w:hideMark/>
          </w:tcPr>
          <w:p w14:paraId="57D6D8E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84AFDD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F7F8B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70E653F" w14:textId="77777777" w:rsidR="0072083E" w:rsidRPr="00EE43C6" w:rsidRDefault="0072083E" w:rsidP="00F60B11">
            <w:pPr>
              <w:spacing w:before="0" w:after="0" w:line="240" w:lineRule="auto"/>
              <w:rPr>
                <w:rFonts w:cs="Arial"/>
                <w:sz w:val="18"/>
                <w:szCs w:val="18"/>
              </w:rPr>
            </w:pPr>
          </w:p>
        </w:tc>
      </w:tr>
      <w:tr w:rsidR="0072083E" w:rsidRPr="00EE43C6" w14:paraId="4EE41E93"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24D9798"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Dactylis glomerata L.subsp. hispanica (Roth) Nyman</w:t>
            </w:r>
          </w:p>
        </w:tc>
        <w:tc>
          <w:tcPr>
            <w:tcW w:w="886" w:type="pct"/>
            <w:tcBorders>
              <w:top w:val="nil"/>
              <w:left w:val="nil"/>
              <w:bottom w:val="single" w:sz="8" w:space="0" w:color="auto"/>
              <w:right w:val="single" w:sz="8" w:space="0" w:color="auto"/>
            </w:tcBorders>
            <w:shd w:val="clear" w:color="auto" w:fill="auto"/>
            <w:vAlign w:val="center"/>
            <w:hideMark/>
          </w:tcPr>
          <w:p w14:paraId="35BD7AB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1195F7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56F95A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4CBBC3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37017B4E" w14:textId="77777777" w:rsidR="0072083E" w:rsidRPr="00EE43C6" w:rsidRDefault="0072083E" w:rsidP="00F60B11">
            <w:pPr>
              <w:spacing w:before="0" w:after="0" w:line="240" w:lineRule="auto"/>
              <w:rPr>
                <w:rFonts w:cs="Arial"/>
                <w:sz w:val="18"/>
                <w:szCs w:val="18"/>
              </w:rPr>
            </w:pPr>
          </w:p>
        </w:tc>
      </w:tr>
      <w:tr w:rsidR="0072083E" w:rsidRPr="00EE43C6" w14:paraId="7510F565"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075D2EF"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Hordeum bulbosum </w:t>
            </w:r>
          </w:p>
        </w:tc>
        <w:tc>
          <w:tcPr>
            <w:tcW w:w="886" w:type="pct"/>
            <w:tcBorders>
              <w:top w:val="nil"/>
              <w:left w:val="nil"/>
              <w:bottom w:val="single" w:sz="8" w:space="0" w:color="auto"/>
              <w:right w:val="single" w:sz="8" w:space="0" w:color="auto"/>
            </w:tcBorders>
            <w:shd w:val="clear" w:color="auto" w:fill="auto"/>
            <w:vAlign w:val="center"/>
            <w:hideMark/>
          </w:tcPr>
          <w:p w14:paraId="6329D30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Bulbous Barley</w:t>
            </w:r>
          </w:p>
        </w:tc>
        <w:tc>
          <w:tcPr>
            <w:tcW w:w="886" w:type="pct"/>
            <w:tcBorders>
              <w:top w:val="nil"/>
              <w:left w:val="nil"/>
              <w:bottom w:val="single" w:sz="8" w:space="0" w:color="auto"/>
              <w:right w:val="single" w:sz="8" w:space="0" w:color="auto"/>
            </w:tcBorders>
            <w:shd w:val="clear" w:color="auto" w:fill="auto"/>
            <w:vAlign w:val="center"/>
            <w:hideMark/>
          </w:tcPr>
          <w:p w14:paraId="5691497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EBD6F7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646927E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312BB6CF" w14:textId="77777777" w:rsidR="0072083E" w:rsidRPr="00EE43C6" w:rsidRDefault="0072083E" w:rsidP="00F60B11">
            <w:pPr>
              <w:spacing w:before="0" w:after="0" w:line="240" w:lineRule="auto"/>
              <w:rPr>
                <w:rFonts w:cs="Arial"/>
                <w:sz w:val="18"/>
                <w:szCs w:val="18"/>
              </w:rPr>
            </w:pPr>
          </w:p>
        </w:tc>
      </w:tr>
      <w:tr w:rsidR="0072083E" w:rsidRPr="00EE43C6" w14:paraId="692C1F11"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6A3077F"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Phyleum phleoides (L.) Karsten</w:t>
            </w:r>
          </w:p>
        </w:tc>
        <w:tc>
          <w:tcPr>
            <w:tcW w:w="886" w:type="pct"/>
            <w:tcBorders>
              <w:top w:val="nil"/>
              <w:left w:val="nil"/>
              <w:bottom w:val="single" w:sz="8" w:space="0" w:color="auto"/>
              <w:right w:val="single" w:sz="8" w:space="0" w:color="auto"/>
            </w:tcBorders>
            <w:shd w:val="clear" w:color="auto" w:fill="auto"/>
            <w:vAlign w:val="center"/>
            <w:hideMark/>
          </w:tcPr>
          <w:p w14:paraId="57636AE0" w14:textId="18B27D90"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Boehmer</w:t>
            </w:r>
            <w:r w:rsidR="00165A8C">
              <w:rPr>
                <w:rFonts w:cs="Arial"/>
                <w:color w:val="000000"/>
                <w:sz w:val="18"/>
                <w:szCs w:val="18"/>
              </w:rPr>
              <w:t>’</w:t>
            </w:r>
            <w:r w:rsidRPr="00EE43C6">
              <w:rPr>
                <w:rFonts w:cs="Arial"/>
                <w:color w:val="000000"/>
                <w:sz w:val="18"/>
                <w:szCs w:val="18"/>
              </w:rPr>
              <w:t>s Cat</w:t>
            </w:r>
            <w:r w:rsidR="00165A8C">
              <w:rPr>
                <w:rFonts w:cs="Arial"/>
                <w:color w:val="000000"/>
                <w:sz w:val="18"/>
                <w:szCs w:val="18"/>
              </w:rPr>
              <w:t>’</w:t>
            </w:r>
            <w:r w:rsidRPr="00EE43C6">
              <w:rPr>
                <w:rFonts w:cs="Arial"/>
                <w:color w:val="000000"/>
                <w:sz w:val="18"/>
                <w:szCs w:val="18"/>
              </w:rPr>
              <w:t>s-Tail</w:t>
            </w:r>
          </w:p>
        </w:tc>
        <w:tc>
          <w:tcPr>
            <w:tcW w:w="886" w:type="pct"/>
            <w:tcBorders>
              <w:top w:val="nil"/>
              <w:left w:val="nil"/>
              <w:bottom w:val="single" w:sz="8" w:space="0" w:color="auto"/>
              <w:right w:val="single" w:sz="8" w:space="0" w:color="auto"/>
            </w:tcBorders>
            <w:shd w:val="clear" w:color="auto" w:fill="auto"/>
            <w:vAlign w:val="center"/>
            <w:hideMark/>
          </w:tcPr>
          <w:p w14:paraId="1C08081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B2C1A3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65F6E6C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4C014E78" w14:textId="77777777" w:rsidR="0072083E" w:rsidRPr="00EE43C6" w:rsidRDefault="0072083E" w:rsidP="00F60B11">
            <w:pPr>
              <w:spacing w:before="0" w:after="0" w:line="240" w:lineRule="auto"/>
              <w:rPr>
                <w:rFonts w:cs="Arial"/>
                <w:sz w:val="18"/>
                <w:szCs w:val="18"/>
              </w:rPr>
            </w:pPr>
          </w:p>
        </w:tc>
      </w:tr>
      <w:tr w:rsidR="0072083E" w:rsidRPr="00EE43C6" w14:paraId="395C8A33"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CB0C855"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Poa bulbosa L.</w:t>
            </w:r>
          </w:p>
        </w:tc>
        <w:tc>
          <w:tcPr>
            <w:tcW w:w="886" w:type="pct"/>
            <w:tcBorders>
              <w:top w:val="nil"/>
              <w:left w:val="nil"/>
              <w:bottom w:val="single" w:sz="8" w:space="0" w:color="auto"/>
              <w:right w:val="single" w:sz="8" w:space="0" w:color="auto"/>
            </w:tcBorders>
            <w:shd w:val="clear" w:color="auto" w:fill="auto"/>
            <w:vAlign w:val="center"/>
            <w:hideMark/>
          </w:tcPr>
          <w:p w14:paraId="05025A1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Bulbous Bluegrass</w:t>
            </w:r>
          </w:p>
        </w:tc>
        <w:tc>
          <w:tcPr>
            <w:tcW w:w="886" w:type="pct"/>
            <w:tcBorders>
              <w:top w:val="nil"/>
              <w:left w:val="nil"/>
              <w:bottom w:val="single" w:sz="8" w:space="0" w:color="auto"/>
              <w:right w:val="single" w:sz="8" w:space="0" w:color="auto"/>
            </w:tcBorders>
            <w:shd w:val="clear" w:color="auto" w:fill="auto"/>
            <w:vAlign w:val="center"/>
            <w:hideMark/>
          </w:tcPr>
          <w:p w14:paraId="46461B5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A929D7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5AE8F3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4B89C9B" w14:textId="77777777" w:rsidR="0072083E" w:rsidRPr="00EE43C6" w:rsidRDefault="0072083E" w:rsidP="00F60B11">
            <w:pPr>
              <w:spacing w:before="0" w:after="0" w:line="240" w:lineRule="auto"/>
              <w:rPr>
                <w:rFonts w:cs="Arial"/>
                <w:sz w:val="18"/>
                <w:szCs w:val="18"/>
              </w:rPr>
            </w:pPr>
          </w:p>
        </w:tc>
      </w:tr>
      <w:tr w:rsidR="0072083E" w:rsidRPr="00EE43C6" w14:paraId="3AC151E4"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E2EA098"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Sorghum    bicolor </w:t>
            </w:r>
            <w:r w:rsidRPr="00EE43C6">
              <w:rPr>
                <w:rFonts w:cs="Arial"/>
                <w:color w:val="000000"/>
                <w:sz w:val="18"/>
                <w:szCs w:val="18"/>
              </w:rPr>
              <w:t>(L.) Moench</w:t>
            </w:r>
          </w:p>
        </w:tc>
        <w:tc>
          <w:tcPr>
            <w:tcW w:w="886" w:type="pct"/>
            <w:tcBorders>
              <w:top w:val="nil"/>
              <w:left w:val="nil"/>
              <w:bottom w:val="single" w:sz="8" w:space="0" w:color="auto"/>
              <w:right w:val="single" w:sz="8" w:space="0" w:color="auto"/>
            </w:tcBorders>
            <w:shd w:val="clear" w:color="auto" w:fill="auto"/>
            <w:vAlign w:val="center"/>
            <w:hideMark/>
          </w:tcPr>
          <w:p w14:paraId="4DD3A76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Common Wild Sorghum</w:t>
            </w:r>
          </w:p>
        </w:tc>
        <w:tc>
          <w:tcPr>
            <w:tcW w:w="886" w:type="pct"/>
            <w:tcBorders>
              <w:top w:val="nil"/>
              <w:left w:val="nil"/>
              <w:bottom w:val="single" w:sz="8" w:space="0" w:color="auto"/>
              <w:right w:val="single" w:sz="8" w:space="0" w:color="auto"/>
            </w:tcBorders>
            <w:shd w:val="clear" w:color="auto" w:fill="auto"/>
            <w:vAlign w:val="center"/>
            <w:hideMark/>
          </w:tcPr>
          <w:p w14:paraId="4BCB1A5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9BEBE0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58D938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3623CC0" w14:textId="77777777" w:rsidR="0072083E" w:rsidRPr="00EE43C6" w:rsidRDefault="0072083E" w:rsidP="00F60B11">
            <w:pPr>
              <w:spacing w:before="0" w:after="0" w:line="240" w:lineRule="auto"/>
              <w:rPr>
                <w:rFonts w:cs="Arial"/>
                <w:sz w:val="18"/>
                <w:szCs w:val="18"/>
              </w:rPr>
            </w:pPr>
          </w:p>
        </w:tc>
      </w:tr>
      <w:tr w:rsidR="0072083E" w:rsidRPr="00EE43C6" w14:paraId="4483C90A"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56F5DE3"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Polygonaceae</w:t>
            </w:r>
          </w:p>
        </w:tc>
        <w:tc>
          <w:tcPr>
            <w:tcW w:w="886" w:type="pct"/>
            <w:tcBorders>
              <w:top w:val="nil"/>
              <w:left w:val="nil"/>
              <w:bottom w:val="single" w:sz="8" w:space="0" w:color="auto"/>
              <w:right w:val="single" w:sz="8" w:space="0" w:color="auto"/>
            </w:tcBorders>
            <w:shd w:val="clear" w:color="auto" w:fill="auto"/>
            <w:vAlign w:val="center"/>
            <w:hideMark/>
          </w:tcPr>
          <w:p w14:paraId="3C71A0E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E37D7F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F66566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40DCEE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60C6C516" w14:textId="77777777" w:rsidR="0072083E" w:rsidRPr="00EE43C6" w:rsidRDefault="0072083E" w:rsidP="00F60B11">
            <w:pPr>
              <w:spacing w:before="0" w:after="0" w:line="240" w:lineRule="auto"/>
              <w:rPr>
                <w:rFonts w:cs="Arial"/>
                <w:sz w:val="18"/>
                <w:szCs w:val="18"/>
              </w:rPr>
            </w:pPr>
          </w:p>
        </w:tc>
      </w:tr>
      <w:tr w:rsidR="0072083E" w:rsidRPr="00EE43C6" w14:paraId="658B0C31"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EC45BA1"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Polygonum cognatum</w:t>
            </w:r>
          </w:p>
        </w:tc>
        <w:tc>
          <w:tcPr>
            <w:tcW w:w="886" w:type="pct"/>
            <w:tcBorders>
              <w:top w:val="nil"/>
              <w:left w:val="nil"/>
              <w:bottom w:val="single" w:sz="8" w:space="0" w:color="auto"/>
              <w:right w:val="single" w:sz="8" w:space="0" w:color="auto"/>
            </w:tcBorders>
            <w:shd w:val="clear" w:color="auto" w:fill="auto"/>
            <w:vAlign w:val="center"/>
            <w:hideMark/>
          </w:tcPr>
          <w:p w14:paraId="1DFBDE8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Indian Knotgrass</w:t>
            </w:r>
          </w:p>
        </w:tc>
        <w:tc>
          <w:tcPr>
            <w:tcW w:w="886" w:type="pct"/>
            <w:tcBorders>
              <w:top w:val="nil"/>
              <w:left w:val="nil"/>
              <w:bottom w:val="single" w:sz="8" w:space="0" w:color="auto"/>
              <w:right w:val="single" w:sz="8" w:space="0" w:color="auto"/>
            </w:tcBorders>
            <w:shd w:val="clear" w:color="auto" w:fill="auto"/>
            <w:vAlign w:val="center"/>
            <w:hideMark/>
          </w:tcPr>
          <w:p w14:paraId="6295570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638B44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868267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6E985894" w14:textId="77777777" w:rsidR="0072083E" w:rsidRPr="00EE43C6" w:rsidRDefault="0072083E" w:rsidP="00F60B11">
            <w:pPr>
              <w:spacing w:before="0" w:after="0" w:line="240" w:lineRule="auto"/>
              <w:rPr>
                <w:rFonts w:cs="Arial"/>
                <w:sz w:val="18"/>
                <w:szCs w:val="18"/>
              </w:rPr>
            </w:pPr>
          </w:p>
        </w:tc>
      </w:tr>
      <w:tr w:rsidR="0072083E" w:rsidRPr="00EE43C6" w14:paraId="7116355B"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25F9955"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Rumex crispus </w:t>
            </w:r>
            <w:r w:rsidRPr="00EE43C6">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488A0A1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Curled Dock</w:t>
            </w:r>
          </w:p>
        </w:tc>
        <w:tc>
          <w:tcPr>
            <w:tcW w:w="886" w:type="pct"/>
            <w:tcBorders>
              <w:top w:val="nil"/>
              <w:left w:val="nil"/>
              <w:bottom w:val="single" w:sz="8" w:space="0" w:color="auto"/>
              <w:right w:val="single" w:sz="8" w:space="0" w:color="auto"/>
            </w:tcBorders>
            <w:shd w:val="clear" w:color="auto" w:fill="auto"/>
            <w:vAlign w:val="center"/>
            <w:hideMark/>
          </w:tcPr>
          <w:p w14:paraId="72B15D9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95FFF7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2D72B2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639F4B3C" w14:textId="77777777" w:rsidR="0072083E" w:rsidRPr="00EE43C6" w:rsidRDefault="0072083E" w:rsidP="00F60B11">
            <w:pPr>
              <w:spacing w:before="0" w:after="0" w:line="240" w:lineRule="auto"/>
              <w:rPr>
                <w:rFonts w:cs="Arial"/>
                <w:sz w:val="18"/>
                <w:szCs w:val="18"/>
              </w:rPr>
            </w:pPr>
          </w:p>
        </w:tc>
      </w:tr>
      <w:tr w:rsidR="0072083E" w:rsidRPr="00EE43C6" w14:paraId="1BF81F9F"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C09C7DC"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Rumex pulcher </w:t>
            </w:r>
            <w:r w:rsidRPr="00EE43C6">
              <w:rPr>
                <w:rFonts w:cs="Arial"/>
                <w:color w:val="000000"/>
                <w:sz w:val="18"/>
                <w:szCs w:val="18"/>
              </w:rPr>
              <w:t>(L.) Lois</w:t>
            </w:r>
            <w:r w:rsidRPr="00EE43C6">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E45410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Fiddle Dock</w:t>
            </w:r>
          </w:p>
        </w:tc>
        <w:tc>
          <w:tcPr>
            <w:tcW w:w="886" w:type="pct"/>
            <w:tcBorders>
              <w:top w:val="nil"/>
              <w:left w:val="nil"/>
              <w:bottom w:val="single" w:sz="8" w:space="0" w:color="auto"/>
              <w:right w:val="single" w:sz="8" w:space="0" w:color="auto"/>
            </w:tcBorders>
            <w:shd w:val="clear" w:color="auto" w:fill="auto"/>
            <w:vAlign w:val="center"/>
            <w:hideMark/>
          </w:tcPr>
          <w:p w14:paraId="61DC77F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1F42BE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F462F7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7296BDB1" w14:textId="77777777" w:rsidR="0072083E" w:rsidRPr="00EE43C6" w:rsidRDefault="0072083E" w:rsidP="00F60B11">
            <w:pPr>
              <w:spacing w:before="0" w:after="0" w:line="240" w:lineRule="auto"/>
              <w:rPr>
                <w:rFonts w:cs="Arial"/>
                <w:sz w:val="18"/>
                <w:szCs w:val="18"/>
              </w:rPr>
            </w:pPr>
          </w:p>
        </w:tc>
      </w:tr>
      <w:tr w:rsidR="0072083E" w:rsidRPr="00EE43C6" w14:paraId="778E6E71"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8E1D508"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Rumex scutatus L.</w:t>
            </w:r>
          </w:p>
        </w:tc>
        <w:tc>
          <w:tcPr>
            <w:tcW w:w="886" w:type="pct"/>
            <w:tcBorders>
              <w:top w:val="nil"/>
              <w:left w:val="nil"/>
              <w:bottom w:val="single" w:sz="8" w:space="0" w:color="auto"/>
              <w:right w:val="single" w:sz="8" w:space="0" w:color="auto"/>
            </w:tcBorders>
            <w:shd w:val="clear" w:color="auto" w:fill="auto"/>
            <w:vAlign w:val="center"/>
            <w:hideMark/>
          </w:tcPr>
          <w:p w14:paraId="2AB6453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D89F00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C9F3F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1A21AA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62E49E01" w14:textId="77777777" w:rsidR="0072083E" w:rsidRPr="00EE43C6" w:rsidRDefault="0072083E" w:rsidP="00F60B11">
            <w:pPr>
              <w:spacing w:before="0" w:after="0" w:line="240" w:lineRule="auto"/>
              <w:rPr>
                <w:rFonts w:cs="Arial"/>
                <w:sz w:val="18"/>
                <w:szCs w:val="18"/>
              </w:rPr>
            </w:pPr>
          </w:p>
        </w:tc>
      </w:tr>
      <w:tr w:rsidR="0072083E" w:rsidRPr="00EE43C6" w14:paraId="4F7D899E"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E2FDC5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Rumex tuberosus </w:t>
            </w:r>
            <w:r w:rsidRPr="00EE43C6">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7D24AFA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37450E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05135E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68D429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5440A818" w14:textId="77777777" w:rsidR="0072083E" w:rsidRPr="00EE43C6" w:rsidRDefault="0072083E" w:rsidP="00F60B11">
            <w:pPr>
              <w:spacing w:before="0" w:after="0" w:line="240" w:lineRule="auto"/>
              <w:rPr>
                <w:rFonts w:cs="Arial"/>
                <w:sz w:val="18"/>
                <w:szCs w:val="18"/>
              </w:rPr>
            </w:pPr>
          </w:p>
        </w:tc>
      </w:tr>
      <w:tr w:rsidR="0072083E" w:rsidRPr="00EE43C6" w14:paraId="35DC21AE"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E1557A1"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Ranunculaceae</w:t>
            </w:r>
          </w:p>
        </w:tc>
        <w:tc>
          <w:tcPr>
            <w:tcW w:w="886" w:type="pct"/>
            <w:tcBorders>
              <w:top w:val="nil"/>
              <w:left w:val="nil"/>
              <w:bottom w:val="single" w:sz="8" w:space="0" w:color="auto"/>
              <w:right w:val="single" w:sz="8" w:space="0" w:color="auto"/>
            </w:tcBorders>
            <w:shd w:val="clear" w:color="auto" w:fill="auto"/>
            <w:vAlign w:val="center"/>
            <w:hideMark/>
          </w:tcPr>
          <w:p w14:paraId="33CF7E2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A285126"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7BDFF9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F03F79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1" w:type="pct"/>
            <w:vAlign w:val="center"/>
            <w:hideMark/>
          </w:tcPr>
          <w:p w14:paraId="263E0F42" w14:textId="77777777" w:rsidR="0072083E" w:rsidRPr="00EE43C6" w:rsidRDefault="0072083E" w:rsidP="00F60B11">
            <w:pPr>
              <w:spacing w:before="0" w:after="0" w:line="240" w:lineRule="auto"/>
              <w:rPr>
                <w:rFonts w:cs="Arial"/>
                <w:sz w:val="18"/>
                <w:szCs w:val="18"/>
              </w:rPr>
            </w:pPr>
          </w:p>
        </w:tc>
      </w:tr>
      <w:tr w:rsidR="0072083E" w:rsidRPr="00EE43C6" w14:paraId="5F323B15"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904EDB8"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Anomone blanda</w:t>
            </w:r>
          </w:p>
        </w:tc>
        <w:tc>
          <w:tcPr>
            <w:tcW w:w="886" w:type="pct"/>
            <w:tcBorders>
              <w:top w:val="nil"/>
              <w:left w:val="nil"/>
              <w:bottom w:val="single" w:sz="8" w:space="0" w:color="auto"/>
              <w:right w:val="single" w:sz="8" w:space="0" w:color="auto"/>
            </w:tcBorders>
            <w:shd w:val="clear" w:color="auto" w:fill="auto"/>
            <w:vAlign w:val="center"/>
            <w:hideMark/>
          </w:tcPr>
          <w:p w14:paraId="2D20A00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Grecian Windflower</w:t>
            </w:r>
          </w:p>
        </w:tc>
        <w:tc>
          <w:tcPr>
            <w:tcW w:w="886" w:type="pct"/>
            <w:tcBorders>
              <w:top w:val="nil"/>
              <w:left w:val="nil"/>
              <w:bottom w:val="single" w:sz="8" w:space="0" w:color="auto"/>
              <w:right w:val="single" w:sz="8" w:space="0" w:color="auto"/>
            </w:tcBorders>
            <w:shd w:val="clear" w:color="auto" w:fill="auto"/>
            <w:vAlign w:val="center"/>
            <w:hideMark/>
          </w:tcPr>
          <w:p w14:paraId="57A92EB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0724FC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C6BD76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2032FD75" w14:textId="77777777" w:rsidR="0072083E" w:rsidRPr="00EE43C6" w:rsidRDefault="0072083E" w:rsidP="00F60B11">
            <w:pPr>
              <w:spacing w:before="0" w:after="0" w:line="240" w:lineRule="auto"/>
              <w:rPr>
                <w:rFonts w:cs="Arial"/>
                <w:sz w:val="18"/>
                <w:szCs w:val="18"/>
              </w:rPr>
            </w:pPr>
          </w:p>
        </w:tc>
      </w:tr>
      <w:tr w:rsidR="0072083E" w:rsidRPr="00EE43C6" w14:paraId="2E93C318"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5117CB5"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Clematis vitalba L.</w:t>
            </w:r>
          </w:p>
        </w:tc>
        <w:tc>
          <w:tcPr>
            <w:tcW w:w="886" w:type="pct"/>
            <w:tcBorders>
              <w:top w:val="nil"/>
              <w:left w:val="nil"/>
              <w:bottom w:val="single" w:sz="8" w:space="0" w:color="auto"/>
              <w:right w:val="single" w:sz="8" w:space="0" w:color="auto"/>
            </w:tcBorders>
            <w:shd w:val="clear" w:color="auto" w:fill="auto"/>
            <w:vAlign w:val="center"/>
            <w:hideMark/>
          </w:tcPr>
          <w:p w14:paraId="2AE9EAB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Old Man’s Beard</w:t>
            </w:r>
          </w:p>
        </w:tc>
        <w:tc>
          <w:tcPr>
            <w:tcW w:w="886" w:type="pct"/>
            <w:tcBorders>
              <w:top w:val="nil"/>
              <w:left w:val="nil"/>
              <w:bottom w:val="single" w:sz="8" w:space="0" w:color="auto"/>
              <w:right w:val="single" w:sz="8" w:space="0" w:color="auto"/>
            </w:tcBorders>
            <w:shd w:val="clear" w:color="auto" w:fill="auto"/>
            <w:vAlign w:val="center"/>
            <w:hideMark/>
          </w:tcPr>
          <w:p w14:paraId="6ADD785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D5DAA7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D619EE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451AC210" w14:textId="77777777" w:rsidR="0072083E" w:rsidRPr="00EE43C6" w:rsidRDefault="0072083E" w:rsidP="00F60B11">
            <w:pPr>
              <w:spacing w:before="0" w:after="0" w:line="240" w:lineRule="auto"/>
              <w:rPr>
                <w:rFonts w:cs="Arial"/>
                <w:sz w:val="18"/>
                <w:szCs w:val="18"/>
              </w:rPr>
            </w:pPr>
          </w:p>
        </w:tc>
      </w:tr>
      <w:tr w:rsidR="0072083E" w:rsidRPr="00EE43C6" w14:paraId="4D30E4C9"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5B03D0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Ranunculus arvensis</w:t>
            </w:r>
          </w:p>
        </w:tc>
        <w:tc>
          <w:tcPr>
            <w:tcW w:w="886" w:type="pct"/>
            <w:tcBorders>
              <w:top w:val="nil"/>
              <w:left w:val="nil"/>
              <w:bottom w:val="single" w:sz="8" w:space="0" w:color="auto"/>
              <w:right w:val="single" w:sz="8" w:space="0" w:color="auto"/>
            </w:tcBorders>
            <w:shd w:val="clear" w:color="auto" w:fill="auto"/>
            <w:vAlign w:val="center"/>
            <w:hideMark/>
          </w:tcPr>
          <w:p w14:paraId="0522BA3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Corn Buttercup</w:t>
            </w:r>
          </w:p>
        </w:tc>
        <w:tc>
          <w:tcPr>
            <w:tcW w:w="886" w:type="pct"/>
            <w:tcBorders>
              <w:top w:val="nil"/>
              <w:left w:val="nil"/>
              <w:bottom w:val="single" w:sz="8" w:space="0" w:color="auto"/>
              <w:right w:val="single" w:sz="8" w:space="0" w:color="auto"/>
            </w:tcBorders>
            <w:shd w:val="clear" w:color="auto" w:fill="auto"/>
            <w:vAlign w:val="center"/>
            <w:hideMark/>
          </w:tcPr>
          <w:p w14:paraId="204ECD7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A2DF16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92D0B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5E5DBD38" w14:textId="77777777" w:rsidR="0072083E" w:rsidRPr="00EE43C6" w:rsidRDefault="0072083E" w:rsidP="00F60B11">
            <w:pPr>
              <w:spacing w:before="0" w:after="0" w:line="240" w:lineRule="auto"/>
              <w:rPr>
                <w:rFonts w:cs="Arial"/>
                <w:sz w:val="18"/>
                <w:szCs w:val="18"/>
              </w:rPr>
            </w:pPr>
          </w:p>
        </w:tc>
      </w:tr>
      <w:tr w:rsidR="0072083E" w:rsidRPr="00EE43C6" w14:paraId="02D507BA"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7C5CBE2"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Ranunculus constantinapolitanus (DC) Urv.</w:t>
            </w:r>
          </w:p>
        </w:tc>
        <w:tc>
          <w:tcPr>
            <w:tcW w:w="886" w:type="pct"/>
            <w:tcBorders>
              <w:top w:val="nil"/>
              <w:left w:val="nil"/>
              <w:bottom w:val="single" w:sz="8" w:space="0" w:color="auto"/>
              <w:right w:val="single" w:sz="8" w:space="0" w:color="auto"/>
            </w:tcBorders>
            <w:shd w:val="clear" w:color="auto" w:fill="auto"/>
            <w:vAlign w:val="center"/>
            <w:hideMark/>
          </w:tcPr>
          <w:p w14:paraId="2A2B874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2F1710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38A094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192228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E42C6E5" w14:textId="77777777" w:rsidR="0072083E" w:rsidRPr="00EE43C6" w:rsidRDefault="0072083E" w:rsidP="00F60B11">
            <w:pPr>
              <w:spacing w:before="0" w:after="0" w:line="240" w:lineRule="auto"/>
              <w:rPr>
                <w:rFonts w:cs="Arial"/>
                <w:sz w:val="18"/>
                <w:szCs w:val="18"/>
              </w:rPr>
            </w:pPr>
          </w:p>
        </w:tc>
      </w:tr>
      <w:tr w:rsidR="0072083E" w:rsidRPr="00EE43C6" w14:paraId="5BE1F02E"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1961774"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Ranunculus </w:t>
            </w:r>
            <w:r w:rsidRPr="00EE43C6">
              <w:rPr>
                <w:rFonts w:cs="Arial"/>
                <w:color w:val="000000"/>
                <w:sz w:val="18"/>
                <w:szCs w:val="18"/>
              </w:rPr>
              <w:t>L.</w:t>
            </w:r>
            <w:r w:rsidRPr="00EE43C6">
              <w:rPr>
                <w:rFonts w:cs="Arial"/>
                <w:i/>
                <w:iCs/>
                <w:color w:val="000000"/>
                <w:sz w:val="18"/>
                <w:szCs w:val="18"/>
              </w:rPr>
              <w:t xml:space="preserve"> </w:t>
            </w:r>
          </w:p>
        </w:tc>
        <w:tc>
          <w:tcPr>
            <w:tcW w:w="886" w:type="pct"/>
            <w:tcBorders>
              <w:top w:val="nil"/>
              <w:left w:val="nil"/>
              <w:bottom w:val="single" w:sz="8" w:space="0" w:color="auto"/>
              <w:right w:val="single" w:sz="8" w:space="0" w:color="auto"/>
            </w:tcBorders>
            <w:shd w:val="clear" w:color="auto" w:fill="auto"/>
            <w:vAlign w:val="center"/>
            <w:hideMark/>
          </w:tcPr>
          <w:p w14:paraId="360E8F6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Buttercups</w:t>
            </w:r>
          </w:p>
        </w:tc>
        <w:tc>
          <w:tcPr>
            <w:tcW w:w="886" w:type="pct"/>
            <w:tcBorders>
              <w:top w:val="nil"/>
              <w:left w:val="nil"/>
              <w:bottom w:val="single" w:sz="8" w:space="0" w:color="auto"/>
              <w:right w:val="single" w:sz="8" w:space="0" w:color="auto"/>
            </w:tcBorders>
            <w:shd w:val="clear" w:color="auto" w:fill="auto"/>
            <w:vAlign w:val="center"/>
            <w:hideMark/>
          </w:tcPr>
          <w:p w14:paraId="67A0B0E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AB0184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0A09E7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5CEBC498" w14:textId="77777777" w:rsidR="0072083E" w:rsidRPr="00EE43C6" w:rsidRDefault="0072083E" w:rsidP="00F60B11">
            <w:pPr>
              <w:spacing w:before="0" w:after="0" w:line="240" w:lineRule="auto"/>
              <w:rPr>
                <w:rFonts w:cs="Arial"/>
                <w:sz w:val="18"/>
                <w:szCs w:val="18"/>
              </w:rPr>
            </w:pPr>
          </w:p>
        </w:tc>
      </w:tr>
      <w:tr w:rsidR="0072083E" w:rsidRPr="00EE43C6" w14:paraId="26E0CECD"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5C8034F"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Rhamnaceae</w:t>
            </w:r>
          </w:p>
        </w:tc>
        <w:tc>
          <w:tcPr>
            <w:tcW w:w="886" w:type="pct"/>
            <w:tcBorders>
              <w:top w:val="nil"/>
              <w:left w:val="nil"/>
              <w:bottom w:val="single" w:sz="8" w:space="0" w:color="auto"/>
              <w:right w:val="single" w:sz="8" w:space="0" w:color="auto"/>
            </w:tcBorders>
            <w:shd w:val="clear" w:color="auto" w:fill="auto"/>
            <w:vAlign w:val="center"/>
            <w:hideMark/>
          </w:tcPr>
          <w:p w14:paraId="6533A51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950864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13CD48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5B1D406"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521FBEA0" w14:textId="77777777" w:rsidR="0072083E" w:rsidRPr="00EE43C6" w:rsidRDefault="0072083E" w:rsidP="00F60B11">
            <w:pPr>
              <w:spacing w:before="0" w:after="0" w:line="240" w:lineRule="auto"/>
              <w:rPr>
                <w:rFonts w:cs="Arial"/>
                <w:sz w:val="18"/>
                <w:szCs w:val="18"/>
              </w:rPr>
            </w:pPr>
          </w:p>
        </w:tc>
      </w:tr>
      <w:tr w:rsidR="0072083E" w:rsidRPr="00EE43C6" w14:paraId="4805A220"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96A5DAD"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Paliurus spina</w:t>
            </w:r>
            <w:r w:rsidRPr="00EE43C6">
              <w:rPr>
                <w:rFonts w:cs="Arial"/>
                <w:i/>
                <w:color w:val="000000"/>
                <w:sz w:val="18"/>
                <w:szCs w:val="18"/>
              </w:rPr>
              <w:t xml:space="preserve">-christi </w:t>
            </w:r>
            <w:r w:rsidRPr="00EE43C6">
              <w:rPr>
                <w:rFonts w:cs="Arial"/>
                <w:color w:val="000000"/>
                <w:sz w:val="18"/>
                <w:szCs w:val="18"/>
              </w:rPr>
              <w:t>MİLLER.</w:t>
            </w:r>
          </w:p>
        </w:tc>
        <w:tc>
          <w:tcPr>
            <w:tcW w:w="886" w:type="pct"/>
            <w:tcBorders>
              <w:top w:val="nil"/>
              <w:left w:val="nil"/>
              <w:bottom w:val="single" w:sz="8" w:space="0" w:color="auto"/>
              <w:right w:val="single" w:sz="8" w:space="0" w:color="auto"/>
            </w:tcBorders>
            <w:shd w:val="clear" w:color="auto" w:fill="auto"/>
            <w:vAlign w:val="center"/>
            <w:hideMark/>
          </w:tcPr>
          <w:p w14:paraId="2098691A" w14:textId="1287CA1E"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Christ</w:t>
            </w:r>
            <w:r w:rsidR="00165A8C">
              <w:rPr>
                <w:rFonts w:cs="Arial"/>
                <w:color w:val="000000"/>
                <w:sz w:val="18"/>
                <w:szCs w:val="18"/>
              </w:rPr>
              <w:t>’</w:t>
            </w:r>
            <w:r w:rsidRPr="00EE43C6">
              <w:rPr>
                <w:rFonts w:cs="Arial"/>
                <w:color w:val="000000"/>
                <w:sz w:val="18"/>
                <w:szCs w:val="18"/>
              </w:rPr>
              <w:t>s Thorn</w:t>
            </w:r>
          </w:p>
        </w:tc>
        <w:tc>
          <w:tcPr>
            <w:tcW w:w="886" w:type="pct"/>
            <w:tcBorders>
              <w:top w:val="nil"/>
              <w:left w:val="nil"/>
              <w:bottom w:val="single" w:sz="8" w:space="0" w:color="auto"/>
              <w:right w:val="single" w:sz="8" w:space="0" w:color="auto"/>
            </w:tcBorders>
            <w:shd w:val="clear" w:color="auto" w:fill="auto"/>
            <w:vAlign w:val="center"/>
            <w:hideMark/>
          </w:tcPr>
          <w:p w14:paraId="1204C73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5B485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4F4319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17202A5B" w14:textId="77777777" w:rsidR="0072083E" w:rsidRPr="00EE43C6" w:rsidRDefault="0072083E" w:rsidP="00F60B11">
            <w:pPr>
              <w:spacing w:before="0" w:after="0" w:line="240" w:lineRule="auto"/>
              <w:rPr>
                <w:rFonts w:cs="Arial"/>
                <w:sz w:val="18"/>
                <w:szCs w:val="18"/>
              </w:rPr>
            </w:pPr>
          </w:p>
        </w:tc>
      </w:tr>
      <w:tr w:rsidR="0072083E" w:rsidRPr="00EE43C6" w14:paraId="39CE6DCD"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B2980E4"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Rosaceae</w:t>
            </w:r>
          </w:p>
        </w:tc>
        <w:tc>
          <w:tcPr>
            <w:tcW w:w="886" w:type="pct"/>
            <w:tcBorders>
              <w:top w:val="nil"/>
              <w:left w:val="nil"/>
              <w:bottom w:val="single" w:sz="8" w:space="0" w:color="auto"/>
              <w:right w:val="single" w:sz="8" w:space="0" w:color="auto"/>
            </w:tcBorders>
            <w:shd w:val="clear" w:color="auto" w:fill="auto"/>
            <w:vAlign w:val="center"/>
            <w:hideMark/>
          </w:tcPr>
          <w:p w14:paraId="2242677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887583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B50A4C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FCE3BDC"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35DB5165" w14:textId="77777777" w:rsidR="0072083E" w:rsidRPr="00EE43C6" w:rsidRDefault="0072083E" w:rsidP="00F60B11">
            <w:pPr>
              <w:spacing w:before="0" w:after="0" w:line="240" w:lineRule="auto"/>
              <w:rPr>
                <w:rFonts w:cs="Arial"/>
                <w:sz w:val="18"/>
                <w:szCs w:val="18"/>
              </w:rPr>
            </w:pPr>
          </w:p>
        </w:tc>
      </w:tr>
      <w:tr w:rsidR="0072083E" w:rsidRPr="00EE43C6" w14:paraId="0CED4E2F"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F5730B5"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Prunus spinosa </w:t>
            </w:r>
            <w:r w:rsidRPr="00EE43C6">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0EF4646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Blackthorn</w:t>
            </w:r>
          </w:p>
        </w:tc>
        <w:tc>
          <w:tcPr>
            <w:tcW w:w="886" w:type="pct"/>
            <w:tcBorders>
              <w:top w:val="nil"/>
              <w:left w:val="nil"/>
              <w:bottom w:val="single" w:sz="8" w:space="0" w:color="auto"/>
              <w:right w:val="single" w:sz="8" w:space="0" w:color="auto"/>
            </w:tcBorders>
            <w:shd w:val="clear" w:color="auto" w:fill="auto"/>
            <w:vAlign w:val="center"/>
            <w:hideMark/>
          </w:tcPr>
          <w:p w14:paraId="50BD66D0"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D1E22C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58286D9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22009F55" w14:textId="77777777" w:rsidR="0072083E" w:rsidRPr="00EE43C6" w:rsidRDefault="0072083E" w:rsidP="00F60B11">
            <w:pPr>
              <w:spacing w:before="0" w:after="0" w:line="240" w:lineRule="auto"/>
              <w:rPr>
                <w:rFonts w:cs="Arial"/>
                <w:sz w:val="18"/>
                <w:szCs w:val="18"/>
              </w:rPr>
            </w:pPr>
          </w:p>
        </w:tc>
      </w:tr>
      <w:tr w:rsidR="0072083E" w:rsidRPr="00EE43C6" w14:paraId="54AA4B5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6DD0D70"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Rubus sanctus </w:t>
            </w:r>
            <w:r w:rsidRPr="00EE43C6">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6959232E"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Holy Bramble</w:t>
            </w:r>
          </w:p>
        </w:tc>
        <w:tc>
          <w:tcPr>
            <w:tcW w:w="886" w:type="pct"/>
            <w:tcBorders>
              <w:top w:val="nil"/>
              <w:left w:val="nil"/>
              <w:bottom w:val="single" w:sz="8" w:space="0" w:color="auto"/>
              <w:right w:val="single" w:sz="8" w:space="0" w:color="auto"/>
            </w:tcBorders>
            <w:shd w:val="clear" w:color="auto" w:fill="auto"/>
            <w:vAlign w:val="center"/>
            <w:hideMark/>
          </w:tcPr>
          <w:p w14:paraId="1BA77CF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3720718"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886E4C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7A02B36D" w14:textId="77777777" w:rsidR="0072083E" w:rsidRPr="00EE43C6" w:rsidRDefault="0072083E" w:rsidP="00F60B11">
            <w:pPr>
              <w:spacing w:before="0" w:after="0" w:line="240" w:lineRule="auto"/>
              <w:rPr>
                <w:rFonts w:cs="Arial"/>
                <w:sz w:val="18"/>
                <w:szCs w:val="18"/>
              </w:rPr>
            </w:pPr>
          </w:p>
        </w:tc>
      </w:tr>
      <w:tr w:rsidR="0072083E" w:rsidRPr="00EE43C6" w14:paraId="423E862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419346E"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Rubiaceae</w:t>
            </w:r>
          </w:p>
        </w:tc>
        <w:tc>
          <w:tcPr>
            <w:tcW w:w="886" w:type="pct"/>
            <w:tcBorders>
              <w:top w:val="nil"/>
              <w:left w:val="nil"/>
              <w:bottom w:val="single" w:sz="8" w:space="0" w:color="auto"/>
              <w:right w:val="single" w:sz="8" w:space="0" w:color="auto"/>
            </w:tcBorders>
            <w:shd w:val="clear" w:color="auto" w:fill="auto"/>
            <w:vAlign w:val="center"/>
            <w:hideMark/>
          </w:tcPr>
          <w:p w14:paraId="75FD220B"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B10082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115289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3C2143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678DB3FB" w14:textId="77777777" w:rsidR="0072083E" w:rsidRPr="00EE43C6" w:rsidRDefault="0072083E" w:rsidP="00F60B11">
            <w:pPr>
              <w:spacing w:before="0" w:after="0" w:line="240" w:lineRule="auto"/>
              <w:rPr>
                <w:rFonts w:cs="Arial"/>
                <w:sz w:val="18"/>
                <w:szCs w:val="18"/>
              </w:rPr>
            </w:pPr>
          </w:p>
        </w:tc>
      </w:tr>
      <w:tr w:rsidR="0072083E" w:rsidRPr="00EE43C6" w14:paraId="642F9F58"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3AD5FC8"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lastRenderedPageBreak/>
              <w:t xml:space="preserve">Galium asparagifolium </w:t>
            </w:r>
            <w:r w:rsidRPr="00EE43C6">
              <w:rPr>
                <w:rFonts w:cs="Arial"/>
                <w:color w:val="000000"/>
                <w:sz w:val="18"/>
                <w:szCs w:val="18"/>
              </w:rPr>
              <w:t>BOISS</w:t>
            </w:r>
          </w:p>
        </w:tc>
        <w:tc>
          <w:tcPr>
            <w:tcW w:w="886" w:type="pct"/>
            <w:tcBorders>
              <w:top w:val="nil"/>
              <w:left w:val="nil"/>
              <w:bottom w:val="single" w:sz="8" w:space="0" w:color="auto"/>
              <w:right w:val="single" w:sz="8" w:space="0" w:color="auto"/>
            </w:tcBorders>
            <w:shd w:val="clear" w:color="auto" w:fill="auto"/>
            <w:vAlign w:val="center"/>
            <w:hideMark/>
          </w:tcPr>
          <w:p w14:paraId="5D405EC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9812AD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B559AE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E24621D"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34D4D657" w14:textId="77777777" w:rsidR="0072083E" w:rsidRPr="00EE43C6" w:rsidRDefault="0072083E" w:rsidP="00F60B11">
            <w:pPr>
              <w:spacing w:before="0" w:after="0" w:line="240" w:lineRule="auto"/>
              <w:rPr>
                <w:rFonts w:cs="Arial"/>
                <w:sz w:val="18"/>
                <w:szCs w:val="18"/>
              </w:rPr>
            </w:pPr>
          </w:p>
        </w:tc>
      </w:tr>
      <w:tr w:rsidR="0072083E" w:rsidRPr="00EE43C6" w14:paraId="09F96FA8"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200E7B6"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Smilacaceae</w:t>
            </w:r>
          </w:p>
        </w:tc>
        <w:tc>
          <w:tcPr>
            <w:tcW w:w="886" w:type="pct"/>
            <w:tcBorders>
              <w:top w:val="nil"/>
              <w:left w:val="nil"/>
              <w:bottom w:val="single" w:sz="8" w:space="0" w:color="auto"/>
              <w:right w:val="single" w:sz="8" w:space="0" w:color="auto"/>
            </w:tcBorders>
            <w:shd w:val="clear" w:color="auto" w:fill="auto"/>
            <w:vAlign w:val="center"/>
            <w:hideMark/>
          </w:tcPr>
          <w:p w14:paraId="47C5E47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DD9AD2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2D46C6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A50D22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1" w:type="pct"/>
            <w:vAlign w:val="center"/>
            <w:hideMark/>
          </w:tcPr>
          <w:p w14:paraId="699B6834" w14:textId="77777777" w:rsidR="0072083E" w:rsidRPr="00EE43C6" w:rsidRDefault="0072083E" w:rsidP="00F60B11">
            <w:pPr>
              <w:spacing w:before="0" w:after="0" w:line="240" w:lineRule="auto"/>
              <w:rPr>
                <w:rFonts w:cs="Arial"/>
                <w:sz w:val="18"/>
                <w:szCs w:val="18"/>
              </w:rPr>
            </w:pPr>
          </w:p>
        </w:tc>
      </w:tr>
      <w:tr w:rsidR="0072083E" w:rsidRPr="00EE43C6" w14:paraId="63D725BF"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13D2E90"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Smilax excelsa L.</w:t>
            </w:r>
          </w:p>
        </w:tc>
        <w:tc>
          <w:tcPr>
            <w:tcW w:w="886" w:type="pct"/>
            <w:tcBorders>
              <w:top w:val="nil"/>
              <w:left w:val="nil"/>
              <w:bottom w:val="single" w:sz="8" w:space="0" w:color="auto"/>
              <w:right w:val="single" w:sz="8" w:space="0" w:color="auto"/>
            </w:tcBorders>
            <w:shd w:val="clear" w:color="auto" w:fill="auto"/>
            <w:vAlign w:val="center"/>
            <w:hideMark/>
          </w:tcPr>
          <w:p w14:paraId="63301C6F"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7BFAB29"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161FC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ECD237A"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1" w:type="pct"/>
            <w:vAlign w:val="center"/>
            <w:hideMark/>
          </w:tcPr>
          <w:p w14:paraId="0ED6DC89" w14:textId="77777777" w:rsidR="0072083E" w:rsidRPr="00EE43C6" w:rsidRDefault="0072083E" w:rsidP="00F60B11">
            <w:pPr>
              <w:spacing w:before="0" w:after="0" w:line="240" w:lineRule="auto"/>
              <w:rPr>
                <w:rFonts w:cs="Arial"/>
                <w:sz w:val="18"/>
                <w:szCs w:val="18"/>
              </w:rPr>
            </w:pPr>
          </w:p>
        </w:tc>
      </w:tr>
      <w:tr w:rsidR="0072083E" w:rsidRPr="00EE43C6" w14:paraId="373FBE01"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FCFF025"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Scrophlariaceae</w:t>
            </w:r>
          </w:p>
        </w:tc>
        <w:tc>
          <w:tcPr>
            <w:tcW w:w="886" w:type="pct"/>
            <w:tcBorders>
              <w:top w:val="nil"/>
              <w:left w:val="nil"/>
              <w:bottom w:val="single" w:sz="8" w:space="0" w:color="auto"/>
              <w:right w:val="single" w:sz="8" w:space="0" w:color="auto"/>
            </w:tcBorders>
            <w:shd w:val="clear" w:color="auto" w:fill="auto"/>
            <w:vAlign w:val="center"/>
            <w:hideMark/>
          </w:tcPr>
          <w:p w14:paraId="773C9A86"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B00F3C6"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E94DEC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0325446"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1" w:type="pct"/>
            <w:vAlign w:val="center"/>
            <w:hideMark/>
          </w:tcPr>
          <w:p w14:paraId="35D7EA2E" w14:textId="77777777" w:rsidR="0072083E" w:rsidRPr="00EE43C6" w:rsidRDefault="0072083E" w:rsidP="00F60B11">
            <w:pPr>
              <w:spacing w:before="0" w:after="0" w:line="240" w:lineRule="auto"/>
              <w:rPr>
                <w:rFonts w:cs="Arial"/>
                <w:sz w:val="18"/>
                <w:szCs w:val="18"/>
              </w:rPr>
            </w:pPr>
          </w:p>
        </w:tc>
      </w:tr>
      <w:tr w:rsidR="0072083E" w:rsidRPr="00EE43C6" w14:paraId="72018496"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368F74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Anarrhinum orientale Benth.</w:t>
            </w:r>
          </w:p>
        </w:tc>
        <w:tc>
          <w:tcPr>
            <w:tcW w:w="886" w:type="pct"/>
            <w:tcBorders>
              <w:top w:val="nil"/>
              <w:left w:val="nil"/>
              <w:bottom w:val="single" w:sz="8" w:space="0" w:color="auto"/>
              <w:right w:val="single" w:sz="8" w:space="0" w:color="auto"/>
            </w:tcBorders>
            <w:shd w:val="clear" w:color="auto" w:fill="auto"/>
            <w:vAlign w:val="center"/>
            <w:hideMark/>
          </w:tcPr>
          <w:p w14:paraId="0CE3C44D"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8EE7F76"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09CA24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409E0B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1" w:type="pct"/>
            <w:vAlign w:val="center"/>
            <w:hideMark/>
          </w:tcPr>
          <w:p w14:paraId="69FEE0C3" w14:textId="77777777" w:rsidR="0072083E" w:rsidRPr="00EE43C6" w:rsidRDefault="0072083E" w:rsidP="00F60B11">
            <w:pPr>
              <w:spacing w:before="0" w:after="0" w:line="240" w:lineRule="auto"/>
              <w:rPr>
                <w:rFonts w:cs="Arial"/>
                <w:sz w:val="18"/>
                <w:szCs w:val="18"/>
              </w:rPr>
            </w:pPr>
          </w:p>
        </w:tc>
      </w:tr>
      <w:tr w:rsidR="0072083E" w:rsidRPr="00EE43C6" w14:paraId="25C1651A"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F484FF9"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Verbascum pinnatifidum </w:t>
            </w:r>
            <w:r w:rsidRPr="00EE43C6">
              <w:rPr>
                <w:rFonts w:cs="Arial"/>
                <w:color w:val="000000"/>
                <w:sz w:val="18"/>
                <w:szCs w:val="18"/>
              </w:rPr>
              <w:t>VAHL</w:t>
            </w:r>
          </w:p>
        </w:tc>
        <w:tc>
          <w:tcPr>
            <w:tcW w:w="886" w:type="pct"/>
            <w:tcBorders>
              <w:top w:val="nil"/>
              <w:left w:val="nil"/>
              <w:bottom w:val="single" w:sz="8" w:space="0" w:color="auto"/>
              <w:right w:val="single" w:sz="8" w:space="0" w:color="auto"/>
            </w:tcBorders>
            <w:shd w:val="clear" w:color="auto" w:fill="auto"/>
            <w:vAlign w:val="center"/>
            <w:hideMark/>
          </w:tcPr>
          <w:p w14:paraId="5430E96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378295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3D66BD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3F3AF02"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1" w:type="pct"/>
            <w:vAlign w:val="center"/>
            <w:hideMark/>
          </w:tcPr>
          <w:p w14:paraId="268DB765" w14:textId="77777777" w:rsidR="0072083E" w:rsidRPr="00EE43C6" w:rsidRDefault="0072083E" w:rsidP="00F60B11">
            <w:pPr>
              <w:spacing w:before="0" w:after="0" w:line="240" w:lineRule="auto"/>
              <w:rPr>
                <w:rFonts w:cs="Arial"/>
                <w:sz w:val="18"/>
                <w:szCs w:val="18"/>
              </w:rPr>
            </w:pPr>
          </w:p>
        </w:tc>
      </w:tr>
      <w:tr w:rsidR="0072083E" w:rsidRPr="00EE43C6" w14:paraId="7FE8325E"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7504DE5"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Verbascum splendidum</w:t>
            </w:r>
          </w:p>
        </w:tc>
        <w:tc>
          <w:tcPr>
            <w:tcW w:w="886" w:type="pct"/>
            <w:tcBorders>
              <w:top w:val="nil"/>
              <w:left w:val="nil"/>
              <w:bottom w:val="single" w:sz="8" w:space="0" w:color="auto"/>
              <w:right w:val="single" w:sz="8" w:space="0" w:color="auto"/>
            </w:tcBorders>
            <w:shd w:val="clear" w:color="auto" w:fill="auto"/>
            <w:vAlign w:val="center"/>
            <w:hideMark/>
          </w:tcPr>
          <w:p w14:paraId="2EC90D8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219BF60"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0CFA7F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96B330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1" w:type="pct"/>
            <w:vAlign w:val="center"/>
            <w:hideMark/>
          </w:tcPr>
          <w:p w14:paraId="40906E67" w14:textId="77777777" w:rsidR="0072083E" w:rsidRPr="00EE43C6" w:rsidRDefault="0072083E" w:rsidP="00F60B11">
            <w:pPr>
              <w:spacing w:before="0" w:after="0" w:line="240" w:lineRule="auto"/>
              <w:rPr>
                <w:rFonts w:cs="Arial"/>
                <w:sz w:val="18"/>
                <w:szCs w:val="18"/>
              </w:rPr>
            </w:pPr>
          </w:p>
        </w:tc>
      </w:tr>
      <w:tr w:rsidR="0072083E" w:rsidRPr="00EE43C6" w14:paraId="58C712EF"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9E12EE5" w14:textId="77777777" w:rsidR="0072083E" w:rsidRPr="00EE43C6" w:rsidRDefault="0072083E" w:rsidP="00F60B11">
            <w:pPr>
              <w:spacing w:before="0" w:after="0" w:line="240" w:lineRule="auto"/>
              <w:jc w:val="left"/>
              <w:rPr>
                <w:rFonts w:cs="Arial"/>
                <w:color w:val="000000"/>
                <w:sz w:val="18"/>
                <w:szCs w:val="18"/>
              </w:rPr>
            </w:pPr>
            <w:r w:rsidRPr="00EE43C6">
              <w:rPr>
                <w:rFonts w:cs="Arial"/>
                <w:color w:val="000000"/>
                <w:sz w:val="18"/>
                <w:szCs w:val="18"/>
              </w:rPr>
              <w:t>Veronica anagallis-aquatica L.</w:t>
            </w:r>
          </w:p>
        </w:tc>
        <w:tc>
          <w:tcPr>
            <w:tcW w:w="886" w:type="pct"/>
            <w:tcBorders>
              <w:top w:val="nil"/>
              <w:left w:val="nil"/>
              <w:bottom w:val="single" w:sz="8" w:space="0" w:color="auto"/>
              <w:right w:val="single" w:sz="8" w:space="0" w:color="auto"/>
            </w:tcBorders>
            <w:shd w:val="clear" w:color="auto" w:fill="auto"/>
            <w:vAlign w:val="center"/>
            <w:hideMark/>
          </w:tcPr>
          <w:p w14:paraId="1ED0CCA7"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Water Speedwell.</w:t>
            </w:r>
          </w:p>
        </w:tc>
        <w:tc>
          <w:tcPr>
            <w:tcW w:w="886" w:type="pct"/>
            <w:tcBorders>
              <w:top w:val="nil"/>
              <w:left w:val="nil"/>
              <w:bottom w:val="single" w:sz="8" w:space="0" w:color="auto"/>
              <w:right w:val="single" w:sz="8" w:space="0" w:color="auto"/>
            </w:tcBorders>
            <w:shd w:val="clear" w:color="auto" w:fill="auto"/>
            <w:vAlign w:val="center"/>
            <w:hideMark/>
          </w:tcPr>
          <w:p w14:paraId="4B47E4C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01FA1E6"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7892A99A"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1" w:type="pct"/>
            <w:vAlign w:val="center"/>
            <w:hideMark/>
          </w:tcPr>
          <w:p w14:paraId="2D8169DD" w14:textId="77777777" w:rsidR="0072083E" w:rsidRPr="00EE43C6" w:rsidRDefault="0072083E" w:rsidP="00F60B11">
            <w:pPr>
              <w:spacing w:before="0" w:after="0" w:line="240" w:lineRule="auto"/>
              <w:rPr>
                <w:rFonts w:cs="Arial"/>
                <w:sz w:val="18"/>
                <w:szCs w:val="18"/>
              </w:rPr>
            </w:pPr>
          </w:p>
        </w:tc>
      </w:tr>
      <w:tr w:rsidR="0072083E" w:rsidRPr="00EE43C6" w14:paraId="63EE937D"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82E37E2" w14:textId="18AC2E4A"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Veronica macrostachya Vahl. Subsp. </w:t>
            </w:r>
            <w:r w:rsidR="00165A8C" w:rsidRPr="00EE43C6">
              <w:rPr>
                <w:rFonts w:cs="Arial"/>
                <w:i/>
                <w:iCs/>
                <w:color w:val="000000"/>
                <w:sz w:val="18"/>
                <w:szCs w:val="18"/>
              </w:rPr>
              <w:t>M</w:t>
            </w:r>
            <w:r w:rsidRPr="00EE43C6">
              <w:rPr>
                <w:rFonts w:cs="Arial"/>
                <w:i/>
                <w:iCs/>
                <w:color w:val="000000"/>
                <w:sz w:val="18"/>
                <w:szCs w:val="18"/>
              </w:rPr>
              <w:t>acrostachya</w:t>
            </w:r>
          </w:p>
        </w:tc>
        <w:tc>
          <w:tcPr>
            <w:tcW w:w="886" w:type="pct"/>
            <w:tcBorders>
              <w:top w:val="nil"/>
              <w:left w:val="nil"/>
              <w:bottom w:val="single" w:sz="8" w:space="0" w:color="auto"/>
              <w:right w:val="single" w:sz="8" w:space="0" w:color="auto"/>
            </w:tcBorders>
            <w:shd w:val="clear" w:color="auto" w:fill="auto"/>
            <w:vAlign w:val="center"/>
            <w:hideMark/>
          </w:tcPr>
          <w:p w14:paraId="5022C9DE"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1A731A6"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6288BA3"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C81E05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1" w:type="pct"/>
            <w:vAlign w:val="center"/>
            <w:hideMark/>
          </w:tcPr>
          <w:p w14:paraId="5D88CB5D" w14:textId="77777777" w:rsidR="0072083E" w:rsidRPr="00EE43C6" w:rsidRDefault="0072083E" w:rsidP="00F60B11">
            <w:pPr>
              <w:spacing w:before="0" w:after="0" w:line="240" w:lineRule="auto"/>
              <w:rPr>
                <w:rFonts w:cs="Arial"/>
                <w:sz w:val="18"/>
                <w:szCs w:val="18"/>
              </w:rPr>
            </w:pPr>
          </w:p>
        </w:tc>
      </w:tr>
      <w:tr w:rsidR="0072083E" w:rsidRPr="00EE43C6" w14:paraId="1FD80496"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29D010B"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Veronica triphyllos </w:t>
            </w:r>
            <w:r w:rsidRPr="00EE43C6">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6C3DECA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Finger Speedwell</w:t>
            </w:r>
          </w:p>
        </w:tc>
        <w:tc>
          <w:tcPr>
            <w:tcW w:w="886" w:type="pct"/>
            <w:tcBorders>
              <w:top w:val="nil"/>
              <w:left w:val="nil"/>
              <w:bottom w:val="single" w:sz="8" w:space="0" w:color="auto"/>
              <w:right w:val="single" w:sz="8" w:space="0" w:color="auto"/>
            </w:tcBorders>
            <w:shd w:val="clear" w:color="auto" w:fill="auto"/>
            <w:vAlign w:val="center"/>
            <w:hideMark/>
          </w:tcPr>
          <w:p w14:paraId="1EAC542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42435E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C34B670"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w:t>
            </w:r>
          </w:p>
        </w:tc>
        <w:tc>
          <w:tcPr>
            <w:tcW w:w="81" w:type="pct"/>
            <w:vAlign w:val="center"/>
            <w:hideMark/>
          </w:tcPr>
          <w:p w14:paraId="5D47A028" w14:textId="77777777" w:rsidR="0072083E" w:rsidRPr="00EE43C6" w:rsidRDefault="0072083E" w:rsidP="00F60B11">
            <w:pPr>
              <w:spacing w:before="0" w:after="0" w:line="240" w:lineRule="auto"/>
              <w:rPr>
                <w:rFonts w:cs="Arial"/>
                <w:sz w:val="18"/>
                <w:szCs w:val="18"/>
              </w:rPr>
            </w:pPr>
          </w:p>
        </w:tc>
      </w:tr>
      <w:tr w:rsidR="0072083E" w:rsidRPr="00EE43C6" w14:paraId="2A54CC99"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D34B11B"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Urticaceae</w:t>
            </w:r>
          </w:p>
        </w:tc>
        <w:tc>
          <w:tcPr>
            <w:tcW w:w="886" w:type="pct"/>
            <w:tcBorders>
              <w:top w:val="nil"/>
              <w:left w:val="nil"/>
              <w:bottom w:val="single" w:sz="8" w:space="0" w:color="auto"/>
              <w:right w:val="single" w:sz="8" w:space="0" w:color="auto"/>
            </w:tcBorders>
            <w:shd w:val="clear" w:color="auto" w:fill="auto"/>
            <w:vAlign w:val="center"/>
            <w:hideMark/>
          </w:tcPr>
          <w:p w14:paraId="297B1EA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3535E8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05D6E6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B6142DA"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MS Gothic"/>
                <w:color w:val="000000"/>
                <w:sz w:val="18"/>
                <w:szCs w:val="18"/>
              </w:rPr>
              <w:t> </w:t>
            </w:r>
          </w:p>
        </w:tc>
        <w:tc>
          <w:tcPr>
            <w:tcW w:w="81" w:type="pct"/>
            <w:vAlign w:val="center"/>
            <w:hideMark/>
          </w:tcPr>
          <w:p w14:paraId="5D4E9270" w14:textId="77777777" w:rsidR="0072083E" w:rsidRPr="00EE43C6" w:rsidRDefault="0072083E" w:rsidP="00F60B11">
            <w:pPr>
              <w:spacing w:before="0" w:after="0" w:line="240" w:lineRule="auto"/>
              <w:rPr>
                <w:rFonts w:cs="Arial"/>
                <w:sz w:val="18"/>
                <w:szCs w:val="18"/>
              </w:rPr>
            </w:pPr>
          </w:p>
        </w:tc>
      </w:tr>
      <w:tr w:rsidR="0072083E" w:rsidRPr="00EE43C6" w14:paraId="54D51891"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239D15E"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Urtica dioica </w:t>
            </w:r>
          </w:p>
        </w:tc>
        <w:tc>
          <w:tcPr>
            <w:tcW w:w="886" w:type="pct"/>
            <w:tcBorders>
              <w:top w:val="nil"/>
              <w:left w:val="nil"/>
              <w:bottom w:val="single" w:sz="8" w:space="0" w:color="auto"/>
              <w:right w:val="single" w:sz="8" w:space="0" w:color="auto"/>
            </w:tcBorders>
            <w:shd w:val="clear" w:color="auto" w:fill="auto"/>
            <w:vAlign w:val="center"/>
            <w:hideMark/>
          </w:tcPr>
          <w:p w14:paraId="4F21B713"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Common Nettle</w:t>
            </w:r>
          </w:p>
        </w:tc>
        <w:tc>
          <w:tcPr>
            <w:tcW w:w="886" w:type="pct"/>
            <w:tcBorders>
              <w:top w:val="nil"/>
              <w:left w:val="nil"/>
              <w:bottom w:val="single" w:sz="8" w:space="0" w:color="auto"/>
              <w:right w:val="single" w:sz="8" w:space="0" w:color="auto"/>
            </w:tcBorders>
            <w:shd w:val="clear" w:color="auto" w:fill="auto"/>
            <w:vAlign w:val="center"/>
            <w:hideMark/>
          </w:tcPr>
          <w:p w14:paraId="5B79290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2278BD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522CADF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1" w:type="pct"/>
            <w:vAlign w:val="center"/>
            <w:hideMark/>
          </w:tcPr>
          <w:p w14:paraId="1719D38A" w14:textId="77777777" w:rsidR="0072083E" w:rsidRPr="00EE43C6" w:rsidRDefault="0072083E" w:rsidP="00F60B11">
            <w:pPr>
              <w:spacing w:before="0" w:after="0" w:line="240" w:lineRule="auto"/>
              <w:rPr>
                <w:rFonts w:cs="Arial"/>
                <w:sz w:val="18"/>
                <w:szCs w:val="18"/>
              </w:rPr>
            </w:pPr>
          </w:p>
        </w:tc>
      </w:tr>
      <w:tr w:rsidR="0072083E" w:rsidRPr="00EE43C6" w14:paraId="4E69370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E1C5ECD"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Violaceae</w:t>
            </w:r>
          </w:p>
        </w:tc>
        <w:tc>
          <w:tcPr>
            <w:tcW w:w="886" w:type="pct"/>
            <w:tcBorders>
              <w:top w:val="nil"/>
              <w:left w:val="nil"/>
              <w:bottom w:val="single" w:sz="8" w:space="0" w:color="auto"/>
              <w:right w:val="single" w:sz="8" w:space="0" w:color="auto"/>
            </w:tcBorders>
            <w:shd w:val="clear" w:color="auto" w:fill="auto"/>
            <w:vAlign w:val="center"/>
            <w:hideMark/>
          </w:tcPr>
          <w:p w14:paraId="716D9611"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42301D7"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E0A4BB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C08085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1" w:type="pct"/>
            <w:vAlign w:val="center"/>
            <w:hideMark/>
          </w:tcPr>
          <w:p w14:paraId="2B35EA46" w14:textId="77777777" w:rsidR="0072083E" w:rsidRPr="00EE43C6" w:rsidRDefault="0072083E" w:rsidP="00F60B11">
            <w:pPr>
              <w:spacing w:before="0" w:after="0" w:line="240" w:lineRule="auto"/>
              <w:rPr>
                <w:rFonts w:cs="Arial"/>
                <w:sz w:val="18"/>
                <w:szCs w:val="18"/>
              </w:rPr>
            </w:pPr>
          </w:p>
        </w:tc>
      </w:tr>
      <w:tr w:rsidR="0072083E" w:rsidRPr="00EE43C6" w14:paraId="7BA7F913"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570D8D7"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Viola kitaibeliana Roem.&amp; Schult</w:t>
            </w:r>
          </w:p>
        </w:tc>
        <w:tc>
          <w:tcPr>
            <w:tcW w:w="886" w:type="pct"/>
            <w:tcBorders>
              <w:top w:val="nil"/>
              <w:left w:val="nil"/>
              <w:bottom w:val="single" w:sz="8" w:space="0" w:color="auto"/>
              <w:right w:val="single" w:sz="8" w:space="0" w:color="auto"/>
            </w:tcBorders>
            <w:shd w:val="clear" w:color="auto" w:fill="auto"/>
            <w:vAlign w:val="center"/>
            <w:hideMark/>
          </w:tcPr>
          <w:p w14:paraId="453B8D04"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Dwarf Pansy</w:t>
            </w:r>
          </w:p>
        </w:tc>
        <w:tc>
          <w:tcPr>
            <w:tcW w:w="886" w:type="pct"/>
            <w:tcBorders>
              <w:top w:val="nil"/>
              <w:left w:val="nil"/>
              <w:bottom w:val="single" w:sz="8" w:space="0" w:color="auto"/>
              <w:right w:val="single" w:sz="8" w:space="0" w:color="auto"/>
            </w:tcBorders>
            <w:shd w:val="clear" w:color="auto" w:fill="auto"/>
            <w:vAlign w:val="center"/>
            <w:hideMark/>
          </w:tcPr>
          <w:p w14:paraId="189DB549"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5407B6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5CAD5A4"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1" w:type="pct"/>
            <w:vAlign w:val="center"/>
            <w:hideMark/>
          </w:tcPr>
          <w:p w14:paraId="1172C97A" w14:textId="77777777" w:rsidR="0072083E" w:rsidRPr="00EE43C6" w:rsidRDefault="0072083E" w:rsidP="00F60B11">
            <w:pPr>
              <w:spacing w:before="0" w:after="0" w:line="240" w:lineRule="auto"/>
              <w:rPr>
                <w:rFonts w:cs="Arial"/>
                <w:sz w:val="18"/>
                <w:szCs w:val="18"/>
              </w:rPr>
            </w:pPr>
          </w:p>
        </w:tc>
      </w:tr>
      <w:tr w:rsidR="0072083E" w:rsidRPr="00EE43C6" w14:paraId="04AFB95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60B5119" w14:textId="7777777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Viola odorata L.</w:t>
            </w:r>
          </w:p>
        </w:tc>
        <w:tc>
          <w:tcPr>
            <w:tcW w:w="886" w:type="pct"/>
            <w:tcBorders>
              <w:top w:val="nil"/>
              <w:left w:val="nil"/>
              <w:bottom w:val="single" w:sz="8" w:space="0" w:color="auto"/>
              <w:right w:val="single" w:sz="8" w:space="0" w:color="auto"/>
            </w:tcBorders>
            <w:shd w:val="clear" w:color="auto" w:fill="auto"/>
            <w:vAlign w:val="center"/>
            <w:hideMark/>
          </w:tcPr>
          <w:p w14:paraId="2B332E62"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Sweet Violet</w:t>
            </w:r>
          </w:p>
        </w:tc>
        <w:tc>
          <w:tcPr>
            <w:tcW w:w="886" w:type="pct"/>
            <w:tcBorders>
              <w:top w:val="nil"/>
              <w:left w:val="nil"/>
              <w:bottom w:val="single" w:sz="8" w:space="0" w:color="auto"/>
              <w:right w:val="single" w:sz="8" w:space="0" w:color="auto"/>
            </w:tcBorders>
            <w:shd w:val="clear" w:color="auto" w:fill="auto"/>
            <w:vAlign w:val="center"/>
            <w:hideMark/>
          </w:tcPr>
          <w:p w14:paraId="65873AA5"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FE1AC0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F90509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1" w:type="pct"/>
            <w:vAlign w:val="center"/>
            <w:hideMark/>
          </w:tcPr>
          <w:p w14:paraId="3E70B3D5" w14:textId="77777777" w:rsidR="0072083E" w:rsidRPr="00EE43C6" w:rsidRDefault="0072083E" w:rsidP="00F60B11">
            <w:pPr>
              <w:spacing w:before="0" w:after="0" w:line="240" w:lineRule="auto"/>
              <w:rPr>
                <w:rFonts w:cs="Arial"/>
                <w:sz w:val="18"/>
                <w:szCs w:val="18"/>
              </w:rPr>
            </w:pPr>
          </w:p>
        </w:tc>
      </w:tr>
      <w:tr w:rsidR="0072083E" w:rsidRPr="00EE43C6" w14:paraId="1B396745"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465F29B" w14:textId="77777777" w:rsidR="0072083E" w:rsidRPr="00EE43C6" w:rsidRDefault="0072083E" w:rsidP="00F60B11">
            <w:pPr>
              <w:spacing w:before="0" w:after="0" w:line="240" w:lineRule="auto"/>
              <w:jc w:val="left"/>
              <w:rPr>
                <w:rFonts w:cs="Arial"/>
                <w:b/>
                <w:bCs/>
                <w:color w:val="000000"/>
                <w:sz w:val="18"/>
                <w:szCs w:val="18"/>
              </w:rPr>
            </w:pPr>
            <w:r w:rsidRPr="00EE43C6">
              <w:rPr>
                <w:rFonts w:cs="Arial"/>
                <w:b/>
                <w:bCs/>
                <w:color w:val="000000"/>
                <w:sz w:val="18"/>
                <w:szCs w:val="18"/>
              </w:rPr>
              <w:t>Xanthorrhoeaceae</w:t>
            </w:r>
          </w:p>
        </w:tc>
        <w:tc>
          <w:tcPr>
            <w:tcW w:w="886" w:type="pct"/>
            <w:tcBorders>
              <w:top w:val="nil"/>
              <w:left w:val="nil"/>
              <w:bottom w:val="single" w:sz="8" w:space="0" w:color="auto"/>
              <w:right w:val="single" w:sz="8" w:space="0" w:color="auto"/>
            </w:tcBorders>
            <w:shd w:val="clear" w:color="auto" w:fill="auto"/>
            <w:vAlign w:val="center"/>
            <w:hideMark/>
          </w:tcPr>
          <w:p w14:paraId="3619006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8310598"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BB08F6F"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F7B4881"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 </w:t>
            </w:r>
          </w:p>
        </w:tc>
        <w:tc>
          <w:tcPr>
            <w:tcW w:w="81" w:type="pct"/>
            <w:vAlign w:val="center"/>
            <w:hideMark/>
          </w:tcPr>
          <w:p w14:paraId="079932AA" w14:textId="77777777" w:rsidR="0072083E" w:rsidRPr="00EE43C6" w:rsidRDefault="0072083E" w:rsidP="00F60B11">
            <w:pPr>
              <w:spacing w:before="0" w:after="0" w:line="240" w:lineRule="auto"/>
              <w:rPr>
                <w:rFonts w:cs="Arial"/>
                <w:sz w:val="18"/>
                <w:szCs w:val="18"/>
              </w:rPr>
            </w:pPr>
          </w:p>
        </w:tc>
      </w:tr>
      <w:tr w:rsidR="0072083E" w:rsidRPr="00EE43C6" w14:paraId="47430747" w14:textId="77777777" w:rsidTr="00F60B11">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43B8ECC" w14:textId="7E619B57" w:rsidR="0072083E" w:rsidRPr="00EE43C6" w:rsidRDefault="0072083E" w:rsidP="00F60B11">
            <w:pPr>
              <w:spacing w:before="0" w:after="0" w:line="240" w:lineRule="auto"/>
              <w:jc w:val="left"/>
              <w:rPr>
                <w:rFonts w:cs="Arial"/>
                <w:i/>
                <w:iCs/>
                <w:color w:val="000000"/>
                <w:sz w:val="18"/>
                <w:szCs w:val="18"/>
              </w:rPr>
            </w:pPr>
            <w:r w:rsidRPr="00EE43C6">
              <w:rPr>
                <w:rFonts w:cs="Arial"/>
                <w:i/>
                <w:iCs/>
                <w:color w:val="000000"/>
                <w:sz w:val="18"/>
                <w:szCs w:val="18"/>
              </w:rPr>
              <w:t xml:space="preserve">Asphodeline </w:t>
            </w:r>
            <w:r w:rsidR="00165A8C">
              <w:rPr>
                <w:rFonts w:cs="Arial"/>
                <w:i/>
                <w:iCs/>
                <w:color w:val="000000"/>
                <w:sz w:val="18"/>
                <w:szCs w:val="18"/>
              </w:rPr>
              <w:pgNum/>
            </w:r>
            <w:r w:rsidR="00165A8C">
              <w:rPr>
                <w:rFonts w:cs="Arial"/>
                <w:i/>
                <w:iCs/>
                <w:color w:val="000000"/>
                <w:sz w:val="18"/>
                <w:szCs w:val="18"/>
              </w:rPr>
              <w:t>aurica</w:t>
            </w:r>
            <w:r w:rsidRPr="00EE43C6">
              <w:rPr>
                <w:rFonts w:cs="Arial"/>
                <w:i/>
                <w:iCs/>
                <w:color w:val="000000"/>
                <w:sz w:val="18"/>
                <w:szCs w:val="18"/>
              </w:rPr>
              <w:t xml:space="preserve"> (Pall.) Endl.</w:t>
            </w:r>
          </w:p>
        </w:tc>
        <w:tc>
          <w:tcPr>
            <w:tcW w:w="886" w:type="pct"/>
            <w:tcBorders>
              <w:top w:val="nil"/>
              <w:left w:val="nil"/>
              <w:bottom w:val="single" w:sz="8" w:space="0" w:color="auto"/>
              <w:right w:val="single" w:sz="8" w:space="0" w:color="auto"/>
            </w:tcBorders>
            <w:shd w:val="clear" w:color="auto" w:fill="auto"/>
            <w:vAlign w:val="center"/>
            <w:hideMark/>
          </w:tcPr>
          <w:p w14:paraId="7BE1DB95" w14:textId="77777777" w:rsidR="0072083E" w:rsidRPr="00EE43C6" w:rsidRDefault="0072083E" w:rsidP="00F60B11">
            <w:pPr>
              <w:spacing w:before="0" w:after="0" w:line="240" w:lineRule="auto"/>
              <w:jc w:val="center"/>
              <w:rPr>
                <w:rFonts w:cs="Arial"/>
                <w:color w:val="000000"/>
                <w:sz w:val="18"/>
                <w:szCs w:val="18"/>
              </w:rPr>
            </w:pPr>
            <w:r w:rsidRPr="00EE43C6">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2B1DB2B"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C31B3CD" w14:textId="77777777" w:rsidR="0072083E" w:rsidRPr="00EE43C6" w:rsidRDefault="0072083E"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9CB7546" w14:textId="77777777" w:rsidR="0072083E" w:rsidRPr="00EE43C6" w:rsidRDefault="0072083E" w:rsidP="00F60B11">
            <w:pPr>
              <w:spacing w:before="0" w:after="0" w:line="240" w:lineRule="auto"/>
              <w:jc w:val="center"/>
              <w:rPr>
                <w:rFonts w:cs="Arial"/>
                <w:color w:val="000000"/>
                <w:sz w:val="18"/>
                <w:szCs w:val="18"/>
              </w:rPr>
            </w:pPr>
            <w:r w:rsidRPr="00EE43C6">
              <w:rPr>
                <w:rFonts w:eastAsia="Cambria" w:cs="Arial"/>
                <w:color w:val="000000"/>
                <w:sz w:val="18"/>
                <w:szCs w:val="18"/>
              </w:rPr>
              <w:t>-</w:t>
            </w:r>
          </w:p>
        </w:tc>
        <w:tc>
          <w:tcPr>
            <w:tcW w:w="81" w:type="pct"/>
            <w:vAlign w:val="center"/>
            <w:hideMark/>
          </w:tcPr>
          <w:p w14:paraId="4D5EC1F1" w14:textId="77777777" w:rsidR="0072083E" w:rsidRPr="00EE43C6" w:rsidRDefault="0072083E" w:rsidP="00F60B11">
            <w:pPr>
              <w:spacing w:before="0" w:after="0" w:line="240" w:lineRule="auto"/>
              <w:rPr>
                <w:rFonts w:cs="Arial"/>
                <w:sz w:val="18"/>
                <w:szCs w:val="18"/>
              </w:rPr>
            </w:pPr>
          </w:p>
        </w:tc>
      </w:tr>
    </w:tbl>
    <w:p w14:paraId="15E9084D" w14:textId="52FC2A1A" w:rsidR="00082434" w:rsidRPr="00EE43C6" w:rsidRDefault="586E9DD5" w:rsidP="1C429C64">
      <w:pPr>
        <w:spacing w:before="360" w:after="360"/>
        <w:rPr>
          <w:rFonts w:cs="MS Gothic"/>
        </w:rPr>
      </w:pPr>
      <w:r w:rsidRPr="00EE43C6">
        <w:rPr>
          <w:rFonts w:cs="MS Gothic"/>
        </w:rPr>
        <w:t xml:space="preserve">There are four endemic </w:t>
      </w:r>
      <w:r w:rsidR="5BB83A0D" w:rsidRPr="00EE43C6">
        <w:rPr>
          <w:rFonts w:cs="MS Gothic"/>
        </w:rPr>
        <w:t xml:space="preserve">species among </w:t>
      </w:r>
      <w:r w:rsidR="001E3181">
        <w:rPr>
          <w:rFonts w:cs="MS Gothic"/>
        </w:rPr>
        <w:t>the flora</w:t>
      </w:r>
      <w:r w:rsidR="001E3181" w:rsidRPr="00EE43C6">
        <w:rPr>
          <w:rFonts w:cs="MS Gothic"/>
        </w:rPr>
        <w:t xml:space="preserve"> </w:t>
      </w:r>
      <w:r w:rsidR="5BB83A0D" w:rsidRPr="00EE43C6">
        <w:rPr>
          <w:rFonts w:cs="MS Gothic"/>
        </w:rPr>
        <w:t xml:space="preserve">species. </w:t>
      </w:r>
      <w:r w:rsidR="00910DED" w:rsidRPr="00EE43C6">
        <w:rPr>
          <w:rFonts w:cs="MS Gothic"/>
        </w:rPr>
        <w:t>These are</w:t>
      </w:r>
      <w:r w:rsidR="001E3181">
        <w:rPr>
          <w:rFonts w:cs="MS Gothic"/>
        </w:rPr>
        <w:t>;</w:t>
      </w:r>
      <w:r w:rsidR="008625B7" w:rsidRPr="00EE43C6">
        <w:rPr>
          <w:rFonts w:cs="MS Gothic"/>
        </w:rPr>
        <w:t xml:space="preserve"> </w:t>
      </w:r>
      <w:r w:rsidR="008625B7" w:rsidRPr="00EE43C6">
        <w:rPr>
          <w:rFonts w:cs="Arial"/>
          <w:i/>
          <w:color w:val="000000"/>
          <w:szCs w:val="22"/>
        </w:rPr>
        <w:t xml:space="preserve">Marrubium globosum subsp. </w:t>
      </w:r>
      <w:r w:rsidR="00361A69" w:rsidRPr="00EE43C6">
        <w:rPr>
          <w:rFonts w:cs="Arial"/>
          <w:i/>
          <w:color w:val="000000"/>
          <w:szCs w:val="22"/>
        </w:rPr>
        <w:t>globosum</w:t>
      </w:r>
      <w:r w:rsidR="008625B7" w:rsidRPr="00EE43C6">
        <w:rPr>
          <w:rFonts w:cs="Arial"/>
          <w:i/>
          <w:color w:val="000000"/>
          <w:szCs w:val="22"/>
        </w:rPr>
        <w:t xml:space="preserve">, Astragalus condensatus, Arabis aubrietioides </w:t>
      </w:r>
      <w:r w:rsidR="008476E0" w:rsidRPr="00EE43C6">
        <w:rPr>
          <w:rFonts w:cs="Arial"/>
          <w:color w:val="000000"/>
          <w:szCs w:val="22"/>
        </w:rPr>
        <w:t>and</w:t>
      </w:r>
      <w:r w:rsidR="008476E0" w:rsidRPr="00EE43C6">
        <w:rPr>
          <w:rFonts w:cs="Arial"/>
          <w:i/>
          <w:iCs/>
          <w:color w:val="000000"/>
          <w:szCs w:val="22"/>
        </w:rPr>
        <w:t xml:space="preserve"> Aubrieta canescens</w:t>
      </w:r>
      <w:r w:rsidR="008476E0" w:rsidRPr="00EE43C6">
        <w:rPr>
          <w:rFonts w:cs="Arial"/>
          <w:i/>
          <w:iCs/>
          <w:color w:val="000000"/>
          <w:sz w:val="18"/>
          <w:szCs w:val="18"/>
        </w:rPr>
        <w:t>.</w:t>
      </w:r>
      <w:r w:rsidR="000B3801">
        <w:rPr>
          <w:rFonts w:cs="Arial"/>
          <w:i/>
          <w:iCs/>
          <w:color w:val="000000"/>
          <w:sz w:val="18"/>
          <w:szCs w:val="18"/>
        </w:rPr>
        <w:t xml:space="preserve"> </w:t>
      </w:r>
      <w:r w:rsidR="00742728" w:rsidRPr="002F52ED">
        <w:rPr>
          <w:rFonts w:cs="MS Gothic"/>
        </w:rPr>
        <w:t xml:space="preserve">These </w:t>
      </w:r>
      <w:r w:rsidR="00580457">
        <w:rPr>
          <w:rFonts w:cs="MS Gothic"/>
        </w:rPr>
        <w:t xml:space="preserve">four endemic </w:t>
      </w:r>
      <w:r w:rsidR="00742728" w:rsidRPr="002F52ED">
        <w:rPr>
          <w:rFonts w:cs="MS Gothic"/>
        </w:rPr>
        <w:t xml:space="preserve">species </w:t>
      </w:r>
      <w:r w:rsidR="00FF55EC">
        <w:rPr>
          <w:rFonts w:cs="MS Gothic"/>
        </w:rPr>
        <w:t>were</w:t>
      </w:r>
      <w:r w:rsidR="00742728" w:rsidRPr="002F52ED">
        <w:rPr>
          <w:rFonts w:cs="MS Gothic"/>
        </w:rPr>
        <w:t xml:space="preserve"> </w:t>
      </w:r>
      <w:r w:rsidR="00580457" w:rsidRPr="002F52ED">
        <w:rPr>
          <w:rFonts w:cs="MS Gothic"/>
        </w:rPr>
        <w:t xml:space="preserve">observed </w:t>
      </w:r>
      <w:r w:rsidR="00FF55EC" w:rsidRPr="00EE43C6">
        <w:rPr>
          <w:rFonts w:cs="MS Gothic"/>
        </w:rPr>
        <w:t>in the project area</w:t>
      </w:r>
      <w:r w:rsidR="00FF55EC">
        <w:rPr>
          <w:rFonts w:cs="MS Gothic"/>
        </w:rPr>
        <w:t xml:space="preserve"> and surroundings </w:t>
      </w:r>
      <w:r w:rsidR="000B3801">
        <w:rPr>
          <w:rFonts w:cs="MS Gothic"/>
        </w:rPr>
        <w:t xml:space="preserve">during the EIA studies. </w:t>
      </w:r>
      <w:r w:rsidR="000B3801" w:rsidRPr="005950C1">
        <w:rPr>
          <w:rFonts w:cs="MS Gothic"/>
        </w:rPr>
        <w:t xml:space="preserve">However, it should be noted that these species are widely distributed and do not require any specific conservation </w:t>
      </w:r>
      <w:r w:rsidR="000473A4" w:rsidRPr="005950C1">
        <w:rPr>
          <w:rFonts w:cs="MS Gothic"/>
        </w:rPr>
        <w:t>measures</w:t>
      </w:r>
      <w:r w:rsidR="000473A4">
        <w:rPr>
          <w:rFonts w:cs="MS Gothic"/>
        </w:rPr>
        <w:t>.</w:t>
      </w:r>
      <w:r w:rsidR="000473A4">
        <w:rPr>
          <w:rStyle w:val="CommentReference"/>
          <w:rFonts w:eastAsia="Calibri" w:cs="Arial"/>
          <w:color w:val="000000"/>
          <w:lang w:eastAsia="en-US"/>
        </w:rPr>
        <w:t xml:space="preserve"> </w:t>
      </w:r>
      <w:r w:rsidR="000473A4" w:rsidRPr="00EE43C6">
        <w:rPr>
          <w:rFonts w:cs="MS Gothic"/>
        </w:rPr>
        <w:t>In</w:t>
      </w:r>
      <w:r w:rsidR="5BB83A0D" w:rsidRPr="00EE43C6">
        <w:rPr>
          <w:rFonts w:cs="MS Gothic"/>
        </w:rPr>
        <w:t xml:space="preserve"> addition, a</w:t>
      </w:r>
      <w:r w:rsidR="5506262B" w:rsidRPr="00EE43C6">
        <w:rPr>
          <w:rFonts w:cs="MS Gothic"/>
        </w:rPr>
        <w:t>mong the flora species identified in the project area</w:t>
      </w:r>
      <w:r w:rsidR="001E5183">
        <w:rPr>
          <w:rFonts w:cs="MS Gothic"/>
        </w:rPr>
        <w:t xml:space="preserve"> and surroundings</w:t>
      </w:r>
      <w:r w:rsidR="5506262B" w:rsidRPr="00EE43C6">
        <w:rPr>
          <w:rFonts w:cs="MS Gothic"/>
        </w:rPr>
        <w:t xml:space="preserve">, </w:t>
      </w:r>
      <w:r w:rsidR="00262C02" w:rsidRPr="00EE43C6">
        <w:rPr>
          <w:rFonts w:cs="MS Gothic"/>
        </w:rPr>
        <w:t>there</w:t>
      </w:r>
      <w:r w:rsidR="5506262B" w:rsidRPr="00EE43C6">
        <w:rPr>
          <w:rFonts w:cs="MS Gothic"/>
        </w:rPr>
        <w:t xml:space="preserve"> are no endangered species according to the International Union for Conservation of Nature (IUCN) Red List</w:t>
      </w:r>
      <w:r w:rsidR="5BB83A0D" w:rsidRPr="00EE43C6">
        <w:rPr>
          <w:rFonts w:cs="MS Gothic"/>
        </w:rPr>
        <w:t>.</w:t>
      </w:r>
    </w:p>
    <w:p w14:paraId="27F0394E" w14:textId="77777777" w:rsidR="00082434" w:rsidRPr="00EE43C6" w:rsidRDefault="00082434" w:rsidP="00082434">
      <w:pPr>
        <w:spacing w:line="240" w:lineRule="auto"/>
        <w:rPr>
          <w:rFonts w:eastAsia="Cambria" w:cs="MS Gothic"/>
          <w:b/>
          <w:i/>
          <w:u w:val="single"/>
        </w:rPr>
      </w:pPr>
      <w:r w:rsidRPr="00EE43C6">
        <w:rPr>
          <w:rFonts w:eastAsia="Calibri" w:cs="Arial"/>
          <w:b/>
          <w:i/>
          <w:u w:val="single"/>
        </w:rPr>
        <w:t>Fauna</w:t>
      </w:r>
    </w:p>
    <w:p w14:paraId="45D33C2E" w14:textId="77777777" w:rsidR="00082434" w:rsidRPr="00EE43C6" w:rsidRDefault="00082434" w:rsidP="00082434">
      <w:pPr>
        <w:rPr>
          <w:rFonts w:cs="MS Gothic"/>
          <w:i/>
          <w:szCs w:val="22"/>
          <w:u w:val="single"/>
        </w:rPr>
      </w:pPr>
      <w:r w:rsidRPr="00EE43C6">
        <w:rPr>
          <w:rFonts w:cs="MS Gothic"/>
          <w:i/>
          <w:szCs w:val="22"/>
          <w:u w:val="single"/>
        </w:rPr>
        <w:t>Amphibians</w:t>
      </w:r>
    </w:p>
    <w:p w14:paraId="690FDD2B" w14:textId="74A3B098" w:rsidR="00261712" w:rsidRPr="00EE43C6" w:rsidRDefault="00C159ED" w:rsidP="00082434">
      <w:pPr>
        <w:spacing w:before="360" w:after="360"/>
        <w:rPr>
          <w:rFonts w:cs="MS Gothic"/>
          <w:szCs w:val="22"/>
        </w:rPr>
      </w:pPr>
      <w:r w:rsidRPr="002F52ED">
        <w:rPr>
          <w:rFonts w:cs="MS Gothic"/>
          <w:szCs w:val="22"/>
        </w:rPr>
        <w:t>During the EIA</w:t>
      </w:r>
      <w:r w:rsidRPr="00EE43C6">
        <w:rPr>
          <w:rFonts w:cs="MS Gothic"/>
          <w:szCs w:val="22"/>
        </w:rPr>
        <w:t xml:space="preserve"> </w:t>
      </w:r>
      <w:r>
        <w:rPr>
          <w:rFonts w:cs="MS Gothic"/>
          <w:szCs w:val="22"/>
        </w:rPr>
        <w:t xml:space="preserve">studies, </w:t>
      </w:r>
      <w:r w:rsidR="00400858" w:rsidRPr="00EE43C6">
        <w:rPr>
          <w:rFonts w:cs="MS Gothic"/>
          <w:szCs w:val="22"/>
        </w:rPr>
        <w:t>a</w:t>
      </w:r>
      <w:r w:rsidR="00082434" w:rsidRPr="00EE43C6">
        <w:rPr>
          <w:rFonts w:cs="MS Gothic"/>
          <w:szCs w:val="22"/>
        </w:rPr>
        <w:t xml:space="preserve"> total of </w:t>
      </w:r>
      <w:r w:rsidR="000467BA" w:rsidRPr="00EE43C6">
        <w:rPr>
          <w:rFonts w:cs="MS Gothic"/>
          <w:szCs w:val="22"/>
        </w:rPr>
        <w:t>3</w:t>
      </w:r>
      <w:r w:rsidR="00082434" w:rsidRPr="00EE43C6">
        <w:rPr>
          <w:rFonts w:cs="MS Gothic"/>
          <w:szCs w:val="22"/>
        </w:rPr>
        <w:t xml:space="preserve"> Amphibian species belonging to </w:t>
      </w:r>
      <w:r w:rsidR="000467BA" w:rsidRPr="00EE43C6">
        <w:rPr>
          <w:rFonts w:cs="MS Gothic"/>
          <w:szCs w:val="22"/>
        </w:rPr>
        <w:t>3</w:t>
      </w:r>
      <w:r w:rsidR="00082434" w:rsidRPr="00EE43C6">
        <w:rPr>
          <w:rFonts w:cs="MS Gothic"/>
          <w:szCs w:val="22"/>
        </w:rPr>
        <w:t xml:space="preserve"> family were identified in the area</w:t>
      </w:r>
      <w:r w:rsidR="004A1F52">
        <w:rPr>
          <w:rFonts w:cs="MS Gothic"/>
          <w:szCs w:val="22"/>
        </w:rPr>
        <w:t xml:space="preserve"> </w:t>
      </w:r>
      <w:r w:rsidR="004A1F52" w:rsidRPr="002F52ED">
        <w:rPr>
          <w:rFonts w:cs="MS Gothic"/>
          <w:szCs w:val="22"/>
        </w:rPr>
        <w:t>through literature research</w:t>
      </w:r>
      <w:r w:rsidR="00082434" w:rsidRPr="00EE43C6">
        <w:rPr>
          <w:rFonts w:cs="MS Gothic"/>
          <w:szCs w:val="22"/>
        </w:rPr>
        <w:t xml:space="preserve">. </w:t>
      </w:r>
      <w:r w:rsidR="00BB3DD3" w:rsidRPr="002F52ED">
        <w:rPr>
          <w:rFonts w:cs="MS Gothic"/>
          <w:szCs w:val="22"/>
        </w:rPr>
        <w:t>Furthermore, during the ESMP study, habitat suitability was assessed for these species.</w:t>
      </w:r>
      <w:r w:rsidR="00BB3DD3" w:rsidRPr="00EE43C6">
        <w:rPr>
          <w:rFonts w:cs="MS Gothic"/>
          <w:szCs w:val="22"/>
        </w:rPr>
        <w:t xml:space="preserve"> </w:t>
      </w:r>
      <w:r w:rsidR="00082434" w:rsidRPr="00EE43C6">
        <w:rPr>
          <w:rFonts w:cs="MS Gothic"/>
          <w:szCs w:val="22"/>
        </w:rPr>
        <w:t xml:space="preserve">Systematic information on these species and conservation status belonging to species are given in </w:t>
      </w:r>
      <w:r w:rsidR="00082434" w:rsidRPr="00EE43C6">
        <w:rPr>
          <w:rFonts w:cs="MS Gothic"/>
          <w:szCs w:val="22"/>
        </w:rPr>
        <w:fldChar w:fldCharType="begin"/>
      </w:r>
      <w:r w:rsidR="00082434" w:rsidRPr="00EE43C6">
        <w:rPr>
          <w:rFonts w:cs="MS Gothic"/>
          <w:szCs w:val="22"/>
        </w:rPr>
        <w:instrText xml:space="preserve"> REF _Ref120284058 \h  \* MERGEFORMAT </w:instrText>
      </w:r>
      <w:r w:rsidR="00082434" w:rsidRPr="00EE43C6">
        <w:rPr>
          <w:rFonts w:cs="MS Gothic"/>
          <w:szCs w:val="22"/>
        </w:rPr>
      </w:r>
      <w:r w:rsidR="00082434" w:rsidRPr="00EE43C6">
        <w:rPr>
          <w:rFonts w:cs="MS Gothic"/>
          <w:szCs w:val="22"/>
        </w:rPr>
        <w:fldChar w:fldCharType="separate"/>
      </w:r>
      <w:r w:rsidR="00CE3B94" w:rsidRPr="00EE43C6">
        <w:t>Table 4</w:t>
      </w:r>
      <w:r w:rsidR="00CE3B94" w:rsidRPr="00EE43C6">
        <w:noBreakHyphen/>
        <w:t>4</w:t>
      </w:r>
      <w:r w:rsidR="00082434" w:rsidRPr="00EE43C6">
        <w:rPr>
          <w:rFonts w:cs="MS Gothic"/>
          <w:szCs w:val="22"/>
        </w:rPr>
        <w:fldChar w:fldCharType="end"/>
      </w:r>
      <w:r w:rsidR="00082434" w:rsidRPr="00EE43C6">
        <w:rPr>
          <w:rFonts w:cs="MS Gothic"/>
          <w:szCs w:val="22"/>
        </w:rPr>
        <w:t>.</w:t>
      </w:r>
    </w:p>
    <w:p w14:paraId="4C13A6C6" w14:textId="4DC065D8" w:rsidR="000467BA" w:rsidRPr="00EE43C6" w:rsidRDefault="00082434" w:rsidP="00082434">
      <w:pPr>
        <w:spacing w:before="360" w:after="360"/>
        <w:rPr>
          <w:rFonts w:cs="MS Gothic"/>
          <w:szCs w:val="22"/>
        </w:rPr>
      </w:pPr>
      <w:r w:rsidRPr="00EE43C6">
        <w:rPr>
          <w:rFonts w:cs="MS Gothic"/>
          <w:szCs w:val="22"/>
        </w:rPr>
        <w:t xml:space="preserve">In terms of IUCN Red List, </w:t>
      </w:r>
      <w:r w:rsidR="000467BA" w:rsidRPr="00EE43C6">
        <w:rPr>
          <w:rFonts w:cs="MS Gothic"/>
          <w:i/>
          <w:szCs w:val="22"/>
        </w:rPr>
        <w:t>Bufotes</w:t>
      </w:r>
      <w:r w:rsidRPr="00EE43C6">
        <w:rPr>
          <w:rFonts w:cs="MS Gothic"/>
          <w:i/>
          <w:szCs w:val="22"/>
        </w:rPr>
        <w:t xml:space="preserve"> viridis</w:t>
      </w:r>
      <w:r w:rsidRPr="00EE43C6">
        <w:rPr>
          <w:rFonts w:cs="MS Gothic"/>
          <w:szCs w:val="22"/>
        </w:rPr>
        <w:t xml:space="preserve"> is in LC (</w:t>
      </w:r>
      <w:r w:rsidR="00D705C5" w:rsidRPr="00EE43C6">
        <w:rPr>
          <w:rFonts w:cs="MS Gothic"/>
          <w:szCs w:val="22"/>
        </w:rPr>
        <w:t>Least Concern</w:t>
      </w:r>
      <w:r w:rsidRPr="00EE43C6">
        <w:rPr>
          <w:rFonts w:cs="MS Gothic"/>
          <w:szCs w:val="22"/>
        </w:rPr>
        <w:t xml:space="preserve">) category. According to Bern Convention, </w:t>
      </w:r>
      <w:r w:rsidRPr="00EE43C6">
        <w:rPr>
          <w:rFonts w:cs="MS Gothic"/>
          <w:i/>
          <w:szCs w:val="22"/>
        </w:rPr>
        <w:t>Pseudepidalea viridis</w:t>
      </w:r>
      <w:r w:rsidRPr="00EE43C6">
        <w:rPr>
          <w:rFonts w:cs="MS Gothic"/>
          <w:szCs w:val="22"/>
        </w:rPr>
        <w:t xml:space="preserve"> is in the list of Appendix II: Strictly protected fauna species. </w:t>
      </w:r>
      <w:r w:rsidRPr="00EE43C6">
        <w:rPr>
          <w:rFonts w:cs="MS Gothic"/>
          <w:i/>
          <w:szCs w:val="22"/>
        </w:rPr>
        <w:t>Pseudepidalea viridis</w:t>
      </w:r>
      <w:r w:rsidRPr="00EE43C6">
        <w:rPr>
          <w:rFonts w:cs="MS Gothic"/>
          <w:szCs w:val="22"/>
        </w:rPr>
        <w:t xml:space="preserve"> is widely spread species.</w:t>
      </w:r>
      <w:r w:rsidR="001E5AFF" w:rsidRPr="00EE43C6">
        <w:rPr>
          <w:rFonts w:cs="MS Gothic"/>
          <w:szCs w:val="22"/>
        </w:rPr>
        <w:t xml:space="preserve"> </w:t>
      </w:r>
      <w:r w:rsidR="00BA5D76" w:rsidRPr="00EE43C6">
        <w:rPr>
          <w:rFonts w:cs="MS Gothic"/>
          <w:szCs w:val="22"/>
        </w:rPr>
        <w:t xml:space="preserve">Similarly, </w:t>
      </w:r>
      <w:r w:rsidR="00BA5D76" w:rsidRPr="00EE43C6">
        <w:rPr>
          <w:rFonts w:cs="MS Gothic"/>
          <w:i/>
          <w:szCs w:val="22"/>
        </w:rPr>
        <w:t>Pelophylax ridibundus</w:t>
      </w:r>
      <w:r w:rsidR="00BA5D76" w:rsidRPr="00EE43C6">
        <w:rPr>
          <w:rFonts w:cs="MS Gothic"/>
          <w:szCs w:val="22"/>
        </w:rPr>
        <w:t xml:space="preserve"> and </w:t>
      </w:r>
      <w:r w:rsidR="00BA5D76" w:rsidRPr="00EE43C6">
        <w:rPr>
          <w:rFonts w:cs="MS Gothic"/>
          <w:i/>
          <w:szCs w:val="22"/>
        </w:rPr>
        <w:t xml:space="preserve">Salamandra infraimmaculata </w:t>
      </w:r>
      <w:r w:rsidR="00BA5D76" w:rsidRPr="00EE43C6">
        <w:rPr>
          <w:rFonts w:cs="MS Gothic"/>
          <w:szCs w:val="22"/>
        </w:rPr>
        <w:t>are also in the LC category</w:t>
      </w:r>
      <w:r w:rsidR="00F820C7" w:rsidRPr="00EE43C6">
        <w:rPr>
          <w:rFonts w:cs="MS Gothic"/>
          <w:szCs w:val="22"/>
        </w:rPr>
        <w:t xml:space="preserve"> and they are in the Appendix II</w:t>
      </w:r>
      <w:r w:rsidR="0010352F" w:rsidRPr="00EE43C6">
        <w:rPr>
          <w:rFonts w:cs="MS Gothic"/>
          <w:szCs w:val="22"/>
        </w:rPr>
        <w:t xml:space="preserve">I: </w:t>
      </w:r>
      <w:r w:rsidR="0010352F" w:rsidRPr="00EE43C6">
        <w:t>Protected fauna species</w:t>
      </w:r>
      <w:r w:rsidR="00F820C7" w:rsidRPr="00EE43C6">
        <w:rPr>
          <w:rFonts w:cs="MS Gothic"/>
          <w:szCs w:val="22"/>
        </w:rPr>
        <w:t xml:space="preserve"> list in the Bern Convention</w:t>
      </w:r>
      <w:r w:rsidR="00B54354" w:rsidRPr="00EE43C6">
        <w:rPr>
          <w:rFonts w:cs="MS Gothic"/>
          <w:szCs w:val="22"/>
        </w:rPr>
        <w:t>.</w:t>
      </w:r>
    </w:p>
    <w:p w14:paraId="66D3175E" w14:textId="7E2D2685" w:rsidR="00082434" w:rsidRPr="00EE43C6" w:rsidRDefault="00082434" w:rsidP="00082434">
      <w:pPr>
        <w:pStyle w:val="Caption"/>
        <w:rPr>
          <w:rFonts w:eastAsia="Cambria" w:cs="MS Gothic"/>
          <w:b w:val="0"/>
          <w:noProof w:val="0"/>
        </w:rPr>
      </w:pPr>
      <w:bookmarkStart w:id="337" w:name="_Ref120284058"/>
      <w:bookmarkStart w:id="338" w:name="_Toc109643796"/>
      <w:bookmarkStart w:id="339" w:name="_Toc120016852"/>
      <w:bookmarkStart w:id="340" w:name="_Toc120004630"/>
      <w:bookmarkStart w:id="341" w:name="_Toc122089688"/>
      <w:bookmarkStart w:id="342" w:name="_Toc141445499"/>
      <w:r w:rsidRPr="00EE43C6">
        <w:rPr>
          <w:noProof w:val="0"/>
        </w:rPr>
        <w:lastRenderedPageBreak/>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4</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4</w:t>
      </w:r>
      <w:r w:rsidR="006D2DE8">
        <w:rPr>
          <w:noProof w:val="0"/>
        </w:rPr>
        <w:fldChar w:fldCharType="end"/>
      </w:r>
      <w:bookmarkEnd w:id="337"/>
      <w:r w:rsidRPr="00EE43C6">
        <w:rPr>
          <w:noProof w:val="0"/>
        </w:rPr>
        <w:t xml:space="preserve">. </w:t>
      </w:r>
      <w:r w:rsidRPr="00EE43C6">
        <w:rPr>
          <w:rFonts w:cs="MS Gothic"/>
          <w:b w:val="0"/>
          <w:noProof w:val="0"/>
          <w:color w:val="auto"/>
        </w:rPr>
        <w:t>Amphibian Species Identified in the AoI as a Result of Studies</w:t>
      </w:r>
      <w:r w:rsidRPr="00EE43C6">
        <w:rPr>
          <w:rStyle w:val="FootnoteReference"/>
          <w:rFonts w:cs="MS Gothic"/>
          <w:b w:val="0"/>
          <w:noProof w:val="0"/>
          <w:color w:val="auto"/>
        </w:rPr>
        <w:footnoteReference w:id="8"/>
      </w:r>
      <w:r w:rsidRPr="00EE43C6">
        <w:rPr>
          <w:rStyle w:val="FootnoteReference"/>
          <w:rFonts w:cs="MS Gothic"/>
          <w:b w:val="0"/>
          <w:noProof w:val="0"/>
          <w:color w:val="auto"/>
        </w:rPr>
        <w:footnoteReference w:id="9"/>
      </w:r>
      <w:r w:rsidRPr="00EE43C6">
        <w:rPr>
          <w:rStyle w:val="FootnoteReference"/>
          <w:rFonts w:cs="MS Gothic"/>
          <w:b w:val="0"/>
          <w:noProof w:val="0"/>
          <w:color w:val="auto"/>
        </w:rPr>
        <w:footnoteReference w:id="10"/>
      </w:r>
      <w:bookmarkEnd w:id="338"/>
      <w:bookmarkEnd w:id="339"/>
      <w:bookmarkEnd w:id="340"/>
      <w:bookmarkEnd w:id="341"/>
      <w:bookmarkEnd w:id="342"/>
    </w:p>
    <w:tbl>
      <w:tblPr>
        <w:tblW w:w="5000" w:type="pct"/>
        <w:tblCellMar>
          <w:left w:w="0" w:type="dxa"/>
          <w:right w:w="0" w:type="dxa"/>
        </w:tblCellMar>
        <w:tblLook w:val="04A0" w:firstRow="1" w:lastRow="0" w:firstColumn="1" w:lastColumn="0" w:noHBand="0" w:noVBand="1"/>
      </w:tblPr>
      <w:tblGrid>
        <w:gridCol w:w="2513"/>
        <w:gridCol w:w="1633"/>
        <w:gridCol w:w="1633"/>
        <w:gridCol w:w="1633"/>
        <w:gridCol w:w="1632"/>
      </w:tblGrid>
      <w:tr w:rsidR="00082434" w:rsidRPr="00EE43C6" w14:paraId="371DF2A2" w14:textId="77777777" w:rsidTr="00C63888">
        <w:trPr>
          <w:trHeight w:val="284"/>
        </w:trPr>
        <w:tc>
          <w:tcPr>
            <w:tcW w:w="1389" w:type="pct"/>
            <w:tcBorders>
              <w:top w:val="single" w:sz="8" w:space="0" w:color="auto"/>
              <w:left w:val="single" w:sz="8" w:space="0" w:color="auto"/>
              <w:bottom w:val="single" w:sz="8" w:space="0" w:color="auto"/>
              <w:right w:val="single" w:sz="8" w:space="0" w:color="auto"/>
            </w:tcBorders>
            <w:shd w:val="clear" w:color="auto" w:fill="4F81BD"/>
            <w:tcMar>
              <w:top w:w="0" w:type="dxa"/>
              <w:left w:w="108" w:type="dxa"/>
              <w:bottom w:w="0" w:type="dxa"/>
              <w:right w:w="108" w:type="dxa"/>
            </w:tcMar>
            <w:vAlign w:val="center"/>
            <w:hideMark/>
          </w:tcPr>
          <w:p w14:paraId="4B3456AD" w14:textId="77777777" w:rsidR="00082434" w:rsidRPr="00EE43C6" w:rsidRDefault="00082434">
            <w:pPr>
              <w:spacing w:before="0" w:after="0" w:line="240" w:lineRule="auto"/>
              <w:jc w:val="center"/>
              <w:rPr>
                <w:rFonts w:eastAsia="Cambria" w:cs="MS Gothic"/>
                <w:b/>
                <w:color w:val="FFFFFF" w:themeColor="background1"/>
                <w:sz w:val="18"/>
                <w:szCs w:val="18"/>
              </w:rPr>
            </w:pPr>
            <w:r w:rsidRPr="00EE43C6">
              <w:rPr>
                <w:rFonts w:eastAsia="Cambria" w:cs="MS Gothic"/>
                <w:b/>
                <w:color w:val="FFFFFF" w:themeColor="background1"/>
                <w:sz w:val="18"/>
                <w:szCs w:val="18"/>
              </w:rPr>
              <w:t>Species Name</w:t>
            </w:r>
          </w:p>
        </w:tc>
        <w:tc>
          <w:tcPr>
            <w:tcW w:w="903" w:type="pct"/>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31EE0969" w14:textId="484DD71F" w:rsidR="00082434" w:rsidRPr="00EE43C6" w:rsidRDefault="00082434">
            <w:pPr>
              <w:spacing w:before="0" w:after="0" w:line="240" w:lineRule="auto"/>
              <w:jc w:val="center"/>
              <w:rPr>
                <w:rFonts w:eastAsia="Cambria" w:cs="MS Gothic"/>
                <w:b/>
                <w:color w:val="FFFFFF" w:themeColor="background1"/>
                <w:sz w:val="18"/>
                <w:szCs w:val="18"/>
              </w:rPr>
            </w:pPr>
            <w:r w:rsidRPr="00EE43C6">
              <w:rPr>
                <w:rFonts w:eastAsia="Cambria" w:cs="MS Gothic"/>
                <w:b/>
                <w:color w:val="FFFFFF" w:themeColor="background1"/>
                <w:sz w:val="18"/>
                <w:szCs w:val="18"/>
              </w:rPr>
              <w:t xml:space="preserve">Common </w:t>
            </w:r>
            <w:r w:rsidR="0091192C" w:rsidRPr="00EE43C6">
              <w:rPr>
                <w:rFonts w:eastAsia="Cambria" w:cs="MS Gothic"/>
                <w:b/>
                <w:color w:val="FFFFFF" w:themeColor="background1"/>
                <w:sz w:val="18"/>
                <w:szCs w:val="18"/>
              </w:rPr>
              <w:t>Name</w:t>
            </w:r>
          </w:p>
        </w:tc>
        <w:tc>
          <w:tcPr>
            <w:tcW w:w="903" w:type="pct"/>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13EBBD77" w14:textId="59A23564" w:rsidR="00082434" w:rsidRPr="00EE43C6" w:rsidRDefault="00D705C5">
            <w:pPr>
              <w:spacing w:before="0" w:after="0" w:line="240" w:lineRule="auto"/>
              <w:jc w:val="center"/>
              <w:rPr>
                <w:rFonts w:eastAsia="Cambria" w:cs="MS Gothic"/>
                <w:b/>
                <w:color w:val="FFFFFF" w:themeColor="background1"/>
                <w:sz w:val="18"/>
                <w:szCs w:val="18"/>
              </w:rPr>
            </w:pPr>
            <w:r w:rsidRPr="00EE43C6">
              <w:rPr>
                <w:rFonts w:eastAsia="Cambria" w:cs="MS Gothic"/>
                <w:b/>
                <w:color w:val="FFFFFF" w:themeColor="background1"/>
                <w:sz w:val="18"/>
                <w:szCs w:val="18"/>
              </w:rPr>
              <w:t>Endemism</w:t>
            </w:r>
          </w:p>
        </w:tc>
        <w:tc>
          <w:tcPr>
            <w:tcW w:w="903" w:type="pct"/>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55D03A2C" w14:textId="77777777" w:rsidR="00082434" w:rsidRPr="00EE43C6" w:rsidRDefault="00082434">
            <w:pPr>
              <w:spacing w:before="0" w:after="0" w:line="240" w:lineRule="auto"/>
              <w:jc w:val="center"/>
              <w:rPr>
                <w:rFonts w:eastAsia="Cambria" w:cs="MS Gothic"/>
                <w:b/>
                <w:color w:val="FFFFFF" w:themeColor="background1"/>
                <w:sz w:val="18"/>
                <w:szCs w:val="18"/>
              </w:rPr>
            </w:pPr>
            <w:r w:rsidRPr="00EE43C6">
              <w:rPr>
                <w:rFonts w:eastAsia="Cambria" w:cs="MS Gothic"/>
                <w:b/>
                <w:color w:val="FFFFFF" w:themeColor="background1"/>
                <w:sz w:val="18"/>
                <w:szCs w:val="18"/>
              </w:rPr>
              <w:t>IUCN</w:t>
            </w:r>
          </w:p>
        </w:tc>
        <w:tc>
          <w:tcPr>
            <w:tcW w:w="903" w:type="pct"/>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30548FD0" w14:textId="77777777" w:rsidR="00082434" w:rsidRPr="00EE43C6" w:rsidRDefault="00082434">
            <w:pPr>
              <w:spacing w:before="0" w:after="0" w:line="240" w:lineRule="auto"/>
              <w:jc w:val="center"/>
              <w:rPr>
                <w:rFonts w:eastAsia="Cambria" w:cs="MS Gothic"/>
                <w:b/>
                <w:color w:val="FFFFFF" w:themeColor="background1"/>
                <w:sz w:val="18"/>
                <w:szCs w:val="18"/>
              </w:rPr>
            </w:pPr>
            <w:r w:rsidRPr="00EE43C6">
              <w:rPr>
                <w:rFonts w:eastAsia="Cambria" w:cs="MS Gothic"/>
                <w:b/>
                <w:color w:val="FFFFFF" w:themeColor="background1"/>
                <w:sz w:val="18"/>
                <w:szCs w:val="18"/>
              </w:rPr>
              <w:t>BERN</w:t>
            </w:r>
          </w:p>
        </w:tc>
      </w:tr>
      <w:tr w:rsidR="00082434" w:rsidRPr="00EE43C6" w14:paraId="03D92E6A" w14:textId="77777777" w:rsidTr="00C6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4"/>
        </w:trPr>
        <w:tc>
          <w:tcPr>
            <w:tcW w:w="1389" w:type="pct"/>
            <w:vAlign w:val="center"/>
          </w:tcPr>
          <w:p w14:paraId="12F2030D" w14:textId="77777777" w:rsidR="00082434" w:rsidRPr="00EE43C6" w:rsidRDefault="00082434">
            <w:pPr>
              <w:spacing w:before="0" w:after="0" w:line="240" w:lineRule="auto"/>
              <w:jc w:val="left"/>
              <w:rPr>
                <w:rFonts w:eastAsia="Cambria" w:cs="MS Gothic"/>
                <w:sz w:val="18"/>
                <w:szCs w:val="18"/>
              </w:rPr>
            </w:pPr>
            <w:bookmarkStart w:id="343" w:name="_Toc85662593"/>
            <w:bookmarkStart w:id="344" w:name="_Toc87888970"/>
            <w:r w:rsidRPr="00EE43C6">
              <w:rPr>
                <w:rFonts w:eastAsia="Cambria" w:cs="MS Gothic"/>
                <w:b/>
                <w:sz w:val="18"/>
                <w:szCs w:val="18"/>
              </w:rPr>
              <w:t>Bufonidae</w:t>
            </w:r>
          </w:p>
        </w:tc>
        <w:tc>
          <w:tcPr>
            <w:tcW w:w="903" w:type="pct"/>
            <w:vAlign w:val="center"/>
          </w:tcPr>
          <w:p w14:paraId="696BC729" w14:textId="77777777" w:rsidR="00082434" w:rsidRPr="00EE43C6" w:rsidRDefault="00082434">
            <w:pPr>
              <w:spacing w:before="0" w:after="0" w:line="240" w:lineRule="auto"/>
              <w:jc w:val="center"/>
              <w:rPr>
                <w:rFonts w:eastAsia="Cambria" w:cs="MS Gothic"/>
                <w:sz w:val="18"/>
                <w:szCs w:val="18"/>
              </w:rPr>
            </w:pPr>
          </w:p>
        </w:tc>
        <w:tc>
          <w:tcPr>
            <w:tcW w:w="903" w:type="pct"/>
            <w:vAlign w:val="center"/>
          </w:tcPr>
          <w:p w14:paraId="66C46DFF" w14:textId="77777777" w:rsidR="00082434" w:rsidRPr="00EE43C6" w:rsidRDefault="00082434">
            <w:pPr>
              <w:spacing w:before="0" w:after="0" w:line="240" w:lineRule="auto"/>
              <w:jc w:val="center"/>
              <w:rPr>
                <w:rFonts w:eastAsia="Cambria" w:cs="MS Gothic"/>
                <w:sz w:val="18"/>
                <w:szCs w:val="18"/>
              </w:rPr>
            </w:pPr>
          </w:p>
        </w:tc>
        <w:tc>
          <w:tcPr>
            <w:tcW w:w="903" w:type="pct"/>
            <w:vAlign w:val="center"/>
          </w:tcPr>
          <w:p w14:paraId="18BCC461" w14:textId="77777777" w:rsidR="00082434" w:rsidRPr="00EE43C6" w:rsidRDefault="00082434">
            <w:pPr>
              <w:spacing w:before="0" w:after="0" w:line="240" w:lineRule="auto"/>
              <w:jc w:val="center"/>
              <w:rPr>
                <w:rFonts w:eastAsia="Cambria" w:cs="MS Gothic"/>
                <w:sz w:val="18"/>
                <w:szCs w:val="18"/>
              </w:rPr>
            </w:pPr>
          </w:p>
        </w:tc>
        <w:tc>
          <w:tcPr>
            <w:tcW w:w="903" w:type="pct"/>
            <w:vAlign w:val="center"/>
          </w:tcPr>
          <w:p w14:paraId="1CC67091" w14:textId="77777777" w:rsidR="00082434" w:rsidRPr="00EE43C6" w:rsidRDefault="00082434">
            <w:pPr>
              <w:spacing w:before="0" w:after="0" w:line="240" w:lineRule="auto"/>
              <w:jc w:val="center"/>
              <w:rPr>
                <w:rFonts w:eastAsia="Cambria" w:cs="MS Gothic"/>
                <w:sz w:val="18"/>
                <w:szCs w:val="18"/>
              </w:rPr>
            </w:pPr>
          </w:p>
        </w:tc>
      </w:tr>
      <w:tr w:rsidR="00082434" w:rsidRPr="00EE43C6" w14:paraId="0760A294" w14:textId="77777777" w:rsidTr="00C6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4"/>
        </w:trPr>
        <w:tc>
          <w:tcPr>
            <w:tcW w:w="1389" w:type="pct"/>
            <w:vAlign w:val="center"/>
          </w:tcPr>
          <w:p w14:paraId="3DD653C7" w14:textId="3316BC21" w:rsidR="00082434" w:rsidRPr="00EE43C6" w:rsidRDefault="003A3D6B">
            <w:pPr>
              <w:spacing w:before="0" w:after="0" w:line="240" w:lineRule="auto"/>
              <w:jc w:val="left"/>
              <w:rPr>
                <w:rFonts w:eastAsia="Cambria" w:cs="MS Gothic"/>
                <w:i/>
                <w:sz w:val="18"/>
                <w:szCs w:val="18"/>
              </w:rPr>
            </w:pPr>
            <w:r w:rsidRPr="00EE43C6">
              <w:rPr>
                <w:rFonts w:eastAsia="Cambria" w:cs="MS Gothic"/>
                <w:i/>
                <w:sz w:val="18"/>
                <w:szCs w:val="18"/>
              </w:rPr>
              <w:t>Bufotes viridis</w:t>
            </w:r>
          </w:p>
        </w:tc>
        <w:tc>
          <w:tcPr>
            <w:tcW w:w="903" w:type="pct"/>
            <w:vAlign w:val="center"/>
          </w:tcPr>
          <w:p w14:paraId="6258C6C4" w14:textId="77777777" w:rsidR="00082434" w:rsidRPr="00EE43C6" w:rsidRDefault="00082434">
            <w:pPr>
              <w:spacing w:before="0" w:after="0" w:line="240" w:lineRule="auto"/>
              <w:jc w:val="center"/>
              <w:rPr>
                <w:rFonts w:eastAsia="Cambria" w:cs="MS Gothic"/>
                <w:sz w:val="18"/>
                <w:szCs w:val="18"/>
              </w:rPr>
            </w:pPr>
            <w:r w:rsidRPr="00EE43C6">
              <w:rPr>
                <w:rFonts w:eastAsia="Cambria" w:cs="MS Gothic"/>
                <w:sz w:val="18"/>
                <w:szCs w:val="18"/>
              </w:rPr>
              <w:t>Green Toad</w:t>
            </w:r>
          </w:p>
        </w:tc>
        <w:tc>
          <w:tcPr>
            <w:tcW w:w="903" w:type="pct"/>
            <w:vAlign w:val="center"/>
          </w:tcPr>
          <w:p w14:paraId="02CE465E" w14:textId="77777777" w:rsidR="00082434" w:rsidRPr="00EE43C6" w:rsidRDefault="00082434">
            <w:pPr>
              <w:spacing w:before="0" w:after="0" w:line="240" w:lineRule="auto"/>
              <w:jc w:val="center"/>
              <w:rPr>
                <w:rFonts w:eastAsia="Cambria" w:cs="MS Gothic"/>
                <w:sz w:val="18"/>
                <w:szCs w:val="18"/>
              </w:rPr>
            </w:pPr>
            <w:r w:rsidRPr="00EE43C6">
              <w:rPr>
                <w:rFonts w:eastAsia="Cambria" w:cs="MS Gothic"/>
                <w:sz w:val="18"/>
                <w:szCs w:val="18"/>
              </w:rPr>
              <w:t>-</w:t>
            </w:r>
          </w:p>
        </w:tc>
        <w:tc>
          <w:tcPr>
            <w:tcW w:w="903" w:type="pct"/>
            <w:vAlign w:val="center"/>
          </w:tcPr>
          <w:p w14:paraId="3E6E2C9C" w14:textId="77777777" w:rsidR="00082434" w:rsidRPr="00EE43C6" w:rsidRDefault="00082434">
            <w:pPr>
              <w:spacing w:before="0" w:after="0" w:line="240" w:lineRule="auto"/>
              <w:jc w:val="center"/>
              <w:rPr>
                <w:rFonts w:eastAsia="Cambria" w:cs="MS Gothic"/>
                <w:sz w:val="18"/>
                <w:szCs w:val="18"/>
              </w:rPr>
            </w:pPr>
            <w:r w:rsidRPr="00EE43C6">
              <w:rPr>
                <w:rFonts w:eastAsia="Cambria" w:cs="MS Gothic"/>
                <w:sz w:val="18"/>
                <w:szCs w:val="18"/>
              </w:rPr>
              <w:t>LC</w:t>
            </w:r>
          </w:p>
        </w:tc>
        <w:tc>
          <w:tcPr>
            <w:tcW w:w="903" w:type="pct"/>
            <w:vAlign w:val="center"/>
          </w:tcPr>
          <w:p w14:paraId="23B239D0" w14:textId="19C31B1D" w:rsidR="00082434" w:rsidRPr="00EE43C6" w:rsidRDefault="00082434">
            <w:pPr>
              <w:spacing w:before="0" w:after="0" w:line="240" w:lineRule="auto"/>
              <w:jc w:val="center"/>
              <w:rPr>
                <w:rFonts w:eastAsia="Cambria" w:cs="MS Gothic"/>
                <w:sz w:val="18"/>
                <w:szCs w:val="18"/>
              </w:rPr>
            </w:pPr>
            <w:r w:rsidRPr="00EE43C6">
              <w:rPr>
                <w:rFonts w:eastAsia="Cambria" w:cs="MS Gothic"/>
                <w:sz w:val="18"/>
                <w:szCs w:val="18"/>
              </w:rPr>
              <w:t>App-2</w:t>
            </w:r>
          </w:p>
        </w:tc>
      </w:tr>
      <w:tr w:rsidR="003A3D6B" w:rsidRPr="00EE43C6" w14:paraId="34085583" w14:textId="77777777" w:rsidTr="00C6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4"/>
        </w:trPr>
        <w:tc>
          <w:tcPr>
            <w:tcW w:w="1389" w:type="pct"/>
            <w:vAlign w:val="center"/>
          </w:tcPr>
          <w:p w14:paraId="1C2730B7" w14:textId="558F7705" w:rsidR="003A3D6B" w:rsidRPr="00EE43C6" w:rsidRDefault="003A3D6B">
            <w:pPr>
              <w:spacing w:before="0" w:after="0" w:line="240" w:lineRule="auto"/>
              <w:jc w:val="left"/>
              <w:rPr>
                <w:rFonts w:eastAsia="Cambria" w:cs="MS Gothic"/>
                <w:i/>
                <w:sz w:val="18"/>
                <w:szCs w:val="18"/>
              </w:rPr>
            </w:pPr>
            <w:r w:rsidRPr="00EE43C6">
              <w:rPr>
                <w:rFonts w:eastAsia="Cambria" w:cs="MS Gothic"/>
                <w:b/>
                <w:sz w:val="18"/>
                <w:szCs w:val="18"/>
              </w:rPr>
              <w:t>Ranidae</w:t>
            </w:r>
          </w:p>
        </w:tc>
        <w:tc>
          <w:tcPr>
            <w:tcW w:w="903" w:type="pct"/>
            <w:vAlign w:val="center"/>
          </w:tcPr>
          <w:p w14:paraId="2684A53D" w14:textId="77777777" w:rsidR="003A3D6B" w:rsidRPr="00EE43C6" w:rsidRDefault="003A3D6B">
            <w:pPr>
              <w:spacing w:before="0" w:after="0" w:line="240" w:lineRule="auto"/>
              <w:jc w:val="center"/>
              <w:rPr>
                <w:rFonts w:eastAsia="Cambria" w:cs="MS Gothic"/>
                <w:sz w:val="18"/>
                <w:szCs w:val="18"/>
              </w:rPr>
            </w:pPr>
          </w:p>
        </w:tc>
        <w:tc>
          <w:tcPr>
            <w:tcW w:w="903" w:type="pct"/>
            <w:vAlign w:val="center"/>
          </w:tcPr>
          <w:p w14:paraId="49C3D6F2" w14:textId="77777777" w:rsidR="003A3D6B" w:rsidRPr="00EE43C6" w:rsidRDefault="003A3D6B">
            <w:pPr>
              <w:spacing w:before="0" w:after="0" w:line="240" w:lineRule="auto"/>
              <w:jc w:val="center"/>
              <w:rPr>
                <w:rFonts w:eastAsia="Cambria" w:cs="MS Gothic"/>
                <w:sz w:val="18"/>
                <w:szCs w:val="18"/>
              </w:rPr>
            </w:pPr>
          </w:p>
        </w:tc>
        <w:tc>
          <w:tcPr>
            <w:tcW w:w="903" w:type="pct"/>
            <w:vAlign w:val="center"/>
          </w:tcPr>
          <w:p w14:paraId="7919EE2F" w14:textId="77777777" w:rsidR="003A3D6B" w:rsidRPr="00EE43C6" w:rsidRDefault="003A3D6B">
            <w:pPr>
              <w:spacing w:before="0" w:after="0" w:line="240" w:lineRule="auto"/>
              <w:jc w:val="center"/>
              <w:rPr>
                <w:rFonts w:eastAsia="Cambria" w:cs="MS Gothic"/>
                <w:sz w:val="18"/>
                <w:szCs w:val="18"/>
              </w:rPr>
            </w:pPr>
          </w:p>
        </w:tc>
        <w:tc>
          <w:tcPr>
            <w:tcW w:w="903" w:type="pct"/>
            <w:vAlign w:val="center"/>
          </w:tcPr>
          <w:p w14:paraId="72D36CF8" w14:textId="77777777" w:rsidR="003A3D6B" w:rsidRPr="00EE43C6" w:rsidRDefault="003A3D6B">
            <w:pPr>
              <w:spacing w:before="0" w:after="0" w:line="240" w:lineRule="auto"/>
              <w:jc w:val="center"/>
              <w:rPr>
                <w:rFonts w:eastAsia="Cambria" w:cs="MS Gothic"/>
                <w:sz w:val="18"/>
                <w:szCs w:val="18"/>
              </w:rPr>
            </w:pPr>
          </w:p>
        </w:tc>
      </w:tr>
      <w:tr w:rsidR="003A3D6B" w:rsidRPr="00EE43C6" w14:paraId="5A7BC63D" w14:textId="77777777" w:rsidTr="00C6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4"/>
        </w:trPr>
        <w:tc>
          <w:tcPr>
            <w:tcW w:w="1389" w:type="pct"/>
            <w:vAlign w:val="center"/>
          </w:tcPr>
          <w:p w14:paraId="7BDAE1C3" w14:textId="56290AF5" w:rsidR="003A3D6B" w:rsidRPr="00EE43C6" w:rsidRDefault="003A3D6B">
            <w:pPr>
              <w:spacing w:before="0" w:after="0" w:line="240" w:lineRule="auto"/>
              <w:jc w:val="left"/>
              <w:rPr>
                <w:rFonts w:eastAsia="Cambria" w:cs="MS Gothic"/>
                <w:i/>
                <w:sz w:val="18"/>
                <w:szCs w:val="18"/>
              </w:rPr>
            </w:pPr>
            <w:r w:rsidRPr="00EE43C6">
              <w:rPr>
                <w:rFonts w:eastAsia="Cambria" w:cs="MS Gothic"/>
                <w:i/>
                <w:sz w:val="18"/>
                <w:szCs w:val="18"/>
              </w:rPr>
              <w:t>Pelophylax</w:t>
            </w:r>
            <w:r w:rsidR="00E154D3" w:rsidRPr="00EE43C6">
              <w:rPr>
                <w:rFonts w:eastAsia="Cambria" w:cs="MS Gothic"/>
                <w:i/>
                <w:sz w:val="18"/>
                <w:szCs w:val="18"/>
              </w:rPr>
              <w:t xml:space="preserve"> ridibundus</w:t>
            </w:r>
          </w:p>
        </w:tc>
        <w:tc>
          <w:tcPr>
            <w:tcW w:w="903" w:type="pct"/>
            <w:vAlign w:val="center"/>
          </w:tcPr>
          <w:p w14:paraId="1713F4B2" w14:textId="08EEAC3E" w:rsidR="003A3D6B" w:rsidRPr="00EE43C6" w:rsidRDefault="00311077">
            <w:pPr>
              <w:spacing w:before="0" w:after="0" w:line="240" w:lineRule="auto"/>
              <w:jc w:val="center"/>
              <w:rPr>
                <w:rFonts w:eastAsia="Cambria" w:cs="MS Gothic"/>
                <w:sz w:val="18"/>
                <w:szCs w:val="18"/>
              </w:rPr>
            </w:pPr>
            <w:r w:rsidRPr="00EE43C6">
              <w:rPr>
                <w:rFonts w:eastAsia="Cambria" w:cs="MS Gothic"/>
                <w:sz w:val="18"/>
                <w:szCs w:val="18"/>
              </w:rPr>
              <w:t>Marsh Frog</w:t>
            </w:r>
          </w:p>
        </w:tc>
        <w:tc>
          <w:tcPr>
            <w:tcW w:w="903" w:type="pct"/>
            <w:vAlign w:val="center"/>
          </w:tcPr>
          <w:p w14:paraId="739F1811" w14:textId="2EA8FFED" w:rsidR="003A3D6B" w:rsidRPr="00EE43C6" w:rsidRDefault="00FA55B7">
            <w:pPr>
              <w:spacing w:before="0" w:after="0" w:line="240" w:lineRule="auto"/>
              <w:jc w:val="center"/>
              <w:rPr>
                <w:rFonts w:eastAsia="Cambria" w:cs="MS Gothic"/>
                <w:sz w:val="18"/>
                <w:szCs w:val="18"/>
              </w:rPr>
            </w:pPr>
            <w:r w:rsidRPr="00EE43C6">
              <w:rPr>
                <w:rFonts w:eastAsia="Cambria" w:cs="MS Gothic"/>
                <w:sz w:val="18"/>
                <w:szCs w:val="18"/>
              </w:rPr>
              <w:t>-</w:t>
            </w:r>
          </w:p>
        </w:tc>
        <w:tc>
          <w:tcPr>
            <w:tcW w:w="903" w:type="pct"/>
            <w:vAlign w:val="center"/>
          </w:tcPr>
          <w:p w14:paraId="396B485A" w14:textId="199FB676" w:rsidR="003A3D6B" w:rsidRPr="00EE43C6" w:rsidRDefault="00FA55B7">
            <w:pPr>
              <w:spacing w:before="0" w:after="0" w:line="240" w:lineRule="auto"/>
              <w:jc w:val="center"/>
              <w:rPr>
                <w:rFonts w:eastAsia="Cambria" w:cs="MS Gothic"/>
                <w:sz w:val="18"/>
                <w:szCs w:val="18"/>
              </w:rPr>
            </w:pPr>
            <w:r w:rsidRPr="00EE43C6">
              <w:rPr>
                <w:rFonts w:eastAsia="Cambria" w:cs="MS Gothic"/>
                <w:sz w:val="18"/>
                <w:szCs w:val="18"/>
              </w:rPr>
              <w:t>LC</w:t>
            </w:r>
          </w:p>
        </w:tc>
        <w:tc>
          <w:tcPr>
            <w:tcW w:w="903" w:type="pct"/>
            <w:vAlign w:val="center"/>
          </w:tcPr>
          <w:p w14:paraId="63C3680E" w14:textId="6624427A" w:rsidR="003A3D6B" w:rsidRPr="00EE43C6" w:rsidRDefault="00FA55B7">
            <w:pPr>
              <w:spacing w:before="0" w:after="0" w:line="240" w:lineRule="auto"/>
              <w:jc w:val="center"/>
              <w:rPr>
                <w:rFonts w:eastAsia="Cambria" w:cs="MS Gothic"/>
                <w:sz w:val="18"/>
                <w:szCs w:val="18"/>
              </w:rPr>
            </w:pPr>
            <w:r w:rsidRPr="00EE43C6">
              <w:rPr>
                <w:rFonts w:eastAsia="Cambria" w:cs="MS Gothic"/>
                <w:sz w:val="18"/>
                <w:szCs w:val="18"/>
              </w:rPr>
              <w:t>App-3</w:t>
            </w:r>
          </w:p>
        </w:tc>
      </w:tr>
      <w:tr w:rsidR="003A3D6B" w:rsidRPr="00EE43C6" w14:paraId="25CA7AD0" w14:textId="77777777" w:rsidTr="00C6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4"/>
        </w:trPr>
        <w:tc>
          <w:tcPr>
            <w:tcW w:w="1389" w:type="pct"/>
            <w:vAlign w:val="center"/>
          </w:tcPr>
          <w:p w14:paraId="583C9D40" w14:textId="71709B7A" w:rsidR="003A3D6B" w:rsidRPr="00EE43C6" w:rsidRDefault="00E154D3">
            <w:pPr>
              <w:spacing w:before="0" w:after="0" w:line="240" w:lineRule="auto"/>
              <w:jc w:val="left"/>
              <w:rPr>
                <w:rFonts w:eastAsia="Cambria" w:cs="MS Gothic"/>
                <w:i/>
                <w:sz w:val="18"/>
                <w:szCs w:val="18"/>
              </w:rPr>
            </w:pPr>
            <w:r w:rsidRPr="00EE43C6">
              <w:rPr>
                <w:rFonts w:eastAsia="Cambria" w:cs="MS Gothic"/>
                <w:b/>
                <w:sz w:val="18"/>
                <w:szCs w:val="18"/>
              </w:rPr>
              <w:t>Salamandridae</w:t>
            </w:r>
          </w:p>
        </w:tc>
        <w:tc>
          <w:tcPr>
            <w:tcW w:w="903" w:type="pct"/>
            <w:vAlign w:val="center"/>
          </w:tcPr>
          <w:p w14:paraId="28698D46" w14:textId="77777777" w:rsidR="003A3D6B" w:rsidRPr="00EE43C6" w:rsidRDefault="003A3D6B">
            <w:pPr>
              <w:spacing w:before="0" w:after="0" w:line="240" w:lineRule="auto"/>
              <w:jc w:val="center"/>
              <w:rPr>
                <w:rFonts w:eastAsia="Cambria" w:cs="MS Gothic"/>
                <w:sz w:val="18"/>
                <w:szCs w:val="18"/>
              </w:rPr>
            </w:pPr>
          </w:p>
        </w:tc>
        <w:tc>
          <w:tcPr>
            <w:tcW w:w="903" w:type="pct"/>
            <w:vAlign w:val="center"/>
          </w:tcPr>
          <w:p w14:paraId="745D74EB" w14:textId="77777777" w:rsidR="003A3D6B" w:rsidRPr="00EE43C6" w:rsidRDefault="003A3D6B">
            <w:pPr>
              <w:spacing w:before="0" w:after="0" w:line="240" w:lineRule="auto"/>
              <w:jc w:val="center"/>
              <w:rPr>
                <w:rFonts w:eastAsia="Cambria" w:cs="MS Gothic"/>
                <w:sz w:val="18"/>
                <w:szCs w:val="18"/>
              </w:rPr>
            </w:pPr>
          </w:p>
        </w:tc>
        <w:tc>
          <w:tcPr>
            <w:tcW w:w="903" w:type="pct"/>
            <w:vAlign w:val="center"/>
          </w:tcPr>
          <w:p w14:paraId="405B47F1" w14:textId="77777777" w:rsidR="003A3D6B" w:rsidRPr="00EE43C6" w:rsidRDefault="003A3D6B">
            <w:pPr>
              <w:spacing w:before="0" w:after="0" w:line="240" w:lineRule="auto"/>
              <w:jc w:val="center"/>
              <w:rPr>
                <w:rFonts w:eastAsia="Cambria" w:cs="MS Gothic"/>
                <w:sz w:val="18"/>
                <w:szCs w:val="18"/>
              </w:rPr>
            </w:pPr>
          </w:p>
        </w:tc>
        <w:tc>
          <w:tcPr>
            <w:tcW w:w="903" w:type="pct"/>
            <w:vAlign w:val="center"/>
          </w:tcPr>
          <w:p w14:paraId="08E3CA09" w14:textId="77777777" w:rsidR="003A3D6B" w:rsidRPr="00EE43C6" w:rsidRDefault="003A3D6B">
            <w:pPr>
              <w:spacing w:before="0" w:after="0" w:line="240" w:lineRule="auto"/>
              <w:jc w:val="center"/>
              <w:rPr>
                <w:rFonts w:eastAsia="Cambria" w:cs="MS Gothic"/>
                <w:sz w:val="18"/>
                <w:szCs w:val="18"/>
              </w:rPr>
            </w:pPr>
          </w:p>
        </w:tc>
      </w:tr>
      <w:tr w:rsidR="00E154D3" w:rsidRPr="00EE43C6" w14:paraId="18E86456" w14:textId="77777777" w:rsidTr="00C6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4"/>
        </w:trPr>
        <w:tc>
          <w:tcPr>
            <w:tcW w:w="1389" w:type="pct"/>
            <w:vAlign w:val="center"/>
          </w:tcPr>
          <w:p w14:paraId="16EC6D66" w14:textId="44EABF98" w:rsidR="00E154D3" w:rsidRPr="00EE43C6" w:rsidRDefault="00FA55B7">
            <w:pPr>
              <w:spacing w:before="0" w:after="0" w:line="240" w:lineRule="auto"/>
              <w:jc w:val="left"/>
              <w:rPr>
                <w:rFonts w:eastAsia="Cambria" w:cs="MS Gothic"/>
                <w:b/>
                <w:bCs/>
                <w:i/>
                <w:sz w:val="18"/>
                <w:szCs w:val="18"/>
              </w:rPr>
            </w:pPr>
            <w:r w:rsidRPr="00EE43C6">
              <w:rPr>
                <w:rFonts w:eastAsia="Cambria" w:cs="MS Gothic"/>
                <w:i/>
                <w:sz w:val="18"/>
                <w:szCs w:val="18"/>
              </w:rPr>
              <w:t>Salamandra infraimmaculata</w:t>
            </w:r>
          </w:p>
        </w:tc>
        <w:tc>
          <w:tcPr>
            <w:tcW w:w="903" w:type="pct"/>
            <w:vAlign w:val="center"/>
          </w:tcPr>
          <w:p w14:paraId="072D9CF4" w14:textId="480BFDB6" w:rsidR="00E154D3" w:rsidRPr="00EE43C6" w:rsidRDefault="001F1216">
            <w:pPr>
              <w:spacing w:before="0" w:after="0" w:line="240" w:lineRule="auto"/>
              <w:jc w:val="center"/>
              <w:rPr>
                <w:rFonts w:eastAsia="Cambria" w:cs="MS Gothic"/>
                <w:sz w:val="18"/>
                <w:szCs w:val="18"/>
              </w:rPr>
            </w:pPr>
            <w:r w:rsidRPr="00EE43C6">
              <w:rPr>
                <w:rFonts w:eastAsia="Cambria" w:cs="MS Gothic"/>
                <w:sz w:val="18"/>
                <w:szCs w:val="18"/>
              </w:rPr>
              <w:t>Near-Eastern Fire Salamander</w:t>
            </w:r>
          </w:p>
        </w:tc>
        <w:tc>
          <w:tcPr>
            <w:tcW w:w="903" w:type="pct"/>
            <w:vAlign w:val="center"/>
          </w:tcPr>
          <w:p w14:paraId="7BEAE746" w14:textId="246F03DD" w:rsidR="00E154D3" w:rsidRPr="00EE43C6" w:rsidRDefault="00FA55B7">
            <w:pPr>
              <w:spacing w:before="0" w:after="0" w:line="240" w:lineRule="auto"/>
              <w:jc w:val="center"/>
              <w:rPr>
                <w:rFonts w:eastAsia="Cambria" w:cs="MS Gothic"/>
                <w:sz w:val="18"/>
                <w:szCs w:val="18"/>
              </w:rPr>
            </w:pPr>
            <w:r w:rsidRPr="00EE43C6">
              <w:rPr>
                <w:rFonts w:eastAsia="Cambria" w:cs="MS Gothic"/>
                <w:sz w:val="18"/>
                <w:szCs w:val="18"/>
              </w:rPr>
              <w:t>-</w:t>
            </w:r>
          </w:p>
        </w:tc>
        <w:tc>
          <w:tcPr>
            <w:tcW w:w="903" w:type="pct"/>
            <w:vAlign w:val="center"/>
          </w:tcPr>
          <w:p w14:paraId="7DB74FD4" w14:textId="48682DAB" w:rsidR="00E154D3" w:rsidRPr="00EE43C6" w:rsidRDefault="00FA55B7">
            <w:pPr>
              <w:spacing w:before="0" w:after="0" w:line="240" w:lineRule="auto"/>
              <w:jc w:val="center"/>
              <w:rPr>
                <w:rFonts w:eastAsia="Cambria" w:cs="MS Gothic"/>
                <w:sz w:val="18"/>
                <w:szCs w:val="18"/>
              </w:rPr>
            </w:pPr>
            <w:r w:rsidRPr="00EE43C6">
              <w:rPr>
                <w:rFonts w:eastAsia="Cambria" w:cs="MS Gothic"/>
                <w:sz w:val="18"/>
                <w:szCs w:val="18"/>
              </w:rPr>
              <w:t>LC</w:t>
            </w:r>
          </w:p>
        </w:tc>
        <w:tc>
          <w:tcPr>
            <w:tcW w:w="903" w:type="pct"/>
            <w:vAlign w:val="center"/>
          </w:tcPr>
          <w:p w14:paraId="7C7E6B54" w14:textId="00E6BB38" w:rsidR="00E154D3" w:rsidRPr="00EE43C6" w:rsidRDefault="00FA55B7">
            <w:pPr>
              <w:spacing w:before="0" w:after="0" w:line="240" w:lineRule="auto"/>
              <w:jc w:val="center"/>
              <w:rPr>
                <w:rFonts w:eastAsia="Cambria" w:cs="MS Gothic"/>
                <w:sz w:val="18"/>
                <w:szCs w:val="18"/>
              </w:rPr>
            </w:pPr>
            <w:r w:rsidRPr="00EE43C6">
              <w:rPr>
                <w:rFonts w:eastAsia="Cambria" w:cs="MS Gothic"/>
                <w:sz w:val="18"/>
                <w:szCs w:val="18"/>
              </w:rPr>
              <w:t>App-3</w:t>
            </w:r>
          </w:p>
        </w:tc>
      </w:tr>
    </w:tbl>
    <w:bookmarkEnd w:id="343"/>
    <w:bookmarkEnd w:id="344"/>
    <w:p w14:paraId="6ACAB721" w14:textId="44C868E5" w:rsidR="00082434" w:rsidRPr="00EE43C6" w:rsidRDefault="00082434" w:rsidP="00082434">
      <w:pPr>
        <w:rPr>
          <w:rFonts w:cs="MS Gothic"/>
          <w:i/>
          <w:szCs w:val="22"/>
          <w:u w:val="single"/>
        </w:rPr>
      </w:pPr>
      <w:r w:rsidRPr="00EE43C6">
        <w:rPr>
          <w:rFonts w:cs="MS Gothic"/>
          <w:i/>
          <w:szCs w:val="22"/>
          <w:u w:val="single"/>
        </w:rPr>
        <w:t xml:space="preserve">Reptiles </w:t>
      </w:r>
    </w:p>
    <w:p w14:paraId="7DE06672" w14:textId="3EE04AD7" w:rsidR="00082434" w:rsidRPr="00EE43C6" w:rsidRDefault="00400858" w:rsidP="00082434">
      <w:pPr>
        <w:spacing w:before="360" w:after="360"/>
        <w:rPr>
          <w:rFonts w:cs="MS Gothic"/>
          <w:szCs w:val="22"/>
        </w:rPr>
      </w:pPr>
      <w:r w:rsidRPr="005F1B45">
        <w:rPr>
          <w:rFonts w:cs="MS Gothic"/>
          <w:szCs w:val="22"/>
        </w:rPr>
        <w:t>During the EIA</w:t>
      </w:r>
      <w:r w:rsidRPr="00EE43C6">
        <w:rPr>
          <w:rFonts w:cs="MS Gothic"/>
          <w:szCs w:val="22"/>
        </w:rPr>
        <w:t xml:space="preserve"> </w:t>
      </w:r>
      <w:r>
        <w:rPr>
          <w:rFonts w:cs="MS Gothic"/>
          <w:szCs w:val="22"/>
        </w:rPr>
        <w:t>studies,</w:t>
      </w:r>
      <w:r w:rsidRPr="00EE43C6">
        <w:rPr>
          <w:rFonts w:cs="Arial"/>
          <w:szCs w:val="22"/>
        </w:rPr>
        <w:t xml:space="preserve"> a</w:t>
      </w:r>
      <w:r w:rsidR="00082434" w:rsidRPr="00EE43C6">
        <w:rPr>
          <w:rFonts w:cs="Arial"/>
          <w:szCs w:val="22"/>
        </w:rPr>
        <w:t xml:space="preserve"> total of </w:t>
      </w:r>
      <w:r w:rsidR="00831C7F" w:rsidRPr="00EE43C6">
        <w:rPr>
          <w:rFonts w:cs="Arial"/>
          <w:szCs w:val="22"/>
        </w:rPr>
        <w:t>20</w:t>
      </w:r>
      <w:r w:rsidR="00082434" w:rsidRPr="00EE43C6">
        <w:rPr>
          <w:rFonts w:cs="Arial"/>
          <w:szCs w:val="22"/>
        </w:rPr>
        <w:t xml:space="preserve"> Reptilian species belonging to </w:t>
      </w:r>
      <w:r w:rsidR="00831C7F" w:rsidRPr="00EE43C6">
        <w:rPr>
          <w:rFonts w:cs="Arial"/>
          <w:szCs w:val="22"/>
        </w:rPr>
        <w:t>8</w:t>
      </w:r>
      <w:r w:rsidR="00082434" w:rsidRPr="00EE43C6">
        <w:rPr>
          <w:rFonts w:cs="Arial"/>
          <w:szCs w:val="22"/>
        </w:rPr>
        <w:t xml:space="preserve"> family species were identified in the area</w:t>
      </w:r>
      <w:r w:rsidR="004D2976">
        <w:rPr>
          <w:rFonts w:cs="Arial"/>
          <w:szCs w:val="22"/>
        </w:rPr>
        <w:t xml:space="preserve"> </w:t>
      </w:r>
      <w:r w:rsidR="004D2976" w:rsidRPr="005F1B45">
        <w:rPr>
          <w:rFonts w:cs="MS Gothic"/>
          <w:szCs w:val="22"/>
        </w:rPr>
        <w:t xml:space="preserve">through </w:t>
      </w:r>
      <w:r w:rsidR="004D2976">
        <w:rPr>
          <w:rFonts w:cs="MS Gothic"/>
          <w:szCs w:val="22"/>
        </w:rPr>
        <w:t xml:space="preserve">site observations and </w:t>
      </w:r>
      <w:r w:rsidR="004D2976" w:rsidRPr="005F1B45">
        <w:rPr>
          <w:rFonts w:cs="MS Gothic"/>
          <w:szCs w:val="22"/>
        </w:rPr>
        <w:t>literature research</w:t>
      </w:r>
      <w:r w:rsidR="00082434" w:rsidRPr="00EE43C6">
        <w:rPr>
          <w:rFonts w:cs="Arial"/>
          <w:szCs w:val="22"/>
        </w:rPr>
        <w:t>.</w:t>
      </w:r>
      <w:r w:rsidR="00082434" w:rsidRPr="00EE43C6">
        <w:rPr>
          <w:rFonts w:cs="MS Gothic"/>
          <w:szCs w:val="22"/>
        </w:rPr>
        <w:t xml:space="preserve"> </w:t>
      </w:r>
      <w:r w:rsidR="004D2976" w:rsidRPr="005F1B45">
        <w:rPr>
          <w:rFonts w:cs="MS Gothic"/>
          <w:szCs w:val="22"/>
        </w:rPr>
        <w:t>Furthermore, during the ESMP study, habitat suitability was assessed for these species.</w:t>
      </w:r>
      <w:r w:rsidR="004D2976" w:rsidRPr="00EE43C6">
        <w:rPr>
          <w:rFonts w:cs="MS Gothic"/>
          <w:szCs w:val="22"/>
        </w:rPr>
        <w:t xml:space="preserve"> </w:t>
      </w:r>
      <w:r w:rsidR="00082434" w:rsidRPr="00EE43C6">
        <w:rPr>
          <w:rFonts w:cs="MS Gothic"/>
          <w:szCs w:val="22"/>
        </w:rPr>
        <w:t xml:space="preserve">Systematic information on these species and conservation status belonging to species are given in </w:t>
      </w:r>
      <w:r w:rsidR="00082434" w:rsidRPr="00EE43C6">
        <w:rPr>
          <w:rFonts w:cs="MS Gothic"/>
          <w:szCs w:val="22"/>
        </w:rPr>
        <w:fldChar w:fldCharType="begin"/>
      </w:r>
      <w:r w:rsidR="00082434" w:rsidRPr="00EE43C6">
        <w:rPr>
          <w:rFonts w:cs="MS Gothic"/>
          <w:szCs w:val="22"/>
        </w:rPr>
        <w:instrText xml:space="preserve"> REF _Ref120284059 \h  \* MERGEFORMAT </w:instrText>
      </w:r>
      <w:r w:rsidR="00082434" w:rsidRPr="00EE43C6">
        <w:rPr>
          <w:rFonts w:cs="MS Gothic"/>
          <w:szCs w:val="22"/>
        </w:rPr>
      </w:r>
      <w:r w:rsidR="00082434" w:rsidRPr="00EE43C6">
        <w:rPr>
          <w:rFonts w:cs="MS Gothic"/>
          <w:szCs w:val="22"/>
        </w:rPr>
        <w:fldChar w:fldCharType="separate"/>
      </w:r>
      <w:r w:rsidR="00E67C71" w:rsidRPr="00EE43C6">
        <w:t xml:space="preserve">Table </w:t>
      </w:r>
      <w:r w:rsidR="00E67C71">
        <w:t>4</w:t>
      </w:r>
      <w:r w:rsidR="00E67C71">
        <w:noBreakHyphen/>
        <w:t>5</w:t>
      </w:r>
      <w:r w:rsidR="00082434" w:rsidRPr="00EE43C6">
        <w:rPr>
          <w:rFonts w:cs="MS Gothic"/>
          <w:szCs w:val="22"/>
        </w:rPr>
        <w:fldChar w:fldCharType="end"/>
      </w:r>
      <w:r w:rsidR="00082434" w:rsidRPr="00EE43C6">
        <w:rPr>
          <w:rFonts w:cs="Arial"/>
          <w:szCs w:val="22"/>
        </w:rPr>
        <w:t>.</w:t>
      </w:r>
    </w:p>
    <w:p w14:paraId="24C70E30" w14:textId="252BC330" w:rsidR="00082434" w:rsidRPr="00EE43C6" w:rsidRDefault="00082434" w:rsidP="00082434">
      <w:pPr>
        <w:spacing w:before="360" w:after="360"/>
        <w:rPr>
          <w:szCs w:val="22"/>
          <w:lang w:eastAsia="tr-TR"/>
        </w:rPr>
      </w:pPr>
      <w:r w:rsidRPr="00EE43C6">
        <w:rPr>
          <w:rFonts w:cs="MS Gothic"/>
          <w:szCs w:val="22"/>
        </w:rPr>
        <w:t xml:space="preserve">According to IUCN criteria, </w:t>
      </w:r>
      <w:r w:rsidRPr="00EE43C6">
        <w:rPr>
          <w:rFonts w:cs="MS Gothic"/>
          <w:i/>
          <w:szCs w:val="22"/>
        </w:rPr>
        <w:t>Testudo graeca</w:t>
      </w:r>
      <w:r w:rsidRPr="00EE43C6">
        <w:rPr>
          <w:rFonts w:cs="MS Gothic"/>
          <w:szCs w:val="22"/>
        </w:rPr>
        <w:t xml:space="preserve"> is included in VU (Vulnerable) category. Rest of the species identified in Project area are listed in LC (Least Concern) category. According to the Bern Convention, </w:t>
      </w:r>
      <w:r w:rsidR="00AF75BB" w:rsidRPr="00EE43C6">
        <w:rPr>
          <w:rFonts w:eastAsia="Cambria" w:cs="MS Gothic"/>
          <w:i/>
          <w:szCs w:val="22"/>
        </w:rPr>
        <w:t>Pseudopus apodus</w:t>
      </w:r>
      <w:r w:rsidR="00B85D52" w:rsidRPr="00EE43C6">
        <w:rPr>
          <w:rFonts w:eastAsia="Cambria" w:cs="MS Gothic"/>
          <w:i/>
          <w:szCs w:val="22"/>
        </w:rPr>
        <w:t>, Dolichophis caspius</w:t>
      </w:r>
      <w:r w:rsidR="00B85D52" w:rsidRPr="00EE43C6">
        <w:rPr>
          <w:rFonts w:cs="MS Gothic"/>
          <w:szCs w:val="22"/>
        </w:rPr>
        <w:t xml:space="preserve">, </w:t>
      </w:r>
      <w:r w:rsidR="00B85D52" w:rsidRPr="00EE43C6">
        <w:rPr>
          <w:rFonts w:eastAsia="Cambria" w:cs="MS Gothic"/>
          <w:i/>
          <w:szCs w:val="22"/>
        </w:rPr>
        <w:t>Testudo graeca</w:t>
      </w:r>
      <w:r w:rsidR="00244FD8" w:rsidRPr="00EE43C6">
        <w:rPr>
          <w:rFonts w:eastAsia="Cambria" w:cs="MS Gothic"/>
          <w:i/>
          <w:szCs w:val="22"/>
        </w:rPr>
        <w:t>,</w:t>
      </w:r>
      <w:r w:rsidR="00B85D52" w:rsidRPr="00EE43C6">
        <w:rPr>
          <w:rFonts w:eastAsia="Cambria" w:cs="MS Gothic"/>
          <w:i/>
          <w:szCs w:val="22"/>
        </w:rPr>
        <w:t>Ophisops elegans</w:t>
      </w:r>
      <w:r w:rsidR="00244FD8" w:rsidRPr="00EE43C6">
        <w:rPr>
          <w:rFonts w:eastAsia="Cambria" w:cs="MS Gothic"/>
          <w:i/>
          <w:szCs w:val="22"/>
        </w:rPr>
        <w:t xml:space="preserve"> and</w:t>
      </w:r>
      <w:r w:rsidRPr="00EE43C6">
        <w:rPr>
          <w:rFonts w:eastAsia="Cambria" w:cs="MS Gothic"/>
          <w:i/>
          <w:sz w:val="18"/>
          <w:szCs w:val="18"/>
        </w:rPr>
        <w:t xml:space="preserve"> </w:t>
      </w:r>
      <w:r w:rsidR="00244FD8" w:rsidRPr="00EE43C6">
        <w:rPr>
          <w:rFonts w:eastAsia="Cambria" w:cs="MS Gothic"/>
          <w:i/>
          <w:szCs w:val="22"/>
        </w:rPr>
        <w:t>Macrovipera lebetina</w:t>
      </w:r>
      <w:r w:rsidR="00244FD8" w:rsidRPr="00EE43C6">
        <w:rPr>
          <w:rFonts w:eastAsia="Cambria" w:cs="MS Gothic"/>
          <w:i/>
          <w:iCs/>
          <w:sz w:val="18"/>
          <w:szCs w:val="18"/>
        </w:rPr>
        <w:t xml:space="preserve"> </w:t>
      </w:r>
      <w:r w:rsidRPr="00EE43C6">
        <w:rPr>
          <w:rFonts w:cs="MS Gothic"/>
          <w:szCs w:val="22"/>
        </w:rPr>
        <w:t xml:space="preserve">are listed in Appendix II: Strictly protected fauna species. </w:t>
      </w:r>
      <w:r w:rsidRPr="00EE43C6">
        <w:rPr>
          <w:lang w:eastAsia="tr-TR"/>
        </w:rPr>
        <w:t xml:space="preserve">These reptilian species are widely spread in </w:t>
      </w:r>
      <w:r w:rsidR="00117757">
        <w:rPr>
          <w:lang w:eastAsia="tr-TR"/>
        </w:rPr>
        <w:t>Türkiye</w:t>
      </w:r>
      <w:r w:rsidRPr="00EE43C6">
        <w:rPr>
          <w:lang w:eastAsia="tr-TR"/>
        </w:rPr>
        <w:t xml:space="preserve"> and they are not endemic.</w:t>
      </w:r>
      <w:r w:rsidR="005D3B2F" w:rsidRPr="00EE43C6">
        <w:rPr>
          <w:lang w:eastAsia="tr-TR"/>
        </w:rPr>
        <w:t xml:space="preserve"> </w:t>
      </w:r>
      <w:r w:rsidR="008B5A44" w:rsidRPr="00EE43C6">
        <w:rPr>
          <w:lang w:eastAsia="tr-TR"/>
        </w:rPr>
        <w:t xml:space="preserve">Remaining species are included in the </w:t>
      </w:r>
      <w:r w:rsidR="00432F14" w:rsidRPr="00EE43C6">
        <w:rPr>
          <w:lang w:eastAsia="tr-TR"/>
        </w:rPr>
        <w:t>A</w:t>
      </w:r>
      <w:r w:rsidR="008B5A44" w:rsidRPr="00EE43C6">
        <w:rPr>
          <w:lang w:eastAsia="tr-TR"/>
        </w:rPr>
        <w:t>pp</w:t>
      </w:r>
      <w:r w:rsidR="00432F14" w:rsidRPr="00EE43C6">
        <w:rPr>
          <w:lang w:eastAsia="tr-TR"/>
        </w:rPr>
        <w:t xml:space="preserve">endix III: Protected fauna species. There is one endemic species </w:t>
      </w:r>
      <w:r w:rsidR="000330DF" w:rsidRPr="00EE43C6">
        <w:rPr>
          <w:lang w:eastAsia="tr-TR"/>
        </w:rPr>
        <w:t>in the AoI.</w:t>
      </w:r>
      <w:r w:rsidR="002403AA" w:rsidRPr="00EE43C6">
        <w:rPr>
          <w:rFonts w:eastAsia="Cambria" w:cs="MS Gothic"/>
          <w:szCs w:val="22"/>
        </w:rPr>
        <w:t xml:space="preserve"> </w:t>
      </w:r>
      <w:r w:rsidR="003F2BD9" w:rsidRPr="00EE43C6">
        <w:rPr>
          <w:rFonts w:eastAsia="Cambria" w:cs="MS Gothic"/>
          <w:i/>
          <w:iCs/>
          <w:szCs w:val="22"/>
        </w:rPr>
        <w:t>Anatololacerta danfordi</w:t>
      </w:r>
      <w:r w:rsidR="003F2BD9" w:rsidRPr="00EE43C6">
        <w:rPr>
          <w:rFonts w:eastAsia="Cambria" w:cs="MS Gothic"/>
          <w:szCs w:val="22"/>
        </w:rPr>
        <w:t xml:space="preserve"> </w:t>
      </w:r>
      <w:r w:rsidR="00E33F0C" w:rsidRPr="00EE43C6">
        <w:rPr>
          <w:rFonts w:eastAsia="Cambria" w:cs="MS Gothic"/>
          <w:szCs w:val="22"/>
        </w:rPr>
        <w:t>is an endemic species to the Central and Eastern Taurus region.</w:t>
      </w:r>
    </w:p>
    <w:p w14:paraId="03781B23" w14:textId="3AD643B6" w:rsidR="00082434" w:rsidRPr="00EE43C6" w:rsidRDefault="00082434" w:rsidP="00082434">
      <w:pPr>
        <w:pStyle w:val="Caption"/>
        <w:rPr>
          <w:rFonts w:eastAsia="Cambria" w:cs="MS Gothic"/>
          <w:noProof w:val="0"/>
          <w:szCs w:val="22"/>
        </w:rPr>
      </w:pPr>
      <w:bookmarkStart w:id="345" w:name="_Ref120284059"/>
      <w:bookmarkStart w:id="346" w:name="_Hlk120098558"/>
      <w:bookmarkStart w:id="347" w:name="_Toc109643797"/>
      <w:bookmarkStart w:id="348" w:name="_Toc120016853"/>
      <w:bookmarkStart w:id="349" w:name="_Toc120004631"/>
      <w:bookmarkStart w:id="350" w:name="_Toc122089689"/>
      <w:bookmarkStart w:id="351" w:name="_Toc141445500"/>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4</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5</w:t>
      </w:r>
      <w:r w:rsidR="006D2DE8">
        <w:rPr>
          <w:noProof w:val="0"/>
        </w:rPr>
        <w:fldChar w:fldCharType="end"/>
      </w:r>
      <w:bookmarkEnd w:id="345"/>
      <w:r w:rsidRPr="00EE43C6">
        <w:rPr>
          <w:noProof w:val="0"/>
        </w:rPr>
        <w:t xml:space="preserve">. </w:t>
      </w:r>
      <w:r w:rsidRPr="00EE43C6">
        <w:rPr>
          <w:rFonts w:cs="MS Gothic"/>
          <w:b w:val="0"/>
          <w:noProof w:val="0"/>
          <w:color w:val="auto"/>
        </w:rPr>
        <w:t xml:space="preserve">Reptilian Species Identified in the AoI </w:t>
      </w:r>
      <w:bookmarkEnd w:id="346"/>
      <w:r w:rsidRPr="00EE43C6">
        <w:rPr>
          <w:rFonts w:cs="MS Gothic"/>
          <w:b w:val="0"/>
          <w:noProof w:val="0"/>
          <w:color w:val="auto"/>
        </w:rPr>
        <w:t>as a Result of Studies</w:t>
      </w:r>
      <w:r w:rsidRPr="00EE43C6">
        <w:rPr>
          <w:rStyle w:val="FootnoteReference"/>
          <w:rFonts w:cs="MS Gothic"/>
          <w:b w:val="0"/>
          <w:noProof w:val="0"/>
          <w:color w:val="auto"/>
        </w:rPr>
        <w:footnoteReference w:id="11"/>
      </w:r>
      <w:r w:rsidRPr="00EE43C6">
        <w:rPr>
          <w:rStyle w:val="FootnoteReference"/>
          <w:rFonts w:cs="MS Gothic"/>
          <w:b w:val="0"/>
          <w:noProof w:val="0"/>
          <w:color w:val="auto"/>
        </w:rPr>
        <w:footnoteReference w:id="12"/>
      </w:r>
      <w:bookmarkEnd w:id="347"/>
      <w:bookmarkEnd w:id="348"/>
      <w:bookmarkEnd w:id="349"/>
      <w:bookmarkEnd w:id="350"/>
      <w:bookmarkEnd w:id="3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795"/>
        <w:gridCol w:w="1791"/>
        <w:gridCol w:w="1775"/>
        <w:gridCol w:w="1773"/>
      </w:tblGrid>
      <w:tr w:rsidR="00082434" w:rsidRPr="00EE43C6" w14:paraId="0ED84B63" w14:textId="77777777" w:rsidTr="005A5698">
        <w:trPr>
          <w:trHeight w:val="284"/>
          <w:tblHeader/>
        </w:trPr>
        <w:tc>
          <w:tcPr>
            <w:tcW w:w="1060" w:type="pct"/>
            <w:shd w:val="clear" w:color="auto" w:fill="4F81BD"/>
            <w:vAlign w:val="center"/>
          </w:tcPr>
          <w:p w14:paraId="31B5BD12" w14:textId="77777777" w:rsidR="00082434" w:rsidRPr="00EE43C6" w:rsidRDefault="00082434">
            <w:pPr>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Species Name</w:t>
            </w:r>
          </w:p>
        </w:tc>
        <w:tc>
          <w:tcPr>
            <w:tcW w:w="991" w:type="pct"/>
            <w:shd w:val="clear" w:color="auto" w:fill="4F81BD"/>
            <w:vAlign w:val="center"/>
          </w:tcPr>
          <w:p w14:paraId="24232D96" w14:textId="349BFE88" w:rsidR="00082434" w:rsidRPr="00EE43C6" w:rsidRDefault="00082434">
            <w:pPr>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 xml:space="preserve">Common </w:t>
            </w:r>
            <w:r w:rsidR="0091192C" w:rsidRPr="00EE43C6">
              <w:rPr>
                <w:rFonts w:eastAsia="Cambria" w:cs="MS Gothic"/>
                <w:b/>
                <w:color w:val="FFFFFF" w:themeColor="background1"/>
                <w:sz w:val="18"/>
                <w:szCs w:val="18"/>
              </w:rPr>
              <w:t>Name</w:t>
            </w:r>
          </w:p>
        </w:tc>
        <w:tc>
          <w:tcPr>
            <w:tcW w:w="989" w:type="pct"/>
            <w:shd w:val="clear" w:color="auto" w:fill="4F81BD"/>
            <w:vAlign w:val="center"/>
          </w:tcPr>
          <w:p w14:paraId="7498A95B" w14:textId="1B4637BC" w:rsidR="00082434" w:rsidRPr="00EE43C6" w:rsidRDefault="0091192C">
            <w:pPr>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Endemism</w:t>
            </w:r>
          </w:p>
        </w:tc>
        <w:tc>
          <w:tcPr>
            <w:tcW w:w="980" w:type="pct"/>
            <w:shd w:val="clear" w:color="auto" w:fill="4F81BD"/>
            <w:vAlign w:val="center"/>
          </w:tcPr>
          <w:p w14:paraId="1FA60E68" w14:textId="77777777" w:rsidR="00082434" w:rsidRPr="00EE43C6" w:rsidRDefault="00082434">
            <w:pPr>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IUCN</w:t>
            </w:r>
          </w:p>
        </w:tc>
        <w:tc>
          <w:tcPr>
            <w:tcW w:w="979" w:type="pct"/>
            <w:shd w:val="clear" w:color="auto" w:fill="4F81BD"/>
            <w:vAlign w:val="center"/>
          </w:tcPr>
          <w:p w14:paraId="4083797B" w14:textId="77777777" w:rsidR="00082434" w:rsidRPr="00EE43C6" w:rsidRDefault="00082434">
            <w:pPr>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BERN</w:t>
            </w:r>
          </w:p>
        </w:tc>
      </w:tr>
      <w:tr w:rsidR="0082434C" w:rsidRPr="00EE43C6" w14:paraId="59373F70" w14:textId="77777777">
        <w:trPr>
          <w:trHeight w:val="284"/>
        </w:trPr>
        <w:tc>
          <w:tcPr>
            <w:tcW w:w="1060" w:type="pct"/>
            <w:vAlign w:val="center"/>
          </w:tcPr>
          <w:p w14:paraId="4F075CFC" w14:textId="6AC61230" w:rsidR="0082434C" w:rsidRPr="00EE43C6" w:rsidRDefault="00643FEF">
            <w:pPr>
              <w:spacing w:before="0" w:after="0" w:line="240" w:lineRule="auto"/>
              <w:jc w:val="left"/>
              <w:rPr>
                <w:rFonts w:eastAsia="Cambria" w:cs="MS Gothic"/>
                <w:b/>
                <w:sz w:val="18"/>
                <w:szCs w:val="18"/>
              </w:rPr>
            </w:pPr>
            <w:r w:rsidRPr="00EE43C6">
              <w:rPr>
                <w:rFonts w:eastAsia="Cambria" w:cs="MS Gothic"/>
                <w:b/>
                <w:sz w:val="18"/>
                <w:szCs w:val="18"/>
              </w:rPr>
              <w:t>Agamidae</w:t>
            </w:r>
          </w:p>
        </w:tc>
        <w:tc>
          <w:tcPr>
            <w:tcW w:w="991" w:type="pct"/>
            <w:vAlign w:val="center"/>
          </w:tcPr>
          <w:p w14:paraId="68870C02" w14:textId="77777777" w:rsidR="0082434C" w:rsidRPr="00EE43C6" w:rsidRDefault="0082434C">
            <w:pPr>
              <w:spacing w:before="0" w:after="0" w:line="240" w:lineRule="auto"/>
              <w:jc w:val="center"/>
              <w:rPr>
                <w:rFonts w:eastAsia="Cambria" w:cs="MS Gothic"/>
                <w:b/>
                <w:sz w:val="18"/>
                <w:szCs w:val="18"/>
              </w:rPr>
            </w:pPr>
          </w:p>
        </w:tc>
        <w:tc>
          <w:tcPr>
            <w:tcW w:w="989" w:type="pct"/>
            <w:vAlign w:val="center"/>
          </w:tcPr>
          <w:p w14:paraId="1FE4881D" w14:textId="77777777" w:rsidR="0082434C" w:rsidRPr="00EE43C6" w:rsidRDefault="0082434C">
            <w:pPr>
              <w:spacing w:before="0" w:after="0" w:line="240" w:lineRule="auto"/>
              <w:jc w:val="center"/>
              <w:rPr>
                <w:rFonts w:eastAsia="Cambria" w:cs="MS Gothic"/>
                <w:b/>
                <w:sz w:val="18"/>
                <w:szCs w:val="18"/>
              </w:rPr>
            </w:pPr>
          </w:p>
        </w:tc>
        <w:tc>
          <w:tcPr>
            <w:tcW w:w="980" w:type="pct"/>
            <w:vAlign w:val="center"/>
          </w:tcPr>
          <w:p w14:paraId="1D467CC8" w14:textId="77777777" w:rsidR="0082434C" w:rsidRPr="00EE43C6" w:rsidRDefault="0082434C">
            <w:pPr>
              <w:spacing w:before="0" w:after="0" w:line="240" w:lineRule="auto"/>
              <w:jc w:val="center"/>
              <w:rPr>
                <w:rFonts w:eastAsia="Cambria" w:cs="MS Gothic"/>
                <w:b/>
                <w:sz w:val="18"/>
                <w:szCs w:val="18"/>
              </w:rPr>
            </w:pPr>
          </w:p>
        </w:tc>
        <w:tc>
          <w:tcPr>
            <w:tcW w:w="979" w:type="pct"/>
            <w:vAlign w:val="center"/>
          </w:tcPr>
          <w:p w14:paraId="342DB9A2" w14:textId="77777777" w:rsidR="0082434C" w:rsidRPr="00EE43C6" w:rsidRDefault="0082434C">
            <w:pPr>
              <w:spacing w:before="0" w:after="0" w:line="240" w:lineRule="auto"/>
              <w:jc w:val="center"/>
              <w:rPr>
                <w:rFonts w:eastAsia="Cambria" w:cs="MS Gothic"/>
                <w:b/>
                <w:sz w:val="18"/>
                <w:szCs w:val="18"/>
              </w:rPr>
            </w:pPr>
          </w:p>
        </w:tc>
      </w:tr>
      <w:tr w:rsidR="00450975" w:rsidRPr="00EE43C6" w14:paraId="01E85722" w14:textId="77777777">
        <w:trPr>
          <w:trHeight w:val="284"/>
        </w:trPr>
        <w:tc>
          <w:tcPr>
            <w:tcW w:w="1060" w:type="pct"/>
            <w:vAlign w:val="center"/>
          </w:tcPr>
          <w:p w14:paraId="0DDA972E" w14:textId="43A42B03" w:rsidR="00450975" w:rsidRPr="00EE43C6" w:rsidRDefault="00450975">
            <w:pPr>
              <w:spacing w:before="0" w:after="0" w:line="240" w:lineRule="auto"/>
              <w:jc w:val="left"/>
              <w:rPr>
                <w:rFonts w:eastAsia="Cambria" w:cs="MS Gothic"/>
                <w:b/>
                <w:sz w:val="18"/>
                <w:szCs w:val="18"/>
              </w:rPr>
            </w:pPr>
            <w:r w:rsidRPr="00EE43C6">
              <w:rPr>
                <w:rFonts w:eastAsia="Cambria" w:cs="MS Gothic"/>
                <w:i/>
                <w:sz w:val="18"/>
                <w:szCs w:val="18"/>
              </w:rPr>
              <w:t>Trapelus ruderatus</w:t>
            </w:r>
          </w:p>
        </w:tc>
        <w:tc>
          <w:tcPr>
            <w:tcW w:w="991" w:type="pct"/>
            <w:vAlign w:val="center"/>
          </w:tcPr>
          <w:p w14:paraId="15E669E6" w14:textId="0D64CD0A" w:rsidR="00450975" w:rsidRPr="00EE43C6" w:rsidRDefault="00AF11C8">
            <w:pPr>
              <w:spacing w:before="0" w:after="0" w:line="240" w:lineRule="auto"/>
              <w:jc w:val="center"/>
              <w:rPr>
                <w:rFonts w:eastAsia="Cambria" w:cs="MS Gothic"/>
                <w:sz w:val="18"/>
                <w:szCs w:val="18"/>
              </w:rPr>
            </w:pPr>
            <w:r w:rsidRPr="00EE43C6">
              <w:rPr>
                <w:rFonts w:eastAsia="Cambria" w:cs="MS Gothic"/>
                <w:sz w:val="18"/>
                <w:szCs w:val="18"/>
              </w:rPr>
              <w:t>Horny-scaled Agama</w:t>
            </w:r>
          </w:p>
        </w:tc>
        <w:tc>
          <w:tcPr>
            <w:tcW w:w="989" w:type="pct"/>
            <w:vAlign w:val="center"/>
          </w:tcPr>
          <w:p w14:paraId="43795A25" w14:textId="3042F18E" w:rsidR="00450975" w:rsidRPr="00EE43C6" w:rsidRDefault="000D2F10">
            <w:pPr>
              <w:spacing w:before="0" w:after="0" w:line="240" w:lineRule="auto"/>
              <w:jc w:val="center"/>
              <w:rPr>
                <w:rFonts w:eastAsia="Cambria" w:cs="MS Gothic"/>
                <w:b/>
                <w:sz w:val="18"/>
                <w:szCs w:val="18"/>
              </w:rPr>
            </w:pPr>
            <w:r w:rsidRPr="00EE43C6">
              <w:rPr>
                <w:rFonts w:eastAsia="Cambria" w:cs="MS Gothic"/>
                <w:b/>
                <w:sz w:val="18"/>
                <w:szCs w:val="18"/>
              </w:rPr>
              <w:t>-</w:t>
            </w:r>
          </w:p>
        </w:tc>
        <w:tc>
          <w:tcPr>
            <w:tcW w:w="980" w:type="pct"/>
            <w:vAlign w:val="center"/>
          </w:tcPr>
          <w:p w14:paraId="2184231F" w14:textId="6CCB8C82" w:rsidR="00450975" w:rsidRPr="00EE43C6" w:rsidRDefault="00C116F6">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65442265" w14:textId="12BC630D" w:rsidR="00450975" w:rsidRPr="00EE43C6" w:rsidRDefault="00E47450">
            <w:pPr>
              <w:spacing w:before="0" w:after="0" w:line="240" w:lineRule="auto"/>
              <w:jc w:val="center"/>
              <w:rPr>
                <w:rFonts w:eastAsia="Cambria" w:cs="MS Gothic"/>
                <w:sz w:val="18"/>
                <w:szCs w:val="18"/>
              </w:rPr>
            </w:pPr>
            <w:r w:rsidRPr="00EE43C6">
              <w:rPr>
                <w:rFonts w:eastAsia="Cambria" w:cs="MS Gothic"/>
                <w:sz w:val="18"/>
                <w:szCs w:val="18"/>
              </w:rPr>
              <w:t>App-3</w:t>
            </w:r>
          </w:p>
        </w:tc>
      </w:tr>
      <w:tr w:rsidR="001A2AD9" w:rsidRPr="00EE43C6" w14:paraId="20AD4FCA" w14:textId="77777777">
        <w:trPr>
          <w:trHeight w:val="284"/>
        </w:trPr>
        <w:tc>
          <w:tcPr>
            <w:tcW w:w="1060" w:type="pct"/>
            <w:vAlign w:val="center"/>
          </w:tcPr>
          <w:p w14:paraId="27317236" w14:textId="7D058A81" w:rsidR="001A2AD9" w:rsidRPr="00EE43C6" w:rsidRDefault="001A2AD9">
            <w:pPr>
              <w:spacing w:before="0" w:after="0" w:line="240" w:lineRule="auto"/>
              <w:jc w:val="left"/>
              <w:rPr>
                <w:rFonts w:eastAsia="Cambria" w:cs="MS Gothic"/>
                <w:i/>
                <w:sz w:val="18"/>
                <w:szCs w:val="18"/>
              </w:rPr>
            </w:pPr>
            <w:r w:rsidRPr="00EE43C6">
              <w:rPr>
                <w:rFonts w:eastAsia="Cambria" w:cs="MS Gothic"/>
                <w:b/>
                <w:sz w:val="18"/>
                <w:szCs w:val="18"/>
              </w:rPr>
              <w:t>Angui</w:t>
            </w:r>
            <w:r w:rsidR="00E40610" w:rsidRPr="00EE43C6">
              <w:rPr>
                <w:rFonts w:eastAsia="Cambria" w:cs="MS Gothic"/>
                <w:b/>
                <w:sz w:val="18"/>
                <w:szCs w:val="18"/>
              </w:rPr>
              <w:t>dae</w:t>
            </w:r>
          </w:p>
        </w:tc>
        <w:tc>
          <w:tcPr>
            <w:tcW w:w="991" w:type="pct"/>
            <w:vAlign w:val="center"/>
          </w:tcPr>
          <w:p w14:paraId="2EF73E89" w14:textId="77777777" w:rsidR="001A2AD9" w:rsidRPr="00EE43C6" w:rsidRDefault="001A2AD9" w:rsidP="0091192C">
            <w:pPr>
              <w:spacing w:before="0" w:after="0" w:line="240" w:lineRule="auto"/>
              <w:jc w:val="center"/>
              <w:rPr>
                <w:rFonts w:eastAsia="Cambria" w:cs="MS Gothic"/>
                <w:i/>
                <w:sz w:val="18"/>
                <w:szCs w:val="18"/>
              </w:rPr>
            </w:pPr>
          </w:p>
        </w:tc>
        <w:tc>
          <w:tcPr>
            <w:tcW w:w="989" w:type="pct"/>
            <w:vAlign w:val="center"/>
          </w:tcPr>
          <w:p w14:paraId="5E26DB18" w14:textId="77777777" w:rsidR="001A2AD9" w:rsidRPr="00EE43C6" w:rsidRDefault="001A2AD9" w:rsidP="00BF3DEB">
            <w:pPr>
              <w:spacing w:before="0" w:after="0" w:line="240" w:lineRule="auto"/>
              <w:jc w:val="left"/>
              <w:rPr>
                <w:rFonts w:eastAsia="Cambria" w:cs="MS Gothic"/>
                <w:i/>
                <w:sz w:val="18"/>
                <w:szCs w:val="18"/>
              </w:rPr>
            </w:pPr>
          </w:p>
        </w:tc>
        <w:tc>
          <w:tcPr>
            <w:tcW w:w="980" w:type="pct"/>
            <w:vAlign w:val="center"/>
          </w:tcPr>
          <w:p w14:paraId="13B012F2" w14:textId="77777777" w:rsidR="001A2AD9" w:rsidRPr="00EE43C6" w:rsidRDefault="001A2AD9" w:rsidP="0039691C">
            <w:pPr>
              <w:spacing w:before="0" w:after="0" w:line="240" w:lineRule="auto"/>
              <w:jc w:val="center"/>
              <w:rPr>
                <w:rFonts w:eastAsia="Cambria" w:cs="MS Gothic"/>
                <w:sz w:val="18"/>
                <w:szCs w:val="18"/>
              </w:rPr>
            </w:pPr>
          </w:p>
        </w:tc>
        <w:tc>
          <w:tcPr>
            <w:tcW w:w="979" w:type="pct"/>
            <w:vAlign w:val="center"/>
          </w:tcPr>
          <w:p w14:paraId="64D37E9E" w14:textId="77777777" w:rsidR="001A2AD9" w:rsidRPr="00EE43C6" w:rsidRDefault="001A2AD9" w:rsidP="0039691C">
            <w:pPr>
              <w:spacing w:before="0" w:after="0" w:line="240" w:lineRule="auto"/>
              <w:jc w:val="center"/>
              <w:rPr>
                <w:rFonts w:eastAsia="Cambria" w:cs="MS Gothic"/>
                <w:sz w:val="18"/>
                <w:szCs w:val="18"/>
              </w:rPr>
            </w:pPr>
          </w:p>
        </w:tc>
      </w:tr>
      <w:tr w:rsidR="001A2AD9" w:rsidRPr="00EE43C6" w14:paraId="7D22F815" w14:textId="77777777">
        <w:trPr>
          <w:trHeight w:val="284"/>
        </w:trPr>
        <w:tc>
          <w:tcPr>
            <w:tcW w:w="1060" w:type="pct"/>
            <w:vAlign w:val="center"/>
          </w:tcPr>
          <w:p w14:paraId="498CA53B" w14:textId="0E58AD8C" w:rsidR="001A2AD9" w:rsidRPr="00EE43C6" w:rsidRDefault="00E40610">
            <w:pPr>
              <w:spacing w:before="0" w:after="0" w:line="240" w:lineRule="auto"/>
              <w:jc w:val="left"/>
              <w:rPr>
                <w:rFonts w:eastAsia="Cambria" w:cs="MS Gothic"/>
                <w:i/>
                <w:sz w:val="18"/>
                <w:szCs w:val="18"/>
              </w:rPr>
            </w:pPr>
            <w:r w:rsidRPr="00EE43C6">
              <w:rPr>
                <w:rFonts w:eastAsia="Cambria" w:cs="MS Gothic"/>
                <w:i/>
                <w:sz w:val="18"/>
                <w:szCs w:val="18"/>
              </w:rPr>
              <w:t>Pseudopus apodus</w:t>
            </w:r>
          </w:p>
        </w:tc>
        <w:tc>
          <w:tcPr>
            <w:tcW w:w="991" w:type="pct"/>
            <w:vAlign w:val="center"/>
          </w:tcPr>
          <w:p w14:paraId="33ABA592" w14:textId="5B3321FB" w:rsidR="001A2AD9" w:rsidRPr="00EE43C6" w:rsidRDefault="00F16574" w:rsidP="008B0EF9">
            <w:pPr>
              <w:spacing w:before="0" w:after="0" w:line="240" w:lineRule="auto"/>
              <w:jc w:val="center"/>
              <w:rPr>
                <w:rFonts w:eastAsia="Cambria" w:cs="MS Gothic"/>
                <w:i/>
                <w:sz w:val="18"/>
                <w:szCs w:val="18"/>
              </w:rPr>
            </w:pPr>
            <w:r w:rsidRPr="00EE43C6">
              <w:rPr>
                <w:rFonts w:eastAsia="Cambria" w:cs="MS Gothic"/>
                <w:sz w:val="18"/>
                <w:szCs w:val="18"/>
              </w:rPr>
              <w:t>European Glass Lizard</w:t>
            </w:r>
          </w:p>
        </w:tc>
        <w:tc>
          <w:tcPr>
            <w:tcW w:w="989" w:type="pct"/>
            <w:vAlign w:val="center"/>
          </w:tcPr>
          <w:p w14:paraId="5AFBA369" w14:textId="5EB9BAE7" w:rsidR="001A2AD9" w:rsidRPr="00EE43C6" w:rsidRDefault="00F16574" w:rsidP="0039691C">
            <w:pPr>
              <w:spacing w:before="0" w:after="0" w:line="240" w:lineRule="auto"/>
              <w:jc w:val="center"/>
              <w:rPr>
                <w:rFonts w:eastAsia="Cambria" w:cs="MS Gothic"/>
                <w:i/>
                <w:sz w:val="18"/>
                <w:szCs w:val="18"/>
              </w:rPr>
            </w:pPr>
            <w:r w:rsidRPr="00EE43C6">
              <w:rPr>
                <w:rFonts w:eastAsia="Cambria" w:cs="MS Gothic"/>
                <w:i/>
                <w:sz w:val="18"/>
                <w:szCs w:val="18"/>
              </w:rPr>
              <w:t>-</w:t>
            </w:r>
          </w:p>
        </w:tc>
        <w:tc>
          <w:tcPr>
            <w:tcW w:w="980" w:type="pct"/>
            <w:vAlign w:val="center"/>
          </w:tcPr>
          <w:p w14:paraId="02B8D707" w14:textId="4F9276F8" w:rsidR="001A2AD9" w:rsidRPr="00EE43C6" w:rsidRDefault="00F16574" w:rsidP="0039691C">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081DDFE5" w14:textId="55A2D81F" w:rsidR="001A2AD9" w:rsidRPr="00EE43C6" w:rsidRDefault="00F16574" w:rsidP="0039691C">
            <w:pPr>
              <w:spacing w:before="0" w:after="0" w:line="240" w:lineRule="auto"/>
              <w:jc w:val="center"/>
              <w:rPr>
                <w:rFonts w:eastAsia="Cambria" w:cs="MS Gothic"/>
                <w:sz w:val="18"/>
                <w:szCs w:val="18"/>
              </w:rPr>
            </w:pPr>
            <w:r w:rsidRPr="00EE43C6">
              <w:rPr>
                <w:rFonts w:eastAsia="Cambria" w:cs="MS Gothic"/>
                <w:sz w:val="18"/>
                <w:szCs w:val="18"/>
              </w:rPr>
              <w:t>App-2</w:t>
            </w:r>
          </w:p>
        </w:tc>
      </w:tr>
      <w:tr w:rsidR="001A2AD9" w:rsidRPr="00EE43C6" w14:paraId="29B109D7" w14:textId="77777777">
        <w:trPr>
          <w:trHeight w:val="284"/>
        </w:trPr>
        <w:tc>
          <w:tcPr>
            <w:tcW w:w="1060" w:type="pct"/>
            <w:vAlign w:val="center"/>
          </w:tcPr>
          <w:p w14:paraId="066BFB4D" w14:textId="282FB0E6" w:rsidR="001A2AD9" w:rsidRPr="00EE43C6" w:rsidRDefault="00172D73">
            <w:pPr>
              <w:spacing w:before="0" w:after="0" w:line="240" w:lineRule="auto"/>
              <w:jc w:val="left"/>
            </w:pPr>
            <w:r w:rsidRPr="00EE43C6">
              <w:rPr>
                <w:rFonts w:eastAsia="Cambria" w:cs="MS Gothic"/>
                <w:b/>
                <w:sz w:val="18"/>
                <w:szCs w:val="18"/>
              </w:rPr>
              <w:t>Colubridae</w:t>
            </w:r>
          </w:p>
        </w:tc>
        <w:tc>
          <w:tcPr>
            <w:tcW w:w="991" w:type="pct"/>
            <w:vAlign w:val="center"/>
          </w:tcPr>
          <w:p w14:paraId="779472D0" w14:textId="77777777" w:rsidR="001A2AD9" w:rsidRPr="00EE43C6" w:rsidRDefault="001A2AD9">
            <w:pPr>
              <w:spacing w:before="0" w:after="0" w:line="240" w:lineRule="auto"/>
              <w:jc w:val="center"/>
              <w:rPr>
                <w:rFonts w:eastAsia="Cambria" w:cs="MS Gothic"/>
                <w:b/>
                <w:sz w:val="18"/>
                <w:szCs w:val="18"/>
              </w:rPr>
            </w:pPr>
          </w:p>
        </w:tc>
        <w:tc>
          <w:tcPr>
            <w:tcW w:w="989" w:type="pct"/>
            <w:vAlign w:val="center"/>
          </w:tcPr>
          <w:p w14:paraId="15059E76" w14:textId="77777777" w:rsidR="001A2AD9" w:rsidRPr="00EE43C6" w:rsidRDefault="001A2AD9">
            <w:pPr>
              <w:spacing w:before="0" w:after="0" w:line="240" w:lineRule="auto"/>
              <w:jc w:val="center"/>
              <w:rPr>
                <w:rFonts w:eastAsia="Cambria" w:cs="MS Gothic"/>
                <w:b/>
                <w:sz w:val="18"/>
                <w:szCs w:val="18"/>
              </w:rPr>
            </w:pPr>
          </w:p>
        </w:tc>
        <w:tc>
          <w:tcPr>
            <w:tcW w:w="980" w:type="pct"/>
            <w:vAlign w:val="center"/>
          </w:tcPr>
          <w:p w14:paraId="139CC2F3" w14:textId="77777777" w:rsidR="001A2AD9" w:rsidRPr="00EE43C6" w:rsidRDefault="001A2AD9">
            <w:pPr>
              <w:spacing w:before="0" w:after="0" w:line="240" w:lineRule="auto"/>
              <w:jc w:val="center"/>
              <w:rPr>
                <w:rFonts w:eastAsia="Cambria" w:cs="MS Gothic"/>
                <w:sz w:val="18"/>
                <w:szCs w:val="18"/>
              </w:rPr>
            </w:pPr>
          </w:p>
        </w:tc>
        <w:tc>
          <w:tcPr>
            <w:tcW w:w="979" w:type="pct"/>
            <w:vAlign w:val="center"/>
          </w:tcPr>
          <w:p w14:paraId="7FEFB2F3" w14:textId="77777777" w:rsidR="001A2AD9" w:rsidRPr="00EE43C6" w:rsidRDefault="001A2AD9">
            <w:pPr>
              <w:spacing w:before="0" w:after="0" w:line="240" w:lineRule="auto"/>
              <w:jc w:val="center"/>
              <w:rPr>
                <w:rFonts w:eastAsia="Cambria" w:cs="MS Gothic"/>
                <w:sz w:val="18"/>
                <w:szCs w:val="18"/>
              </w:rPr>
            </w:pPr>
          </w:p>
        </w:tc>
      </w:tr>
      <w:tr w:rsidR="00172D73" w:rsidRPr="00EE43C6" w14:paraId="0B2DA512" w14:textId="77777777">
        <w:trPr>
          <w:trHeight w:val="284"/>
        </w:trPr>
        <w:tc>
          <w:tcPr>
            <w:tcW w:w="1060" w:type="pct"/>
            <w:vAlign w:val="center"/>
          </w:tcPr>
          <w:p w14:paraId="388D7763" w14:textId="488ECBFF" w:rsidR="00172D73" w:rsidRPr="00EE43C6" w:rsidRDefault="005D6EE3">
            <w:pPr>
              <w:spacing w:before="0" w:after="0" w:line="240" w:lineRule="auto"/>
              <w:jc w:val="left"/>
              <w:rPr>
                <w:rFonts w:eastAsia="Cambria" w:cs="MS Gothic"/>
                <w:i/>
                <w:sz w:val="18"/>
                <w:szCs w:val="18"/>
              </w:rPr>
            </w:pPr>
            <w:r w:rsidRPr="00EE43C6">
              <w:rPr>
                <w:rFonts w:eastAsia="Cambria" w:cs="MS Gothic"/>
                <w:i/>
                <w:sz w:val="18"/>
                <w:szCs w:val="18"/>
              </w:rPr>
              <w:t>Dolichophis caspius</w:t>
            </w:r>
          </w:p>
        </w:tc>
        <w:tc>
          <w:tcPr>
            <w:tcW w:w="991" w:type="pct"/>
            <w:vAlign w:val="center"/>
          </w:tcPr>
          <w:p w14:paraId="2629DA65" w14:textId="2E7625F3" w:rsidR="00172D73" w:rsidRPr="00EE43C6" w:rsidRDefault="00651190">
            <w:pPr>
              <w:spacing w:before="0" w:after="0" w:line="240" w:lineRule="auto"/>
              <w:jc w:val="center"/>
              <w:rPr>
                <w:rFonts w:eastAsia="Cambria" w:cs="MS Gothic"/>
                <w:sz w:val="18"/>
                <w:szCs w:val="18"/>
              </w:rPr>
            </w:pPr>
            <w:r w:rsidRPr="00EE43C6">
              <w:rPr>
                <w:rFonts w:eastAsia="Cambria" w:cs="MS Gothic"/>
                <w:sz w:val="18"/>
                <w:szCs w:val="18"/>
              </w:rPr>
              <w:t>Large Whip Snake</w:t>
            </w:r>
          </w:p>
        </w:tc>
        <w:tc>
          <w:tcPr>
            <w:tcW w:w="989" w:type="pct"/>
            <w:vAlign w:val="center"/>
          </w:tcPr>
          <w:p w14:paraId="2EAC2ED5" w14:textId="1D7C7FD1" w:rsidR="00172D73" w:rsidRPr="00EE43C6" w:rsidRDefault="00BF3DEB">
            <w:pPr>
              <w:spacing w:before="0" w:after="0" w:line="240" w:lineRule="auto"/>
              <w:jc w:val="center"/>
              <w:rPr>
                <w:rFonts w:eastAsia="Cambria" w:cs="MS Gothic"/>
                <w:b/>
                <w:sz w:val="18"/>
                <w:szCs w:val="18"/>
              </w:rPr>
            </w:pPr>
            <w:r w:rsidRPr="00EE43C6">
              <w:rPr>
                <w:rFonts w:eastAsia="Cambria" w:cs="MS Gothic"/>
                <w:b/>
                <w:sz w:val="18"/>
                <w:szCs w:val="18"/>
              </w:rPr>
              <w:t>-</w:t>
            </w:r>
          </w:p>
        </w:tc>
        <w:tc>
          <w:tcPr>
            <w:tcW w:w="980" w:type="pct"/>
            <w:vAlign w:val="center"/>
          </w:tcPr>
          <w:p w14:paraId="1E8D6890" w14:textId="55C4F8CB" w:rsidR="00172D73" w:rsidRPr="00EE43C6" w:rsidRDefault="00BF3DEB">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31F12538" w14:textId="665D79E0" w:rsidR="00172D73" w:rsidRPr="00EE43C6" w:rsidRDefault="00BF3DEB">
            <w:pPr>
              <w:spacing w:before="0" w:after="0" w:line="240" w:lineRule="auto"/>
              <w:jc w:val="center"/>
              <w:rPr>
                <w:rFonts w:eastAsia="Cambria" w:cs="MS Gothic"/>
                <w:sz w:val="18"/>
                <w:szCs w:val="18"/>
              </w:rPr>
            </w:pPr>
            <w:r w:rsidRPr="00EE43C6">
              <w:rPr>
                <w:rFonts w:eastAsia="Cambria" w:cs="MS Gothic"/>
                <w:sz w:val="18"/>
                <w:szCs w:val="18"/>
              </w:rPr>
              <w:t>App-2</w:t>
            </w:r>
          </w:p>
        </w:tc>
      </w:tr>
      <w:tr w:rsidR="00172D73" w:rsidRPr="00EE43C6" w14:paraId="66206C3F" w14:textId="77777777">
        <w:trPr>
          <w:trHeight w:val="284"/>
        </w:trPr>
        <w:tc>
          <w:tcPr>
            <w:tcW w:w="1060" w:type="pct"/>
            <w:vAlign w:val="center"/>
          </w:tcPr>
          <w:p w14:paraId="2F1E95A2" w14:textId="26ED4862" w:rsidR="00172D73" w:rsidRPr="00EE43C6" w:rsidRDefault="003705EA">
            <w:pPr>
              <w:spacing w:before="0" w:after="0" w:line="240" w:lineRule="auto"/>
              <w:jc w:val="left"/>
              <w:rPr>
                <w:rFonts w:eastAsia="Cambria" w:cs="MS Gothic"/>
                <w:i/>
                <w:sz w:val="18"/>
                <w:szCs w:val="18"/>
              </w:rPr>
            </w:pPr>
            <w:r w:rsidRPr="00EE43C6">
              <w:rPr>
                <w:rFonts w:eastAsia="Cambria" w:cs="MS Gothic"/>
                <w:i/>
                <w:sz w:val="18"/>
                <w:szCs w:val="18"/>
              </w:rPr>
              <w:t>Dolichophis schmidti</w:t>
            </w:r>
          </w:p>
        </w:tc>
        <w:tc>
          <w:tcPr>
            <w:tcW w:w="991" w:type="pct"/>
            <w:vAlign w:val="center"/>
          </w:tcPr>
          <w:p w14:paraId="435F4117" w14:textId="3C068A36" w:rsidR="00172D73" w:rsidRPr="00EE43C6" w:rsidRDefault="006E7AAD">
            <w:pPr>
              <w:spacing w:before="0" w:after="0" w:line="240" w:lineRule="auto"/>
              <w:jc w:val="center"/>
              <w:rPr>
                <w:rFonts w:eastAsia="Cambria" w:cs="MS Gothic"/>
                <w:sz w:val="18"/>
                <w:szCs w:val="18"/>
              </w:rPr>
            </w:pPr>
            <w:r w:rsidRPr="00EE43C6">
              <w:rPr>
                <w:rFonts w:eastAsia="Cambria" w:cs="MS Gothic"/>
                <w:sz w:val="18"/>
                <w:szCs w:val="18"/>
              </w:rPr>
              <w:t>Red-Bellied Racer</w:t>
            </w:r>
          </w:p>
        </w:tc>
        <w:tc>
          <w:tcPr>
            <w:tcW w:w="989" w:type="pct"/>
            <w:vAlign w:val="center"/>
          </w:tcPr>
          <w:p w14:paraId="3850F602" w14:textId="2B197173" w:rsidR="00172D73" w:rsidRPr="00EE43C6" w:rsidRDefault="00BF3DEB">
            <w:pPr>
              <w:spacing w:before="0" w:after="0" w:line="240" w:lineRule="auto"/>
              <w:jc w:val="center"/>
              <w:rPr>
                <w:rFonts w:eastAsia="Cambria" w:cs="MS Gothic"/>
                <w:b/>
                <w:sz w:val="18"/>
                <w:szCs w:val="18"/>
              </w:rPr>
            </w:pPr>
            <w:r w:rsidRPr="00EE43C6">
              <w:rPr>
                <w:rFonts w:eastAsia="Cambria" w:cs="MS Gothic"/>
                <w:b/>
                <w:sz w:val="18"/>
                <w:szCs w:val="18"/>
              </w:rPr>
              <w:t>-</w:t>
            </w:r>
          </w:p>
        </w:tc>
        <w:tc>
          <w:tcPr>
            <w:tcW w:w="980" w:type="pct"/>
            <w:vAlign w:val="center"/>
          </w:tcPr>
          <w:p w14:paraId="14FA7EB9" w14:textId="5815D5E9" w:rsidR="00172D73" w:rsidRPr="00EE43C6" w:rsidRDefault="00BF3DEB">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68DC4A6F" w14:textId="58BC234F" w:rsidR="00172D73" w:rsidRPr="00EE43C6" w:rsidRDefault="00BF3DEB">
            <w:pPr>
              <w:spacing w:before="0" w:after="0" w:line="240" w:lineRule="auto"/>
              <w:jc w:val="center"/>
              <w:rPr>
                <w:rFonts w:eastAsia="Cambria" w:cs="MS Gothic"/>
                <w:sz w:val="18"/>
                <w:szCs w:val="18"/>
              </w:rPr>
            </w:pPr>
            <w:r w:rsidRPr="00EE43C6">
              <w:rPr>
                <w:rFonts w:eastAsia="Cambria" w:cs="MS Gothic"/>
                <w:sz w:val="18"/>
                <w:szCs w:val="18"/>
              </w:rPr>
              <w:t>-</w:t>
            </w:r>
          </w:p>
        </w:tc>
      </w:tr>
      <w:tr w:rsidR="00172D73" w:rsidRPr="00EE43C6" w14:paraId="3A14A81A" w14:textId="77777777" w:rsidTr="000E657E">
        <w:trPr>
          <w:trHeight w:val="633"/>
        </w:trPr>
        <w:tc>
          <w:tcPr>
            <w:tcW w:w="1060" w:type="pct"/>
            <w:vAlign w:val="center"/>
          </w:tcPr>
          <w:p w14:paraId="7835621D" w14:textId="2FBF00F2" w:rsidR="00172D73" w:rsidRPr="00EE43C6" w:rsidRDefault="00E756FD">
            <w:pPr>
              <w:spacing w:before="0" w:after="0" w:line="240" w:lineRule="auto"/>
              <w:jc w:val="left"/>
              <w:rPr>
                <w:rFonts w:eastAsia="Cambria" w:cs="MS Gothic"/>
                <w:i/>
                <w:sz w:val="18"/>
                <w:szCs w:val="18"/>
              </w:rPr>
            </w:pPr>
            <w:r w:rsidRPr="00EE43C6">
              <w:rPr>
                <w:rFonts w:eastAsia="Cambria" w:cs="MS Gothic"/>
                <w:i/>
                <w:sz w:val="18"/>
                <w:szCs w:val="18"/>
              </w:rPr>
              <w:t>Eirenis decernlineatus</w:t>
            </w:r>
          </w:p>
        </w:tc>
        <w:tc>
          <w:tcPr>
            <w:tcW w:w="991" w:type="pct"/>
            <w:vAlign w:val="center"/>
          </w:tcPr>
          <w:p w14:paraId="3301D7EA" w14:textId="4CE45767" w:rsidR="00172D73" w:rsidRPr="00EE43C6" w:rsidRDefault="00A478B9">
            <w:pPr>
              <w:spacing w:before="0" w:after="0" w:line="240" w:lineRule="auto"/>
              <w:jc w:val="center"/>
              <w:rPr>
                <w:rFonts w:eastAsia="Cambria" w:cs="MS Gothic"/>
                <w:sz w:val="18"/>
                <w:szCs w:val="18"/>
              </w:rPr>
            </w:pPr>
            <w:r w:rsidRPr="00EE43C6">
              <w:rPr>
                <w:rFonts w:eastAsia="Cambria" w:cs="MS Gothic"/>
                <w:sz w:val="18"/>
                <w:szCs w:val="18"/>
              </w:rPr>
              <w:t>Narrow-striped Dwarf Racer</w:t>
            </w:r>
          </w:p>
        </w:tc>
        <w:tc>
          <w:tcPr>
            <w:tcW w:w="989" w:type="pct"/>
            <w:vAlign w:val="center"/>
          </w:tcPr>
          <w:p w14:paraId="68C4FCB4" w14:textId="44A37B78" w:rsidR="00172D73" w:rsidRPr="00EE43C6" w:rsidRDefault="00BF3DEB">
            <w:pPr>
              <w:spacing w:before="0" w:after="0" w:line="240" w:lineRule="auto"/>
              <w:jc w:val="center"/>
              <w:rPr>
                <w:rFonts w:eastAsia="Cambria" w:cs="MS Gothic"/>
                <w:b/>
                <w:sz w:val="18"/>
                <w:szCs w:val="18"/>
              </w:rPr>
            </w:pPr>
            <w:r w:rsidRPr="00EE43C6">
              <w:rPr>
                <w:rFonts w:eastAsia="Cambria" w:cs="MS Gothic"/>
                <w:b/>
                <w:sz w:val="18"/>
                <w:szCs w:val="18"/>
              </w:rPr>
              <w:t>-</w:t>
            </w:r>
          </w:p>
        </w:tc>
        <w:tc>
          <w:tcPr>
            <w:tcW w:w="980" w:type="pct"/>
            <w:vAlign w:val="center"/>
          </w:tcPr>
          <w:p w14:paraId="681F7748" w14:textId="64B1C124" w:rsidR="00172D73" w:rsidRPr="00EE43C6" w:rsidRDefault="00BF3DEB">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1A2FE298" w14:textId="4594EF46" w:rsidR="00172D73" w:rsidRPr="00EE43C6" w:rsidRDefault="00BF3DEB">
            <w:pPr>
              <w:spacing w:before="0" w:after="0" w:line="240" w:lineRule="auto"/>
              <w:jc w:val="center"/>
              <w:rPr>
                <w:rFonts w:eastAsia="Cambria" w:cs="MS Gothic"/>
                <w:sz w:val="18"/>
                <w:szCs w:val="18"/>
              </w:rPr>
            </w:pPr>
            <w:r w:rsidRPr="00EE43C6">
              <w:rPr>
                <w:rFonts w:eastAsia="Cambria" w:cs="MS Gothic"/>
                <w:sz w:val="18"/>
                <w:szCs w:val="18"/>
              </w:rPr>
              <w:t>App-3</w:t>
            </w:r>
          </w:p>
        </w:tc>
      </w:tr>
      <w:tr w:rsidR="00172D73" w:rsidRPr="00EE43C6" w14:paraId="45497C26" w14:textId="77777777">
        <w:trPr>
          <w:trHeight w:val="284"/>
        </w:trPr>
        <w:tc>
          <w:tcPr>
            <w:tcW w:w="1060" w:type="pct"/>
            <w:vAlign w:val="center"/>
          </w:tcPr>
          <w:p w14:paraId="42451DF2" w14:textId="70BE2B3C" w:rsidR="00172D73" w:rsidRPr="00EE43C6" w:rsidRDefault="00F46B1B">
            <w:pPr>
              <w:spacing w:before="0" w:after="0" w:line="240" w:lineRule="auto"/>
              <w:jc w:val="left"/>
              <w:rPr>
                <w:rFonts w:eastAsia="Cambria" w:cs="MS Gothic"/>
                <w:i/>
                <w:sz w:val="18"/>
                <w:szCs w:val="18"/>
              </w:rPr>
            </w:pPr>
            <w:r w:rsidRPr="00EE43C6">
              <w:rPr>
                <w:rFonts w:eastAsia="Cambria" w:cs="MS Gothic"/>
                <w:i/>
                <w:sz w:val="18"/>
                <w:szCs w:val="18"/>
              </w:rPr>
              <w:lastRenderedPageBreak/>
              <w:t>Eirenis modestus</w:t>
            </w:r>
          </w:p>
        </w:tc>
        <w:tc>
          <w:tcPr>
            <w:tcW w:w="991" w:type="pct"/>
            <w:vAlign w:val="center"/>
          </w:tcPr>
          <w:p w14:paraId="709AB057" w14:textId="231771E4" w:rsidR="00172D73" w:rsidRPr="00EE43C6" w:rsidRDefault="009A0CEE" w:rsidP="0091192C">
            <w:pPr>
              <w:spacing w:before="0" w:after="0" w:line="240" w:lineRule="auto"/>
              <w:jc w:val="center"/>
              <w:rPr>
                <w:rFonts w:eastAsia="Cambria" w:cs="MS Gothic"/>
                <w:sz w:val="18"/>
                <w:szCs w:val="18"/>
              </w:rPr>
            </w:pPr>
            <w:r w:rsidRPr="00EE43C6">
              <w:rPr>
                <w:rFonts w:eastAsia="Cambria" w:cs="MS Gothic"/>
                <w:sz w:val="18"/>
                <w:szCs w:val="18"/>
              </w:rPr>
              <w:t>Ring-Headed Dwarf Snake</w:t>
            </w:r>
          </w:p>
        </w:tc>
        <w:tc>
          <w:tcPr>
            <w:tcW w:w="989" w:type="pct"/>
            <w:vAlign w:val="center"/>
          </w:tcPr>
          <w:p w14:paraId="796BFB3A" w14:textId="16C9D6E5" w:rsidR="00172D73" w:rsidRPr="00EE43C6" w:rsidRDefault="00114927">
            <w:pPr>
              <w:spacing w:before="0" w:after="0" w:line="240" w:lineRule="auto"/>
              <w:jc w:val="center"/>
              <w:rPr>
                <w:rFonts w:eastAsia="Cambria" w:cs="MS Gothic"/>
                <w:b/>
                <w:sz w:val="18"/>
                <w:szCs w:val="18"/>
              </w:rPr>
            </w:pPr>
            <w:r w:rsidRPr="00EE43C6">
              <w:rPr>
                <w:rFonts w:eastAsia="Cambria" w:cs="MS Gothic"/>
                <w:b/>
                <w:sz w:val="18"/>
                <w:szCs w:val="18"/>
              </w:rPr>
              <w:t>-</w:t>
            </w:r>
          </w:p>
        </w:tc>
        <w:tc>
          <w:tcPr>
            <w:tcW w:w="980" w:type="pct"/>
            <w:vAlign w:val="center"/>
          </w:tcPr>
          <w:p w14:paraId="3E91E990" w14:textId="0BB678D8" w:rsidR="00172D73" w:rsidRPr="00EE43C6" w:rsidRDefault="00114927">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7EBA1F23" w14:textId="72469D0E" w:rsidR="00172D73" w:rsidRPr="00EE43C6" w:rsidRDefault="00114927">
            <w:pPr>
              <w:spacing w:before="0" w:after="0" w:line="240" w:lineRule="auto"/>
              <w:jc w:val="center"/>
              <w:rPr>
                <w:rFonts w:eastAsia="Cambria" w:cs="MS Gothic"/>
                <w:sz w:val="18"/>
                <w:szCs w:val="18"/>
              </w:rPr>
            </w:pPr>
            <w:r w:rsidRPr="00EE43C6">
              <w:rPr>
                <w:rFonts w:eastAsia="Cambria" w:cs="MS Gothic"/>
                <w:sz w:val="18"/>
                <w:szCs w:val="18"/>
              </w:rPr>
              <w:t>-</w:t>
            </w:r>
          </w:p>
        </w:tc>
      </w:tr>
      <w:tr w:rsidR="006D1C1F" w:rsidRPr="00EE43C6" w14:paraId="77A00F76" w14:textId="77777777">
        <w:trPr>
          <w:trHeight w:val="284"/>
        </w:trPr>
        <w:tc>
          <w:tcPr>
            <w:tcW w:w="1060" w:type="pct"/>
            <w:vAlign w:val="center"/>
          </w:tcPr>
          <w:p w14:paraId="30400983" w14:textId="11A6785F" w:rsidR="006D1C1F" w:rsidRPr="00EE43C6" w:rsidRDefault="00BF3DEB">
            <w:pPr>
              <w:spacing w:before="0" w:after="0" w:line="240" w:lineRule="auto"/>
              <w:jc w:val="left"/>
              <w:rPr>
                <w:rFonts w:eastAsia="Cambria" w:cs="MS Gothic"/>
                <w:i/>
                <w:sz w:val="18"/>
                <w:szCs w:val="18"/>
              </w:rPr>
            </w:pPr>
            <w:r w:rsidRPr="00EE43C6">
              <w:rPr>
                <w:rFonts w:eastAsia="Cambria" w:cs="MS Gothic"/>
                <w:i/>
                <w:sz w:val="18"/>
                <w:szCs w:val="18"/>
              </w:rPr>
              <w:t>Elaphe sauroma</w:t>
            </w:r>
            <w:r w:rsidR="00C636B7" w:rsidRPr="00EE43C6">
              <w:rPr>
                <w:rFonts w:eastAsia="Cambria" w:cs="MS Gothic"/>
                <w:i/>
                <w:sz w:val="18"/>
                <w:szCs w:val="18"/>
              </w:rPr>
              <w:t>t</w:t>
            </w:r>
            <w:r w:rsidRPr="00EE43C6">
              <w:rPr>
                <w:rFonts w:eastAsia="Cambria" w:cs="MS Gothic"/>
                <w:i/>
                <w:sz w:val="18"/>
                <w:szCs w:val="18"/>
              </w:rPr>
              <w:t>es</w:t>
            </w:r>
          </w:p>
        </w:tc>
        <w:tc>
          <w:tcPr>
            <w:tcW w:w="991" w:type="pct"/>
            <w:vAlign w:val="center"/>
          </w:tcPr>
          <w:p w14:paraId="23B9B471" w14:textId="4B484AE7" w:rsidR="006D1C1F" w:rsidRPr="00EE43C6" w:rsidRDefault="00C636B7">
            <w:pPr>
              <w:spacing w:before="0" w:after="0" w:line="240" w:lineRule="auto"/>
              <w:jc w:val="center"/>
              <w:rPr>
                <w:rFonts w:eastAsia="Cambria" w:cs="MS Gothic"/>
                <w:sz w:val="18"/>
                <w:szCs w:val="18"/>
              </w:rPr>
            </w:pPr>
            <w:r w:rsidRPr="00EE43C6">
              <w:rPr>
                <w:rFonts w:eastAsia="Cambria" w:cs="MS Gothic"/>
                <w:sz w:val="18"/>
                <w:szCs w:val="18"/>
              </w:rPr>
              <w:t>Eastern Four-Lined Ratsnake</w:t>
            </w:r>
          </w:p>
        </w:tc>
        <w:tc>
          <w:tcPr>
            <w:tcW w:w="989" w:type="pct"/>
            <w:vAlign w:val="center"/>
          </w:tcPr>
          <w:p w14:paraId="264C2254" w14:textId="1A0410D5" w:rsidR="006D1C1F" w:rsidRPr="00EE43C6" w:rsidRDefault="00114927">
            <w:pPr>
              <w:spacing w:before="0" w:after="0" w:line="240" w:lineRule="auto"/>
              <w:jc w:val="center"/>
              <w:rPr>
                <w:rFonts w:eastAsia="Cambria" w:cs="MS Gothic"/>
                <w:b/>
                <w:sz w:val="18"/>
                <w:szCs w:val="18"/>
              </w:rPr>
            </w:pPr>
            <w:r w:rsidRPr="00EE43C6">
              <w:rPr>
                <w:rFonts w:eastAsia="Cambria" w:cs="MS Gothic"/>
                <w:b/>
                <w:sz w:val="18"/>
                <w:szCs w:val="18"/>
              </w:rPr>
              <w:t>-</w:t>
            </w:r>
          </w:p>
        </w:tc>
        <w:tc>
          <w:tcPr>
            <w:tcW w:w="980" w:type="pct"/>
            <w:vAlign w:val="center"/>
          </w:tcPr>
          <w:p w14:paraId="51CDAABC" w14:textId="79897A30" w:rsidR="006D1C1F" w:rsidRPr="00EE43C6" w:rsidRDefault="00114927">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5A1BCD4E" w14:textId="2A218B95" w:rsidR="006D1C1F" w:rsidRPr="00EE43C6" w:rsidRDefault="00114927">
            <w:pPr>
              <w:spacing w:before="0" w:after="0" w:line="240" w:lineRule="auto"/>
              <w:jc w:val="center"/>
              <w:rPr>
                <w:rFonts w:eastAsia="Cambria" w:cs="MS Gothic"/>
                <w:sz w:val="18"/>
                <w:szCs w:val="18"/>
              </w:rPr>
            </w:pPr>
            <w:r w:rsidRPr="00EE43C6">
              <w:rPr>
                <w:rFonts w:eastAsia="Cambria" w:cs="MS Gothic"/>
                <w:sz w:val="18"/>
                <w:szCs w:val="18"/>
              </w:rPr>
              <w:t>-</w:t>
            </w:r>
          </w:p>
        </w:tc>
      </w:tr>
      <w:tr w:rsidR="00172D73" w:rsidRPr="00EE43C6" w14:paraId="5462F224" w14:textId="77777777">
        <w:trPr>
          <w:trHeight w:val="284"/>
        </w:trPr>
        <w:tc>
          <w:tcPr>
            <w:tcW w:w="1060" w:type="pct"/>
            <w:vAlign w:val="center"/>
          </w:tcPr>
          <w:p w14:paraId="38E721E8" w14:textId="0148580F" w:rsidR="00172D73" w:rsidRPr="00EE43C6" w:rsidRDefault="006D3C5B">
            <w:pPr>
              <w:spacing w:before="0" w:after="0" w:line="240" w:lineRule="auto"/>
              <w:jc w:val="left"/>
              <w:rPr>
                <w:rFonts w:eastAsia="Cambria" w:cs="MS Gothic"/>
                <w:i/>
                <w:sz w:val="18"/>
                <w:szCs w:val="18"/>
              </w:rPr>
            </w:pPr>
            <w:r w:rsidRPr="00EE43C6">
              <w:rPr>
                <w:rFonts w:eastAsia="Cambria" w:cs="MS Gothic"/>
                <w:i/>
                <w:sz w:val="18"/>
                <w:szCs w:val="18"/>
              </w:rPr>
              <w:t>Hermorrhois nummifer</w:t>
            </w:r>
          </w:p>
        </w:tc>
        <w:tc>
          <w:tcPr>
            <w:tcW w:w="991" w:type="pct"/>
            <w:vAlign w:val="center"/>
          </w:tcPr>
          <w:p w14:paraId="160C94AE" w14:textId="494BA5CC" w:rsidR="00172D73" w:rsidRPr="00EE43C6" w:rsidRDefault="004A5D5B">
            <w:pPr>
              <w:spacing w:before="0" w:after="0" w:line="240" w:lineRule="auto"/>
              <w:jc w:val="center"/>
              <w:rPr>
                <w:rFonts w:eastAsia="Cambria" w:cs="MS Gothic"/>
                <w:sz w:val="18"/>
                <w:szCs w:val="18"/>
              </w:rPr>
            </w:pPr>
            <w:r w:rsidRPr="00EE43C6">
              <w:rPr>
                <w:rFonts w:eastAsia="Cambria" w:cs="MS Gothic"/>
                <w:sz w:val="18"/>
                <w:szCs w:val="18"/>
              </w:rPr>
              <w:t>Coin-marked Snake</w:t>
            </w:r>
          </w:p>
        </w:tc>
        <w:tc>
          <w:tcPr>
            <w:tcW w:w="989" w:type="pct"/>
            <w:vAlign w:val="center"/>
          </w:tcPr>
          <w:p w14:paraId="7BB0910D" w14:textId="63F4AE9D" w:rsidR="00172D73" w:rsidRPr="00EE43C6" w:rsidRDefault="00114927">
            <w:pPr>
              <w:spacing w:before="0" w:after="0" w:line="240" w:lineRule="auto"/>
              <w:jc w:val="center"/>
              <w:rPr>
                <w:rFonts w:eastAsia="Cambria" w:cs="MS Gothic"/>
                <w:b/>
                <w:sz w:val="18"/>
                <w:szCs w:val="18"/>
              </w:rPr>
            </w:pPr>
            <w:r w:rsidRPr="00EE43C6">
              <w:rPr>
                <w:rFonts w:eastAsia="Cambria" w:cs="MS Gothic"/>
                <w:b/>
                <w:sz w:val="18"/>
                <w:szCs w:val="18"/>
              </w:rPr>
              <w:t>-</w:t>
            </w:r>
          </w:p>
        </w:tc>
        <w:tc>
          <w:tcPr>
            <w:tcW w:w="980" w:type="pct"/>
            <w:vAlign w:val="center"/>
          </w:tcPr>
          <w:p w14:paraId="3FB9A89E" w14:textId="789E3260" w:rsidR="00172D73" w:rsidRPr="00EE43C6" w:rsidRDefault="006D1360">
            <w:pPr>
              <w:spacing w:before="0" w:after="0" w:line="240" w:lineRule="auto"/>
              <w:jc w:val="center"/>
              <w:rPr>
                <w:rFonts w:eastAsia="Cambria" w:cs="MS Gothic"/>
                <w:sz w:val="18"/>
                <w:szCs w:val="18"/>
              </w:rPr>
            </w:pPr>
            <w:r w:rsidRPr="00EE43C6">
              <w:rPr>
                <w:rFonts w:eastAsia="Cambria" w:cs="MS Gothic"/>
                <w:sz w:val="18"/>
                <w:szCs w:val="18"/>
              </w:rPr>
              <w:t>-</w:t>
            </w:r>
          </w:p>
        </w:tc>
        <w:tc>
          <w:tcPr>
            <w:tcW w:w="979" w:type="pct"/>
            <w:vAlign w:val="center"/>
          </w:tcPr>
          <w:p w14:paraId="508689D8" w14:textId="67FF87E8" w:rsidR="00172D73" w:rsidRPr="00EE43C6" w:rsidRDefault="006D1360">
            <w:pPr>
              <w:spacing w:before="0" w:after="0" w:line="240" w:lineRule="auto"/>
              <w:jc w:val="center"/>
              <w:rPr>
                <w:rFonts w:eastAsia="Cambria" w:cs="MS Gothic"/>
                <w:sz w:val="18"/>
                <w:szCs w:val="18"/>
              </w:rPr>
            </w:pPr>
            <w:r w:rsidRPr="00EE43C6">
              <w:rPr>
                <w:rFonts w:eastAsia="Cambria" w:cs="MS Gothic"/>
                <w:sz w:val="18"/>
                <w:szCs w:val="18"/>
              </w:rPr>
              <w:t>-</w:t>
            </w:r>
          </w:p>
        </w:tc>
      </w:tr>
      <w:tr w:rsidR="00172D73" w:rsidRPr="00EE43C6" w14:paraId="5DDC5288" w14:textId="77777777">
        <w:trPr>
          <w:trHeight w:val="284"/>
        </w:trPr>
        <w:tc>
          <w:tcPr>
            <w:tcW w:w="1060" w:type="pct"/>
            <w:vAlign w:val="center"/>
          </w:tcPr>
          <w:p w14:paraId="69C4A79B" w14:textId="7A611714" w:rsidR="00172D73" w:rsidRPr="00EE43C6" w:rsidRDefault="00691947">
            <w:pPr>
              <w:spacing w:before="0" w:after="0" w:line="240" w:lineRule="auto"/>
              <w:jc w:val="left"/>
              <w:rPr>
                <w:rFonts w:eastAsia="Cambria" w:cs="MS Gothic"/>
                <w:i/>
                <w:sz w:val="18"/>
                <w:szCs w:val="18"/>
              </w:rPr>
            </w:pPr>
            <w:r w:rsidRPr="00EE43C6">
              <w:rPr>
                <w:rFonts w:eastAsia="Cambria" w:cs="MS Gothic"/>
                <w:i/>
                <w:sz w:val="18"/>
                <w:szCs w:val="18"/>
              </w:rPr>
              <w:t xml:space="preserve">Hemorrhois </w:t>
            </w:r>
            <w:r w:rsidR="00634709" w:rsidRPr="00EE43C6">
              <w:rPr>
                <w:rFonts w:eastAsia="Cambria" w:cs="MS Gothic"/>
                <w:i/>
                <w:sz w:val="18"/>
                <w:szCs w:val="18"/>
              </w:rPr>
              <w:t>ravergieri</w:t>
            </w:r>
          </w:p>
        </w:tc>
        <w:tc>
          <w:tcPr>
            <w:tcW w:w="991" w:type="pct"/>
            <w:vAlign w:val="center"/>
          </w:tcPr>
          <w:p w14:paraId="385ED39B" w14:textId="69517B55" w:rsidR="00172D73" w:rsidRPr="00EE43C6" w:rsidRDefault="005D1373">
            <w:pPr>
              <w:spacing w:before="0" w:after="0" w:line="240" w:lineRule="auto"/>
              <w:jc w:val="center"/>
              <w:rPr>
                <w:rFonts w:eastAsia="Cambria" w:cs="MS Gothic"/>
                <w:sz w:val="18"/>
                <w:szCs w:val="18"/>
              </w:rPr>
            </w:pPr>
            <w:r w:rsidRPr="00EE43C6">
              <w:rPr>
                <w:rFonts w:eastAsia="Cambria" w:cs="MS Gothic"/>
                <w:sz w:val="18"/>
                <w:szCs w:val="18"/>
              </w:rPr>
              <w:t>Spotted Whip Snake</w:t>
            </w:r>
          </w:p>
        </w:tc>
        <w:tc>
          <w:tcPr>
            <w:tcW w:w="989" w:type="pct"/>
            <w:vAlign w:val="center"/>
          </w:tcPr>
          <w:p w14:paraId="28E8A32C" w14:textId="16CFAEC0" w:rsidR="00172D73" w:rsidRPr="00EE43C6" w:rsidRDefault="00E65362">
            <w:pPr>
              <w:spacing w:before="0" w:after="0" w:line="240" w:lineRule="auto"/>
              <w:jc w:val="center"/>
              <w:rPr>
                <w:rFonts w:eastAsia="Cambria" w:cs="MS Gothic"/>
                <w:b/>
                <w:sz w:val="18"/>
                <w:szCs w:val="18"/>
              </w:rPr>
            </w:pPr>
            <w:r w:rsidRPr="00EE43C6">
              <w:rPr>
                <w:rFonts w:eastAsia="Cambria" w:cs="MS Gothic"/>
                <w:b/>
                <w:sz w:val="18"/>
                <w:szCs w:val="18"/>
              </w:rPr>
              <w:t>-</w:t>
            </w:r>
          </w:p>
        </w:tc>
        <w:tc>
          <w:tcPr>
            <w:tcW w:w="980" w:type="pct"/>
            <w:vAlign w:val="center"/>
          </w:tcPr>
          <w:p w14:paraId="7FC89BDB" w14:textId="32CF9125" w:rsidR="00172D73" w:rsidRPr="00EE43C6" w:rsidRDefault="00E65362">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4E102EB2" w14:textId="3E327070" w:rsidR="00172D73" w:rsidRPr="00EE43C6" w:rsidRDefault="00E65362">
            <w:pPr>
              <w:spacing w:before="0" w:after="0" w:line="240" w:lineRule="auto"/>
              <w:jc w:val="center"/>
              <w:rPr>
                <w:rFonts w:eastAsia="Cambria" w:cs="MS Gothic"/>
                <w:sz w:val="18"/>
                <w:szCs w:val="18"/>
              </w:rPr>
            </w:pPr>
            <w:r w:rsidRPr="00EE43C6">
              <w:rPr>
                <w:rFonts w:eastAsia="Cambria" w:cs="MS Gothic"/>
                <w:sz w:val="18"/>
                <w:szCs w:val="18"/>
              </w:rPr>
              <w:t>App-3</w:t>
            </w:r>
          </w:p>
        </w:tc>
      </w:tr>
      <w:tr w:rsidR="00172D73" w:rsidRPr="00EE43C6" w14:paraId="0CE063E8" w14:textId="77777777">
        <w:trPr>
          <w:trHeight w:val="284"/>
        </w:trPr>
        <w:tc>
          <w:tcPr>
            <w:tcW w:w="1060" w:type="pct"/>
            <w:vAlign w:val="center"/>
          </w:tcPr>
          <w:p w14:paraId="5462F90F" w14:textId="34FB0B01" w:rsidR="00172D73" w:rsidRPr="00EE43C6" w:rsidRDefault="0060079A">
            <w:pPr>
              <w:spacing w:before="0" w:after="0" w:line="240" w:lineRule="auto"/>
              <w:jc w:val="left"/>
              <w:rPr>
                <w:rFonts w:eastAsia="Cambria" w:cs="MS Gothic"/>
                <w:i/>
                <w:sz w:val="18"/>
                <w:szCs w:val="18"/>
              </w:rPr>
            </w:pPr>
            <w:r w:rsidRPr="00EE43C6">
              <w:rPr>
                <w:rFonts w:eastAsia="Cambria" w:cs="MS Gothic"/>
                <w:i/>
                <w:sz w:val="18"/>
                <w:szCs w:val="18"/>
              </w:rPr>
              <w:t>Plat</w:t>
            </w:r>
            <w:r w:rsidR="004F10AE" w:rsidRPr="00EE43C6">
              <w:rPr>
                <w:rFonts w:eastAsia="Cambria" w:cs="MS Gothic"/>
                <w:i/>
                <w:sz w:val="18"/>
                <w:szCs w:val="18"/>
              </w:rPr>
              <w:t>y</w:t>
            </w:r>
            <w:r w:rsidRPr="00EE43C6">
              <w:rPr>
                <w:rFonts w:eastAsia="Cambria" w:cs="MS Gothic"/>
                <w:i/>
                <w:sz w:val="18"/>
                <w:szCs w:val="18"/>
              </w:rPr>
              <w:t>ceps na</w:t>
            </w:r>
            <w:r w:rsidR="004F10AE" w:rsidRPr="00EE43C6">
              <w:rPr>
                <w:rFonts w:eastAsia="Cambria" w:cs="MS Gothic"/>
                <w:i/>
                <w:sz w:val="18"/>
                <w:szCs w:val="18"/>
              </w:rPr>
              <w:t>j</w:t>
            </w:r>
            <w:r w:rsidRPr="00EE43C6">
              <w:rPr>
                <w:rFonts w:eastAsia="Cambria" w:cs="MS Gothic"/>
                <w:i/>
                <w:sz w:val="18"/>
                <w:szCs w:val="18"/>
              </w:rPr>
              <w:t>adum</w:t>
            </w:r>
          </w:p>
        </w:tc>
        <w:tc>
          <w:tcPr>
            <w:tcW w:w="991" w:type="pct"/>
            <w:vAlign w:val="center"/>
          </w:tcPr>
          <w:p w14:paraId="73F98FA2" w14:textId="0FCA5572" w:rsidR="00172D73" w:rsidRPr="00EE43C6" w:rsidRDefault="007E17C4">
            <w:pPr>
              <w:spacing w:before="0" w:after="0" w:line="240" w:lineRule="auto"/>
              <w:jc w:val="center"/>
              <w:rPr>
                <w:rFonts w:eastAsia="Cambria" w:cs="MS Gothic"/>
                <w:sz w:val="18"/>
                <w:szCs w:val="18"/>
              </w:rPr>
            </w:pPr>
            <w:r w:rsidRPr="00EE43C6">
              <w:rPr>
                <w:rFonts w:eastAsia="Cambria" w:cs="MS Gothic"/>
                <w:sz w:val="18"/>
                <w:szCs w:val="18"/>
              </w:rPr>
              <w:t>Dahl</w:t>
            </w:r>
            <w:r w:rsidR="00165A8C">
              <w:rPr>
                <w:rFonts w:eastAsia="Cambria" w:cs="MS Gothic"/>
                <w:sz w:val="18"/>
                <w:szCs w:val="18"/>
              </w:rPr>
              <w:t>’</w:t>
            </w:r>
            <w:r w:rsidRPr="00EE43C6">
              <w:rPr>
                <w:rFonts w:eastAsia="Cambria" w:cs="MS Gothic"/>
                <w:sz w:val="18"/>
                <w:szCs w:val="18"/>
              </w:rPr>
              <w:t>s Whip Snake</w:t>
            </w:r>
          </w:p>
        </w:tc>
        <w:tc>
          <w:tcPr>
            <w:tcW w:w="989" w:type="pct"/>
            <w:vAlign w:val="center"/>
          </w:tcPr>
          <w:p w14:paraId="48083C3A" w14:textId="75F71678" w:rsidR="00172D73" w:rsidRPr="00EE43C6" w:rsidRDefault="0039691C">
            <w:pPr>
              <w:spacing w:before="0" w:after="0" w:line="240" w:lineRule="auto"/>
              <w:jc w:val="center"/>
              <w:rPr>
                <w:rFonts w:eastAsia="Cambria" w:cs="MS Gothic"/>
                <w:b/>
                <w:sz w:val="18"/>
                <w:szCs w:val="18"/>
              </w:rPr>
            </w:pPr>
            <w:r w:rsidRPr="00EE43C6">
              <w:rPr>
                <w:rFonts w:eastAsia="Cambria" w:cs="MS Gothic"/>
                <w:b/>
                <w:sz w:val="18"/>
                <w:szCs w:val="18"/>
              </w:rPr>
              <w:t>-</w:t>
            </w:r>
          </w:p>
        </w:tc>
        <w:tc>
          <w:tcPr>
            <w:tcW w:w="980" w:type="pct"/>
            <w:vAlign w:val="center"/>
          </w:tcPr>
          <w:p w14:paraId="7EFB5901" w14:textId="02A4FC2B" w:rsidR="00172D73" w:rsidRPr="00EE43C6" w:rsidRDefault="0039691C">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0B9276B3" w14:textId="0E6AB286" w:rsidR="00172D73" w:rsidRPr="00EE43C6" w:rsidRDefault="0039691C">
            <w:pPr>
              <w:spacing w:before="0" w:after="0" w:line="240" w:lineRule="auto"/>
              <w:jc w:val="center"/>
              <w:rPr>
                <w:rFonts w:eastAsia="Cambria" w:cs="MS Gothic"/>
                <w:sz w:val="18"/>
                <w:szCs w:val="18"/>
              </w:rPr>
            </w:pPr>
            <w:r w:rsidRPr="00EE43C6">
              <w:rPr>
                <w:rFonts w:eastAsia="Cambria" w:cs="MS Gothic"/>
                <w:sz w:val="18"/>
                <w:szCs w:val="18"/>
              </w:rPr>
              <w:t>-</w:t>
            </w:r>
          </w:p>
        </w:tc>
      </w:tr>
      <w:tr w:rsidR="0060079A" w:rsidRPr="00EE43C6" w14:paraId="59B2EF00" w14:textId="77777777">
        <w:trPr>
          <w:trHeight w:val="284"/>
        </w:trPr>
        <w:tc>
          <w:tcPr>
            <w:tcW w:w="1060" w:type="pct"/>
            <w:vAlign w:val="center"/>
          </w:tcPr>
          <w:p w14:paraId="72D4E754" w14:textId="3E2BF579" w:rsidR="0060079A" w:rsidRPr="00EE43C6" w:rsidRDefault="00360D8D">
            <w:pPr>
              <w:spacing w:before="0" w:after="0" w:line="240" w:lineRule="auto"/>
              <w:jc w:val="left"/>
              <w:rPr>
                <w:rFonts w:eastAsia="Cambria" w:cs="MS Gothic"/>
                <w:i/>
                <w:sz w:val="18"/>
                <w:szCs w:val="18"/>
              </w:rPr>
            </w:pPr>
            <w:r w:rsidRPr="00EE43C6">
              <w:rPr>
                <w:rFonts w:eastAsia="Cambria" w:cs="MS Gothic"/>
                <w:i/>
                <w:sz w:val="18"/>
                <w:szCs w:val="18"/>
              </w:rPr>
              <w:t>Zamenis hohenackeri</w:t>
            </w:r>
          </w:p>
        </w:tc>
        <w:tc>
          <w:tcPr>
            <w:tcW w:w="991" w:type="pct"/>
            <w:vAlign w:val="center"/>
          </w:tcPr>
          <w:p w14:paraId="6CBB7E0B" w14:textId="39C04E2E" w:rsidR="0060079A" w:rsidRPr="00EE43C6" w:rsidRDefault="00A961D2">
            <w:pPr>
              <w:spacing w:before="0" w:after="0" w:line="240" w:lineRule="auto"/>
              <w:jc w:val="center"/>
              <w:rPr>
                <w:rFonts w:eastAsia="Cambria" w:cs="MS Gothic"/>
                <w:sz w:val="18"/>
                <w:szCs w:val="18"/>
              </w:rPr>
            </w:pPr>
            <w:r w:rsidRPr="00EE43C6">
              <w:rPr>
                <w:rFonts w:eastAsia="Cambria" w:cs="MS Gothic"/>
                <w:sz w:val="18"/>
                <w:szCs w:val="18"/>
              </w:rPr>
              <w:t>Transcaucasian Rat Snake</w:t>
            </w:r>
          </w:p>
        </w:tc>
        <w:tc>
          <w:tcPr>
            <w:tcW w:w="989" w:type="pct"/>
            <w:vAlign w:val="center"/>
          </w:tcPr>
          <w:p w14:paraId="6FDF6800" w14:textId="2E4F7B4D" w:rsidR="0060079A" w:rsidRPr="00EE43C6" w:rsidRDefault="0039691C">
            <w:pPr>
              <w:spacing w:before="0" w:after="0" w:line="240" w:lineRule="auto"/>
              <w:jc w:val="center"/>
              <w:rPr>
                <w:rFonts w:eastAsia="Cambria" w:cs="MS Gothic"/>
                <w:b/>
                <w:sz w:val="18"/>
                <w:szCs w:val="18"/>
              </w:rPr>
            </w:pPr>
            <w:r w:rsidRPr="00EE43C6">
              <w:rPr>
                <w:rFonts w:eastAsia="Cambria" w:cs="MS Gothic"/>
                <w:b/>
                <w:sz w:val="18"/>
                <w:szCs w:val="18"/>
              </w:rPr>
              <w:t>-</w:t>
            </w:r>
          </w:p>
        </w:tc>
        <w:tc>
          <w:tcPr>
            <w:tcW w:w="980" w:type="pct"/>
            <w:vAlign w:val="center"/>
          </w:tcPr>
          <w:p w14:paraId="68A5B984" w14:textId="5E55A53D" w:rsidR="0060079A" w:rsidRPr="00EE43C6" w:rsidRDefault="0039691C">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38CADDFC" w14:textId="16B0EB8E" w:rsidR="0060079A" w:rsidRPr="00EE43C6" w:rsidRDefault="0039691C">
            <w:pPr>
              <w:spacing w:before="0" w:after="0" w:line="240" w:lineRule="auto"/>
              <w:jc w:val="center"/>
              <w:rPr>
                <w:rFonts w:eastAsia="Cambria" w:cs="MS Gothic"/>
                <w:b/>
                <w:sz w:val="18"/>
                <w:szCs w:val="18"/>
              </w:rPr>
            </w:pPr>
            <w:r w:rsidRPr="00EE43C6">
              <w:rPr>
                <w:rFonts w:eastAsia="Cambria" w:cs="MS Gothic"/>
                <w:b/>
                <w:sz w:val="18"/>
                <w:szCs w:val="18"/>
              </w:rPr>
              <w:t>-</w:t>
            </w:r>
          </w:p>
        </w:tc>
      </w:tr>
      <w:tr w:rsidR="00082434" w:rsidRPr="00EE43C6" w14:paraId="018AC6E9" w14:textId="77777777">
        <w:trPr>
          <w:trHeight w:val="284"/>
        </w:trPr>
        <w:tc>
          <w:tcPr>
            <w:tcW w:w="1060" w:type="pct"/>
            <w:vAlign w:val="center"/>
          </w:tcPr>
          <w:p w14:paraId="1AD0D76E" w14:textId="77777777" w:rsidR="00082434" w:rsidRPr="00EE43C6" w:rsidRDefault="00082434">
            <w:pPr>
              <w:spacing w:before="0" w:after="0" w:line="240" w:lineRule="auto"/>
              <w:jc w:val="left"/>
              <w:rPr>
                <w:rFonts w:eastAsia="Cambria" w:cs="MS Gothic"/>
                <w:b/>
                <w:sz w:val="18"/>
                <w:szCs w:val="18"/>
              </w:rPr>
            </w:pPr>
            <w:r w:rsidRPr="00EE43C6">
              <w:rPr>
                <w:rFonts w:eastAsia="Cambria" w:cs="MS Gothic"/>
                <w:b/>
                <w:sz w:val="18"/>
                <w:szCs w:val="18"/>
              </w:rPr>
              <w:t>Testudinidae</w:t>
            </w:r>
          </w:p>
        </w:tc>
        <w:tc>
          <w:tcPr>
            <w:tcW w:w="991" w:type="pct"/>
            <w:vAlign w:val="center"/>
          </w:tcPr>
          <w:p w14:paraId="58E54EDB" w14:textId="77777777" w:rsidR="00082434" w:rsidRPr="00EE43C6" w:rsidRDefault="00082434">
            <w:pPr>
              <w:spacing w:before="0" w:after="0" w:line="240" w:lineRule="auto"/>
              <w:jc w:val="center"/>
              <w:rPr>
                <w:rFonts w:eastAsia="Cambria" w:cs="MS Gothic"/>
                <w:b/>
                <w:sz w:val="18"/>
                <w:szCs w:val="18"/>
              </w:rPr>
            </w:pPr>
          </w:p>
        </w:tc>
        <w:tc>
          <w:tcPr>
            <w:tcW w:w="989" w:type="pct"/>
            <w:vAlign w:val="center"/>
          </w:tcPr>
          <w:p w14:paraId="700F14BA" w14:textId="77777777" w:rsidR="00082434" w:rsidRPr="00EE43C6" w:rsidRDefault="00082434">
            <w:pPr>
              <w:spacing w:before="0" w:after="0" w:line="240" w:lineRule="auto"/>
              <w:jc w:val="center"/>
              <w:rPr>
                <w:rFonts w:eastAsia="Cambria" w:cs="MS Gothic"/>
                <w:b/>
                <w:sz w:val="18"/>
                <w:szCs w:val="18"/>
              </w:rPr>
            </w:pPr>
          </w:p>
        </w:tc>
        <w:tc>
          <w:tcPr>
            <w:tcW w:w="980" w:type="pct"/>
            <w:vAlign w:val="center"/>
          </w:tcPr>
          <w:p w14:paraId="0D9B165D" w14:textId="77777777" w:rsidR="00082434" w:rsidRPr="00EE43C6" w:rsidRDefault="00082434">
            <w:pPr>
              <w:spacing w:before="0" w:after="0" w:line="240" w:lineRule="auto"/>
              <w:jc w:val="center"/>
              <w:rPr>
                <w:rFonts w:eastAsia="Cambria" w:cs="MS Gothic"/>
                <w:sz w:val="18"/>
                <w:szCs w:val="18"/>
              </w:rPr>
            </w:pPr>
          </w:p>
        </w:tc>
        <w:tc>
          <w:tcPr>
            <w:tcW w:w="979" w:type="pct"/>
            <w:vAlign w:val="center"/>
          </w:tcPr>
          <w:p w14:paraId="11B5ABC1" w14:textId="77777777" w:rsidR="00082434" w:rsidRPr="00EE43C6" w:rsidRDefault="00082434">
            <w:pPr>
              <w:spacing w:before="0" w:after="0" w:line="240" w:lineRule="auto"/>
              <w:jc w:val="center"/>
              <w:rPr>
                <w:rFonts w:eastAsia="Cambria" w:cs="MS Gothic"/>
                <w:b/>
                <w:sz w:val="18"/>
                <w:szCs w:val="18"/>
              </w:rPr>
            </w:pPr>
          </w:p>
        </w:tc>
      </w:tr>
      <w:tr w:rsidR="00082434" w:rsidRPr="00EE43C6" w14:paraId="3C489529" w14:textId="77777777">
        <w:trPr>
          <w:trHeight w:val="284"/>
        </w:trPr>
        <w:tc>
          <w:tcPr>
            <w:tcW w:w="1060" w:type="pct"/>
            <w:vAlign w:val="center"/>
          </w:tcPr>
          <w:p w14:paraId="43FD8A2C" w14:textId="77777777" w:rsidR="00082434" w:rsidRPr="00EE43C6" w:rsidRDefault="00082434">
            <w:pPr>
              <w:spacing w:before="0" w:after="0" w:line="240" w:lineRule="auto"/>
              <w:jc w:val="left"/>
              <w:rPr>
                <w:rFonts w:eastAsia="Cambria" w:cs="MS Gothic"/>
                <w:i/>
                <w:sz w:val="18"/>
                <w:szCs w:val="18"/>
              </w:rPr>
            </w:pPr>
            <w:r w:rsidRPr="00EE43C6">
              <w:rPr>
                <w:rFonts w:eastAsia="Cambria" w:cs="MS Gothic"/>
                <w:i/>
                <w:sz w:val="18"/>
                <w:szCs w:val="18"/>
              </w:rPr>
              <w:t>Testudo graeca</w:t>
            </w:r>
          </w:p>
        </w:tc>
        <w:tc>
          <w:tcPr>
            <w:tcW w:w="991" w:type="pct"/>
            <w:vAlign w:val="center"/>
          </w:tcPr>
          <w:p w14:paraId="70AA964B" w14:textId="77777777" w:rsidR="00082434" w:rsidRPr="00EE43C6" w:rsidRDefault="00082434">
            <w:pPr>
              <w:spacing w:before="0" w:after="0" w:line="240" w:lineRule="auto"/>
              <w:jc w:val="center"/>
              <w:rPr>
                <w:rFonts w:eastAsia="Cambria" w:cs="MS Gothic"/>
                <w:sz w:val="18"/>
                <w:szCs w:val="18"/>
              </w:rPr>
            </w:pPr>
            <w:r w:rsidRPr="00EE43C6">
              <w:rPr>
                <w:rFonts w:eastAsia="Cambria" w:cs="MS Gothic"/>
                <w:sz w:val="18"/>
                <w:szCs w:val="18"/>
              </w:rPr>
              <w:t>Common Tortoise</w:t>
            </w:r>
          </w:p>
        </w:tc>
        <w:tc>
          <w:tcPr>
            <w:tcW w:w="989" w:type="pct"/>
            <w:vAlign w:val="center"/>
          </w:tcPr>
          <w:p w14:paraId="5B54BE85" w14:textId="77777777" w:rsidR="00082434" w:rsidRPr="00EE43C6" w:rsidRDefault="00082434">
            <w:pPr>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980" w:type="pct"/>
            <w:vAlign w:val="center"/>
          </w:tcPr>
          <w:p w14:paraId="5D1DD725" w14:textId="77777777" w:rsidR="00082434" w:rsidRPr="00EE43C6" w:rsidRDefault="00082434">
            <w:pPr>
              <w:spacing w:before="0" w:after="0" w:line="240" w:lineRule="auto"/>
              <w:jc w:val="center"/>
              <w:rPr>
                <w:rFonts w:eastAsia="Cambria" w:cs="MS Gothic"/>
                <w:sz w:val="18"/>
                <w:szCs w:val="18"/>
              </w:rPr>
            </w:pPr>
            <w:r w:rsidRPr="00EE43C6">
              <w:rPr>
                <w:rFonts w:eastAsia="Cambria" w:cs="MS Gothic"/>
                <w:sz w:val="18"/>
                <w:szCs w:val="18"/>
              </w:rPr>
              <w:t>VU</w:t>
            </w:r>
          </w:p>
        </w:tc>
        <w:tc>
          <w:tcPr>
            <w:tcW w:w="979" w:type="pct"/>
            <w:vAlign w:val="center"/>
          </w:tcPr>
          <w:p w14:paraId="5CD396AF" w14:textId="7D68BF73" w:rsidR="00082434" w:rsidRPr="00EE43C6" w:rsidRDefault="00082434">
            <w:pPr>
              <w:spacing w:before="0" w:after="0" w:line="240" w:lineRule="auto"/>
              <w:jc w:val="center"/>
              <w:rPr>
                <w:rFonts w:eastAsia="Cambria" w:cs="MS Gothic"/>
                <w:sz w:val="18"/>
                <w:szCs w:val="18"/>
              </w:rPr>
            </w:pPr>
            <w:r w:rsidRPr="00EE43C6">
              <w:rPr>
                <w:rFonts w:eastAsia="Cambria" w:cs="MS Gothic"/>
                <w:sz w:val="18"/>
                <w:szCs w:val="18"/>
              </w:rPr>
              <w:t>App-2</w:t>
            </w:r>
          </w:p>
        </w:tc>
      </w:tr>
      <w:tr w:rsidR="00082434" w:rsidRPr="00EE43C6" w14:paraId="132EE353" w14:textId="77777777">
        <w:trPr>
          <w:trHeight w:val="284"/>
        </w:trPr>
        <w:tc>
          <w:tcPr>
            <w:tcW w:w="1060" w:type="pct"/>
            <w:vAlign w:val="center"/>
          </w:tcPr>
          <w:p w14:paraId="478F1AB7" w14:textId="77777777" w:rsidR="00082434" w:rsidRPr="00EE43C6" w:rsidRDefault="00082434">
            <w:pPr>
              <w:spacing w:before="0" w:after="0" w:line="240" w:lineRule="auto"/>
              <w:jc w:val="left"/>
              <w:rPr>
                <w:rFonts w:eastAsia="Cambria" w:cs="MS Gothic"/>
                <w:i/>
                <w:sz w:val="18"/>
                <w:szCs w:val="18"/>
              </w:rPr>
            </w:pPr>
            <w:r w:rsidRPr="00EE43C6">
              <w:rPr>
                <w:rFonts w:eastAsia="Cambria" w:cs="MS Gothic"/>
                <w:b/>
                <w:sz w:val="18"/>
                <w:szCs w:val="18"/>
              </w:rPr>
              <w:t>Lacertidae</w:t>
            </w:r>
          </w:p>
        </w:tc>
        <w:tc>
          <w:tcPr>
            <w:tcW w:w="991" w:type="pct"/>
            <w:vAlign w:val="center"/>
          </w:tcPr>
          <w:p w14:paraId="5800A9A2" w14:textId="77777777" w:rsidR="00082434" w:rsidRPr="00EE43C6" w:rsidRDefault="00082434">
            <w:pPr>
              <w:spacing w:before="0" w:after="0" w:line="240" w:lineRule="auto"/>
              <w:jc w:val="center"/>
              <w:rPr>
                <w:rFonts w:eastAsia="Cambria" w:cs="MS Gothic"/>
                <w:sz w:val="18"/>
                <w:szCs w:val="18"/>
              </w:rPr>
            </w:pPr>
          </w:p>
        </w:tc>
        <w:tc>
          <w:tcPr>
            <w:tcW w:w="989" w:type="pct"/>
            <w:vAlign w:val="center"/>
          </w:tcPr>
          <w:p w14:paraId="2C788CCF" w14:textId="77777777" w:rsidR="00082434" w:rsidRPr="00EE43C6" w:rsidRDefault="00082434">
            <w:pPr>
              <w:tabs>
                <w:tab w:val="center" w:pos="675"/>
              </w:tabs>
              <w:spacing w:before="0" w:after="0" w:line="240" w:lineRule="auto"/>
              <w:jc w:val="center"/>
              <w:rPr>
                <w:rFonts w:eastAsia="Cambria" w:cs="MS Gothic"/>
                <w:sz w:val="18"/>
                <w:szCs w:val="18"/>
              </w:rPr>
            </w:pPr>
          </w:p>
        </w:tc>
        <w:tc>
          <w:tcPr>
            <w:tcW w:w="980" w:type="pct"/>
            <w:vAlign w:val="center"/>
          </w:tcPr>
          <w:p w14:paraId="27BEBCB0" w14:textId="77777777" w:rsidR="00082434" w:rsidRPr="00EE43C6" w:rsidRDefault="00082434">
            <w:pPr>
              <w:spacing w:before="0" w:after="0" w:line="240" w:lineRule="auto"/>
              <w:jc w:val="center"/>
              <w:rPr>
                <w:rFonts w:eastAsia="Cambria" w:cs="MS Gothic"/>
                <w:sz w:val="18"/>
                <w:szCs w:val="18"/>
              </w:rPr>
            </w:pPr>
          </w:p>
        </w:tc>
        <w:tc>
          <w:tcPr>
            <w:tcW w:w="979" w:type="pct"/>
            <w:vAlign w:val="center"/>
          </w:tcPr>
          <w:p w14:paraId="5B597D75" w14:textId="77777777" w:rsidR="00082434" w:rsidRPr="00EE43C6" w:rsidRDefault="00082434">
            <w:pPr>
              <w:spacing w:before="0" w:after="0" w:line="240" w:lineRule="auto"/>
              <w:jc w:val="center"/>
              <w:rPr>
                <w:rFonts w:eastAsia="Cambria" w:cs="MS Gothic"/>
                <w:sz w:val="18"/>
                <w:szCs w:val="18"/>
              </w:rPr>
            </w:pPr>
          </w:p>
        </w:tc>
      </w:tr>
      <w:tr w:rsidR="00894E8C" w:rsidRPr="00EE43C6" w14:paraId="4C6D0DE3" w14:textId="77777777">
        <w:trPr>
          <w:trHeight w:val="284"/>
        </w:trPr>
        <w:tc>
          <w:tcPr>
            <w:tcW w:w="1060" w:type="pct"/>
            <w:vAlign w:val="center"/>
          </w:tcPr>
          <w:p w14:paraId="38295ADB" w14:textId="6D2130D8" w:rsidR="00894E8C" w:rsidRPr="00EE43C6" w:rsidRDefault="007E0ECD">
            <w:pPr>
              <w:spacing w:before="0" w:after="0" w:line="240" w:lineRule="auto"/>
              <w:jc w:val="left"/>
              <w:rPr>
                <w:rFonts w:eastAsia="Cambria" w:cs="MS Gothic"/>
                <w:i/>
                <w:sz w:val="18"/>
                <w:szCs w:val="18"/>
              </w:rPr>
            </w:pPr>
            <w:r w:rsidRPr="00EE43C6">
              <w:rPr>
                <w:rFonts w:eastAsia="Cambria" w:cs="MS Gothic"/>
                <w:i/>
                <w:sz w:val="18"/>
                <w:szCs w:val="18"/>
              </w:rPr>
              <w:t>Anatololacerta danfordi</w:t>
            </w:r>
            <w:r w:rsidR="007B56C2" w:rsidRPr="00EE43C6">
              <w:rPr>
                <w:rFonts w:eastAsia="Cambria" w:cs="MS Gothic"/>
                <w:i/>
                <w:sz w:val="18"/>
                <w:szCs w:val="18"/>
              </w:rPr>
              <w:t xml:space="preserve"> </w:t>
            </w:r>
          </w:p>
        </w:tc>
        <w:tc>
          <w:tcPr>
            <w:tcW w:w="991" w:type="pct"/>
            <w:vAlign w:val="center"/>
          </w:tcPr>
          <w:p w14:paraId="258F4BB7" w14:textId="603CAE62" w:rsidR="00894E8C" w:rsidRPr="00EE43C6" w:rsidRDefault="00080592">
            <w:pPr>
              <w:spacing w:before="0" w:after="0" w:line="240" w:lineRule="auto"/>
              <w:jc w:val="center"/>
              <w:rPr>
                <w:rFonts w:eastAsia="Cambria" w:cs="MS Gothic"/>
                <w:sz w:val="18"/>
                <w:szCs w:val="18"/>
              </w:rPr>
            </w:pPr>
            <w:r w:rsidRPr="00EE43C6">
              <w:rPr>
                <w:rFonts w:eastAsia="Cambria" w:cs="MS Gothic"/>
                <w:sz w:val="18"/>
                <w:szCs w:val="18"/>
              </w:rPr>
              <w:t>Danford</w:t>
            </w:r>
            <w:r w:rsidR="00165A8C">
              <w:rPr>
                <w:rFonts w:eastAsia="Cambria" w:cs="MS Gothic"/>
                <w:sz w:val="18"/>
                <w:szCs w:val="18"/>
              </w:rPr>
              <w:t>’</w:t>
            </w:r>
            <w:r w:rsidRPr="00EE43C6">
              <w:rPr>
                <w:rFonts w:eastAsia="Cambria" w:cs="MS Gothic"/>
                <w:sz w:val="18"/>
                <w:szCs w:val="18"/>
              </w:rPr>
              <w:t>s Lizard</w:t>
            </w:r>
          </w:p>
        </w:tc>
        <w:tc>
          <w:tcPr>
            <w:tcW w:w="989" w:type="pct"/>
            <w:vAlign w:val="center"/>
          </w:tcPr>
          <w:p w14:paraId="05588240" w14:textId="47587624" w:rsidR="00894E8C" w:rsidRPr="00EE43C6" w:rsidRDefault="008B0EF9">
            <w:pPr>
              <w:tabs>
                <w:tab w:val="center" w:pos="675"/>
              </w:tabs>
              <w:spacing w:before="0" w:after="0" w:line="240" w:lineRule="auto"/>
              <w:jc w:val="center"/>
              <w:rPr>
                <w:rFonts w:eastAsia="Cambria" w:cs="MS Gothic"/>
                <w:sz w:val="18"/>
                <w:szCs w:val="18"/>
              </w:rPr>
            </w:pPr>
            <w:r w:rsidRPr="00EE43C6">
              <w:rPr>
                <w:rFonts w:eastAsia="Cambria" w:cs="MS Gothic"/>
                <w:color w:val="000000"/>
                <w:sz w:val="18"/>
                <w:szCs w:val="18"/>
              </w:rPr>
              <w:t>Endemic</w:t>
            </w:r>
          </w:p>
        </w:tc>
        <w:tc>
          <w:tcPr>
            <w:tcW w:w="980" w:type="pct"/>
            <w:vAlign w:val="center"/>
          </w:tcPr>
          <w:p w14:paraId="2F8991C4" w14:textId="1300CCED" w:rsidR="00894E8C" w:rsidRPr="00EE43C6" w:rsidRDefault="00824F1D">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4BA9CEBD" w14:textId="20C259DF" w:rsidR="00894E8C" w:rsidRPr="00EE43C6" w:rsidRDefault="00824F1D">
            <w:pPr>
              <w:spacing w:before="0" w:after="0" w:line="240" w:lineRule="auto"/>
              <w:jc w:val="center"/>
              <w:rPr>
                <w:rFonts w:eastAsia="Cambria" w:cs="MS Gothic"/>
                <w:sz w:val="18"/>
                <w:szCs w:val="18"/>
              </w:rPr>
            </w:pPr>
            <w:r w:rsidRPr="00EE43C6">
              <w:rPr>
                <w:rFonts w:eastAsia="Cambria" w:cs="MS Gothic"/>
                <w:sz w:val="18"/>
                <w:szCs w:val="18"/>
              </w:rPr>
              <w:t>-</w:t>
            </w:r>
          </w:p>
        </w:tc>
      </w:tr>
      <w:tr w:rsidR="00894E8C" w:rsidRPr="00EE43C6" w14:paraId="1ACB2107" w14:textId="77777777">
        <w:trPr>
          <w:trHeight w:val="284"/>
        </w:trPr>
        <w:tc>
          <w:tcPr>
            <w:tcW w:w="1060" w:type="pct"/>
            <w:vAlign w:val="center"/>
          </w:tcPr>
          <w:p w14:paraId="033CE131" w14:textId="2695FEA4" w:rsidR="00894E8C" w:rsidRPr="00EE43C6" w:rsidRDefault="007B56C2">
            <w:pPr>
              <w:spacing w:before="0" w:after="0" w:line="240" w:lineRule="auto"/>
              <w:jc w:val="left"/>
              <w:rPr>
                <w:rFonts w:eastAsia="Cambria" w:cs="MS Gothic"/>
                <w:i/>
                <w:sz w:val="18"/>
                <w:szCs w:val="18"/>
              </w:rPr>
            </w:pPr>
            <w:r w:rsidRPr="00EE43C6">
              <w:rPr>
                <w:rFonts w:eastAsia="Cambria" w:cs="MS Gothic"/>
                <w:sz w:val="18"/>
                <w:szCs w:val="18"/>
              </w:rPr>
              <w:t xml:space="preserve">Apathya </w:t>
            </w:r>
            <w:r w:rsidR="00810E60" w:rsidRPr="00EE43C6">
              <w:rPr>
                <w:rFonts w:eastAsia="Cambria" w:cs="MS Gothic"/>
                <w:sz w:val="18"/>
                <w:szCs w:val="18"/>
              </w:rPr>
              <w:t>cappadocica</w:t>
            </w:r>
          </w:p>
        </w:tc>
        <w:tc>
          <w:tcPr>
            <w:tcW w:w="991" w:type="pct"/>
            <w:vAlign w:val="center"/>
          </w:tcPr>
          <w:p w14:paraId="5197C607" w14:textId="7C6F4E66" w:rsidR="00894E8C" w:rsidRPr="00EE43C6" w:rsidRDefault="00A522AA">
            <w:pPr>
              <w:spacing w:before="0" w:after="0" w:line="240" w:lineRule="auto"/>
              <w:jc w:val="center"/>
              <w:rPr>
                <w:rFonts w:eastAsia="Cambria" w:cs="MS Gothic"/>
                <w:sz w:val="18"/>
                <w:szCs w:val="18"/>
              </w:rPr>
            </w:pPr>
            <w:r w:rsidRPr="00EE43C6">
              <w:rPr>
                <w:rFonts w:eastAsia="Cambria" w:cs="MS Gothic"/>
                <w:sz w:val="18"/>
                <w:szCs w:val="18"/>
              </w:rPr>
              <w:t>The Anatolian lizard</w:t>
            </w:r>
          </w:p>
        </w:tc>
        <w:tc>
          <w:tcPr>
            <w:tcW w:w="989" w:type="pct"/>
            <w:vAlign w:val="center"/>
          </w:tcPr>
          <w:p w14:paraId="4694E159" w14:textId="5AFE7536" w:rsidR="00894E8C" w:rsidRPr="00EE43C6" w:rsidRDefault="00824F1D">
            <w:pPr>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980" w:type="pct"/>
            <w:vAlign w:val="center"/>
          </w:tcPr>
          <w:p w14:paraId="5895E5E7" w14:textId="26770681" w:rsidR="00894E8C" w:rsidRPr="00EE43C6" w:rsidRDefault="00824F1D">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09A1AF34" w14:textId="585BC2E4" w:rsidR="00894E8C" w:rsidRPr="00EE43C6" w:rsidRDefault="00824F1D">
            <w:pPr>
              <w:spacing w:before="0" w:after="0" w:line="240" w:lineRule="auto"/>
              <w:jc w:val="center"/>
              <w:rPr>
                <w:rFonts w:eastAsia="Cambria" w:cs="MS Gothic"/>
                <w:sz w:val="18"/>
                <w:szCs w:val="18"/>
              </w:rPr>
            </w:pPr>
            <w:r w:rsidRPr="00EE43C6">
              <w:rPr>
                <w:rFonts w:eastAsia="Cambria" w:cs="MS Gothic"/>
                <w:sz w:val="18"/>
                <w:szCs w:val="18"/>
              </w:rPr>
              <w:t>App-3</w:t>
            </w:r>
          </w:p>
        </w:tc>
      </w:tr>
      <w:tr w:rsidR="00082434" w:rsidRPr="00EE43C6" w14:paraId="2F449544" w14:textId="77777777">
        <w:trPr>
          <w:trHeight w:val="284"/>
        </w:trPr>
        <w:tc>
          <w:tcPr>
            <w:tcW w:w="1060" w:type="pct"/>
            <w:vAlign w:val="center"/>
          </w:tcPr>
          <w:p w14:paraId="08D39743" w14:textId="4A8E9758" w:rsidR="00082434" w:rsidRPr="00EE43C6" w:rsidRDefault="00082434">
            <w:pPr>
              <w:spacing w:before="0" w:after="0" w:line="240" w:lineRule="auto"/>
              <w:jc w:val="left"/>
              <w:rPr>
                <w:rFonts w:eastAsia="Cambria" w:cs="MS Gothic"/>
                <w:i/>
                <w:sz w:val="18"/>
                <w:szCs w:val="18"/>
              </w:rPr>
            </w:pPr>
            <w:r w:rsidRPr="00EE43C6">
              <w:rPr>
                <w:rFonts w:eastAsia="Cambria" w:cs="MS Gothic"/>
                <w:i/>
                <w:sz w:val="18"/>
                <w:szCs w:val="18"/>
              </w:rPr>
              <w:t xml:space="preserve">Lacerta </w:t>
            </w:r>
            <w:r w:rsidR="00E92869" w:rsidRPr="00EE43C6">
              <w:rPr>
                <w:rFonts w:eastAsia="Cambria" w:cs="MS Gothic"/>
                <w:i/>
                <w:sz w:val="18"/>
                <w:szCs w:val="18"/>
              </w:rPr>
              <w:t>media</w:t>
            </w:r>
          </w:p>
        </w:tc>
        <w:tc>
          <w:tcPr>
            <w:tcW w:w="991" w:type="pct"/>
            <w:vAlign w:val="center"/>
          </w:tcPr>
          <w:p w14:paraId="385E89FB" w14:textId="0884B5E3" w:rsidR="00082434" w:rsidRPr="00EE43C6" w:rsidRDefault="00705723">
            <w:pPr>
              <w:spacing w:before="0" w:after="0" w:line="240" w:lineRule="auto"/>
              <w:jc w:val="center"/>
              <w:rPr>
                <w:rFonts w:eastAsia="Cambria" w:cs="MS Gothic"/>
                <w:sz w:val="18"/>
                <w:szCs w:val="18"/>
              </w:rPr>
            </w:pPr>
            <w:r w:rsidRPr="00EE43C6">
              <w:rPr>
                <w:rFonts w:eastAsia="Cambria" w:cs="MS Gothic"/>
                <w:sz w:val="18"/>
                <w:szCs w:val="18"/>
              </w:rPr>
              <w:t>Medium</w:t>
            </w:r>
            <w:r w:rsidR="00082434" w:rsidRPr="00EE43C6">
              <w:rPr>
                <w:rFonts w:eastAsia="Cambria" w:cs="MS Gothic"/>
                <w:sz w:val="18"/>
                <w:szCs w:val="18"/>
              </w:rPr>
              <w:t xml:space="preserve"> Lizard</w:t>
            </w:r>
          </w:p>
        </w:tc>
        <w:tc>
          <w:tcPr>
            <w:tcW w:w="989" w:type="pct"/>
            <w:vAlign w:val="center"/>
          </w:tcPr>
          <w:p w14:paraId="1DE03535" w14:textId="77777777" w:rsidR="00082434" w:rsidRPr="00EE43C6" w:rsidRDefault="00082434">
            <w:pPr>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980" w:type="pct"/>
            <w:vAlign w:val="center"/>
          </w:tcPr>
          <w:p w14:paraId="3D65EF9F" w14:textId="77777777" w:rsidR="00082434" w:rsidRPr="00EE43C6" w:rsidRDefault="00082434">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0AA6778A" w14:textId="05DEC036" w:rsidR="00082434" w:rsidRPr="00EE43C6" w:rsidRDefault="00894E8C">
            <w:pPr>
              <w:spacing w:before="0" w:after="0" w:line="240" w:lineRule="auto"/>
              <w:jc w:val="center"/>
              <w:rPr>
                <w:rFonts w:eastAsia="Cambria" w:cs="MS Gothic"/>
                <w:sz w:val="18"/>
                <w:szCs w:val="18"/>
              </w:rPr>
            </w:pPr>
            <w:r w:rsidRPr="00EE43C6">
              <w:rPr>
                <w:rFonts w:eastAsia="Cambria" w:cs="MS Gothic"/>
                <w:sz w:val="18"/>
                <w:szCs w:val="18"/>
              </w:rPr>
              <w:t>-</w:t>
            </w:r>
          </w:p>
        </w:tc>
      </w:tr>
      <w:tr w:rsidR="00082434" w:rsidRPr="00EE43C6" w14:paraId="1B31944A" w14:textId="77777777">
        <w:trPr>
          <w:trHeight w:val="284"/>
        </w:trPr>
        <w:tc>
          <w:tcPr>
            <w:tcW w:w="1060" w:type="pct"/>
            <w:vAlign w:val="center"/>
          </w:tcPr>
          <w:p w14:paraId="751F2B04" w14:textId="77777777" w:rsidR="00082434" w:rsidRPr="00EE43C6" w:rsidRDefault="00082434">
            <w:pPr>
              <w:spacing w:before="0" w:after="0" w:line="240" w:lineRule="auto"/>
              <w:jc w:val="left"/>
              <w:rPr>
                <w:rFonts w:eastAsia="Cambria" w:cs="MS Gothic"/>
                <w:i/>
                <w:sz w:val="18"/>
                <w:szCs w:val="18"/>
              </w:rPr>
            </w:pPr>
            <w:r w:rsidRPr="00EE43C6">
              <w:rPr>
                <w:rFonts w:eastAsia="Cambria" w:cs="MS Gothic"/>
                <w:i/>
                <w:sz w:val="18"/>
                <w:szCs w:val="18"/>
              </w:rPr>
              <w:t>Ophisops elegans</w:t>
            </w:r>
          </w:p>
        </w:tc>
        <w:tc>
          <w:tcPr>
            <w:tcW w:w="991" w:type="pct"/>
            <w:vAlign w:val="center"/>
          </w:tcPr>
          <w:p w14:paraId="47C22613" w14:textId="77777777" w:rsidR="00082434" w:rsidRPr="00EE43C6" w:rsidRDefault="00082434">
            <w:pPr>
              <w:spacing w:before="0" w:after="0" w:line="240" w:lineRule="auto"/>
              <w:jc w:val="center"/>
              <w:rPr>
                <w:rFonts w:eastAsia="Cambria" w:cs="MS Gothic"/>
                <w:sz w:val="18"/>
                <w:szCs w:val="18"/>
              </w:rPr>
            </w:pPr>
            <w:r w:rsidRPr="00EE43C6">
              <w:rPr>
                <w:rFonts w:eastAsia="Cambria" w:cs="MS Gothic"/>
                <w:sz w:val="18"/>
                <w:szCs w:val="18"/>
              </w:rPr>
              <w:t>Snake-eyed Lizard</w:t>
            </w:r>
          </w:p>
        </w:tc>
        <w:tc>
          <w:tcPr>
            <w:tcW w:w="989" w:type="pct"/>
            <w:vAlign w:val="center"/>
          </w:tcPr>
          <w:p w14:paraId="7E3B76D9" w14:textId="77777777" w:rsidR="00082434" w:rsidRPr="00EE43C6" w:rsidRDefault="00082434">
            <w:pPr>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980" w:type="pct"/>
            <w:vAlign w:val="center"/>
          </w:tcPr>
          <w:p w14:paraId="4A4B5BC4" w14:textId="77777777" w:rsidR="00082434" w:rsidRPr="00EE43C6" w:rsidRDefault="00082434">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480C4EA3" w14:textId="36859C35" w:rsidR="00082434" w:rsidRPr="00EE43C6" w:rsidRDefault="00082434">
            <w:pPr>
              <w:spacing w:before="0" w:after="0" w:line="240" w:lineRule="auto"/>
              <w:jc w:val="center"/>
              <w:rPr>
                <w:rFonts w:eastAsia="Cambria" w:cs="MS Gothic"/>
                <w:sz w:val="18"/>
                <w:szCs w:val="18"/>
              </w:rPr>
            </w:pPr>
            <w:r w:rsidRPr="00EE43C6">
              <w:rPr>
                <w:rFonts w:eastAsia="Cambria" w:cs="MS Gothic"/>
                <w:sz w:val="18"/>
                <w:szCs w:val="18"/>
              </w:rPr>
              <w:t>App-2</w:t>
            </w:r>
          </w:p>
        </w:tc>
      </w:tr>
      <w:tr w:rsidR="00A55490" w:rsidRPr="00EE43C6" w14:paraId="0B63FABE" w14:textId="77777777">
        <w:trPr>
          <w:trHeight w:val="284"/>
        </w:trPr>
        <w:tc>
          <w:tcPr>
            <w:tcW w:w="1060" w:type="pct"/>
            <w:vAlign w:val="center"/>
          </w:tcPr>
          <w:p w14:paraId="5441B619" w14:textId="3ADFB777" w:rsidR="00A55490" w:rsidRPr="00EE43C6" w:rsidRDefault="00A55490">
            <w:pPr>
              <w:spacing w:before="0" w:after="0" w:line="240" w:lineRule="auto"/>
              <w:jc w:val="left"/>
              <w:rPr>
                <w:rFonts w:eastAsia="Cambria" w:cs="MS Gothic"/>
                <w:i/>
                <w:sz w:val="18"/>
                <w:szCs w:val="18"/>
              </w:rPr>
            </w:pPr>
            <w:r w:rsidRPr="00EE43C6">
              <w:rPr>
                <w:rFonts w:eastAsia="Cambria" w:cs="MS Gothic"/>
                <w:b/>
                <w:sz w:val="18"/>
                <w:szCs w:val="18"/>
              </w:rPr>
              <w:t>Natricidae</w:t>
            </w:r>
          </w:p>
        </w:tc>
        <w:tc>
          <w:tcPr>
            <w:tcW w:w="991" w:type="pct"/>
            <w:vAlign w:val="center"/>
          </w:tcPr>
          <w:p w14:paraId="77F3B113" w14:textId="77777777" w:rsidR="00A55490" w:rsidRPr="00EE43C6" w:rsidRDefault="00A55490">
            <w:pPr>
              <w:spacing w:before="0" w:after="0" w:line="240" w:lineRule="auto"/>
              <w:jc w:val="center"/>
              <w:rPr>
                <w:rFonts w:eastAsia="Cambria" w:cs="MS Gothic"/>
                <w:sz w:val="18"/>
                <w:szCs w:val="18"/>
              </w:rPr>
            </w:pPr>
          </w:p>
        </w:tc>
        <w:tc>
          <w:tcPr>
            <w:tcW w:w="989" w:type="pct"/>
            <w:vAlign w:val="center"/>
          </w:tcPr>
          <w:p w14:paraId="5ADD177E" w14:textId="77777777" w:rsidR="00A55490" w:rsidRPr="00EE43C6" w:rsidRDefault="00A55490">
            <w:pPr>
              <w:tabs>
                <w:tab w:val="center" w:pos="675"/>
              </w:tabs>
              <w:spacing w:before="0" w:after="0" w:line="240" w:lineRule="auto"/>
              <w:jc w:val="center"/>
              <w:rPr>
                <w:rFonts w:eastAsia="Cambria" w:cs="MS Gothic"/>
                <w:sz w:val="18"/>
                <w:szCs w:val="18"/>
              </w:rPr>
            </w:pPr>
          </w:p>
        </w:tc>
        <w:tc>
          <w:tcPr>
            <w:tcW w:w="980" w:type="pct"/>
            <w:vAlign w:val="center"/>
          </w:tcPr>
          <w:p w14:paraId="6EDB24B2" w14:textId="77777777" w:rsidR="00A55490" w:rsidRPr="00EE43C6" w:rsidRDefault="00A55490">
            <w:pPr>
              <w:spacing w:before="0" w:after="0" w:line="240" w:lineRule="auto"/>
              <w:jc w:val="center"/>
              <w:rPr>
                <w:rFonts w:eastAsia="Cambria" w:cs="MS Gothic"/>
                <w:sz w:val="18"/>
                <w:szCs w:val="18"/>
              </w:rPr>
            </w:pPr>
          </w:p>
        </w:tc>
        <w:tc>
          <w:tcPr>
            <w:tcW w:w="979" w:type="pct"/>
            <w:vAlign w:val="center"/>
          </w:tcPr>
          <w:p w14:paraId="681BBE64" w14:textId="77777777" w:rsidR="00A55490" w:rsidRPr="00EE43C6" w:rsidRDefault="00A55490">
            <w:pPr>
              <w:spacing w:before="0" w:after="0" w:line="240" w:lineRule="auto"/>
              <w:jc w:val="center"/>
              <w:rPr>
                <w:rFonts w:eastAsia="Cambria" w:cs="MS Gothic"/>
                <w:sz w:val="18"/>
                <w:szCs w:val="18"/>
              </w:rPr>
            </w:pPr>
          </w:p>
        </w:tc>
      </w:tr>
      <w:tr w:rsidR="00A55490" w:rsidRPr="00EE43C6" w14:paraId="27ED5339" w14:textId="77777777">
        <w:trPr>
          <w:trHeight w:val="284"/>
        </w:trPr>
        <w:tc>
          <w:tcPr>
            <w:tcW w:w="1060" w:type="pct"/>
            <w:vAlign w:val="center"/>
          </w:tcPr>
          <w:p w14:paraId="739E2AB9" w14:textId="7B30F410" w:rsidR="00A55490" w:rsidRPr="00EE43C6" w:rsidRDefault="00E348E3">
            <w:pPr>
              <w:spacing w:before="0" w:after="0" w:line="240" w:lineRule="auto"/>
              <w:jc w:val="left"/>
              <w:rPr>
                <w:rFonts w:eastAsia="Cambria" w:cs="MS Gothic"/>
                <w:i/>
                <w:sz w:val="18"/>
                <w:szCs w:val="18"/>
              </w:rPr>
            </w:pPr>
            <w:r w:rsidRPr="00EE43C6">
              <w:rPr>
                <w:rFonts w:eastAsia="Cambria" w:cs="MS Gothic"/>
                <w:i/>
                <w:sz w:val="18"/>
                <w:szCs w:val="18"/>
              </w:rPr>
              <w:t>Natrix natrix</w:t>
            </w:r>
          </w:p>
        </w:tc>
        <w:tc>
          <w:tcPr>
            <w:tcW w:w="991" w:type="pct"/>
            <w:vAlign w:val="center"/>
          </w:tcPr>
          <w:p w14:paraId="15D9F711" w14:textId="7638F4CE" w:rsidR="00A55490" w:rsidRPr="00EE43C6" w:rsidRDefault="00C53501">
            <w:pPr>
              <w:spacing w:before="0" w:after="0" w:line="240" w:lineRule="auto"/>
              <w:jc w:val="center"/>
              <w:rPr>
                <w:rFonts w:eastAsia="Cambria" w:cs="MS Gothic"/>
                <w:sz w:val="18"/>
                <w:szCs w:val="18"/>
              </w:rPr>
            </w:pPr>
            <w:r w:rsidRPr="00EE43C6">
              <w:rPr>
                <w:rFonts w:eastAsia="Cambria" w:cs="MS Gothic"/>
                <w:sz w:val="18"/>
                <w:szCs w:val="18"/>
              </w:rPr>
              <w:t>Grass Snake</w:t>
            </w:r>
          </w:p>
        </w:tc>
        <w:tc>
          <w:tcPr>
            <w:tcW w:w="989" w:type="pct"/>
            <w:vAlign w:val="center"/>
          </w:tcPr>
          <w:p w14:paraId="65E80464" w14:textId="023D72F8" w:rsidR="00A55490" w:rsidRPr="00EE43C6" w:rsidRDefault="00E348E3">
            <w:pPr>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980" w:type="pct"/>
            <w:vAlign w:val="center"/>
          </w:tcPr>
          <w:p w14:paraId="10FD5988" w14:textId="11A73002" w:rsidR="00A55490" w:rsidRPr="00EE43C6" w:rsidRDefault="00E348E3">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62606AC8" w14:textId="13BC7610" w:rsidR="00A55490" w:rsidRPr="00EE43C6" w:rsidRDefault="00E348E3">
            <w:pPr>
              <w:spacing w:before="0" w:after="0" w:line="240" w:lineRule="auto"/>
              <w:jc w:val="center"/>
              <w:rPr>
                <w:rFonts w:eastAsia="Cambria" w:cs="MS Gothic"/>
                <w:sz w:val="18"/>
                <w:szCs w:val="18"/>
              </w:rPr>
            </w:pPr>
            <w:r w:rsidRPr="00EE43C6">
              <w:rPr>
                <w:rFonts w:eastAsia="Cambria" w:cs="MS Gothic"/>
                <w:sz w:val="18"/>
                <w:szCs w:val="18"/>
              </w:rPr>
              <w:t>App-3</w:t>
            </w:r>
          </w:p>
        </w:tc>
      </w:tr>
      <w:tr w:rsidR="00A55490" w:rsidRPr="00EE43C6" w14:paraId="043849CD" w14:textId="77777777">
        <w:trPr>
          <w:trHeight w:val="284"/>
        </w:trPr>
        <w:tc>
          <w:tcPr>
            <w:tcW w:w="1060" w:type="pct"/>
            <w:vAlign w:val="center"/>
          </w:tcPr>
          <w:p w14:paraId="3AF68B8F" w14:textId="19AC51B4" w:rsidR="00A55490" w:rsidRPr="00EE43C6" w:rsidRDefault="00C9554F">
            <w:pPr>
              <w:spacing w:before="0" w:after="0" w:line="240" w:lineRule="auto"/>
              <w:jc w:val="left"/>
              <w:rPr>
                <w:rFonts w:eastAsia="Cambria" w:cs="MS Gothic"/>
                <w:i/>
                <w:sz w:val="18"/>
                <w:szCs w:val="18"/>
              </w:rPr>
            </w:pPr>
            <w:r w:rsidRPr="00EE43C6">
              <w:rPr>
                <w:rFonts w:eastAsia="Cambria" w:cs="MS Gothic"/>
                <w:b/>
                <w:sz w:val="18"/>
                <w:szCs w:val="18"/>
              </w:rPr>
              <w:t>Scincidae</w:t>
            </w:r>
          </w:p>
        </w:tc>
        <w:tc>
          <w:tcPr>
            <w:tcW w:w="991" w:type="pct"/>
            <w:vAlign w:val="center"/>
          </w:tcPr>
          <w:p w14:paraId="1F54D0FB" w14:textId="77777777" w:rsidR="00A55490" w:rsidRPr="00EE43C6" w:rsidRDefault="00A55490">
            <w:pPr>
              <w:spacing w:before="0" w:after="0" w:line="240" w:lineRule="auto"/>
              <w:jc w:val="center"/>
              <w:rPr>
                <w:rFonts w:eastAsia="Cambria" w:cs="MS Gothic"/>
                <w:sz w:val="18"/>
                <w:szCs w:val="18"/>
              </w:rPr>
            </w:pPr>
          </w:p>
        </w:tc>
        <w:tc>
          <w:tcPr>
            <w:tcW w:w="989" w:type="pct"/>
            <w:vAlign w:val="center"/>
          </w:tcPr>
          <w:p w14:paraId="13E1F378" w14:textId="77777777" w:rsidR="00A55490" w:rsidRPr="00EE43C6" w:rsidRDefault="00A55490">
            <w:pPr>
              <w:tabs>
                <w:tab w:val="center" w:pos="675"/>
              </w:tabs>
              <w:spacing w:before="0" w:after="0" w:line="240" w:lineRule="auto"/>
              <w:jc w:val="center"/>
              <w:rPr>
                <w:rFonts w:eastAsia="Cambria" w:cs="MS Gothic"/>
                <w:sz w:val="18"/>
                <w:szCs w:val="18"/>
              </w:rPr>
            </w:pPr>
          </w:p>
        </w:tc>
        <w:tc>
          <w:tcPr>
            <w:tcW w:w="980" w:type="pct"/>
            <w:vAlign w:val="center"/>
          </w:tcPr>
          <w:p w14:paraId="5E46049B" w14:textId="77777777" w:rsidR="00A55490" w:rsidRPr="00EE43C6" w:rsidRDefault="00A55490">
            <w:pPr>
              <w:spacing w:before="0" w:after="0" w:line="240" w:lineRule="auto"/>
              <w:jc w:val="center"/>
              <w:rPr>
                <w:rFonts w:eastAsia="Cambria" w:cs="MS Gothic"/>
                <w:sz w:val="18"/>
                <w:szCs w:val="18"/>
              </w:rPr>
            </w:pPr>
          </w:p>
        </w:tc>
        <w:tc>
          <w:tcPr>
            <w:tcW w:w="979" w:type="pct"/>
            <w:vAlign w:val="center"/>
          </w:tcPr>
          <w:p w14:paraId="3F2B891F" w14:textId="77777777" w:rsidR="00A55490" w:rsidRPr="00EE43C6" w:rsidRDefault="00A55490">
            <w:pPr>
              <w:spacing w:before="0" w:after="0" w:line="240" w:lineRule="auto"/>
              <w:jc w:val="center"/>
              <w:rPr>
                <w:rFonts w:eastAsia="Cambria" w:cs="MS Gothic"/>
                <w:sz w:val="18"/>
                <w:szCs w:val="18"/>
              </w:rPr>
            </w:pPr>
          </w:p>
        </w:tc>
      </w:tr>
      <w:tr w:rsidR="00C9554F" w:rsidRPr="00EE43C6" w14:paraId="7A6F0F63" w14:textId="77777777">
        <w:trPr>
          <w:trHeight w:val="284"/>
        </w:trPr>
        <w:tc>
          <w:tcPr>
            <w:tcW w:w="1060" w:type="pct"/>
            <w:vAlign w:val="center"/>
          </w:tcPr>
          <w:p w14:paraId="631E4490" w14:textId="698BC5BF" w:rsidR="00C9554F" w:rsidRPr="00EE43C6" w:rsidRDefault="00227BB1">
            <w:pPr>
              <w:spacing w:before="0" w:after="0" w:line="240" w:lineRule="auto"/>
              <w:jc w:val="left"/>
              <w:rPr>
                <w:rFonts w:eastAsia="Cambria" w:cs="MS Gothic"/>
                <w:i/>
                <w:sz w:val="18"/>
                <w:szCs w:val="18"/>
              </w:rPr>
            </w:pPr>
            <w:r w:rsidRPr="00EE43C6">
              <w:rPr>
                <w:rFonts w:eastAsia="Cambria" w:cs="MS Gothic"/>
                <w:i/>
                <w:sz w:val="18"/>
                <w:szCs w:val="18"/>
              </w:rPr>
              <w:t>Ablepharus chernovi</w:t>
            </w:r>
          </w:p>
        </w:tc>
        <w:tc>
          <w:tcPr>
            <w:tcW w:w="991" w:type="pct"/>
            <w:vAlign w:val="center"/>
          </w:tcPr>
          <w:p w14:paraId="1B393842" w14:textId="496F0E53" w:rsidR="00C9554F" w:rsidRPr="00EE43C6" w:rsidRDefault="004F41E9">
            <w:pPr>
              <w:spacing w:before="0" w:after="0" w:line="240" w:lineRule="auto"/>
              <w:jc w:val="center"/>
              <w:rPr>
                <w:rFonts w:eastAsia="Cambria" w:cs="MS Gothic"/>
                <w:sz w:val="18"/>
                <w:szCs w:val="18"/>
              </w:rPr>
            </w:pPr>
            <w:r w:rsidRPr="00EE43C6">
              <w:rPr>
                <w:rFonts w:eastAsia="Cambria" w:cs="MS Gothic"/>
                <w:sz w:val="18"/>
                <w:szCs w:val="18"/>
              </w:rPr>
              <w:t>Lined Olympic Snake</w:t>
            </w:r>
          </w:p>
        </w:tc>
        <w:tc>
          <w:tcPr>
            <w:tcW w:w="989" w:type="pct"/>
            <w:vAlign w:val="center"/>
          </w:tcPr>
          <w:p w14:paraId="7D2FFDAF" w14:textId="153B004F" w:rsidR="00C9554F" w:rsidRPr="00EE43C6" w:rsidRDefault="00F21D7A">
            <w:pPr>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980" w:type="pct"/>
            <w:vAlign w:val="center"/>
          </w:tcPr>
          <w:p w14:paraId="35242E3E" w14:textId="5325A280" w:rsidR="00C9554F" w:rsidRPr="00EE43C6" w:rsidRDefault="00F21D7A">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480ECA2E" w14:textId="6F72FB3A" w:rsidR="00C9554F" w:rsidRPr="00EE43C6" w:rsidRDefault="00F21D7A">
            <w:pPr>
              <w:spacing w:before="0" w:after="0" w:line="240" w:lineRule="auto"/>
              <w:jc w:val="center"/>
              <w:rPr>
                <w:rFonts w:eastAsia="Cambria" w:cs="MS Gothic"/>
                <w:sz w:val="18"/>
                <w:szCs w:val="18"/>
              </w:rPr>
            </w:pPr>
            <w:r w:rsidRPr="00EE43C6">
              <w:rPr>
                <w:rFonts w:eastAsia="Cambria" w:cs="MS Gothic"/>
                <w:sz w:val="18"/>
                <w:szCs w:val="18"/>
              </w:rPr>
              <w:t>App</w:t>
            </w:r>
            <w:r w:rsidR="005D0B06" w:rsidRPr="00EE43C6">
              <w:rPr>
                <w:rFonts w:eastAsia="Cambria" w:cs="MS Gothic"/>
                <w:sz w:val="18"/>
                <w:szCs w:val="18"/>
              </w:rPr>
              <w:t>-3</w:t>
            </w:r>
          </w:p>
        </w:tc>
      </w:tr>
      <w:tr w:rsidR="00227BB1" w:rsidRPr="00EE43C6" w14:paraId="60EA5E4E" w14:textId="77777777">
        <w:trPr>
          <w:trHeight w:val="284"/>
        </w:trPr>
        <w:tc>
          <w:tcPr>
            <w:tcW w:w="1060" w:type="pct"/>
            <w:vAlign w:val="center"/>
          </w:tcPr>
          <w:p w14:paraId="501E3966" w14:textId="1CAEA6D4" w:rsidR="00227BB1" w:rsidRPr="00EE43C6" w:rsidRDefault="006D03C3">
            <w:pPr>
              <w:spacing w:before="0" w:after="0" w:line="240" w:lineRule="auto"/>
              <w:jc w:val="left"/>
              <w:rPr>
                <w:rFonts w:eastAsia="Cambria" w:cs="MS Gothic"/>
                <w:i/>
                <w:sz w:val="18"/>
                <w:szCs w:val="18"/>
              </w:rPr>
            </w:pPr>
            <w:r w:rsidRPr="00EE43C6">
              <w:rPr>
                <w:rFonts w:eastAsia="Cambria" w:cs="MS Gothic"/>
                <w:i/>
                <w:sz w:val="18"/>
                <w:szCs w:val="18"/>
              </w:rPr>
              <w:t>Heremites vittatus</w:t>
            </w:r>
          </w:p>
        </w:tc>
        <w:tc>
          <w:tcPr>
            <w:tcW w:w="991" w:type="pct"/>
            <w:vAlign w:val="center"/>
          </w:tcPr>
          <w:p w14:paraId="328CD4BF" w14:textId="4D887056" w:rsidR="00227BB1" w:rsidRPr="00EE43C6" w:rsidRDefault="001E32DE">
            <w:pPr>
              <w:spacing w:before="0" w:after="0" w:line="240" w:lineRule="auto"/>
              <w:jc w:val="center"/>
              <w:rPr>
                <w:rFonts w:eastAsia="Cambria" w:cs="MS Gothic"/>
                <w:sz w:val="18"/>
                <w:szCs w:val="18"/>
              </w:rPr>
            </w:pPr>
            <w:r w:rsidRPr="00EE43C6">
              <w:rPr>
                <w:rFonts w:eastAsia="Cambria" w:cs="MS Gothic"/>
                <w:sz w:val="18"/>
                <w:szCs w:val="18"/>
              </w:rPr>
              <w:t>Bridled Mabuya</w:t>
            </w:r>
          </w:p>
        </w:tc>
        <w:tc>
          <w:tcPr>
            <w:tcW w:w="989" w:type="pct"/>
            <w:vAlign w:val="center"/>
          </w:tcPr>
          <w:p w14:paraId="5FCA834B" w14:textId="1F457C8A" w:rsidR="00227BB1" w:rsidRPr="00EE43C6" w:rsidRDefault="005D0B06">
            <w:pPr>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980" w:type="pct"/>
            <w:vAlign w:val="center"/>
          </w:tcPr>
          <w:p w14:paraId="771BC144" w14:textId="3104C6A5" w:rsidR="00227BB1" w:rsidRPr="00EE43C6" w:rsidRDefault="005D0B06">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7ED2328E" w14:textId="291CE25F" w:rsidR="00227BB1" w:rsidRPr="00EE43C6" w:rsidRDefault="005D0B06">
            <w:pPr>
              <w:spacing w:before="0" w:after="0" w:line="240" w:lineRule="auto"/>
              <w:jc w:val="center"/>
              <w:rPr>
                <w:rFonts w:eastAsia="Cambria" w:cs="MS Gothic"/>
                <w:sz w:val="18"/>
                <w:szCs w:val="18"/>
              </w:rPr>
            </w:pPr>
            <w:r w:rsidRPr="00EE43C6">
              <w:rPr>
                <w:rFonts w:eastAsia="Cambria" w:cs="MS Gothic"/>
                <w:sz w:val="18"/>
                <w:szCs w:val="18"/>
              </w:rPr>
              <w:t>-</w:t>
            </w:r>
          </w:p>
        </w:tc>
      </w:tr>
      <w:tr w:rsidR="008165CC" w:rsidRPr="00EE43C6" w14:paraId="384F4C03" w14:textId="77777777">
        <w:trPr>
          <w:trHeight w:val="284"/>
        </w:trPr>
        <w:tc>
          <w:tcPr>
            <w:tcW w:w="1060" w:type="pct"/>
            <w:vAlign w:val="center"/>
          </w:tcPr>
          <w:p w14:paraId="4C1B649B" w14:textId="1BE801B9" w:rsidR="008165CC" w:rsidRPr="00EE43C6" w:rsidRDefault="00D77300">
            <w:pPr>
              <w:spacing w:before="0" w:after="0" w:line="240" w:lineRule="auto"/>
              <w:jc w:val="left"/>
              <w:rPr>
                <w:rFonts w:eastAsia="Cambria" w:cs="MS Gothic"/>
                <w:b/>
                <w:sz w:val="18"/>
                <w:szCs w:val="18"/>
              </w:rPr>
            </w:pPr>
            <w:r w:rsidRPr="00EE43C6">
              <w:rPr>
                <w:rFonts w:eastAsia="Cambria" w:cs="MS Gothic"/>
                <w:b/>
                <w:sz w:val="18"/>
                <w:szCs w:val="18"/>
              </w:rPr>
              <w:t>Viperidae</w:t>
            </w:r>
          </w:p>
        </w:tc>
        <w:tc>
          <w:tcPr>
            <w:tcW w:w="991" w:type="pct"/>
            <w:vAlign w:val="center"/>
          </w:tcPr>
          <w:p w14:paraId="51EF78B5" w14:textId="77777777" w:rsidR="008165CC" w:rsidRPr="00EE43C6" w:rsidRDefault="008165CC">
            <w:pPr>
              <w:spacing w:before="0" w:after="0" w:line="240" w:lineRule="auto"/>
              <w:jc w:val="center"/>
              <w:rPr>
                <w:rFonts w:eastAsia="Cambria" w:cs="MS Gothic"/>
                <w:sz w:val="18"/>
                <w:szCs w:val="18"/>
              </w:rPr>
            </w:pPr>
          </w:p>
        </w:tc>
        <w:tc>
          <w:tcPr>
            <w:tcW w:w="989" w:type="pct"/>
            <w:vAlign w:val="center"/>
          </w:tcPr>
          <w:p w14:paraId="6AF68EE5" w14:textId="77777777" w:rsidR="008165CC" w:rsidRPr="00EE43C6" w:rsidRDefault="008165CC">
            <w:pPr>
              <w:tabs>
                <w:tab w:val="center" w:pos="675"/>
              </w:tabs>
              <w:spacing w:before="0" w:after="0" w:line="240" w:lineRule="auto"/>
              <w:jc w:val="center"/>
              <w:rPr>
                <w:rFonts w:eastAsia="Cambria" w:cs="MS Gothic"/>
                <w:sz w:val="18"/>
                <w:szCs w:val="18"/>
              </w:rPr>
            </w:pPr>
          </w:p>
        </w:tc>
        <w:tc>
          <w:tcPr>
            <w:tcW w:w="980" w:type="pct"/>
            <w:vAlign w:val="center"/>
          </w:tcPr>
          <w:p w14:paraId="0FD4CA8D" w14:textId="77777777" w:rsidR="008165CC" w:rsidRPr="00EE43C6" w:rsidRDefault="008165CC">
            <w:pPr>
              <w:spacing w:before="0" w:after="0" w:line="240" w:lineRule="auto"/>
              <w:jc w:val="center"/>
              <w:rPr>
                <w:rFonts w:eastAsia="Cambria" w:cs="MS Gothic"/>
                <w:sz w:val="18"/>
                <w:szCs w:val="18"/>
              </w:rPr>
            </w:pPr>
          </w:p>
        </w:tc>
        <w:tc>
          <w:tcPr>
            <w:tcW w:w="979" w:type="pct"/>
            <w:vAlign w:val="center"/>
          </w:tcPr>
          <w:p w14:paraId="716B314D" w14:textId="77777777" w:rsidR="008165CC" w:rsidRPr="00EE43C6" w:rsidRDefault="008165CC">
            <w:pPr>
              <w:spacing w:before="0" w:after="0" w:line="240" w:lineRule="auto"/>
              <w:jc w:val="center"/>
              <w:rPr>
                <w:rFonts w:eastAsia="Cambria" w:cs="MS Gothic"/>
                <w:sz w:val="18"/>
                <w:szCs w:val="18"/>
              </w:rPr>
            </w:pPr>
          </w:p>
        </w:tc>
      </w:tr>
      <w:tr w:rsidR="008165CC" w:rsidRPr="00EE43C6" w14:paraId="3CBB36DC" w14:textId="77777777">
        <w:trPr>
          <w:trHeight w:val="284"/>
        </w:trPr>
        <w:tc>
          <w:tcPr>
            <w:tcW w:w="1060" w:type="pct"/>
            <w:vAlign w:val="center"/>
          </w:tcPr>
          <w:p w14:paraId="5B4C691E" w14:textId="47F780B3" w:rsidR="008165CC" w:rsidRPr="00EE43C6" w:rsidRDefault="000C1F2F">
            <w:pPr>
              <w:spacing w:before="0" w:after="0" w:line="240" w:lineRule="auto"/>
              <w:jc w:val="left"/>
            </w:pPr>
            <w:r w:rsidRPr="00EE43C6">
              <w:rPr>
                <w:rFonts w:eastAsia="Cambria" w:cs="MS Gothic"/>
                <w:sz w:val="18"/>
                <w:szCs w:val="18"/>
              </w:rPr>
              <w:t>Macrovipera lebetina</w:t>
            </w:r>
          </w:p>
        </w:tc>
        <w:tc>
          <w:tcPr>
            <w:tcW w:w="991" w:type="pct"/>
            <w:vAlign w:val="center"/>
          </w:tcPr>
          <w:p w14:paraId="1D698A54" w14:textId="021471CF" w:rsidR="008165CC" w:rsidRPr="00EE43C6" w:rsidRDefault="000E657E">
            <w:pPr>
              <w:spacing w:before="0" w:after="0" w:line="240" w:lineRule="auto"/>
              <w:jc w:val="center"/>
              <w:rPr>
                <w:rFonts w:eastAsia="Cambria" w:cs="MS Gothic"/>
                <w:sz w:val="18"/>
                <w:szCs w:val="18"/>
              </w:rPr>
            </w:pPr>
            <w:r w:rsidRPr="00EE43C6">
              <w:rPr>
                <w:rFonts w:eastAsia="Cambria" w:cs="MS Gothic"/>
                <w:sz w:val="18"/>
                <w:szCs w:val="18"/>
              </w:rPr>
              <w:t>Levantine Viper</w:t>
            </w:r>
          </w:p>
        </w:tc>
        <w:tc>
          <w:tcPr>
            <w:tcW w:w="989" w:type="pct"/>
            <w:vAlign w:val="center"/>
          </w:tcPr>
          <w:p w14:paraId="74EC779A" w14:textId="47E27E75" w:rsidR="008165CC" w:rsidRPr="00EE43C6" w:rsidRDefault="000C1F2F">
            <w:pPr>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980" w:type="pct"/>
            <w:vAlign w:val="center"/>
          </w:tcPr>
          <w:p w14:paraId="2EB54CE7" w14:textId="7F381A20" w:rsidR="008165CC" w:rsidRPr="00EE43C6" w:rsidRDefault="000C1F2F">
            <w:pPr>
              <w:spacing w:before="0" w:after="0" w:line="240" w:lineRule="auto"/>
              <w:jc w:val="center"/>
              <w:rPr>
                <w:rFonts w:eastAsia="Cambria" w:cs="MS Gothic"/>
                <w:sz w:val="18"/>
                <w:szCs w:val="18"/>
              </w:rPr>
            </w:pPr>
            <w:r w:rsidRPr="00EE43C6">
              <w:rPr>
                <w:rFonts w:eastAsia="Cambria" w:cs="MS Gothic"/>
                <w:sz w:val="18"/>
                <w:szCs w:val="18"/>
              </w:rPr>
              <w:t>LC</w:t>
            </w:r>
          </w:p>
        </w:tc>
        <w:tc>
          <w:tcPr>
            <w:tcW w:w="979" w:type="pct"/>
            <w:vAlign w:val="center"/>
          </w:tcPr>
          <w:p w14:paraId="7C53FA6E" w14:textId="3B1A904B" w:rsidR="008165CC" w:rsidRPr="00EE43C6" w:rsidRDefault="000C1F2F">
            <w:pPr>
              <w:spacing w:before="0" w:after="0" w:line="240" w:lineRule="auto"/>
              <w:jc w:val="center"/>
              <w:rPr>
                <w:rFonts w:eastAsia="Cambria" w:cs="MS Gothic"/>
                <w:sz w:val="18"/>
                <w:szCs w:val="18"/>
              </w:rPr>
            </w:pPr>
            <w:r w:rsidRPr="00EE43C6">
              <w:rPr>
                <w:rFonts w:eastAsia="Cambria" w:cs="MS Gothic"/>
                <w:sz w:val="18"/>
                <w:szCs w:val="18"/>
              </w:rPr>
              <w:t>App-2</w:t>
            </w:r>
          </w:p>
        </w:tc>
      </w:tr>
    </w:tbl>
    <w:p w14:paraId="39819527" w14:textId="77777777" w:rsidR="00082434" w:rsidRPr="00EE43C6" w:rsidRDefault="00082434" w:rsidP="00082434">
      <w:pPr>
        <w:rPr>
          <w:rFonts w:cs="MS Gothic"/>
          <w:i/>
          <w:szCs w:val="22"/>
          <w:u w:val="single"/>
        </w:rPr>
      </w:pPr>
      <w:bookmarkStart w:id="352" w:name="_Toc85662594"/>
      <w:bookmarkStart w:id="353" w:name="_Toc87888971"/>
      <w:r w:rsidRPr="00EE43C6">
        <w:rPr>
          <w:rFonts w:cs="MS Gothic"/>
          <w:i/>
          <w:szCs w:val="22"/>
          <w:u w:val="single"/>
        </w:rPr>
        <w:t>Birds</w:t>
      </w:r>
    </w:p>
    <w:p w14:paraId="3B43BAF5" w14:textId="4AC5D58C" w:rsidR="00C26BBA" w:rsidRPr="00EE43C6" w:rsidRDefault="004D2976" w:rsidP="00C26BBA">
      <w:pPr>
        <w:rPr>
          <w:lang w:eastAsia="tr-TR"/>
        </w:rPr>
      </w:pPr>
      <w:r w:rsidRPr="005F1B45">
        <w:rPr>
          <w:rFonts w:cs="MS Gothic"/>
          <w:szCs w:val="22"/>
        </w:rPr>
        <w:t>During the EIA</w:t>
      </w:r>
      <w:r w:rsidRPr="00EE43C6">
        <w:rPr>
          <w:rFonts w:cs="MS Gothic"/>
          <w:szCs w:val="22"/>
        </w:rPr>
        <w:t xml:space="preserve"> </w:t>
      </w:r>
      <w:r>
        <w:rPr>
          <w:rFonts w:cs="MS Gothic"/>
          <w:szCs w:val="22"/>
        </w:rPr>
        <w:t>studies,</w:t>
      </w:r>
      <w:r w:rsidR="12852702" w:rsidRPr="00EE43C6">
        <w:rPr>
          <w:lang w:eastAsia="tr-TR"/>
        </w:rPr>
        <w:t xml:space="preserve"> a total of </w:t>
      </w:r>
      <w:r w:rsidR="00C26BBA" w:rsidRPr="00EE43C6">
        <w:rPr>
          <w:lang w:eastAsia="tr-TR"/>
        </w:rPr>
        <w:t>1</w:t>
      </w:r>
      <w:r w:rsidR="002F1812" w:rsidRPr="00EE43C6">
        <w:rPr>
          <w:lang w:eastAsia="tr-TR"/>
        </w:rPr>
        <w:t>1</w:t>
      </w:r>
      <w:r w:rsidR="003900A2" w:rsidRPr="00EE43C6">
        <w:rPr>
          <w:lang w:eastAsia="tr-TR"/>
        </w:rPr>
        <w:t>3</w:t>
      </w:r>
      <w:r w:rsidR="12852702" w:rsidRPr="00EE43C6">
        <w:rPr>
          <w:lang w:eastAsia="tr-TR"/>
        </w:rPr>
        <w:t xml:space="preserve"> bird species belonging to </w:t>
      </w:r>
      <w:r w:rsidR="00C26BBA" w:rsidRPr="00EE43C6">
        <w:rPr>
          <w:lang w:eastAsia="tr-TR"/>
        </w:rPr>
        <w:t>3</w:t>
      </w:r>
      <w:r w:rsidR="003900A2" w:rsidRPr="00EE43C6">
        <w:rPr>
          <w:lang w:eastAsia="tr-TR"/>
        </w:rPr>
        <w:t>2</w:t>
      </w:r>
      <w:r w:rsidR="12852702" w:rsidRPr="00EE43C6">
        <w:rPr>
          <w:lang w:eastAsia="tr-TR"/>
        </w:rPr>
        <w:t xml:space="preserve"> families were identified in the study area </w:t>
      </w:r>
      <w:r w:rsidRPr="005F1B45">
        <w:rPr>
          <w:rFonts w:cs="MS Gothic"/>
          <w:szCs w:val="22"/>
        </w:rPr>
        <w:t xml:space="preserve">through </w:t>
      </w:r>
      <w:r>
        <w:rPr>
          <w:rFonts w:cs="MS Gothic"/>
          <w:szCs w:val="22"/>
        </w:rPr>
        <w:t xml:space="preserve">site observations and </w:t>
      </w:r>
      <w:r w:rsidRPr="005F1B45">
        <w:rPr>
          <w:rFonts w:cs="MS Gothic"/>
          <w:szCs w:val="22"/>
        </w:rPr>
        <w:t>literature research</w:t>
      </w:r>
      <w:r w:rsidRPr="00EE43C6">
        <w:rPr>
          <w:rFonts w:cs="Arial"/>
          <w:szCs w:val="22"/>
        </w:rPr>
        <w:t>.</w:t>
      </w:r>
      <w:r w:rsidRPr="00EE43C6">
        <w:rPr>
          <w:rFonts w:cs="MS Gothic"/>
          <w:szCs w:val="22"/>
        </w:rPr>
        <w:t xml:space="preserve"> </w:t>
      </w:r>
      <w:r w:rsidRPr="005F1B45">
        <w:rPr>
          <w:rFonts w:cs="MS Gothic"/>
          <w:szCs w:val="22"/>
        </w:rPr>
        <w:t>Furthermore, during the ESMP study, habitat suitability was assessed for these species.</w:t>
      </w:r>
      <w:r w:rsidRPr="00EE43C6">
        <w:rPr>
          <w:rFonts w:cs="MS Gothic"/>
          <w:szCs w:val="22"/>
        </w:rPr>
        <w:t xml:space="preserve"> </w:t>
      </w:r>
      <w:r w:rsidR="12852702" w:rsidRPr="00EE43C6">
        <w:rPr>
          <w:lang w:eastAsia="tr-TR"/>
        </w:rPr>
        <w:t>These bird species are widely spread in T</w:t>
      </w:r>
      <w:r>
        <w:rPr>
          <w:lang w:eastAsia="tr-TR"/>
        </w:rPr>
        <w:t>ü</w:t>
      </w:r>
      <w:r w:rsidR="12852702" w:rsidRPr="00EE43C6">
        <w:rPr>
          <w:lang w:eastAsia="tr-TR"/>
        </w:rPr>
        <w:t>rkiye, and they are not endemic.</w:t>
      </w:r>
    </w:p>
    <w:p w14:paraId="30680EEA" w14:textId="497A6FA4" w:rsidR="00C26BBA" w:rsidRPr="00EE43C6" w:rsidRDefault="00C26BBA" w:rsidP="00C26BBA">
      <w:pPr>
        <w:rPr>
          <w:lang w:eastAsia="tr-TR"/>
        </w:rPr>
      </w:pPr>
      <w:r w:rsidRPr="00EE43C6">
        <w:rPr>
          <w:lang w:eastAsia="tr-TR"/>
        </w:rPr>
        <w:t>The conservation status of birds identified in the study area is given in. According to the IUCN Red List, there are 2 “EN”</w:t>
      </w:r>
      <w:r w:rsidR="00655601" w:rsidRPr="00EE43C6">
        <w:rPr>
          <w:lang w:eastAsia="tr-TR"/>
        </w:rPr>
        <w:t>, 3 “VU</w:t>
      </w:r>
      <w:r w:rsidRPr="00EE43C6">
        <w:rPr>
          <w:lang w:eastAsia="tr-TR"/>
        </w:rPr>
        <w:t xml:space="preserve">” and </w:t>
      </w:r>
      <w:r w:rsidR="00AC301D" w:rsidRPr="00EE43C6">
        <w:rPr>
          <w:lang w:eastAsia="tr-TR"/>
        </w:rPr>
        <w:t>4</w:t>
      </w:r>
      <w:r w:rsidRPr="00EE43C6">
        <w:rPr>
          <w:lang w:eastAsia="tr-TR"/>
        </w:rPr>
        <w:t xml:space="preserve"> “NT” category species. Rest of the species are in the “LC” category.</w:t>
      </w:r>
    </w:p>
    <w:p w14:paraId="2310EC8B" w14:textId="5A866233" w:rsidR="00082434" w:rsidRPr="00EE43C6" w:rsidRDefault="00C26BBA" w:rsidP="00082434">
      <w:pPr>
        <w:rPr>
          <w:lang w:eastAsia="tr-TR"/>
        </w:rPr>
      </w:pPr>
      <w:r w:rsidRPr="00EE43C6">
        <w:rPr>
          <w:rFonts w:cs="MS Gothic"/>
          <w:szCs w:val="22"/>
        </w:rPr>
        <w:t>According to the Bern Convention, 7</w:t>
      </w:r>
      <w:r w:rsidR="003900A2" w:rsidRPr="00EE43C6">
        <w:rPr>
          <w:rFonts w:cs="MS Gothic"/>
          <w:szCs w:val="22"/>
        </w:rPr>
        <w:t>8</w:t>
      </w:r>
      <w:r w:rsidRPr="00EE43C6">
        <w:rPr>
          <w:rFonts w:cs="MS Gothic"/>
          <w:szCs w:val="22"/>
        </w:rPr>
        <w:t xml:space="preserve"> species are listed in Appendix II: Strictly protected fauna species and 2</w:t>
      </w:r>
      <w:r w:rsidR="004F0000" w:rsidRPr="00EE43C6">
        <w:rPr>
          <w:rFonts w:cs="MS Gothic"/>
          <w:szCs w:val="22"/>
        </w:rPr>
        <w:t>4</w:t>
      </w:r>
      <w:r w:rsidRPr="00EE43C6">
        <w:rPr>
          <w:rFonts w:cs="MS Gothic"/>
          <w:szCs w:val="22"/>
        </w:rPr>
        <w:t xml:space="preserve"> species are listed in Appendix III: Protected fauna species</w:t>
      </w:r>
      <w:r w:rsidRPr="00EE43C6">
        <w:rPr>
          <w:lang w:eastAsia="tr-TR"/>
        </w:rPr>
        <w:t>. The remaining species are not included in any conservation status of the Bern Convention.</w:t>
      </w:r>
    </w:p>
    <w:p w14:paraId="53965652" w14:textId="77777777" w:rsidR="00E67C71" w:rsidRDefault="00E67C71">
      <w:pPr>
        <w:spacing w:before="0" w:after="200" w:line="276" w:lineRule="auto"/>
        <w:jc w:val="left"/>
        <w:rPr>
          <w:b/>
          <w:bCs/>
          <w:color w:val="4F81BD"/>
          <w:sz w:val="20"/>
          <w:szCs w:val="20"/>
          <w:lang w:eastAsia="en-US"/>
        </w:rPr>
      </w:pPr>
      <w:bookmarkStart w:id="354" w:name="_Ref120284060"/>
      <w:bookmarkStart w:id="355" w:name="_Toc109643798"/>
      <w:bookmarkStart w:id="356" w:name="_Toc120016854"/>
      <w:bookmarkStart w:id="357" w:name="_Toc120004632"/>
      <w:bookmarkStart w:id="358" w:name="_Toc122089690"/>
      <w:bookmarkEnd w:id="352"/>
      <w:bookmarkEnd w:id="353"/>
      <w:r>
        <w:br w:type="page"/>
      </w:r>
    </w:p>
    <w:p w14:paraId="0E2B53E3" w14:textId="3DA3E509" w:rsidR="00082434" w:rsidRPr="00EE43C6" w:rsidRDefault="00082434" w:rsidP="00F60B11">
      <w:pPr>
        <w:pStyle w:val="Caption"/>
        <w:spacing w:before="240"/>
        <w:rPr>
          <w:rFonts w:cs="MS Gothic"/>
          <w:noProof w:val="0"/>
        </w:rPr>
      </w:pPr>
      <w:bookmarkStart w:id="359" w:name="_Toc141445501"/>
      <w:r w:rsidRPr="00EE43C6">
        <w:rPr>
          <w:noProof w:val="0"/>
        </w:rPr>
        <w:lastRenderedPageBreak/>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4</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6</w:t>
      </w:r>
      <w:r w:rsidR="006D2DE8">
        <w:rPr>
          <w:noProof w:val="0"/>
        </w:rPr>
        <w:fldChar w:fldCharType="end"/>
      </w:r>
      <w:bookmarkEnd w:id="354"/>
      <w:r w:rsidRPr="00EE43C6">
        <w:rPr>
          <w:noProof w:val="0"/>
        </w:rPr>
        <w:t xml:space="preserve">. </w:t>
      </w:r>
      <w:r w:rsidRPr="00EE43C6">
        <w:rPr>
          <w:b w:val="0"/>
          <w:noProof w:val="0"/>
          <w:color w:val="auto"/>
        </w:rPr>
        <w:t xml:space="preserve">Bird </w:t>
      </w:r>
      <w:r w:rsidRPr="00EE43C6">
        <w:rPr>
          <w:rFonts w:cs="MS Gothic"/>
          <w:b w:val="0"/>
          <w:noProof w:val="0"/>
          <w:color w:val="auto"/>
        </w:rPr>
        <w:t xml:space="preserve">Species Identified in the AoI as a Result of Studies </w:t>
      </w:r>
      <w:r w:rsidRPr="00EE43C6">
        <w:rPr>
          <w:rStyle w:val="FootnoteReference"/>
          <w:rFonts w:cs="MS Gothic"/>
          <w:b w:val="0"/>
          <w:noProof w:val="0"/>
          <w:color w:val="auto"/>
        </w:rPr>
        <w:footnoteReference w:id="13"/>
      </w:r>
      <w:r w:rsidRPr="00EE43C6">
        <w:rPr>
          <w:rStyle w:val="FootnoteReference"/>
          <w:rFonts w:cs="MS Gothic"/>
          <w:b w:val="0"/>
          <w:noProof w:val="0"/>
          <w:color w:val="auto"/>
        </w:rPr>
        <w:footnoteReference w:id="14"/>
      </w:r>
      <w:r w:rsidRPr="00EE43C6">
        <w:rPr>
          <w:rStyle w:val="FootnoteReference"/>
          <w:rFonts w:cs="MS Gothic"/>
          <w:b w:val="0"/>
          <w:noProof w:val="0"/>
          <w:color w:val="auto"/>
        </w:rPr>
        <w:footnoteReference w:id="15"/>
      </w:r>
      <w:bookmarkEnd w:id="355"/>
      <w:bookmarkEnd w:id="356"/>
      <w:bookmarkEnd w:id="357"/>
      <w:bookmarkEnd w:id="358"/>
      <w:bookmarkEnd w:id="3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361"/>
        <w:gridCol w:w="1492"/>
        <w:gridCol w:w="1492"/>
        <w:gridCol w:w="1492"/>
      </w:tblGrid>
      <w:tr w:rsidR="002A0010" w:rsidRPr="00EE43C6" w14:paraId="31E57EC3" w14:textId="77777777" w:rsidTr="00F60B11">
        <w:trPr>
          <w:trHeight w:val="284"/>
          <w:tblHeader/>
        </w:trPr>
        <w:tc>
          <w:tcPr>
            <w:tcW w:w="1224" w:type="pct"/>
            <w:shd w:val="clear" w:color="auto" w:fill="4F81BD" w:themeFill="accent1"/>
            <w:vAlign w:val="center"/>
          </w:tcPr>
          <w:p w14:paraId="3B43919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Species Name</w:t>
            </w:r>
          </w:p>
        </w:tc>
        <w:tc>
          <w:tcPr>
            <w:tcW w:w="1304" w:type="pct"/>
            <w:shd w:val="clear" w:color="auto" w:fill="4F81BD" w:themeFill="accent1"/>
            <w:vAlign w:val="center"/>
          </w:tcPr>
          <w:p w14:paraId="2A3453A6" w14:textId="7A00748A"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 xml:space="preserve">Common </w:t>
            </w:r>
            <w:r w:rsidR="007E2D31" w:rsidRPr="00EE43C6">
              <w:rPr>
                <w:rFonts w:eastAsia="Cambria" w:cs="MS Gothic"/>
                <w:b/>
                <w:color w:val="FFFFFF" w:themeColor="background1"/>
                <w:sz w:val="18"/>
                <w:szCs w:val="18"/>
              </w:rPr>
              <w:t>Name</w:t>
            </w:r>
          </w:p>
        </w:tc>
        <w:tc>
          <w:tcPr>
            <w:tcW w:w="824" w:type="pct"/>
            <w:shd w:val="clear" w:color="auto" w:fill="4F81BD" w:themeFill="accent1"/>
            <w:vAlign w:val="center"/>
          </w:tcPr>
          <w:p w14:paraId="3479D754" w14:textId="7CBEC5D8" w:rsidR="00DC486F" w:rsidRPr="00EE43C6" w:rsidRDefault="007E2D31" w:rsidP="00F60B11">
            <w:pPr>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Endemism</w:t>
            </w:r>
          </w:p>
        </w:tc>
        <w:tc>
          <w:tcPr>
            <w:tcW w:w="824" w:type="pct"/>
            <w:shd w:val="clear" w:color="auto" w:fill="4F81BD" w:themeFill="accent1"/>
            <w:vAlign w:val="center"/>
          </w:tcPr>
          <w:p w14:paraId="41468B0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IUCN</w:t>
            </w:r>
          </w:p>
        </w:tc>
        <w:tc>
          <w:tcPr>
            <w:tcW w:w="824" w:type="pct"/>
            <w:shd w:val="clear" w:color="auto" w:fill="4F81BD" w:themeFill="accent1"/>
            <w:vAlign w:val="center"/>
          </w:tcPr>
          <w:p w14:paraId="4A51743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BERN</w:t>
            </w:r>
          </w:p>
        </w:tc>
      </w:tr>
      <w:tr w:rsidR="00DC486F" w:rsidRPr="00EE43C6" w14:paraId="172C9977" w14:textId="77777777" w:rsidTr="00F60B11">
        <w:trPr>
          <w:trHeight w:val="284"/>
        </w:trPr>
        <w:tc>
          <w:tcPr>
            <w:tcW w:w="1224" w:type="pct"/>
            <w:shd w:val="clear" w:color="auto" w:fill="FFFFFF" w:themeFill="background1"/>
            <w:vAlign w:val="center"/>
          </w:tcPr>
          <w:p w14:paraId="4C3CCB91" w14:textId="77777777" w:rsidR="00DC486F" w:rsidRPr="00EE43C6" w:rsidRDefault="00DC486F" w:rsidP="00F60B11">
            <w:pPr>
              <w:spacing w:before="0" w:after="0" w:line="240" w:lineRule="auto"/>
              <w:jc w:val="left"/>
              <w:rPr>
                <w:rFonts w:eastAsia="Cambria" w:cs="MS Gothic"/>
                <w:b/>
                <w:sz w:val="18"/>
                <w:szCs w:val="18"/>
              </w:rPr>
            </w:pPr>
            <w:r w:rsidRPr="00EE43C6">
              <w:rPr>
                <w:rFonts w:eastAsia="Cambria" w:cs="MS Gothic"/>
                <w:b/>
                <w:sz w:val="18"/>
                <w:szCs w:val="18"/>
              </w:rPr>
              <w:t>Accipitridae</w:t>
            </w:r>
          </w:p>
        </w:tc>
        <w:tc>
          <w:tcPr>
            <w:tcW w:w="1304" w:type="pct"/>
            <w:shd w:val="clear" w:color="auto" w:fill="FFFFFF" w:themeFill="background1"/>
            <w:vAlign w:val="center"/>
          </w:tcPr>
          <w:p w14:paraId="535A5384" w14:textId="77777777" w:rsidR="00DC486F" w:rsidRPr="00EE43C6" w:rsidRDefault="00DC486F" w:rsidP="00F60B11">
            <w:pPr>
              <w:spacing w:before="0" w:after="0" w:line="240" w:lineRule="auto"/>
              <w:jc w:val="center"/>
              <w:rPr>
                <w:rFonts w:eastAsia="Cambria" w:cs="MS Gothic"/>
                <w:sz w:val="18"/>
                <w:szCs w:val="18"/>
              </w:rPr>
            </w:pPr>
          </w:p>
        </w:tc>
        <w:tc>
          <w:tcPr>
            <w:tcW w:w="824" w:type="pct"/>
            <w:shd w:val="clear" w:color="auto" w:fill="FFFFFF" w:themeFill="background1"/>
            <w:vAlign w:val="center"/>
          </w:tcPr>
          <w:p w14:paraId="4B42C0A0" w14:textId="77777777" w:rsidR="00DC486F" w:rsidRPr="00EE43C6" w:rsidRDefault="00DC486F" w:rsidP="00F60B11">
            <w:pPr>
              <w:spacing w:before="0" w:after="0" w:line="240" w:lineRule="auto"/>
              <w:jc w:val="center"/>
              <w:rPr>
                <w:rFonts w:eastAsia="Cambria" w:cs="MS Gothic"/>
                <w:sz w:val="18"/>
                <w:szCs w:val="18"/>
              </w:rPr>
            </w:pPr>
          </w:p>
        </w:tc>
        <w:tc>
          <w:tcPr>
            <w:tcW w:w="824" w:type="pct"/>
            <w:shd w:val="clear" w:color="auto" w:fill="FFFFFF" w:themeFill="background1"/>
            <w:vAlign w:val="center"/>
          </w:tcPr>
          <w:p w14:paraId="5AE49383" w14:textId="77777777" w:rsidR="00DC486F" w:rsidRPr="00EE43C6" w:rsidRDefault="00DC486F" w:rsidP="00F60B11">
            <w:pPr>
              <w:spacing w:before="0" w:after="0" w:line="240" w:lineRule="auto"/>
              <w:jc w:val="center"/>
              <w:rPr>
                <w:rFonts w:eastAsia="Cambria" w:cs="MS Gothic"/>
                <w:sz w:val="18"/>
                <w:szCs w:val="18"/>
              </w:rPr>
            </w:pPr>
          </w:p>
        </w:tc>
        <w:tc>
          <w:tcPr>
            <w:tcW w:w="824" w:type="pct"/>
            <w:shd w:val="clear" w:color="auto" w:fill="FFFFFF" w:themeFill="background1"/>
            <w:vAlign w:val="center"/>
          </w:tcPr>
          <w:p w14:paraId="0DFBFD2F"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3C58B7D9" w14:textId="77777777" w:rsidTr="00F60B11">
        <w:trPr>
          <w:trHeight w:val="284"/>
        </w:trPr>
        <w:tc>
          <w:tcPr>
            <w:tcW w:w="1224" w:type="pct"/>
            <w:vAlign w:val="center"/>
          </w:tcPr>
          <w:p w14:paraId="25083636" w14:textId="1EEF2133"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Accipiter nisus</w:t>
            </w:r>
          </w:p>
        </w:tc>
        <w:tc>
          <w:tcPr>
            <w:tcW w:w="1304" w:type="pct"/>
            <w:vAlign w:val="center"/>
          </w:tcPr>
          <w:p w14:paraId="4714702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Eurasian Sparrowhawk</w:t>
            </w:r>
          </w:p>
        </w:tc>
        <w:tc>
          <w:tcPr>
            <w:tcW w:w="824" w:type="pct"/>
            <w:vAlign w:val="center"/>
          </w:tcPr>
          <w:p w14:paraId="761EC33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534AA7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207B7C35" w14:textId="4BFD0B4B"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21F448ED" w14:textId="77777777" w:rsidTr="00F60B11">
        <w:trPr>
          <w:trHeight w:val="284"/>
        </w:trPr>
        <w:tc>
          <w:tcPr>
            <w:tcW w:w="1224" w:type="pct"/>
            <w:vAlign w:val="center"/>
          </w:tcPr>
          <w:p w14:paraId="3291DB52"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Aegypius monachus</w:t>
            </w:r>
          </w:p>
        </w:tc>
        <w:tc>
          <w:tcPr>
            <w:tcW w:w="1304" w:type="pct"/>
            <w:vAlign w:val="center"/>
          </w:tcPr>
          <w:p w14:paraId="2097AA5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Cinereous Vulture</w:t>
            </w:r>
          </w:p>
        </w:tc>
        <w:tc>
          <w:tcPr>
            <w:tcW w:w="824" w:type="pct"/>
            <w:vAlign w:val="center"/>
          </w:tcPr>
          <w:p w14:paraId="756D8A8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667C06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NT</w:t>
            </w:r>
          </w:p>
        </w:tc>
        <w:tc>
          <w:tcPr>
            <w:tcW w:w="824" w:type="pct"/>
            <w:vAlign w:val="center"/>
          </w:tcPr>
          <w:p w14:paraId="554DBA63" w14:textId="41E72EA8"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5D332B" w:rsidRPr="00EE43C6" w14:paraId="52E82353" w14:textId="77777777" w:rsidTr="00F60B11">
        <w:trPr>
          <w:trHeight w:val="284"/>
        </w:trPr>
        <w:tc>
          <w:tcPr>
            <w:tcW w:w="1224" w:type="pct"/>
            <w:vAlign w:val="center"/>
          </w:tcPr>
          <w:p w14:paraId="32BD009F" w14:textId="44DF8C24" w:rsidR="005D332B" w:rsidRPr="00EE43C6" w:rsidRDefault="008942CF" w:rsidP="00F60B11">
            <w:pPr>
              <w:spacing w:before="0" w:after="0" w:line="240" w:lineRule="auto"/>
              <w:jc w:val="left"/>
              <w:rPr>
                <w:rFonts w:eastAsia="Cambria" w:cs="MS Gothic"/>
                <w:i/>
                <w:iCs/>
                <w:sz w:val="18"/>
                <w:szCs w:val="18"/>
              </w:rPr>
            </w:pPr>
            <w:r w:rsidRPr="00EE43C6">
              <w:rPr>
                <w:rFonts w:cs="Arial"/>
                <w:i/>
                <w:iCs/>
                <w:sz w:val="18"/>
                <w:szCs w:val="18"/>
                <w:shd w:val="clear" w:color="auto" w:fill="FAF9F8"/>
              </w:rPr>
              <w:t>Aquila heliaca</w:t>
            </w:r>
          </w:p>
        </w:tc>
        <w:tc>
          <w:tcPr>
            <w:tcW w:w="1304" w:type="pct"/>
            <w:vAlign w:val="center"/>
          </w:tcPr>
          <w:p w14:paraId="17CDA0CA" w14:textId="3ECFBC6C" w:rsidR="005D332B" w:rsidRPr="00EE43C6" w:rsidRDefault="008942CF" w:rsidP="00F60B11">
            <w:pPr>
              <w:spacing w:before="0" w:after="0" w:line="240" w:lineRule="auto"/>
              <w:jc w:val="center"/>
              <w:rPr>
                <w:rFonts w:eastAsia="Cambria" w:cs="MS Gothic"/>
                <w:sz w:val="18"/>
                <w:szCs w:val="18"/>
              </w:rPr>
            </w:pPr>
            <w:r w:rsidRPr="00EE43C6">
              <w:rPr>
                <w:rFonts w:eastAsia="Cambria" w:cs="MS Gothic"/>
                <w:sz w:val="18"/>
                <w:szCs w:val="18"/>
              </w:rPr>
              <w:t>Imperial Eagle</w:t>
            </w:r>
          </w:p>
        </w:tc>
        <w:tc>
          <w:tcPr>
            <w:tcW w:w="824" w:type="pct"/>
            <w:vAlign w:val="center"/>
          </w:tcPr>
          <w:p w14:paraId="469E34BB" w14:textId="299067C3" w:rsidR="005D332B" w:rsidRPr="00EE43C6" w:rsidRDefault="008942C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E59D17C" w14:textId="4E763A2B" w:rsidR="005D332B" w:rsidRPr="00EE43C6" w:rsidRDefault="008942CF" w:rsidP="00F60B11">
            <w:pPr>
              <w:spacing w:before="0" w:after="0" w:line="240" w:lineRule="auto"/>
              <w:jc w:val="center"/>
              <w:rPr>
                <w:rFonts w:eastAsia="Cambria" w:cs="MS Gothic"/>
                <w:sz w:val="18"/>
                <w:szCs w:val="18"/>
              </w:rPr>
            </w:pPr>
            <w:r w:rsidRPr="00EE43C6">
              <w:rPr>
                <w:rFonts w:eastAsia="Cambria" w:cs="MS Gothic"/>
                <w:sz w:val="18"/>
                <w:szCs w:val="18"/>
              </w:rPr>
              <w:t>VU</w:t>
            </w:r>
          </w:p>
        </w:tc>
        <w:tc>
          <w:tcPr>
            <w:tcW w:w="824" w:type="pct"/>
            <w:vAlign w:val="center"/>
          </w:tcPr>
          <w:p w14:paraId="16C65CF0" w14:textId="05C11828" w:rsidR="005D332B" w:rsidRPr="00EE43C6" w:rsidRDefault="008942C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76E3E3C6" w14:textId="77777777" w:rsidTr="00F60B11">
        <w:trPr>
          <w:trHeight w:val="284"/>
        </w:trPr>
        <w:tc>
          <w:tcPr>
            <w:tcW w:w="1224" w:type="pct"/>
            <w:vAlign w:val="center"/>
          </w:tcPr>
          <w:p w14:paraId="339E6139"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Aquila nipalensis</w:t>
            </w:r>
          </w:p>
        </w:tc>
        <w:tc>
          <w:tcPr>
            <w:tcW w:w="1304" w:type="pct"/>
            <w:vAlign w:val="center"/>
          </w:tcPr>
          <w:p w14:paraId="5E04993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Steppe Eagle</w:t>
            </w:r>
          </w:p>
        </w:tc>
        <w:tc>
          <w:tcPr>
            <w:tcW w:w="824" w:type="pct"/>
            <w:vAlign w:val="center"/>
          </w:tcPr>
          <w:p w14:paraId="717737E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5A7D5F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EN</w:t>
            </w:r>
          </w:p>
        </w:tc>
        <w:tc>
          <w:tcPr>
            <w:tcW w:w="824" w:type="pct"/>
            <w:vAlign w:val="center"/>
          </w:tcPr>
          <w:p w14:paraId="12C6FCFB" w14:textId="5A80E700"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E7E0ACA" w14:textId="77777777" w:rsidTr="00F60B11">
        <w:trPr>
          <w:trHeight w:val="284"/>
        </w:trPr>
        <w:tc>
          <w:tcPr>
            <w:tcW w:w="1224" w:type="pct"/>
            <w:vAlign w:val="center"/>
          </w:tcPr>
          <w:p w14:paraId="1FA624C8"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Buteo buteo</w:t>
            </w:r>
          </w:p>
        </w:tc>
        <w:tc>
          <w:tcPr>
            <w:tcW w:w="1304" w:type="pct"/>
            <w:vAlign w:val="center"/>
          </w:tcPr>
          <w:p w14:paraId="43DDDE4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Common Buzzard</w:t>
            </w:r>
          </w:p>
        </w:tc>
        <w:tc>
          <w:tcPr>
            <w:tcW w:w="824" w:type="pct"/>
            <w:vAlign w:val="center"/>
          </w:tcPr>
          <w:p w14:paraId="31A4360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3B9C99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9787DC8" w14:textId="6D35369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24157375" w14:textId="77777777" w:rsidTr="00F60B11">
        <w:trPr>
          <w:trHeight w:val="284"/>
        </w:trPr>
        <w:tc>
          <w:tcPr>
            <w:tcW w:w="1224" w:type="pct"/>
            <w:vAlign w:val="center"/>
          </w:tcPr>
          <w:p w14:paraId="7470DCDE"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Buteo rufinus</w:t>
            </w:r>
          </w:p>
        </w:tc>
        <w:tc>
          <w:tcPr>
            <w:tcW w:w="1304" w:type="pct"/>
            <w:vAlign w:val="center"/>
          </w:tcPr>
          <w:p w14:paraId="28D629A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Long-legged Buzzard</w:t>
            </w:r>
          </w:p>
        </w:tc>
        <w:tc>
          <w:tcPr>
            <w:tcW w:w="824" w:type="pct"/>
            <w:vAlign w:val="center"/>
          </w:tcPr>
          <w:p w14:paraId="3B08F95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253046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25DCD649" w14:textId="0F52F93E"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3C7B28" w:rsidRPr="00EE43C6" w14:paraId="7155B175" w14:textId="77777777" w:rsidTr="00F60B11">
        <w:trPr>
          <w:trHeight w:val="284"/>
        </w:trPr>
        <w:tc>
          <w:tcPr>
            <w:tcW w:w="1224" w:type="pct"/>
            <w:vAlign w:val="center"/>
          </w:tcPr>
          <w:p w14:paraId="52AB0A16" w14:textId="385655B6" w:rsidR="003C7B28" w:rsidRPr="00EE43C6" w:rsidRDefault="003C7B28" w:rsidP="00F60B11">
            <w:pPr>
              <w:spacing w:before="0" w:after="0" w:line="240" w:lineRule="auto"/>
              <w:jc w:val="left"/>
              <w:rPr>
                <w:rFonts w:eastAsia="Cambria" w:cs="MS Gothic"/>
                <w:i/>
                <w:sz w:val="18"/>
                <w:szCs w:val="18"/>
              </w:rPr>
            </w:pPr>
            <w:r w:rsidRPr="00EE43C6">
              <w:rPr>
                <w:rFonts w:eastAsia="Cambria" w:cs="MS Gothic"/>
                <w:i/>
                <w:sz w:val="18"/>
                <w:szCs w:val="18"/>
              </w:rPr>
              <w:t>Clanga pomarina</w:t>
            </w:r>
          </w:p>
        </w:tc>
        <w:tc>
          <w:tcPr>
            <w:tcW w:w="1304" w:type="pct"/>
            <w:vAlign w:val="center"/>
          </w:tcPr>
          <w:p w14:paraId="06AECE21" w14:textId="1B59080D" w:rsidR="003C7B28" w:rsidRPr="00EE43C6" w:rsidRDefault="00983175" w:rsidP="00F60B11">
            <w:pPr>
              <w:spacing w:before="0" w:after="0" w:line="240" w:lineRule="auto"/>
              <w:jc w:val="center"/>
              <w:rPr>
                <w:rFonts w:eastAsia="Cambria" w:cs="MS Gothic"/>
                <w:sz w:val="18"/>
                <w:szCs w:val="18"/>
              </w:rPr>
            </w:pPr>
            <w:r w:rsidRPr="00EE43C6">
              <w:rPr>
                <w:rFonts w:eastAsia="Cambria" w:cs="MS Gothic"/>
                <w:sz w:val="18"/>
                <w:szCs w:val="18"/>
              </w:rPr>
              <w:t xml:space="preserve">Lesser Spotted Eagle </w:t>
            </w:r>
          </w:p>
        </w:tc>
        <w:tc>
          <w:tcPr>
            <w:tcW w:w="824" w:type="pct"/>
            <w:vAlign w:val="center"/>
          </w:tcPr>
          <w:p w14:paraId="7B267D2F" w14:textId="41969385" w:rsidR="003C7B28" w:rsidRPr="00EE43C6" w:rsidRDefault="00983175"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E9D72EE" w14:textId="289A3828" w:rsidR="003C7B28" w:rsidRPr="00EE43C6" w:rsidRDefault="00983175"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94EDBDE" w14:textId="289F4415" w:rsidR="003C7B28" w:rsidRPr="00EE43C6" w:rsidRDefault="00E3044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34E6AE23" w14:textId="77777777" w:rsidTr="00F60B11">
        <w:trPr>
          <w:trHeight w:val="284"/>
        </w:trPr>
        <w:tc>
          <w:tcPr>
            <w:tcW w:w="1224" w:type="pct"/>
            <w:vAlign w:val="center"/>
          </w:tcPr>
          <w:p w14:paraId="65FB072C"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Circaetus gallicus</w:t>
            </w:r>
          </w:p>
        </w:tc>
        <w:tc>
          <w:tcPr>
            <w:tcW w:w="1304" w:type="pct"/>
            <w:vAlign w:val="center"/>
          </w:tcPr>
          <w:p w14:paraId="6A4F219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Short-toed Snake-eagle</w:t>
            </w:r>
          </w:p>
        </w:tc>
        <w:tc>
          <w:tcPr>
            <w:tcW w:w="824" w:type="pct"/>
            <w:vAlign w:val="center"/>
          </w:tcPr>
          <w:p w14:paraId="78C95CD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FFAEDD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883D748" w14:textId="45AD44B3"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12C8FC66" w14:textId="77777777" w:rsidTr="00F60B11">
        <w:trPr>
          <w:trHeight w:val="284"/>
        </w:trPr>
        <w:tc>
          <w:tcPr>
            <w:tcW w:w="1224" w:type="pct"/>
            <w:vAlign w:val="center"/>
          </w:tcPr>
          <w:p w14:paraId="10B34B69"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Circus macrourus</w:t>
            </w:r>
          </w:p>
        </w:tc>
        <w:tc>
          <w:tcPr>
            <w:tcW w:w="1304" w:type="pct"/>
            <w:vAlign w:val="center"/>
          </w:tcPr>
          <w:p w14:paraId="4960B4B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Pallid Harrier</w:t>
            </w:r>
          </w:p>
        </w:tc>
        <w:tc>
          <w:tcPr>
            <w:tcW w:w="824" w:type="pct"/>
            <w:vAlign w:val="center"/>
          </w:tcPr>
          <w:p w14:paraId="1E00B0F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B918BD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NT</w:t>
            </w:r>
          </w:p>
        </w:tc>
        <w:tc>
          <w:tcPr>
            <w:tcW w:w="824" w:type="pct"/>
            <w:vAlign w:val="center"/>
          </w:tcPr>
          <w:p w14:paraId="39AF3D21" w14:textId="3841379D"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79B3008C" w14:textId="77777777" w:rsidTr="00F60B11">
        <w:trPr>
          <w:trHeight w:val="284"/>
        </w:trPr>
        <w:tc>
          <w:tcPr>
            <w:tcW w:w="1224" w:type="pct"/>
            <w:vAlign w:val="center"/>
          </w:tcPr>
          <w:p w14:paraId="43878DA0"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Circus pygargus</w:t>
            </w:r>
          </w:p>
        </w:tc>
        <w:tc>
          <w:tcPr>
            <w:tcW w:w="1304" w:type="pct"/>
            <w:vAlign w:val="center"/>
          </w:tcPr>
          <w:p w14:paraId="4251124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Montagu’s Harrier</w:t>
            </w:r>
          </w:p>
        </w:tc>
        <w:tc>
          <w:tcPr>
            <w:tcW w:w="824" w:type="pct"/>
            <w:vAlign w:val="center"/>
          </w:tcPr>
          <w:p w14:paraId="3B37483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2DA740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21A2B2D3" w14:textId="37D06DE9"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28B697F4" w14:textId="77777777" w:rsidTr="00F60B11">
        <w:trPr>
          <w:trHeight w:val="284"/>
        </w:trPr>
        <w:tc>
          <w:tcPr>
            <w:tcW w:w="1224" w:type="pct"/>
            <w:vAlign w:val="center"/>
          </w:tcPr>
          <w:p w14:paraId="6328E807"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Gypaetus barbatus</w:t>
            </w:r>
          </w:p>
        </w:tc>
        <w:tc>
          <w:tcPr>
            <w:tcW w:w="1304" w:type="pct"/>
            <w:vAlign w:val="center"/>
          </w:tcPr>
          <w:p w14:paraId="335A476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Bearded Vulture</w:t>
            </w:r>
          </w:p>
        </w:tc>
        <w:tc>
          <w:tcPr>
            <w:tcW w:w="824" w:type="pct"/>
            <w:vAlign w:val="center"/>
          </w:tcPr>
          <w:p w14:paraId="29724C1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0DD794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NT</w:t>
            </w:r>
          </w:p>
        </w:tc>
        <w:tc>
          <w:tcPr>
            <w:tcW w:w="824" w:type="pct"/>
            <w:vAlign w:val="center"/>
          </w:tcPr>
          <w:p w14:paraId="6B83573C" w14:textId="161B0D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0C3BB9FE" w14:textId="77777777" w:rsidTr="00F60B11">
        <w:trPr>
          <w:trHeight w:val="284"/>
        </w:trPr>
        <w:tc>
          <w:tcPr>
            <w:tcW w:w="1224" w:type="pct"/>
            <w:vAlign w:val="center"/>
          </w:tcPr>
          <w:p w14:paraId="7FF0288E"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Gyps fulvus</w:t>
            </w:r>
          </w:p>
        </w:tc>
        <w:tc>
          <w:tcPr>
            <w:tcW w:w="1304" w:type="pct"/>
            <w:vAlign w:val="center"/>
          </w:tcPr>
          <w:p w14:paraId="3B50C34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Griffon Vulture</w:t>
            </w:r>
          </w:p>
        </w:tc>
        <w:tc>
          <w:tcPr>
            <w:tcW w:w="824" w:type="pct"/>
            <w:vAlign w:val="center"/>
          </w:tcPr>
          <w:p w14:paraId="24603FA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B76C0B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5CCC8AF" w14:textId="0844E064"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197632AA" w14:textId="77777777" w:rsidTr="00F60B11">
        <w:trPr>
          <w:trHeight w:val="284"/>
        </w:trPr>
        <w:tc>
          <w:tcPr>
            <w:tcW w:w="1224" w:type="pct"/>
            <w:vAlign w:val="center"/>
          </w:tcPr>
          <w:p w14:paraId="6A5B05A2"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Hieraaetus pennatus</w:t>
            </w:r>
          </w:p>
        </w:tc>
        <w:tc>
          <w:tcPr>
            <w:tcW w:w="1304" w:type="pct"/>
            <w:vAlign w:val="center"/>
          </w:tcPr>
          <w:p w14:paraId="40F4192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Booted Eagle</w:t>
            </w:r>
          </w:p>
        </w:tc>
        <w:tc>
          <w:tcPr>
            <w:tcW w:w="824" w:type="pct"/>
            <w:vAlign w:val="center"/>
          </w:tcPr>
          <w:p w14:paraId="6F76C0D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9CFFA3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7ABF56E9" w14:textId="06327453"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5AB52F7C" w14:textId="77777777" w:rsidTr="00F60B11">
        <w:trPr>
          <w:trHeight w:val="284"/>
        </w:trPr>
        <w:tc>
          <w:tcPr>
            <w:tcW w:w="1224" w:type="pct"/>
            <w:vAlign w:val="center"/>
          </w:tcPr>
          <w:p w14:paraId="66826DB6"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Milvus migrans</w:t>
            </w:r>
          </w:p>
        </w:tc>
        <w:tc>
          <w:tcPr>
            <w:tcW w:w="1304" w:type="pct"/>
            <w:vAlign w:val="center"/>
          </w:tcPr>
          <w:p w14:paraId="34B7C3A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Black Kite</w:t>
            </w:r>
          </w:p>
        </w:tc>
        <w:tc>
          <w:tcPr>
            <w:tcW w:w="824" w:type="pct"/>
            <w:vAlign w:val="center"/>
          </w:tcPr>
          <w:p w14:paraId="08DA6E3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EC1CC9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2BD30D62" w14:textId="5774C043"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3AB56E34" w14:textId="77777777" w:rsidTr="00F60B11">
        <w:trPr>
          <w:trHeight w:val="284"/>
        </w:trPr>
        <w:tc>
          <w:tcPr>
            <w:tcW w:w="1224" w:type="pct"/>
            <w:vAlign w:val="center"/>
          </w:tcPr>
          <w:p w14:paraId="73EB7B70"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Neophron percnopterus</w:t>
            </w:r>
          </w:p>
        </w:tc>
        <w:tc>
          <w:tcPr>
            <w:tcW w:w="1304" w:type="pct"/>
            <w:vAlign w:val="center"/>
          </w:tcPr>
          <w:p w14:paraId="2BEB7E4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Egypian Vulture</w:t>
            </w:r>
          </w:p>
        </w:tc>
        <w:tc>
          <w:tcPr>
            <w:tcW w:w="824" w:type="pct"/>
            <w:vAlign w:val="center"/>
          </w:tcPr>
          <w:p w14:paraId="04578C8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DB62B9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EN</w:t>
            </w:r>
          </w:p>
        </w:tc>
        <w:tc>
          <w:tcPr>
            <w:tcW w:w="824" w:type="pct"/>
            <w:vAlign w:val="center"/>
          </w:tcPr>
          <w:p w14:paraId="40B3544A" w14:textId="77E8E4E0"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12717C61" w14:textId="77777777" w:rsidTr="00F60B11">
        <w:trPr>
          <w:trHeight w:val="284"/>
        </w:trPr>
        <w:tc>
          <w:tcPr>
            <w:tcW w:w="1224" w:type="pct"/>
            <w:shd w:val="clear" w:color="auto" w:fill="FFFFFF" w:themeFill="background1"/>
            <w:vAlign w:val="center"/>
          </w:tcPr>
          <w:p w14:paraId="5D519A21"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b/>
                <w:sz w:val="18"/>
                <w:szCs w:val="18"/>
              </w:rPr>
              <w:t>Acrocephalidae</w:t>
            </w:r>
          </w:p>
        </w:tc>
        <w:tc>
          <w:tcPr>
            <w:tcW w:w="1304" w:type="pct"/>
            <w:shd w:val="clear" w:color="auto" w:fill="FFFFFF" w:themeFill="background1"/>
            <w:vAlign w:val="center"/>
          </w:tcPr>
          <w:p w14:paraId="1E92CAA4" w14:textId="77777777" w:rsidR="00DC486F" w:rsidRPr="00EE43C6" w:rsidRDefault="00DC486F" w:rsidP="00F60B11">
            <w:pPr>
              <w:spacing w:before="0" w:after="0" w:line="240" w:lineRule="auto"/>
              <w:jc w:val="center"/>
              <w:rPr>
                <w:rFonts w:eastAsia="Cambria" w:cs="MS Gothic"/>
                <w:sz w:val="18"/>
                <w:szCs w:val="18"/>
              </w:rPr>
            </w:pPr>
          </w:p>
        </w:tc>
        <w:tc>
          <w:tcPr>
            <w:tcW w:w="824" w:type="pct"/>
            <w:shd w:val="clear" w:color="auto" w:fill="FFFFFF" w:themeFill="background1"/>
            <w:vAlign w:val="center"/>
          </w:tcPr>
          <w:p w14:paraId="0074C994" w14:textId="77777777" w:rsidR="00DC486F" w:rsidRPr="00EE43C6" w:rsidRDefault="00DC486F" w:rsidP="00F60B11">
            <w:pPr>
              <w:spacing w:before="0" w:after="0" w:line="240" w:lineRule="auto"/>
              <w:jc w:val="center"/>
              <w:rPr>
                <w:rFonts w:eastAsia="Cambria" w:cs="MS Gothic"/>
                <w:sz w:val="18"/>
                <w:szCs w:val="18"/>
              </w:rPr>
            </w:pPr>
          </w:p>
        </w:tc>
        <w:tc>
          <w:tcPr>
            <w:tcW w:w="824" w:type="pct"/>
            <w:shd w:val="clear" w:color="auto" w:fill="FFFFFF" w:themeFill="background1"/>
            <w:vAlign w:val="center"/>
          </w:tcPr>
          <w:p w14:paraId="1B65D7A2" w14:textId="77777777" w:rsidR="00DC486F" w:rsidRPr="00EE43C6" w:rsidRDefault="00DC486F" w:rsidP="00F60B11">
            <w:pPr>
              <w:spacing w:before="0" w:after="0" w:line="240" w:lineRule="auto"/>
              <w:jc w:val="center"/>
              <w:rPr>
                <w:rFonts w:eastAsia="Cambria" w:cs="MS Gothic"/>
                <w:sz w:val="18"/>
                <w:szCs w:val="18"/>
              </w:rPr>
            </w:pPr>
          </w:p>
        </w:tc>
        <w:tc>
          <w:tcPr>
            <w:tcW w:w="824" w:type="pct"/>
            <w:shd w:val="clear" w:color="auto" w:fill="FFFFFF" w:themeFill="background1"/>
            <w:vAlign w:val="center"/>
          </w:tcPr>
          <w:p w14:paraId="2D0E236B"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2644437F" w14:textId="77777777" w:rsidTr="00F60B11">
        <w:trPr>
          <w:trHeight w:val="284"/>
        </w:trPr>
        <w:tc>
          <w:tcPr>
            <w:tcW w:w="1224" w:type="pct"/>
            <w:vAlign w:val="center"/>
          </w:tcPr>
          <w:p w14:paraId="26BD4F6C" w14:textId="77777777" w:rsidR="00DC486F" w:rsidRPr="00EE43C6" w:rsidRDefault="00DC486F" w:rsidP="00F60B11">
            <w:pPr>
              <w:spacing w:before="0" w:after="0" w:line="240" w:lineRule="auto"/>
              <w:jc w:val="left"/>
              <w:rPr>
                <w:rFonts w:cs="Arial"/>
                <w:sz w:val="18"/>
                <w:szCs w:val="18"/>
              </w:rPr>
            </w:pPr>
            <w:r w:rsidRPr="00EE43C6">
              <w:rPr>
                <w:rFonts w:eastAsia="Cambria" w:cs="MS Gothic"/>
                <w:i/>
                <w:sz w:val="18"/>
                <w:szCs w:val="18"/>
              </w:rPr>
              <w:t>lduna pallida</w:t>
            </w:r>
          </w:p>
        </w:tc>
        <w:tc>
          <w:tcPr>
            <w:tcW w:w="1304" w:type="pct"/>
            <w:vAlign w:val="center"/>
          </w:tcPr>
          <w:p w14:paraId="479CAA94"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Eastern Olivaceous Warbler</w:t>
            </w:r>
          </w:p>
        </w:tc>
        <w:tc>
          <w:tcPr>
            <w:tcW w:w="824" w:type="pct"/>
            <w:vAlign w:val="center"/>
          </w:tcPr>
          <w:p w14:paraId="6048C4C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2B1A95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54BB088F" w14:textId="6E82A7DF"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0D933B99" w14:textId="77777777" w:rsidTr="00F60B11">
        <w:trPr>
          <w:trHeight w:val="284"/>
        </w:trPr>
        <w:tc>
          <w:tcPr>
            <w:tcW w:w="1224" w:type="pct"/>
            <w:vAlign w:val="center"/>
          </w:tcPr>
          <w:p w14:paraId="23DE280B"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b/>
                <w:sz w:val="18"/>
                <w:szCs w:val="18"/>
              </w:rPr>
              <w:t>Alaudidae</w:t>
            </w:r>
          </w:p>
        </w:tc>
        <w:tc>
          <w:tcPr>
            <w:tcW w:w="1304" w:type="pct"/>
            <w:vAlign w:val="center"/>
          </w:tcPr>
          <w:p w14:paraId="1CB2FDB9"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9BC5FE0"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6AB6DAA8"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3EF4769"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077DB3C9" w14:textId="77777777" w:rsidTr="00F60B11">
        <w:trPr>
          <w:trHeight w:val="284"/>
        </w:trPr>
        <w:tc>
          <w:tcPr>
            <w:tcW w:w="1224" w:type="pct"/>
            <w:vAlign w:val="center"/>
          </w:tcPr>
          <w:p w14:paraId="646215C0"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Alauda arvensis</w:t>
            </w:r>
          </w:p>
        </w:tc>
        <w:tc>
          <w:tcPr>
            <w:tcW w:w="1304" w:type="pct"/>
            <w:vAlign w:val="center"/>
          </w:tcPr>
          <w:p w14:paraId="21E9574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Eurasian Skylark</w:t>
            </w:r>
          </w:p>
        </w:tc>
        <w:tc>
          <w:tcPr>
            <w:tcW w:w="824" w:type="pct"/>
            <w:vAlign w:val="center"/>
          </w:tcPr>
          <w:p w14:paraId="0FC6AB5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3A8134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71F963F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 -3</w:t>
            </w:r>
          </w:p>
        </w:tc>
      </w:tr>
      <w:tr w:rsidR="00DC486F" w:rsidRPr="00EE43C6" w14:paraId="75719CD9" w14:textId="77777777" w:rsidTr="00F60B11">
        <w:trPr>
          <w:trHeight w:val="284"/>
        </w:trPr>
        <w:tc>
          <w:tcPr>
            <w:tcW w:w="1224" w:type="pct"/>
            <w:vAlign w:val="center"/>
          </w:tcPr>
          <w:p w14:paraId="7C66D598"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Calandrella brachydactyla</w:t>
            </w:r>
          </w:p>
        </w:tc>
        <w:tc>
          <w:tcPr>
            <w:tcW w:w="1304" w:type="pct"/>
            <w:vAlign w:val="center"/>
          </w:tcPr>
          <w:p w14:paraId="101D358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Greater Short-toed Lark</w:t>
            </w:r>
          </w:p>
        </w:tc>
        <w:tc>
          <w:tcPr>
            <w:tcW w:w="824" w:type="pct"/>
            <w:vAlign w:val="center"/>
          </w:tcPr>
          <w:p w14:paraId="4B9B926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A4D284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6D0F0CF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748C8B79" w14:textId="77777777" w:rsidTr="00F60B11">
        <w:trPr>
          <w:trHeight w:val="284"/>
        </w:trPr>
        <w:tc>
          <w:tcPr>
            <w:tcW w:w="1224" w:type="pct"/>
            <w:vAlign w:val="center"/>
          </w:tcPr>
          <w:p w14:paraId="229B1C5B"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Eremophila alpestris</w:t>
            </w:r>
          </w:p>
        </w:tc>
        <w:tc>
          <w:tcPr>
            <w:tcW w:w="1304" w:type="pct"/>
            <w:vAlign w:val="center"/>
          </w:tcPr>
          <w:p w14:paraId="339B9BB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Horned Lark</w:t>
            </w:r>
          </w:p>
        </w:tc>
        <w:tc>
          <w:tcPr>
            <w:tcW w:w="824" w:type="pct"/>
            <w:vAlign w:val="center"/>
          </w:tcPr>
          <w:p w14:paraId="73B167F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7EF2AB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2D46147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4E351F2B" w14:textId="77777777" w:rsidTr="00F60B11">
        <w:trPr>
          <w:trHeight w:val="284"/>
        </w:trPr>
        <w:tc>
          <w:tcPr>
            <w:tcW w:w="1224" w:type="pct"/>
            <w:vAlign w:val="center"/>
          </w:tcPr>
          <w:p w14:paraId="4ECF8429"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Galerida cristata</w:t>
            </w:r>
          </w:p>
        </w:tc>
        <w:tc>
          <w:tcPr>
            <w:tcW w:w="1304" w:type="pct"/>
            <w:vAlign w:val="center"/>
          </w:tcPr>
          <w:p w14:paraId="0A0E059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Crested Lark</w:t>
            </w:r>
          </w:p>
        </w:tc>
        <w:tc>
          <w:tcPr>
            <w:tcW w:w="824" w:type="pct"/>
            <w:vAlign w:val="center"/>
          </w:tcPr>
          <w:p w14:paraId="56FA476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A912AE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E28CC5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53EFEB7E" w14:textId="77777777" w:rsidTr="00F60B11">
        <w:trPr>
          <w:trHeight w:val="284"/>
        </w:trPr>
        <w:tc>
          <w:tcPr>
            <w:tcW w:w="1224" w:type="pct"/>
            <w:vAlign w:val="center"/>
          </w:tcPr>
          <w:p w14:paraId="66F99979"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Melanocorypha calandra</w:t>
            </w:r>
          </w:p>
        </w:tc>
        <w:tc>
          <w:tcPr>
            <w:tcW w:w="1304" w:type="pct"/>
            <w:vAlign w:val="center"/>
          </w:tcPr>
          <w:p w14:paraId="1081A38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Calandra Lark</w:t>
            </w:r>
          </w:p>
        </w:tc>
        <w:tc>
          <w:tcPr>
            <w:tcW w:w="824" w:type="pct"/>
            <w:vAlign w:val="center"/>
          </w:tcPr>
          <w:p w14:paraId="586B537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86D41B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27EC24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26608454" w14:textId="77777777" w:rsidTr="00F60B11">
        <w:trPr>
          <w:trHeight w:val="284"/>
        </w:trPr>
        <w:tc>
          <w:tcPr>
            <w:tcW w:w="1224" w:type="pct"/>
            <w:vAlign w:val="center"/>
          </w:tcPr>
          <w:p w14:paraId="362A287A"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t>Apodidae</w:t>
            </w:r>
          </w:p>
        </w:tc>
        <w:tc>
          <w:tcPr>
            <w:tcW w:w="1304" w:type="pct"/>
            <w:vAlign w:val="center"/>
          </w:tcPr>
          <w:p w14:paraId="0A5FA9CA"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3015937"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35C85A9D"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62490563"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7FBC439E" w14:textId="77777777" w:rsidTr="00F60B11">
        <w:trPr>
          <w:trHeight w:val="284"/>
        </w:trPr>
        <w:tc>
          <w:tcPr>
            <w:tcW w:w="1224" w:type="pct"/>
            <w:vAlign w:val="center"/>
          </w:tcPr>
          <w:p w14:paraId="5FC14A6E"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Apus afinis</w:t>
            </w:r>
          </w:p>
        </w:tc>
        <w:tc>
          <w:tcPr>
            <w:tcW w:w="1304" w:type="pct"/>
            <w:vAlign w:val="center"/>
          </w:tcPr>
          <w:p w14:paraId="1551357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Little Swift</w:t>
            </w:r>
          </w:p>
        </w:tc>
        <w:tc>
          <w:tcPr>
            <w:tcW w:w="824" w:type="pct"/>
            <w:vAlign w:val="center"/>
          </w:tcPr>
          <w:p w14:paraId="677D692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137E33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6814C45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2A58254D" w14:textId="77777777" w:rsidTr="00F60B11">
        <w:trPr>
          <w:trHeight w:val="284"/>
        </w:trPr>
        <w:tc>
          <w:tcPr>
            <w:tcW w:w="1224" w:type="pct"/>
            <w:vAlign w:val="center"/>
          </w:tcPr>
          <w:p w14:paraId="747B0FB0"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Apus apus</w:t>
            </w:r>
          </w:p>
        </w:tc>
        <w:tc>
          <w:tcPr>
            <w:tcW w:w="1304" w:type="pct"/>
            <w:vAlign w:val="center"/>
          </w:tcPr>
          <w:p w14:paraId="3015C68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Common Swift</w:t>
            </w:r>
          </w:p>
        </w:tc>
        <w:tc>
          <w:tcPr>
            <w:tcW w:w="824" w:type="pct"/>
            <w:vAlign w:val="center"/>
          </w:tcPr>
          <w:p w14:paraId="4E6EF38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1824A6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E6C432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3ED1DDF0" w14:textId="77777777" w:rsidTr="00F60B11">
        <w:trPr>
          <w:trHeight w:val="284"/>
        </w:trPr>
        <w:tc>
          <w:tcPr>
            <w:tcW w:w="1224" w:type="pct"/>
            <w:vAlign w:val="center"/>
          </w:tcPr>
          <w:p w14:paraId="129BCC6C"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Tachymarptis melba</w:t>
            </w:r>
          </w:p>
        </w:tc>
        <w:tc>
          <w:tcPr>
            <w:tcW w:w="1304" w:type="pct"/>
            <w:vAlign w:val="center"/>
          </w:tcPr>
          <w:p w14:paraId="7DFE0FB7" w14:textId="56D9730C"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Alpine Swift</w:t>
            </w:r>
          </w:p>
        </w:tc>
        <w:tc>
          <w:tcPr>
            <w:tcW w:w="824" w:type="pct"/>
            <w:vAlign w:val="center"/>
          </w:tcPr>
          <w:p w14:paraId="16ADE06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787CD0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1FD1630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996FC7" w:rsidRPr="00EE43C6" w14:paraId="74C02C28" w14:textId="77777777" w:rsidTr="00F60B11">
        <w:trPr>
          <w:trHeight w:val="284"/>
        </w:trPr>
        <w:tc>
          <w:tcPr>
            <w:tcW w:w="1224" w:type="pct"/>
            <w:vAlign w:val="center"/>
          </w:tcPr>
          <w:p w14:paraId="3974BF9F" w14:textId="434C1369" w:rsidR="00996FC7" w:rsidRPr="00EE43C6" w:rsidRDefault="00996FC7" w:rsidP="00F60B11">
            <w:pPr>
              <w:spacing w:before="0" w:after="0" w:line="240" w:lineRule="auto"/>
              <w:jc w:val="left"/>
              <w:rPr>
                <w:rFonts w:eastAsia="Cambria" w:cs="MS Gothic"/>
                <w:b/>
                <w:bCs/>
                <w:iCs/>
                <w:sz w:val="18"/>
                <w:szCs w:val="18"/>
              </w:rPr>
            </w:pPr>
            <w:r w:rsidRPr="00EE43C6">
              <w:rPr>
                <w:rFonts w:eastAsia="Cambria" w:cs="MS Gothic"/>
                <w:b/>
                <w:bCs/>
                <w:iCs/>
                <w:sz w:val="18"/>
                <w:szCs w:val="18"/>
              </w:rPr>
              <w:t>Ardeidea</w:t>
            </w:r>
          </w:p>
        </w:tc>
        <w:tc>
          <w:tcPr>
            <w:tcW w:w="1304" w:type="pct"/>
            <w:vAlign w:val="center"/>
          </w:tcPr>
          <w:p w14:paraId="4EE8170B" w14:textId="7F16EB13" w:rsidR="00996FC7" w:rsidRPr="00EE43C6" w:rsidRDefault="00996FC7" w:rsidP="00F60B11">
            <w:pPr>
              <w:spacing w:before="0" w:after="0" w:line="240" w:lineRule="auto"/>
              <w:jc w:val="center"/>
              <w:rPr>
                <w:rFonts w:eastAsia="Cambria" w:cs="MS Gothic"/>
                <w:sz w:val="18"/>
                <w:szCs w:val="18"/>
              </w:rPr>
            </w:pPr>
          </w:p>
        </w:tc>
        <w:tc>
          <w:tcPr>
            <w:tcW w:w="824" w:type="pct"/>
            <w:vAlign w:val="center"/>
          </w:tcPr>
          <w:p w14:paraId="38C8EA7F" w14:textId="77777777" w:rsidR="00996FC7" w:rsidRPr="00EE43C6" w:rsidRDefault="00996FC7" w:rsidP="00F60B11">
            <w:pPr>
              <w:spacing w:before="0" w:after="0" w:line="240" w:lineRule="auto"/>
              <w:jc w:val="center"/>
              <w:rPr>
                <w:rFonts w:eastAsia="Cambria" w:cs="MS Gothic"/>
                <w:sz w:val="18"/>
                <w:szCs w:val="18"/>
              </w:rPr>
            </w:pPr>
          </w:p>
        </w:tc>
        <w:tc>
          <w:tcPr>
            <w:tcW w:w="824" w:type="pct"/>
            <w:vAlign w:val="center"/>
          </w:tcPr>
          <w:p w14:paraId="0ED8DA63" w14:textId="77777777" w:rsidR="00996FC7" w:rsidRPr="00EE43C6" w:rsidRDefault="00996FC7" w:rsidP="00F60B11">
            <w:pPr>
              <w:spacing w:before="0" w:after="0" w:line="240" w:lineRule="auto"/>
              <w:jc w:val="center"/>
              <w:rPr>
                <w:rFonts w:eastAsia="Cambria" w:cs="MS Gothic"/>
                <w:sz w:val="18"/>
                <w:szCs w:val="18"/>
              </w:rPr>
            </w:pPr>
          </w:p>
        </w:tc>
        <w:tc>
          <w:tcPr>
            <w:tcW w:w="824" w:type="pct"/>
            <w:vAlign w:val="center"/>
          </w:tcPr>
          <w:p w14:paraId="303ED00C" w14:textId="77777777" w:rsidR="00996FC7" w:rsidRPr="00EE43C6" w:rsidRDefault="00996FC7" w:rsidP="00F60B11">
            <w:pPr>
              <w:spacing w:before="0" w:after="0" w:line="240" w:lineRule="auto"/>
              <w:jc w:val="center"/>
              <w:rPr>
                <w:rFonts w:eastAsia="Cambria" w:cs="MS Gothic"/>
                <w:sz w:val="18"/>
                <w:szCs w:val="18"/>
              </w:rPr>
            </w:pPr>
          </w:p>
        </w:tc>
      </w:tr>
      <w:tr w:rsidR="00746651" w:rsidRPr="00EE43C6" w14:paraId="1D21B9C2" w14:textId="77777777" w:rsidTr="00F60B11">
        <w:trPr>
          <w:trHeight w:val="284"/>
        </w:trPr>
        <w:tc>
          <w:tcPr>
            <w:tcW w:w="1224" w:type="pct"/>
            <w:vAlign w:val="center"/>
          </w:tcPr>
          <w:p w14:paraId="465AE90A" w14:textId="2D4536AF" w:rsidR="00746651" w:rsidRPr="00EE43C6" w:rsidRDefault="00746651" w:rsidP="00F60B11">
            <w:pPr>
              <w:spacing w:before="0" w:after="0" w:line="240" w:lineRule="auto"/>
              <w:jc w:val="left"/>
              <w:rPr>
                <w:rFonts w:eastAsia="Cambria" w:cs="MS Gothic"/>
                <w:b/>
                <w:bCs/>
                <w:iCs/>
                <w:sz w:val="18"/>
                <w:szCs w:val="18"/>
              </w:rPr>
            </w:pPr>
            <w:r w:rsidRPr="00EE43C6">
              <w:rPr>
                <w:rFonts w:eastAsia="Cambria" w:cs="MS Gothic"/>
                <w:sz w:val="18"/>
                <w:szCs w:val="18"/>
              </w:rPr>
              <w:t>Ardea cinerea</w:t>
            </w:r>
          </w:p>
        </w:tc>
        <w:tc>
          <w:tcPr>
            <w:tcW w:w="1304" w:type="pct"/>
            <w:vAlign w:val="center"/>
          </w:tcPr>
          <w:p w14:paraId="28AAF1BC" w14:textId="28C1BF35" w:rsidR="00746651" w:rsidRPr="00EE43C6" w:rsidRDefault="002F774F" w:rsidP="00F60B11">
            <w:pPr>
              <w:spacing w:before="0" w:after="0" w:line="240" w:lineRule="auto"/>
              <w:jc w:val="center"/>
              <w:rPr>
                <w:rFonts w:eastAsia="Cambria" w:cs="MS Gothic"/>
                <w:sz w:val="18"/>
                <w:szCs w:val="18"/>
              </w:rPr>
            </w:pPr>
            <w:r w:rsidRPr="00EE43C6">
              <w:rPr>
                <w:rFonts w:eastAsia="Cambria" w:cs="MS Gothic"/>
                <w:sz w:val="18"/>
                <w:szCs w:val="18"/>
              </w:rPr>
              <w:t>Grey Heron</w:t>
            </w:r>
          </w:p>
        </w:tc>
        <w:tc>
          <w:tcPr>
            <w:tcW w:w="824" w:type="pct"/>
            <w:vAlign w:val="center"/>
          </w:tcPr>
          <w:p w14:paraId="41088F9D" w14:textId="5CF2B93E" w:rsidR="00746651" w:rsidRPr="00EE43C6" w:rsidRDefault="002F774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07A5D78" w14:textId="1149F2C2" w:rsidR="00746651" w:rsidRPr="00EE43C6" w:rsidRDefault="002F774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7160797E" w14:textId="5AD8A65E" w:rsidR="00746651" w:rsidRPr="00EE43C6" w:rsidRDefault="00A66C4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538C57AD" w14:textId="77777777" w:rsidTr="00F60B11">
        <w:trPr>
          <w:trHeight w:val="284"/>
        </w:trPr>
        <w:tc>
          <w:tcPr>
            <w:tcW w:w="1224" w:type="pct"/>
            <w:vAlign w:val="center"/>
          </w:tcPr>
          <w:p w14:paraId="143C0F77"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t>Certhiidae</w:t>
            </w:r>
          </w:p>
        </w:tc>
        <w:tc>
          <w:tcPr>
            <w:tcW w:w="1304" w:type="pct"/>
            <w:vAlign w:val="center"/>
          </w:tcPr>
          <w:p w14:paraId="5F2A0273"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69ACD4C9"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266C0926"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9A7C063"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5D4DA1A0" w14:textId="77777777" w:rsidTr="00F60B11">
        <w:trPr>
          <w:trHeight w:val="284"/>
        </w:trPr>
        <w:tc>
          <w:tcPr>
            <w:tcW w:w="1224" w:type="pct"/>
            <w:vAlign w:val="center"/>
          </w:tcPr>
          <w:p w14:paraId="4A0C6D27" w14:textId="77777777" w:rsidR="00DC486F" w:rsidRPr="00EE43C6" w:rsidRDefault="00DC486F" w:rsidP="00F60B11">
            <w:pPr>
              <w:spacing w:before="0" w:after="0" w:line="240" w:lineRule="auto"/>
              <w:jc w:val="left"/>
              <w:rPr>
                <w:rFonts w:cs="Arial"/>
                <w:sz w:val="18"/>
                <w:szCs w:val="18"/>
              </w:rPr>
            </w:pPr>
            <w:r w:rsidRPr="00EE43C6">
              <w:rPr>
                <w:rFonts w:eastAsia="Cambria" w:cs="MS Gothic"/>
                <w:i/>
                <w:sz w:val="18"/>
                <w:szCs w:val="18"/>
              </w:rPr>
              <w:t>Certhia brachydactyla</w:t>
            </w:r>
          </w:p>
        </w:tc>
        <w:tc>
          <w:tcPr>
            <w:tcW w:w="1304" w:type="pct"/>
            <w:vAlign w:val="center"/>
          </w:tcPr>
          <w:p w14:paraId="59C43AD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Short-toed Treecreeper</w:t>
            </w:r>
          </w:p>
        </w:tc>
        <w:tc>
          <w:tcPr>
            <w:tcW w:w="824" w:type="pct"/>
            <w:vAlign w:val="center"/>
          </w:tcPr>
          <w:p w14:paraId="5811795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168931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13DE96D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535DB54" w14:textId="77777777" w:rsidTr="00F60B11">
        <w:trPr>
          <w:trHeight w:val="284"/>
        </w:trPr>
        <w:tc>
          <w:tcPr>
            <w:tcW w:w="1224" w:type="pct"/>
            <w:vAlign w:val="center"/>
          </w:tcPr>
          <w:p w14:paraId="063E6A12"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t>Ciconiidae</w:t>
            </w:r>
          </w:p>
        </w:tc>
        <w:tc>
          <w:tcPr>
            <w:tcW w:w="1304" w:type="pct"/>
            <w:vAlign w:val="center"/>
          </w:tcPr>
          <w:p w14:paraId="2377DA15"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47F60B2E"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4517BC5A"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3AA19DF7"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5D1E9555" w14:textId="77777777" w:rsidTr="00F60B11">
        <w:trPr>
          <w:trHeight w:val="284"/>
        </w:trPr>
        <w:tc>
          <w:tcPr>
            <w:tcW w:w="1224" w:type="pct"/>
            <w:vAlign w:val="center"/>
          </w:tcPr>
          <w:p w14:paraId="5E2C141C" w14:textId="77777777" w:rsidR="00DC486F" w:rsidRPr="00EE43C6" w:rsidRDefault="00DC486F" w:rsidP="00F60B11">
            <w:pPr>
              <w:spacing w:before="0" w:after="0" w:line="240" w:lineRule="auto"/>
              <w:jc w:val="left"/>
              <w:rPr>
                <w:rFonts w:cs="Arial"/>
                <w:sz w:val="18"/>
                <w:szCs w:val="18"/>
              </w:rPr>
            </w:pPr>
            <w:r w:rsidRPr="00EE43C6">
              <w:rPr>
                <w:rFonts w:eastAsia="Cambria" w:cs="MS Gothic"/>
                <w:i/>
                <w:sz w:val="18"/>
                <w:szCs w:val="18"/>
              </w:rPr>
              <w:t>Ciconia ciconia</w:t>
            </w:r>
          </w:p>
        </w:tc>
        <w:tc>
          <w:tcPr>
            <w:tcW w:w="1304" w:type="pct"/>
            <w:vAlign w:val="center"/>
          </w:tcPr>
          <w:p w14:paraId="5C0C53E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White Stork</w:t>
            </w:r>
          </w:p>
        </w:tc>
        <w:tc>
          <w:tcPr>
            <w:tcW w:w="824" w:type="pct"/>
            <w:vAlign w:val="center"/>
          </w:tcPr>
          <w:p w14:paraId="5FFBCE0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A1C188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2E66E3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5DC10F68" w14:textId="77777777" w:rsidTr="00F60B11">
        <w:trPr>
          <w:trHeight w:val="284"/>
        </w:trPr>
        <w:tc>
          <w:tcPr>
            <w:tcW w:w="1224" w:type="pct"/>
            <w:vAlign w:val="center"/>
          </w:tcPr>
          <w:p w14:paraId="7953D2EB"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t>Cisticolidae</w:t>
            </w:r>
          </w:p>
        </w:tc>
        <w:tc>
          <w:tcPr>
            <w:tcW w:w="1304" w:type="pct"/>
            <w:vAlign w:val="center"/>
          </w:tcPr>
          <w:p w14:paraId="1FCF6793"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72C542F3"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4A6483C"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4A2DE543"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588BADD8" w14:textId="77777777" w:rsidTr="00F60B11">
        <w:trPr>
          <w:trHeight w:val="284"/>
        </w:trPr>
        <w:tc>
          <w:tcPr>
            <w:tcW w:w="1224" w:type="pct"/>
            <w:vAlign w:val="center"/>
          </w:tcPr>
          <w:p w14:paraId="52790157" w14:textId="77777777" w:rsidR="00DC486F" w:rsidRPr="00EE43C6" w:rsidRDefault="00DC486F" w:rsidP="00F60B11">
            <w:pPr>
              <w:spacing w:before="0" w:after="0" w:line="240" w:lineRule="auto"/>
              <w:jc w:val="left"/>
              <w:rPr>
                <w:rFonts w:cs="Arial"/>
                <w:sz w:val="18"/>
                <w:szCs w:val="18"/>
              </w:rPr>
            </w:pPr>
            <w:r w:rsidRPr="00EE43C6">
              <w:rPr>
                <w:rFonts w:eastAsia="Cambria" w:cs="MS Gothic"/>
                <w:i/>
                <w:sz w:val="18"/>
                <w:szCs w:val="18"/>
              </w:rPr>
              <w:t>Prinia gracilis</w:t>
            </w:r>
          </w:p>
        </w:tc>
        <w:tc>
          <w:tcPr>
            <w:tcW w:w="1304" w:type="pct"/>
            <w:vAlign w:val="center"/>
          </w:tcPr>
          <w:p w14:paraId="07354A6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Graceful Prinia</w:t>
            </w:r>
          </w:p>
        </w:tc>
        <w:tc>
          <w:tcPr>
            <w:tcW w:w="824" w:type="pct"/>
            <w:vAlign w:val="center"/>
          </w:tcPr>
          <w:p w14:paraId="227475E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8DB53D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12C38C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651976AE" w14:textId="77777777" w:rsidTr="00F60B11">
        <w:trPr>
          <w:trHeight w:val="284"/>
        </w:trPr>
        <w:tc>
          <w:tcPr>
            <w:tcW w:w="1224" w:type="pct"/>
            <w:vAlign w:val="center"/>
          </w:tcPr>
          <w:p w14:paraId="0199191B" w14:textId="77777777" w:rsidR="00DC486F" w:rsidRPr="00EE43C6" w:rsidRDefault="00DC486F" w:rsidP="00F60B11">
            <w:pPr>
              <w:spacing w:before="0" w:after="0" w:line="240" w:lineRule="auto"/>
              <w:jc w:val="left"/>
              <w:rPr>
                <w:rFonts w:eastAsia="Cambria" w:cs="MS Gothic"/>
                <w:b/>
                <w:sz w:val="18"/>
                <w:szCs w:val="18"/>
              </w:rPr>
            </w:pPr>
            <w:r w:rsidRPr="00EE43C6">
              <w:rPr>
                <w:rFonts w:eastAsia="Cambria" w:cs="MS Gothic"/>
                <w:b/>
                <w:sz w:val="18"/>
                <w:szCs w:val="18"/>
              </w:rPr>
              <w:t>Columbidae</w:t>
            </w:r>
          </w:p>
        </w:tc>
        <w:tc>
          <w:tcPr>
            <w:tcW w:w="1304" w:type="pct"/>
            <w:vAlign w:val="center"/>
          </w:tcPr>
          <w:p w14:paraId="6964C7EB"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5A567B88"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42CDEAB2"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70B183C8"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08F14DA2" w14:textId="77777777" w:rsidTr="00F60B11">
        <w:trPr>
          <w:trHeight w:val="284"/>
        </w:trPr>
        <w:tc>
          <w:tcPr>
            <w:tcW w:w="1224" w:type="pct"/>
            <w:vAlign w:val="center"/>
          </w:tcPr>
          <w:p w14:paraId="1CEAE820"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Columba livia</w:t>
            </w:r>
          </w:p>
        </w:tc>
        <w:tc>
          <w:tcPr>
            <w:tcW w:w="1304" w:type="pct"/>
            <w:vAlign w:val="center"/>
          </w:tcPr>
          <w:p w14:paraId="7AD7D13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Rock Dove</w:t>
            </w:r>
          </w:p>
        </w:tc>
        <w:tc>
          <w:tcPr>
            <w:tcW w:w="824" w:type="pct"/>
            <w:vAlign w:val="center"/>
          </w:tcPr>
          <w:p w14:paraId="448210A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4CC5E99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5F9F9A5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r>
      <w:tr w:rsidR="00EB40B2" w:rsidRPr="00EE43C6" w14:paraId="754C0EC5" w14:textId="77777777" w:rsidTr="00F60B11">
        <w:trPr>
          <w:trHeight w:val="284"/>
        </w:trPr>
        <w:tc>
          <w:tcPr>
            <w:tcW w:w="1224" w:type="pct"/>
            <w:vAlign w:val="center"/>
          </w:tcPr>
          <w:p w14:paraId="5E82B000" w14:textId="5D4A7191" w:rsidR="00EB40B2" w:rsidRPr="00EE43C6" w:rsidRDefault="00EB40B2" w:rsidP="00F60B11">
            <w:pPr>
              <w:spacing w:before="0" w:after="0" w:line="240" w:lineRule="auto"/>
              <w:jc w:val="left"/>
              <w:rPr>
                <w:rFonts w:eastAsia="Cambria" w:cs="MS Gothic"/>
                <w:i/>
                <w:sz w:val="18"/>
                <w:szCs w:val="18"/>
              </w:rPr>
            </w:pPr>
            <w:r w:rsidRPr="00EE43C6">
              <w:rPr>
                <w:rFonts w:eastAsia="Cambria" w:cs="MS Gothic"/>
                <w:i/>
                <w:sz w:val="18"/>
                <w:szCs w:val="18"/>
              </w:rPr>
              <w:t>Columba palumbus</w:t>
            </w:r>
          </w:p>
        </w:tc>
        <w:tc>
          <w:tcPr>
            <w:tcW w:w="1304" w:type="pct"/>
            <w:vAlign w:val="center"/>
          </w:tcPr>
          <w:p w14:paraId="56A6D47A" w14:textId="05C54D64" w:rsidR="00EB40B2" w:rsidRPr="00EE43C6" w:rsidRDefault="00EB40B2" w:rsidP="00F60B11">
            <w:pPr>
              <w:spacing w:before="0" w:after="0" w:line="240" w:lineRule="auto"/>
              <w:jc w:val="center"/>
              <w:rPr>
                <w:rFonts w:eastAsia="Cambria" w:cs="MS Gothic"/>
                <w:sz w:val="18"/>
                <w:szCs w:val="18"/>
              </w:rPr>
            </w:pPr>
            <w:r w:rsidRPr="00EE43C6">
              <w:rPr>
                <w:rFonts w:eastAsia="Cambria" w:cs="MS Gothic"/>
                <w:sz w:val="18"/>
                <w:szCs w:val="18"/>
              </w:rPr>
              <w:t>Common Wood Pigeon</w:t>
            </w:r>
          </w:p>
        </w:tc>
        <w:tc>
          <w:tcPr>
            <w:tcW w:w="824" w:type="pct"/>
            <w:vAlign w:val="center"/>
          </w:tcPr>
          <w:p w14:paraId="59323C69" w14:textId="7D36B889" w:rsidR="00EB40B2" w:rsidRPr="00EE43C6" w:rsidRDefault="00EB40B2"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7447E27" w14:textId="633EFD2C" w:rsidR="00EB40B2" w:rsidRPr="00EE43C6" w:rsidRDefault="003614A8"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19A8A198" w14:textId="02837188" w:rsidR="00EB40B2" w:rsidRPr="00EE43C6" w:rsidRDefault="003614A8" w:rsidP="00F60B11">
            <w:pPr>
              <w:spacing w:before="0" w:after="0" w:line="240" w:lineRule="auto"/>
              <w:jc w:val="center"/>
              <w:rPr>
                <w:rFonts w:eastAsia="Cambria" w:cs="MS Gothic"/>
                <w:sz w:val="18"/>
                <w:szCs w:val="18"/>
              </w:rPr>
            </w:pPr>
            <w:r w:rsidRPr="00EE43C6">
              <w:rPr>
                <w:rFonts w:eastAsia="Cambria" w:cs="MS Gothic"/>
                <w:sz w:val="18"/>
                <w:szCs w:val="18"/>
              </w:rPr>
              <w:t>-</w:t>
            </w:r>
          </w:p>
        </w:tc>
      </w:tr>
      <w:tr w:rsidR="00DC486F" w:rsidRPr="00EE43C6" w14:paraId="23027848" w14:textId="77777777" w:rsidTr="00F60B11">
        <w:trPr>
          <w:trHeight w:val="284"/>
        </w:trPr>
        <w:tc>
          <w:tcPr>
            <w:tcW w:w="1224" w:type="pct"/>
            <w:vAlign w:val="center"/>
          </w:tcPr>
          <w:p w14:paraId="2C3BF8A6"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lastRenderedPageBreak/>
              <w:t>Columba oenas</w:t>
            </w:r>
          </w:p>
        </w:tc>
        <w:tc>
          <w:tcPr>
            <w:tcW w:w="1304" w:type="pct"/>
            <w:vAlign w:val="center"/>
          </w:tcPr>
          <w:p w14:paraId="13BEC60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Stock Dove</w:t>
            </w:r>
          </w:p>
        </w:tc>
        <w:tc>
          <w:tcPr>
            <w:tcW w:w="824" w:type="pct"/>
            <w:vAlign w:val="center"/>
          </w:tcPr>
          <w:p w14:paraId="18BEFC1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1D8DAA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27487D7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r>
      <w:tr w:rsidR="00DC486F" w:rsidRPr="00EE43C6" w14:paraId="7803C853" w14:textId="77777777" w:rsidTr="00F60B11">
        <w:trPr>
          <w:trHeight w:val="284"/>
        </w:trPr>
        <w:tc>
          <w:tcPr>
            <w:tcW w:w="1224" w:type="pct"/>
            <w:vAlign w:val="center"/>
          </w:tcPr>
          <w:p w14:paraId="30CD1628"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Streptopelia senegalensis</w:t>
            </w:r>
          </w:p>
        </w:tc>
        <w:tc>
          <w:tcPr>
            <w:tcW w:w="1304" w:type="pct"/>
            <w:vAlign w:val="center"/>
          </w:tcPr>
          <w:p w14:paraId="46D7D89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Laughing Dove</w:t>
            </w:r>
          </w:p>
        </w:tc>
        <w:tc>
          <w:tcPr>
            <w:tcW w:w="824" w:type="pct"/>
            <w:vAlign w:val="center"/>
          </w:tcPr>
          <w:p w14:paraId="619E084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6B1693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5F1D098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r>
      <w:tr w:rsidR="00DC486F" w:rsidRPr="00EE43C6" w14:paraId="71A286B6" w14:textId="77777777" w:rsidTr="00F60B11">
        <w:trPr>
          <w:trHeight w:val="284"/>
        </w:trPr>
        <w:tc>
          <w:tcPr>
            <w:tcW w:w="1224" w:type="pct"/>
            <w:vAlign w:val="center"/>
          </w:tcPr>
          <w:p w14:paraId="44290626"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Streptopelia decaocto</w:t>
            </w:r>
          </w:p>
        </w:tc>
        <w:tc>
          <w:tcPr>
            <w:tcW w:w="1304" w:type="pct"/>
            <w:vAlign w:val="center"/>
          </w:tcPr>
          <w:p w14:paraId="74DDAC2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Eurasian Collared dove</w:t>
            </w:r>
          </w:p>
        </w:tc>
        <w:tc>
          <w:tcPr>
            <w:tcW w:w="824" w:type="pct"/>
            <w:vAlign w:val="center"/>
          </w:tcPr>
          <w:p w14:paraId="772257E4"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B92AC4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4E71F24"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 -3</w:t>
            </w:r>
          </w:p>
        </w:tc>
      </w:tr>
      <w:tr w:rsidR="00DC486F" w:rsidRPr="00EE43C6" w14:paraId="223A5D41" w14:textId="77777777" w:rsidTr="00F60B11">
        <w:trPr>
          <w:trHeight w:val="284"/>
        </w:trPr>
        <w:tc>
          <w:tcPr>
            <w:tcW w:w="1224" w:type="pct"/>
            <w:vAlign w:val="center"/>
          </w:tcPr>
          <w:p w14:paraId="0316DDC5"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Streptopelia turtur</w:t>
            </w:r>
          </w:p>
        </w:tc>
        <w:tc>
          <w:tcPr>
            <w:tcW w:w="1304" w:type="pct"/>
            <w:vAlign w:val="center"/>
          </w:tcPr>
          <w:p w14:paraId="1F46868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European Turtle-dove</w:t>
            </w:r>
          </w:p>
        </w:tc>
        <w:tc>
          <w:tcPr>
            <w:tcW w:w="824" w:type="pct"/>
            <w:vAlign w:val="center"/>
          </w:tcPr>
          <w:p w14:paraId="6FA429E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7E8AEF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VU</w:t>
            </w:r>
          </w:p>
        </w:tc>
        <w:tc>
          <w:tcPr>
            <w:tcW w:w="824" w:type="pct"/>
            <w:vAlign w:val="center"/>
          </w:tcPr>
          <w:p w14:paraId="048CA24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r>
      <w:tr w:rsidR="00DC486F" w:rsidRPr="00EE43C6" w14:paraId="18F782BA" w14:textId="77777777" w:rsidTr="00F60B11">
        <w:trPr>
          <w:trHeight w:val="284"/>
        </w:trPr>
        <w:tc>
          <w:tcPr>
            <w:tcW w:w="1224" w:type="pct"/>
            <w:vAlign w:val="center"/>
          </w:tcPr>
          <w:p w14:paraId="341849D3"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t>Coraciidae</w:t>
            </w:r>
          </w:p>
        </w:tc>
        <w:tc>
          <w:tcPr>
            <w:tcW w:w="1304" w:type="pct"/>
            <w:vAlign w:val="center"/>
          </w:tcPr>
          <w:p w14:paraId="22D4FADF"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5FA900F8"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719720A1"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4DCBA7F7"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067D7276" w14:textId="77777777" w:rsidTr="00F60B11">
        <w:trPr>
          <w:trHeight w:val="284"/>
        </w:trPr>
        <w:tc>
          <w:tcPr>
            <w:tcW w:w="1224" w:type="pct"/>
            <w:vAlign w:val="center"/>
          </w:tcPr>
          <w:p w14:paraId="6A5EE4CC" w14:textId="77777777" w:rsidR="00DC486F" w:rsidRPr="00EE43C6" w:rsidRDefault="00DC486F" w:rsidP="00F60B11">
            <w:pPr>
              <w:spacing w:before="0" w:after="0" w:line="240" w:lineRule="auto"/>
              <w:jc w:val="left"/>
              <w:rPr>
                <w:rFonts w:cs="Arial"/>
                <w:sz w:val="18"/>
                <w:szCs w:val="18"/>
              </w:rPr>
            </w:pPr>
            <w:r w:rsidRPr="00EE43C6">
              <w:rPr>
                <w:rFonts w:eastAsia="Cambria" w:cs="MS Gothic"/>
                <w:i/>
                <w:sz w:val="18"/>
                <w:szCs w:val="18"/>
              </w:rPr>
              <w:t>Coracias garrulus</w:t>
            </w:r>
          </w:p>
        </w:tc>
        <w:tc>
          <w:tcPr>
            <w:tcW w:w="1304" w:type="pct"/>
            <w:vAlign w:val="center"/>
          </w:tcPr>
          <w:p w14:paraId="557C4E0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European Roller</w:t>
            </w:r>
          </w:p>
        </w:tc>
        <w:tc>
          <w:tcPr>
            <w:tcW w:w="824" w:type="pct"/>
            <w:vAlign w:val="center"/>
          </w:tcPr>
          <w:p w14:paraId="1CCA86A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09BED1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18E4397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544A8BA9" w14:textId="77777777" w:rsidTr="00F60B11">
        <w:trPr>
          <w:trHeight w:val="284"/>
        </w:trPr>
        <w:tc>
          <w:tcPr>
            <w:tcW w:w="1224" w:type="pct"/>
            <w:vAlign w:val="center"/>
          </w:tcPr>
          <w:p w14:paraId="159CBF62" w14:textId="77777777" w:rsidR="00DC486F" w:rsidRPr="00EE43C6" w:rsidRDefault="00DC486F" w:rsidP="00F60B11">
            <w:pPr>
              <w:spacing w:before="0" w:after="0" w:line="240" w:lineRule="auto"/>
              <w:jc w:val="left"/>
              <w:rPr>
                <w:rFonts w:eastAsia="Cambria" w:cs="MS Gothic"/>
                <w:b/>
                <w:sz w:val="18"/>
                <w:szCs w:val="18"/>
              </w:rPr>
            </w:pPr>
            <w:r w:rsidRPr="00EE43C6">
              <w:rPr>
                <w:rFonts w:eastAsia="Cambria" w:cs="MS Gothic"/>
                <w:b/>
                <w:sz w:val="18"/>
                <w:szCs w:val="18"/>
              </w:rPr>
              <w:t>Corvidae</w:t>
            </w:r>
          </w:p>
        </w:tc>
        <w:tc>
          <w:tcPr>
            <w:tcW w:w="1304" w:type="pct"/>
            <w:vAlign w:val="center"/>
          </w:tcPr>
          <w:p w14:paraId="3966D404"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38E066E2"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3D7C63E"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57DCFFB4"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58FE302E" w14:textId="77777777" w:rsidTr="00F60B11">
        <w:trPr>
          <w:trHeight w:val="284"/>
        </w:trPr>
        <w:tc>
          <w:tcPr>
            <w:tcW w:w="1224" w:type="pct"/>
            <w:vAlign w:val="center"/>
          </w:tcPr>
          <w:p w14:paraId="4ADCA21E"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Corvus corax</w:t>
            </w:r>
          </w:p>
        </w:tc>
        <w:tc>
          <w:tcPr>
            <w:tcW w:w="1304" w:type="pct"/>
            <w:vAlign w:val="center"/>
          </w:tcPr>
          <w:p w14:paraId="0D443CE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Common Raven</w:t>
            </w:r>
          </w:p>
        </w:tc>
        <w:tc>
          <w:tcPr>
            <w:tcW w:w="824" w:type="pct"/>
            <w:vAlign w:val="center"/>
          </w:tcPr>
          <w:p w14:paraId="0DE23CB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B412D6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E777CD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 -3</w:t>
            </w:r>
          </w:p>
        </w:tc>
      </w:tr>
      <w:tr w:rsidR="00DC486F" w:rsidRPr="00EE43C6" w14:paraId="1844D80E" w14:textId="77777777" w:rsidTr="00F60B11">
        <w:trPr>
          <w:trHeight w:val="284"/>
        </w:trPr>
        <w:tc>
          <w:tcPr>
            <w:tcW w:w="1224" w:type="pct"/>
            <w:vAlign w:val="center"/>
          </w:tcPr>
          <w:p w14:paraId="2A8B4541"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Corvus cornix</w:t>
            </w:r>
          </w:p>
        </w:tc>
        <w:tc>
          <w:tcPr>
            <w:tcW w:w="1304" w:type="pct"/>
            <w:vAlign w:val="center"/>
          </w:tcPr>
          <w:p w14:paraId="3BECA1B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Hooded Crow</w:t>
            </w:r>
          </w:p>
        </w:tc>
        <w:tc>
          <w:tcPr>
            <w:tcW w:w="824" w:type="pct"/>
            <w:vAlign w:val="center"/>
          </w:tcPr>
          <w:p w14:paraId="0004877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48CD39C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42EF39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2F6C1070" w14:textId="77777777" w:rsidTr="00F60B11">
        <w:trPr>
          <w:trHeight w:val="284"/>
        </w:trPr>
        <w:tc>
          <w:tcPr>
            <w:tcW w:w="1224" w:type="pct"/>
            <w:vAlign w:val="center"/>
          </w:tcPr>
          <w:p w14:paraId="24215AE4"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Corvus frugilegus</w:t>
            </w:r>
          </w:p>
        </w:tc>
        <w:tc>
          <w:tcPr>
            <w:tcW w:w="1304" w:type="pct"/>
            <w:vAlign w:val="center"/>
          </w:tcPr>
          <w:p w14:paraId="2EA8B37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Rook</w:t>
            </w:r>
          </w:p>
        </w:tc>
        <w:tc>
          <w:tcPr>
            <w:tcW w:w="824" w:type="pct"/>
            <w:vAlign w:val="center"/>
          </w:tcPr>
          <w:p w14:paraId="18F8F55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1E96ED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134DEC3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r>
      <w:tr w:rsidR="00DC486F" w:rsidRPr="00EE43C6" w14:paraId="422294B6" w14:textId="77777777" w:rsidTr="00F60B11">
        <w:trPr>
          <w:trHeight w:val="284"/>
        </w:trPr>
        <w:tc>
          <w:tcPr>
            <w:tcW w:w="1224" w:type="pct"/>
            <w:vAlign w:val="center"/>
          </w:tcPr>
          <w:p w14:paraId="5FBF6856"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Corvus monedula</w:t>
            </w:r>
          </w:p>
        </w:tc>
        <w:tc>
          <w:tcPr>
            <w:tcW w:w="1304" w:type="pct"/>
            <w:vAlign w:val="center"/>
          </w:tcPr>
          <w:p w14:paraId="4D12884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Eurasian Jackdaw</w:t>
            </w:r>
          </w:p>
        </w:tc>
        <w:tc>
          <w:tcPr>
            <w:tcW w:w="824" w:type="pct"/>
            <w:vAlign w:val="center"/>
          </w:tcPr>
          <w:p w14:paraId="5B03E2B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F1E54A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9A2B5B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r>
      <w:tr w:rsidR="00DC486F" w:rsidRPr="00EE43C6" w14:paraId="2AA6C2CA" w14:textId="77777777" w:rsidTr="00F60B11">
        <w:trPr>
          <w:trHeight w:val="284"/>
        </w:trPr>
        <w:tc>
          <w:tcPr>
            <w:tcW w:w="1224" w:type="pct"/>
            <w:vAlign w:val="center"/>
          </w:tcPr>
          <w:p w14:paraId="43AFD26C"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Garrulus glandarius</w:t>
            </w:r>
          </w:p>
        </w:tc>
        <w:tc>
          <w:tcPr>
            <w:tcW w:w="1304" w:type="pct"/>
            <w:vAlign w:val="center"/>
          </w:tcPr>
          <w:p w14:paraId="4B285DF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Eurasian Jay</w:t>
            </w:r>
          </w:p>
        </w:tc>
        <w:tc>
          <w:tcPr>
            <w:tcW w:w="824" w:type="pct"/>
            <w:vAlign w:val="center"/>
          </w:tcPr>
          <w:p w14:paraId="66A89ED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DE1C7E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9C0206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r>
      <w:tr w:rsidR="00DC486F" w:rsidRPr="00EE43C6" w14:paraId="0E7A90AE" w14:textId="77777777" w:rsidTr="00F60B11">
        <w:trPr>
          <w:trHeight w:val="284"/>
        </w:trPr>
        <w:tc>
          <w:tcPr>
            <w:tcW w:w="1224" w:type="pct"/>
            <w:vAlign w:val="center"/>
          </w:tcPr>
          <w:p w14:paraId="5A8B96E6"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Pica pica</w:t>
            </w:r>
          </w:p>
        </w:tc>
        <w:tc>
          <w:tcPr>
            <w:tcW w:w="1304" w:type="pct"/>
            <w:vAlign w:val="center"/>
          </w:tcPr>
          <w:p w14:paraId="3828D564"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Eurasian Magpie</w:t>
            </w:r>
          </w:p>
        </w:tc>
        <w:tc>
          <w:tcPr>
            <w:tcW w:w="824" w:type="pct"/>
            <w:vAlign w:val="center"/>
          </w:tcPr>
          <w:p w14:paraId="118F1D0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A590B6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51840C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r>
      <w:tr w:rsidR="00DC486F" w:rsidRPr="00EE43C6" w14:paraId="3CB3830D" w14:textId="77777777" w:rsidTr="00F60B11">
        <w:trPr>
          <w:trHeight w:val="284"/>
        </w:trPr>
        <w:tc>
          <w:tcPr>
            <w:tcW w:w="1224" w:type="pct"/>
            <w:vAlign w:val="center"/>
          </w:tcPr>
          <w:p w14:paraId="0F0D0A07"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Pyrrhocorax graculus</w:t>
            </w:r>
          </w:p>
        </w:tc>
        <w:tc>
          <w:tcPr>
            <w:tcW w:w="1304" w:type="pct"/>
            <w:vAlign w:val="center"/>
          </w:tcPr>
          <w:p w14:paraId="0246657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Yellow-billed Chough</w:t>
            </w:r>
          </w:p>
        </w:tc>
        <w:tc>
          <w:tcPr>
            <w:tcW w:w="824" w:type="pct"/>
            <w:vAlign w:val="center"/>
          </w:tcPr>
          <w:p w14:paraId="61AF658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0D73AC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7BF68E0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F8AA710" w14:textId="77777777" w:rsidTr="00F60B11">
        <w:trPr>
          <w:trHeight w:val="284"/>
        </w:trPr>
        <w:tc>
          <w:tcPr>
            <w:tcW w:w="1224" w:type="pct"/>
            <w:vAlign w:val="center"/>
          </w:tcPr>
          <w:p w14:paraId="4DB761C3"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Pyrrhocorax pyrrhocorax</w:t>
            </w:r>
          </w:p>
        </w:tc>
        <w:tc>
          <w:tcPr>
            <w:tcW w:w="1304" w:type="pct"/>
            <w:vAlign w:val="center"/>
          </w:tcPr>
          <w:p w14:paraId="0F2E601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Red-billed Chough</w:t>
            </w:r>
          </w:p>
        </w:tc>
        <w:tc>
          <w:tcPr>
            <w:tcW w:w="824" w:type="pct"/>
            <w:vAlign w:val="center"/>
          </w:tcPr>
          <w:p w14:paraId="01291B9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113288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7707566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3E467815" w14:textId="77777777" w:rsidTr="00F60B11">
        <w:trPr>
          <w:trHeight w:val="284"/>
        </w:trPr>
        <w:tc>
          <w:tcPr>
            <w:tcW w:w="1224" w:type="pct"/>
            <w:vAlign w:val="center"/>
          </w:tcPr>
          <w:p w14:paraId="3537F9CA"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b/>
                <w:sz w:val="18"/>
                <w:szCs w:val="18"/>
              </w:rPr>
              <w:t>Cuculidae</w:t>
            </w:r>
          </w:p>
        </w:tc>
        <w:tc>
          <w:tcPr>
            <w:tcW w:w="1304" w:type="pct"/>
            <w:vAlign w:val="center"/>
          </w:tcPr>
          <w:p w14:paraId="3F76804B"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402482C8"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53B9FBB6"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20FA52C8"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7875B595" w14:textId="77777777" w:rsidTr="00F60B11">
        <w:trPr>
          <w:trHeight w:val="284"/>
        </w:trPr>
        <w:tc>
          <w:tcPr>
            <w:tcW w:w="1224" w:type="pct"/>
            <w:vAlign w:val="center"/>
          </w:tcPr>
          <w:p w14:paraId="307984AA" w14:textId="77777777" w:rsidR="00DC486F" w:rsidRPr="00EE43C6" w:rsidRDefault="00DC486F" w:rsidP="00F60B11">
            <w:pPr>
              <w:spacing w:before="0" w:after="0" w:line="240" w:lineRule="auto"/>
              <w:jc w:val="left"/>
              <w:rPr>
                <w:rFonts w:cs="Arial"/>
                <w:sz w:val="18"/>
                <w:szCs w:val="18"/>
              </w:rPr>
            </w:pPr>
            <w:r w:rsidRPr="00EE43C6">
              <w:rPr>
                <w:rFonts w:eastAsia="Cambria" w:cs="MS Gothic"/>
                <w:i/>
                <w:sz w:val="18"/>
                <w:szCs w:val="18"/>
              </w:rPr>
              <w:t>Clamator glandarius</w:t>
            </w:r>
          </w:p>
        </w:tc>
        <w:tc>
          <w:tcPr>
            <w:tcW w:w="1304" w:type="pct"/>
            <w:vAlign w:val="center"/>
          </w:tcPr>
          <w:p w14:paraId="40E328B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Great Spotted Cuckoo</w:t>
            </w:r>
          </w:p>
        </w:tc>
        <w:tc>
          <w:tcPr>
            <w:tcW w:w="824" w:type="pct"/>
            <w:vAlign w:val="center"/>
          </w:tcPr>
          <w:p w14:paraId="659E3F8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2F84E0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AD7160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0FC0AB16" w14:textId="77777777" w:rsidTr="00F60B11">
        <w:trPr>
          <w:trHeight w:val="284"/>
        </w:trPr>
        <w:tc>
          <w:tcPr>
            <w:tcW w:w="1224" w:type="pct"/>
            <w:vAlign w:val="center"/>
          </w:tcPr>
          <w:p w14:paraId="56C40330"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t>Emberizidae</w:t>
            </w:r>
          </w:p>
        </w:tc>
        <w:tc>
          <w:tcPr>
            <w:tcW w:w="1304" w:type="pct"/>
            <w:vAlign w:val="center"/>
          </w:tcPr>
          <w:p w14:paraId="38BB32E9"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09CF2C2"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2019B559"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54EEC01"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708C7EBE" w14:textId="77777777" w:rsidTr="00F60B11">
        <w:trPr>
          <w:trHeight w:val="284"/>
        </w:trPr>
        <w:tc>
          <w:tcPr>
            <w:tcW w:w="1224" w:type="pct"/>
            <w:vAlign w:val="center"/>
          </w:tcPr>
          <w:p w14:paraId="6D70161C"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Emberiza caesia</w:t>
            </w:r>
          </w:p>
        </w:tc>
        <w:tc>
          <w:tcPr>
            <w:tcW w:w="1304" w:type="pct"/>
            <w:vAlign w:val="center"/>
          </w:tcPr>
          <w:p w14:paraId="000D31B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Cretzschmar’s Bunting</w:t>
            </w:r>
          </w:p>
        </w:tc>
        <w:tc>
          <w:tcPr>
            <w:tcW w:w="824" w:type="pct"/>
            <w:vAlign w:val="center"/>
          </w:tcPr>
          <w:p w14:paraId="1537F26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E5AF52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227B5584"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14EA15AD" w14:textId="77777777" w:rsidTr="00F60B11">
        <w:trPr>
          <w:trHeight w:val="284"/>
        </w:trPr>
        <w:tc>
          <w:tcPr>
            <w:tcW w:w="1224" w:type="pct"/>
            <w:vAlign w:val="center"/>
          </w:tcPr>
          <w:p w14:paraId="58E73E66"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Emberiza calandra</w:t>
            </w:r>
          </w:p>
        </w:tc>
        <w:tc>
          <w:tcPr>
            <w:tcW w:w="1304" w:type="pct"/>
            <w:vAlign w:val="center"/>
          </w:tcPr>
          <w:p w14:paraId="3A51C72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Corn Bunting</w:t>
            </w:r>
          </w:p>
        </w:tc>
        <w:tc>
          <w:tcPr>
            <w:tcW w:w="824" w:type="pct"/>
            <w:vAlign w:val="center"/>
          </w:tcPr>
          <w:p w14:paraId="6E52769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C9D558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6AE6021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31FE163B" w14:textId="77777777" w:rsidTr="00F60B11">
        <w:trPr>
          <w:trHeight w:val="284"/>
        </w:trPr>
        <w:tc>
          <w:tcPr>
            <w:tcW w:w="1224" w:type="pct"/>
            <w:vAlign w:val="center"/>
          </w:tcPr>
          <w:p w14:paraId="734E5D0B"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Emberiza cia</w:t>
            </w:r>
          </w:p>
        </w:tc>
        <w:tc>
          <w:tcPr>
            <w:tcW w:w="1304" w:type="pct"/>
            <w:vAlign w:val="center"/>
          </w:tcPr>
          <w:p w14:paraId="20546EF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Rock Bunting</w:t>
            </w:r>
          </w:p>
        </w:tc>
        <w:tc>
          <w:tcPr>
            <w:tcW w:w="824" w:type="pct"/>
            <w:vAlign w:val="center"/>
          </w:tcPr>
          <w:p w14:paraId="6232299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972453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6FD74EF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511EA4E2" w14:textId="77777777" w:rsidTr="00F60B11">
        <w:trPr>
          <w:trHeight w:val="284"/>
        </w:trPr>
        <w:tc>
          <w:tcPr>
            <w:tcW w:w="1224" w:type="pct"/>
            <w:vAlign w:val="center"/>
          </w:tcPr>
          <w:p w14:paraId="7BA7927F"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Emberiza hortulana</w:t>
            </w:r>
          </w:p>
        </w:tc>
        <w:tc>
          <w:tcPr>
            <w:tcW w:w="1304" w:type="pct"/>
            <w:vAlign w:val="center"/>
          </w:tcPr>
          <w:p w14:paraId="66AC13C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Ortolan Bunting</w:t>
            </w:r>
          </w:p>
        </w:tc>
        <w:tc>
          <w:tcPr>
            <w:tcW w:w="824" w:type="pct"/>
            <w:vAlign w:val="center"/>
          </w:tcPr>
          <w:p w14:paraId="727F02F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DA1C9DA" w14:textId="6F1F852C" w:rsidR="00DC486F" w:rsidRPr="00EE43C6" w:rsidRDefault="002748D8" w:rsidP="00F60B11">
            <w:pPr>
              <w:spacing w:before="0" w:after="0" w:line="240" w:lineRule="auto"/>
              <w:jc w:val="center"/>
              <w:rPr>
                <w:rFonts w:eastAsia="Cambria" w:cs="MS Gothic"/>
                <w:sz w:val="18"/>
                <w:szCs w:val="18"/>
              </w:rPr>
            </w:pPr>
            <w:r w:rsidRPr="00EE43C6">
              <w:rPr>
                <w:rFonts w:eastAsia="Cambria" w:cs="Arial"/>
                <w:sz w:val="18"/>
                <w:szCs w:val="18"/>
              </w:rPr>
              <w:t>LC</w:t>
            </w:r>
          </w:p>
        </w:tc>
        <w:tc>
          <w:tcPr>
            <w:tcW w:w="824" w:type="pct"/>
            <w:vAlign w:val="center"/>
          </w:tcPr>
          <w:p w14:paraId="12C9571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29EDF36F" w14:textId="77777777" w:rsidTr="00F60B11">
        <w:trPr>
          <w:trHeight w:val="284"/>
        </w:trPr>
        <w:tc>
          <w:tcPr>
            <w:tcW w:w="1224" w:type="pct"/>
            <w:vAlign w:val="center"/>
          </w:tcPr>
          <w:p w14:paraId="1FA84D4B"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Emberiza melanoceohala</w:t>
            </w:r>
          </w:p>
        </w:tc>
        <w:tc>
          <w:tcPr>
            <w:tcW w:w="1304" w:type="pct"/>
            <w:vAlign w:val="center"/>
          </w:tcPr>
          <w:p w14:paraId="16A9EBE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Black-headed Bunting</w:t>
            </w:r>
          </w:p>
        </w:tc>
        <w:tc>
          <w:tcPr>
            <w:tcW w:w="824" w:type="pct"/>
            <w:vAlign w:val="center"/>
          </w:tcPr>
          <w:p w14:paraId="0FCB8C2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ECBA2F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5376A1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1C429C64" w:rsidRPr="00EE43C6" w14:paraId="17DCF91E" w14:textId="77777777" w:rsidTr="00F60B11">
        <w:trPr>
          <w:trHeight w:val="284"/>
        </w:trPr>
        <w:tc>
          <w:tcPr>
            <w:tcW w:w="1224" w:type="pct"/>
            <w:vAlign w:val="center"/>
          </w:tcPr>
          <w:p w14:paraId="2C4580A4" w14:textId="1192DC67" w:rsidR="4558B3FC" w:rsidRPr="00EE43C6" w:rsidRDefault="4558B3FC" w:rsidP="00F60B11">
            <w:pPr>
              <w:spacing w:before="0" w:after="0" w:line="240" w:lineRule="auto"/>
              <w:jc w:val="left"/>
              <w:rPr>
                <w:rFonts w:eastAsia="Arial" w:cs="Arial"/>
                <w:sz w:val="18"/>
                <w:szCs w:val="18"/>
              </w:rPr>
            </w:pPr>
            <w:r w:rsidRPr="00EE43C6">
              <w:rPr>
                <w:rFonts w:eastAsia="Arial" w:cs="Arial"/>
                <w:sz w:val="18"/>
                <w:szCs w:val="18"/>
              </w:rPr>
              <w:t>Emberiza rustica</w:t>
            </w:r>
          </w:p>
        </w:tc>
        <w:tc>
          <w:tcPr>
            <w:tcW w:w="1304" w:type="pct"/>
            <w:vAlign w:val="center"/>
          </w:tcPr>
          <w:p w14:paraId="5E36BF0D" w14:textId="748D9206" w:rsidR="4558B3FC" w:rsidRPr="00EE43C6" w:rsidRDefault="4558B3FC" w:rsidP="00F60B11">
            <w:pPr>
              <w:spacing w:before="0" w:after="0" w:line="240" w:lineRule="auto"/>
              <w:jc w:val="center"/>
            </w:pPr>
            <w:r w:rsidRPr="00EE43C6">
              <w:rPr>
                <w:rFonts w:eastAsia="Arial" w:cs="Arial"/>
                <w:sz w:val="18"/>
                <w:szCs w:val="18"/>
              </w:rPr>
              <w:t>Rustic bunting</w:t>
            </w:r>
          </w:p>
        </w:tc>
        <w:tc>
          <w:tcPr>
            <w:tcW w:w="824" w:type="pct"/>
            <w:vAlign w:val="center"/>
          </w:tcPr>
          <w:p w14:paraId="2CEB9792" w14:textId="4A2A640C" w:rsidR="4558B3FC" w:rsidRPr="00EE43C6" w:rsidRDefault="4558B3FC"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B04D346" w14:textId="3BEC1BFF" w:rsidR="4558B3FC" w:rsidRPr="00EE43C6" w:rsidRDefault="4558B3FC" w:rsidP="00F60B11">
            <w:pPr>
              <w:spacing w:before="0" w:after="0" w:line="240" w:lineRule="auto"/>
              <w:jc w:val="center"/>
              <w:rPr>
                <w:rFonts w:eastAsia="Cambria" w:cs="MS Gothic"/>
                <w:sz w:val="18"/>
                <w:szCs w:val="18"/>
              </w:rPr>
            </w:pPr>
            <w:r w:rsidRPr="00EE43C6">
              <w:rPr>
                <w:rFonts w:eastAsia="Cambria" w:cs="MS Gothic"/>
                <w:sz w:val="18"/>
                <w:szCs w:val="18"/>
              </w:rPr>
              <w:t>VU</w:t>
            </w:r>
          </w:p>
        </w:tc>
        <w:tc>
          <w:tcPr>
            <w:tcW w:w="824" w:type="pct"/>
            <w:vAlign w:val="center"/>
          </w:tcPr>
          <w:p w14:paraId="0D35E044" w14:textId="135C0FB0" w:rsidR="1C429C64" w:rsidRPr="00EE43C6" w:rsidRDefault="7EA25D5E"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6D7D7F7" w14:textId="77777777" w:rsidTr="00F60B11">
        <w:trPr>
          <w:trHeight w:val="284"/>
        </w:trPr>
        <w:tc>
          <w:tcPr>
            <w:tcW w:w="1224" w:type="pct"/>
            <w:vAlign w:val="center"/>
          </w:tcPr>
          <w:p w14:paraId="28A0C590"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b/>
                <w:sz w:val="18"/>
                <w:szCs w:val="18"/>
              </w:rPr>
              <w:t>Falconidae</w:t>
            </w:r>
          </w:p>
        </w:tc>
        <w:tc>
          <w:tcPr>
            <w:tcW w:w="1304" w:type="pct"/>
            <w:vAlign w:val="center"/>
          </w:tcPr>
          <w:p w14:paraId="3AC7EFCB"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2347075B"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76F1E1E8"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387475CC"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2F10BA00" w14:textId="77777777" w:rsidTr="00F60B11">
        <w:trPr>
          <w:trHeight w:val="284"/>
        </w:trPr>
        <w:tc>
          <w:tcPr>
            <w:tcW w:w="1224" w:type="pct"/>
            <w:vAlign w:val="center"/>
          </w:tcPr>
          <w:p w14:paraId="01851C2A"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Falco peregrinus</w:t>
            </w:r>
          </w:p>
        </w:tc>
        <w:tc>
          <w:tcPr>
            <w:tcW w:w="1304" w:type="pct"/>
            <w:vAlign w:val="center"/>
          </w:tcPr>
          <w:p w14:paraId="6A962D4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Peregrine Falcon</w:t>
            </w:r>
          </w:p>
        </w:tc>
        <w:tc>
          <w:tcPr>
            <w:tcW w:w="824" w:type="pct"/>
            <w:vAlign w:val="center"/>
          </w:tcPr>
          <w:p w14:paraId="1E53FB9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6E7023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74D646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26C26F39" w14:textId="77777777" w:rsidTr="00F60B11">
        <w:trPr>
          <w:trHeight w:val="284"/>
        </w:trPr>
        <w:tc>
          <w:tcPr>
            <w:tcW w:w="1224" w:type="pct"/>
            <w:vAlign w:val="center"/>
          </w:tcPr>
          <w:p w14:paraId="2FBC66E5"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Falco subbuteo</w:t>
            </w:r>
          </w:p>
        </w:tc>
        <w:tc>
          <w:tcPr>
            <w:tcW w:w="1304" w:type="pct"/>
            <w:vAlign w:val="center"/>
          </w:tcPr>
          <w:p w14:paraId="69C43150" w14:textId="2744E5D1"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Eurasian Hobby</w:t>
            </w:r>
          </w:p>
        </w:tc>
        <w:tc>
          <w:tcPr>
            <w:tcW w:w="824" w:type="pct"/>
            <w:vAlign w:val="center"/>
          </w:tcPr>
          <w:p w14:paraId="26A4A6E7" w14:textId="19314E15" w:rsidR="00DC486F" w:rsidRPr="00EE43C6" w:rsidRDefault="002748D8" w:rsidP="00F60B11">
            <w:pPr>
              <w:spacing w:before="0" w:after="0" w:line="240" w:lineRule="auto"/>
              <w:jc w:val="center"/>
              <w:rPr>
                <w:rFonts w:eastAsia="Cambria" w:cs="MS Gothic"/>
                <w:sz w:val="18"/>
                <w:szCs w:val="18"/>
              </w:rPr>
            </w:pPr>
            <w:r w:rsidRPr="00EE43C6">
              <w:rPr>
                <w:rFonts w:eastAsia="Cambria" w:cs="Arial"/>
                <w:sz w:val="18"/>
                <w:szCs w:val="18"/>
              </w:rPr>
              <w:t>-</w:t>
            </w:r>
          </w:p>
        </w:tc>
        <w:tc>
          <w:tcPr>
            <w:tcW w:w="824" w:type="pct"/>
            <w:vAlign w:val="center"/>
          </w:tcPr>
          <w:p w14:paraId="15A3A16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17453D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4F58777C" w14:textId="77777777" w:rsidTr="00F60B11">
        <w:trPr>
          <w:trHeight w:val="284"/>
        </w:trPr>
        <w:tc>
          <w:tcPr>
            <w:tcW w:w="1224" w:type="pct"/>
            <w:vAlign w:val="center"/>
          </w:tcPr>
          <w:p w14:paraId="0C31B60D"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Falco tinnunculus</w:t>
            </w:r>
          </w:p>
        </w:tc>
        <w:tc>
          <w:tcPr>
            <w:tcW w:w="1304" w:type="pct"/>
            <w:vAlign w:val="center"/>
          </w:tcPr>
          <w:p w14:paraId="6A21CA1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Common Kestrel</w:t>
            </w:r>
          </w:p>
        </w:tc>
        <w:tc>
          <w:tcPr>
            <w:tcW w:w="824" w:type="pct"/>
            <w:vAlign w:val="center"/>
          </w:tcPr>
          <w:p w14:paraId="2D53BFF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0F8ED4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68B3A89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42F7A0ED" w14:textId="77777777" w:rsidTr="00F60B11">
        <w:trPr>
          <w:trHeight w:val="284"/>
        </w:trPr>
        <w:tc>
          <w:tcPr>
            <w:tcW w:w="1224" w:type="pct"/>
            <w:vAlign w:val="center"/>
          </w:tcPr>
          <w:p w14:paraId="0FECBD4C"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t>Fringillidae</w:t>
            </w:r>
          </w:p>
        </w:tc>
        <w:tc>
          <w:tcPr>
            <w:tcW w:w="1304" w:type="pct"/>
            <w:vAlign w:val="center"/>
          </w:tcPr>
          <w:p w14:paraId="0826B9A5"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50ACA8C9"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AD4098E"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37F3A99"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7539E31D" w14:textId="77777777" w:rsidTr="00F60B11">
        <w:trPr>
          <w:trHeight w:val="284"/>
        </w:trPr>
        <w:tc>
          <w:tcPr>
            <w:tcW w:w="1224" w:type="pct"/>
            <w:vAlign w:val="center"/>
          </w:tcPr>
          <w:p w14:paraId="30E5776B"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Carduelis carduelis</w:t>
            </w:r>
          </w:p>
        </w:tc>
        <w:tc>
          <w:tcPr>
            <w:tcW w:w="1304" w:type="pct"/>
            <w:vAlign w:val="center"/>
          </w:tcPr>
          <w:p w14:paraId="6E231D1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European Goldfinch</w:t>
            </w:r>
          </w:p>
        </w:tc>
        <w:tc>
          <w:tcPr>
            <w:tcW w:w="824" w:type="pct"/>
            <w:vAlign w:val="center"/>
          </w:tcPr>
          <w:p w14:paraId="5420A1D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2ECEFC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56B83E4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CB053AD" w14:textId="77777777" w:rsidTr="00F60B11">
        <w:trPr>
          <w:trHeight w:val="284"/>
        </w:trPr>
        <w:tc>
          <w:tcPr>
            <w:tcW w:w="1224" w:type="pct"/>
            <w:vAlign w:val="center"/>
          </w:tcPr>
          <w:p w14:paraId="48CABEA7"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Chloris chloris</w:t>
            </w:r>
          </w:p>
        </w:tc>
        <w:tc>
          <w:tcPr>
            <w:tcW w:w="1304" w:type="pct"/>
            <w:vAlign w:val="center"/>
          </w:tcPr>
          <w:p w14:paraId="2500F4E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European Greenfinch</w:t>
            </w:r>
          </w:p>
        </w:tc>
        <w:tc>
          <w:tcPr>
            <w:tcW w:w="824" w:type="pct"/>
            <w:vAlign w:val="center"/>
          </w:tcPr>
          <w:p w14:paraId="30BFC21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4784EDF4"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51A9731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23C3AC13" w14:textId="77777777" w:rsidTr="00F60B11">
        <w:trPr>
          <w:trHeight w:val="284"/>
        </w:trPr>
        <w:tc>
          <w:tcPr>
            <w:tcW w:w="1224" w:type="pct"/>
            <w:vAlign w:val="center"/>
          </w:tcPr>
          <w:p w14:paraId="43870165"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Fringilla coelebs</w:t>
            </w:r>
          </w:p>
        </w:tc>
        <w:tc>
          <w:tcPr>
            <w:tcW w:w="1304" w:type="pct"/>
            <w:vAlign w:val="center"/>
          </w:tcPr>
          <w:p w14:paraId="2D4D48B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Common Chaffinch</w:t>
            </w:r>
          </w:p>
        </w:tc>
        <w:tc>
          <w:tcPr>
            <w:tcW w:w="824" w:type="pct"/>
            <w:vAlign w:val="center"/>
          </w:tcPr>
          <w:p w14:paraId="08ECA50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984992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6EF40DD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39917D39" w14:textId="77777777" w:rsidTr="00F60B11">
        <w:trPr>
          <w:trHeight w:val="284"/>
        </w:trPr>
        <w:tc>
          <w:tcPr>
            <w:tcW w:w="1224" w:type="pct"/>
            <w:vAlign w:val="center"/>
          </w:tcPr>
          <w:p w14:paraId="24AD2CF2"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Linaria cannabina</w:t>
            </w:r>
          </w:p>
        </w:tc>
        <w:tc>
          <w:tcPr>
            <w:tcW w:w="1304" w:type="pct"/>
            <w:vAlign w:val="center"/>
          </w:tcPr>
          <w:p w14:paraId="22A203C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Common Linnet</w:t>
            </w:r>
          </w:p>
        </w:tc>
        <w:tc>
          <w:tcPr>
            <w:tcW w:w="824" w:type="pct"/>
            <w:vAlign w:val="center"/>
          </w:tcPr>
          <w:p w14:paraId="3C7898A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986107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2731B8F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4E79EF80" w14:textId="77777777" w:rsidTr="00F60B11">
        <w:trPr>
          <w:trHeight w:val="284"/>
        </w:trPr>
        <w:tc>
          <w:tcPr>
            <w:tcW w:w="1224" w:type="pct"/>
            <w:vAlign w:val="center"/>
          </w:tcPr>
          <w:p w14:paraId="1D7DD4F7"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Serinus pusillus</w:t>
            </w:r>
          </w:p>
        </w:tc>
        <w:tc>
          <w:tcPr>
            <w:tcW w:w="1304" w:type="pct"/>
            <w:vAlign w:val="center"/>
          </w:tcPr>
          <w:p w14:paraId="7F5FD8B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Red-fronted Serin</w:t>
            </w:r>
          </w:p>
        </w:tc>
        <w:tc>
          <w:tcPr>
            <w:tcW w:w="824" w:type="pct"/>
            <w:vAlign w:val="center"/>
          </w:tcPr>
          <w:p w14:paraId="1B0A3EF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31EA36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796FBB8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17A92236" w14:textId="77777777" w:rsidTr="00F60B11">
        <w:trPr>
          <w:trHeight w:val="284"/>
        </w:trPr>
        <w:tc>
          <w:tcPr>
            <w:tcW w:w="1224" w:type="pct"/>
            <w:vAlign w:val="center"/>
          </w:tcPr>
          <w:p w14:paraId="36E5EA07"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Serinus serinus</w:t>
            </w:r>
          </w:p>
        </w:tc>
        <w:tc>
          <w:tcPr>
            <w:tcW w:w="1304" w:type="pct"/>
            <w:vAlign w:val="center"/>
          </w:tcPr>
          <w:p w14:paraId="2D4FD0E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European Serin</w:t>
            </w:r>
          </w:p>
        </w:tc>
        <w:tc>
          <w:tcPr>
            <w:tcW w:w="824" w:type="pct"/>
            <w:vAlign w:val="center"/>
          </w:tcPr>
          <w:p w14:paraId="6A0F11C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F28E40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EC1460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666CE1C" w14:textId="77777777" w:rsidTr="00F60B11">
        <w:trPr>
          <w:trHeight w:val="284"/>
        </w:trPr>
        <w:tc>
          <w:tcPr>
            <w:tcW w:w="1224" w:type="pct"/>
            <w:vAlign w:val="center"/>
          </w:tcPr>
          <w:p w14:paraId="4E924204"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Spinus spinus</w:t>
            </w:r>
          </w:p>
        </w:tc>
        <w:tc>
          <w:tcPr>
            <w:tcW w:w="1304" w:type="pct"/>
            <w:vAlign w:val="center"/>
          </w:tcPr>
          <w:p w14:paraId="5BFB697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Eurasian Siskin</w:t>
            </w:r>
          </w:p>
        </w:tc>
        <w:tc>
          <w:tcPr>
            <w:tcW w:w="824" w:type="pct"/>
            <w:vAlign w:val="center"/>
          </w:tcPr>
          <w:p w14:paraId="570A0E8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7DBA35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015FBB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166E1B56" w14:textId="77777777" w:rsidTr="00F60B11">
        <w:trPr>
          <w:trHeight w:val="284"/>
        </w:trPr>
        <w:tc>
          <w:tcPr>
            <w:tcW w:w="1224" w:type="pct"/>
            <w:vAlign w:val="center"/>
          </w:tcPr>
          <w:p w14:paraId="10FDE337"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t>Hirundinidae</w:t>
            </w:r>
          </w:p>
        </w:tc>
        <w:tc>
          <w:tcPr>
            <w:tcW w:w="1304" w:type="pct"/>
            <w:vAlign w:val="center"/>
          </w:tcPr>
          <w:p w14:paraId="77026A54"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32B5FEF2"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B024915"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71BA62D3"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53060BAF" w14:textId="77777777" w:rsidTr="00F60B11">
        <w:trPr>
          <w:trHeight w:val="284"/>
        </w:trPr>
        <w:tc>
          <w:tcPr>
            <w:tcW w:w="1224" w:type="pct"/>
            <w:vAlign w:val="center"/>
          </w:tcPr>
          <w:p w14:paraId="191B6E43" w14:textId="77777777" w:rsidR="00DC486F" w:rsidRPr="00EE43C6" w:rsidRDefault="00DC486F" w:rsidP="00F60B11">
            <w:pPr>
              <w:spacing w:before="0" w:after="0" w:line="240" w:lineRule="auto"/>
              <w:jc w:val="left"/>
              <w:rPr>
                <w:rFonts w:cs="Arial"/>
                <w:sz w:val="18"/>
                <w:szCs w:val="18"/>
              </w:rPr>
            </w:pPr>
            <w:r w:rsidRPr="00EE43C6">
              <w:rPr>
                <w:rFonts w:eastAsia="Cambria" w:cs="MS Gothic"/>
                <w:i/>
                <w:sz w:val="18"/>
                <w:szCs w:val="18"/>
              </w:rPr>
              <w:t>Hirundo rustica</w:t>
            </w:r>
          </w:p>
        </w:tc>
        <w:tc>
          <w:tcPr>
            <w:tcW w:w="1304" w:type="pct"/>
            <w:vAlign w:val="center"/>
          </w:tcPr>
          <w:p w14:paraId="4C61C6C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Barn Swallow</w:t>
            </w:r>
          </w:p>
        </w:tc>
        <w:tc>
          <w:tcPr>
            <w:tcW w:w="824" w:type="pct"/>
            <w:vAlign w:val="center"/>
          </w:tcPr>
          <w:p w14:paraId="5E1369E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9D1AF5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6C3F49F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1C429C64" w:rsidRPr="00EE43C6" w14:paraId="4B71B6A3" w14:textId="77777777" w:rsidTr="00F60B11">
        <w:trPr>
          <w:trHeight w:val="284"/>
        </w:trPr>
        <w:tc>
          <w:tcPr>
            <w:tcW w:w="1224" w:type="pct"/>
            <w:vAlign w:val="center"/>
          </w:tcPr>
          <w:p w14:paraId="54C6DA17" w14:textId="6CD56FE2" w:rsidR="515949DE" w:rsidRPr="00EE43C6" w:rsidRDefault="515949DE" w:rsidP="00F60B11">
            <w:pPr>
              <w:spacing w:before="0" w:after="0" w:line="240" w:lineRule="auto"/>
              <w:jc w:val="left"/>
              <w:rPr>
                <w:rFonts w:eastAsia="Arial" w:cs="Arial"/>
                <w:sz w:val="18"/>
                <w:szCs w:val="18"/>
              </w:rPr>
            </w:pPr>
            <w:r w:rsidRPr="00EE43C6">
              <w:rPr>
                <w:rFonts w:eastAsia="Arial" w:cs="Arial"/>
                <w:sz w:val="18"/>
                <w:szCs w:val="18"/>
              </w:rPr>
              <w:t>Riparia riparia</w:t>
            </w:r>
          </w:p>
        </w:tc>
        <w:tc>
          <w:tcPr>
            <w:tcW w:w="1304" w:type="pct"/>
            <w:vAlign w:val="center"/>
          </w:tcPr>
          <w:p w14:paraId="3FDF01F3" w14:textId="3CC78DE1" w:rsidR="515949DE" w:rsidRPr="00EE43C6" w:rsidRDefault="515949DE" w:rsidP="00F60B11">
            <w:pPr>
              <w:spacing w:before="0" w:after="0" w:line="240" w:lineRule="auto"/>
              <w:jc w:val="center"/>
            </w:pPr>
            <w:r w:rsidRPr="00EE43C6">
              <w:rPr>
                <w:rFonts w:eastAsia="Arial" w:cs="Arial"/>
                <w:sz w:val="18"/>
                <w:szCs w:val="18"/>
              </w:rPr>
              <w:t>Sand martin</w:t>
            </w:r>
          </w:p>
        </w:tc>
        <w:tc>
          <w:tcPr>
            <w:tcW w:w="824" w:type="pct"/>
            <w:vAlign w:val="center"/>
          </w:tcPr>
          <w:p w14:paraId="33670983" w14:textId="1303731F" w:rsidR="515949DE" w:rsidRPr="00EE43C6" w:rsidRDefault="515949DE"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C201579" w14:textId="181628D1" w:rsidR="515949DE" w:rsidRPr="00EE43C6" w:rsidRDefault="515949DE"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54438ADD" w14:textId="170B16A8" w:rsidR="515949DE" w:rsidRPr="00EE43C6" w:rsidRDefault="515949DE"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573C651D" w14:textId="77777777" w:rsidTr="00F60B11">
        <w:trPr>
          <w:trHeight w:val="284"/>
        </w:trPr>
        <w:tc>
          <w:tcPr>
            <w:tcW w:w="1224" w:type="pct"/>
            <w:vAlign w:val="center"/>
          </w:tcPr>
          <w:p w14:paraId="29FB08D3"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b/>
                <w:sz w:val="18"/>
                <w:szCs w:val="18"/>
              </w:rPr>
              <w:t>Laniidae</w:t>
            </w:r>
          </w:p>
        </w:tc>
        <w:tc>
          <w:tcPr>
            <w:tcW w:w="1304" w:type="pct"/>
            <w:vAlign w:val="center"/>
          </w:tcPr>
          <w:p w14:paraId="1E8E4EBC"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546F5218"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4DAD4DB7"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C8B4E02"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0B2D7BF4" w14:textId="77777777" w:rsidTr="00F60B11">
        <w:trPr>
          <w:trHeight w:val="284"/>
        </w:trPr>
        <w:tc>
          <w:tcPr>
            <w:tcW w:w="1224" w:type="pct"/>
            <w:vAlign w:val="center"/>
          </w:tcPr>
          <w:p w14:paraId="42FFE0D4"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Lanius collurio</w:t>
            </w:r>
          </w:p>
        </w:tc>
        <w:tc>
          <w:tcPr>
            <w:tcW w:w="1304" w:type="pct"/>
            <w:vAlign w:val="center"/>
          </w:tcPr>
          <w:p w14:paraId="6D60EFF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Red-backed Shrike</w:t>
            </w:r>
          </w:p>
        </w:tc>
        <w:tc>
          <w:tcPr>
            <w:tcW w:w="824" w:type="pct"/>
            <w:vAlign w:val="center"/>
          </w:tcPr>
          <w:p w14:paraId="3AE1E2F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6CD05A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25ED56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5F8100D1" w14:textId="77777777" w:rsidTr="00F60B11">
        <w:trPr>
          <w:trHeight w:val="284"/>
        </w:trPr>
        <w:tc>
          <w:tcPr>
            <w:tcW w:w="1224" w:type="pct"/>
            <w:vAlign w:val="center"/>
          </w:tcPr>
          <w:p w14:paraId="6AF90792"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Lanius minor</w:t>
            </w:r>
          </w:p>
        </w:tc>
        <w:tc>
          <w:tcPr>
            <w:tcW w:w="1304" w:type="pct"/>
            <w:vAlign w:val="center"/>
          </w:tcPr>
          <w:p w14:paraId="6EA46B4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Lesser Grey Shrike</w:t>
            </w:r>
          </w:p>
        </w:tc>
        <w:tc>
          <w:tcPr>
            <w:tcW w:w="824" w:type="pct"/>
            <w:vAlign w:val="center"/>
          </w:tcPr>
          <w:p w14:paraId="34B39E04"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9C1CD9A" w14:textId="138D363A" w:rsidR="00DC486F" w:rsidRPr="00EE43C6" w:rsidRDefault="002748D8" w:rsidP="00F60B11">
            <w:pPr>
              <w:spacing w:before="0" w:after="0" w:line="240" w:lineRule="auto"/>
              <w:jc w:val="center"/>
              <w:rPr>
                <w:rFonts w:eastAsia="Cambria" w:cs="MS Gothic"/>
                <w:sz w:val="18"/>
                <w:szCs w:val="18"/>
              </w:rPr>
            </w:pPr>
            <w:r w:rsidRPr="00EE43C6">
              <w:rPr>
                <w:rFonts w:eastAsia="Cambria" w:cs="Arial"/>
                <w:sz w:val="18"/>
                <w:szCs w:val="18"/>
              </w:rPr>
              <w:t>LC</w:t>
            </w:r>
          </w:p>
        </w:tc>
        <w:tc>
          <w:tcPr>
            <w:tcW w:w="824" w:type="pct"/>
            <w:vAlign w:val="center"/>
          </w:tcPr>
          <w:p w14:paraId="4AF9781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4B0EFC55" w14:textId="77777777" w:rsidTr="00F60B11">
        <w:trPr>
          <w:trHeight w:val="284"/>
        </w:trPr>
        <w:tc>
          <w:tcPr>
            <w:tcW w:w="1224" w:type="pct"/>
            <w:vAlign w:val="center"/>
          </w:tcPr>
          <w:p w14:paraId="7309326E"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Lanius nubicus</w:t>
            </w:r>
          </w:p>
        </w:tc>
        <w:tc>
          <w:tcPr>
            <w:tcW w:w="1304" w:type="pct"/>
            <w:vAlign w:val="center"/>
          </w:tcPr>
          <w:p w14:paraId="42E0A45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Masked Shrike</w:t>
            </w:r>
          </w:p>
        </w:tc>
        <w:tc>
          <w:tcPr>
            <w:tcW w:w="824" w:type="pct"/>
            <w:vAlign w:val="center"/>
          </w:tcPr>
          <w:p w14:paraId="3F0E6E1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7A2F85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21E2F7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2E7CC464" w14:textId="77777777" w:rsidTr="00F60B11">
        <w:trPr>
          <w:trHeight w:val="284"/>
        </w:trPr>
        <w:tc>
          <w:tcPr>
            <w:tcW w:w="1224" w:type="pct"/>
            <w:vAlign w:val="center"/>
          </w:tcPr>
          <w:p w14:paraId="18F33381"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b/>
                <w:sz w:val="18"/>
                <w:szCs w:val="18"/>
              </w:rPr>
              <w:t>Meropidae</w:t>
            </w:r>
          </w:p>
        </w:tc>
        <w:tc>
          <w:tcPr>
            <w:tcW w:w="1304" w:type="pct"/>
            <w:vAlign w:val="center"/>
          </w:tcPr>
          <w:p w14:paraId="450BA18C"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6A414ED9"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667AD69D"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1882193"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181F70C7" w14:textId="77777777" w:rsidTr="00F60B11">
        <w:trPr>
          <w:trHeight w:val="284"/>
        </w:trPr>
        <w:tc>
          <w:tcPr>
            <w:tcW w:w="1224" w:type="pct"/>
            <w:vAlign w:val="center"/>
          </w:tcPr>
          <w:p w14:paraId="03870ED1" w14:textId="77777777" w:rsidR="00DC486F" w:rsidRPr="00EE43C6" w:rsidRDefault="00DC486F" w:rsidP="00F60B11">
            <w:pPr>
              <w:spacing w:before="0" w:after="0" w:line="240" w:lineRule="auto"/>
              <w:jc w:val="left"/>
              <w:rPr>
                <w:rFonts w:cs="Arial"/>
                <w:sz w:val="18"/>
                <w:szCs w:val="18"/>
              </w:rPr>
            </w:pPr>
            <w:r w:rsidRPr="00EE43C6">
              <w:rPr>
                <w:rFonts w:eastAsia="Cambria" w:cs="MS Gothic"/>
                <w:i/>
                <w:sz w:val="18"/>
                <w:szCs w:val="18"/>
              </w:rPr>
              <w:t>Merops apiaster</w:t>
            </w:r>
          </w:p>
        </w:tc>
        <w:tc>
          <w:tcPr>
            <w:tcW w:w="1304" w:type="pct"/>
            <w:vAlign w:val="center"/>
          </w:tcPr>
          <w:p w14:paraId="6F501D4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European Bee-eater</w:t>
            </w:r>
          </w:p>
        </w:tc>
        <w:tc>
          <w:tcPr>
            <w:tcW w:w="824" w:type="pct"/>
            <w:vAlign w:val="center"/>
          </w:tcPr>
          <w:p w14:paraId="6F7FECD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9AE731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5481F1A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2E411C27" w14:textId="77777777" w:rsidTr="00F60B11">
        <w:trPr>
          <w:trHeight w:val="284"/>
        </w:trPr>
        <w:tc>
          <w:tcPr>
            <w:tcW w:w="1224" w:type="pct"/>
            <w:vAlign w:val="center"/>
          </w:tcPr>
          <w:p w14:paraId="09363A1E"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lastRenderedPageBreak/>
              <w:t>Motacillidae</w:t>
            </w:r>
          </w:p>
        </w:tc>
        <w:tc>
          <w:tcPr>
            <w:tcW w:w="1304" w:type="pct"/>
            <w:vAlign w:val="center"/>
          </w:tcPr>
          <w:p w14:paraId="006050BE"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A063336"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2AE75C36"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8C95150"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3B073CAF" w14:textId="77777777" w:rsidTr="00F60B11">
        <w:trPr>
          <w:trHeight w:val="284"/>
        </w:trPr>
        <w:tc>
          <w:tcPr>
            <w:tcW w:w="1224" w:type="pct"/>
            <w:vAlign w:val="center"/>
          </w:tcPr>
          <w:p w14:paraId="12E1DB33"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Anthus campestris</w:t>
            </w:r>
          </w:p>
        </w:tc>
        <w:tc>
          <w:tcPr>
            <w:tcW w:w="1304" w:type="pct"/>
            <w:vAlign w:val="center"/>
          </w:tcPr>
          <w:p w14:paraId="7DA2F93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Tawny Pipit</w:t>
            </w:r>
          </w:p>
        </w:tc>
        <w:tc>
          <w:tcPr>
            <w:tcW w:w="824" w:type="pct"/>
            <w:vAlign w:val="center"/>
          </w:tcPr>
          <w:p w14:paraId="7040D38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2006214"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63BF400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5889827D" w14:textId="77777777" w:rsidTr="00F60B11">
        <w:trPr>
          <w:trHeight w:val="284"/>
        </w:trPr>
        <w:tc>
          <w:tcPr>
            <w:tcW w:w="1224" w:type="pct"/>
            <w:vAlign w:val="center"/>
          </w:tcPr>
          <w:p w14:paraId="1FAFD9A5"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Anthus pratensis</w:t>
            </w:r>
          </w:p>
        </w:tc>
        <w:tc>
          <w:tcPr>
            <w:tcW w:w="1304" w:type="pct"/>
            <w:vAlign w:val="center"/>
          </w:tcPr>
          <w:p w14:paraId="383D612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Meadow Pipit</w:t>
            </w:r>
          </w:p>
        </w:tc>
        <w:tc>
          <w:tcPr>
            <w:tcW w:w="824" w:type="pct"/>
            <w:vAlign w:val="center"/>
          </w:tcPr>
          <w:p w14:paraId="25C45F8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991490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55AC92D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3EC0066C" w14:textId="77777777" w:rsidTr="00F60B11">
        <w:trPr>
          <w:trHeight w:val="284"/>
        </w:trPr>
        <w:tc>
          <w:tcPr>
            <w:tcW w:w="1224" w:type="pct"/>
            <w:vAlign w:val="center"/>
          </w:tcPr>
          <w:p w14:paraId="2E5FED72"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Anthus spinoletta</w:t>
            </w:r>
          </w:p>
        </w:tc>
        <w:tc>
          <w:tcPr>
            <w:tcW w:w="1304" w:type="pct"/>
            <w:vAlign w:val="center"/>
          </w:tcPr>
          <w:p w14:paraId="312507C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Water Pipit</w:t>
            </w:r>
          </w:p>
        </w:tc>
        <w:tc>
          <w:tcPr>
            <w:tcW w:w="824" w:type="pct"/>
            <w:vAlign w:val="center"/>
          </w:tcPr>
          <w:p w14:paraId="74A9380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AD8899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0224BB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1BE7E3A" w14:textId="77777777" w:rsidTr="00F60B11">
        <w:trPr>
          <w:trHeight w:val="284"/>
        </w:trPr>
        <w:tc>
          <w:tcPr>
            <w:tcW w:w="1224" w:type="pct"/>
            <w:vAlign w:val="center"/>
          </w:tcPr>
          <w:p w14:paraId="67C32DA2"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Motacilla alba</w:t>
            </w:r>
          </w:p>
        </w:tc>
        <w:tc>
          <w:tcPr>
            <w:tcW w:w="1304" w:type="pct"/>
            <w:vAlign w:val="center"/>
          </w:tcPr>
          <w:p w14:paraId="45BA844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White Wagtail</w:t>
            </w:r>
          </w:p>
        </w:tc>
        <w:tc>
          <w:tcPr>
            <w:tcW w:w="824" w:type="pct"/>
            <w:vAlign w:val="center"/>
          </w:tcPr>
          <w:p w14:paraId="1F709AB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DED186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BCF10A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57023D4D" w14:textId="77777777" w:rsidTr="00F60B11">
        <w:trPr>
          <w:trHeight w:val="284"/>
        </w:trPr>
        <w:tc>
          <w:tcPr>
            <w:tcW w:w="1224" w:type="pct"/>
            <w:vAlign w:val="center"/>
          </w:tcPr>
          <w:p w14:paraId="63FD73AD"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Motacilla cinerea</w:t>
            </w:r>
          </w:p>
        </w:tc>
        <w:tc>
          <w:tcPr>
            <w:tcW w:w="1304" w:type="pct"/>
            <w:vAlign w:val="center"/>
          </w:tcPr>
          <w:p w14:paraId="0D4B905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Grey Wagtail</w:t>
            </w:r>
          </w:p>
        </w:tc>
        <w:tc>
          <w:tcPr>
            <w:tcW w:w="824" w:type="pct"/>
            <w:vAlign w:val="center"/>
          </w:tcPr>
          <w:p w14:paraId="26EC061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47B2363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1AD7772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54A3A350" w14:textId="77777777" w:rsidTr="00F60B11">
        <w:trPr>
          <w:trHeight w:val="284"/>
        </w:trPr>
        <w:tc>
          <w:tcPr>
            <w:tcW w:w="1224" w:type="pct"/>
            <w:vAlign w:val="center"/>
          </w:tcPr>
          <w:p w14:paraId="0BF686AC"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Motacilla flava</w:t>
            </w:r>
          </w:p>
        </w:tc>
        <w:tc>
          <w:tcPr>
            <w:tcW w:w="1304" w:type="pct"/>
            <w:vAlign w:val="center"/>
          </w:tcPr>
          <w:p w14:paraId="0B9923D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Western Yellow Wagtail</w:t>
            </w:r>
          </w:p>
        </w:tc>
        <w:tc>
          <w:tcPr>
            <w:tcW w:w="824" w:type="pct"/>
            <w:vAlign w:val="center"/>
          </w:tcPr>
          <w:p w14:paraId="0D00C12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0FECB0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79BFF84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AE61488" w14:textId="77777777" w:rsidTr="00F60B11">
        <w:trPr>
          <w:trHeight w:val="284"/>
        </w:trPr>
        <w:tc>
          <w:tcPr>
            <w:tcW w:w="1224" w:type="pct"/>
            <w:vAlign w:val="center"/>
          </w:tcPr>
          <w:p w14:paraId="24BD1BD7"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t>Muscicapidae</w:t>
            </w:r>
          </w:p>
        </w:tc>
        <w:tc>
          <w:tcPr>
            <w:tcW w:w="1304" w:type="pct"/>
            <w:vAlign w:val="center"/>
          </w:tcPr>
          <w:p w14:paraId="05E1D08A"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4309F1E9"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6F923ED3"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588113EB"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2EA5DFE8" w14:textId="77777777" w:rsidTr="00F60B11">
        <w:trPr>
          <w:trHeight w:val="284"/>
        </w:trPr>
        <w:tc>
          <w:tcPr>
            <w:tcW w:w="1224" w:type="pct"/>
            <w:vAlign w:val="center"/>
          </w:tcPr>
          <w:p w14:paraId="17AE9068"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Cercotrichas galactotes</w:t>
            </w:r>
          </w:p>
        </w:tc>
        <w:tc>
          <w:tcPr>
            <w:tcW w:w="1304" w:type="pct"/>
            <w:vAlign w:val="center"/>
          </w:tcPr>
          <w:p w14:paraId="1EE6A7F2" w14:textId="2B660432"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Rufous-tailed Scrub-robin</w:t>
            </w:r>
          </w:p>
        </w:tc>
        <w:tc>
          <w:tcPr>
            <w:tcW w:w="824" w:type="pct"/>
            <w:vAlign w:val="center"/>
          </w:tcPr>
          <w:p w14:paraId="11C5B14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82FAE4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83D31A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1F3D1A93" w14:textId="77777777" w:rsidTr="00F60B11">
        <w:trPr>
          <w:trHeight w:val="284"/>
        </w:trPr>
        <w:tc>
          <w:tcPr>
            <w:tcW w:w="1224" w:type="pct"/>
            <w:vAlign w:val="center"/>
          </w:tcPr>
          <w:p w14:paraId="2C8B88C5"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Erithacus rubecula</w:t>
            </w:r>
          </w:p>
        </w:tc>
        <w:tc>
          <w:tcPr>
            <w:tcW w:w="1304" w:type="pct"/>
            <w:vAlign w:val="center"/>
          </w:tcPr>
          <w:p w14:paraId="000ABDF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European Robin</w:t>
            </w:r>
          </w:p>
        </w:tc>
        <w:tc>
          <w:tcPr>
            <w:tcW w:w="824" w:type="pct"/>
            <w:vAlign w:val="center"/>
          </w:tcPr>
          <w:p w14:paraId="372682C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B72C74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5D54F4B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BF5EDDF" w14:textId="77777777" w:rsidTr="00F60B11">
        <w:trPr>
          <w:trHeight w:val="284"/>
        </w:trPr>
        <w:tc>
          <w:tcPr>
            <w:tcW w:w="1224" w:type="pct"/>
            <w:vAlign w:val="center"/>
          </w:tcPr>
          <w:p w14:paraId="06314A2E"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Ficedula semitorquata</w:t>
            </w:r>
          </w:p>
        </w:tc>
        <w:tc>
          <w:tcPr>
            <w:tcW w:w="1304" w:type="pct"/>
            <w:vAlign w:val="center"/>
          </w:tcPr>
          <w:p w14:paraId="2BF772D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Semi-collared Flycatcher</w:t>
            </w:r>
          </w:p>
        </w:tc>
        <w:tc>
          <w:tcPr>
            <w:tcW w:w="824" w:type="pct"/>
            <w:vAlign w:val="center"/>
          </w:tcPr>
          <w:p w14:paraId="4EFDA1C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334634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BD16AA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2C6314F8" w14:textId="77777777" w:rsidTr="00F60B11">
        <w:trPr>
          <w:trHeight w:val="284"/>
        </w:trPr>
        <w:tc>
          <w:tcPr>
            <w:tcW w:w="1224" w:type="pct"/>
            <w:vAlign w:val="center"/>
          </w:tcPr>
          <w:p w14:paraId="54B3765A"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Luscinia megarhynchos</w:t>
            </w:r>
          </w:p>
        </w:tc>
        <w:tc>
          <w:tcPr>
            <w:tcW w:w="1304" w:type="pct"/>
            <w:vAlign w:val="center"/>
          </w:tcPr>
          <w:p w14:paraId="03D03BB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Common Nightingale</w:t>
            </w:r>
          </w:p>
        </w:tc>
        <w:tc>
          <w:tcPr>
            <w:tcW w:w="824" w:type="pct"/>
            <w:vAlign w:val="center"/>
          </w:tcPr>
          <w:p w14:paraId="6690310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44B5A6F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7D25DB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5CC92E5" w14:textId="77777777" w:rsidTr="00F60B11">
        <w:trPr>
          <w:trHeight w:val="284"/>
        </w:trPr>
        <w:tc>
          <w:tcPr>
            <w:tcW w:w="1224" w:type="pct"/>
            <w:vAlign w:val="center"/>
          </w:tcPr>
          <w:p w14:paraId="70284ADA"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Luscinia svecica</w:t>
            </w:r>
          </w:p>
        </w:tc>
        <w:tc>
          <w:tcPr>
            <w:tcW w:w="1304" w:type="pct"/>
            <w:vAlign w:val="center"/>
          </w:tcPr>
          <w:p w14:paraId="54CC8874"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Bluethroat</w:t>
            </w:r>
          </w:p>
        </w:tc>
        <w:tc>
          <w:tcPr>
            <w:tcW w:w="824" w:type="pct"/>
            <w:vAlign w:val="center"/>
          </w:tcPr>
          <w:p w14:paraId="459B9C5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DC9730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44F6B1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3451061A" w14:textId="77777777" w:rsidTr="00F60B11">
        <w:trPr>
          <w:trHeight w:val="284"/>
        </w:trPr>
        <w:tc>
          <w:tcPr>
            <w:tcW w:w="1224" w:type="pct"/>
            <w:vAlign w:val="center"/>
          </w:tcPr>
          <w:p w14:paraId="742C3BD9"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Monticola saxatilis</w:t>
            </w:r>
          </w:p>
        </w:tc>
        <w:tc>
          <w:tcPr>
            <w:tcW w:w="1304" w:type="pct"/>
            <w:vAlign w:val="center"/>
          </w:tcPr>
          <w:p w14:paraId="6000D9C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Rufous-tailed Rock-thrush</w:t>
            </w:r>
          </w:p>
        </w:tc>
        <w:tc>
          <w:tcPr>
            <w:tcW w:w="824" w:type="pct"/>
            <w:vAlign w:val="center"/>
          </w:tcPr>
          <w:p w14:paraId="1BB0BC4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633E714"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7034CAB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15788FAB" w14:textId="77777777" w:rsidTr="00F60B11">
        <w:trPr>
          <w:trHeight w:val="284"/>
        </w:trPr>
        <w:tc>
          <w:tcPr>
            <w:tcW w:w="1224" w:type="pct"/>
            <w:vAlign w:val="center"/>
          </w:tcPr>
          <w:p w14:paraId="2363DB9A"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Monticola solitarius</w:t>
            </w:r>
          </w:p>
        </w:tc>
        <w:tc>
          <w:tcPr>
            <w:tcW w:w="1304" w:type="pct"/>
            <w:vAlign w:val="center"/>
          </w:tcPr>
          <w:p w14:paraId="48EC79B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Blue Rock-thrush</w:t>
            </w:r>
          </w:p>
        </w:tc>
        <w:tc>
          <w:tcPr>
            <w:tcW w:w="824" w:type="pct"/>
            <w:vAlign w:val="center"/>
          </w:tcPr>
          <w:p w14:paraId="330621F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D52F62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2BADB3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3F340307" w14:textId="77777777" w:rsidTr="00F60B11">
        <w:trPr>
          <w:trHeight w:val="284"/>
        </w:trPr>
        <w:tc>
          <w:tcPr>
            <w:tcW w:w="1224" w:type="pct"/>
            <w:vAlign w:val="center"/>
          </w:tcPr>
          <w:p w14:paraId="4D2C5FEC"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Muscicapa striata</w:t>
            </w:r>
          </w:p>
        </w:tc>
        <w:tc>
          <w:tcPr>
            <w:tcW w:w="1304" w:type="pct"/>
            <w:vAlign w:val="center"/>
          </w:tcPr>
          <w:p w14:paraId="3A68C18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Spotted Flycatcher</w:t>
            </w:r>
          </w:p>
        </w:tc>
        <w:tc>
          <w:tcPr>
            <w:tcW w:w="824" w:type="pct"/>
            <w:vAlign w:val="center"/>
          </w:tcPr>
          <w:p w14:paraId="5FD5BF0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60F092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29DDDB5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54A0AFB3" w14:textId="77777777" w:rsidTr="00F60B11">
        <w:trPr>
          <w:trHeight w:val="284"/>
        </w:trPr>
        <w:tc>
          <w:tcPr>
            <w:tcW w:w="1224" w:type="pct"/>
            <w:vAlign w:val="center"/>
          </w:tcPr>
          <w:p w14:paraId="4964F165"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Oenanthe cypriaca</w:t>
            </w:r>
          </w:p>
        </w:tc>
        <w:tc>
          <w:tcPr>
            <w:tcW w:w="1304" w:type="pct"/>
            <w:vAlign w:val="center"/>
          </w:tcPr>
          <w:p w14:paraId="408D7EF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Cyprus Wheatear</w:t>
            </w:r>
          </w:p>
        </w:tc>
        <w:tc>
          <w:tcPr>
            <w:tcW w:w="824" w:type="pct"/>
            <w:vAlign w:val="center"/>
          </w:tcPr>
          <w:p w14:paraId="0F4CAA5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B2E9E1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1672FEA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7D26E209" w14:textId="77777777" w:rsidTr="00F60B11">
        <w:trPr>
          <w:trHeight w:val="284"/>
        </w:trPr>
        <w:tc>
          <w:tcPr>
            <w:tcW w:w="1224" w:type="pct"/>
            <w:vAlign w:val="center"/>
          </w:tcPr>
          <w:p w14:paraId="33814E1B"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Oenanthe finschii</w:t>
            </w:r>
          </w:p>
        </w:tc>
        <w:tc>
          <w:tcPr>
            <w:tcW w:w="1304" w:type="pct"/>
            <w:vAlign w:val="center"/>
          </w:tcPr>
          <w:p w14:paraId="029E20C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Finsch’s Wheatear</w:t>
            </w:r>
          </w:p>
        </w:tc>
        <w:tc>
          <w:tcPr>
            <w:tcW w:w="824" w:type="pct"/>
            <w:vAlign w:val="center"/>
          </w:tcPr>
          <w:p w14:paraId="075B2F6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036717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53ABB40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73AD32C" w14:textId="77777777" w:rsidTr="00F60B11">
        <w:trPr>
          <w:trHeight w:val="284"/>
        </w:trPr>
        <w:tc>
          <w:tcPr>
            <w:tcW w:w="1224" w:type="pct"/>
            <w:vAlign w:val="center"/>
          </w:tcPr>
          <w:p w14:paraId="57BA5D84"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Oenanthe hispanica</w:t>
            </w:r>
          </w:p>
        </w:tc>
        <w:tc>
          <w:tcPr>
            <w:tcW w:w="1304" w:type="pct"/>
            <w:vAlign w:val="center"/>
          </w:tcPr>
          <w:p w14:paraId="23A280A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Black-eared Wheatear</w:t>
            </w:r>
          </w:p>
        </w:tc>
        <w:tc>
          <w:tcPr>
            <w:tcW w:w="824" w:type="pct"/>
            <w:vAlign w:val="center"/>
          </w:tcPr>
          <w:p w14:paraId="2C2F19A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5F80D5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82464C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1BC2EC3" w14:textId="77777777" w:rsidTr="00F60B11">
        <w:trPr>
          <w:trHeight w:val="284"/>
        </w:trPr>
        <w:tc>
          <w:tcPr>
            <w:tcW w:w="1224" w:type="pct"/>
            <w:vAlign w:val="center"/>
          </w:tcPr>
          <w:p w14:paraId="56C4379E"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Oenanthe isabellina</w:t>
            </w:r>
          </w:p>
        </w:tc>
        <w:tc>
          <w:tcPr>
            <w:tcW w:w="1304" w:type="pct"/>
            <w:vAlign w:val="center"/>
          </w:tcPr>
          <w:p w14:paraId="4096932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Isabelline Wheatear</w:t>
            </w:r>
          </w:p>
        </w:tc>
        <w:tc>
          <w:tcPr>
            <w:tcW w:w="824" w:type="pct"/>
            <w:vAlign w:val="center"/>
          </w:tcPr>
          <w:p w14:paraId="6B98D29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0D4530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C833CB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0D9ADD3F" w14:textId="77777777" w:rsidTr="00F60B11">
        <w:trPr>
          <w:trHeight w:val="284"/>
        </w:trPr>
        <w:tc>
          <w:tcPr>
            <w:tcW w:w="1224" w:type="pct"/>
            <w:vAlign w:val="center"/>
          </w:tcPr>
          <w:p w14:paraId="0B5ACE3A"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Oenanthe oenanthe</w:t>
            </w:r>
          </w:p>
        </w:tc>
        <w:tc>
          <w:tcPr>
            <w:tcW w:w="1304" w:type="pct"/>
            <w:vAlign w:val="center"/>
          </w:tcPr>
          <w:p w14:paraId="35A6435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Northern Wheatear</w:t>
            </w:r>
          </w:p>
        </w:tc>
        <w:tc>
          <w:tcPr>
            <w:tcW w:w="824" w:type="pct"/>
            <w:vAlign w:val="center"/>
          </w:tcPr>
          <w:p w14:paraId="46712F6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F34460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136E681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410A021" w14:textId="77777777" w:rsidTr="00F60B11">
        <w:trPr>
          <w:trHeight w:val="284"/>
        </w:trPr>
        <w:tc>
          <w:tcPr>
            <w:tcW w:w="1224" w:type="pct"/>
            <w:vAlign w:val="center"/>
          </w:tcPr>
          <w:p w14:paraId="09266C8B"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Phoenicurus ochraros</w:t>
            </w:r>
          </w:p>
        </w:tc>
        <w:tc>
          <w:tcPr>
            <w:tcW w:w="1304" w:type="pct"/>
            <w:vAlign w:val="center"/>
          </w:tcPr>
          <w:p w14:paraId="221EBBE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Black Redstart</w:t>
            </w:r>
          </w:p>
        </w:tc>
        <w:tc>
          <w:tcPr>
            <w:tcW w:w="824" w:type="pct"/>
            <w:vAlign w:val="center"/>
          </w:tcPr>
          <w:p w14:paraId="101A871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4BD942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57EAC19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3C1CA81" w14:textId="77777777" w:rsidTr="00F60B11">
        <w:trPr>
          <w:trHeight w:val="284"/>
        </w:trPr>
        <w:tc>
          <w:tcPr>
            <w:tcW w:w="1224" w:type="pct"/>
            <w:vAlign w:val="center"/>
          </w:tcPr>
          <w:p w14:paraId="6CDC04A0"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Phoenicurus phoenicurus</w:t>
            </w:r>
          </w:p>
        </w:tc>
        <w:tc>
          <w:tcPr>
            <w:tcW w:w="1304" w:type="pct"/>
            <w:vAlign w:val="center"/>
          </w:tcPr>
          <w:p w14:paraId="4FAA6AE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Common Redstart</w:t>
            </w:r>
          </w:p>
        </w:tc>
        <w:tc>
          <w:tcPr>
            <w:tcW w:w="824" w:type="pct"/>
            <w:vAlign w:val="center"/>
          </w:tcPr>
          <w:p w14:paraId="57D3243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A2109B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07F03C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76C6157B" w14:textId="77777777" w:rsidTr="00F60B11">
        <w:trPr>
          <w:trHeight w:val="284"/>
        </w:trPr>
        <w:tc>
          <w:tcPr>
            <w:tcW w:w="1224" w:type="pct"/>
            <w:vAlign w:val="center"/>
          </w:tcPr>
          <w:p w14:paraId="1C829A72"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Saxicola rubetra</w:t>
            </w:r>
          </w:p>
        </w:tc>
        <w:tc>
          <w:tcPr>
            <w:tcW w:w="1304" w:type="pct"/>
            <w:vAlign w:val="center"/>
          </w:tcPr>
          <w:p w14:paraId="596BCA4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Whinchat</w:t>
            </w:r>
          </w:p>
        </w:tc>
        <w:tc>
          <w:tcPr>
            <w:tcW w:w="824" w:type="pct"/>
            <w:vAlign w:val="center"/>
          </w:tcPr>
          <w:p w14:paraId="173AD3F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46E3697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1D523B9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2A5889CE" w14:textId="77777777" w:rsidTr="00F60B11">
        <w:trPr>
          <w:trHeight w:val="284"/>
        </w:trPr>
        <w:tc>
          <w:tcPr>
            <w:tcW w:w="1224" w:type="pct"/>
            <w:vAlign w:val="center"/>
          </w:tcPr>
          <w:p w14:paraId="2832FDE8"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Saxicola rubicola</w:t>
            </w:r>
          </w:p>
        </w:tc>
        <w:tc>
          <w:tcPr>
            <w:tcW w:w="1304" w:type="pct"/>
            <w:vAlign w:val="center"/>
          </w:tcPr>
          <w:p w14:paraId="4743684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European Stonechat</w:t>
            </w:r>
          </w:p>
        </w:tc>
        <w:tc>
          <w:tcPr>
            <w:tcW w:w="824" w:type="pct"/>
            <w:vAlign w:val="center"/>
          </w:tcPr>
          <w:p w14:paraId="0003373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66A1C4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FCB03A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560482F8" w14:textId="77777777" w:rsidTr="00F60B11">
        <w:trPr>
          <w:trHeight w:val="284"/>
        </w:trPr>
        <w:tc>
          <w:tcPr>
            <w:tcW w:w="1224" w:type="pct"/>
            <w:vAlign w:val="center"/>
          </w:tcPr>
          <w:p w14:paraId="21AB7B6E"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t>Passeridae</w:t>
            </w:r>
          </w:p>
        </w:tc>
        <w:tc>
          <w:tcPr>
            <w:tcW w:w="1304" w:type="pct"/>
            <w:vAlign w:val="center"/>
          </w:tcPr>
          <w:p w14:paraId="4AAAEB66"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A1589FD"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475B71E5"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A2D46DE"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4E0FFCE9" w14:textId="77777777" w:rsidTr="00F60B11">
        <w:trPr>
          <w:trHeight w:val="284"/>
        </w:trPr>
        <w:tc>
          <w:tcPr>
            <w:tcW w:w="1224" w:type="pct"/>
            <w:vAlign w:val="center"/>
          </w:tcPr>
          <w:p w14:paraId="06215983"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Montifringilla nivalis</w:t>
            </w:r>
          </w:p>
        </w:tc>
        <w:tc>
          <w:tcPr>
            <w:tcW w:w="1304" w:type="pct"/>
            <w:vAlign w:val="center"/>
          </w:tcPr>
          <w:p w14:paraId="48739BE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White-winged Snowfinch</w:t>
            </w:r>
          </w:p>
        </w:tc>
        <w:tc>
          <w:tcPr>
            <w:tcW w:w="824" w:type="pct"/>
            <w:vAlign w:val="center"/>
          </w:tcPr>
          <w:p w14:paraId="1630D84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AE673E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25F89F9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09C638CE" w14:textId="77777777" w:rsidTr="00F60B11">
        <w:trPr>
          <w:trHeight w:val="284"/>
        </w:trPr>
        <w:tc>
          <w:tcPr>
            <w:tcW w:w="1224" w:type="pct"/>
            <w:vAlign w:val="center"/>
          </w:tcPr>
          <w:p w14:paraId="56665D4C"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Passer domesticus</w:t>
            </w:r>
          </w:p>
        </w:tc>
        <w:tc>
          <w:tcPr>
            <w:tcW w:w="1304" w:type="pct"/>
            <w:vAlign w:val="center"/>
          </w:tcPr>
          <w:p w14:paraId="3016009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House Sparrow</w:t>
            </w:r>
          </w:p>
        </w:tc>
        <w:tc>
          <w:tcPr>
            <w:tcW w:w="824" w:type="pct"/>
            <w:vAlign w:val="center"/>
          </w:tcPr>
          <w:p w14:paraId="5722058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4F3B40B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2F2DC40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r>
      <w:tr w:rsidR="00DC486F" w:rsidRPr="00EE43C6" w14:paraId="156DFA88" w14:textId="77777777" w:rsidTr="00F60B11">
        <w:trPr>
          <w:trHeight w:val="284"/>
        </w:trPr>
        <w:tc>
          <w:tcPr>
            <w:tcW w:w="1224" w:type="pct"/>
            <w:vAlign w:val="center"/>
          </w:tcPr>
          <w:p w14:paraId="147DFEC5"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Passer hispaniolensis</w:t>
            </w:r>
          </w:p>
        </w:tc>
        <w:tc>
          <w:tcPr>
            <w:tcW w:w="1304" w:type="pct"/>
            <w:vAlign w:val="center"/>
          </w:tcPr>
          <w:p w14:paraId="40A38D6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Spanish Sparrow</w:t>
            </w:r>
          </w:p>
        </w:tc>
        <w:tc>
          <w:tcPr>
            <w:tcW w:w="824" w:type="pct"/>
            <w:vAlign w:val="center"/>
          </w:tcPr>
          <w:p w14:paraId="5D7581D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002D68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7EC75C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39407E35" w14:textId="77777777" w:rsidTr="00F60B11">
        <w:trPr>
          <w:trHeight w:val="284"/>
        </w:trPr>
        <w:tc>
          <w:tcPr>
            <w:tcW w:w="1224" w:type="pct"/>
            <w:vAlign w:val="center"/>
          </w:tcPr>
          <w:p w14:paraId="3730E20F"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b/>
                <w:sz w:val="18"/>
                <w:szCs w:val="18"/>
              </w:rPr>
              <w:t>Phasianidae</w:t>
            </w:r>
          </w:p>
        </w:tc>
        <w:tc>
          <w:tcPr>
            <w:tcW w:w="1304" w:type="pct"/>
            <w:vAlign w:val="center"/>
          </w:tcPr>
          <w:p w14:paraId="695D3216"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375771A0"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30AED5BA"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3E4A08CD"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7593524A" w14:textId="77777777" w:rsidTr="00F60B11">
        <w:trPr>
          <w:trHeight w:val="284"/>
        </w:trPr>
        <w:tc>
          <w:tcPr>
            <w:tcW w:w="1224" w:type="pct"/>
            <w:vAlign w:val="center"/>
          </w:tcPr>
          <w:p w14:paraId="7A369A02"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Alectoris chukar</w:t>
            </w:r>
          </w:p>
        </w:tc>
        <w:tc>
          <w:tcPr>
            <w:tcW w:w="1304" w:type="pct"/>
            <w:vAlign w:val="center"/>
          </w:tcPr>
          <w:p w14:paraId="1BBF280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Chukar</w:t>
            </w:r>
          </w:p>
        </w:tc>
        <w:tc>
          <w:tcPr>
            <w:tcW w:w="824" w:type="pct"/>
            <w:vAlign w:val="center"/>
          </w:tcPr>
          <w:p w14:paraId="0F6E69C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9DCF91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D4BF21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153F244B" w14:textId="77777777" w:rsidTr="00F60B11">
        <w:trPr>
          <w:trHeight w:val="284"/>
        </w:trPr>
        <w:tc>
          <w:tcPr>
            <w:tcW w:w="1224" w:type="pct"/>
            <w:vAlign w:val="center"/>
          </w:tcPr>
          <w:p w14:paraId="2FC8DD57"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Alectoris graeca</w:t>
            </w:r>
          </w:p>
        </w:tc>
        <w:tc>
          <w:tcPr>
            <w:tcW w:w="1304" w:type="pct"/>
            <w:vAlign w:val="center"/>
          </w:tcPr>
          <w:p w14:paraId="47E0213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Rock Partridge</w:t>
            </w:r>
          </w:p>
        </w:tc>
        <w:tc>
          <w:tcPr>
            <w:tcW w:w="824" w:type="pct"/>
            <w:vAlign w:val="center"/>
          </w:tcPr>
          <w:p w14:paraId="7C66B67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B7390C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NT</w:t>
            </w:r>
          </w:p>
        </w:tc>
        <w:tc>
          <w:tcPr>
            <w:tcW w:w="824" w:type="pct"/>
            <w:vAlign w:val="center"/>
          </w:tcPr>
          <w:p w14:paraId="6B862B7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673BC768" w14:textId="77777777" w:rsidTr="00F60B11">
        <w:trPr>
          <w:trHeight w:val="284"/>
        </w:trPr>
        <w:tc>
          <w:tcPr>
            <w:tcW w:w="1224" w:type="pct"/>
            <w:vAlign w:val="center"/>
          </w:tcPr>
          <w:p w14:paraId="3260089F"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Coturnix coturnix</w:t>
            </w:r>
          </w:p>
        </w:tc>
        <w:tc>
          <w:tcPr>
            <w:tcW w:w="1304" w:type="pct"/>
            <w:vAlign w:val="center"/>
          </w:tcPr>
          <w:p w14:paraId="2937782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Common Quail</w:t>
            </w:r>
          </w:p>
        </w:tc>
        <w:tc>
          <w:tcPr>
            <w:tcW w:w="824" w:type="pct"/>
            <w:vAlign w:val="center"/>
          </w:tcPr>
          <w:p w14:paraId="5009597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1B925C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6EA57E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430D3197" w14:textId="77777777" w:rsidTr="00F60B11">
        <w:trPr>
          <w:trHeight w:val="284"/>
        </w:trPr>
        <w:tc>
          <w:tcPr>
            <w:tcW w:w="1224" w:type="pct"/>
            <w:vAlign w:val="center"/>
          </w:tcPr>
          <w:p w14:paraId="7B5DD657"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t>Paridae</w:t>
            </w:r>
          </w:p>
        </w:tc>
        <w:tc>
          <w:tcPr>
            <w:tcW w:w="1304" w:type="pct"/>
            <w:vAlign w:val="center"/>
          </w:tcPr>
          <w:p w14:paraId="59F4C795"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E998243"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22703BC"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2DC6EA09"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17EF3D34" w14:textId="77777777" w:rsidTr="00F60B11">
        <w:trPr>
          <w:trHeight w:val="284"/>
        </w:trPr>
        <w:tc>
          <w:tcPr>
            <w:tcW w:w="1224" w:type="pct"/>
            <w:vAlign w:val="center"/>
          </w:tcPr>
          <w:p w14:paraId="6C3441EC" w14:textId="77777777" w:rsidR="00DC486F" w:rsidRPr="00EE43C6" w:rsidRDefault="00DC486F" w:rsidP="00F60B11">
            <w:pPr>
              <w:spacing w:before="0" w:after="0" w:line="240" w:lineRule="auto"/>
              <w:jc w:val="left"/>
              <w:rPr>
                <w:rFonts w:cs="Arial"/>
                <w:sz w:val="18"/>
                <w:szCs w:val="18"/>
              </w:rPr>
            </w:pPr>
            <w:r w:rsidRPr="00EE43C6">
              <w:rPr>
                <w:rFonts w:eastAsia="Cambria" w:cs="MS Gothic"/>
                <w:i/>
                <w:sz w:val="18"/>
                <w:szCs w:val="18"/>
              </w:rPr>
              <w:t>Cyanistes caeruleus</w:t>
            </w:r>
          </w:p>
        </w:tc>
        <w:tc>
          <w:tcPr>
            <w:tcW w:w="1304" w:type="pct"/>
            <w:vAlign w:val="center"/>
          </w:tcPr>
          <w:p w14:paraId="2BD1F34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Eurasian Blue Tit</w:t>
            </w:r>
          </w:p>
        </w:tc>
        <w:tc>
          <w:tcPr>
            <w:tcW w:w="824" w:type="pct"/>
            <w:vAlign w:val="center"/>
          </w:tcPr>
          <w:p w14:paraId="306F682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CFA725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6F01177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1C429C64" w:rsidRPr="00EE43C6" w14:paraId="75821257" w14:textId="77777777" w:rsidTr="00F60B11">
        <w:trPr>
          <w:trHeight w:val="284"/>
        </w:trPr>
        <w:tc>
          <w:tcPr>
            <w:tcW w:w="1224" w:type="pct"/>
            <w:vAlign w:val="center"/>
          </w:tcPr>
          <w:p w14:paraId="22C38628" w14:textId="1D5134D6" w:rsidR="28AE9D0B" w:rsidRPr="00EE43C6" w:rsidRDefault="28AE9D0B" w:rsidP="00F60B11">
            <w:pPr>
              <w:spacing w:before="0" w:after="0" w:line="240" w:lineRule="auto"/>
              <w:jc w:val="left"/>
              <w:rPr>
                <w:rFonts w:eastAsia="Cambria" w:cs="MS Gothic"/>
                <w:i/>
                <w:iCs/>
                <w:sz w:val="18"/>
                <w:szCs w:val="18"/>
              </w:rPr>
            </w:pPr>
            <w:r w:rsidRPr="00EE43C6">
              <w:rPr>
                <w:rFonts w:eastAsia="Cambria" w:cs="MS Gothic"/>
                <w:i/>
                <w:iCs/>
                <w:sz w:val="18"/>
                <w:szCs w:val="18"/>
              </w:rPr>
              <w:t>Parus major</w:t>
            </w:r>
          </w:p>
        </w:tc>
        <w:tc>
          <w:tcPr>
            <w:tcW w:w="1304" w:type="pct"/>
            <w:vAlign w:val="center"/>
          </w:tcPr>
          <w:p w14:paraId="4DBA4083" w14:textId="3AC16C94" w:rsidR="28AE9D0B" w:rsidRPr="00EE43C6" w:rsidRDefault="28AE9D0B" w:rsidP="00F60B11">
            <w:pPr>
              <w:spacing w:before="0" w:after="0" w:line="240" w:lineRule="auto"/>
              <w:jc w:val="center"/>
              <w:rPr>
                <w:rFonts w:eastAsia="Cambria" w:cs="MS Gothic"/>
                <w:sz w:val="18"/>
                <w:szCs w:val="18"/>
              </w:rPr>
            </w:pPr>
            <w:r w:rsidRPr="00EE43C6">
              <w:rPr>
                <w:rFonts w:eastAsia="Cambria" w:cs="MS Gothic"/>
                <w:sz w:val="18"/>
                <w:szCs w:val="18"/>
              </w:rPr>
              <w:t>Great tit</w:t>
            </w:r>
          </w:p>
        </w:tc>
        <w:tc>
          <w:tcPr>
            <w:tcW w:w="824" w:type="pct"/>
            <w:vAlign w:val="center"/>
          </w:tcPr>
          <w:p w14:paraId="5F7F9507" w14:textId="052D8977" w:rsidR="28AE9D0B" w:rsidRPr="00EE43C6" w:rsidRDefault="28AE9D0B"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2BC3B572" w14:textId="04E3E7FB" w:rsidR="28AE9D0B" w:rsidRPr="00EE43C6" w:rsidRDefault="28AE9D0B"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AACD114" w14:textId="63D5A8FB" w:rsidR="28AE9D0B" w:rsidRPr="00EE43C6" w:rsidRDefault="28AE9D0B"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39EE4CD4" w14:textId="77777777" w:rsidTr="00F60B11">
        <w:trPr>
          <w:trHeight w:val="284"/>
        </w:trPr>
        <w:tc>
          <w:tcPr>
            <w:tcW w:w="1224" w:type="pct"/>
            <w:vAlign w:val="center"/>
          </w:tcPr>
          <w:p w14:paraId="500BB441" w14:textId="77777777" w:rsidR="00DC486F" w:rsidRPr="00EE43C6" w:rsidRDefault="00DC486F" w:rsidP="00F60B11">
            <w:pPr>
              <w:spacing w:before="0" w:after="0" w:line="240" w:lineRule="auto"/>
              <w:jc w:val="left"/>
              <w:rPr>
                <w:rFonts w:eastAsia="Cambria" w:cs="MS Gothic"/>
                <w:b/>
                <w:sz w:val="18"/>
                <w:szCs w:val="18"/>
              </w:rPr>
            </w:pPr>
            <w:r w:rsidRPr="00EE43C6">
              <w:rPr>
                <w:rFonts w:eastAsia="Cambria" w:cs="MS Gothic"/>
                <w:b/>
                <w:sz w:val="18"/>
                <w:szCs w:val="18"/>
              </w:rPr>
              <w:t>Phylloscopidae</w:t>
            </w:r>
          </w:p>
        </w:tc>
        <w:tc>
          <w:tcPr>
            <w:tcW w:w="1304" w:type="pct"/>
            <w:vAlign w:val="center"/>
          </w:tcPr>
          <w:p w14:paraId="6C0EFC93"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5FC80E0"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2E8D364"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90257C8"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04B6A64F" w14:textId="77777777" w:rsidTr="00F60B11">
        <w:trPr>
          <w:trHeight w:val="284"/>
        </w:trPr>
        <w:tc>
          <w:tcPr>
            <w:tcW w:w="1224" w:type="pct"/>
            <w:vAlign w:val="center"/>
          </w:tcPr>
          <w:p w14:paraId="06062B33"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Phylloscopus collybita</w:t>
            </w:r>
          </w:p>
        </w:tc>
        <w:tc>
          <w:tcPr>
            <w:tcW w:w="1304" w:type="pct"/>
            <w:vAlign w:val="center"/>
          </w:tcPr>
          <w:p w14:paraId="35B3F04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Common Chiffchaff</w:t>
            </w:r>
          </w:p>
        </w:tc>
        <w:tc>
          <w:tcPr>
            <w:tcW w:w="824" w:type="pct"/>
            <w:vAlign w:val="center"/>
          </w:tcPr>
          <w:p w14:paraId="5314FEA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77AFF7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74A8A45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1C429C64" w:rsidRPr="00EE43C6" w14:paraId="67C6F3D2" w14:textId="77777777" w:rsidTr="00F60B11">
        <w:trPr>
          <w:trHeight w:val="284"/>
        </w:trPr>
        <w:tc>
          <w:tcPr>
            <w:tcW w:w="1224" w:type="pct"/>
            <w:vAlign w:val="center"/>
          </w:tcPr>
          <w:p w14:paraId="21857E26" w14:textId="50E555E2" w:rsidR="5D1FB6E5" w:rsidRPr="00EE43C6" w:rsidRDefault="5D1FB6E5" w:rsidP="00F60B11">
            <w:pPr>
              <w:spacing w:before="0" w:after="0" w:line="240" w:lineRule="auto"/>
              <w:jc w:val="left"/>
            </w:pPr>
            <w:r w:rsidRPr="00EE43C6">
              <w:rPr>
                <w:rFonts w:eastAsia="Cambria" w:cs="MS Gothic"/>
                <w:b/>
                <w:bCs/>
                <w:sz w:val="18"/>
                <w:szCs w:val="18"/>
              </w:rPr>
              <w:t>Picidae</w:t>
            </w:r>
          </w:p>
        </w:tc>
        <w:tc>
          <w:tcPr>
            <w:tcW w:w="1304" w:type="pct"/>
            <w:vAlign w:val="center"/>
          </w:tcPr>
          <w:p w14:paraId="42ABFCD5" w14:textId="0A3ECC68" w:rsidR="1C429C64" w:rsidRPr="00EE43C6" w:rsidRDefault="1C429C64" w:rsidP="00F60B11">
            <w:pPr>
              <w:spacing w:before="0" w:after="0" w:line="240" w:lineRule="auto"/>
              <w:jc w:val="center"/>
              <w:rPr>
                <w:rFonts w:eastAsia="Cambria" w:cs="MS Gothic"/>
                <w:sz w:val="18"/>
                <w:szCs w:val="18"/>
              </w:rPr>
            </w:pPr>
          </w:p>
        </w:tc>
        <w:tc>
          <w:tcPr>
            <w:tcW w:w="824" w:type="pct"/>
            <w:vAlign w:val="center"/>
          </w:tcPr>
          <w:p w14:paraId="3FAA5D84" w14:textId="0DB7348C" w:rsidR="1C429C64" w:rsidRPr="00EE43C6" w:rsidRDefault="1C429C64" w:rsidP="00F60B11">
            <w:pPr>
              <w:spacing w:before="0" w:after="0" w:line="240" w:lineRule="auto"/>
              <w:jc w:val="center"/>
              <w:rPr>
                <w:rFonts w:eastAsia="Cambria" w:cs="MS Gothic"/>
                <w:sz w:val="18"/>
                <w:szCs w:val="18"/>
              </w:rPr>
            </w:pPr>
          </w:p>
        </w:tc>
        <w:tc>
          <w:tcPr>
            <w:tcW w:w="824" w:type="pct"/>
            <w:vAlign w:val="center"/>
          </w:tcPr>
          <w:p w14:paraId="5C8D19D0" w14:textId="61233309" w:rsidR="1C429C64" w:rsidRPr="00EE43C6" w:rsidRDefault="1C429C64" w:rsidP="00F60B11">
            <w:pPr>
              <w:spacing w:before="0" w:after="0" w:line="240" w:lineRule="auto"/>
              <w:jc w:val="center"/>
              <w:rPr>
                <w:rFonts w:eastAsia="Cambria" w:cs="MS Gothic"/>
                <w:sz w:val="18"/>
                <w:szCs w:val="18"/>
              </w:rPr>
            </w:pPr>
          </w:p>
        </w:tc>
        <w:tc>
          <w:tcPr>
            <w:tcW w:w="824" w:type="pct"/>
            <w:vAlign w:val="center"/>
          </w:tcPr>
          <w:p w14:paraId="5732E5F8" w14:textId="54653F93" w:rsidR="1C429C64" w:rsidRPr="00EE43C6" w:rsidRDefault="1C429C64" w:rsidP="00F60B11">
            <w:pPr>
              <w:spacing w:before="0" w:after="0" w:line="240" w:lineRule="auto"/>
              <w:jc w:val="center"/>
              <w:rPr>
                <w:rFonts w:eastAsia="Cambria" w:cs="MS Gothic"/>
                <w:sz w:val="18"/>
                <w:szCs w:val="18"/>
              </w:rPr>
            </w:pPr>
          </w:p>
        </w:tc>
      </w:tr>
      <w:tr w:rsidR="1C429C64" w:rsidRPr="00EE43C6" w14:paraId="21E513FD" w14:textId="77777777" w:rsidTr="00F60B11">
        <w:trPr>
          <w:trHeight w:val="284"/>
        </w:trPr>
        <w:tc>
          <w:tcPr>
            <w:tcW w:w="1224" w:type="pct"/>
            <w:vAlign w:val="center"/>
          </w:tcPr>
          <w:p w14:paraId="4B3F5193" w14:textId="3D8B087A" w:rsidR="5D1FB6E5" w:rsidRPr="00EE43C6" w:rsidRDefault="5D1FB6E5" w:rsidP="00F60B11">
            <w:pPr>
              <w:spacing w:before="0" w:after="0" w:line="240" w:lineRule="auto"/>
              <w:jc w:val="left"/>
              <w:rPr>
                <w:rFonts w:eastAsia="Arial" w:cs="Arial"/>
                <w:sz w:val="18"/>
                <w:szCs w:val="18"/>
              </w:rPr>
            </w:pPr>
            <w:r w:rsidRPr="00EE43C6">
              <w:rPr>
                <w:rFonts w:eastAsia="Arial" w:cs="Arial"/>
                <w:sz w:val="18"/>
                <w:szCs w:val="18"/>
              </w:rPr>
              <w:t>Dendrocopus syriacus</w:t>
            </w:r>
          </w:p>
        </w:tc>
        <w:tc>
          <w:tcPr>
            <w:tcW w:w="1304" w:type="pct"/>
            <w:vAlign w:val="center"/>
          </w:tcPr>
          <w:p w14:paraId="32DA93E1" w14:textId="54E127EE" w:rsidR="5D1FB6E5" w:rsidRPr="00EE43C6" w:rsidRDefault="5D1FB6E5" w:rsidP="00F60B11">
            <w:pPr>
              <w:spacing w:before="0" w:after="0" w:line="240" w:lineRule="auto"/>
              <w:jc w:val="center"/>
            </w:pPr>
            <w:r w:rsidRPr="00EE43C6">
              <w:rPr>
                <w:rFonts w:eastAsia="Arial" w:cs="Arial"/>
                <w:sz w:val="18"/>
                <w:szCs w:val="18"/>
              </w:rPr>
              <w:t>Syrian Woodpecker</w:t>
            </w:r>
          </w:p>
        </w:tc>
        <w:tc>
          <w:tcPr>
            <w:tcW w:w="824" w:type="pct"/>
            <w:vAlign w:val="center"/>
          </w:tcPr>
          <w:p w14:paraId="43D8B17F" w14:textId="2FE3FBE5" w:rsidR="5D1FB6E5" w:rsidRPr="00EE43C6" w:rsidRDefault="5D1FB6E5"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8296B49" w14:textId="72785634" w:rsidR="5D1FB6E5" w:rsidRPr="00EE43C6" w:rsidRDefault="5D1FB6E5"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FF519F5" w14:textId="77777777" w:rsidR="5D1FB6E5" w:rsidRPr="00EE43C6" w:rsidRDefault="5D1FB6E5" w:rsidP="00F60B11">
            <w:pPr>
              <w:spacing w:before="0" w:after="0" w:line="240" w:lineRule="auto"/>
              <w:jc w:val="center"/>
              <w:rPr>
                <w:rFonts w:eastAsia="Cambria" w:cs="MS Gothic"/>
                <w:sz w:val="18"/>
                <w:szCs w:val="18"/>
              </w:rPr>
            </w:pPr>
            <w:r w:rsidRPr="00EE43C6">
              <w:rPr>
                <w:rFonts w:eastAsia="Cambria" w:cs="MS Gothic"/>
                <w:sz w:val="18"/>
                <w:szCs w:val="18"/>
              </w:rPr>
              <w:t>App-2</w:t>
            </w:r>
          </w:p>
          <w:p w14:paraId="531286F6" w14:textId="753BE8A1" w:rsidR="1C429C64" w:rsidRPr="00EE43C6" w:rsidRDefault="1C429C64" w:rsidP="00F60B11">
            <w:pPr>
              <w:spacing w:before="0" w:after="0" w:line="240" w:lineRule="auto"/>
              <w:jc w:val="center"/>
              <w:rPr>
                <w:rFonts w:eastAsia="Cambria" w:cs="MS Gothic"/>
                <w:sz w:val="18"/>
                <w:szCs w:val="18"/>
              </w:rPr>
            </w:pPr>
          </w:p>
        </w:tc>
      </w:tr>
      <w:tr w:rsidR="00DC486F" w:rsidRPr="00EE43C6" w14:paraId="0523CF71" w14:textId="77777777" w:rsidTr="00F60B11">
        <w:trPr>
          <w:trHeight w:val="284"/>
        </w:trPr>
        <w:tc>
          <w:tcPr>
            <w:tcW w:w="1224" w:type="pct"/>
            <w:vAlign w:val="center"/>
          </w:tcPr>
          <w:p w14:paraId="6E16D76C" w14:textId="77777777" w:rsidR="00DC486F" w:rsidRPr="00EE43C6" w:rsidRDefault="00DC486F" w:rsidP="00F60B11">
            <w:pPr>
              <w:spacing w:before="0" w:after="0" w:line="240" w:lineRule="auto"/>
              <w:jc w:val="left"/>
              <w:rPr>
                <w:rFonts w:eastAsia="Cambria" w:cs="MS Gothic"/>
                <w:b/>
                <w:sz w:val="18"/>
                <w:szCs w:val="18"/>
              </w:rPr>
            </w:pPr>
            <w:r w:rsidRPr="00EE43C6">
              <w:rPr>
                <w:rFonts w:eastAsia="Cambria" w:cs="MS Gothic"/>
                <w:b/>
                <w:sz w:val="18"/>
                <w:szCs w:val="18"/>
              </w:rPr>
              <w:t>Pycnonotidae</w:t>
            </w:r>
          </w:p>
        </w:tc>
        <w:tc>
          <w:tcPr>
            <w:tcW w:w="1304" w:type="pct"/>
            <w:vAlign w:val="center"/>
          </w:tcPr>
          <w:p w14:paraId="7D53494F"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7F305E4C"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7D9E7A86"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43CF5CB1"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28743E8F" w14:textId="77777777" w:rsidTr="00F60B11">
        <w:trPr>
          <w:trHeight w:val="284"/>
        </w:trPr>
        <w:tc>
          <w:tcPr>
            <w:tcW w:w="1224" w:type="pct"/>
            <w:vAlign w:val="center"/>
          </w:tcPr>
          <w:p w14:paraId="49D9CD0F"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Pycnonotus xanthopygos</w:t>
            </w:r>
          </w:p>
        </w:tc>
        <w:tc>
          <w:tcPr>
            <w:tcW w:w="1304" w:type="pct"/>
            <w:vAlign w:val="center"/>
          </w:tcPr>
          <w:p w14:paraId="439C9C54"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White-spectacled Bulbul</w:t>
            </w:r>
          </w:p>
        </w:tc>
        <w:tc>
          <w:tcPr>
            <w:tcW w:w="824" w:type="pct"/>
            <w:vAlign w:val="center"/>
          </w:tcPr>
          <w:p w14:paraId="6A26213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3D5785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F75E23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7D882E65" w14:textId="77777777" w:rsidTr="00F60B11">
        <w:trPr>
          <w:trHeight w:val="284"/>
        </w:trPr>
        <w:tc>
          <w:tcPr>
            <w:tcW w:w="1224" w:type="pct"/>
            <w:vAlign w:val="center"/>
          </w:tcPr>
          <w:p w14:paraId="0E90C0FB" w14:textId="77777777" w:rsidR="00DC486F" w:rsidRPr="00EE43C6" w:rsidRDefault="00DC486F" w:rsidP="00F60B11">
            <w:pPr>
              <w:spacing w:before="0" w:after="0" w:line="240" w:lineRule="auto"/>
              <w:jc w:val="left"/>
              <w:rPr>
                <w:rFonts w:cs="Arial"/>
                <w:sz w:val="18"/>
                <w:szCs w:val="18"/>
              </w:rPr>
            </w:pPr>
            <w:r w:rsidRPr="00EE43C6">
              <w:rPr>
                <w:rFonts w:eastAsia="Cambria" w:cs="MS Gothic"/>
                <w:b/>
                <w:sz w:val="18"/>
                <w:szCs w:val="18"/>
              </w:rPr>
              <w:t>Sittidae</w:t>
            </w:r>
          </w:p>
        </w:tc>
        <w:tc>
          <w:tcPr>
            <w:tcW w:w="1304" w:type="pct"/>
            <w:vAlign w:val="center"/>
          </w:tcPr>
          <w:p w14:paraId="6248062B"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021872D"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214B7DE0"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6828BA83"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3769BAA2" w14:textId="77777777" w:rsidTr="00F60B11">
        <w:trPr>
          <w:trHeight w:val="284"/>
        </w:trPr>
        <w:tc>
          <w:tcPr>
            <w:tcW w:w="1224" w:type="pct"/>
            <w:vAlign w:val="center"/>
          </w:tcPr>
          <w:p w14:paraId="6C68CDBA"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Sitta krueperi</w:t>
            </w:r>
          </w:p>
        </w:tc>
        <w:tc>
          <w:tcPr>
            <w:tcW w:w="1304" w:type="pct"/>
            <w:vAlign w:val="center"/>
          </w:tcPr>
          <w:p w14:paraId="0BA94E4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Krueper’s Nuthatch</w:t>
            </w:r>
          </w:p>
        </w:tc>
        <w:tc>
          <w:tcPr>
            <w:tcW w:w="824" w:type="pct"/>
            <w:vAlign w:val="center"/>
          </w:tcPr>
          <w:p w14:paraId="792D07C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4F90658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7193351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05385CBA" w14:textId="77777777" w:rsidTr="00F60B11">
        <w:trPr>
          <w:trHeight w:val="284"/>
        </w:trPr>
        <w:tc>
          <w:tcPr>
            <w:tcW w:w="1224" w:type="pct"/>
            <w:vAlign w:val="center"/>
          </w:tcPr>
          <w:p w14:paraId="6E29A0B5"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lastRenderedPageBreak/>
              <w:t>Sitta neumayer</w:t>
            </w:r>
          </w:p>
        </w:tc>
        <w:tc>
          <w:tcPr>
            <w:tcW w:w="1304" w:type="pct"/>
            <w:vAlign w:val="center"/>
          </w:tcPr>
          <w:p w14:paraId="4E07210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Western Rock Nuthatch</w:t>
            </w:r>
          </w:p>
        </w:tc>
        <w:tc>
          <w:tcPr>
            <w:tcW w:w="824" w:type="pct"/>
            <w:vAlign w:val="center"/>
          </w:tcPr>
          <w:p w14:paraId="028A413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CF5902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3A7536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35049533" w14:textId="77777777" w:rsidTr="00F60B11">
        <w:trPr>
          <w:trHeight w:val="284"/>
        </w:trPr>
        <w:tc>
          <w:tcPr>
            <w:tcW w:w="1224" w:type="pct"/>
            <w:vAlign w:val="center"/>
          </w:tcPr>
          <w:p w14:paraId="5E49F17C"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b/>
                <w:sz w:val="18"/>
                <w:szCs w:val="18"/>
              </w:rPr>
              <w:t>Strigidae</w:t>
            </w:r>
          </w:p>
        </w:tc>
        <w:tc>
          <w:tcPr>
            <w:tcW w:w="1304" w:type="pct"/>
            <w:vAlign w:val="center"/>
          </w:tcPr>
          <w:p w14:paraId="55C1F870"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D64CB17"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6ECFE222"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382315B5"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6A0395F7" w14:textId="77777777" w:rsidTr="00F60B11">
        <w:trPr>
          <w:trHeight w:val="284"/>
        </w:trPr>
        <w:tc>
          <w:tcPr>
            <w:tcW w:w="1224" w:type="pct"/>
            <w:vAlign w:val="center"/>
          </w:tcPr>
          <w:p w14:paraId="0BDC9435" w14:textId="77777777" w:rsidR="00DC486F" w:rsidRPr="00EE43C6" w:rsidRDefault="00DC486F" w:rsidP="00F60B11">
            <w:pPr>
              <w:spacing w:before="0" w:after="0" w:line="240" w:lineRule="auto"/>
              <w:jc w:val="left"/>
              <w:rPr>
                <w:rFonts w:cs="Arial"/>
                <w:sz w:val="18"/>
                <w:szCs w:val="18"/>
              </w:rPr>
            </w:pPr>
            <w:r w:rsidRPr="00EE43C6">
              <w:rPr>
                <w:rFonts w:eastAsia="Cambria" w:cs="MS Gothic"/>
                <w:i/>
                <w:sz w:val="18"/>
                <w:szCs w:val="18"/>
              </w:rPr>
              <w:t>Athene noctua</w:t>
            </w:r>
          </w:p>
        </w:tc>
        <w:tc>
          <w:tcPr>
            <w:tcW w:w="1304" w:type="pct"/>
            <w:vAlign w:val="center"/>
          </w:tcPr>
          <w:p w14:paraId="282E5E1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Little Owl</w:t>
            </w:r>
          </w:p>
        </w:tc>
        <w:tc>
          <w:tcPr>
            <w:tcW w:w="824" w:type="pct"/>
            <w:vAlign w:val="center"/>
          </w:tcPr>
          <w:p w14:paraId="15DC71F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450D1A3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22B3E27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5F2F3572" w14:textId="77777777" w:rsidTr="00F60B11">
        <w:trPr>
          <w:trHeight w:val="284"/>
        </w:trPr>
        <w:tc>
          <w:tcPr>
            <w:tcW w:w="1224" w:type="pct"/>
            <w:vAlign w:val="center"/>
          </w:tcPr>
          <w:p w14:paraId="269D216A" w14:textId="77777777" w:rsidR="00DC486F" w:rsidRPr="00EE43C6" w:rsidRDefault="00DC486F" w:rsidP="00F60B11">
            <w:pPr>
              <w:spacing w:before="0" w:after="0" w:line="240" w:lineRule="auto"/>
              <w:jc w:val="left"/>
              <w:rPr>
                <w:rFonts w:eastAsia="Cambria" w:cs="MS Gothic"/>
                <w:b/>
                <w:sz w:val="18"/>
                <w:szCs w:val="18"/>
              </w:rPr>
            </w:pPr>
            <w:r w:rsidRPr="00EE43C6">
              <w:rPr>
                <w:rFonts w:eastAsia="Cambria" w:cs="MS Gothic"/>
                <w:b/>
                <w:sz w:val="18"/>
                <w:szCs w:val="18"/>
              </w:rPr>
              <w:t>Sturnidae</w:t>
            </w:r>
          </w:p>
        </w:tc>
        <w:tc>
          <w:tcPr>
            <w:tcW w:w="1304" w:type="pct"/>
            <w:vAlign w:val="center"/>
          </w:tcPr>
          <w:p w14:paraId="75179C92"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25DE8EAB"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6613F2E3"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2659D438"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77DA1493" w14:textId="77777777" w:rsidTr="00F60B11">
        <w:trPr>
          <w:trHeight w:val="284"/>
        </w:trPr>
        <w:tc>
          <w:tcPr>
            <w:tcW w:w="1224" w:type="pct"/>
            <w:vAlign w:val="center"/>
          </w:tcPr>
          <w:p w14:paraId="31222CBC"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Sturnus vulgaris</w:t>
            </w:r>
          </w:p>
        </w:tc>
        <w:tc>
          <w:tcPr>
            <w:tcW w:w="1304" w:type="pct"/>
            <w:vAlign w:val="center"/>
          </w:tcPr>
          <w:p w14:paraId="071AE55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Common Starling</w:t>
            </w:r>
          </w:p>
        </w:tc>
        <w:tc>
          <w:tcPr>
            <w:tcW w:w="824" w:type="pct"/>
            <w:vAlign w:val="center"/>
          </w:tcPr>
          <w:p w14:paraId="2DDDFC0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81B3B5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7C0506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r>
      <w:tr w:rsidR="00DC486F" w:rsidRPr="00EE43C6" w14:paraId="73C29092" w14:textId="77777777" w:rsidTr="00F60B11">
        <w:trPr>
          <w:trHeight w:val="284"/>
        </w:trPr>
        <w:tc>
          <w:tcPr>
            <w:tcW w:w="1224" w:type="pct"/>
            <w:vAlign w:val="center"/>
          </w:tcPr>
          <w:p w14:paraId="04544756" w14:textId="77777777" w:rsidR="00DC486F" w:rsidRPr="00EE43C6" w:rsidRDefault="00DC486F" w:rsidP="00F60B11">
            <w:pPr>
              <w:spacing w:before="0" w:after="0" w:line="240" w:lineRule="auto"/>
              <w:jc w:val="left"/>
              <w:rPr>
                <w:rFonts w:eastAsia="Cambria" w:cs="MS Gothic"/>
                <w:b/>
                <w:bCs/>
                <w:iCs/>
                <w:sz w:val="18"/>
                <w:szCs w:val="18"/>
              </w:rPr>
            </w:pPr>
            <w:r w:rsidRPr="00EE43C6">
              <w:rPr>
                <w:rFonts w:eastAsia="Cambria" w:cs="MS Gothic"/>
                <w:b/>
                <w:bCs/>
                <w:iCs/>
                <w:sz w:val="18"/>
                <w:szCs w:val="18"/>
              </w:rPr>
              <w:t>Sylviidae</w:t>
            </w:r>
          </w:p>
        </w:tc>
        <w:tc>
          <w:tcPr>
            <w:tcW w:w="1304" w:type="pct"/>
            <w:vAlign w:val="center"/>
          </w:tcPr>
          <w:p w14:paraId="30417281"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59D2848C"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7C33C5D9"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693A119D" w14:textId="77777777" w:rsidR="00DC486F" w:rsidRPr="00EE43C6" w:rsidRDefault="00DC486F" w:rsidP="00F60B11">
            <w:pPr>
              <w:spacing w:before="0" w:after="0" w:line="240" w:lineRule="auto"/>
              <w:jc w:val="center"/>
              <w:rPr>
                <w:rFonts w:eastAsia="Cambria" w:cs="MS Gothic"/>
                <w:sz w:val="18"/>
                <w:szCs w:val="18"/>
              </w:rPr>
            </w:pPr>
          </w:p>
        </w:tc>
      </w:tr>
      <w:tr w:rsidR="00F267D5" w:rsidRPr="00EE43C6" w14:paraId="69F8652E" w14:textId="77777777" w:rsidTr="00F60B11">
        <w:trPr>
          <w:trHeight w:val="284"/>
        </w:trPr>
        <w:tc>
          <w:tcPr>
            <w:tcW w:w="1224" w:type="pct"/>
            <w:vAlign w:val="center"/>
          </w:tcPr>
          <w:p w14:paraId="5BEB4F3E" w14:textId="612273FD" w:rsidR="00F267D5" w:rsidRPr="00EE43C6" w:rsidRDefault="00F267D5" w:rsidP="00F60B11">
            <w:pPr>
              <w:spacing w:before="0" w:after="0" w:line="240" w:lineRule="auto"/>
              <w:jc w:val="left"/>
              <w:rPr>
                <w:rFonts w:eastAsia="Cambria" w:cs="MS Gothic"/>
                <w:i/>
                <w:sz w:val="18"/>
                <w:szCs w:val="18"/>
              </w:rPr>
            </w:pPr>
            <w:r w:rsidRPr="00EE43C6">
              <w:rPr>
                <w:rFonts w:eastAsia="Cambria" w:cs="MS Gothic"/>
                <w:i/>
                <w:sz w:val="18"/>
                <w:szCs w:val="18"/>
              </w:rPr>
              <w:t>Phyllos</w:t>
            </w:r>
            <w:r w:rsidR="0087760D" w:rsidRPr="00EE43C6">
              <w:rPr>
                <w:rFonts w:eastAsia="Cambria" w:cs="MS Gothic"/>
                <w:i/>
                <w:sz w:val="18"/>
                <w:szCs w:val="18"/>
              </w:rPr>
              <w:t>copus collybita</w:t>
            </w:r>
          </w:p>
        </w:tc>
        <w:tc>
          <w:tcPr>
            <w:tcW w:w="1304" w:type="pct"/>
            <w:vAlign w:val="center"/>
          </w:tcPr>
          <w:p w14:paraId="6D4BE991" w14:textId="7D9550DC" w:rsidR="00F267D5" w:rsidRPr="00EE43C6" w:rsidRDefault="0087760D" w:rsidP="00F60B11">
            <w:pPr>
              <w:spacing w:before="0" w:after="0" w:line="240" w:lineRule="auto"/>
              <w:jc w:val="center"/>
              <w:rPr>
                <w:rFonts w:eastAsia="Cambria" w:cs="MS Gothic"/>
                <w:sz w:val="18"/>
                <w:szCs w:val="18"/>
              </w:rPr>
            </w:pPr>
            <w:r w:rsidRPr="00EE43C6">
              <w:rPr>
                <w:rFonts w:eastAsia="Cambria" w:cs="MS Gothic"/>
                <w:sz w:val="18"/>
                <w:szCs w:val="18"/>
              </w:rPr>
              <w:t>Common Chiffchaff</w:t>
            </w:r>
          </w:p>
        </w:tc>
        <w:tc>
          <w:tcPr>
            <w:tcW w:w="824" w:type="pct"/>
            <w:vAlign w:val="center"/>
          </w:tcPr>
          <w:p w14:paraId="144C5D09" w14:textId="5408C38F" w:rsidR="00F267D5" w:rsidRPr="00EE43C6" w:rsidRDefault="0087760D"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099D166" w14:textId="00D530F5" w:rsidR="00F267D5" w:rsidRPr="00EE43C6" w:rsidRDefault="0087760D"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803198F" w14:textId="21D47431" w:rsidR="00F267D5" w:rsidRPr="00EE43C6" w:rsidRDefault="0087760D"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1EA8774B" w14:textId="77777777" w:rsidTr="00F60B11">
        <w:trPr>
          <w:trHeight w:val="284"/>
        </w:trPr>
        <w:tc>
          <w:tcPr>
            <w:tcW w:w="1224" w:type="pct"/>
            <w:vAlign w:val="center"/>
          </w:tcPr>
          <w:p w14:paraId="0A311765"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Sylvia atricapilla</w:t>
            </w:r>
          </w:p>
        </w:tc>
        <w:tc>
          <w:tcPr>
            <w:tcW w:w="1304" w:type="pct"/>
            <w:vAlign w:val="center"/>
          </w:tcPr>
          <w:p w14:paraId="185B35F7"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Eurasian Blackcap</w:t>
            </w:r>
          </w:p>
        </w:tc>
        <w:tc>
          <w:tcPr>
            <w:tcW w:w="824" w:type="pct"/>
            <w:vAlign w:val="center"/>
          </w:tcPr>
          <w:p w14:paraId="7E32080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606A5FA3"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6BE3D67D"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702433C9" w14:textId="77777777" w:rsidTr="00F60B11">
        <w:trPr>
          <w:trHeight w:val="284"/>
        </w:trPr>
        <w:tc>
          <w:tcPr>
            <w:tcW w:w="1224" w:type="pct"/>
            <w:vAlign w:val="center"/>
          </w:tcPr>
          <w:p w14:paraId="3FF531B7"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Sylvia curruca</w:t>
            </w:r>
          </w:p>
        </w:tc>
        <w:tc>
          <w:tcPr>
            <w:tcW w:w="1304" w:type="pct"/>
            <w:vAlign w:val="center"/>
          </w:tcPr>
          <w:p w14:paraId="3C811F8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Lesser Whitethroat</w:t>
            </w:r>
          </w:p>
        </w:tc>
        <w:tc>
          <w:tcPr>
            <w:tcW w:w="824" w:type="pct"/>
            <w:vAlign w:val="center"/>
          </w:tcPr>
          <w:p w14:paraId="40A38D6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5D73AE6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9F7BD4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45ED90FD" w14:textId="77777777" w:rsidTr="00F60B11">
        <w:trPr>
          <w:trHeight w:val="284"/>
        </w:trPr>
        <w:tc>
          <w:tcPr>
            <w:tcW w:w="1224" w:type="pct"/>
            <w:vAlign w:val="center"/>
          </w:tcPr>
          <w:p w14:paraId="37E3A9AB"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Sylvia ruppeli</w:t>
            </w:r>
          </w:p>
        </w:tc>
        <w:tc>
          <w:tcPr>
            <w:tcW w:w="1304" w:type="pct"/>
            <w:vAlign w:val="center"/>
          </w:tcPr>
          <w:p w14:paraId="33F0E48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Rüppell’s Warbler</w:t>
            </w:r>
          </w:p>
        </w:tc>
        <w:tc>
          <w:tcPr>
            <w:tcW w:w="824" w:type="pct"/>
            <w:vAlign w:val="center"/>
          </w:tcPr>
          <w:p w14:paraId="3B7B0B7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7A73D5E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8E2F56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App-2</w:t>
            </w:r>
          </w:p>
        </w:tc>
      </w:tr>
      <w:tr w:rsidR="00DC486F" w:rsidRPr="00EE43C6" w14:paraId="55237A7F" w14:textId="77777777" w:rsidTr="00F60B11">
        <w:trPr>
          <w:trHeight w:val="284"/>
        </w:trPr>
        <w:tc>
          <w:tcPr>
            <w:tcW w:w="1224" w:type="pct"/>
            <w:vAlign w:val="center"/>
          </w:tcPr>
          <w:p w14:paraId="45E01D91" w14:textId="77777777" w:rsidR="00DC486F" w:rsidRPr="00EE43C6" w:rsidRDefault="00DC486F" w:rsidP="00F60B11">
            <w:pPr>
              <w:spacing w:before="0" w:after="0" w:line="240" w:lineRule="auto"/>
              <w:jc w:val="left"/>
              <w:rPr>
                <w:rFonts w:cs="Arial"/>
                <w:sz w:val="18"/>
                <w:szCs w:val="18"/>
              </w:rPr>
            </w:pPr>
            <w:r w:rsidRPr="00EE43C6">
              <w:rPr>
                <w:rFonts w:eastAsia="Cambria" w:cs="MS Gothic"/>
                <w:b/>
                <w:bCs/>
                <w:iCs/>
                <w:sz w:val="18"/>
                <w:szCs w:val="18"/>
              </w:rPr>
              <w:t>Turdidae</w:t>
            </w:r>
          </w:p>
        </w:tc>
        <w:tc>
          <w:tcPr>
            <w:tcW w:w="1304" w:type="pct"/>
            <w:vAlign w:val="center"/>
          </w:tcPr>
          <w:p w14:paraId="41DB0D7B"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BA0FE4E"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3A48A8EA"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1084E3CA"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79FA4AA9" w14:textId="77777777" w:rsidTr="00F60B11">
        <w:trPr>
          <w:trHeight w:val="284"/>
        </w:trPr>
        <w:tc>
          <w:tcPr>
            <w:tcW w:w="1224" w:type="pct"/>
            <w:vAlign w:val="center"/>
          </w:tcPr>
          <w:p w14:paraId="4D1F4A3B"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Turdus merula</w:t>
            </w:r>
          </w:p>
        </w:tc>
        <w:tc>
          <w:tcPr>
            <w:tcW w:w="1304" w:type="pct"/>
            <w:vAlign w:val="center"/>
          </w:tcPr>
          <w:p w14:paraId="446F891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Eurasian Blackbird</w:t>
            </w:r>
          </w:p>
        </w:tc>
        <w:tc>
          <w:tcPr>
            <w:tcW w:w="824" w:type="pct"/>
            <w:vAlign w:val="center"/>
          </w:tcPr>
          <w:p w14:paraId="05EAC7B2"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1AFB9BB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1913064"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0CBC8A74" w14:textId="77777777" w:rsidTr="00F60B11">
        <w:trPr>
          <w:trHeight w:val="284"/>
        </w:trPr>
        <w:tc>
          <w:tcPr>
            <w:tcW w:w="1224" w:type="pct"/>
            <w:vAlign w:val="center"/>
          </w:tcPr>
          <w:p w14:paraId="120F2989"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Turdus philomelos</w:t>
            </w:r>
          </w:p>
        </w:tc>
        <w:tc>
          <w:tcPr>
            <w:tcW w:w="1304" w:type="pct"/>
            <w:vAlign w:val="center"/>
          </w:tcPr>
          <w:p w14:paraId="6AB9353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Song Thrush</w:t>
            </w:r>
          </w:p>
        </w:tc>
        <w:tc>
          <w:tcPr>
            <w:tcW w:w="824" w:type="pct"/>
            <w:vAlign w:val="center"/>
          </w:tcPr>
          <w:p w14:paraId="5E3BBE59"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50232B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3060CD9B"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6ABEAB65" w14:textId="77777777" w:rsidTr="00F60B11">
        <w:trPr>
          <w:trHeight w:val="284"/>
        </w:trPr>
        <w:tc>
          <w:tcPr>
            <w:tcW w:w="1224" w:type="pct"/>
            <w:vAlign w:val="center"/>
          </w:tcPr>
          <w:p w14:paraId="38184122"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Turdus pilaris</w:t>
            </w:r>
          </w:p>
        </w:tc>
        <w:tc>
          <w:tcPr>
            <w:tcW w:w="1304" w:type="pct"/>
            <w:vAlign w:val="center"/>
          </w:tcPr>
          <w:p w14:paraId="158789A6"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Fieldfare</w:t>
            </w:r>
          </w:p>
        </w:tc>
        <w:tc>
          <w:tcPr>
            <w:tcW w:w="824" w:type="pct"/>
            <w:vAlign w:val="center"/>
          </w:tcPr>
          <w:p w14:paraId="0BB8660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3C2F8B70"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705208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1568CE7C" w14:textId="77777777" w:rsidTr="00F60B11">
        <w:trPr>
          <w:trHeight w:val="284"/>
        </w:trPr>
        <w:tc>
          <w:tcPr>
            <w:tcW w:w="1224" w:type="pct"/>
            <w:vAlign w:val="center"/>
          </w:tcPr>
          <w:p w14:paraId="2FC22A4B"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Turdus viscivorus</w:t>
            </w:r>
          </w:p>
        </w:tc>
        <w:tc>
          <w:tcPr>
            <w:tcW w:w="1304" w:type="pct"/>
            <w:vAlign w:val="center"/>
          </w:tcPr>
          <w:p w14:paraId="46DD489A"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Mistle Thrush</w:t>
            </w:r>
          </w:p>
        </w:tc>
        <w:tc>
          <w:tcPr>
            <w:tcW w:w="824" w:type="pct"/>
            <w:vAlign w:val="center"/>
          </w:tcPr>
          <w:p w14:paraId="32370F1E"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54BBD35"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45A63C6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App-3</w:t>
            </w:r>
          </w:p>
        </w:tc>
      </w:tr>
      <w:tr w:rsidR="00DC486F" w:rsidRPr="00EE43C6" w14:paraId="697EF39A" w14:textId="77777777" w:rsidTr="00F60B11">
        <w:trPr>
          <w:trHeight w:val="284"/>
        </w:trPr>
        <w:tc>
          <w:tcPr>
            <w:tcW w:w="1224" w:type="pct"/>
            <w:vAlign w:val="center"/>
          </w:tcPr>
          <w:p w14:paraId="70C616F4"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b/>
                <w:sz w:val="18"/>
                <w:szCs w:val="18"/>
              </w:rPr>
              <w:t>Upupidae</w:t>
            </w:r>
          </w:p>
        </w:tc>
        <w:tc>
          <w:tcPr>
            <w:tcW w:w="1304" w:type="pct"/>
            <w:vAlign w:val="center"/>
          </w:tcPr>
          <w:p w14:paraId="7A6B7969"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081DAB35"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753DBFAE" w14:textId="77777777" w:rsidR="00DC486F" w:rsidRPr="00EE43C6" w:rsidRDefault="00DC486F" w:rsidP="00F60B11">
            <w:pPr>
              <w:spacing w:before="0" w:after="0" w:line="240" w:lineRule="auto"/>
              <w:jc w:val="center"/>
              <w:rPr>
                <w:rFonts w:eastAsia="Cambria" w:cs="MS Gothic"/>
                <w:sz w:val="18"/>
                <w:szCs w:val="18"/>
              </w:rPr>
            </w:pPr>
          </w:p>
        </w:tc>
        <w:tc>
          <w:tcPr>
            <w:tcW w:w="824" w:type="pct"/>
            <w:vAlign w:val="center"/>
          </w:tcPr>
          <w:p w14:paraId="5CEF7596" w14:textId="77777777" w:rsidR="00DC486F" w:rsidRPr="00EE43C6" w:rsidRDefault="00DC486F" w:rsidP="00F60B11">
            <w:pPr>
              <w:spacing w:before="0" w:after="0" w:line="240" w:lineRule="auto"/>
              <w:jc w:val="center"/>
              <w:rPr>
                <w:rFonts w:eastAsia="Cambria" w:cs="MS Gothic"/>
                <w:sz w:val="18"/>
                <w:szCs w:val="18"/>
              </w:rPr>
            </w:pPr>
          </w:p>
        </w:tc>
      </w:tr>
      <w:tr w:rsidR="00DC486F" w:rsidRPr="00EE43C6" w14:paraId="547342F1" w14:textId="77777777" w:rsidTr="00F60B11">
        <w:trPr>
          <w:trHeight w:val="284"/>
        </w:trPr>
        <w:tc>
          <w:tcPr>
            <w:tcW w:w="1224" w:type="pct"/>
            <w:vAlign w:val="center"/>
          </w:tcPr>
          <w:p w14:paraId="46543B4E" w14:textId="77777777" w:rsidR="00DC486F" w:rsidRPr="00EE43C6" w:rsidRDefault="00DC486F" w:rsidP="00F60B11">
            <w:pPr>
              <w:spacing w:before="0" w:after="0" w:line="240" w:lineRule="auto"/>
              <w:jc w:val="left"/>
              <w:rPr>
                <w:rFonts w:eastAsia="Cambria" w:cs="MS Gothic"/>
                <w:i/>
                <w:sz w:val="18"/>
                <w:szCs w:val="18"/>
              </w:rPr>
            </w:pPr>
            <w:r w:rsidRPr="00EE43C6">
              <w:rPr>
                <w:rFonts w:eastAsia="Cambria" w:cs="MS Gothic"/>
                <w:i/>
                <w:sz w:val="18"/>
                <w:szCs w:val="18"/>
              </w:rPr>
              <w:t>Upupa epops</w:t>
            </w:r>
          </w:p>
        </w:tc>
        <w:tc>
          <w:tcPr>
            <w:tcW w:w="1304" w:type="pct"/>
            <w:vAlign w:val="center"/>
          </w:tcPr>
          <w:p w14:paraId="2873E971"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Hoopoe</w:t>
            </w:r>
          </w:p>
        </w:tc>
        <w:tc>
          <w:tcPr>
            <w:tcW w:w="824" w:type="pct"/>
            <w:vAlign w:val="center"/>
          </w:tcPr>
          <w:p w14:paraId="01CF602F"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w:t>
            </w:r>
          </w:p>
        </w:tc>
        <w:tc>
          <w:tcPr>
            <w:tcW w:w="824" w:type="pct"/>
            <w:vAlign w:val="center"/>
          </w:tcPr>
          <w:p w14:paraId="0BA98D2C"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LC</w:t>
            </w:r>
          </w:p>
        </w:tc>
        <w:tc>
          <w:tcPr>
            <w:tcW w:w="824" w:type="pct"/>
            <w:vAlign w:val="center"/>
          </w:tcPr>
          <w:p w14:paraId="029976E8" w14:textId="77777777" w:rsidR="00DC486F" w:rsidRPr="00EE43C6" w:rsidRDefault="00DC486F" w:rsidP="00F60B11">
            <w:pPr>
              <w:spacing w:before="0" w:after="0" w:line="240" w:lineRule="auto"/>
              <w:jc w:val="center"/>
              <w:rPr>
                <w:rFonts w:eastAsia="Cambria" w:cs="MS Gothic"/>
                <w:sz w:val="18"/>
                <w:szCs w:val="18"/>
              </w:rPr>
            </w:pPr>
            <w:r w:rsidRPr="00EE43C6">
              <w:rPr>
                <w:rFonts w:eastAsia="Cambria" w:cs="MS Gothic"/>
                <w:sz w:val="18"/>
                <w:szCs w:val="18"/>
              </w:rPr>
              <w:t>App -3</w:t>
            </w:r>
          </w:p>
        </w:tc>
      </w:tr>
    </w:tbl>
    <w:p w14:paraId="0F6AD1D9" w14:textId="5357EE07" w:rsidR="00082434" w:rsidRPr="00EE43C6" w:rsidRDefault="0597B555" w:rsidP="1C429C64">
      <w:pPr>
        <w:rPr>
          <w:rFonts w:cs="MS Gothic"/>
          <w:i/>
          <w:iCs/>
          <w:u w:val="single"/>
        </w:rPr>
      </w:pPr>
      <w:r w:rsidRPr="00EE43C6">
        <w:rPr>
          <w:rFonts w:cs="MS Gothic"/>
          <w:i/>
          <w:iCs/>
          <w:u w:val="single"/>
        </w:rPr>
        <w:t xml:space="preserve">Mammals </w:t>
      </w:r>
    </w:p>
    <w:p w14:paraId="10011C18" w14:textId="7BBEEC79" w:rsidR="00082434" w:rsidRPr="00EE43C6" w:rsidRDefault="004D2976" w:rsidP="00082434">
      <w:pPr>
        <w:rPr>
          <w:lang w:eastAsia="tr-TR"/>
        </w:rPr>
      </w:pPr>
      <w:r w:rsidRPr="005F1B45">
        <w:rPr>
          <w:rFonts w:cs="MS Gothic"/>
          <w:szCs w:val="22"/>
        </w:rPr>
        <w:t>During the EIA</w:t>
      </w:r>
      <w:r w:rsidRPr="00EE43C6">
        <w:rPr>
          <w:rFonts w:cs="MS Gothic"/>
          <w:szCs w:val="22"/>
        </w:rPr>
        <w:t xml:space="preserve"> </w:t>
      </w:r>
      <w:r>
        <w:rPr>
          <w:rFonts w:cs="MS Gothic"/>
          <w:szCs w:val="22"/>
        </w:rPr>
        <w:t xml:space="preserve">studies, </w:t>
      </w:r>
      <w:r w:rsidRPr="00EE43C6">
        <w:rPr>
          <w:lang w:eastAsia="tr-TR"/>
        </w:rPr>
        <w:t>a</w:t>
      </w:r>
      <w:r w:rsidR="00082434" w:rsidRPr="00EE43C6">
        <w:rPr>
          <w:lang w:eastAsia="tr-TR"/>
        </w:rPr>
        <w:t xml:space="preserve"> total of </w:t>
      </w:r>
      <w:r w:rsidR="00AE7A60" w:rsidRPr="00EE43C6">
        <w:rPr>
          <w:lang w:eastAsia="tr-TR"/>
        </w:rPr>
        <w:t>42</w:t>
      </w:r>
      <w:r w:rsidR="00082434" w:rsidRPr="00EE43C6">
        <w:rPr>
          <w:lang w:eastAsia="tr-TR"/>
        </w:rPr>
        <w:t xml:space="preserve"> mammal species belonging to </w:t>
      </w:r>
      <w:r w:rsidR="00AE7A60" w:rsidRPr="00EE43C6">
        <w:rPr>
          <w:lang w:eastAsia="tr-TR"/>
        </w:rPr>
        <w:t>18</w:t>
      </w:r>
      <w:r w:rsidR="00082434" w:rsidRPr="00EE43C6">
        <w:rPr>
          <w:lang w:eastAsia="tr-TR"/>
        </w:rPr>
        <w:t xml:space="preserve"> families were identified in the project area</w:t>
      </w:r>
      <w:r w:rsidR="002D679B">
        <w:rPr>
          <w:lang w:eastAsia="tr-TR"/>
        </w:rPr>
        <w:t xml:space="preserve"> and surroundings</w:t>
      </w:r>
      <w:r w:rsidRPr="004D2976">
        <w:rPr>
          <w:rFonts w:cs="MS Gothic"/>
          <w:szCs w:val="22"/>
        </w:rPr>
        <w:t xml:space="preserve"> </w:t>
      </w:r>
      <w:r w:rsidRPr="005F1B45">
        <w:rPr>
          <w:rFonts w:cs="MS Gothic"/>
          <w:szCs w:val="22"/>
        </w:rPr>
        <w:t xml:space="preserve">through </w:t>
      </w:r>
      <w:r>
        <w:rPr>
          <w:rFonts w:cs="MS Gothic"/>
          <w:szCs w:val="22"/>
        </w:rPr>
        <w:t xml:space="preserve">site observations and </w:t>
      </w:r>
      <w:r w:rsidRPr="005F1B45">
        <w:rPr>
          <w:rFonts w:cs="MS Gothic"/>
          <w:szCs w:val="22"/>
        </w:rPr>
        <w:t>literature research</w:t>
      </w:r>
      <w:r w:rsidRPr="00EE43C6">
        <w:rPr>
          <w:rFonts w:cs="Arial"/>
          <w:szCs w:val="22"/>
        </w:rPr>
        <w:t>.</w:t>
      </w:r>
      <w:r w:rsidRPr="00EE43C6">
        <w:rPr>
          <w:rFonts w:cs="MS Gothic"/>
          <w:szCs w:val="22"/>
        </w:rPr>
        <w:t xml:space="preserve"> </w:t>
      </w:r>
      <w:r w:rsidRPr="005F1B45">
        <w:rPr>
          <w:rFonts w:cs="MS Gothic"/>
          <w:szCs w:val="22"/>
        </w:rPr>
        <w:t>Furthermore, during the ESMP study, habitat suitability was assessed for these species.</w:t>
      </w:r>
      <w:r w:rsidR="00082434" w:rsidRPr="00EE43C6">
        <w:rPr>
          <w:lang w:eastAsia="tr-TR"/>
        </w:rPr>
        <w:t xml:space="preserve"> These mammal species are widely spread in T</w:t>
      </w:r>
      <w:r>
        <w:rPr>
          <w:lang w:eastAsia="tr-TR"/>
        </w:rPr>
        <w:t>ü</w:t>
      </w:r>
      <w:r w:rsidR="00082434" w:rsidRPr="00EE43C6">
        <w:rPr>
          <w:lang w:eastAsia="tr-TR"/>
        </w:rPr>
        <w:t>rkiye and are not endemic.</w:t>
      </w:r>
      <w:r w:rsidR="003E71B5" w:rsidRPr="00EE43C6">
        <w:rPr>
          <w:lang w:eastAsia="tr-TR"/>
        </w:rPr>
        <w:t xml:space="preserve"> There are 1 “EN”, 3 ”VU”, 2 ”NT” and 1 “DD” category species. </w:t>
      </w:r>
      <w:r w:rsidR="00575816" w:rsidRPr="00EE43C6">
        <w:rPr>
          <w:lang w:eastAsia="tr-TR"/>
        </w:rPr>
        <w:t>The remaining species</w:t>
      </w:r>
      <w:r w:rsidR="003E71B5" w:rsidRPr="00EE43C6">
        <w:rPr>
          <w:lang w:eastAsia="tr-TR"/>
        </w:rPr>
        <w:t xml:space="preserve"> are </w:t>
      </w:r>
      <w:r w:rsidR="00575816" w:rsidRPr="00EE43C6">
        <w:rPr>
          <w:lang w:eastAsia="tr-TR"/>
        </w:rPr>
        <w:t>in LC category.</w:t>
      </w:r>
    </w:p>
    <w:p w14:paraId="159F8948" w14:textId="59AFAFB9" w:rsidR="00082434" w:rsidRPr="00EE43C6" w:rsidRDefault="00082434" w:rsidP="00082434">
      <w:pPr>
        <w:rPr>
          <w:lang w:eastAsia="tr-TR"/>
        </w:rPr>
      </w:pPr>
      <w:r w:rsidRPr="00EE43C6">
        <w:rPr>
          <w:lang w:eastAsia="tr-TR"/>
        </w:rPr>
        <w:t xml:space="preserve">The conservation status of mammals identified in the project area is given in </w:t>
      </w:r>
      <w:r w:rsidRPr="00EE43C6">
        <w:rPr>
          <w:lang w:eastAsia="tr-TR"/>
        </w:rPr>
        <w:fldChar w:fldCharType="begin"/>
      </w:r>
      <w:r w:rsidRPr="00EE43C6">
        <w:rPr>
          <w:lang w:eastAsia="tr-TR"/>
        </w:rPr>
        <w:instrText xml:space="preserve"> REF _Ref120284061 \h  \* MERGEFORMAT </w:instrText>
      </w:r>
      <w:r w:rsidRPr="00EE43C6">
        <w:rPr>
          <w:lang w:eastAsia="tr-TR"/>
        </w:rPr>
      </w:r>
      <w:r w:rsidRPr="00EE43C6">
        <w:rPr>
          <w:lang w:eastAsia="tr-TR"/>
        </w:rPr>
        <w:fldChar w:fldCharType="separate"/>
      </w:r>
      <w:r w:rsidR="00F60B11" w:rsidRPr="00EE43C6">
        <w:t>Table 4</w:t>
      </w:r>
      <w:r w:rsidR="00F60B11" w:rsidRPr="00EE43C6">
        <w:noBreakHyphen/>
        <w:t>7</w:t>
      </w:r>
      <w:r w:rsidRPr="00EE43C6">
        <w:rPr>
          <w:lang w:eastAsia="tr-TR"/>
        </w:rPr>
        <w:fldChar w:fldCharType="end"/>
      </w:r>
      <w:r w:rsidRPr="00EE43C6">
        <w:rPr>
          <w:lang w:eastAsia="tr-TR"/>
        </w:rPr>
        <w:t xml:space="preserve">. </w:t>
      </w:r>
    </w:p>
    <w:p w14:paraId="24624A5A" w14:textId="1521DA70" w:rsidR="00082434" w:rsidRPr="00EE43C6" w:rsidRDefault="00302077" w:rsidP="00082434">
      <w:pPr>
        <w:rPr>
          <w:lang w:eastAsia="tr-TR"/>
        </w:rPr>
      </w:pPr>
      <w:r w:rsidRPr="00EE43C6">
        <w:rPr>
          <w:lang w:eastAsia="tr-TR"/>
        </w:rPr>
        <w:t>11</w:t>
      </w:r>
      <w:r w:rsidR="00082434" w:rsidRPr="00EE43C6">
        <w:rPr>
          <w:lang w:eastAsia="tr-TR"/>
        </w:rPr>
        <w:t xml:space="preserve"> of the mammal species are listed in Appendix-3</w:t>
      </w:r>
      <w:r w:rsidR="00F22BB4" w:rsidRPr="00EE43C6">
        <w:rPr>
          <w:lang w:eastAsia="tr-TR"/>
        </w:rPr>
        <w:t xml:space="preserve">, and 16 </w:t>
      </w:r>
      <w:r w:rsidR="00082434" w:rsidRPr="00EE43C6">
        <w:rPr>
          <w:lang w:eastAsia="tr-TR"/>
        </w:rPr>
        <w:t xml:space="preserve">of the </w:t>
      </w:r>
      <w:r w:rsidR="00F22BB4" w:rsidRPr="00EE43C6">
        <w:rPr>
          <w:lang w:eastAsia="tr-TR"/>
        </w:rPr>
        <w:t xml:space="preserve">mammal species are listed in Appendix-2 </w:t>
      </w:r>
      <w:r w:rsidR="00082434" w:rsidRPr="00EE43C6">
        <w:rPr>
          <w:lang w:eastAsia="tr-TR"/>
        </w:rPr>
        <w:t xml:space="preserve">of the Bern Convention. The remaining species are not included in the lists of the Bern Convention. </w:t>
      </w:r>
    </w:p>
    <w:p w14:paraId="69CB2533" w14:textId="77FDFE12" w:rsidR="00082434" w:rsidRPr="00EE43C6" w:rsidRDefault="0597B555" w:rsidP="1C429C64">
      <w:pPr>
        <w:pStyle w:val="Caption"/>
        <w:rPr>
          <w:rFonts w:eastAsia="Cambria" w:cs="MS Gothic"/>
          <w:noProof w:val="0"/>
        </w:rPr>
      </w:pPr>
      <w:bookmarkStart w:id="360" w:name="_Ref120284061"/>
      <w:bookmarkStart w:id="361" w:name="_Toc109643799"/>
      <w:bookmarkStart w:id="362" w:name="_Toc120016855"/>
      <w:bookmarkStart w:id="363" w:name="_Toc120004633"/>
      <w:bookmarkStart w:id="364" w:name="_Toc122089691"/>
      <w:bookmarkStart w:id="365" w:name="_Toc141445502"/>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4</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7</w:t>
      </w:r>
      <w:r w:rsidR="006D2DE8">
        <w:rPr>
          <w:noProof w:val="0"/>
        </w:rPr>
        <w:fldChar w:fldCharType="end"/>
      </w:r>
      <w:bookmarkEnd w:id="360"/>
      <w:r w:rsidRPr="00EE43C6">
        <w:rPr>
          <w:noProof w:val="0"/>
        </w:rPr>
        <w:t xml:space="preserve">. </w:t>
      </w:r>
      <w:r w:rsidRPr="00EE43C6">
        <w:rPr>
          <w:rFonts w:cs="MS Gothic"/>
          <w:b w:val="0"/>
          <w:noProof w:val="0"/>
          <w:color w:val="auto"/>
        </w:rPr>
        <w:t>Mammal Species Identified in the AoI as a Result of Studies</w:t>
      </w:r>
      <w:r w:rsidR="00082434" w:rsidRPr="00EE43C6">
        <w:rPr>
          <w:rStyle w:val="FootnoteReference"/>
          <w:rFonts w:cs="MS Gothic"/>
          <w:b w:val="0"/>
          <w:noProof w:val="0"/>
          <w:color w:val="auto"/>
        </w:rPr>
        <w:footnoteReference w:id="16"/>
      </w:r>
      <w:bookmarkEnd w:id="361"/>
      <w:bookmarkEnd w:id="362"/>
      <w:bookmarkEnd w:id="363"/>
      <w:bookmarkEnd w:id="364"/>
      <w:bookmarkEnd w:id="3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3064"/>
        <w:gridCol w:w="1188"/>
        <w:gridCol w:w="1070"/>
        <w:gridCol w:w="1724"/>
      </w:tblGrid>
      <w:tr w:rsidR="005B4F29" w:rsidRPr="00EE43C6" w14:paraId="17F3E810" w14:textId="77777777" w:rsidTr="00F60B11">
        <w:trPr>
          <w:trHeight w:val="284"/>
          <w:tblHeader/>
        </w:trPr>
        <w:tc>
          <w:tcPr>
            <w:tcW w:w="1109" w:type="pct"/>
            <w:shd w:val="clear" w:color="auto" w:fill="4F81BD"/>
            <w:vAlign w:val="center"/>
          </w:tcPr>
          <w:p w14:paraId="59EAAFC0"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Species Name</w:t>
            </w:r>
          </w:p>
        </w:tc>
        <w:tc>
          <w:tcPr>
            <w:tcW w:w="1692" w:type="pct"/>
            <w:shd w:val="clear" w:color="auto" w:fill="4F81BD"/>
            <w:vAlign w:val="center"/>
          </w:tcPr>
          <w:p w14:paraId="1B654446"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Common name</w:t>
            </w:r>
          </w:p>
        </w:tc>
        <w:tc>
          <w:tcPr>
            <w:tcW w:w="656" w:type="pct"/>
            <w:shd w:val="clear" w:color="auto" w:fill="4F81BD"/>
            <w:vAlign w:val="center"/>
          </w:tcPr>
          <w:p w14:paraId="16F8FE02"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ENDEMISM</w:t>
            </w:r>
          </w:p>
        </w:tc>
        <w:tc>
          <w:tcPr>
            <w:tcW w:w="591" w:type="pct"/>
            <w:shd w:val="clear" w:color="auto" w:fill="4F81BD"/>
            <w:vAlign w:val="center"/>
          </w:tcPr>
          <w:p w14:paraId="69355EA0"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IUCN</w:t>
            </w:r>
          </w:p>
        </w:tc>
        <w:tc>
          <w:tcPr>
            <w:tcW w:w="952" w:type="pct"/>
            <w:shd w:val="clear" w:color="auto" w:fill="4F81BD"/>
            <w:vAlign w:val="center"/>
          </w:tcPr>
          <w:p w14:paraId="3F7C2067"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b/>
                <w:color w:val="FFFFFF" w:themeColor="background1"/>
                <w:sz w:val="18"/>
                <w:szCs w:val="18"/>
              </w:rPr>
              <w:t>BERN</w:t>
            </w:r>
          </w:p>
        </w:tc>
      </w:tr>
      <w:tr w:rsidR="005B4F29" w:rsidRPr="00EE43C6" w14:paraId="0499751F" w14:textId="77777777" w:rsidTr="00F60B11">
        <w:trPr>
          <w:trHeight w:val="284"/>
        </w:trPr>
        <w:tc>
          <w:tcPr>
            <w:tcW w:w="1109" w:type="pct"/>
            <w:vAlign w:val="center"/>
          </w:tcPr>
          <w:p w14:paraId="031A5CB9" w14:textId="77777777" w:rsidR="005B4F29" w:rsidRPr="00EE43C6" w:rsidRDefault="005B4F29" w:rsidP="00445D55">
            <w:pPr>
              <w:widowControl w:val="0"/>
              <w:spacing w:before="0" w:after="0" w:line="240" w:lineRule="auto"/>
              <w:jc w:val="left"/>
              <w:rPr>
                <w:rFonts w:eastAsia="Cambria" w:cs="MS Gothic"/>
                <w:b/>
                <w:sz w:val="18"/>
                <w:szCs w:val="18"/>
              </w:rPr>
            </w:pPr>
            <w:r w:rsidRPr="00EE43C6">
              <w:rPr>
                <w:rFonts w:eastAsia="Cambria" w:cs="MS Gothic"/>
                <w:b/>
                <w:sz w:val="18"/>
                <w:szCs w:val="18"/>
              </w:rPr>
              <w:t>Cricetidae</w:t>
            </w:r>
          </w:p>
        </w:tc>
        <w:tc>
          <w:tcPr>
            <w:tcW w:w="1692" w:type="pct"/>
            <w:vAlign w:val="center"/>
          </w:tcPr>
          <w:p w14:paraId="2563CD72" w14:textId="77777777" w:rsidR="005B4F29" w:rsidRPr="00EE43C6" w:rsidRDefault="005B4F29" w:rsidP="00445D55">
            <w:pPr>
              <w:widowControl w:val="0"/>
              <w:spacing w:before="0" w:after="0" w:line="240" w:lineRule="auto"/>
              <w:jc w:val="center"/>
              <w:rPr>
                <w:rFonts w:eastAsia="Cambria" w:cs="MS Gothic"/>
                <w:b/>
                <w:sz w:val="18"/>
                <w:szCs w:val="18"/>
              </w:rPr>
            </w:pPr>
          </w:p>
        </w:tc>
        <w:tc>
          <w:tcPr>
            <w:tcW w:w="656" w:type="pct"/>
            <w:vAlign w:val="center"/>
          </w:tcPr>
          <w:p w14:paraId="00CD56A7" w14:textId="77777777" w:rsidR="005B4F29" w:rsidRPr="00EE43C6" w:rsidRDefault="005B4F29" w:rsidP="00445D55">
            <w:pPr>
              <w:widowControl w:val="0"/>
              <w:spacing w:before="0" w:after="0" w:line="240" w:lineRule="auto"/>
              <w:jc w:val="center"/>
              <w:rPr>
                <w:rFonts w:eastAsia="Cambria" w:cs="MS Gothic"/>
                <w:b/>
                <w:sz w:val="18"/>
                <w:szCs w:val="18"/>
              </w:rPr>
            </w:pPr>
          </w:p>
        </w:tc>
        <w:tc>
          <w:tcPr>
            <w:tcW w:w="591" w:type="pct"/>
            <w:vAlign w:val="center"/>
          </w:tcPr>
          <w:p w14:paraId="6081ECAE" w14:textId="77777777" w:rsidR="005B4F29" w:rsidRPr="00EE43C6" w:rsidRDefault="005B4F29" w:rsidP="00445D55">
            <w:pPr>
              <w:widowControl w:val="0"/>
              <w:spacing w:before="0" w:after="0" w:line="240" w:lineRule="auto"/>
              <w:jc w:val="center"/>
              <w:rPr>
                <w:rFonts w:eastAsia="Cambria" w:cs="MS Gothic"/>
                <w:b/>
                <w:sz w:val="18"/>
                <w:szCs w:val="18"/>
              </w:rPr>
            </w:pPr>
          </w:p>
        </w:tc>
        <w:tc>
          <w:tcPr>
            <w:tcW w:w="952" w:type="pct"/>
            <w:vAlign w:val="center"/>
          </w:tcPr>
          <w:p w14:paraId="7361A8E6" w14:textId="77777777" w:rsidR="005B4F29" w:rsidRPr="00EE43C6" w:rsidRDefault="005B4F29" w:rsidP="00445D55">
            <w:pPr>
              <w:widowControl w:val="0"/>
              <w:spacing w:before="0" w:after="0" w:line="240" w:lineRule="auto"/>
              <w:jc w:val="center"/>
              <w:rPr>
                <w:rFonts w:eastAsia="Cambria" w:cs="MS Gothic"/>
                <w:b/>
                <w:sz w:val="18"/>
                <w:szCs w:val="18"/>
              </w:rPr>
            </w:pPr>
          </w:p>
        </w:tc>
      </w:tr>
      <w:tr w:rsidR="005B4F29" w:rsidRPr="00EE43C6" w14:paraId="514BCF2A" w14:textId="77777777" w:rsidTr="00F60B11">
        <w:trPr>
          <w:trHeight w:val="284"/>
        </w:trPr>
        <w:tc>
          <w:tcPr>
            <w:tcW w:w="1109" w:type="pct"/>
            <w:vAlign w:val="center"/>
          </w:tcPr>
          <w:p w14:paraId="0E2ED997" w14:textId="77777777" w:rsidR="005B4F29" w:rsidRPr="00EE43C6" w:rsidRDefault="005B4F29" w:rsidP="00445D55">
            <w:pPr>
              <w:widowControl w:val="0"/>
              <w:spacing w:before="0" w:after="0" w:line="240" w:lineRule="auto"/>
              <w:jc w:val="left"/>
              <w:rPr>
                <w:rFonts w:eastAsia="Cambria" w:cs="MS Gothic"/>
                <w:bCs/>
                <w:i/>
                <w:iCs/>
                <w:sz w:val="18"/>
                <w:szCs w:val="18"/>
              </w:rPr>
            </w:pPr>
            <w:r w:rsidRPr="00EE43C6">
              <w:rPr>
                <w:rFonts w:eastAsia="Cambria" w:cs="MS Gothic"/>
                <w:bCs/>
                <w:i/>
                <w:iCs/>
                <w:sz w:val="18"/>
                <w:szCs w:val="18"/>
              </w:rPr>
              <w:t>Cricetulus migratorius</w:t>
            </w:r>
          </w:p>
        </w:tc>
        <w:tc>
          <w:tcPr>
            <w:tcW w:w="1692" w:type="pct"/>
            <w:vAlign w:val="center"/>
          </w:tcPr>
          <w:p w14:paraId="365E3997"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Grey Dwarf Hamster</w:t>
            </w:r>
          </w:p>
        </w:tc>
        <w:tc>
          <w:tcPr>
            <w:tcW w:w="656" w:type="pct"/>
            <w:vAlign w:val="center"/>
          </w:tcPr>
          <w:p w14:paraId="57D4377C" w14:textId="3F65EB77" w:rsidR="005B4F29" w:rsidRPr="00EE43C6" w:rsidRDefault="00F22BB4" w:rsidP="00445D55">
            <w:pPr>
              <w:widowControl w:val="0"/>
              <w:spacing w:before="0" w:after="0" w:line="240" w:lineRule="auto"/>
              <w:jc w:val="center"/>
              <w:rPr>
                <w:rFonts w:eastAsia="Cambria" w:cs="MS Gothic"/>
                <w:sz w:val="18"/>
                <w:szCs w:val="18"/>
              </w:rPr>
            </w:pPr>
            <w:r w:rsidRPr="00EE43C6">
              <w:rPr>
                <w:rFonts w:eastAsia="Cambria" w:cs="MS Gothic"/>
                <w:bCs/>
                <w:sz w:val="18"/>
                <w:szCs w:val="18"/>
              </w:rPr>
              <w:t>-</w:t>
            </w:r>
          </w:p>
        </w:tc>
        <w:tc>
          <w:tcPr>
            <w:tcW w:w="591" w:type="pct"/>
            <w:vAlign w:val="center"/>
          </w:tcPr>
          <w:p w14:paraId="036183E4"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4F0D6E43"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127C6009" w14:textId="77777777" w:rsidTr="00F60B11">
        <w:trPr>
          <w:trHeight w:val="284"/>
        </w:trPr>
        <w:tc>
          <w:tcPr>
            <w:tcW w:w="1109" w:type="pct"/>
            <w:vAlign w:val="center"/>
          </w:tcPr>
          <w:p w14:paraId="64575B64" w14:textId="77777777" w:rsidR="005B4F29" w:rsidRPr="00EE43C6" w:rsidRDefault="005B4F29" w:rsidP="00445D55">
            <w:pPr>
              <w:widowControl w:val="0"/>
              <w:spacing w:before="0" w:after="0" w:line="240" w:lineRule="auto"/>
              <w:jc w:val="left"/>
              <w:rPr>
                <w:rFonts w:eastAsia="Cambria" w:cs="MS Gothic"/>
                <w:bCs/>
                <w:i/>
                <w:iCs/>
                <w:sz w:val="18"/>
                <w:szCs w:val="18"/>
              </w:rPr>
            </w:pPr>
            <w:r w:rsidRPr="00EE43C6">
              <w:rPr>
                <w:rFonts w:eastAsia="Cambria" w:cs="MS Gothic"/>
                <w:bCs/>
                <w:i/>
                <w:iCs/>
                <w:sz w:val="18"/>
                <w:szCs w:val="18"/>
              </w:rPr>
              <w:t>Mesocricetus brandti</w:t>
            </w:r>
          </w:p>
        </w:tc>
        <w:tc>
          <w:tcPr>
            <w:tcW w:w="1692" w:type="pct"/>
            <w:vAlign w:val="center"/>
          </w:tcPr>
          <w:p w14:paraId="065A0311"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Brandt’s Hamster</w:t>
            </w:r>
          </w:p>
        </w:tc>
        <w:tc>
          <w:tcPr>
            <w:tcW w:w="656" w:type="pct"/>
            <w:vAlign w:val="center"/>
          </w:tcPr>
          <w:p w14:paraId="463460B1" w14:textId="4407012F" w:rsidR="005B4F29" w:rsidRPr="00EE43C6" w:rsidRDefault="00F22BB4" w:rsidP="00445D55">
            <w:pPr>
              <w:widowControl w:val="0"/>
              <w:spacing w:before="0" w:after="0" w:line="240" w:lineRule="auto"/>
              <w:jc w:val="center"/>
              <w:rPr>
                <w:rFonts w:eastAsia="Cambria" w:cs="MS Gothic"/>
                <w:sz w:val="18"/>
                <w:szCs w:val="18"/>
              </w:rPr>
            </w:pPr>
            <w:r w:rsidRPr="00EE43C6">
              <w:rPr>
                <w:rFonts w:eastAsia="Cambria" w:cs="MS Gothic"/>
                <w:bCs/>
                <w:sz w:val="18"/>
                <w:szCs w:val="18"/>
              </w:rPr>
              <w:t>-</w:t>
            </w:r>
          </w:p>
        </w:tc>
        <w:tc>
          <w:tcPr>
            <w:tcW w:w="591" w:type="pct"/>
            <w:vAlign w:val="center"/>
          </w:tcPr>
          <w:p w14:paraId="626E4502"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NT</w:t>
            </w:r>
          </w:p>
        </w:tc>
        <w:tc>
          <w:tcPr>
            <w:tcW w:w="952" w:type="pct"/>
            <w:vAlign w:val="center"/>
          </w:tcPr>
          <w:p w14:paraId="3B5A4E5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21E03DD1" w14:textId="77777777" w:rsidTr="00F60B11">
        <w:trPr>
          <w:trHeight w:val="284"/>
        </w:trPr>
        <w:tc>
          <w:tcPr>
            <w:tcW w:w="1109" w:type="pct"/>
            <w:vAlign w:val="center"/>
          </w:tcPr>
          <w:p w14:paraId="487CF97C" w14:textId="77777777" w:rsidR="005B4F29" w:rsidRPr="00EE43C6" w:rsidRDefault="005B4F29" w:rsidP="00445D55">
            <w:pPr>
              <w:widowControl w:val="0"/>
              <w:spacing w:before="0" w:after="0" w:line="240" w:lineRule="auto"/>
              <w:jc w:val="left"/>
              <w:rPr>
                <w:rFonts w:eastAsia="Cambria" w:cs="MS Gothic"/>
                <w:bCs/>
                <w:i/>
                <w:iCs/>
                <w:sz w:val="18"/>
                <w:szCs w:val="18"/>
              </w:rPr>
            </w:pPr>
            <w:r w:rsidRPr="00EE43C6">
              <w:rPr>
                <w:rFonts w:eastAsia="Cambria" w:cs="MS Gothic"/>
                <w:bCs/>
                <w:i/>
                <w:iCs/>
                <w:sz w:val="18"/>
                <w:szCs w:val="18"/>
              </w:rPr>
              <w:t>Microtus guentheri</w:t>
            </w:r>
          </w:p>
        </w:tc>
        <w:tc>
          <w:tcPr>
            <w:tcW w:w="1692" w:type="pct"/>
            <w:vAlign w:val="center"/>
          </w:tcPr>
          <w:p w14:paraId="7D7BD712"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Günther’s Mole</w:t>
            </w:r>
          </w:p>
        </w:tc>
        <w:tc>
          <w:tcPr>
            <w:tcW w:w="656" w:type="pct"/>
            <w:vAlign w:val="center"/>
          </w:tcPr>
          <w:p w14:paraId="12F6C341" w14:textId="5BC53074" w:rsidR="005B4F29" w:rsidRPr="00EE43C6" w:rsidRDefault="00F22BB4" w:rsidP="00445D55">
            <w:pPr>
              <w:widowControl w:val="0"/>
              <w:spacing w:before="0" w:after="0" w:line="240" w:lineRule="auto"/>
              <w:jc w:val="center"/>
              <w:rPr>
                <w:rFonts w:eastAsia="Cambria" w:cs="MS Gothic"/>
                <w:sz w:val="18"/>
                <w:szCs w:val="18"/>
              </w:rPr>
            </w:pPr>
            <w:r w:rsidRPr="00EE43C6">
              <w:rPr>
                <w:rFonts w:eastAsia="Cambria" w:cs="MS Gothic"/>
                <w:bCs/>
                <w:sz w:val="18"/>
                <w:szCs w:val="18"/>
              </w:rPr>
              <w:t>-</w:t>
            </w:r>
          </w:p>
        </w:tc>
        <w:tc>
          <w:tcPr>
            <w:tcW w:w="591" w:type="pct"/>
            <w:vAlign w:val="center"/>
          </w:tcPr>
          <w:p w14:paraId="1FAD55E1"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57C4543B"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6A9CADB0" w14:textId="77777777" w:rsidTr="00F60B11">
        <w:trPr>
          <w:trHeight w:val="284"/>
        </w:trPr>
        <w:tc>
          <w:tcPr>
            <w:tcW w:w="1109" w:type="pct"/>
            <w:vAlign w:val="center"/>
          </w:tcPr>
          <w:p w14:paraId="32B0415C" w14:textId="77777777" w:rsidR="005B4F29" w:rsidRPr="00EE43C6" w:rsidRDefault="005B4F29" w:rsidP="00445D55">
            <w:pPr>
              <w:widowControl w:val="0"/>
              <w:spacing w:before="0" w:after="0" w:line="240" w:lineRule="auto"/>
              <w:jc w:val="left"/>
              <w:rPr>
                <w:rFonts w:eastAsia="Cambria" w:cs="MS Gothic"/>
                <w:b/>
                <w:sz w:val="18"/>
                <w:szCs w:val="18"/>
              </w:rPr>
            </w:pPr>
            <w:r w:rsidRPr="00EE43C6">
              <w:rPr>
                <w:rFonts w:eastAsia="Cambria" w:cs="MS Gothic"/>
                <w:b/>
                <w:sz w:val="18"/>
                <w:szCs w:val="18"/>
              </w:rPr>
              <w:t>Erinaceidae</w:t>
            </w:r>
          </w:p>
        </w:tc>
        <w:tc>
          <w:tcPr>
            <w:tcW w:w="1692" w:type="pct"/>
            <w:vAlign w:val="center"/>
          </w:tcPr>
          <w:p w14:paraId="2EC8365F"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51DAAD15"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4D2EDEE9"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1A2A7A25" w14:textId="77777777" w:rsidR="005B4F29" w:rsidRPr="00EE43C6" w:rsidRDefault="005B4F29" w:rsidP="00445D55">
            <w:pPr>
              <w:widowControl w:val="0"/>
              <w:spacing w:before="0" w:after="0" w:line="240" w:lineRule="auto"/>
              <w:jc w:val="center"/>
              <w:rPr>
                <w:rFonts w:eastAsia="Cambria" w:cs="MS Gothic"/>
                <w:sz w:val="18"/>
                <w:szCs w:val="18"/>
              </w:rPr>
            </w:pPr>
          </w:p>
        </w:tc>
      </w:tr>
      <w:tr w:rsidR="005B4F29" w:rsidRPr="00EE43C6" w14:paraId="78135A81" w14:textId="77777777" w:rsidTr="00F60B11">
        <w:trPr>
          <w:trHeight w:val="284"/>
        </w:trPr>
        <w:tc>
          <w:tcPr>
            <w:tcW w:w="1109" w:type="pct"/>
            <w:vAlign w:val="center"/>
          </w:tcPr>
          <w:p w14:paraId="17C02762"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Erinaceus concolor</w:t>
            </w:r>
          </w:p>
        </w:tc>
        <w:tc>
          <w:tcPr>
            <w:tcW w:w="1692" w:type="pct"/>
            <w:vAlign w:val="center"/>
          </w:tcPr>
          <w:p w14:paraId="41B3AA67"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Southern White-breasted Hedgehog</w:t>
            </w:r>
          </w:p>
        </w:tc>
        <w:tc>
          <w:tcPr>
            <w:tcW w:w="656" w:type="pct"/>
            <w:vAlign w:val="center"/>
          </w:tcPr>
          <w:p w14:paraId="249CF60E" w14:textId="77777777" w:rsidR="005B4F29" w:rsidRPr="00EE43C6" w:rsidRDefault="005B4F29" w:rsidP="00445D55">
            <w:pPr>
              <w:widowControl w:val="0"/>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34983940"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4ED90EA3"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 -3</w:t>
            </w:r>
          </w:p>
        </w:tc>
      </w:tr>
      <w:tr w:rsidR="005B4F29" w:rsidRPr="00EE43C6" w14:paraId="2563CD25" w14:textId="77777777" w:rsidTr="00F60B11">
        <w:trPr>
          <w:trHeight w:val="284"/>
        </w:trPr>
        <w:tc>
          <w:tcPr>
            <w:tcW w:w="1109" w:type="pct"/>
            <w:vAlign w:val="center"/>
          </w:tcPr>
          <w:p w14:paraId="1983F828"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cs="Arial"/>
                <w:i/>
                <w:iCs/>
                <w:sz w:val="18"/>
                <w:szCs w:val="18"/>
                <w:shd w:val="clear" w:color="auto" w:fill="FAF9F8"/>
              </w:rPr>
              <w:t>Erinaceus europeus</w:t>
            </w:r>
          </w:p>
        </w:tc>
        <w:tc>
          <w:tcPr>
            <w:tcW w:w="1692" w:type="pct"/>
            <w:vAlign w:val="center"/>
          </w:tcPr>
          <w:p w14:paraId="76D3E295"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Western European Hedgehog</w:t>
            </w:r>
          </w:p>
        </w:tc>
        <w:tc>
          <w:tcPr>
            <w:tcW w:w="656" w:type="pct"/>
            <w:vAlign w:val="center"/>
          </w:tcPr>
          <w:p w14:paraId="39A855FB" w14:textId="77777777" w:rsidR="005B4F29" w:rsidRPr="00EE43C6" w:rsidRDefault="005B4F29" w:rsidP="00445D55">
            <w:pPr>
              <w:widowControl w:val="0"/>
              <w:tabs>
                <w:tab w:val="center" w:pos="675"/>
              </w:tabs>
              <w:spacing w:before="0" w:after="0" w:line="240" w:lineRule="auto"/>
              <w:jc w:val="center"/>
              <w:rPr>
                <w:rFonts w:eastAsia="Cambria" w:cs="MS Gothic"/>
                <w:sz w:val="18"/>
                <w:szCs w:val="18"/>
              </w:rPr>
            </w:pPr>
          </w:p>
        </w:tc>
        <w:tc>
          <w:tcPr>
            <w:tcW w:w="591" w:type="pct"/>
            <w:vAlign w:val="center"/>
          </w:tcPr>
          <w:p w14:paraId="09F74EBC"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6F943FE3"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App-3</w:t>
            </w:r>
          </w:p>
        </w:tc>
      </w:tr>
      <w:tr w:rsidR="00635702" w:rsidRPr="00EE43C6" w14:paraId="57FDE450" w14:textId="77777777" w:rsidTr="00F60B11">
        <w:trPr>
          <w:trHeight w:val="284"/>
        </w:trPr>
        <w:tc>
          <w:tcPr>
            <w:tcW w:w="1109" w:type="pct"/>
            <w:vAlign w:val="center"/>
          </w:tcPr>
          <w:p w14:paraId="6B47549F" w14:textId="1A989533" w:rsidR="00635702" w:rsidRPr="00EE43C6" w:rsidRDefault="00635702" w:rsidP="00445D55">
            <w:pPr>
              <w:widowControl w:val="0"/>
              <w:spacing w:before="0" w:after="0" w:line="240" w:lineRule="auto"/>
              <w:jc w:val="left"/>
              <w:rPr>
                <w:rFonts w:cs="Arial"/>
                <w:b/>
                <w:bCs/>
                <w:sz w:val="18"/>
                <w:szCs w:val="18"/>
                <w:shd w:val="clear" w:color="auto" w:fill="FAF9F8"/>
              </w:rPr>
            </w:pPr>
            <w:r w:rsidRPr="00EE43C6">
              <w:rPr>
                <w:rFonts w:cs="Arial"/>
                <w:b/>
                <w:bCs/>
                <w:sz w:val="18"/>
                <w:szCs w:val="18"/>
                <w:shd w:val="clear" w:color="auto" w:fill="FAF9F8"/>
              </w:rPr>
              <w:t xml:space="preserve">Felidae </w:t>
            </w:r>
          </w:p>
        </w:tc>
        <w:tc>
          <w:tcPr>
            <w:tcW w:w="1692" w:type="pct"/>
            <w:vAlign w:val="center"/>
          </w:tcPr>
          <w:p w14:paraId="2A863ECA" w14:textId="77777777" w:rsidR="00635702" w:rsidRPr="00EE43C6" w:rsidRDefault="00635702" w:rsidP="00445D55">
            <w:pPr>
              <w:widowControl w:val="0"/>
              <w:spacing w:before="0" w:after="0" w:line="240" w:lineRule="auto"/>
              <w:jc w:val="center"/>
              <w:rPr>
                <w:rFonts w:eastAsia="Cambria" w:cs="MS Gothic"/>
                <w:sz w:val="18"/>
                <w:szCs w:val="18"/>
              </w:rPr>
            </w:pPr>
          </w:p>
        </w:tc>
        <w:tc>
          <w:tcPr>
            <w:tcW w:w="656" w:type="pct"/>
            <w:vAlign w:val="center"/>
          </w:tcPr>
          <w:p w14:paraId="7B239BED" w14:textId="77777777" w:rsidR="00635702" w:rsidRPr="00EE43C6" w:rsidRDefault="00635702" w:rsidP="00445D55">
            <w:pPr>
              <w:widowControl w:val="0"/>
              <w:tabs>
                <w:tab w:val="center" w:pos="675"/>
              </w:tabs>
              <w:spacing w:before="0" w:after="0" w:line="240" w:lineRule="auto"/>
              <w:jc w:val="center"/>
              <w:rPr>
                <w:rFonts w:eastAsia="Cambria" w:cs="MS Gothic"/>
                <w:sz w:val="18"/>
                <w:szCs w:val="18"/>
              </w:rPr>
            </w:pPr>
          </w:p>
        </w:tc>
        <w:tc>
          <w:tcPr>
            <w:tcW w:w="591" w:type="pct"/>
            <w:vAlign w:val="center"/>
          </w:tcPr>
          <w:p w14:paraId="2021DD6B" w14:textId="77777777" w:rsidR="00635702" w:rsidRPr="00EE43C6" w:rsidRDefault="00635702" w:rsidP="00445D55">
            <w:pPr>
              <w:widowControl w:val="0"/>
              <w:spacing w:before="0" w:after="0" w:line="240" w:lineRule="auto"/>
              <w:jc w:val="center"/>
              <w:rPr>
                <w:rFonts w:eastAsia="Cambria" w:cs="MS Gothic"/>
                <w:sz w:val="18"/>
                <w:szCs w:val="18"/>
              </w:rPr>
            </w:pPr>
          </w:p>
        </w:tc>
        <w:tc>
          <w:tcPr>
            <w:tcW w:w="952" w:type="pct"/>
            <w:vAlign w:val="center"/>
          </w:tcPr>
          <w:p w14:paraId="4E381156" w14:textId="77777777" w:rsidR="00635702" w:rsidRPr="00EE43C6" w:rsidRDefault="00635702" w:rsidP="00445D55">
            <w:pPr>
              <w:widowControl w:val="0"/>
              <w:spacing w:before="0" w:after="0" w:line="240" w:lineRule="auto"/>
              <w:jc w:val="center"/>
              <w:rPr>
                <w:rFonts w:eastAsia="Cambria" w:cs="MS Gothic"/>
                <w:sz w:val="18"/>
                <w:szCs w:val="18"/>
              </w:rPr>
            </w:pPr>
          </w:p>
        </w:tc>
      </w:tr>
      <w:tr w:rsidR="00635702" w:rsidRPr="00EE43C6" w14:paraId="0729BCFF" w14:textId="77777777" w:rsidTr="00F60B11">
        <w:trPr>
          <w:trHeight w:val="284"/>
        </w:trPr>
        <w:tc>
          <w:tcPr>
            <w:tcW w:w="1109" w:type="pct"/>
            <w:vAlign w:val="center"/>
          </w:tcPr>
          <w:p w14:paraId="479A4DE1" w14:textId="27DB99F7" w:rsidR="00635702" w:rsidRPr="00EE43C6" w:rsidRDefault="00635702" w:rsidP="00445D55">
            <w:pPr>
              <w:widowControl w:val="0"/>
              <w:spacing w:before="0" w:after="0" w:line="240" w:lineRule="auto"/>
              <w:jc w:val="left"/>
              <w:rPr>
                <w:rFonts w:cs="Arial"/>
                <w:i/>
                <w:iCs/>
                <w:sz w:val="18"/>
                <w:szCs w:val="18"/>
                <w:shd w:val="clear" w:color="auto" w:fill="FAF9F8"/>
              </w:rPr>
            </w:pPr>
            <w:r w:rsidRPr="00EE43C6">
              <w:rPr>
                <w:rFonts w:cs="Arial"/>
                <w:i/>
                <w:iCs/>
                <w:sz w:val="18"/>
                <w:szCs w:val="18"/>
                <w:shd w:val="clear" w:color="auto" w:fill="FAF9F8"/>
              </w:rPr>
              <w:t xml:space="preserve">Felis silvestris </w:t>
            </w:r>
          </w:p>
        </w:tc>
        <w:tc>
          <w:tcPr>
            <w:tcW w:w="1692" w:type="pct"/>
            <w:vAlign w:val="center"/>
          </w:tcPr>
          <w:p w14:paraId="05AA8C88" w14:textId="0510D4DB" w:rsidR="00635702" w:rsidRPr="00EE43C6" w:rsidRDefault="00635702" w:rsidP="00445D55">
            <w:pPr>
              <w:widowControl w:val="0"/>
              <w:spacing w:before="0" w:after="0" w:line="240" w:lineRule="auto"/>
              <w:jc w:val="center"/>
              <w:rPr>
                <w:rFonts w:eastAsia="Cambria" w:cs="MS Gothic"/>
                <w:sz w:val="18"/>
                <w:szCs w:val="18"/>
              </w:rPr>
            </w:pPr>
            <w:r w:rsidRPr="00EE43C6">
              <w:rPr>
                <w:rFonts w:eastAsia="Cambria" w:cs="MS Gothic"/>
                <w:sz w:val="18"/>
                <w:szCs w:val="18"/>
              </w:rPr>
              <w:t>Wild Cat</w:t>
            </w:r>
          </w:p>
        </w:tc>
        <w:tc>
          <w:tcPr>
            <w:tcW w:w="656" w:type="pct"/>
            <w:vAlign w:val="center"/>
          </w:tcPr>
          <w:p w14:paraId="7ADDDE12" w14:textId="71C276E4" w:rsidR="00635702" w:rsidRPr="00EE43C6" w:rsidRDefault="00635702" w:rsidP="00445D55">
            <w:pPr>
              <w:widowControl w:val="0"/>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2C9D603C" w14:textId="651BE33F" w:rsidR="00635702" w:rsidRPr="00EE43C6" w:rsidRDefault="00635702"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2C81B5D7" w14:textId="1E353A4D" w:rsidR="00635702" w:rsidRPr="00EE43C6" w:rsidRDefault="00635702"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53951253" w14:textId="77777777" w:rsidTr="00F60B11">
        <w:trPr>
          <w:trHeight w:val="284"/>
        </w:trPr>
        <w:tc>
          <w:tcPr>
            <w:tcW w:w="1109" w:type="pct"/>
            <w:vAlign w:val="center"/>
          </w:tcPr>
          <w:p w14:paraId="00C1CAA7" w14:textId="77777777" w:rsidR="005B4F29" w:rsidRPr="00EE43C6" w:rsidRDefault="005B4F29" w:rsidP="00445D55">
            <w:pPr>
              <w:widowControl w:val="0"/>
              <w:spacing w:before="0" w:after="0" w:line="240" w:lineRule="auto"/>
              <w:jc w:val="left"/>
              <w:rPr>
                <w:rFonts w:cs="Arial"/>
                <w:b/>
                <w:bCs/>
                <w:sz w:val="18"/>
                <w:szCs w:val="18"/>
                <w:shd w:val="clear" w:color="auto" w:fill="FAF9F8"/>
              </w:rPr>
            </w:pPr>
            <w:r w:rsidRPr="00EE43C6">
              <w:rPr>
                <w:rFonts w:cs="Arial"/>
                <w:b/>
                <w:bCs/>
                <w:sz w:val="18"/>
                <w:szCs w:val="18"/>
                <w:shd w:val="clear" w:color="auto" w:fill="FAF9F8"/>
              </w:rPr>
              <w:lastRenderedPageBreak/>
              <w:t>Talpidae</w:t>
            </w:r>
          </w:p>
        </w:tc>
        <w:tc>
          <w:tcPr>
            <w:tcW w:w="1692" w:type="pct"/>
            <w:vAlign w:val="center"/>
          </w:tcPr>
          <w:p w14:paraId="258823B7"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72CEDC0D" w14:textId="77777777" w:rsidR="005B4F29" w:rsidRPr="00EE43C6" w:rsidRDefault="005B4F29" w:rsidP="00445D55">
            <w:pPr>
              <w:widowControl w:val="0"/>
              <w:tabs>
                <w:tab w:val="center" w:pos="675"/>
              </w:tabs>
              <w:spacing w:before="0" w:after="0" w:line="240" w:lineRule="auto"/>
              <w:jc w:val="center"/>
              <w:rPr>
                <w:rFonts w:eastAsia="Cambria" w:cs="MS Gothic"/>
                <w:sz w:val="18"/>
                <w:szCs w:val="18"/>
              </w:rPr>
            </w:pPr>
          </w:p>
        </w:tc>
        <w:tc>
          <w:tcPr>
            <w:tcW w:w="591" w:type="pct"/>
            <w:vAlign w:val="center"/>
          </w:tcPr>
          <w:p w14:paraId="04DCC963"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252690FD" w14:textId="77777777" w:rsidR="005B4F29" w:rsidRPr="00EE43C6" w:rsidRDefault="005B4F29" w:rsidP="00445D55">
            <w:pPr>
              <w:widowControl w:val="0"/>
              <w:spacing w:before="0" w:after="0" w:line="240" w:lineRule="auto"/>
              <w:jc w:val="center"/>
              <w:rPr>
                <w:rFonts w:eastAsia="Cambria" w:cs="MS Gothic"/>
                <w:sz w:val="18"/>
                <w:szCs w:val="18"/>
              </w:rPr>
            </w:pPr>
          </w:p>
        </w:tc>
      </w:tr>
      <w:tr w:rsidR="005B4F29" w:rsidRPr="00EE43C6" w14:paraId="15A3B310" w14:textId="77777777" w:rsidTr="00F60B11">
        <w:trPr>
          <w:trHeight w:val="284"/>
        </w:trPr>
        <w:tc>
          <w:tcPr>
            <w:tcW w:w="1109" w:type="pct"/>
            <w:vAlign w:val="center"/>
          </w:tcPr>
          <w:p w14:paraId="18ECE0E2" w14:textId="77777777" w:rsidR="005B4F29" w:rsidRPr="00EE43C6" w:rsidRDefault="005B4F29" w:rsidP="00445D55">
            <w:pPr>
              <w:widowControl w:val="0"/>
              <w:spacing w:before="0" w:after="0" w:line="240" w:lineRule="auto"/>
              <w:jc w:val="left"/>
              <w:rPr>
                <w:rFonts w:cs="Arial"/>
                <w:i/>
                <w:sz w:val="18"/>
                <w:szCs w:val="18"/>
                <w:shd w:val="clear" w:color="auto" w:fill="FAF9F8"/>
              </w:rPr>
            </w:pPr>
            <w:r w:rsidRPr="00EE43C6">
              <w:rPr>
                <w:rFonts w:cs="Arial"/>
                <w:i/>
                <w:sz w:val="18"/>
                <w:szCs w:val="18"/>
                <w:shd w:val="clear" w:color="auto" w:fill="FAF9F8"/>
              </w:rPr>
              <w:t>Talpa europaea</w:t>
            </w:r>
          </w:p>
        </w:tc>
        <w:tc>
          <w:tcPr>
            <w:tcW w:w="1692" w:type="pct"/>
            <w:vAlign w:val="center"/>
          </w:tcPr>
          <w:p w14:paraId="527BF2B3"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European Mole</w:t>
            </w:r>
          </w:p>
        </w:tc>
        <w:tc>
          <w:tcPr>
            <w:tcW w:w="656" w:type="pct"/>
            <w:vAlign w:val="center"/>
          </w:tcPr>
          <w:p w14:paraId="781AAA7F" w14:textId="36E0BDD0" w:rsidR="005B4F29" w:rsidRPr="00EE43C6" w:rsidRDefault="00F22BB4" w:rsidP="00445D55">
            <w:pPr>
              <w:widowControl w:val="0"/>
              <w:tabs>
                <w:tab w:val="center" w:pos="675"/>
              </w:tabs>
              <w:spacing w:before="0" w:after="0" w:line="240" w:lineRule="auto"/>
              <w:jc w:val="center"/>
              <w:rPr>
                <w:rFonts w:eastAsia="Cambria" w:cs="MS Gothic"/>
                <w:sz w:val="18"/>
                <w:szCs w:val="18"/>
              </w:rPr>
            </w:pPr>
            <w:r w:rsidRPr="00EE43C6">
              <w:rPr>
                <w:rFonts w:eastAsia="Cambria" w:cs="MS Gothic"/>
                <w:bCs/>
                <w:sz w:val="18"/>
                <w:szCs w:val="18"/>
              </w:rPr>
              <w:t>-</w:t>
            </w:r>
          </w:p>
        </w:tc>
        <w:tc>
          <w:tcPr>
            <w:tcW w:w="591" w:type="pct"/>
            <w:vAlign w:val="center"/>
          </w:tcPr>
          <w:p w14:paraId="320BB270"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05C94689"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App-3</w:t>
            </w:r>
          </w:p>
        </w:tc>
      </w:tr>
      <w:tr w:rsidR="005B4F29" w:rsidRPr="00EE43C6" w14:paraId="5FAB13A1" w14:textId="77777777" w:rsidTr="00F60B11">
        <w:trPr>
          <w:trHeight w:val="284"/>
        </w:trPr>
        <w:tc>
          <w:tcPr>
            <w:tcW w:w="1109" w:type="pct"/>
            <w:vAlign w:val="center"/>
          </w:tcPr>
          <w:p w14:paraId="4419369E" w14:textId="77777777" w:rsidR="005B4F29" w:rsidRPr="00EE43C6" w:rsidRDefault="005B4F29" w:rsidP="00445D55">
            <w:pPr>
              <w:widowControl w:val="0"/>
              <w:spacing w:before="0" w:after="0" w:line="240" w:lineRule="auto"/>
              <w:jc w:val="left"/>
              <w:rPr>
                <w:rFonts w:cs="Arial"/>
                <w:b/>
                <w:bCs/>
                <w:sz w:val="18"/>
                <w:szCs w:val="18"/>
                <w:shd w:val="clear" w:color="auto" w:fill="FAF9F8"/>
              </w:rPr>
            </w:pPr>
            <w:r w:rsidRPr="00EE43C6">
              <w:rPr>
                <w:rFonts w:cs="Arial"/>
                <w:b/>
                <w:bCs/>
                <w:sz w:val="18"/>
                <w:szCs w:val="18"/>
                <w:shd w:val="clear" w:color="auto" w:fill="FAF9F8"/>
              </w:rPr>
              <w:t>Gliridae</w:t>
            </w:r>
          </w:p>
        </w:tc>
        <w:tc>
          <w:tcPr>
            <w:tcW w:w="1692" w:type="pct"/>
            <w:vAlign w:val="center"/>
          </w:tcPr>
          <w:p w14:paraId="16512205"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4192CC65" w14:textId="77777777" w:rsidR="005B4F29" w:rsidRPr="00EE43C6" w:rsidRDefault="005B4F29" w:rsidP="00445D55">
            <w:pPr>
              <w:widowControl w:val="0"/>
              <w:tabs>
                <w:tab w:val="center" w:pos="675"/>
              </w:tabs>
              <w:spacing w:before="0" w:after="0" w:line="240" w:lineRule="auto"/>
              <w:jc w:val="center"/>
              <w:rPr>
                <w:rFonts w:eastAsia="Cambria" w:cs="MS Gothic"/>
                <w:sz w:val="18"/>
                <w:szCs w:val="18"/>
              </w:rPr>
            </w:pPr>
          </w:p>
        </w:tc>
        <w:tc>
          <w:tcPr>
            <w:tcW w:w="591" w:type="pct"/>
            <w:vAlign w:val="center"/>
          </w:tcPr>
          <w:p w14:paraId="37B80978"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2A502513" w14:textId="77777777" w:rsidR="005B4F29" w:rsidRPr="00EE43C6" w:rsidRDefault="005B4F29" w:rsidP="00445D55">
            <w:pPr>
              <w:widowControl w:val="0"/>
              <w:spacing w:before="0" w:after="0" w:line="240" w:lineRule="auto"/>
              <w:jc w:val="center"/>
              <w:rPr>
                <w:rFonts w:eastAsia="Cambria" w:cs="MS Gothic"/>
                <w:sz w:val="18"/>
                <w:szCs w:val="18"/>
              </w:rPr>
            </w:pPr>
          </w:p>
        </w:tc>
      </w:tr>
      <w:tr w:rsidR="005B4F29" w:rsidRPr="00EE43C6" w14:paraId="2BDC9018" w14:textId="77777777" w:rsidTr="00F60B11">
        <w:trPr>
          <w:trHeight w:val="284"/>
        </w:trPr>
        <w:tc>
          <w:tcPr>
            <w:tcW w:w="1109" w:type="pct"/>
            <w:vAlign w:val="center"/>
          </w:tcPr>
          <w:p w14:paraId="411CFD80" w14:textId="77777777" w:rsidR="005B4F29" w:rsidRPr="00EE43C6" w:rsidRDefault="005B4F29" w:rsidP="00445D55">
            <w:pPr>
              <w:widowControl w:val="0"/>
              <w:spacing w:before="0" w:after="0" w:line="240" w:lineRule="auto"/>
              <w:jc w:val="left"/>
              <w:rPr>
                <w:rFonts w:cs="Arial"/>
                <w:i/>
                <w:sz w:val="18"/>
                <w:szCs w:val="18"/>
                <w:shd w:val="clear" w:color="auto" w:fill="FAF9F8"/>
              </w:rPr>
            </w:pPr>
            <w:r w:rsidRPr="00EE43C6">
              <w:rPr>
                <w:rFonts w:cs="Arial"/>
                <w:i/>
                <w:sz w:val="18"/>
                <w:szCs w:val="18"/>
                <w:shd w:val="clear" w:color="auto" w:fill="FAF9F8"/>
              </w:rPr>
              <w:t>Glis glis</w:t>
            </w:r>
          </w:p>
        </w:tc>
        <w:tc>
          <w:tcPr>
            <w:tcW w:w="1692" w:type="pct"/>
            <w:vAlign w:val="center"/>
          </w:tcPr>
          <w:p w14:paraId="1035F490"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Edible Dormouse</w:t>
            </w:r>
          </w:p>
        </w:tc>
        <w:tc>
          <w:tcPr>
            <w:tcW w:w="656" w:type="pct"/>
            <w:vAlign w:val="center"/>
          </w:tcPr>
          <w:p w14:paraId="00F402B8" w14:textId="77777777" w:rsidR="005B4F29" w:rsidRPr="00EE43C6" w:rsidRDefault="005B4F29" w:rsidP="00445D55">
            <w:pPr>
              <w:widowControl w:val="0"/>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2C190E7C"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584D6305"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App-3</w:t>
            </w:r>
          </w:p>
        </w:tc>
      </w:tr>
      <w:tr w:rsidR="001C3F09" w:rsidRPr="00EE43C6" w14:paraId="06566D9B" w14:textId="77777777" w:rsidTr="00F60B11">
        <w:trPr>
          <w:trHeight w:val="284"/>
        </w:trPr>
        <w:tc>
          <w:tcPr>
            <w:tcW w:w="1109" w:type="pct"/>
            <w:vAlign w:val="center"/>
          </w:tcPr>
          <w:p w14:paraId="55CD7C13" w14:textId="2D9F14DA" w:rsidR="001C3F09" w:rsidRPr="00EE43C6" w:rsidRDefault="001C3F09" w:rsidP="00445D55">
            <w:pPr>
              <w:widowControl w:val="0"/>
              <w:spacing w:before="0" w:after="0" w:line="240" w:lineRule="auto"/>
              <w:jc w:val="left"/>
              <w:rPr>
                <w:rFonts w:cs="Arial"/>
                <w:b/>
                <w:sz w:val="18"/>
                <w:szCs w:val="18"/>
                <w:shd w:val="clear" w:color="auto" w:fill="FAF9F8"/>
              </w:rPr>
            </w:pPr>
            <w:r w:rsidRPr="00EE43C6">
              <w:rPr>
                <w:rFonts w:cs="Arial"/>
                <w:b/>
                <w:sz w:val="18"/>
                <w:szCs w:val="18"/>
                <w:shd w:val="clear" w:color="auto" w:fill="FAF9F8"/>
              </w:rPr>
              <w:t>Hystricidae</w:t>
            </w:r>
          </w:p>
        </w:tc>
        <w:tc>
          <w:tcPr>
            <w:tcW w:w="1692" w:type="pct"/>
            <w:vAlign w:val="center"/>
          </w:tcPr>
          <w:p w14:paraId="471DBE4B" w14:textId="77777777" w:rsidR="001C3F09" w:rsidRPr="00EE43C6" w:rsidRDefault="001C3F09" w:rsidP="00445D55">
            <w:pPr>
              <w:widowControl w:val="0"/>
              <w:spacing w:before="0" w:after="0" w:line="240" w:lineRule="auto"/>
              <w:jc w:val="center"/>
              <w:rPr>
                <w:rFonts w:eastAsia="Cambria" w:cs="MS Gothic"/>
                <w:sz w:val="18"/>
                <w:szCs w:val="18"/>
              </w:rPr>
            </w:pPr>
          </w:p>
        </w:tc>
        <w:tc>
          <w:tcPr>
            <w:tcW w:w="656" w:type="pct"/>
            <w:vAlign w:val="center"/>
          </w:tcPr>
          <w:p w14:paraId="5B1A1178" w14:textId="77777777" w:rsidR="001C3F09" w:rsidRPr="00EE43C6" w:rsidRDefault="001C3F09" w:rsidP="00445D55">
            <w:pPr>
              <w:widowControl w:val="0"/>
              <w:tabs>
                <w:tab w:val="center" w:pos="675"/>
              </w:tabs>
              <w:spacing w:before="0" w:after="0" w:line="240" w:lineRule="auto"/>
              <w:jc w:val="center"/>
              <w:rPr>
                <w:rFonts w:eastAsia="Cambria" w:cs="MS Gothic"/>
                <w:sz w:val="18"/>
                <w:szCs w:val="18"/>
              </w:rPr>
            </w:pPr>
          </w:p>
        </w:tc>
        <w:tc>
          <w:tcPr>
            <w:tcW w:w="591" w:type="pct"/>
            <w:vAlign w:val="center"/>
          </w:tcPr>
          <w:p w14:paraId="121D1AB6" w14:textId="77777777" w:rsidR="001C3F09" w:rsidRPr="00EE43C6" w:rsidRDefault="001C3F09" w:rsidP="00445D55">
            <w:pPr>
              <w:widowControl w:val="0"/>
              <w:spacing w:before="0" w:after="0" w:line="240" w:lineRule="auto"/>
              <w:jc w:val="center"/>
              <w:rPr>
                <w:rFonts w:eastAsia="Cambria" w:cs="MS Gothic"/>
                <w:sz w:val="18"/>
                <w:szCs w:val="18"/>
              </w:rPr>
            </w:pPr>
          </w:p>
        </w:tc>
        <w:tc>
          <w:tcPr>
            <w:tcW w:w="952" w:type="pct"/>
            <w:vAlign w:val="center"/>
          </w:tcPr>
          <w:p w14:paraId="01968419" w14:textId="77777777" w:rsidR="001C3F09" w:rsidRPr="00EE43C6" w:rsidRDefault="001C3F09" w:rsidP="00445D55">
            <w:pPr>
              <w:widowControl w:val="0"/>
              <w:spacing w:before="0" w:after="0" w:line="240" w:lineRule="auto"/>
              <w:jc w:val="center"/>
              <w:rPr>
                <w:rFonts w:eastAsia="Cambria" w:cs="MS Gothic"/>
                <w:sz w:val="18"/>
                <w:szCs w:val="18"/>
              </w:rPr>
            </w:pPr>
          </w:p>
        </w:tc>
      </w:tr>
      <w:tr w:rsidR="001C3F09" w:rsidRPr="00EE43C6" w14:paraId="1E84C1E8" w14:textId="77777777" w:rsidTr="00F60B11">
        <w:trPr>
          <w:trHeight w:val="284"/>
        </w:trPr>
        <w:tc>
          <w:tcPr>
            <w:tcW w:w="1109" w:type="pct"/>
            <w:vAlign w:val="center"/>
          </w:tcPr>
          <w:p w14:paraId="17AF6228" w14:textId="388AB698" w:rsidR="001C3F09" w:rsidRPr="00EE43C6" w:rsidRDefault="001C3F09" w:rsidP="00445D55">
            <w:pPr>
              <w:widowControl w:val="0"/>
              <w:spacing w:before="0" w:after="0" w:line="240" w:lineRule="auto"/>
              <w:jc w:val="left"/>
              <w:rPr>
                <w:rFonts w:cs="Arial"/>
                <w:i/>
                <w:sz w:val="18"/>
                <w:szCs w:val="18"/>
                <w:shd w:val="clear" w:color="auto" w:fill="FAF9F8"/>
              </w:rPr>
            </w:pPr>
            <w:r w:rsidRPr="00EE43C6">
              <w:rPr>
                <w:rFonts w:cs="Arial"/>
                <w:i/>
                <w:sz w:val="18"/>
                <w:szCs w:val="18"/>
                <w:shd w:val="clear" w:color="auto" w:fill="FAF9F8"/>
              </w:rPr>
              <w:t>Hystrix indica</w:t>
            </w:r>
          </w:p>
        </w:tc>
        <w:tc>
          <w:tcPr>
            <w:tcW w:w="1692" w:type="pct"/>
            <w:vAlign w:val="center"/>
          </w:tcPr>
          <w:p w14:paraId="3E555C31" w14:textId="5FC1991F" w:rsidR="001C3F09" w:rsidRPr="00EE43C6" w:rsidRDefault="001C3F09" w:rsidP="00445D55">
            <w:pPr>
              <w:widowControl w:val="0"/>
              <w:spacing w:before="0" w:after="0" w:line="240" w:lineRule="auto"/>
              <w:jc w:val="center"/>
              <w:rPr>
                <w:rFonts w:eastAsia="Cambria" w:cs="MS Gothic"/>
                <w:sz w:val="18"/>
                <w:szCs w:val="18"/>
              </w:rPr>
            </w:pPr>
            <w:r w:rsidRPr="00EE43C6">
              <w:rPr>
                <w:rFonts w:eastAsia="Cambria" w:cs="MS Gothic"/>
                <w:sz w:val="18"/>
                <w:szCs w:val="18"/>
              </w:rPr>
              <w:t>Indian Crested Porcupine</w:t>
            </w:r>
          </w:p>
        </w:tc>
        <w:tc>
          <w:tcPr>
            <w:tcW w:w="656" w:type="pct"/>
            <w:vAlign w:val="center"/>
          </w:tcPr>
          <w:p w14:paraId="6BBE9E76" w14:textId="7F30770A" w:rsidR="001C3F09" w:rsidRPr="00EE43C6" w:rsidRDefault="00755EED" w:rsidP="00445D55">
            <w:pPr>
              <w:widowControl w:val="0"/>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0AD20CD5" w14:textId="03E5D8E9" w:rsidR="001C3F09" w:rsidRPr="00EE43C6" w:rsidRDefault="00755EED"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3742F383" w14:textId="4D81E826" w:rsidR="001C3F09" w:rsidRPr="00EE43C6" w:rsidRDefault="00755EED"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71DEE60A" w14:textId="77777777" w:rsidTr="00F60B11">
        <w:trPr>
          <w:trHeight w:val="284"/>
        </w:trPr>
        <w:tc>
          <w:tcPr>
            <w:tcW w:w="1109" w:type="pct"/>
            <w:vAlign w:val="center"/>
          </w:tcPr>
          <w:p w14:paraId="4790BFA3" w14:textId="77777777" w:rsidR="005B4F29" w:rsidRPr="00EE43C6" w:rsidRDefault="005B4F29" w:rsidP="00445D55">
            <w:pPr>
              <w:widowControl w:val="0"/>
              <w:spacing w:before="0" w:after="0" w:line="240" w:lineRule="auto"/>
              <w:jc w:val="left"/>
              <w:rPr>
                <w:rFonts w:eastAsia="Cambria" w:cs="MS Gothic"/>
                <w:b/>
                <w:sz w:val="18"/>
                <w:szCs w:val="18"/>
              </w:rPr>
            </w:pPr>
            <w:r w:rsidRPr="00EE43C6">
              <w:rPr>
                <w:rFonts w:eastAsia="Cambria" w:cs="MS Gothic"/>
                <w:b/>
                <w:sz w:val="18"/>
                <w:szCs w:val="18"/>
              </w:rPr>
              <w:t>Leporidae</w:t>
            </w:r>
          </w:p>
        </w:tc>
        <w:tc>
          <w:tcPr>
            <w:tcW w:w="1692" w:type="pct"/>
            <w:vAlign w:val="center"/>
          </w:tcPr>
          <w:p w14:paraId="17149EAB"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0D17C06B"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633D887C"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4AA9DF0E" w14:textId="77777777" w:rsidR="005B4F29" w:rsidRPr="00EE43C6" w:rsidRDefault="005B4F29" w:rsidP="00445D55">
            <w:pPr>
              <w:widowControl w:val="0"/>
              <w:spacing w:before="0" w:after="0" w:line="240" w:lineRule="auto"/>
              <w:jc w:val="center"/>
              <w:rPr>
                <w:rFonts w:eastAsia="Cambria" w:cs="MS Gothic"/>
                <w:sz w:val="18"/>
                <w:szCs w:val="18"/>
              </w:rPr>
            </w:pPr>
          </w:p>
        </w:tc>
      </w:tr>
      <w:tr w:rsidR="005B4F29" w:rsidRPr="00EE43C6" w14:paraId="329D2A62" w14:textId="77777777" w:rsidTr="00F60B11">
        <w:trPr>
          <w:trHeight w:val="284"/>
        </w:trPr>
        <w:tc>
          <w:tcPr>
            <w:tcW w:w="1109" w:type="pct"/>
            <w:vAlign w:val="center"/>
          </w:tcPr>
          <w:p w14:paraId="0F2BF231"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Lepus europaeus</w:t>
            </w:r>
          </w:p>
        </w:tc>
        <w:tc>
          <w:tcPr>
            <w:tcW w:w="1692" w:type="pct"/>
            <w:vAlign w:val="center"/>
          </w:tcPr>
          <w:p w14:paraId="23F6EC4A"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European Hare</w:t>
            </w:r>
          </w:p>
        </w:tc>
        <w:tc>
          <w:tcPr>
            <w:tcW w:w="656" w:type="pct"/>
            <w:vAlign w:val="center"/>
          </w:tcPr>
          <w:p w14:paraId="52D385FC" w14:textId="77777777" w:rsidR="005B4F29" w:rsidRPr="00EE43C6" w:rsidRDefault="005B4F29" w:rsidP="00445D55">
            <w:pPr>
              <w:widowControl w:val="0"/>
              <w:tabs>
                <w:tab w:val="center" w:pos="675"/>
              </w:tabs>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17C7E9BE"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6B5EE5A7"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App-3</w:t>
            </w:r>
          </w:p>
        </w:tc>
      </w:tr>
      <w:tr w:rsidR="005B4F29" w:rsidRPr="00EE43C6" w14:paraId="533CD420" w14:textId="77777777" w:rsidTr="00F60B11">
        <w:trPr>
          <w:trHeight w:val="284"/>
        </w:trPr>
        <w:tc>
          <w:tcPr>
            <w:tcW w:w="1109" w:type="pct"/>
            <w:vAlign w:val="center"/>
          </w:tcPr>
          <w:p w14:paraId="526FCF09" w14:textId="77777777" w:rsidR="005B4F29" w:rsidRPr="00EE43C6" w:rsidRDefault="005B4F29" w:rsidP="00445D55">
            <w:pPr>
              <w:widowControl w:val="0"/>
              <w:spacing w:before="0" w:after="0" w:line="240" w:lineRule="auto"/>
              <w:jc w:val="left"/>
              <w:rPr>
                <w:rFonts w:eastAsia="Cambria" w:cs="MS Gothic"/>
                <w:b/>
                <w:bCs/>
                <w:iCs/>
                <w:sz w:val="18"/>
                <w:szCs w:val="18"/>
              </w:rPr>
            </w:pPr>
            <w:r w:rsidRPr="00EE43C6">
              <w:rPr>
                <w:rFonts w:eastAsia="Cambria" w:cs="MS Gothic"/>
                <w:b/>
                <w:bCs/>
                <w:iCs/>
                <w:sz w:val="18"/>
                <w:szCs w:val="18"/>
              </w:rPr>
              <w:t>Miniopteridae</w:t>
            </w:r>
          </w:p>
        </w:tc>
        <w:tc>
          <w:tcPr>
            <w:tcW w:w="1692" w:type="pct"/>
            <w:vAlign w:val="center"/>
          </w:tcPr>
          <w:p w14:paraId="26667984"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44509059" w14:textId="77777777" w:rsidR="005B4F29" w:rsidRPr="00EE43C6" w:rsidRDefault="005B4F29" w:rsidP="00445D55">
            <w:pPr>
              <w:widowControl w:val="0"/>
              <w:tabs>
                <w:tab w:val="center" w:pos="675"/>
              </w:tabs>
              <w:spacing w:before="0" w:after="0" w:line="240" w:lineRule="auto"/>
              <w:jc w:val="center"/>
              <w:rPr>
                <w:rFonts w:eastAsia="Cambria" w:cs="MS Gothic"/>
                <w:sz w:val="18"/>
                <w:szCs w:val="18"/>
              </w:rPr>
            </w:pPr>
          </w:p>
        </w:tc>
        <w:tc>
          <w:tcPr>
            <w:tcW w:w="591" w:type="pct"/>
            <w:vAlign w:val="center"/>
          </w:tcPr>
          <w:p w14:paraId="61BE868A"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653C3EA9" w14:textId="77777777" w:rsidR="005B4F29" w:rsidRPr="00EE43C6" w:rsidRDefault="005B4F29" w:rsidP="00445D55">
            <w:pPr>
              <w:widowControl w:val="0"/>
              <w:spacing w:before="0" w:after="0" w:line="240" w:lineRule="auto"/>
              <w:jc w:val="center"/>
              <w:rPr>
                <w:rFonts w:eastAsia="Cambria" w:cs="MS Gothic"/>
                <w:sz w:val="18"/>
                <w:szCs w:val="18"/>
              </w:rPr>
            </w:pPr>
          </w:p>
        </w:tc>
      </w:tr>
      <w:tr w:rsidR="005B4F29" w:rsidRPr="00EE43C6" w14:paraId="1EDC0910" w14:textId="77777777" w:rsidTr="00F60B11">
        <w:trPr>
          <w:trHeight w:val="284"/>
        </w:trPr>
        <w:tc>
          <w:tcPr>
            <w:tcW w:w="1109" w:type="pct"/>
            <w:vAlign w:val="center"/>
          </w:tcPr>
          <w:p w14:paraId="5FA2BDB1"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Miniopterus schreibersii</w:t>
            </w:r>
          </w:p>
        </w:tc>
        <w:tc>
          <w:tcPr>
            <w:tcW w:w="1692" w:type="pct"/>
            <w:vAlign w:val="center"/>
          </w:tcPr>
          <w:p w14:paraId="015428FD"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Schreiber’s Bent-winged Bat</w:t>
            </w:r>
          </w:p>
        </w:tc>
        <w:tc>
          <w:tcPr>
            <w:tcW w:w="656" w:type="pct"/>
            <w:vAlign w:val="center"/>
          </w:tcPr>
          <w:p w14:paraId="14B524CA" w14:textId="03C03FC4" w:rsidR="005B4F29" w:rsidRPr="00EE43C6" w:rsidRDefault="00F22BB4" w:rsidP="00445D55">
            <w:pPr>
              <w:widowControl w:val="0"/>
              <w:tabs>
                <w:tab w:val="center" w:pos="675"/>
              </w:tabs>
              <w:spacing w:before="0" w:after="0" w:line="240" w:lineRule="auto"/>
              <w:jc w:val="center"/>
              <w:rPr>
                <w:rFonts w:eastAsia="Cambria" w:cs="MS Gothic"/>
                <w:sz w:val="18"/>
                <w:szCs w:val="18"/>
              </w:rPr>
            </w:pPr>
            <w:r w:rsidRPr="00EE43C6">
              <w:rPr>
                <w:rFonts w:eastAsia="Cambria" w:cs="MS Gothic"/>
                <w:bCs/>
                <w:sz w:val="18"/>
                <w:szCs w:val="18"/>
              </w:rPr>
              <w:t>-</w:t>
            </w:r>
          </w:p>
        </w:tc>
        <w:tc>
          <w:tcPr>
            <w:tcW w:w="591" w:type="pct"/>
            <w:vAlign w:val="center"/>
          </w:tcPr>
          <w:p w14:paraId="045119AD"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VU</w:t>
            </w:r>
          </w:p>
        </w:tc>
        <w:tc>
          <w:tcPr>
            <w:tcW w:w="952" w:type="pct"/>
            <w:vAlign w:val="center"/>
          </w:tcPr>
          <w:p w14:paraId="3652BAFB"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0B6658A9" w14:textId="77777777" w:rsidTr="00F60B11">
        <w:trPr>
          <w:trHeight w:val="284"/>
        </w:trPr>
        <w:tc>
          <w:tcPr>
            <w:tcW w:w="1109" w:type="pct"/>
            <w:vAlign w:val="center"/>
          </w:tcPr>
          <w:p w14:paraId="7A546CBF" w14:textId="77777777" w:rsidR="005B4F29" w:rsidRPr="00EE43C6" w:rsidRDefault="005B4F29" w:rsidP="00445D55">
            <w:pPr>
              <w:widowControl w:val="0"/>
              <w:spacing w:before="0" w:after="0" w:line="240" w:lineRule="auto"/>
              <w:jc w:val="left"/>
              <w:rPr>
                <w:rFonts w:eastAsia="Cambria" w:cs="MS Gothic"/>
                <w:b/>
                <w:i/>
                <w:sz w:val="18"/>
                <w:szCs w:val="18"/>
              </w:rPr>
            </w:pPr>
            <w:r w:rsidRPr="00EE43C6">
              <w:rPr>
                <w:rFonts w:eastAsia="Cambria" w:cs="MS Gothic"/>
                <w:b/>
                <w:sz w:val="18"/>
                <w:szCs w:val="18"/>
              </w:rPr>
              <w:t>Muridae</w:t>
            </w:r>
          </w:p>
        </w:tc>
        <w:tc>
          <w:tcPr>
            <w:tcW w:w="1692" w:type="pct"/>
            <w:vAlign w:val="center"/>
          </w:tcPr>
          <w:p w14:paraId="13DCD599"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19FB0BF3"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4F063A0D"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3CEDD738" w14:textId="77777777" w:rsidR="005B4F29" w:rsidRPr="00EE43C6" w:rsidRDefault="005B4F29" w:rsidP="00445D55">
            <w:pPr>
              <w:widowControl w:val="0"/>
              <w:spacing w:before="0" w:after="0" w:line="240" w:lineRule="auto"/>
              <w:jc w:val="center"/>
              <w:rPr>
                <w:rFonts w:eastAsia="Cambria" w:cs="MS Gothic"/>
                <w:sz w:val="18"/>
                <w:szCs w:val="18"/>
              </w:rPr>
            </w:pPr>
          </w:p>
        </w:tc>
      </w:tr>
      <w:tr w:rsidR="005B4F29" w:rsidRPr="00EE43C6" w14:paraId="63BA4D28" w14:textId="77777777" w:rsidTr="00F60B11">
        <w:trPr>
          <w:trHeight w:val="284"/>
        </w:trPr>
        <w:tc>
          <w:tcPr>
            <w:tcW w:w="1109" w:type="pct"/>
            <w:vAlign w:val="center"/>
          </w:tcPr>
          <w:p w14:paraId="706412A6" w14:textId="77777777" w:rsidR="005B4F29" w:rsidRPr="00EE43C6" w:rsidRDefault="005B4F29" w:rsidP="00445D55">
            <w:pPr>
              <w:widowControl w:val="0"/>
              <w:spacing w:before="0" w:after="0" w:line="240" w:lineRule="auto"/>
              <w:jc w:val="left"/>
              <w:rPr>
                <w:rFonts w:eastAsia="Cambria" w:cs="MS Gothic"/>
                <w:bCs/>
                <w:i/>
                <w:iCs/>
                <w:sz w:val="18"/>
                <w:szCs w:val="18"/>
              </w:rPr>
            </w:pPr>
            <w:r w:rsidRPr="00EE43C6">
              <w:rPr>
                <w:rFonts w:eastAsia="Cambria" w:cs="MS Gothic"/>
                <w:bCs/>
                <w:i/>
                <w:iCs/>
                <w:sz w:val="18"/>
                <w:szCs w:val="18"/>
              </w:rPr>
              <w:t>Apodemus mystacinus</w:t>
            </w:r>
          </w:p>
        </w:tc>
        <w:tc>
          <w:tcPr>
            <w:tcW w:w="1692" w:type="pct"/>
            <w:vAlign w:val="center"/>
          </w:tcPr>
          <w:p w14:paraId="4A2C608B"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Eastern Broad-toothed Field Mouse</w:t>
            </w:r>
          </w:p>
        </w:tc>
        <w:tc>
          <w:tcPr>
            <w:tcW w:w="656" w:type="pct"/>
            <w:vAlign w:val="center"/>
          </w:tcPr>
          <w:p w14:paraId="23808040"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13C4E33B"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034E08F5"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7D5D51D9" w14:textId="77777777" w:rsidTr="00F60B11">
        <w:trPr>
          <w:trHeight w:val="284"/>
        </w:trPr>
        <w:tc>
          <w:tcPr>
            <w:tcW w:w="1109" w:type="pct"/>
            <w:vAlign w:val="center"/>
          </w:tcPr>
          <w:p w14:paraId="7D2EF389" w14:textId="77777777" w:rsidR="005B4F29" w:rsidRPr="00EE43C6" w:rsidRDefault="005B4F29" w:rsidP="00445D55">
            <w:pPr>
              <w:widowControl w:val="0"/>
              <w:spacing w:before="0" w:after="0" w:line="240" w:lineRule="auto"/>
              <w:jc w:val="left"/>
              <w:rPr>
                <w:rFonts w:eastAsia="Cambria" w:cs="MS Gothic"/>
                <w:bCs/>
                <w:i/>
                <w:iCs/>
                <w:sz w:val="18"/>
                <w:szCs w:val="18"/>
              </w:rPr>
            </w:pPr>
            <w:r w:rsidRPr="00EE43C6">
              <w:rPr>
                <w:rFonts w:eastAsia="Cambria" w:cs="MS Gothic"/>
                <w:bCs/>
                <w:i/>
                <w:iCs/>
                <w:sz w:val="18"/>
                <w:szCs w:val="18"/>
              </w:rPr>
              <w:t>Mus musculus</w:t>
            </w:r>
          </w:p>
        </w:tc>
        <w:tc>
          <w:tcPr>
            <w:tcW w:w="1692" w:type="pct"/>
            <w:vAlign w:val="center"/>
          </w:tcPr>
          <w:p w14:paraId="0D41D73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House Mouse</w:t>
            </w:r>
          </w:p>
        </w:tc>
        <w:tc>
          <w:tcPr>
            <w:tcW w:w="656" w:type="pct"/>
            <w:vAlign w:val="center"/>
          </w:tcPr>
          <w:p w14:paraId="31EA29FB"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7F59433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1E74AEA9"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6DCE1FE3" w14:textId="77777777" w:rsidTr="00F60B11">
        <w:trPr>
          <w:trHeight w:val="284"/>
        </w:trPr>
        <w:tc>
          <w:tcPr>
            <w:tcW w:w="1109" w:type="pct"/>
            <w:vAlign w:val="center"/>
          </w:tcPr>
          <w:p w14:paraId="0019E47A" w14:textId="77777777" w:rsidR="005B4F29" w:rsidRPr="00EE43C6" w:rsidRDefault="005B4F29" w:rsidP="00445D55">
            <w:pPr>
              <w:widowControl w:val="0"/>
              <w:spacing w:before="0" w:after="0" w:line="240" w:lineRule="auto"/>
              <w:jc w:val="left"/>
              <w:rPr>
                <w:rFonts w:eastAsia="Cambria" w:cs="MS Gothic"/>
                <w:bCs/>
                <w:i/>
                <w:iCs/>
                <w:sz w:val="18"/>
                <w:szCs w:val="18"/>
              </w:rPr>
            </w:pPr>
            <w:r w:rsidRPr="00EE43C6">
              <w:rPr>
                <w:rFonts w:eastAsia="Cambria" w:cs="MS Gothic"/>
                <w:bCs/>
                <w:i/>
                <w:iCs/>
                <w:sz w:val="18"/>
                <w:szCs w:val="18"/>
              </w:rPr>
              <w:t>Mus macedonicus</w:t>
            </w:r>
          </w:p>
        </w:tc>
        <w:tc>
          <w:tcPr>
            <w:tcW w:w="1692" w:type="pct"/>
            <w:vAlign w:val="center"/>
          </w:tcPr>
          <w:p w14:paraId="7C5ECC7F"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Macedonian Mouse</w:t>
            </w:r>
          </w:p>
        </w:tc>
        <w:tc>
          <w:tcPr>
            <w:tcW w:w="656" w:type="pct"/>
            <w:vAlign w:val="center"/>
          </w:tcPr>
          <w:p w14:paraId="5BD81C79" w14:textId="015AED71"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bCs/>
                <w:sz w:val="18"/>
                <w:szCs w:val="18"/>
              </w:rPr>
              <w:t>-</w:t>
            </w:r>
          </w:p>
        </w:tc>
        <w:tc>
          <w:tcPr>
            <w:tcW w:w="591" w:type="pct"/>
            <w:vAlign w:val="center"/>
          </w:tcPr>
          <w:p w14:paraId="0CC92AA6"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1C75C9DF"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43A58A8F" w14:textId="77777777" w:rsidTr="00F60B11">
        <w:trPr>
          <w:trHeight w:val="284"/>
        </w:trPr>
        <w:tc>
          <w:tcPr>
            <w:tcW w:w="1109" w:type="pct"/>
            <w:vAlign w:val="center"/>
          </w:tcPr>
          <w:p w14:paraId="17AA4A4B"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Rattus rattus</w:t>
            </w:r>
          </w:p>
        </w:tc>
        <w:tc>
          <w:tcPr>
            <w:tcW w:w="1692" w:type="pct"/>
            <w:vAlign w:val="center"/>
          </w:tcPr>
          <w:p w14:paraId="7AF0D86A"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House Rat</w:t>
            </w:r>
          </w:p>
        </w:tc>
        <w:tc>
          <w:tcPr>
            <w:tcW w:w="656" w:type="pct"/>
            <w:vAlign w:val="center"/>
          </w:tcPr>
          <w:p w14:paraId="04AB4B0E"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3A6B04F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36AA705E"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123F8BC8" w14:textId="77777777" w:rsidTr="00F60B11">
        <w:trPr>
          <w:trHeight w:val="284"/>
        </w:trPr>
        <w:tc>
          <w:tcPr>
            <w:tcW w:w="1109" w:type="pct"/>
            <w:vAlign w:val="center"/>
          </w:tcPr>
          <w:p w14:paraId="40C16392"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b/>
                <w:sz w:val="18"/>
                <w:szCs w:val="18"/>
              </w:rPr>
              <w:t>Soricidae</w:t>
            </w:r>
          </w:p>
        </w:tc>
        <w:tc>
          <w:tcPr>
            <w:tcW w:w="1692" w:type="pct"/>
            <w:vAlign w:val="center"/>
          </w:tcPr>
          <w:p w14:paraId="5615A6CA"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17AC698E"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4C5A1BB7"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37E61EFC" w14:textId="77777777" w:rsidR="005B4F29" w:rsidRPr="00EE43C6" w:rsidRDefault="005B4F29" w:rsidP="00445D55">
            <w:pPr>
              <w:widowControl w:val="0"/>
              <w:spacing w:before="0" w:after="0" w:line="240" w:lineRule="auto"/>
              <w:jc w:val="center"/>
              <w:rPr>
                <w:rFonts w:eastAsia="Cambria" w:cs="MS Gothic"/>
                <w:sz w:val="18"/>
                <w:szCs w:val="18"/>
              </w:rPr>
            </w:pPr>
          </w:p>
        </w:tc>
      </w:tr>
      <w:tr w:rsidR="005B4F29" w:rsidRPr="00EE43C6" w14:paraId="0E4A5E37" w14:textId="77777777" w:rsidTr="00F60B11">
        <w:trPr>
          <w:trHeight w:val="284"/>
        </w:trPr>
        <w:tc>
          <w:tcPr>
            <w:tcW w:w="1109" w:type="pct"/>
            <w:vAlign w:val="center"/>
          </w:tcPr>
          <w:p w14:paraId="2AE23027"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Crocidura leucodon</w:t>
            </w:r>
          </w:p>
        </w:tc>
        <w:tc>
          <w:tcPr>
            <w:tcW w:w="1692" w:type="pct"/>
            <w:vAlign w:val="center"/>
          </w:tcPr>
          <w:p w14:paraId="425E205C"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Bicolored Shrew</w:t>
            </w:r>
          </w:p>
        </w:tc>
        <w:tc>
          <w:tcPr>
            <w:tcW w:w="656" w:type="pct"/>
            <w:vAlign w:val="center"/>
          </w:tcPr>
          <w:p w14:paraId="300C3B3F"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6049A0D9"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03AC912F"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 -3</w:t>
            </w:r>
          </w:p>
        </w:tc>
      </w:tr>
      <w:tr w:rsidR="00A52296" w:rsidRPr="00EE43C6" w14:paraId="08837491" w14:textId="77777777" w:rsidTr="00F60B11">
        <w:trPr>
          <w:trHeight w:val="284"/>
        </w:trPr>
        <w:tc>
          <w:tcPr>
            <w:tcW w:w="1109" w:type="pct"/>
            <w:vAlign w:val="center"/>
          </w:tcPr>
          <w:p w14:paraId="4281EC1C" w14:textId="1EEC063A" w:rsidR="00A52296" w:rsidRPr="00EE43C6" w:rsidRDefault="00A52296"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Crocidura suaveolens</w:t>
            </w:r>
          </w:p>
        </w:tc>
        <w:tc>
          <w:tcPr>
            <w:tcW w:w="1692" w:type="pct"/>
            <w:vAlign w:val="center"/>
          </w:tcPr>
          <w:p w14:paraId="0D4BC192" w14:textId="35F01D3B" w:rsidR="00A52296" w:rsidRPr="00EE43C6" w:rsidRDefault="00A52296" w:rsidP="00445D55">
            <w:pPr>
              <w:widowControl w:val="0"/>
              <w:spacing w:before="0" w:after="0" w:line="240" w:lineRule="auto"/>
              <w:jc w:val="center"/>
              <w:rPr>
                <w:rFonts w:eastAsia="Cambria" w:cs="MS Gothic"/>
                <w:sz w:val="18"/>
                <w:szCs w:val="18"/>
              </w:rPr>
            </w:pPr>
            <w:r w:rsidRPr="00EE43C6">
              <w:rPr>
                <w:rFonts w:eastAsia="Cambria" w:cs="MS Gothic"/>
                <w:sz w:val="18"/>
                <w:szCs w:val="18"/>
              </w:rPr>
              <w:t>Lesser White-toothed Shrew</w:t>
            </w:r>
          </w:p>
        </w:tc>
        <w:tc>
          <w:tcPr>
            <w:tcW w:w="656" w:type="pct"/>
            <w:vAlign w:val="center"/>
          </w:tcPr>
          <w:p w14:paraId="2E4DB7E3" w14:textId="671DA704" w:rsidR="00A52296" w:rsidRPr="00EE43C6" w:rsidRDefault="00A52296"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76943BA1" w14:textId="659F46E0" w:rsidR="00A52296" w:rsidRPr="00EE43C6" w:rsidRDefault="00A52296"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2FC08A39" w14:textId="39DEB32A" w:rsidR="00A52296" w:rsidRPr="00EE43C6" w:rsidRDefault="00A52296" w:rsidP="00445D55">
            <w:pPr>
              <w:widowControl w:val="0"/>
              <w:spacing w:before="0" w:after="0" w:line="240" w:lineRule="auto"/>
              <w:jc w:val="center"/>
              <w:rPr>
                <w:rFonts w:eastAsia="Cambria" w:cs="MS Gothic"/>
                <w:sz w:val="18"/>
                <w:szCs w:val="18"/>
              </w:rPr>
            </w:pPr>
            <w:r w:rsidRPr="00EE43C6">
              <w:rPr>
                <w:rFonts w:eastAsia="Cambria" w:cs="MS Gothic"/>
                <w:sz w:val="18"/>
                <w:szCs w:val="18"/>
              </w:rPr>
              <w:t>App-3</w:t>
            </w:r>
          </w:p>
        </w:tc>
      </w:tr>
      <w:tr w:rsidR="005B4F29" w:rsidRPr="00EE43C6" w14:paraId="304D7D86" w14:textId="77777777" w:rsidTr="00F60B11">
        <w:trPr>
          <w:trHeight w:val="284"/>
        </w:trPr>
        <w:tc>
          <w:tcPr>
            <w:tcW w:w="1109" w:type="pct"/>
            <w:vAlign w:val="center"/>
          </w:tcPr>
          <w:p w14:paraId="560D28EA" w14:textId="77777777" w:rsidR="005B4F29" w:rsidRPr="00EE43C6" w:rsidRDefault="005B4F29" w:rsidP="00445D55">
            <w:pPr>
              <w:widowControl w:val="0"/>
              <w:spacing w:before="0" w:after="0" w:line="240" w:lineRule="auto"/>
              <w:jc w:val="left"/>
              <w:rPr>
                <w:rFonts w:eastAsia="Cambria" w:cs="MS Gothic"/>
                <w:b/>
                <w:bCs/>
                <w:iCs/>
                <w:sz w:val="18"/>
                <w:szCs w:val="18"/>
              </w:rPr>
            </w:pPr>
            <w:r w:rsidRPr="00EE43C6">
              <w:rPr>
                <w:rFonts w:eastAsia="Cambria" w:cs="MS Gothic"/>
                <w:b/>
                <w:bCs/>
                <w:iCs/>
                <w:sz w:val="18"/>
                <w:szCs w:val="18"/>
              </w:rPr>
              <w:t>Spalacidae</w:t>
            </w:r>
          </w:p>
        </w:tc>
        <w:tc>
          <w:tcPr>
            <w:tcW w:w="1692" w:type="pct"/>
            <w:vAlign w:val="center"/>
          </w:tcPr>
          <w:p w14:paraId="51E7770B"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37CEB943"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10A61822"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4EF88D31" w14:textId="77777777" w:rsidR="005B4F29" w:rsidRPr="00EE43C6" w:rsidRDefault="005B4F29" w:rsidP="00445D55">
            <w:pPr>
              <w:widowControl w:val="0"/>
              <w:spacing w:before="0" w:after="0" w:line="240" w:lineRule="auto"/>
              <w:jc w:val="center"/>
              <w:rPr>
                <w:rFonts w:eastAsia="Cambria" w:cs="MS Gothic"/>
                <w:sz w:val="18"/>
                <w:szCs w:val="18"/>
              </w:rPr>
            </w:pPr>
          </w:p>
        </w:tc>
      </w:tr>
      <w:tr w:rsidR="00064CA5" w:rsidRPr="00EE43C6" w14:paraId="063A6EAB" w14:textId="77777777" w:rsidTr="00F60B11">
        <w:trPr>
          <w:trHeight w:val="284"/>
        </w:trPr>
        <w:tc>
          <w:tcPr>
            <w:tcW w:w="1109" w:type="pct"/>
            <w:vAlign w:val="center"/>
          </w:tcPr>
          <w:p w14:paraId="37436A71" w14:textId="69076290" w:rsidR="00064CA5" w:rsidRPr="00EE43C6" w:rsidRDefault="00064CA5"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Spalax leucodon</w:t>
            </w:r>
          </w:p>
        </w:tc>
        <w:tc>
          <w:tcPr>
            <w:tcW w:w="1692" w:type="pct"/>
            <w:vAlign w:val="center"/>
          </w:tcPr>
          <w:p w14:paraId="3057341D" w14:textId="0582BCD6" w:rsidR="00064CA5" w:rsidRPr="00EE43C6" w:rsidRDefault="00064CA5" w:rsidP="00445D55">
            <w:pPr>
              <w:widowControl w:val="0"/>
              <w:spacing w:before="0" w:after="0" w:line="240" w:lineRule="auto"/>
              <w:jc w:val="center"/>
              <w:rPr>
                <w:rFonts w:eastAsia="Cambria" w:cs="MS Gothic"/>
                <w:sz w:val="18"/>
                <w:szCs w:val="18"/>
              </w:rPr>
            </w:pPr>
            <w:r w:rsidRPr="00EE43C6">
              <w:rPr>
                <w:rFonts w:eastAsia="Cambria" w:cs="MS Gothic"/>
                <w:sz w:val="18"/>
                <w:szCs w:val="18"/>
              </w:rPr>
              <w:t>Lesser Mole Rat</w:t>
            </w:r>
          </w:p>
        </w:tc>
        <w:tc>
          <w:tcPr>
            <w:tcW w:w="656" w:type="pct"/>
            <w:vAlign w:val="center"/>
          </w:tcPr>
          <w:p w14:paraId="1C7705D1" w14:textId="03931C16" w:rsidR="00064CA5" w:rsidRPr="00EE43C6" w:rsidRDefault="00064CA5"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1D26EF21" w14:textId="1EAD63FE" w:rsidR="00064CA5" w:rsidRPr="00EE43C6" w:rsidRDefault="00064CA5"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79B09469" w14:textId="7CE1BF17" w:rsidR="00064CA5" w:rsidRPr="00EE43C6" w:rsidRDefault="00064CA5"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09A8D930" w14:textId="77777777" w:rsidTr="00F60B11">
        <w:trPr>
          <w:trHeight w:val="284"/>
        </w:trPr>
        <w:tc>
          <w:tcPr>
            <w:tcW w:w="1109" w:type="pct"/>
            <w:vAlign w:val="center"/>
          </w:tcPr>
          <w:p w14:paraId="27D546A9"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Nannospalax xanthodon</w:t>
            </w:r>
          </w:p>
        </w:tc>
        <w:tc>
          <w:tcPr>
            <w:tcW w:w="1692" w:type="pct"/>
            <w:vAlign w:val="center"/>
          </w:tcPr>
          <w:p w14:paraId="3C049816"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Nehring’s Blind Mole Rat</w:t>
            </w:r>
          </w:p>
        </w:tc>
        <w:tc>
          <w:tcPr>
            <w:tcW w:w="656" w:type="pct"/>
            <w:vAlign w:val="center"/>
          </w:tcPr>
          <w:p w14:paraId="174B63E7"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42445B93"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DD</w:t>
            </w:r>
          </w:p>
        </w:tc>
        <w:tc>
          <w:tcPr>
            <w:tcW w:w="952" w:type="pct"/>
            <w:vAlign w:val="center"/>
          </w:tcPr>
          <w:p w14:paraId="5379FB41"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7B14502F" w14:textId="77777777" w:rsidTr="00F60B11">
        <w:trPr>
          <w:trHeight w:val="284"/>
        </w:trPr>
        <w:tc>
          <w:tcPr>
            <w:tcW w:w="1109" w:type="pct"/>
            <w:vAlign w:val="center"/>
          </w:tcPr>
          <w:p w14:paraId="2DA0C17C" w14:textId="77777777" w:rsidR="005B4F29" w:rsidRPr="00EE43C6" w:rsidRDefault="005B4F29" w:rsidP="00445D55">
            <w:pPr>
              <w:widowControl w:val="0"/>
              <w:spacing w:before="0" w:after="0" w:line="240" w:lineRule="auto"/>
              <w:jc w:val="left"/>
              <w:rPr>
                <w:rFonts w:eastAsia="Cambria" w:cs="MS Gothic"/>
                <w:b/>
                <w:sz w:val="18"/>
                <w:szCs w:val="18"/>
              </w:rPr>
            </w:pPr>
            <w:r w:rsidRPr="00EE43C6">
              <w:rPr>
                <w:rFonts w:eastAsia="Cambria" w:cs="MS Gothic"/>
                <w:b/>
                <w:sz w:val="18"/>
                <w:szCs w:val="18"/>
              </w:rPr>
              <w:t>Mustelidae</w:t>
            </w:r>
          </w:p>
        </w:tc>
        <w:tc>
          <w:tcPr>
            <w:tcW w:w="1692" w:type="pct"/>
            <w:vAlign w:val="center"/>
          </w:tcPr>
          <w:p w14:paraId="0B2B6A9F"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1BA60E8F"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4C8951A6"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4B0E3501" w14:textId="77777777" w:rsidR="005B4F29" w:rsidRPr="00EE43C6" w:rsidRDefault="005B4F29" w:rsidP="00445D55">
            <w:pPr>
              <w:widowControl w:val="0"/>
              <w:spacing w:before="0" w:after="0" w:line="240" w:lineRule="auto"/>
              <w:jc w:val="center"/>
              <w:rPr>
                <w:rFonts w:eastAsia="Cambria" w:cs="MS Gothic"/>
                <w:sz w:val="18"/>
                <w:szCs w:val="18"/>
              </w:rPr>
            </w:pPr>
          </w:p>
        </w:tc>
      </w:tr>
      <w:tr w:rsidR="005B4F29" w:rsidRPr="00EE43C6" w14:paraId="2B4373F4" w14:textId="77777777" w:rsidTr="00F60B11">
        <w:trPr>
          <w:trHeight w:val="284"/>
        </w:trPr>
        <w:tc>
          <w:tcPr>
            <w:tcW w:w="1109" w:type="pct"/>
            <w:vAlign w:val="center"/>
          </w:tcPr>
          <w:p w14:paraId="55551FB2" w14:textId="77777777" w:rsidR="005B4F29" w:rsidRPr="00EE43C6" w:rsidRDefault="005B4F29" w:rsidP="00445D55">
            <w:pPr>
              <w:widowControl w:val="0"/>
              <w:spacing w:before="0" w:after="0" w:line="240" w:lineRule="auto"/>
              <w:jc w:val="left"/>
              <w:rPr>
                <w:rFonts w:eastAsia="Cambria" w:cs="MS Gothic"/>
                <w:b/>
                <w:sz w:val="18"/>
                <w:szCs w:val="18"/>
              </w:rPr>
            </w:pPr>
            <w:r w:rsidRPr="00EE43C6">
              <w:rPr>
                <w:rFonts w:eastAsia="Cambria" w:cs="MS Gothic"/>
                <w:i/>
                <w:sz w:val="18"/>
                <w:szCs w:val="18"/>
              </w:rPr>
              <w:t>Martes foina</w:t>
            </w:r>
          </w:p>
        </w:tc>
        <w:tc>
          <w:tcPr>
            <w:tcW w:w="1692" w:type="pct"/>
            <w:vAlign w:val="center"/>
          </w:tcPr>
          <w:p w14:paraId="3DADDCFC"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Beech Marten</w:t>
            </w:r>
          </w:p>
        </w:tc>
        <w:tc>
          <w:tcPr>
            <w:tcW w:w="656" w:type="pct"/>
            <w:vAlign w:val="center"/>
          </w:tcPr>
          <w:p w14:paraId="520389E9"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6CCE8BBB"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4AD367D7"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App-3</w:t>
            </w:r>
          </w:p>
        </w:tc>
      </w:tr>
      <w:tr w:rsidR="00635702" w:rsidRPr="00EE43C6" w14:paraId="4F80EA8D" w14:textId="77777777" w:rsidTr="00F60B11">
        <w:trPr>
          <w:trHeight w:val="284"/>
        </w:trPr>
        <w:tc>
          <w:tcPr>
            <w:tcW w:w="1109" w:type="pct"/>
            <w:vAlign w:val="center"/>
          </w:tcPr>
          <w:p w14:paraId="73857387" w14:textId="280786F0" w:rsidR="00635702" w:rsidRPr="00EE43C6" w:rsidRDefault="00635702"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Meles meles</w:t>
            </w:r>
          </w:p>
        </w:tc>
        <w:tc>
          <w:tcPr>
            <w:tcW w:w="1692" w:type="pct"/>
            <w:vAlign w:val="center"/>
          </w:tcPr>
          <w:p w14:paraId="61AE028B" w14:textId="698FF429" w:rsidR="00635702" w:rsidRPr="00EE43C6" w:rsidRDefault="00BE2301" w:rsidP="00445D55">
            <w:pPr>
              <w:widowControl w:val="0"/>
              <w:spacing w:before="0" w:after="0" w:line="240" w:lineRule="auto"/>
              <w:jc w:val="center"/>
              <w:rPr>
                <w:rFonts w:eastAsia="Cambria" w:cs="MS Gothic"/>
                <w:sz w:val="18"/>
                <w:szCs w:val="18"/>
              </w:rPr>
            </w:pPr>
            <w:r w:rsidRPr="00EE43C6">
              <w:rPr>
                <w:rFonts w:eastAsia="Cambria" w:cs="MS Gothic"/>
                <w:sz w:val="18"/>
                <w:szCs w:val="18"/>
              </w:rPr>
              <w:t>Badger</w:t>
            </w:r>
          </w:p>
        </w:tc>
        <w:tc>
          <w:tcPr>
            <w:tcW w:w="656" w:type="pct"/>
            <w:vAlign w:val="center"/>
          </w:tcPr>
          <w:p w14:paraId="6BA47C1D" w14:textId="5296B816" w:rsidR="00635702" w:rsidRPr="00EE43C6" w:rsidRDefault="00BE2301"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203A5AC6" w14:textId="3EE70153" w:rsidR="00635702" w:rsidRPr="00EE43C6" w:rsidRDefault="00BE2301"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79B929AE" w14:textId="3438BCA7" w:rsidR="00635702" w:rsidRPr="00EE43C6" w:rsidRDefault="00BE2301" w:rsidP="00445D55">
            <w:pPr>
              <w:widowControl w:val="0"/>
              <w:spacing w:before="0" w:after="0" w:line="240" w:lineRule="auto"/>
              <w:jc w:val="center"/>
              <w:rPr>
                <w:rFonts w:eastAsia="Cambria" w:cs="MS Gothic"/>
                <w:sz w:val="18"/>
                <w:szCs w:val="18"/>
              </w:rPr>
            </w:pPr>
            <w:r w:rsidRPr="00EE43C6">
              <w:rPr>
                <w:rFonts w:eastAsia="Cambria" w:cs="MS Gothic"/>
                <w:sz w:val="18"/>
                <w:szCs w:val="18"/>
              </w:rPr>
              <w:t>App-3</w:t>
            </w:r>
          </w:p>
        </w:tc>
      </w:tr>
      <w:tr w:rsidR="005B4F29" w:rsidRPr="00EE43C6" w14:paraId="4AEEC958" w14:textId="77777777" w:rsidTr="00F60B11">
        <w:trPr>
          <w:trHeight w:val="284"/>
        </w:trPr>
        <w:tc>
          <w:tcPr>
            <w:tcW w:w="1109" w:type="pct"/>
            <w:vAlign w:val="center"/>
          </w:tcPr>
          <w:p w14:paraId="55C4311B"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Mustela nivalis</w:t>
            </w:r>
          </w:p>
        </w:tc>
        <w:tc>
          <w:tcPr>
            <w:tcW w:w="1692" w:type="pct"/>
            <w:vAlign w:val="center"/>
          </w:tcPr>
          <w:p w14:paraId="629CAE00"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Least Weasel</w:t>
            </w:r>
          </w:p>
        </w:tc>
        <w:tc>
          <w:tcPr>
            <w:tcW w:w="656" w:type="pct"/>
            <w:vAlign w:val="center"/>
          </w:tcPr>
          <w:p w14:paraId="2FCC23FF"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458DB9FD"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6924FC45"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 -3</w:t>
            </w:r>
          </w:p>
        </w:tc>
      </w:tr>
      <w:tr w:rsidR="005B4F29" w:rsidRPr="00EE43C6" w14:paraId="4A9C948B" w14:textId="77777777" w:rsidTr="00F60B11">
        <w:trPr>
          <w:trHeight w:val="284"/>
        </w:trPr>
        <w:tc>
          <w:tcPr>
            <w:tcW w:w="1109" w:type="pct"/>
            <w:vAlign w:val="center"/>
          </w:tcPr>
          <w:p w14:paraId="45AF0C7C" w14:textId="77777777" w:rsidR="005B4F29" w:rsidRPr="00EE43C6" w:rsidRDefault="005B4F29" w:rsidP="00445D55">
            <w:pPr>
              <w:widowControl w:val="0"/>
              <w:spacing w:before="0" w:after="0" w:line="240" w:lineRule="auto"/>
              <w:jc w:val="left"/>
              <w:rPr>
                <w:rFonts w:eastAsia="Cambria" w:cs="MS Gothic"/>
                <w:b/>
                <w:bCs/>
                <w:iCs/>
                <w:sz w:val="18"/>
                <w:szCs w:val="18"/>
              </w:rPr>
            </w:pPr>
            <w:r w:rsidRPr="00EE43C6">
              <w:rPr>
                <w:rFonts w:eastAsia="Cambria" w:cs="MS Gothic"/>
                <w:b/>
                <w:bCs/>
                <w:iCs/>
                <w:sz w:val="18"/>
                <w:szCs w:val="18"/>
              </w:rPr>
              <w:t>Sciuridae</w:t>
            </w:r>
          </w:p>
        </w:tc>
        <w:tc>
          <w:tcPr>
            <w:tcW w:w="1692" w:type="pct"/>
            <w:vAlign w:val="center"/>
          </w:tcPr>
          <w:p w14:paraId="677ED0E1"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07202DCB"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7889875B"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4F1A9A41" w14:textId="77777777" w:rsidR="005B4F29" w:rsidRPr="00EE43C6" w:rsidRDefault="005B4F29" w:rsidP="00445D55">
            <w:pPr>
              <w:widowControl w:val="0"/>
              <w:spacing w:before="0" w:after="0" w:line="240" w:lineRule="auto"/>
              <w:jc w:val="center"/>
              <w:rPr>
                <w:rFonts w:eastAsia="Cambria" w:cs="MS Gothic"/>
                <w:sz w:val="18"/>
                <w:szCs w:val="18"/>
              </w:rPr>
            </w:pPr>
          </w:p>
        </w:tc>
      </w:tr>
      <w:tr w:rsidR="005B4F29" w:rsidRPr="00EE43C6" w14:paraId="295A1BA3" w14:textId="77777777" w:rsidTr="00F60B11">
        <w:trPr>
          <w:trHeight w:val="284"/>
        </w:trPr>
        <w:tc>
          <w:tcPr>
            <w:tcW w:w="1109" w:type="pct"/>
            <w:vAlign w:val="center"/>
          </w:tcPr>
          <w:p w14:paraId="73FB65AB"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Sciurus anomalus</w:t>
            </w:r>
          </w:p>
        </w:tc>
        <w:tc>
          <w:tcPr>
            <w:tcW w:w="1692" w:type="pct"/>
            <w:vAlign w:val="center"/>
          </w:tcPr>
          <w:p w14:paraId="0E7854C6"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Caucasian Squirrel</w:t>
            </w:r>
          </w:p>
        </w:tc>
        <w:tc>
          <w:tcPr>
            <w:tcW w:w="656" w:type="pct"/>
            <w:vAlign w:val="center"/>
          </w:tcPr>
          <w:p w14:paraId="3958E8F3" w14:textId="1853B41D" w:rsidR="005B4F29" w:rsidRPr="00EE43C6" w:rsidRDefault="00F22BB4"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22ED94E3"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0F757D71"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6DC4B7DA" w14:textId="77777777" w:rsidTr="00F60B11">
        <w:trPr>
          <w:trHeight w:val="284"/>
        </w:trPr>
        <w:tc>
          <w:tcPr>
            <w:tcW w:w="1109" w:type="pct"/>
            <w:vAlign w:val="center"/>
          </w:tcPr>
          <w:p w14:paraId="00E30FEA" w14:textId="77777777" w:rsidR="005B4F29" w:rsidRPr="00EE43C6" w:rsidRDefault="005B4F29" w:rsidP="00445D55">
            <w:pPr>
              <w:widowControl w:val="0"/>
              <w:spacing w:before="0" w:after="0" w:line="240" w:lineRule="auto"/>
              <w:jc w:val="left"/>
              <w:rPr>
                <w:rFonts w:eastAsia="Cambria" w:cs="Arial"/>
                <w:i/>
                <w:sz w:val="18"/>
                <w:szCs w:val="18"/>
              </w:rPr>
            </w:pPr>
            <w:r w:rsidRPr="00EE43C6">
              <w:rPr>
                <w:rFonts w:cs="Arial"/>
                <w:i/>
                <w:iCs/>
                <w:color w:val="080100"/>
                <w:sz w:val="18"/>
                <w:szCs w:val="18"/>
                <w:bdr w:val="none" w:sz="0" w:space="0" w:color="auto" w:frame="1"/>
                <w:shd w:val="clear" w:color="auto" w:fill="FFFFFF"/>
              </w:rPr>
              <w:t>Spermophilus citellus</w:t>
            </w:r>
          </w:p>
        </w:tc>
        <w:tc>
          <w:tcPr>
            <w:tcW w:w="1692" w:type="pct"/>
            <w:vAlign w:val="center"/>
          </w:tcPr>
          <w:p w14:paraId="21E6335D"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European Souslik</w:t>
            </w:r>
          </w:p>
        </w:tc>
        <w:tc>
          <w:tcPr>
            <w:tcW w:w="656" w:type="pct"/>
            <w:vAlign w:val="center"/>
          </w:tcPr>
          <w:p w14:paraId="174D48D6" w14:textId="5E316885" w:rsidR="005B4F29" w:rsidRPr="00EE43C6" w:rsidRDefault="00F22BB4"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0AEFF4C0"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EN</w:t>
            </w:r>
          </w:p>
        </w:tc>
        <w:tc>
          <w:tcPr>
            <w:tcW w:w="952" w:type="pct"/>
            <w:vAlign w:val="center"/>
          </w:tcPr>
          <w:p w14:paraId="328D3205" w14:textId="77777777" w:rsidR="005B4F29" w:rsidRPr="00EE43C6" w:rsidRDefault="005B4F29" w:rsidP="00445D55">
            <w:pPr>
              <w:widowControl w:val="0"/>
              <w:spacing w:before="0" w:after="0" w:line="240" w:lineRule="auto"/>
              <w:jc w:val="center"/>
              <w:rPr>
                <w:rFonts w:eastAsia="Cambria" w:cs="MS Gothic"/>
                <w:sz w:val="18"/>
                <w:szCs w:val="18"/>
              </w:rPr>
            </w:pPr>
          </w:p>
        </w:tc>
      </w:tr>
      <w:tr w:rsidR="00BE2301" w:rsidRPr="00EE43C6" w14:paraId="7C61273C" w14:textId="77777777" w:rsidTr="00F60B11">
        <w:trPr>
          <w:trHeight w:val="284"/>
        </w:trPr>
        <w:tc>
          <w:tcPr>
            <w:tcW w:w="1109" w:type="pct"/>
            <w:vAlign w:val="center"/>
          </w:tcPr>
          <w:p w14:paraId="475DFC6E" w14:textId="3EB79BD3" w:rsidR="00BE2301" w:rsidRPr="00EE43C6" w:rsidRDefault="00BE2301" w:rsidP="00445D55">
            <w:pPr>
              <w:widowControl w:val="0"/>
              <w:spacing w:before="0" w:after="0" w:line="240" w:lineRule="auto"/>
              <w:jc w:val="left"/>
              <w:rPr>
                <w:rFonts w:cs="Arial"/>
                <w:b/>
                <w:bCs/>
                <w:color w:val="080100"/>
                <w:sz w:val="18"/>
                <w:szCs w:val="18"/>
                <w:bdr w:val="none" w:sz="0" w:space="0" w:color="auto" w:frame="1"/>
                <w:shd w:val="clear" w:color="auto" w:fill="FFFFFF"/>
              </w:rPr>
            </w:pPr>
            <w:r w:rsidRPr="00EE43C6">
              <w:rPr>
                <w:rFonts w:cs="Arial"/>
                <w:b/>
                <w:bCs/>
                <w:color w:val="080100"/>
                <w:sz w:val="18"/>
                <w:szCs w:val="18"/>
                <w:bdr w:val="none" w:sz="0" w:space="0" w:color="auto" w:frame="1"/>
                <w:shd w:val="clear" w:color="auto" w:fill="FFFFFF"/>
              </w:rPr>
              <w:t>Suidae</w:t>
            </w:r>
          </w:p>
        </w:tc>
        <w:tc>
          <w:tcPr>
            <w:tcW w:w="1692" w:type="pct"/>
            <w:vAlign w:val="center"/>
          </w:tcPr>
          <w:p w14:paraId="7BA9F281" w14:textId="77777777" w:rsidR="00BE2301" w:rsidRPr="00EE43C6" w:rsidRDefault="00BE2301" w:rsidP="00445D55">
            <w:pPr>
              <w:widowControl w:val="0"/>
              <w:spacing w:before="0" w:after="0" w:line="240" w:lineRule="auto"/>
              <w:jc w:val="center"/>
              <w:rPr>
                <w:rFonts w:eastAsia="Cambria" w:cs="MS Gothic"/>
                <w:sz w:val="18"/>
                <w:szCs w:val="18"/>
              </w:rPr>
            </w:pPr>
          </w:p>
        </w:tc>
        <w:tc>
          <w:tcPr>
            <w:tcW w:w="656" w:type="pct"/>
            <w:vAlign w:val="center"/>
          </w:tcPr>
          <w:p w14:paraId="41C94A4E" w14:textId="77777777" w:rsidR="00BE2301" w:rsidRPr="00EE43C6" w:rsidRDefault="00BE2301" w:rsidP="00445D55">
            <w:pPr>
              <w:widowControl w:val="0"/>
              <w:spacing w:before="0" w:after="0" w:line="240" w:lineRule="auto"/>
              <w:jc w:val="center"/>
              <w:rPr>
                <w:rFonts w:eastAsia="Cambria" w:cs="MS Gothic"/>
                <w:sz w:val="18"/>
                <w:szCs w:val="18"/>
              </w:rPr>
            </w:pPr>
          </w:p>
        </w:tc>
        <w:tc>
          <w:tcPr>
            <w:tcW w:w="591" w:type="pct"/>
            <w:vAlign w:val="center"/>
          </w:tcPr>
          <w:p w14:paraId="62346D86" w14:textId="77777777" w:rsidR="00BE2301" w:rsidRPr="00EE43C6" w:rsidRDefault="00BE2301" w:rsidP="00445D55">
            <w:pPr>
              <w:widowControl w:val="0"/>
              <w:spacing w:before="0" w:after="0" w:line="240" w:lineRule="auto"/>
              <w:jc w:val="center"/>
              <w:rPr>
                <w:rFonts w:eastAsia="Cambria" w:cs="MS Gothic"/>
                <w:sz w:val="18"/>
                <w:szCs w:val="18"/>
              </w:rPr>
            </w:pPr>
          </w:p>
        </w:tc>
        <w:tc>
          <w:tcPr>
            <w:tcW w:w="952" w:type="pct"/>
            <w:vAlign w:val="center"/>
          </w:tcPr>
          <w:p w14:paraId="105A89B2" w14:textId="77777777" w:rsidR="00BE2301" w:rsidRPr="00EE43C6" w:rsidRDefault="00BE2301" w:rsidP="00445D55">
            <w:pPr>
              <w:widowControl w:val="0"/>
              <w:spacing w:before="0" w:after="0" w:line="240" w:lineRule="auto"/>
              <w:jc w:val="center"/>
              <w:rPr>
                <w:rFonts w:eastAsia="Cambria" w:cs="MS Gothic"/>
                <w:sz w:val="18"/>
                <w:szCs w:val="18"/>
              </w:rPr>
            </w:pPr>
          </w:p>
        </w:tc>
      </w:tr>
      <w:tr w:rsidR="00BE2301" w:rsidRPr="00EE43C6" w14:paraId="6BCDABAC" w14:textId="77777777" w:rsidTr="00F60B11">
        <w:trPr>
          <w:trHeight w:val="284"/>
        </w:trPr>
        <w:tc>
          <w:tcPr>
            <w:tcW w:w="1109" w:type="pct"/>
            <w:vAlign w:val="center"/>
          </w:tcPr>
          <w:p w14:paraId="2920ED3F" w14:textId="13FE797A" w:rsidR="00BE2301" w:rsidRPr="00EE43C6" w:rsidRDefault="00BE2301" w:rsidP="00445D55">
            <w:pPr>
              <w:widowControl w:val="0"/>
              <w:spacing w:before="0" w:after="0" w:line="240" w:lineRule="auto"/>
              <w:jc w:val="left"/>
              <w:rPr>
                <w:rFonts w:cs="Arial"/>
                <w:i/>
                <w:iCs/>
                <w:color w:val="080100"/>
                <w:sz w:val="18"/>
                <w:szCs w:val="18"/>
                <w:bdr w:val="none" w:sz="0" w:space="0" w:color="auto" w:frame="1"/>
                <w:shd w:val="clear" w:color="auto" w:fill="FFFFFF"/>
              </w:rPr>
            </w:pPr>
            <w:r w:rsidRPr="00EE43C6">
              <w:rPr>
                <w:rFonts w:cs="Arial"/>
                <w:i/>
                <w:iCs/>
                <w:color w:val="080100"/>
                <w:sz w:val="18"/>
                <w:szCs w:val="18"/>
                <w:bdr w:val="none" w:sz="0" w:space="0" w:color="auto" w:frame="1"/>
                <w:shd w:val="clear" w:color="auto" w:fill="FFFFFF"/>
              </w:rPr>
              <w:t>Sus scrofa</w:t>
            </w:r>
          </w:p>
        </w:tc>
        <w:tc>
          <w:tcPr>
            <w:tcW w:w="1692" w:type="pct"/>
            <w:vAlign w:val="center"/>
          </w:tcPr>
          <w:p w14:paraId="6F3A5902" w14:textId="2F6C506D" w:rsidR="00BE2301" w:rsidRPr="00EE43C6" w:rsidRDefault="00BE2301" w:rsidP="00445D55">
            <w:pPr>
              <w:widowControl w:val="0"/>
              <w:spacing w:before="0" w:after="0" w:line="240" w:lineRule="auto"/>
              <w:jc w:val="center"/>
              <w:rPr>
                <w:rFonts w:eastAsia="Cambria" w:cs="MS Gothic"/>
                <w:sz w:val="18"/>
                <w:szCs w:val="18"/>
              </w:rPr>
            </w:pPr>
            <w:r w:rsidRPr="00EE43C6">
              <w:rPr>
                <w:rFonts w:eastAsia="Cambria" w:cs="MS Gothic"/>
                <w:sz w:val="18"/>
                <w:szCs w:val="18"/>
              </w:rPr>
              <w:t>Wild Boar</w:t>
            </w:r>
          </w:p>
        </w:tc>
        <w:tc>
          <w:tcPr>
            <w:tcW w:w="656" w:type="pct"/>
            <w:vAlign w:val="center"/>
          </w:tcPr>
          <w:p w14:paraId="2C759ABD" w14:textId="695638D7" w:rsidR="00BE2301" w:rsidRPr="00EE43C6" w:rsidRDefault="00BE2301"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36BE05A0" w14:textId="53BDA56F" w:rsidR="00BE2301" w:rsidRPr="00EE43C6" w:rsidRDefault="00BE2301"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32EA911C" w14:textId="2D8066F2" w:rsidR="00BE2301" w:rsidRPr="00EE43C6" w:rsidRDefault="00BE2301"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19F7AE62" w14:textId="77777777" w:rsidTr="00F60B11">
        <w:trPr>
          <w:trHeight w:val="284"/>
        </w:trPr>
        <w:tc>
          <w:tcPr>
            <w:tcW w:w="1109" w:type="pct"/>
            <w:vAlign w:val="center"/>
          </w:tcPr>
          <w:p w14:paraId="2ECE1A13"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b/>
                <w:sz w:val="18"/>
                <w:szCs w:val="18"/>
              </w:rPr>
              <w:t>Canidae</w:t>
            </w:r>
          </w:p>
        </w:tc>
        <w:tc>
          <w:tcPr>
            <w:tcW w:w="1692" w:type="pct"/>
            <w:vAlign w:val="center"/>
          </w:tcPr>
          <w:p w14:paraId="33CB0E1D"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0FE945C1"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0325C114"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5A6CC613" w14:textId="77777777" w:rsidR="005B4F29" w:rsidRPr="00EE43C6" w:rsidRDefault="005B4F29" w:rsidP="00445D55">
            <w:pPr>
              <w:widowControl w:val="0"/>
              <w:spacing w:before="0" w:after="0" w:line="240" w:lineRule="auto"/>
              <w:jc w:val="center"/>
              <w:rPr>
                <w:rFonts w:eastAsia="Cambria" w:cs="MS Gothic"/>
                <w:sz w:val="18"/>
                <w:szCs w:val="18"/>
              </w:rPr>
            </w:pPr>
          </w:p>
        </w:tc>
      </w:tr>
      <w:tr w:rsidR="00064CA5" w:rsidRPr="00EE43C6" w14:paraId="2D5AE34D" w14:textId="77777777" w:rsidTr="00F60B11">
        <w:trPr>
          <w:trHeight w:val="284"/>
        </w:trPr>
        <w:tc>
          <w:tcPr>
            <w:tcW w:w="1109" w:type="pct"/>
            <w:vAlign w:val="center"/>
          </w:tcPr>
          <w:p w14:paraId="315A1E28" w14:textId="6C1318E8" w:rsidR="00064CA5" w:rsidRPr="00EE43C6" w:rsidRDefault="00064CA5"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Canis aureus</w:t>
            </w:r>
          </w:p>
        </w:tc>
        <w:tc>
          <w:tcPr>
            <w:tcW w:w="1692" w:type="pct"/>
            <w:vAlign w:val="center"/>
          </w:tcPr>
          <w:p w14:paraId="6943C410" w14:textId="3D4E889B" w:rsidR="00064CA5" w:rsidRPr="00EE43C6" w:rsidRDefault="00064CA5" w:rsidP="00445D55">
            <w:pPr>
              <w:widowControl w:val="0"/>
              <w:spacing w:before="0" w:after="0" w:line="240" w:lineRule="auto"/>
              <w:jc w:val="center"/>
              <w:rPr>
                <w:rFonts w:eastAsia="Cambria" w:cs="MS Gothic"/>
                <w:sz w:val="18"/>
                <w:szCs w:val="18"/>
              </w:rPr>
            </w:pPr>
            <w:r w:rsidRPr="00EE43C6">
              <w:rPr>
                <w:rFonts w:eastAsia="Cambria" w:cs="MS Gothic"/>
                <w:sz w:val="18"/>
                <w:szCs w:val="18"/>
              </w:rPr>
              <w:t>Golden Jackal</w:t>
            </w:r>
          </w:p>
        </w:tc>
        <w:tc>
          <w:tcPr>
            <w:tcW w:w="656" w:type="pct"/>
            <w:vAlign w:val="center"/>
          </w:tcPr>
          <w:p w14:paraId="67C58A5A" w14:textId="08DB8478" w:rsidR="00064CA5" w:rsidRPr="00EE43C6" w:rsidRDefault="00064CA5"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20599828" w14:textId="03B2FE94" w:rsidR="00064CA5" w:rsidRPr="00EE43C6" w:rsidRDefault="00064CA5"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282EFADE" w14:textId="04DD1EDA" w:rsidR="00064CA5" w:rsidRPr="00EE43C6" w:rsidRDefault="00064CA5"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25B4F331" w14:textId="77777777" w:rsidTr="00F60B11">
        <w:trPr>
          <w:trHeight w:val="284"/>
        </w:trPr>
        <w:tc>
          <w:tcPr>
            <w:tcW w:w="1109" w:type="pct"/>
            <w:vAlign w:val="center"/>
          </w:tcPr>
          <w:p w14:paraId="4DE9AA29" w14:textId="77777777" w:rsidR="005B4F29" w:rsidRPr="00EE43C6" w:rsidRDefault="005B4F29" w:rsidP="00445D55">
            <w:pPr>
              <w:widowControl w:val="0"/>
              <w:spacing w:before="0" w:after="0" w:line="240" w:lineRule="auto"/>
              <w:jc w:val="left"/>
              <w:rPr>
                <w:rFonts w:eastAsia="Cambria" w:cs="MS Gothic"/>
                <w:bCs/>
                <w:i/>
                <w:iCs/>
                <w:sz w:val="18"/>
                <w:szCs w:val="18"/>
              </w:rPr>
            </w:pPr>
            <w:r w:rsidRPr="00EE43C6">
              <w:rPr>
                <w:rFonts w:eastAsia="Cambria" w:cs="MS Gothic"/>
                <w:bCs/>
                <w:i/>
                <w:iCs/>
                <w:sz w:val="18"/>
                <w:szCs w:val="18"/>
              </w:rPr>
              <w:t>Canis lupus</w:t>
            </w:r>
          </w:p>
        </w:tc>
        <w:tc>
          <w:tcPr>
            <w:tcW w:w="1692" w:type="pct"/>
            <w:vAlign w:val="center"/>
          </w:tcPr>
          <w:p w14:paraId="1831C874"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Grey Wolf</w:t>
            </w:r>
          </w:p>
        </w:tc>
        <w:tc>
          <w:tcPr>
            <w:tcW w:w="656" w:type="pct"/>
            <w:vAlign w:val="center"/>
          </w:tcPr>
          <w:p w14:paraId="48E3D0A6"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66C8473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2C612429"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0A8D0579" w14:textId="77777777" w:rsidTr="00F60B11">
        <w:trPr>
          <w:trHeight w:val="284"/>
        </w:trPr>
        <w:tc>
          <w:tcPr>
            <w:tcW w:w="1109" w:type="pct"/>
            <w:vAlign w:val="center"/>
          </w:tcPr>
          <w:p w14:paraId="29E25E6B"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Vulpes vulpes</w:t>
            </w:r>
          </w:p>
        </w:tc>
        <w:tc>
          <w:tcPr>
            <w:tcW w:w="1692" w:type="pct"/>
            <w:vAlign w:val="center"/>
          </w:tcPr>
          <w:p w14:paraId="6C4CEA83"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Red Fox</w:t>
            </w:r>
          </w:p>
        </w:tc>
        <w:tc>
          <w:tcPr>
            <w:tcW w:w="656" w:type="pct"/>
            <w:vAlign w:val="center"/>
          </w:tcPr>
          <w:p w14:paraId="5DCD93E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c>
          <w:tcPr>
            <w:tcW w:w="591" w:type="pct"/>
            <w:vAlign w:val="center"/>
          </w:tcPr>
          <w:p w14:paraId="32B00FE9"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275F3550"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w:t>
            </w:r>
          </w:p>
        </w:tc>
      </w:tr>
      <w:tr w:rsidR="005B4F29" w:rsidRPr="00EE43C6" w14:paraId="101867D0" w14:textId="77777777" w:rsidTr="00F60B11">
        <w:trPr>
          <w:trHeight w:val="284"/>
        </w:trPr>
        <w:tc>
          <w:tcPr>
            <w:tcW w:w="1109" w:type="pct"/>
            <w:vAlign w:val="center"/>
          </w:tcPr>
          <w:p w14:paraId="5F17AA67" w14:textId="77777777" w:rsidR="005B4F29" w:rsidRPr="00EE43C6" w:rsidRDefault="005B4F29" w:rsidP="00445D55">
            <w:pPr>
              <w:widowControl w:val="0"/>
              <w:spacing w:before="0" w:after="0" w:line="240" w:lineRule="auto"/>
              <w:jc w:val="left"/>
              <w:rPr>
                <w:rFonts w:eastAsia="Cambria" w:cs="MS Gothic"/>
                <w:b/>
                <w:bCs/>
                <w:iCs/>
                <w:sz w:val="18"/>
                <w:szCs w:val="18"/>
              </w:rPr>
            </w:pPr>
            <w:r w:rsidRPr="00EE43C6">
              <w:rPr>
                <w:rFonts w:eastAsia="Cambria" w:cs="MS Gothic"/>
                <w:b/>
                <w:bCs/>
                <w:iCs/>
                <w:sz w:val="18"/>
                <w:szCs w:val="18"/>
              </w:rPr>
              <w:t>Vespertilionidae</w:t>
            </w:r>
          </w:p>
        </w:tc>
        <w:tc>
          <w:tcPr>
            <w:tcW w:w="1692" w:type="pct"/>
            <w:vAlign w:val="center"/>
          </w:tcPr>
          <w:p w14:paraId="29F11B25"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21AB193C"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3BF3CE84"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13466EE1" w14:textId="77777777" w:rsidR="005B4F29" w:rsidRPr="00EE43C6" w:rsidRDefault="005B4F29" w:rsidP="00445D55">
            <w:pPr>
              <w:widowControl w:val="0"/>
              <w:spacing w:before="0" w:after="0" w:line="240" w:lineRule="auto"/>
              <w:jc w:val="center"/>
              <w:rPr>
                <w:rFonts w:eastAsia="Cambria" w:cs="MS Gothic"/>
                <w:sz w:val="18"/>
                <w:szCs w:val="18"/>
              </w:rPr>
            </w:pPr>
          </w:p>
        </w:tc>
      </w:tr>
      <w:tr w:rsidR="005B4F29" w:rsidRPr="00EE43C6" w14:paraId="31E64436" w14:textId="77777777" w:rsidTr="00F60B11">
        <w:trPr>
          <w:trHeight w:val="284"/>
        </w:trPr>
        <w:tc>
          <w:tcPr>
            <w:tcW w:w="1109" w:type="pct"/>
            <w:vAlign w:val="center"/>
          </w:tcPr>
          <w:p w14:paraId="13534146"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Eptesicus serotinus</w:t>
            </w:r>
          </w:p>
        </w:tc>
        <w:tc>
          <w:tcPr>
            <w:tcW w:w="1692" w:type="pct"/>
            <w:vAlign w:val="center"/>
          </w:tcPr>
          <w:p w14:paraId="7BFBE26F"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Serotine</w:t>
            </w:r>
          </w:p>
        </w:tc>
        <w:tc>
          <w:tcPr>
            <w:tcW w:w="656" w:type="pct"/>
            <w:vAlign w:val="center"/>
          </w:tcPr>
          <w:p w14:paraId="092AAB85"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4502D612"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18DB58B1"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26A00E75" w14:textId="77777777" w:rsidTr="00F60B11">
        <w:trPr>
          <w:trHeight w:val="284"/>
        </w:trPr>
        <w:tc>
          <w:tcPr>
            <w:tcW w:w="1109" w:type="pct"/>
            <w:vAlign w:val="center"/>
          </w:tcPr>
          <w:p w14:paraId="69D39126"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Hypsugo savii</w:t>
            </w:r>
          </w:p>
        </w:tc>
        <w:tc>
          <w:tcPr>
            <w:tcW w:w="1692" w:type="pct"/>
            <w:vAlign w:val="center"/>
          </w:tcPr>
          <w:p w14:paraId="74744E3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Savi’s Pipistrelle</w:t>
            </w:r>
          </w:p>
        </w:tc>
        <w:tc>
          <w:tcPr>
            <w:tcW w:w="656" w:type="pct"/>
            <w:vAlign w:val="center"/>
          </w:tcPr>
          <w:p w14:paraId="2CE9BE5E"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1E38F816"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0A9238F7"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518912E0" w14:textId="77777777" w:rsidTr="00F60B11">
        <w:trPr>
          <w:trHeight w:val="284"/>
        </w:trPr>
        <w:tc>
          <w:tcPr>
            <w:tcW w:w="1109" w:type="pct"/>
            <w:vAlign w:val="center"/>
          </w:tcPr>
          <w:p w14:paraId="65577738"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Nyctalus noctula</w:t>
            </w:r>
          </w:p>
        </w:tc>
        <w:tc>
          <w:tcPr>
            <w:tcW w:w="1692" w:type="pct"/>
            <w:vAlign w:val="center"/>
          </w:tcPr>
          <w:p w14:paraId="67857B94"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Noctule</w:t>
            </w:r>
          </w:p>
        </w:tc>
        <w:tc>
          <w:tcPr>
            <w:tcW w:w="656" w:type="pct"/>
            <w:vAlign w:val="center"/>
          </w:tcPr>
          <w:p w14:paraId="06E2CD9D"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45F6A247"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21BC5802"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77BCBC4F" w14:textId="77777777" w:rsidTr="00F60B11">
        <w:trPr>
          <w:trHeight w:val="284"/>
        </w:trPr>
        <w:tc>
          <w:tcPr>
            <w:tcW w:w="1109" w:type="pct"/>
            <w:vAlign w:val="center"/>
          </w:tcPr>
          <w:p w14:paraId="12A60687"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Myotis capaccinii</w:t>
            </w:r>
          </w:p>
        </w:tc>
        <w:tc>
          <w:tcPr>
            <w:tcW w:w="1692" w:type="pct"/>
            <w:vAlign w:val="center"/>
          </w:tcPr>
          <w:p w14:paraId="065512C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Long-fingered Bat</w:t>
            </w:r>
          </w:p>
        </w:tc>
        <w:tc>
          <w:tcPr>
            <w:tcW w:w="656" w:type="pct"/>
            <w:vAlign w:val="center"/>
          </w:tcPr>
          <w:p w14:paraId="08BE3CCE"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052F5C84"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VU</w:t>
            </w:r>
          </w:p>
        </w:tc>
        <w:tc>
          <w:tcPr>
            <w:tcW w:w="952" w:type="pct"/>
            <w:vAlign w:val="center"/>
          </w:tcPr>
          <w:p w14:paraId="04FCF7D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59830996" w14:textId="77777777" w:rsidTr="00F60B11">
        <w:trPr>
          <w:trHeight w:val="284"/>
        </w:trPr>
        <w:tc>
          <w:tcPr>
            <w:tcW w:w="1109" w:type="pct"/>
            <w:vAlign w:val="center"/>
          </w:tcPr>
          <w:p w14:paraId="1E910E4C"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Myotis myotis</w:t>
            </w:r>
          </w:p>
        </w:tc>
        <w:tc>
          <w:tcPr>
            <w:tcW w:w="1692" w:type="pct"/>
            <w:vAlign w:val="center"/>
          </w:tcPr>
          <w:p w14:paraId="3DDE4D2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Greater Mouse-eared Bat</w:t>
            </w:r>
          </w:p>
        </w:tc>
        <w:tc>
          <w:tcPr>
            <w:tcW w:w="656" w:type="pct"/>
            <w:vAlign w:val="center"/>
          </w:tcPr>
          <w:p w14:paraId="1442BF51"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5FB23A59"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537563D0"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2A78797E" w14:textId="77777777" w:rsidTr="00F60B11">
        <w:trPr>
          <w:trHeight w:val="284"/>
        </w:trPr>
        <w:tc>
          <w:tcPr>
            <w:tcW w:w="1109" w:type="pct"/>
            <w:vAlign w:val="center"/>
          </w:tcPr>
          <w:p w14:paraId="1313B655"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Myotis blythii</w:t>
            </w:r>
          </w:p>
        </w:tc>
        <w:tc>
          <w:tcPr>
            <w:tcW w:w="1692" w:type="pct"/>
            <w:vAlign w:val="center"/>
          </w:tcPr>
          <w:p w14:paraId="76469180"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Lesser Mouse-eared Bat</w:t>
            </w:r>
          </w:p>
        </w:tc>
        <w:tc>
          <w:tcPr>
            <w:tcW w:w="656" w:type="pct"/>
            <w:vAlign w:val="center"/>
          </w:tcPr>
          <w:p w14:paraId="0C48C54D"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5EC5E0BB"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684B43E4"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5D74F99F" w14:textId="77777777" w:rsidTr="00F60B11">
        <w:trPr>
          <w:trHeight w:val="284"/>
        </w:trPr>
        <w:tc>
          <w:tcPr>
            <w:tcW w:w="1109" w:type="pct"/>
            <w:vAlign w:val="center"/>
          </w:tcPr>
          <w:p w14:paraId="6AD98D52"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Pipistrellus pipistrellus</w:t>
            </w:r>
          </w:p>
        </w:tc>
        <w:tc>
          <w:tcPr>
            <w:tcW w:w="1692" w:type="pct"/>
            <w:vAlign w:val="center"/>
          </w:tcPr>
          <w:p w14:paraId="370F659F"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Common Pipistrelle</w:t>
            </w:r>
          </w:p>
        </w:tc>
        <w:tc>
          <w:tcPr>
            <w:tcW w:w="656" w:type="pct"/>
            <w:vAlign w:val="center"/>
          </w:tcPr>
          <w:p w14:paraId="64BA4EB7"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5A6AA70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4896D4F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App-3</w:t>
            </w:r>
          </w:p>
        </w:tc>
      </w:tr>
      <w:tr w:rsidR="005B4F29" w:rsidRPr="00EE43C6" w14:paraId="1641AB88" w14:textId="77777777" w:rsidTr="00F60B11">
        <w:trPr>
          <w:trHeight w:val="284"/>
        </w:trPr>
        <w:tc>
          <w:tcPr>
            <w:tcW w:w="1109" w:type="pct"/>
            <w:vAlign w:val="center"/>
          </w:tcPr>
          <w:p w14:paraId="6B992632"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Pipistrellus pygmaeus</w:t>
            </w:r>
          </w:p>
        </w:tc>
        <w:tc>
          <w:tcPr>
            <w:tcW w:w="1692" w:type="pct"/>
            <w:vAlign w:val="center"/>
          </w:tcPr>
          <w:p w14:paraId="6D5B396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Soprano Pipistrelle</w:t>
            </w:r>
          </w:p>
        </w:tc>
        <w:tc>
          <w:tcPr>
            <w:tcW w:w="656" w:type="pct"/>
            <w:vAlign w:val="center"/>
          </w:tcPr>
          <w:p w14:paraId="5FB644B0"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6E76022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403D99CA"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747499FC" w14:textId="77777777" w:rsidTr="00F60B11">
        <w:trPr>
          <w:trHeight w:val="284"/>
        </w:trPr>
        <w:tc>
          <w:tcPr>
            <w:tcW w:w="1109" w:type="pct"/>
            <w:vAlign w:val="center"/>
          </w:tcPr>
          <w:p w14:paraId="705E4F61"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Pipistellus kuhlii</w:t>
            </w:r>
          </w:p>
        </w:tc>
        <w:tc>
          <w:tcPr>
            <w:tcW w:w="1692" w:type="pct"/>
            <w:vAlign w:val="center"/>
          </w:tcPr>
          <w:p w14:paraId="6D18274F"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Kuhl’s Pipistrelle</w:t>
            </w:r>
          </w:p>
        </w:tc>
        <w:tc>
          <w:tcPr>
            <w:tcW w:w="656" w:type="pct"/>
            <w:vAlign w:val="center"/>
          </w:tcPr>
          <w:p w14:paraId="52A8F144"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363CA960"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503AA263"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9D4495" w:rsidRPr="00EE43C6" w14:paraId="26958551" w14:textId="77777777" w:rsidTr="00F60B11">
        <w:trPr>
          <w:trHeight w:val="284"/>
        </w:trPr>
        <w:tc>
          <w:tcPr>
            <w:tcW w:w="1109" w:type="pct"/>
            <w:vAlign w:val="center"/>
          </w:tcPr>
          <w:p w14:paraId="764AC0E5" w14:textId="2937A3A5" w:rsidR="009D4495" w:rsidRPr="00EE43C6" w:rsidRDefault="009D4495" w:rsidP="00445D55">
            <w:pPr>
              <w:widowControl w:val="0"/>
              <w:spacing w:before="0" w:after="0" w:line="240" w:lineRule="auto"/>
              <w:jc w:val="left"/>
              <w:rPr>
                <w:rFonts w:eastAsia="Cambria" w:cs="MS Gothic"/>
                <w:b/>
                <w:bCs/>
                <w:iCs/>
                <w:sz w:val="18"/>
                <w:szCs w:val="18"/>
              </w:rPr>
            </w:pPr>
            <w:r w:rsidRPr="00EE43C6">
              <w:rPr>
                <w:rFonts w:eastAsia="Cambria" w:cs="MS Gothic"/>
                <w:b/>
                <w:bCs/>
                <w:iCs/>
                <w:sz w:val="18"/>
                <w:szCs w:val="18"/>
              </w:rPr>
              <w:lastRenderedPageBreak/>
              <w:t>Pteropodidae</w:t>
            </w:r>
          </w:p>
        </w:tc>
        <w:tc>
          <w:tcPr>
            <w:tcW w:w="1692" w:type="pct"/>
            <w:vAlign w:val="center"/>
          </w:tcPr>
          <w:p w14:paraId="2CD70BB3" w14:textId="77777777" w:rsidR="009D4495" w:rsidRPr="00EE43C6" w:rsidRDefault="009D4495" w:rsidP="00445D55">
            <w:pPr>
              <w:widowControl w:val="0"/>
              <w:spacing w:before="0" w:after="0" w:line="240" w:lineRule="auto"/>
              <w:jc w:val="center"/>
              <w:rPr>
                <w:rFonts w:eastAsia="Cambria" w:cs="MS Gothic"/>
                <w:sz w:val="18"/>
                <w:szCs w:val="18"/>
              </w:rPr>
            </w:pPr>
          </w:p>
        </w:tc>
        <w:tc>
          <w:tcPr>
            <w:tcW w:w="656" w:type="pct"/>
            <w:vAlign w:val="center"/>
          </w:tcPr>
          <w:p w14:paraId="50E8AB44" w14:textId="77777777" w:rsidR="009D4495" w:rsidRPr="00EE43C6" w:rsidRDefault="009D4495" w:rsidP="00445D55">
            <w:pPr>
              <w:widowControl w:val="0"/>
              <w:spacing w:before="0" w:after="0" w:line="240" w:lineRule="auto"/>
              <w:jc w:val="center"/>
              <w:rPr>
                <w:rFonts w:eastAsia="Cambria" w:cs="MS Gothic"/>
                <w:sz w:val="18"/>
                <w:szCs w:val="18"/>
              </w:rPr>
            </w:pPr>
          </w:p>
        </w:tc>
        <w:tc>
          <w:tcPr>
            <w:tcW w:w="591" w:type="pct"/>
            <w:vAlign w:val="center"/>
          </w:tcPr>
          <w:p w14:paraId="08FF365C" w14:textId="77777777" w:rsidR="009D4495" w:rsidRPr="00EE43C6" w:rsidRDefault="009D4495" w:rsidP="00445D55">
            <w:pPr>
              <w:widowControl w:val="0"/>
              <w:spacing w:before="0" w:after="0" w:line="240" w:lineRule="auto"/>
              <w:jc w:val="center"/>
              <w:rPr>
                <w:rFonts w:eastAsia="Cambria" w:cs="MS Gothic"/>
                <w:sz w:val="18"/>
                <w:szCs w:val="18"/>
              </w:rPr>
            </w:pPr>
          </w:p>
        </w:tc>
        <w:tc>
          <w:tcPr>
            <w:tcW w:w="952" w:type="pct"/>
            <w:vAlign w:val="center"/>
          </w:tcPr>
          <w:p w14:paraId="41D5150E" w14:textId="77777777" w:rsidR="009D4495" w:rsidRPr="00EE43C6" w:rsidRDefault="009D4495" w:rsidP="00445D55">
            <w:pPr>
              <w:widowControl w:val="0"/>
              <w:spacing w:before="0" w:after="0" w:line="240" w:lineRule="auto"/>
              <w:jc w:val="center"/>
              <w:rPr>
                <w:rFonts w:eastAsia="Cambria" w:cs="MS Gothic"/>
                <w:sz w:val="18"/>
                <w:szCs w:val="18"/>
              </w:rPr>
            </w:pPr>
          </w:p>
        </w:tc>
      </w:tr>
      <w:tr w:rsidR="009D4495" w:rsidRPr="00EE43C6" w14:paraId="6B27ECFB" w14:textId="77777777" w:rsidTr="00F60B11">
        <w:trPr>
          <w:trHeight w:val="284"/>
        </w:trPr>
        <w:tc>
          <w:tcPr>
            <w:tcW w:w="1109" w:type="pct"/>
            <w:vAlign w:val="center"/>
          </w:tcPr>
          <w:p w14:paraId="7F0FE2AF" w14:textId="46F41265" w:rsidR="009D4495" w:rsidRPr="00EE43C6" w:rsidRDefault="009D4495"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Rousettus aegyptiacus</w:t>
            </w:r>
          </w:p>
        </w:tc>
        <w:tc>
          <w:tcPr>
            <w:tcW w:w="1692" w:type="pct"/>
            <w:vAlign w:val="center"/>
          </w:tcPr>
          <w:p w14:paraId="1F785893" w14:textId="14C39215" w:rsidR="009D4495" w:rsidRPr="00EE43C6" w:rsidRDefault="001C3F09" w:rsidP="00445D55">
            <w:pPr>
              <w:widowControl w:val="0"/>
              <w:spacing w:before="0" w:after="0" w:line="240" w:lineRule="auto"/>
              <w:jc w:val="center"/>
              <w:rPr>
                <w:rFonts w:eastAsia="Cambria" w:cs="MS Gothic"/>
                <w:sz w:val="18"/>
                <w:szCs w:val="18"/>
              </w:rPr>
            </w:pPr>
            <w:r w:rsidRPr="00EE43C6">
              <w:rPr>
                <w:rFonts w:eastAsia="Cambria" w:cs="MS Gothic"/>
                <w:sz w:val="18"/>
                <w:szCs w:val="18"/>
              </w:rPr>
              <w:t>Egyptian Fruit Bat</w:t>
            </w:r>
          </w:p>
        </w:tc>
        <w:tc>
          <w:tcPr>
            <w:tcW w:w="656" w:type="pct"/>
            <w:vAlign w:val="center"/>
          </w:tcPr>
          <w:p w14:paraId="66EAC2C3" w14:textId="77777777" w:rsidR="009D4495" w:rsidRPr="00EE43C6" w:rsidRDefault="009D4495" w:rsidP="00445D55">
            <w:pPr>
              <w:widowControl w:val="0"/>
              <w:spacing w:before="0" w:after="0" w:line="240" w:lineRule="auto"/>
              <w:jc w:val="center"/>
              <w:rPr>
                <w:rFonts w:eastAsia="Cambria" w:cs="MS Gothic"/>
                <w:sz w:val="18"/>
                <w:szCs w:val="18"/>
              </w:rPr>
            </w:pPr>
          </w:p>
        </w:tc>
        <w:tc>
          <w:tcPr>
            <w:tcW w:w="591" w:type="pct"/>
            <w:vAlign w:val="center"/>
          </w:tcPr>
          <w:p w14:paraId="573E97FE" w14:textId="6A1260F3" w:rsidR="009D4495" w:rsidRPr="00EE43C6" w:rsidRDefault="001C3F0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1759CD5B" w14:textId="19CE22B9" w:rsidR="009D4495" w:rsidRPr="00EE43C6" w:rsidRDefault="001C3F0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61F5AD76" w14:textId="77777777" w:rsidTr="00F60B11">
        <w:trPr>
          <w:trHeight w:val="284"/>
        </w:trPr>
        <w:tc>
          <w:tcPr>
            <w:tcW w:w="1109" w:type="pct"/>
            <w:vAlign w:val="center"/>
          </w:tcPr>
          <w:p w14:paraId="38445993" w14:textId="77777777" w:rsidR="005B4F29" w:rsidRPr="00EE43C6" w:rsidRDefault="005B4F29" w:rsidP="00445D55">
            <w:pPr>
              <w:widowControl w:val="0"/>
              <w:spacing w:before="0" w:after="0" w:line="240" w:lineRule="auto"/>
              <w:jc w:val="left"/>
              <w:rPr>
                <w:rFonts w:eastAsia="Cambria" w:cs="MS Gothic"/>
                <w:b/>
                <w:bCs/>
                <w:iCs/>
                <w:sz w:val="18"/>
                <w:szCs w:val="18"/>
              </w:rPr>
            </w:pPr>
            <w:r w:rsidRPr="00EE43C6">
              <w:rPr>
                <w:rFonts w:eastAsia="Cambria" w:cs="MS Gothic"/>
                <w:b/>
                <w:bCs/>
                <w:iCs/>
                <w:sz w:val="18"/>
                <w:szCs w:val="18"/>
              </w:rPr>
              <w:t>Rhinolophidae</w:t>
            </w:r>
          </w:p>
        </w:tc>
        <w:tc>
          <w:tcPr>
            <w:tcW w:w="1692" w:type="pct"/>
            <w:vAlign w:val="center"/>
          </w:tcPr>
          <w:p w14:paraId="312D2E26" w14:textId="77777777" w:rsidR="005B4F29" w:rsidRPr="00EE43C6" w:rsidRDefault="005B4F29" w:rsidP="00445D55">
            <w:pPr>
              <w:widowControl w:val="0"/>
              <w:spacing w:before="0" w:after="0" w:line="240" w:lineRule="auto"/>
              <w:jc w:val="center"/>
              <w:rPr>
                <w:rFonts w:eastAsia="Cambria" w:cs="MS Gothic"/>
                <w:sz w:val="18"/>
                <w:szCs w:val="18"/>
              </w:rPr>
            </w:pPr>
          </w:p>
        </w:tc>
        <w:tc>
          <w:tcPr>
            <w:tcW w:w="656" w:type="pct"/>
            <w:vAlign w:val="center"/>
          </w:tcPr>
          <w:p w14:paraId="2D50482A"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7BED3D5C" w14:textId="77777777" w:rsidR="005B4F29" w:rsidRPr="00EE43C6" w:rsidRDefault="005B4F29" w:rsidP="00445D55">
            <w:pPr>
              <w:widowControl w:val="0"/>
              <w:spacing w:before="0" w:after="0" w:line="240" w:lineRule="auto"/>
              <w:jc w:val="center"/>
              <w:rPr>
                <w:rFonts w:eastAsia="Cambria" w:cs="MS Gothic"/>
                <w:sz w:val="18"/>
                <w:szCs w:val="18"/>
              </w:rPr>
            </w:pPr>
          </w:p>
        </w:tc>
        <w:tc>
          <w:tcPr>
            <w:tcW w:w="952" w:type="pct"/>
            <w:vAlign w:val="center"/>
          </w:tcPr>
          <w:p w14:paraId="5757E4E9" w14:textId="77777777" w:rsidR="005B4F29" w:rsidRPr="00EE43C6" w:rsidRDefault="005B4F29" w:rsidP="00445D55">
            <w:pPr>
              <w:widowControl w:val="0"/>
              <w:spacing w:before="0" w:after="0" w:line="240" w:lineRule="auto"/>
              <w:jc w:val="center"/>
              <w:rPr>
                <w:rFonts w:eastAsia="Cambria" w:cs="MS Gothic"/>
                <w:sz w:val="18"/>
                <w:szCs w:val="18"/>
              </w:rPr>
            </w:pPr>
          </w:p>
        </w:tc>
      </w:tr>
      <w:tr w:rsidR="005B4F29" w:rsidRPr="00EE43C6" w14:paraId="6FD1D79A" w14:textId="77777777" w:rsidTr="00F60B11">
        <w:trPr>
          <w:trHeight w:val="284"/>
        </w:trPr>
        <w:tc>
          <w:tcPr>
            <w:tcW w:w="1109" w:type="pct"/>
            <w:vAlign w:val="center"/>
          </w:tcPr>
          <w:p w14:paraId="290C7A82"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Rhinolophus ferrumequinum</w:t>
            </w:r>
          </w:p>
        </w:tc>
        <w:tc>
          <w:tcPr>
            <w:tcW w:w="1692" w:type="pct"/>
            <w:vAlign w:val="center"/>
          </w:tcPr>
          <w:p w14:paraId="5EC4A39E"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Greater Horseshoe Bat</w:t>
            </w:r>
          </w:p>
        </w:tc>
        <w:tc>
          <w:tcPr>
            <w:tcW w:w="656" w:type="pct"/>
            <w:vAlign w:val="center"/>
          </w:tcPr>
          <w:p w14:paraId="38C5CECC"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179B3F41"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39D65D9B"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104BC950" w14:textId="77777777" w:rsidTr="00F60B11">
        <w:trPr>
          <w:trHeight w:val="284"/>
        </w:trPr>
        <w:tc>
          <w:tcPr>
            <w:tcW w:w="1109" w:type="pct"/>
            <w:vAlign w:val="center"/>
          </w:tcPr>
          <w:p w14:paraId="6049160C"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Rhinolophus hipposideros</w:t>
            </w:r>
          </w:p>
        </w:tc>
        <w:tc>
          <w:tcPr>
            <w:tcW w:w="1692" w:type="pct"/>
            <w:vAlign w:val="center"/>
          </w:tcPr>
          <w:p w14:paraId="6EDFA1CC"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Lesser Horseshoe Bat</w:t>
            </w:r>
          </w:p>
        </w:tc>
        <w:tc>
          <w:tcPr>
            <w:tcW w:w="656" w:type="pct"/>
            <w:vAlign w:val="center"/>
          </w:tcPr>
          <w:p w14:paraId="144F0E57"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37E5E391"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LC</w:t>
            </w:r>
          </w:p>
        </w:tc>
        <w:tc>
          <w:tcPr>
            <w:tcW w:w="952" w:type="pct"/>
            <w:vAlign w:val="center"/>
          </w:tcPr>
          <w:p w14:paraId="095801DA"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5CD0B827" w14:textId="77777777" w:rsidTr="00F60B11">
        <w:trPr>
          <w:trHeight w:val="284"/>
        </w:trPr>
        <w:tc>
          <w:tcPr>
            <w:tcW w:w="1109" w:type="pct"/>
            <w:vAlign w:val="center"/>
          </w:tcPr>
          <w:p w14:paraId="4676AF9E"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Rhinolophus euryale</w:t>
            </w:r>
          </w:p>
        </w:tc>
        <w:tc>
          <w:tcPr>
            <w:tcW w:w="1692" w:type="pct"/>
            <w:vAlign w:val="center"/>
          </w:tcPr>
          <w:p w14:paraId="523C2B05"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Mediterranean Horseshoe Bat</w:t>
            </w:r>
          </w:p>
        </w:tc>
        <w:tc>
          <w:tcPr>
            <w:tcW w:w="656" w:type="pct"/>
            <w:vAlign w:val="center"/>
          </w:tcPr>
          <w:p w14:paraId="694B4ADC"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0883D748"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NT</w:t>
            </w:r>
          </w:p>
        </w:tc>
        <w:tc>
          <w:tcPr>
            <w:tcW w:w="952" w:type="pct"/>
            <w:vAlign w:val="center"/>
          </w:tcPr>
          <w:p w14:paraId="44E69436"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r w:rsidR="005B4F29" w:rsidRPr="00EE43C6" w14:paraId="2057D63C" w14:textId="77777777" w:rsidTr="00F60B11">
        <w:trPr>
          <w:trHeight w:val="284"/>
        </w:trPr>
        <w:tc>
          <w:tcPr>
            <w:tcW w:w="1109" w:type="pct"/>
            <w:vAlign w:val="center"/>
          </w:tcPr>
          <w:p w14:paraId="4E359685" w14:textId="77777777" w:rsidR="005B4F29" w:rsidRPr="00EE43C6" w:rsidRDefault="005B4F29" w:rsidP="00445D55">
            <w:pPr>
              <w:widowControl w:val="0"/>
              <w:spacing w:before="0" w:after="0" w:line="240" w:lineRule="auto"/>
              <w:jc w:val="left"/>
              <w:rPr>
                <w:rFonts w:eastAsia="Cambria" w:cs="MS Gothic"/>
                <w:i/>
                <w:sz w:val="18"/>
                <w:szCs w:val="18"/>
              </w:rPr>
            </w:pPr>
            <w:r w:rsidRPr="00EE43C6">
              <w:rPr>
                <w:rFonts w:eastAsia="Cambria" w:cs="MS Gothic"/>
                <w:i/>
                <w:sz w:val="18"/>
                <w:szCs w:val="18"/>
              </w:rPr>
              <w:t>Rhinolophus mehelyi</w:t>
            </w:r>
          </w:p>
        </w:tc>
        <w:tc>
          <w:tcPr>
            <w:tcW w:w="1692" w:type="pct"/>
            <w:vAlign w:val="center"/>
          </w:tcPr>
          <w:p w14:paraId="78DC4ACC"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Mehely’s Horseshoe Bat</w:t>
            </w:r>
          </w:p>
        </w:tc>
        <w:tc>
          <w:tcPr>
            <w:tcW w:w="656" w:type="pct"/>
            <w:vAlign w:val="center"/>
          </w:tcPr>
          <w:p w14:paraId="362E7630" w14:textId="77777777" w:rsidR="005B4F29" w:rsidRPr="00EE43C6" w:rsidRDefault="005B4F29" w:rsidP="00445D55">
            <w:pPr>
              <w:widowControl w:val="0"/>
              <w:spacing w:before="0" w:after="0" w:line="240" w:lineRule="auto"/>
              <w:jc w:val="center"/>
              <w:rPr>
                <w:rFonts w:eastAsia="Cambria" w:cs="MS Gothic"/>
                <w:sz w:val="18"/>
                <w:szCs w:val="18"/>
              </w:rPr>
            </w:pPr>
          </w:p>
        </w:tc>
        <w:tc>
          <w:tcPr>
            <w:tcW w:w="591" w:type="pct"/>
            <w:vAlign w:val="center"/>
          </w:tcPr>
          <w:p w14:paraId="2F78CF81"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VU</w:t>
            </w:r>
          </w:p>
        </w:tc>
        <w:tc>
          <w:tcPr>
            <w:tcW w:w="952" w:type="pct"/>
            <w:vAlign w:val="center"/>
          </w:tcPr>
          <w:p w14:paraId="48BD46F4" w14:textId="77777777" w:rsidR="005B4F29" w:rsidRPr="00EE43C6" w:rsidRDefault="005B4F29" w:rsidP="00445D55">
            <w:pPr>
              <w:widowControl w:val="0"/>
              <w:spacing w:before="0" w:after="0" w:line="240" w:lineRule="auto"/>
              <w:jc w:val="center"/>
              <w:rPr>
                <w:rFonts w:eastAsia="Cambria" w:cs="MS Gothic"/>
                <w:sz w:val="18"/>
                <w:szCs w:val="18"/>
              </w:rPr>
            </w:pPr>
            <w:r w:rsidRPr="00EE43C6">
              <w:rPr>
                <w:rFonts w:eastAsia="Cambria" w:cs="MS Gothic"/>
                <w:sz w:val="18"/>
                <w:szCs w:val="18"/>
              </w:rPr>
              <w:t>App-2</w:t>
            </w:r>
          </w:p>
        </w:tc>
      </w:tr>
    </w:tbl>
    <w:p w14:paraId="44EA2B01" w14:textId="268ED565" w:rsidR="00082434" w:rsidRPr="00EE43C6" w:rsidRDefault="7077DCAC" w:rsidP="00F60B11">
      <w:pPr>
        <w:spacing w:before="360" w:after="360"/>
        <w:rPr>
          <w:rFonts w:eastAsia="Wingdings" w:cs="Wingdings"/>
        </w:rPr>
      </w:pPr>
      <w:r w:rsidRPr="00EE43C6">
        <w:rPr>
          <w:rFonts w:eastAsia="Wingdings" w:cs="Wingdings"/>
        </w:rPr>
        <w:t xml:space="preserve">The threatened </w:t>
      </w:r>
      <w:r w:rsidR="001F55D6">
        <w:rPr>
          <w:rFonts w:eastAsia="Wingdings" w:cs="Wingdings"/>
        </w:rPr>
        <w:t xml:space="preserve">fauna </w:t>
      </w:r>
      <w:r w:rsidRPr="00EE43C6">
        <w:rPr>
          <w:rFonts w:eastAsia="Wingdings" w:cs="Wingdings"/>
        </w:rPr>
        <w:t>species according to the IUCN red list are given in</w:t>
      </w:r>
      <w:r w:rsidR="00F60B11" w:rsidRPr="00EE43C6">
        <w:rPr>
          <w:rFonts w:eastAsia="Wingdings" w:cs="Wingdings"/>
        </w:rPr>
        <w:t xml:space="preserve"> </w:t>
      </w:r>
      <w:r w:rsidR="00F60B11" w:rsidRPr="00EE43C6">
        <w:rPr>
          <w:rFonts w:eastAsia="Wingdings" w:cs="Wingdings"/>
        </w:rPr>
        <w:fldChar w:fldCharType="begin"/>
      </w:r>
      <w:r w:rsidR="00F60B11" w:rsidRPr="00EE43C6">
        <w:rPr>
          <w:rFonts w:eastAsia="Wingdings" w:cs="Wingdings"/>
        </w:rPr>
        <w:instrText xml:space="preserve"> REF _Ref126335742 \h </w:instrText>
      </w:r>
      <w:r w:rsidR="00F60B11" w:rsidRPr="00EE43C6">
        <w:rPr>
          <w:rFonts w:eastAsia="Wingdings" w:cs="Wingdings"/>
        </w:rPr>
      </w:r>
      <w:r w:rsidR="00F60B11" w:rsidRPr="00EE43C6">
        <w:rPr>
          <w:rFonts w:eastAsia="Wingdings" w:cs="Wingdings"/>
        </w:rPr>
        <w:fldChar w:fldCharType="separate"/>
      </w:r>
      <w:r w:rsidR="00F60B11" w:rsidRPr="00EE43C6">
        <w:t>Table 4</w:t>
      </w:r>
      <w:r w:rsidR="00F60B11" w:rsidRPr="00EE43C6">
        <w:noBreakHyphen/>
        <w:t>8</w:t>
      </w:r>
      <w:r w:rsidR="00F60B11" w:rsidRPr="00EE43C6">
        <w:rPr>
          <w:rFonts w:eastAsia="Wingdings" w:cs="Wingdings"/>
        </w:rPr>
        <w:fldChar w:fldCharType="end"/>
      </w:r>
      <w:r w:rsidR="00171B18" w:rsidRPr="00EE43C6">
        <w:rPr>
          <w:rFonts w:eastAsia="Wingdings" w:cs="Wingdings"/>
        </w:rPr>
        <w:t>.</w:t>
      </w:r>
      <w:r w:rsidR="007924B0" w:rsidRPr="00EE43C6">
        <w:rPr>
          <w:rFonts w:eastAsia="Wingdings" w:cs="Wingdings"/>
        </w:rPr>
        <w:t xml:space="preserve"> </w:t>
      </w:r>
      <w:r w:rsidRPr="00EE43C6">
        <w:rPr>
          <w:rFonts w:eastAsia="Wingdings" w:cs="Wingdings"/>
        </w:rPr>
        <w:t>Except for these species, all remaining species are in the LC (Least Concern) category.</w:t>
      </w:r>
    </w:p>
    <w:p w14:paraId="6C869355" w14:textId="5C0B4677" w:rsidR="00082434" w:rsidRPr="00EE43C6" w:rsidRDefault="00F60B11" w:rsidP="00F60B11">
      <w:pPr>
        <w:pStyle w:val="Caption"/>
        <w:spacing w:before="200" w:after="0"/>
        <w:rPr>
          <w:rFonts w:cs="MS Gothic"/>
          <w:b w:val="0"/>
          <w:noProof w:val="0"/>
          <w:color w:val="auto"/>
        </w:rPr>
      </w:pPr>
      <w:bookmarkStart w:id="366" w:name="_Ref126335742"/>
      <w:bookmarkStart w:id="367" w:name="_Toc141445503"/>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4</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8</w:t>
      </w:r>
      <w:r w:rsidR="006D2DE8">
        <w:rPr>
          <w:noProof w:val="0"/>
        </w:rPr>
        <w:fldChar w:fldCharType="end"/>
      </w:r>
      <w:bookmarkEnd w:id="366"/>
      <w:r w:rsidRPr="00EE43C6">
        <w:rPr>
          <w:noProof w:val="0"/>
        </w:rPr>
        <w:t xml:space="preserve">. </w:t>
      </w:r>
      <w:r w:rsidR="000C8539" w:rsidRPr="00EE43C6">
        <w:rPr>
          <w:rFonts w:cs="MS Gothic"/>
          <w:b w:val="0"/>
          <w:noProof w:val="0"/>
          <w:color w:val="auto"/>
        </w:rPr>
        <w:t>Identified t</w:t>
      </w:r>
      <w:r w:rsidR="7077DCAC" w:rsidRPr="00EE43C6">
        <w:rPr>
          <w:rFonts w:cs="MS Gothic"/>
          <w:b w:val="0"/>
          <w:noProof w:val="0"/>
          <w:color w:val="auto"/>
        </w:rPr>
        <w:t xml:space="preserve">hreatened </w:t>
      </w:r>
      <w:r w:rsidR="001F55D6">
        <w:rPr>
          <w:rFonts w:cs="MS Gothic"/>
          <w:b w:val="0"/>
          <w:noProof w:val="0"/>
          <w:color w:val="auto"/>
        </w:rPr>
        <w:t xml:space="preserve">fauna </w:t>
      </w:r>
      <w:r w:rsidR="7077DCAC" w:rsidRPr="00EE43C6">
        <w:rPr>
          <w:rFonts w:cs="MS Gothic"/>
          <w:b w:val="0"/>
          <w:noProof w:val="0"/>
          <w:color w:val="auto"/>
        </w:rPr>
        <w:t>species according to the IUCN red list in the AoI</w:t>
      </w:r>
      <w:bookmarkEnd w:id="367"/>
      <w:r w:rsidR="7077DCAC" w:rsidRPr="00EE43C6">
        <w:rPr>
          <w:rFonts w:cs="MS Gothic"/>
          <w:b w:val="0"/>
          <w:noProof w:val="0"/>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211"/>
        <w:gridCol w:w="663"/>
        <w:gridCol w:w="3308"/>
        <w:gridCol w:w="993"/>
        <w:gridCol w:w="1253"/>
      </w:tblGrid>
      <w:tr w:rsidR="0099455C" w:rsidRPr="00EE43C6" w14:paraId="488E4372" w14:textId="77777777" w:rsidTr="001E0229">
        <w:trPr>
          <w:trHeight w:val="284"/>
          <w:tblHeader/>
        </w:trPr>
        <w:tc>
          <w:tcPr>
            <w:tcW w:w="1730" w:type="dxa"/>
            <w:vMerge w:val="restart"/>
            <w:shd w:val="clear" w:color="auto" w:fill="4F81BD" w:themeFill="accent1"/>
            <w:vAlign w:val="center"/>
          </w:tcPr>
          <w:p w14:paraId="245A5CFE"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b/>
                <w:bCs/>
                <w:color w:val="FFFFFF" w:themeColor="background1"/>
                <w:sz w:val="18"/>
                <w:szCs w:val="18"/>
              </w:rPr>
              <w:t>Species Name</w:t>
            </w:r>
          </w:p>
        </w:tc>
        <w:tc>
          <w:tcPr>
            <w:tcW w:w="1211" w:type="dxa"/>
            <w:vMerge w:val="restart"/>
            <w:shd w:val="clear" w:color="auto" w:fill="4F81BD" w:themeFill="accent1"/>
            <w:vAlign w:val="center"/>
          </w:tcPr>
          <w:p w14:paraId="39AE4A33"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b/>
                <w:bCs/>
                <w:color w:val="FFFFFF" w:themeColor="background1"/>
                <w:sz w:val="18"/>
                <w:szCs w:val="18"/>
              </w:rPr>
              <w:t>Common Name</w:t>
            </w:r>
          </w:p>
        </w:tc>
        <w:tc>
          <w:tcPr>
            <w:tcW w:w="663" w:type="dxa"/>
            <w:vMerge w:val="restart"/>
            <w:shd w:val="clear" w:color="auto" w:fill="4F81BD" w:themeFill="accent1"/>
            <w:vAlign w:val="center"/>
          </w:tcPr>
          <w:p w14:paraId="6E615CC4"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b/>
                <w:bCs/>
                <w:color w:val="FFFFFF" w:themeColor="background1"/>
                <w:sz w:val="18"/>
                <w:szCs w:val="18"/>
              </w:rPr>
              <w:t>IUCN</w:t>
            </w:r>
          </w:p>
        </w:tc>
        <w:tc>
          <w:tcPr>
            <w:tcW w:w="3308" w:type="dxa"/>
            <w:vMerge w:val="restart"/>
            <w:shd w:val="clear" w:color="auto" w:fill="4F81BD" w:themeFill="accent1"/>
            <w:vAlign w:val="center"/>
          </w:tcPr>
          <w:p w14:paraId="2830CE08"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b/>
                <w:bCs/>
                <w:color w:val="FFFFFF" w:themeColor="background1"/>
                <w:sz w:val="18"/>
                <w:szCs w:val="18"/>
              </w:rPr>
              <w:t>Distribution</w:t>
            </w:r>
          </w:p>
        </w:tc>
        <w:tc>
          <w:tcPr>
            <w:tcW w:w="2246" w:type="dxa"/>
            <w:gridSpan w:val="2"/>
            <w:shd w:val="clear" w:color="auto" w:fill="4F81BD" w:themeFill="accent1"/>
            <w:vAlign w:val="center"/>
          </w:tcPr>
          <w:p w14:paraId="735CC213" w14:textId="77777777" w:rsidR="0099455C" w:rsidRDefault="0099455C">
            <w:pPr>
              <w:spacing w:before="0" w:after="0" w:line="240" w:lineRule="auto"/>
              <w:jc w:val="center"/>
              <w:rPr>
                <w:rFonts w:eastAsia="Cambria" w:cs="MS Gothic"/>
                <w:b/>
                <w:bCs/>
                <w:color w:val="FFFFFF" w:themeColor="background1"/>
                <w:sz w:val="18"/>
                <w:szCs w:val="18"/>
              </w:rPr>
            </w:pPr>
            <w:r>
              <w:rPr>
                <w:rFonts w:eastAsia="Cambria" w:cs="MS Gothic"/>
                <w:b/>
                <w:bCs/>
                <w:color w:val="FFFFFF" w:themeColor="background1"/>
                <w:sz w:val="18"/>
                <w:szCs w:val="18"/>
              </w:rPr>
              <w:t>Source</w:t>
            </w:r>
          </w:p>
        </w:tc>
      </w:tr>
      <w:tr w:rsidR="0099455C" w:rsidRPr="00EE43C6" w14:paraId="481FA700" w14:textId="77777777" w:rsidTr="001E0229">
        <w:trPr>
          <w:trHeight w:val="284"/>
          <w:tblHeader/>
        </w:trPr>
        <w:tc>
          <w:tcPr>
            <w:tcW w:w="1730" w:type="dxa"/>
            <w:vMerge/>
            <w:shd w:val="clear" w:color="auto" w:fill="FFFFFF" w:themeFill="background1"/>
            <w:vAlign w:val="center"/>
          </w:tcPr>
          <w:p w14:paraId="14BE3FAA" w14:textId="77777777" w:rsidR="0099455C" w:rsidRPr="00EE43C6" w:rsidRDefault="0099455C">
            <w:pPr>
              <w:spacing w:before="0" w:after="0" w:line="240" w:lineRule="auto"/>
              <w:jc w:val="left"/>
              <w:rPr>
                <w:rFonts w:eastAsia="Cambria" w:cs="MS Gothic"/>
                <w:b/>
                <w:bCs/>
                <w:sz w:val="18"/>
                <w:szCs w:val="18"/>
              </w:rPr>
            </w:pPr>
          </w:p>
        </w:tc>
        <w:tc>
          <w:tcPr>
            <w:tcW w:w="1211" w:type="dxa"/>
            <w:vMerge/>
            <w:shd w:val="clear" w:color="auto" w:fill="FFFFFF" w:themeFill="background1"/>
            <w:vAlign w:val="center"/>
          </w:tcPr>
          <w:p w14:paraId="619D08AA" w14:textId="77777777" w:rsidR="0099455C" w:rsidRPr="00EE43C6" w:rsidRDefault="0099455C">
            <w:pPr>
              <w:spacing w:before="0" w:after="0" w:line="240" w:lineRule="auto"/>
              <w:jc w:val="left"/>
              <w:rPr>
                <w:rFonts w:eastAsia="Cambria" w:cs="MS Gothic"/>
                <w:b/>
                <w:bCs/>
                <w:sz w:val="18"/>
                <w:szCs w:val="18"/>
              </w:rPr>
            </w:pPr>
          </w:p>
        </w:tc>
        <w:tc>
          <w:tcPr>
            <w:tcW w:w="663" w:type="dxa"/>
            <w:vMerge/>
            <w:shd w:val="clear" w:color="auto" w:fill="FFFFFF" w:themeFill="background1"/>
            <w:vAlign w:val="center"/>
          </w:tcPr>
          <w:p w14:paraId="60624C87" w14:textId="77777777" w:rsidR="0099455C" w:rsidRPr="00EE43C6" w:rsidRDefault="0099455C">
            <w:pPr>
              <w:spacing w:before="0" w:after="0" w:line="240" w:lineRule="auto"/>
              <w:jc w:val="left"/>
              <w:rPr>
                <w:rFonts w:eastAsia="Cambria" w:cs="MS Gothic"/>
                <w:b/>
                <w:bCs/>
                <w:sz w:val="18"/>
                <w:szCs w:val="18"/>
              </w:rPr>
            </w:pPr>
          </w:p>
        </w:tc>
        <w:tc>
          <w:tcPr>
            <w:tcW w:w="3308" w:type="dxa"/>
            <w:vMerge/>
            <w:shd w:val="clear" w:color="auto" w:fill="FFFFFF" w:themeFill="background1"/>
          </w:tcPr>
          <w:p w14:paraId="361ED107" w14:textId="77777777" w:rsidR="0099455C" w:rsidRPr="00EE43C6" w:rsidRDefault="0099455C">
            <w:pPr>
              <w:spacing w:before="0" w:after="0" w:line="240" w:lineRule="auto"/>
              <w:jc w:val="left"/>
              <w:rPr>
                <w:rFonts w:eastAsia="Cambria" w:cs="MS Gothic"/>
                <w:b/>
                <w:bCs/>
                <w:sz w:val="18"/>
                <w:szCs w:val="18"/>
              </w:rPr>
            </w:pPr>
          </w:p>
        </w:tc>
        <w:tc>
          <w:tcPr>
            <w:tcW w:w="993" w:type="dxa"/>
            <w:shd w:val="clear" w:color="auto" w:fill="4F81BD" w:themeFill="accent1"/>
            <w:vAlign w:val="center"/>
          </w:tcPr>
          <w:p w14:paraId="5745C84B" w14:textId="77777777" w:rsidR="0099455C" w:rsidRPr="00C304C7" w:rsidRDefault="0099455C">
            <w:pPr>
              <w:spacing w:before="0" w:after="0" w:line="240" w:lineRule="auto"/>
              <w:jc w:val="center"/>
              <w:rPr>
                <w:rFonts w:eastAsia="Cambria" w:cs="MS Gothic"/>
                <w:b/>
                <w:bCs/>
                <w:color w:val="FFFFFF" w:themeColor="background1"/>
                <w:sz w:val="18"/>
                <w:szCs w:val="18"/>
              </w:rPr>
            </w:pPr>
            <w:r w:rsidRPr="00C304C7">
              <w:rPr>
                <w:rFonts w:eastAsia="Cambria" w:cs="MS Gothic"/>
                <w:b/>
                <w:bCs/>
                <w:color w:val="FFFFFF" w:themeColor="background1"/>
                <w:sz w:val="18"/>
                <w:szCs w:val="18"/>
              </w:rPr>
              <w:t>Previous Studies</w:t>
            </w:r>
            <w:r w:rsidRPr="00C304C7">
              <w:rPr>
                <w:rFonts w:eastAsia="Cambria" w:cs="MS Gothic"/>
                <w:b/>
                <w:bCs/>
                <w:color w:val="FFFFFF" w:themeColor="background1"/>
                <w:sz w:val="18"/>
                <w:szCs w:val="18"/>
              </w:rPr>
              <w:br/>
              <w:t>(EIAs)</w:t>
            </w:r>
          </w:p>
        </w:tc>
        <w:tc>
          <w:tcPr>
            <w:tcW w:w="1253" w:type="dxa"/>
            <w:shd w:val="clear" w:color="auto" w:fill="4F81BD" w:themeFill="accent1"/>
            <w:vAlign w:val="center"/>
          </w:tcPr>
          <w:p w14:paraId="2B21BB6A" w14:textId="77777777" w:rsidR="0099455C" w:rsidRPr="00C304C7" w:rsidRDefault="0099455C">
            <w:pPr>
              <w:spacing w:before="0" w:after="0" w:line="240" w:lineRule="auto"/>
              <w:jc w:val="center"/>
              <w:rPr>
                <w:rFonts w:eastAsia="Cambria" w:cs="MS Gothic"/>
                <w:b/>
                <w:bCs/>
                <w:color w:val="FFFFFF" w:themeColor="background1"/>
                <w:sz w:val="18"/>
                <w:szCs w:val="18"/>
              </w:rPr>
            </w:pPr>
            <w:r w:rsidRPr="00C304C7">
              <w:rPr>
                <w:rFonts w:eastAsia="Cambria" w:cs="MS Gothic"/>
                <w:b/>
                <w:bCs/>
                <w:color w:val="FFFFFF" w:themeColor="background1"/>
                <w:sz w:val="18"/>
                <w:szCs w:val="18"/>
              </w:rPr>
              <w:t>ESMP</w:t>
            </w:r>
          </w:p>
        </w:tc>
      </w:tr>
      <w:tr w:rsidR="0099455C" w:rsidRPr="00EE43C6" w14:paraId="7244C464" w14:textId="77777777" w:rsidTr="001E0229">
        <w:trPr>
          <w:trHeight w:val="284"/>
        </w:trPr>
        <w:tc>
          <w:tcPr>
            <w:tcW w:w="1730" w:type="dxa"/>
            <w:shd w:val="clear" w:color="auto" w:fill="FFFFFF" w:themeFill="background1"/>
            <w:vAlign w:val="center"/>
          </w:tcPr>
          <w:p w14:paraId="01568E82" w14:textId="77777777" w:rsidR="0099455C" w:rsidRPr="00EE43C6" w:rsidRDefault="0099455C">
            <w:pPr>
              <w:spacing w:before="0" w:after="0" w:line="240" w:lineRule="auto"/>
              <w:jc w:val="left"/>
              <w:rPr>
                <w:rFonts w:eastAsia="Cambria" w:cs="MS Gothic"/>
                <w:b/>
                <w:bCs/>
                <w:sz w:val="18"/>
                <w:szCs w:val="18"/>
              </w:rPr>
            </w:pPr>
            <w:r w:rsidRPr="00EE43C6">
              <w:rPr>
                <w:rFonts w:eastAsia="Cambria" w:cs="MS Gothic"/>
                <w:b/>
                <w:bCs/>
                <w:sz w:val="18"/>
                <w:szCs w:val="18"/>
              </w:rPr>
              <w:t>Accipiteridae</w:t>
            </w:r>
          </w:p>
        </w:tc>
        <w:tc>
          <w:tcPr>
            <w:tcW w:w="1211" w:type="dxa"/>
            <w:shd w:val="clear" w:color="auto" w:fill="FFFFFF" w:themeFill="background1"/>
            <w:vAlign w:val="center"/>
          </w:tcPr>
          <w:p w14:paraId="70A5CD17" w14:textId="77777777" w:rsidR="0099455C" w:rsidRPr="00EE43C6" w:rsidRDefault="0099455C">
            <w:pPr>
              <w:spacing w:before="0" w:after="0" w:line="240" w:lineRule="auto"/>
              <w:jc w:val="left"/>
              <w:rPr>
                <w:rFonts w:eastAsia="Cambria" w:cs="MS Gothic"/>
                <w:b/>
                <w:bCs/>
                <w:sz w:val="18"/>
                <w:szCs w:val="18"/>
              </w:rPr>
            </w:pPr>
          </w:p>
        </w:tc>
        <w:tc>
          <w:tcPr>
            <w:tcW w:w="663" w:type="dxa"/>
            <w:shd w:val="clear" w:color="auto" w:fill="FFFFFF" w:themeFill="background1"/>
            <w:vAlign w:val="center"/>
          </w:tcPr>
          <w:p w14:paraId="23B9F095" w14:textId="77777777" w:rsidR="0099455C" w:rsidRPr="00EE43C6" w:rsidRDefault="0099455C">
            <w:pPr>
              <w:spacing w:before="0" w:after="0" w:line="240" w:lineRule="auto"/>
              <w:jc w:val="left"/>
              <w:rPr>
                <w:rFonts w:eastAsia="Cambria" w:cs="MS Gothic"/>
                <w:b/>
                <w:bCs/>
                <w:sz w:val="18"/>
                <w:szCs w:val="18"/>
              </w:rPr>
            </w:pPr>
          </w:p>
        </w:tc>
        <w:tc>
          <w:tcPr>
            <w:tcW w:w="3308" w:type="dxa"/>
            <w:shd w:val="clear" w:color="auto" w:fill="FFFFFF" w:themeFill="background1"/>
          </w:tcPr>
          <w:p w14:paraId="2F4F417F" w14:textId="77777777" w:rsidR="0099455C" w:rsidRPr="00EE43C6" w:rsidRDefault="0099455C">
            <w:pPr>
              <w:spacing w:before="0" w:after="0" w:line="240" w:lineRule="auto"/>
              <w:jc w:val="left"/>
              <w:rPr>
                <w:rFonts w:eastAsia="Cambria" w:cs="MS Gothic"/>
                <w:b/>
                <w:bCs/>
                <w:sz w:val="18"/>
                <w:szCs w:val="18"/>
              </w:rPr>
            </w:pPr>
          </w:p>
        </w:tc>
        <w:tc>
          <w:tcPr>
            <w:tcW w:w="993" w:type="dxa"/>
            <w:shd w:val="clear" w:color="auto" w:fill="FFFFFF" w:themeFill="background1"/>
            <w:vAlign w:val="center"/>
          </w:tcPr>
          <w:p w14:paraId="0E9075EA" w14:textId="77777777" w:rsidR="0099455C" w:rsidRPr="00EE43C6" w:rsidRDefault="0099455C">
            <w:pPr>
              <w:spacing w:before="0" w:after="0" w:line="240" w:lineRule="auto"/>
              <w:jc w:val="center"/>
              <w:rPr>
                <w:rFonts w:eastAsia="Cambria" w:cs="MS Gothic"/>
                <w:b/>
                <w:bCs/>
                <w:sz w:val="18"/>
                <w:szCs w:val="18"/>
              </w:rPr>
            </w:pPr>
          </w:p>
        </w:tc>
        <w:tc>
          <w:tcPr>
            <w:tcW w:w="1253" w:type="dxa"/>
            <w:shd w:val="clear" w:color="auto" w:fill="FFFFFF" w:themeFill="background1"/>
            <w:vAlign w:val="center"/>
          </w:tcPr>
          <w:p w14:paraId="57083E24" w14:textId="77777777" w:rsidR="0099455C" w:rsidRPr="00EE43C6" w:rsidRDefault="0099455C">
            <w:pPr>
              <w:spacing w:before="0" w:after="0" w:line="240" w:lineRule="auto"/>
              <w:jc w:val="center"/>
              <w:rPr>
                <w:rFonts w:eastAsia="Cambria" w:cs="MS Gothic"/>
                <w:b/>
                <w:bCs/>
                <w:sz w:val="18"/>
                <w:szCs w:val="18"/>
              </w:rPr>
            </w:pPr>
          </w:p>
        </w:tc>
      </w:tr>
      <w:tr w:rsidR="0099455C" w:rsidRPr="00EE43C6" w14:paraId="0CAE5BF1" w14:textId="77777777">
        <w:trPr>
          <w:trHeight w:val="284"/>
        </w:trPr>
        <w:tc>
          <w:tcPr>
            <w:tcW w:w="1730" w:type="dxa"/>
            <w:shd w:val="clear" w:color="auto" w:fill="FFFFFF" w:themeFill="background1"/>
            <w:vAlign w:val="center"/>
          </w:tcPr>
          <w:p w14:paraId="532F1DF3" w14:textId="77777777" w:rsidR="0099455C" w:rsidRPr="00EE43C6" w:rsidRDefault="0099455C">
            <w:pPr>
              <w:spacing w:before="0" w:after="0" w:line="240" w:lineRule="auto"/>
              <w:jc w:val="left"/>
              <w:rPr>
                <w:rFonts w:eastAsia="Cambria" w:cs="MS Gothic"/>
                <w:i/>
                <w:iCs/>
                <w:sz w:val="18"/>
                <w:szCs w:val="18"/>
              </w:rPr>
            </w:pPr>
            <w:r w:rsidRPr="00EE43C6">
              <w:rPr>
                <w:rFonts w:eastAsia="Cambria" w:cs="MS Gothic"/>
                <w:i/>
                <w:iCs/>
                <w:sz w:val="18"/>
                <w:szCs w:val="18"/>
              </w:rPr>
              <w:t>Aquila nipalensis</w:t>
            </w:r>
          </w:p>
        </w:tc>
        <w:tc>
          <w:tcPr>
            <w:tcW w:w="1211" w:type="dxa"/>
            <w:shd w:val="clear" w:color="auto" w:fill="FFFFFF" w:themeFill="background1"/>
            <w:vAlign w:val="center"/>
          </w:tcPr>
          <w:p w14:paraId="519CC33A"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Steppe Eagle</w:t>
            </w:r>
          </w:p>
        </w:tc>
        <w:tc>
          <w:tcPr>
            <w:tcW w:w="663" w:type="dxa"/>
            <w:shd w:val="clear" w:color="auto" w:fill="FFFFFF" w:themeFill="background1"/>
            <w:vAlign w:val="center"/>
          </w:tcPr>
          <w:p w14:paraId="05FA5AA5"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EN</w:t>
            </w:r>
          </w:p>
        </w:tc>
        <w:tc>
          <w:tcPr>
            <w:tcW w:w="3308" w:type="dxa"/>
            <w:shd w:val="clear" w:color="auto" w:fill="FFFFFF" w:themeFill="background1"/>
          </w:tcPr>
          <w:p w14:paraId="707425DC" w14:textId="77777777" w:rsidR="0099455C" w:rsidRPr="00EE43C6" w:rsidRDefault="0099455C">
            <w:pPr>
              <w:spacing w:before="0" w:after="0" w:line="240" w:lineRule="auto"/>
              <w:jc w:val="left"/>
              <w:rPr>
                <w:rFonts w:eastAsia="Cambria" w:cs="MS Gothic"/>
                <w:sz w:val="18"/>
                <w:szCs w:val="18"/>
              </w:rPr>
            </w:pPr>
            <w:r w:rsidRPr="00EE43C6">
              <w:rPr>
                <w:rFonts w:eastAsia="Cambria" w:cs="MS Gothic"/>
                <w:sz w:val="18"/>
                <w:szCs w:val="18"/>
              </w:rPr>
              <w:t xml:space="preserve">This species breeds east of 43°E in European Russia from the Republic of Kalmykia (I. Karyakin in litt. 2016), across Kazakhstan into Kyrgyzstan, China and Mongolia (Meyburg and Boesman 2013). In 2015 </w:t>
            </w:r>
          </w:p>
          <w:p w14:paraId="32DD526C" w14:textId="77777777" w:rsidR="0099455C" w:rsidRPr="00EE43C6" w:rsidRDefault="0099455C">
            <w:pPr>
              <w:spacing w:before="0" w:after="0" w:line="240" w:lineRule="auto"/>
              <w:jc w:val="left"/>
              <w:rPr>
                <w:rFonts w:eastAsia="Cambria" w:cs="MS Gothic"/>
                <w:sz w:val="18"/>
                <w:szCs w:val="18"/>
              </w:rPr>
            </w:pPr>
            <w:r w:rsidRPr="00EE43C6">
              <w:rPr>
                <w:rFonts w:eastAsia="Cambria" w:cs="MS Gothic"/>
                <w:sz w:val="18"/>
                <w:szCs w:val="18"/>
              </w:rPr>
              <w:t xml:space="preserve">In </w:t>
            </w:r>
            <w:r>
              <w:rPr>
                <w:rFonts w:eastAsia="Cambria" w:cs="MS Gothic"/>
                <w:sz w:val="18"/>
                <w:szCs w:val="18"/>
              </w:rPr>
              <w:t>Türkiye</w:t>
            </w:r>
            <w:r w:rsidRPr="00EE43C6">
              <w:rPr>
                <w:rFonts w:eastAsia="Cambria" w:cs="MS Gothic"/>
                <w:sz w:val="18"/>
                <w:szCs w:val="18"/>
              </w:rPr>
              <w:t>, its distribution area is quite wide</w:t>
            </w:r>
          </w:p>
        </w:tc>
        <w:tc>
          <w:tcPr>
            <w:tcW w:w="993" w:type="dxa"/>
            <w:shd w:val="clear" w:color="auto" w:fill="FFFFFF" w:themeFill="background1"/>
            <w:vAlign w:val="center"/>
          </w:tcPr>
          <w:p w14:paraId="6FAFC97B" w14:textId="77777777" w:rsidR="0099455C" w:rsidRPr="00EE43C6" w:rsidRDefault="0099455C">
            <w:pPr>
              <w:spacing w:before="0" w:after="0" w:line="240" w:lineRule="auto"/>
              <w:jc w:val="center"/>
              <w:rPr>
                <w:rFonts w:eastAsia="Cambria" w:cs="MS Gothic"/>
                <w:sz w:val="18"/>
                <w:szCs w:val="18"/>
              </w:rPr>
            </w:pPr>
            <w:r>
              <w:rPr>
                <w:rFonts w:eastAsia="Cambria" w:cs="MS Gothic"/>
                <w:sz w:val="18"/>
                <w:szCs w:val="18"/>
              </w:rPr>
              <w:t>Literature</w:t>
            </w:r>
          </w:p>
        </w:tc>
        <w:tc>
          <w:tcPr>
            <w:tcW w:w="1253" w:type="dxa"/>
            <w:shd w:val="clear" w:color="auto" w:fill="FFFFFF" w:themeFill="background1"/>
            <w:vAlign w:val="center"/>
          </w:tcPr>
          <w:p w14:paraId="45D16221" w14:textId="77777777" w:rsidR="0099455C" w:rsidRDefault="0099455C">
            <w:pPr>
              <w:spacing w:before="0" w:after="0" w:line="240" w:lineRule="auto"/>
              <w:jc w:val="center"/>
              <w:rPr>
                <w:rFonts w:eastAsia="Cambria" w:cs="MS Gothic"/>
                <w:sz w:val="18"/>
                <w:szCs w:val="18"/>
              </w:rPr>
            </w:pPr>
            <w:r>
              <w:rPr>
                <w:rFonts w:eastAsia="Cambria" w:cs="MS Gothic"/>
                <w:sz w:val="18"/>
                <w:szCs w:val="18"/>
              </w:rPr>
              <w:t>Literature</w:t>
            </w:r>
          </w:p>
        </w:tc>
      </w:tr>
      <w:tr w:rsidR="0099455C" w:rsidRPr="00EE43C6" w14:paraId="13BD81B8" w14:textId="77777777">
        <w:trPr>
          <w:trHeight w:val="284"/>
        </w:trPr>
        <w:tc>
          <w:tcPr>
            <w:tcW w:w="1730" w:type="dxa"/>
            <w:shd w:val="clear" w:color="auto" w:fill="FFFFFF" w:themeFill="background1"/>
            <w:vAlign w:val="center"/>
          </w:tcPr>
          <w:p w14:paraId="1809D8C3" w14:textId="77777777" w:rsidR="0099455C" w:rsidRPr="00EE43C6" w:rsidRDefault="0099455C">
            <w:pPr>
              <w:spacing w:before="0" w:after="0" w:line="240" w:lineRule="auto"/>
              <w:jc w:val="left"/>
              <w:rPr>
                <w:rFonts w:eastAsia="Cambria" w:cs="MS Gothic"/>
                <w:i/>
                <w:iCs/>
                <w:sz w:val="18"/>
                <w:szCs w:val="18"/>
              </w:rPr>
            </w:pPr>
            <w:r w:rsidRPr="00EE43C6">
              <w:rPr>
                <w:rFonts w:cs="Arial"/>
                <w:i/>
                <w:iCs/>
                <w:sz w:val="18"/>
                <w:szCs w:val="18"/>
                <w:shd w:val="clear" w:color="auto" w:fill="FAF9F8"/>
              </w:rPr>
              <w:t>Aquila heliaca</w:t>
            </w:r>
          </w:p>
        </w:tc>
        <w:tc>
          <w:tcPr>
            <w:tcW w:w="1211" w:type="dxa"/>
            <w:shd w:val="clear" w:color="auto" w:fill="FFFFFF" w:themeFill="background1"/>
            <w:vAlign w:val="center"/>
          </w:tcPr>
          <w:p w14:paraId="4CCD6AC2"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Imperial Eagle</w:t>
            </w:r>
          </w:p>
        </w:tc>
        <w:tc>
          <w:tcPr>
            <w:tcW w:w="663" w:type="dxa"/>
            <w:shd w:val="clear" w:color="auto" w:fill="FFFFFF" w:themeFill="background1"/>
            <w:vAlign w:val="center"/>
          </w:tcPr>
          <w:p w14:paraId="7F857DF9"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VU</w:t>
            </w:r>
          </w:p>
        </w:tc>
        <w:tc>
          <w:tcPr>
            <w:tcW w:w="3308" w:type="dxa"/>
            <w:shd w:val="clear" w:color="auto" w:fill="FFFFFF" w:themeFill="background1"/>
          </w:tcPr>
          <w:p w14:paraId="3F3EB012" w14:textId="77777777" w:rsidR="0099455C" w:rsidRPr="00EE43C6" w:rsidRDefault="0099455C">
            <w:pPr>
              <w:spacing w:before="0" w:after="0" w:line="240" w:lineRule="auto"/>
              <w:jc w:val="left"/>
              <w:rPr>
                <w:rFonts w:eastAsia="Cambria" w:cs="MS Gothic"/>
                <w:sz w:val="18"/>
                <w:szCs w:val="18"/>
              </w:rPr>
            </w:pPr>
            <w:r w:rsidRPr="00EE43C6">
              <w:rPr>
                <w:rFonts w:eastAsia="Cambria" w:cs="MS Gothic"/>
                <w:sz w:val="18"/>
                <w:szCs w:val="18"/>
              </w:rPr>
              <w:t xml:space="preserve">This species breeds in Austria, Azerbaijan, Bulgaria, China, Czech Republic, Macedonia, Georgia, Greece, Hungary, Kazakhstan, Russia, Mongolia, Serbia, Slovakia, </w:t>
            </w:r>
            <w:r>
              <w:rPr>
                <w:rFonts w:eastAsia="Cambria" w:cs="MS Gothic"/>
                <w:sz w:val="18"/>
                <w:szCs w:val="18"/>
              </w:rPr>
              <w:t>Türkiye</w:t>
            </w:r>
            <w:r w:rsidRPr="00EE43C6">
              <w:rPr>
                <w:rFonts w:eastAsia="Cambria" w:cs="MS Gothic"/>
                <w:sz w:val="18"/>
                <w:szCs w:val="18"/>
              </w:rPr>
              <w:t xml:space="preserve"> and Ukraine (Heredia 1996, M. Horváth &amp; I. Karyakin in litt. 2016).</w:t>
            </w:r>
          </w:p>
          <w:p w14:paraId="62F56AB1" w14:textId="77777777" w:rsidR="0099455C" w:rsidRPr="00EE43C6" w:rsidRDefault="0099455C">
            <w:pPr>
              <w:spacing w:before="0" w:after="0" w:line="240" w:lineRule="auto"/>
              <w:jc w:val="left"/>
              <w:rPr>
                <w:rFonts w:eastAsia="Cambria" w:cs="MS Gothic"/>
                <w:sz w:val="18"/>
                <w:szCs w:val="18"/>
              </w:rPr>
            </w:pPr>
            <w:r w:rsidRPr="00EE43C6">
              <w:rPr>
                <w:rFonts w:eastAsia="Cambria" w:cs="MS Gothic"/>
                <w:sz w:val="18"/>
                <w:szCs w:val="18"/>
              </w:rPr>
              <w:t xml:space="preserve">In </w:t>
            </w:r>
            <w:r>
              <w:rPr>
                <w:rFonts w:eastAsia="Cambria" w:cs="MS Gothic"/>
                <w:sz w:val="18"/>
                <w:szCs w:val="18"/>
              </w:rPr>
              <w:t>Türkiye</w:t>
            </w:r>
            <w:r w:rsidRPr="00EE43C6">
              <w:rPr>
                <w:rFonts w:eastAsia="Cambria" w:cs="MS Gothic"/>
                <w:sz w:val="18"/>
                <w:szCs w:val="18"/>
              </w:rPr>
              <w:t>, its distribution area is quite wide</w:t>
            </w:r>
          </w:p>
        </w:tc>
        <w:tc>
          <w:tcPr>
            <w:tcW w:w="993" w:type="dxa"/>
            <w:shd w:val="clear" w:color="auto" w:fill="FFFFFF" w:themeFill="background1"/>
            <w:vAlign w:val="center"/>
          </w:tcPr>
          <w:p w14:paraId="7C0B056D" w14:textId="2F3571F8" w:rsidR="0099455C" w:rsidRPr="00EE43C6" w:rsidRDefault="00AA79C7">
            <w:pPr>
              <w:spacing w:before="0" w:after="0" w:line="240" w:lineRule="auto"/>
              <w:jc w:val="center"/>
              <w:rPr>
                <w:rFonts w:eastAsia="Cambria" w:cs="MS Gothic"/>
                <w:sz w:val="18"/>
                <w:szCs w:val="18"/>
              </w:rPr>
            </w:pPr>
            <w:r w:rsidRPr="00AA79C7">
              <w:rPr>
                <w:rFonts w:eastAsia="Cambria" w:cs="MS Gothic"/>
                <w:sz w:val="18"/>
                <w:szCs w:val="18"/>
              </w:rPr>
              <w:t>No record</w:t>
            </w:r>
            <w:r w:rsidR="0099455C">
              <w:rPr>
                <w:rFonts w:eastAsia="Cambria" w:cs="MS Gothic"/>
                <w:sz w:val="18"/>
                <w:szCs w:val="18"/>
              </w:rPr>
              <w:t>-</w:t>
            </w:r>
          </w:p>
        </w:tc>
        <w:tc>
          <w:tcPr>
            <w:tcW w:w="1253" w:type="dxa"/>
            <w:shd w:val="clear" w:color="auto" w:fill="FFFFFF" w:themeFill="background1"/>
            <w:vAlign w:val="center"/>
          </w:tcPr>
          <w:p w14:paraId="4DDC33D6" w14:textId="77777777" w:rsidR="0099455C" w:rsidRDefault="0099455C">
            <w:pPr>
              <w:spacing w:before="0" w:after="0" w:line="240" w:lineRule="auto"/>
              <w:jc w:val="center"/>
              <w:rPr>
                <w:rFonts w:eastAsia="Cambria" w:cs="MS Gothic"/>
                <w:sz w:val="18"/>
                <w:szCs w:val="18"/>
              </w:rPr>
            </w:pPr>
            <w:r>
              <w:rPr>
                <w:rFonts w:eastAsia="Cambria" w:cs="MS Gothic"/>
                <w:sz w:val="18"/>
                <w:szCs w:val="18"/>
              </w:rPr>
              <w:t>Observation</w:t>
            </w:r>
          </w:p>
        </w:tc>
      </w:tr>
      <w:tr w:rsidR="0099455C" w:rsidRPr="00EE43C6" w14:paraId="4AF7DF4B" w14:textId="77777777">
        <w:trPr>
          <w:trHeight w:val="284"/>
        </w:trPr>
        <w:tc>
          <w:tcPr>
            <w:tcW w:w="1730" w:type="dxa"/>
            <w:shd w:val="clear" w:color="auto" w:fill="FFFFFF" w:themeFill="background1"/>
            <w:vAlign w:val="center"/>
          </w:tcPr>
          <w:p w14:paraId="682635AD" w14:textId="77777777" w:rsidR="0099455C" w:rsidRPr="00EE43C6" w:rsidRDefault="0099455C">
            <w:pPr>
              <w:spacing w:before="0" w:after="0" w:line="240" w:lineRule="auto"/>
              <w:jc w:val="left"/>
              <w:rPr>
                <w:rFonts w:eastAsia="Cambria" w:cs="MS Gothic"/>
                <w:i/>
                <w:iCs/>
                <w:sz w:val="18"/>
                <w:szCs w:val="18"/>
              </w:rPr>
            </w:pPr>
            <w:r w:rsidRPr="00EE43C6">
              <w:rPr>
                <w:rFonts w:eastAsia="Cambria" w:cs="MS Gothic"/>
                <w:i/>
                <w:iCs/>
                <w:sz w:val="18"/>
                <w:szCs w:val="18"/>
              </w:rPr>
              <w:t>Neophron percnopterus</w:t>
            </w:r>
          </w:p>
        </w:tc>
        <w:tc>
          <w:tcPr>
            <w:tcW w:w="1211" w:type="dxa"/>
            <w:shd w:val="clear" w:color="auto" w:fill="FFFFFF" w:themeFill="background1"/>
            <w:vAlign w:val="center"/>
          </w:tcPr>
          <w:p w14:paraId="1CE612C7"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Egypian Vulture</w:t>
            </w:r>
          </w:p>
        </w:tc>
        <w:tc>
          <w:tcPr>
            <w:tcW w:w="663" w:type="dxa"/>
            <w:shd w:val="clear" w:color="auto" w:fill="FFFFFF" w:themeFill="background1"/>
            <w:vAlign w:val="center"/>
          </w:tcPr>
          <w:p w14:paraId="416B2978"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EN</w:t>
            </w:r>
          </w:p>
        </w:tc>
        <w:tc>
          <w:tcPr>
            <w:tcW w:w="3308" w:type="dxa"/>
            <w:shd w:val="clear" w:color="auto" w:fill="FFFFFF" w:themeFill="background1"/>
          </w:tcPr>
          <w:p w14:paraId="4722BDE1" w14:textId="77777777" w:rsidR="0099455C" w:rsidRPr="00EE43C6" w:rsidRDefault="0099455C">
            <w:pPr>
              <w:spacing w:before="0" w:after="0" w:line="240" w:lineRule="auto"/>
              <w:jc w:val="left"/>
              <w:rPr>
                <w:rFonts w:eastAsia="Cambria" w:cs="MS Gothic"/>
                <w:sz w:val="18"/>
                <w:szCs w:val="18"/>
              </w:rPr>
            </w:pPr>
            <w:r w:rsidRPr="00EE43C6">
              <w:rPr>
                <w:rFonts w:eastAsia="Cambria" w:cs="MS Gothic"/>
                <w:sz w:val="18"/>
                <w:szCs w:val="18"/>
              </w:rPr>
              <w:t xml:space="preserve">Egyptian vultures are widely distributed across the Old World with their breeding range from southern Europe to northern Africa east to western and southern Asia. </w:t>
            </w:r>
          </w:p>
          <w:p w14:paraId="1ADB400D" w14:textId="77777777" w:rsidR="0099455C" w:rsidRPr="00EE43C6" w:rsidRDefault="0099455C">
            <w:pPr>
              <w:spacing w:before="0" w:after="0" w:line="240" w:lineRule="auto"/>
              <w:jc w:val="left"/>
              <w:rPr>
                <w:rFonts w:eastAsia="Wingdings" w:cs="Wingdings"/>
                <w:sz w:val="18"/>
                <w:szCs w:val="18"/>
              </w:rPr>
            </w:pPr>
            <w:r w:rsidRPr="00EE43C6">
              <w:rPr>
                <w:rFonts w:eastAsia="Wingdings" w:cs="Wingdings"/>
                <w:sz w:val="18"/>
                <w:szCs w:val="18"/>
              </w:rPr>
              <w:t xml:space="preserve">In </w:t>
            </w:r>
            <w:r>
              <w:rPr>
                <w:rFonts w:eastAsia="Wingdings" w:cs="Wingdings"/>
                <w:sz w:val="18"/>
                <w:szCs w:val="18"/>
              </w:rPr>
              <w:t>Türkiye</w:t>
            </w:r>
            <w:r w:rsidRPr="00EE43C6">
              <w:rPr>
                <w:rFonts w:eastAsia="Wingdings" w:cs="Wingdings"/>
                <w:sz w:val="18"/>
                <w:szCs w:val="18"/>
              </w:rPr>
              <w:t>, its distribution area is quite wide</w:t>
            </w:r>
          </w:p>
        </w:tc>
        <w:tc>
          <w:tcPr>
            <w:tcW w:w="993" w:type="dxa"/>
            <w:shd w:val="clear" w:color="auto" w:fill="FFFFFF" w:themeFill="background1"/>
            <w:vAlign w:val="center"/>
          </w:tcPr>
          <w:p w14:paraId="6834E7FF" w14:textId="77777777" w:rsidR="0099455C" w:rsidRPr="00EE43C6" w:rsidRDefault="0099455C">
            <w:pPr>
              <w:spacing w:before="0" w:after="0" w:line="240" w:lineRule="auto"/>
              <w:jc w:val="center"/>
              <w:rPr>
                <w:rFonts w:eastAsia="Cambria" w:cs="MS Gothic"/>
                <w:sz w:val="18"/>
                <w:szCs w:val="18"/>
              </w:rPr>
            </w:pPr>
            <w:r>
              <w:rPr>
                <w:rFonts w:eastAsia="Cambria" w:cs="MS Gothic"/>
                <w:sz w:val="18"/>
                <w:szCs w:val="18"/>
              </w:rPr>
              <w:t>Literature</w:t>
            </w:r>
          </w:p>
        </w:tc>
        <w:tc>
          <w:tcPr>
            <w:tcW w:w="1253" w:type="dxa"/>
            <w:shd w:val="clear" w:color="auto" w:fill="FFFFFF" w:themeFill="background1"/>
            <w:vAlign w:val="center"/>
          </w:tcPr>
          <w:p w14:paraId="50B50118" w14:textId="77777777" w:rsidR="0099455C" w:rsidRDefault="0099455C">
            <w:pPr>
              <w:spacing w:before="0" w:after="0" w:line="240" w:lineRule="auto"/>
              <w:jc w:val="center"/>
              <w:rPr>
                <w:rFonts w:eastAsia="Cambria" w:cs="MS Gothic"/>
                <w:sz w:val="18"/>
                <w:szCs w:val="18"/>
              </w:rPr>
            </w:pPr>
            <w:r>
              <w:rPr>
                <w:rFonts w:eastAsia="Cambria" w:cs="MS Gothic"/>
                <w:sz w:val="18"/>
                <w:szCs w:val="18"/>
              </w:rPr>
              <w:t>Literature</w:t>
            </w:r>
          </w:p>
        </w:tc>
      </w:tr>
      <w:tr w:rsidR="0099455C" w:rsidRPr="00EE43C6" w14:paraId="3AAD2EFD" w14:textId="77777777" w:rsidTr="001E0229">
        <w:trPr>
          <w:trHeight w:val="284"/>
        </w:trPr>
        <w:tc>
          <w:tcPr>
            <w:tcW w:w="1730" w:type="dxa"/>
            <w:shd w:val="clear" w:color="auto" w:fill="FFFFFF" w:themeFill="background1"/>
            <w:vAlign w:val="center"/>
          </w:tcPr>
          <w:p w14:paraId="223E1777" w14:textId="77777777" w:rsidR="0099455C" w:rsidRPr="00EE43C6" w:rsidRDefault="0099455C">
            <w:pPr>
              <w:spacing w:before="0" w:after="0" w:line="240" w:lineRule="auto"/>
              <w:jc w:val="left"/>
              <w:rPr>
                <w:rFonts w:eastAsia="Cambria" w:cs="MS Gothic"/>
                <w:b/>
                <w:bCs/>
                <w:sz w:val="18"/>
                <w:szCs w:val="18"/>
              </w:rPr>
            </w:pPr>
            <w:r w:rsidRPr="00EE43C6">
              <w:rPr>
                <w:rFonts w:eastAsia="Cambria" w:cs="MS Gothic"/>
                <w:b/>
                <w:bCs/>
                <w:sz w:val="18"/>
                <w:szCs w:val="18"/>
              </w:rPr>
              <w:t>Columbridae</w:t>
            </w:r>
          </w:p>
        </w:tc>
        <w:tc>
          <w:tcPr>
            <w:tcW w:w="1211" w:type="dxa"/>
            <w:shd w:val="clear" w:color="auto" w:fill="FFFFFF" w:themeFill="background1"/>
            <w:vAlign w:val="center"/>
          </w:tcPr>
          <w:p w14:paraId="4316F431" w14:textId="77777777" w:rsidR="0099455C" w:rsidRPr="00EE43C6" w:rsidRDefault="0099455C">
            <w:pPr>
              <w:spacing w:before="0" w:after="0" w:line="240" w:lineRule="auto"/>
              <w:jc w:val="left"/>
              <w:rPr>
                <w:rFonts w:eastAsia="Cambria" w:cs="MS Gothic"/>
                <w:b/>
                <w:bCs/>
                <w:sz w:val="18"/>
                <w:szCs w:val="18"/>
              </w:rPr>
            </w:pPr>
          </w:p>
        </w:tc>
        <w:tc>
          <w:tcPr>
            <w:tcW w:w="663" w:type="dxa"/>
            <w:shd w:val="clear" w:color="auto" w:fill="FFFFFF" w:themeFill="background1"/>
            <w:vAlign w:val="center"/>
          </w:tcPr>
          <w:p w14:paraId="62A2CBF9" w14:textId="77777777" w:rsidR="0099455C" w:rsidRPr="00EE43C6" w:rsidRDefault="0099455C">
            <w:pPr>
              <w:spacing w:before="0" w:after="0" w:line="240" w:lineRule="auto"/>
              <w:jc w:val="left"/>
              <w:rPr>
                <w:rFonts w:eastAsia="Cambria" w:cs="MS Gothic"/>
                <w:b/>
                <w:bCs/>
                <w:sz w:val="18"/>
                <w:szCs w:val="18"/>
              </w:rPr>
            </w:pPr>
          </w:p>
        </w:tc>
        <w:tc>
          <w:tcPr>
            <w:tcW w:w="3308" w:type="dxa"/>
            <w:shd w:val="clear" w:color="auto" w:fill="FFFFFF" w:themeFill="background1"/>
          </w:tcPr>
          <w:p w14:paraId="1A77F6F0" w14:textId="77777777" w:rsidR="0099455C" w:rsidRPr="00EE43C6" w:rsidRDefault="0099455C">
            <w:pPr>
              <w:spacing w:before="0" w:after="0" w:line="240" w:lineRule="auto"/>
              <w:jc w:val="left"/>
              <w:rPr>
                <w:rFonts w:eastAsia="Cambria" w:cs="MS Gothic"/>
                <w:b/>
                <w:bCs/>
                <w:sz w:val="18"/>
                <w:szCs w:val="18"/>
              </w:rPr>
            </w:pPr>
          </w:p>
        </w:tc>
        <w:tc>
          <w:tcPr>
            <w:tcW w:w="993" w:type="dxa"/>
            <w:shd w:val="clear" w:color="auto" w:fill="FFFFFF" w:themeFill="background1"/>
            <w:vAlign w:val="center"/>
          </w:tcPr>
          <w:p w14:paraId="074902BF" w14:textId="77777777" w:rsidR="0099455C" w:rsidRPr="002F52ED" w:rsidRDefault="0099455C">
            <w:pPr>
              <w:spacing w:before="0" w:after="0" w:line="240" w:lineRule="auto"/>
              <w:jc w:val="center"/>
              <w:rPr>
                <w:rFonts w:eastAsia="Cambria" w:cs="MS Gothic"/>
                <w:sz w:val="18"/>
                <w:szCs w:val="18"/>
              </w:rPr>
            </w:pPr>
          </w:p>
        </w:tc>
        <w:tc>
          <w:tcPr>
            <w:tcW w:w="1253" w:type="dxa"/>
            <w:shd w:val="clear" w:color="auto" w:fill="FFFFFF" w:themeFill="background1"/>
            <w:vAlign w:val="center"/>
          </w:tcPr>
          <w:p w14:paraId="16FB1DA6" w14:textId="77777777" w:rsidR="0099455C" w:rsidRPr="002F52ED" w:rsidRDefault="0099455C">
            <w:pPr>
              <w:spacing w:before="0" w:after="0" w:line="240" w:lineRule="auto"/>
              <w:jc w:val="center"/>
              <w:rPr>
                <w:rFonts w:eastAsia="Cambria" w:cs="MS Gothic"/>
                <w:sz w:val="18"/>
                <w:szCs w:val="18"/>
              </w:rPr>
            </w:pPr>
          </w:p>
        </w:tc>
      </w:tr>
      <w:tr w:rsidR="0099455C" w:rsidRPr="00EE43C6" w14:paraId="45815F7C" w14:textId="77777777">
        <w:trPr>
          <w:trHeight w:val="284"/>
        </w:trPr>
        <w:tc>
          <w:tcPr>
            <w:tcW w:w="1730" w:type="dxa"/>
            <w:shd w:val="clear" w:color="auto" w:fill="FFFFFF" w:themeFill="background1"/>
            <w:vAlign w:val="center"/>
          </w:tcPr>
          <w:p w14:paraId="20F076E7" w14:textId="77777777" w:rsidR="0099455C" w:rsidRPr="00EE43C6" w:rsidRDefault="0099455C">
            <w:pPr>
              <w:spacing w:before="0" w:after="0" w:line="240" w:lineRule="auto"/>
              <w:jc w:val="left"/>
              <w:rPr>
                <w:rFonts w:eastAsia="Cambria" w:cs="MS Gothic"/>
                <w:i/>
                <w:iCs/>
                <w:sz w:val="18"/>
                <w:szCs w:val="18"/>
              </w:rPr>
            </w:pPr>
            <w:r w:rsidRPr="00EE43C6">
              <w:rPr>
                <w:rFonts w:eastAsia="Cambria" w:cs="MS Gothic"/>
                <w:i/>
                <w:iCs/>
                <w:sz w:val="18"/>
                <w:szCs w:val="18"/>
              </w:rPr>
              <w:t>Streptopelia turtur</w:t>
            </w:r>
          </w:p>
        </w:tc>
        <w:tc>
          <w:tcPr>
            <w:tcW w:w="1211" w:type="dxa"/>
            <w:shd w:val="clear" w:color="auto" w:fill="FFFFFF" w:themeFill="background1"/>
            <w:vAlign w:val="center"/>
          </w:tcPr>
          <w:p w14:paraId="440E5156"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European Turtle-dove</w:t>
            </w:r>
          </w:p>
        </w:tc>
        <w:tc>
          <w:tcPr>
            <w:tcW w:w="663" w:type="dxa"/>
            <w:shd w:val="clear" w:color="auto" w:fill="FFFFFF" w:themeFill="background1"/>
            <w:vAlign w:val="center"/>
          </w:tcPr>
          <w:p w14:paraId="74532CC7"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VU</w:t>
            </w:r>
          </w:p>
        </w:tc>
        <w:tc>
          <w:tcPr>
            <w:tcW w:w="3308" w:type="dxa"/>
            <w:shd w:val="clear" w:color="auto" w:fill="FFFFFF" w:themeFill="background1"/>
          </w:tcPr>
          <w:p w14:paraId="35E9B4A5" w14:textId="77777777" w:rsidR="0099455C" w:rsidRPr="00EE43C6" w:rsidRDefault="0099455C">
            <w:pPr>
              <w:spacing w:before="0" w:after="0" w:line="240" w:lineRule="auto"/>
              <w:jc w:val="left"/>
              <w:rPr>
                <w:rFonts w:eastAsia="Cambria" w:cs="MS Gothic"/>
                <w:sz w:val="18"/>
                <w:szCs w:val="18"/>
              </w:rPr>
            </w:pPr>
            <w:r w:rsidRPr="00EE43C6">
              <w:rPr>
                <w:rFonts w:eastAsia="Cambria" w:cs="MS Gothic"/>
                <w:sz w:val="18"/>
                <w:szCs w:val="18"/>
              </w:rPr>
              <w:t>The species is a widespread migrant breeder across much of central and southern Europe, Central Asia, the Middle East and North Africa</w:t>
            </w:r>
          </w:p>
          <w:p w14:paraId="61C3FC93" w14:textId="77777777" w:rsidR="0099455C" w:rsidRPr="00EE43C6" w:rsidRDefault="0099455C">
            <w:pPr>
              <w:spacing w:before="0" w:after="0" w:line="240" w:lineRule="auto"/>
              <w:jc w:val="left"/>
              <w:rPr>
                <w:rFonts w:eastAsia="Wingdings" w:cs="Wingdings"/>
                <w:sz w:val="18"/>
                <w:szCs w:val="18"/>
              </w:rPr>
            </w:pPr>
            <w:r w:rsidRPr="00EE43C6">
              <w:rPr>
                <w:rFonts w:eastAsia="Wingdings" w:cs="Wingdings"/>
                <w:sz w:val="18"/>
                <w:szCs w:val="18"/>
              </w:rPr>
              <w:t xml:space="preserve">In </w:t>
            </w:r>
            <w:r>
              <w:rPr>
                <w:rFonts w:eastAsia="Wingdings" w:cs="Wingdings"/>
                <w:sz w:val="18"/>
                <w:szCs w:val="18"/>
              </w:rPr>
              <w:t>Türkiye</w:t>
            </w:r>
            <w:r w:rsidRPr="00EE43C6">
              <w:rPr>
                <w:rFonts w:eastAsia="Wingdings" w:cs="Wingdings"/>
                <w:sz w:val="18"/>
                <w:szCs w:val="18"/>
              </w:rPr>
              <w:t>, its distribution area is quite wide</w:t>
            </w:r>
          </w:p>
        </w:tc>
        <w:tc>
          <w:tcPr>
            <w:tcW w:w="993" w:type="dxa"/>
            <w:shd w:val="clear" w:color="auto" w:fill="FFFFFF" w:themeFill="background1"/>
            <w:vAlign w:val="center"/>
          </w:tcPr>
          <w:p w14:paraId="36BD7D0D" w14:textId="77777777" w:rsidR="0099455C" w:rsidRPr="00EE43C6" w:rsidRDefault="0099455C">
            <w:pPr>
              <w:spacing w:before="0" w:after="0" w:line="240" w:lineRule="auto"/>
              <w:jc w:val="center"/>
              <w:rPr>
                <w:rFonts w:eastAsia="Cambria" w:cs="MS Gothic"/>
                <w:sz w:val="18"/>
                <w:szCs w:val="18"/>
              </w:rPr>
            </w:pPr>
            <w:r>
              <w:rPr>
                <w:rFonts w:eastAsia="Cambria" w:cs="MS Gothic"/>
                <w:sz w:val="18"/>
                <w:szCs w:val="18"/>
              </w:rPr>
              <w:t>Literature</w:t>
            </w:r>
          </w:p>
        </w:tc>
        <w:tc>
          <w:tcPr>
            <w:tcW w:w="1253" w:type="dxa"/>
            <w:shd w:val="clear" w:color="auto" w:fill="FFFFFF" w:themeFill="background1"/>
            <w:vAlign w:val="center"/>
          </w:tcPr>
          <w:p w14:paraId="1E7339E9" w14:textId="77777777" w:rsidR="0099455C" w:rsidRDefault="0099455C">
            <w:pPr>
              <w:spacing w:before="0" w:after="0" w:line="240" w:lineRule="auto"/>
              <w:jc w:val="center"/>
              <w:rPr>
                <w:rFonts w:eastAsia="Cambria" w:cs="MS Gothic"/>
                <w:sz w:val="18"/>
                <w:szCs w:val="18"/>
              </w:rPr>
            </w:pPr>
            <w:r>
              <w:rPr>
                <w:rFonts w:eastAsia="Cambria" w:cs="MS Gothic"/>
                <w:sz w:val="18"/>
                <w:szCs w:val="18"/>
              </w:rPr>
              <w:t>Literature</w:t>
            </w:r>
          </w:p>
        </w:tc>
      </w:tr>
      <w:tr w:rsidR="0099455C" w:rsidRPr="00EE43C6" w14:paraId="5DCD0442" w14:textId="77777777" w:rsidTr="001E0229">
        <w:trPr>
          <w:trHeight w:val="284"/>
        </w:trPr>
        <w:tc>
          <w:tcPr>
            <w:tcW w:w="1730" w:type="dxa"/>
            <w:shd w:val="clear" w:color="auto" w:fill="FFFFFF" w:themeFill="background1"/>
            <w:vAlign w:val="center"/>
          </w:tcPr>
          <w:p w14:paraId="0F38E899" w14:textId="77777777" w:rsidR="0099455C" w:rsidRPr="00EE43C6" w:rsidRDefault="0099455C">
            <w:pPr>
              <w:spacing w:before="0" w:after="0" w:line="240" w:lineRule="auto"/>
              <w:jc w:val="left"/>
              <w:rPr>
                <w:rFonts w:eastAsia="Cambria" w:cs="MS Gothic"/>
                <w:b/>
                <w:bCs/>
                <w:sz w:val="18"/>
                <w:szCs w:val="18"/>
              </w:rPr>
            </w:pPr>
            <w:r w:rsidRPr="00EE43C6">
              <w:rPr>
                <w:rFonts w:eastAsia="Cambria" w:cs="MS Gothic"/>
                <w:b/>
                <w:bCs/>
                <w:sz w:val="18"/>
                <w:szCs w:val="18"/>
              </w:rPr>
              <w:t>Emberizidae</w:t>
            </w:r>
          </w:p>
        </w:tc>
        <w:tc>
          <w:tcPr>
            <w:tcW w:w="1211" w:type="dxa"/>
            <w:shd w:val="clear" w:color="auto" w:fill="FFFFFF" w:themeFill="background1"/>
            <w:vAlign w:val="center"/>
          </w:tcPr>
          <w:p w14:paraId="153FF32D" w14:textId="77777777" w:rsidR="0099455C" w:rsidRPr="00EE43C6" w:rsidRDefault="0099455C">
            <w:pPr>
              <w:spacing w:before="0" w:after="0" w:line="240" w:lineRule="auto"/>
              <w:jc w:val="left"/>
              <w:rPr>
                <w:rFonts w:eastAsia="Cambria" w:cs="MS Gothic"/>
                <w:b/>
                <w:bCs/>
                <w:sz w:val="18"/>
                <w:szCs w:val="18"/>
              </w:rPr>
            </w:pPr>
          </w:p>
        </w:tc>
        <w:tc>
          <w:tcPr>
            <w:tcW w:w="663" w:type="dxa"/>
            <w:shd w:val="clear" w:color="auto" w:fill="FFFFFF" w:themeFill="background1"/>
            <w:vAlign w:val="center"/>
          </w:tcPr>
          <w:p w14:paraId="5160C4A9" w14:textId="77777777" w:rsidR="0099455C" w:rsidRPr="00EE43C6" w:rsidRDefault="0099455C">
            <w:pPr>
              <w:spacing w:before="0" w:after="0" w:line="240" w:lineRule="auto"/>
              <w:jc w:val="left"/>
              <w:rPr>
                <w:rFonts w:eastAsia="Cambria" w:cs="MS Gothic"/>
                <w:b/>
                <w:bCs/>
                <w:sz w:val="18"/>
                <w:szCs w:val="18"/>
              </w:rPr>
            </w:pPr>
          </w:p>
        </w:tc>
        <w:tc>
          <w:tcPr>
            <w:tcW w:w="3308" w:type="dxa"/>
            <w:shd w:val="clear" w:color="auto" w:fill="FFFFFF" w:themeFill="background1"/>
          </w:tcPr>
          <w:p w14:paraId="086573E5" w14:textId="77777777" w:rsidR="0099455C" w:rsidRPr="00EE43C6" w:rsidRDefault="0099455C">
            <w:pPr>
              <w:spacing w:before="0" w:after="0" w:line="240" w:lineRule="auto"/>
              <w:jc w:val="left"/>
              <w:rPr>
                <w:rFonts w:eastAsia="Cambria" w:cs="MS Gothic"/>
                <w:b/>
                <w:bCs/>
                <w:sz w:val="18"/>
                <w:szCs w:val="18"/>
              </w:rPr>
            </w:pPr>
          </w:p>
        </w:tc>
        <w:tc>
          <w:tcPr>
            <w:tcW w:w="993" w:type="dxa"/>
            <w:shd w:val="clear" w:color="auto" w:fill="FFFFFF" w:themeFill="background1"/>
            <w:vAlign w:val="center"/>
          </w:tcPr>
          <w:p w14:paraId="371BCC44" w14:textId="77777777" w:rsidR="0099455C" w:rsidRPr="002F52ED" w:rsidRDefault="0099455C">
            <w:pPr>
              <w:spacing w:before="0" w:after="0" w:line="240" w:lineRule="auto"/>
              <w:jc w:val="center"/>
              <w:rPr>
                <w:rFonts w:eastAsia="Cambria" w:cs="MS Gothic"/>
                <w:sz w:val="18"/>
                <w:szCs w:val="18"/>
              </w:rPr>
            </w:pPr>
          </w:p>
        </w:tc>
        <w:tc>
          <w:tcPr>
            <w:tcW w:w="1253" w:type="dxa"/>
            <w:shd w:val="clear" w:color="auto" w:fill="FFFFFF" w:themeFill="background1"/>
            <w:vAlign w:val="center"/>
          </w:tcPr>
          <w:p w14:paraId="40782FC2" w14:textId="77777777" w:rsidR="0099455C" w:rsidRPr="002F52ED" w:rsidRDefault="0099455C">
            <w:pPr>
              <w:spacing w:before="0" w:after="0" w:line="240" w:lineRule="auto"/>
              <w:jc w:val="center"/>
              <w:rPr>
                <w:rFonts w:eastAsia="Cambria" w:cs="MS Gothic"/>
                <w:sz w:val="18"/>
                <w:szCs w:val="18"/>
              </w:rPr>
            </w:pPr>
          </w:p>
        </w:tc>
      </w:tr>
      <w:tr w:rsidR="0099455C" w:rsidRPr="00EE43C6" w14:paraId="3D7FED06" w14:textId="77777777">
        <w:trPr>
          <w:trHeight w:val="284"/>
        </w:trPr>
        <w:tc>
          <w:tcPr>
            <w:tcW w:w="1730" w:type="dxa"/>
            <w:shd w:val="clear" w:color="auto" w:fill="FFFFFF" w:themeFill="background1"/>
            <w:vAlign w:val="center"/>
          </w:tcPr>
          <w:p w14:paraId="1D294F91" w14:textId="77777777" w:rsidR="0099455C" w:rsidRPr="002F52ED" w:rsidRDefault="0099455C">
            <w:pPr>
              <w:spacing w:before="0" w:after="0" w:line="240" w:lineRule="auto"/>
              <w:jc w:val="left"/>
              <w:rPr>
                <w:rFonts w:eastAsia="Arial" w:cs="Arial"/>
                <w:i/>
                <w:iCs/>
                <w:sz w:val="18"/>
                <w:szCs w:val="18"/>
              </w:rPr>
            </w:pPr>
            <w:r w:rsidRPr="002F52ED">
              <w:rPr>
                <w:rFonts w:eastAsia="Arial" w:cs="Arial"/>
                <w:i/>
                <w:iCs/>
                <w:sz w:val="18"/>
                <w:szCs w:val="18"/>
              </w:rPr>
              <w:t>Emberiza rustica</w:t>
            </w:r>
          </w:p>
        </w:tc>
        <w:tc>
          <w:tcPr>
            <w:tcW w:w="1211" w:type="dxa"/>
            <w:shd w:val="clear" w:color="auto" w:fill="FFFFFF" w:themeFill="background1"/>
            <w:vAlign w:val="center"/>
          </w:tcPr>
          <w:p w14:paraId="54DE1D41" w14:textId="77777777" w:rsidR="0099455C" w:rsidRPr="00EE43C6" w:rsidRDefault="0099455C">
            <w:pPr>
              <w:spacing w:before="0" w:after="0" w:line="240" w:lineRule="auto"/>
              <w:jc w:val="center"/>
            </w:pPr>
            <w:r w:rsidRPr="00EE43C6">
              <w:rPr>
                <w:rFonts w:eastAsia="Arial" w:cs="Arial"/>
                <w:sz w:val="18"/>
                <w:szCs w:val="18"/>
              </w:rPr>
              <w:t>Rustic bunting</w:t>
            </w:r>
          </w:p>
        </w:tc>
        <w:tc>
          <w:tcPr>
            <w:tcW w:w="663" w:type="dxa"/>
            <w:shd w:val="clear" w:color="auto" w:fill="FFFFFF" w:themeFill="background1"/>
            <w:vAlign w:val="center"/>
          </w:tcPr>
          <w:p w14:paraId="68152D90"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VU</w:t>
            </w:r>
          </w:p>
        </w:tc>
        <w:tc>
          <w:tcPr>
            <w:tcW w:w="3308" w:type="dxa"/>
            <w:shd w:val="clear" w:color="auto" w:fill="FFFFFF" w:themeFill="background1"/>
          </w:tcPr>
          <w:p w14:paraId="0F81DD2F" w14:textId="77777777" w:rsidR="0099455C" w:rsidRPr="00EE43C6" w:rsidRDefault="0099455C">
            <w:pPr>
              <w:spacing w:before="0" w:after="0" w:line="240" w:lineRule="auto"/>
              <w:jc w:val="left"/>
              <w:rPr>
                <w:rFonts w:eastAsia="Cambria" w:cs="MS Gothic"/>
                <w:sz w:val="18"/>
                <w:szCs w:val="18"/>
              </w:rPr>
            </w:pPr>
            <w:r w:rsidRPr="00EE43C6">
              <w:rPr>
                <w:rFonts w:eastAsia="Cambria" w:cs="MS Gothic"/>
                <w:sz w:val="18"/>
                <w:szCs w:val="18"/>
              </w:rPr>
              <w:t xml:space="preserve">The species breeds across northern latitudes of the Palaearctic from Norway in the west to Kamchatka (Russia) in the east. It is a full </w:t>
            </w:r>
            <w:r w:rsidRPr="00EE43C6">
              <w:rPr>
                <w:rFonts w:eastAsia="Arial" w:cs="Arial"/>
                <w:sz w:val="18"/>
                <w:szCs w:val="18"/>
              </w:rPr>
              <w:t>migrant</w:t>
            </w:r>
            <w:r w:rsidRPr="00EE43C6">
              <w:rPr>
                <w:rFonts w:eastAsia="Cambria" w:cs="MS Gothic"/>
                <w:sz w:val="18"/>
                <w:szCs w:val="18"/>
              </w:rPr>
              <w:t xml:space="preserve">, wintering in central and eastern Asia </w:t>
            </w:r>
            <w:r w:rsidRPr="00EE43C6">
              <w:rPr>
                <w:rFonts w:eastAsia="Cambria" w:cs="MS Gothic"/>
                <w:sz w:val="18"/>
                <w:szCs w:val="18"/>
              </w:rPr>
              <w:lastRenderedPageBreak/>
              <w:t>(primarily from eastern China to Japan).</w:t>
            </w:r>
          </w:p>
          <w:p w14:paraId="040F0ED2" w14:textId="77777777" w:rsidR="0099455C" w:rsidRPr="00EE43C6" w:rsidRDefault="0099455C">
            <w:pPr>
              <w:spacing w:before="0" w:after="0" w:line="240" w:lineRule="auto"/>
              <w:jc w:val="left"/>
              <w:rPr>
                <w:rFonts w:eastAsia="Wingdings" w:cs="Wingdings"/>
                <w:sz w:val="18"/>
                <w:szCs w:val="18"/>
              </w:rPr>
            </w:pPr>
            <w:r w:rsidRPr="00EE43C6">
              <w:rPr>
                <w:rFonts w:eastAsia="Wingdings" w:cs="Wingdings"/>
                <w:sz w:val="18"/>
                <w:szCs w:val="18"/>
              </w:rPr>
              <w:t xml:space="preserve">In </w:t>
            </w:r>
            <w:r>
              <w:rPr>
                <w:rFonts w:eastAsia="Wingdings" w:cs="Wingdings"/>
                <w:sz w:val="18"/>
                <w:szCs w:val="18"/>
              </w:rPr>
              <w:t>Türkiye</w:t>
            </w:r>
            <w:r w:rsidRPr="00EE43C6">
              <w:rPr>
                <w:rFonts w:eastAsia="Wingdings" w:cs="Wingdings"/>
                <w:sz w:val="18"/>
                <w:szCs w:val="18"/>
              </w:rPr>
              <w:t>, its distribution area is quite wide</w:t>
            </w:r>
          </w:p>
        </w:tc>
        <w:tc>
          <w:tcPr>
            <w:tcW w:w="993" w:type="dxa"/>
            <w:shd w:val="clear" w:color="auto" w:fill="FFFFFF" w:themeFill="background1"/>
            <w:vAlign w:val="center"/>
          </w:tcPr>
          <w:p w14:paraId="50B85159" w14:textId="77777777" w:rsidR="0099455C" w:rsidRPr="00EE43C6" w:rsidRDefault="0099455C">
            <w:pPr>
              <w:spacing w:before="0" w:after="0" w:line="240" w:lineRule="auto"/>
              <w:jc w:val="center"/>
              <w:rPr>
                <w:rFonts w:eastAsia="Cambria" w:cs="MS Gothic"/>
                <w:sz w:val="18"/>
                <w:szCs w:val="18"/>
              </w:rPr>
            </w:pPr>
            <w:r>
              <w:rPr>
                <w:rFonts w:eastAsia="Cambria" w:cs="MS Gothic"/>
                <w:sz w:val="18"/>
                <w:szCs w:val="18"/>
              </w:rPr>
              <w:lastRenderedPageBreak/>
              <w:t>Literature</w:t>
            </w:r>
          </w:p>
        </w:tc>
        <w:tc>
          <w:tcPr>
            <w:tcW w:w="1253" w:type="dxa"/>
            <w:shd w:val="clear" w:color="auto" w:fill="FFFFFF" w:themeFill="background1"/>
            <w:vAlign w:val="center"/>
          </w:tcPr>
          <w:p w14:paraId="4A15B2FA" w14:textId="77777777" w:rsidR="0099455C" w:rsidRDefault="0099455C">
            <w:pPr>
              <w:spacing w:before="0" w:after="0" w:line="240" w:lineRule="auto"/>
              <w:jc w:val="center"/>
              <w:rPr>
                <w:rFonts w:eastAsia="Cambria" w:cs="MS Gothic"/>
                <w:sz w:val="18"/>
                <w:szCs w:val="18"/>
              </w:rPr>
            </w:pPr>
            <w:r>
              <w:rPr>
                <w:rFonts w:eastAsia="Cambria" w:cs="MS Gothic"/>
                <w:sz w:val="18"/>
                <w:szCs w:val="18"/>
              </w:rPr>
              <w:t>Observation</w:t>
            </w:r>
          </w:p>
        </w:tc>
      </w:tr>
      <w:tr w:rsidR="0099455C" w:rsidRPr="00EE43C6" w14:paraId="72C5CBA1" w14:textId="77777777" w:rsidTr="001E0229">
        <w:trPr>
          <w:trHeight w:val="284"/>
        </w:trPr>
        <w:tc>
          <w:tcPr>
            <w:tcW w:w="1730" w:type="dxa"/>
            <w:shd w:val="clear" w:color="auto" w:fill="FFFFFF" w:themeFill="background1"/>
            <w:vAlign w:val="center"/>
          </w:tcPr>
          <w:p w14:paraId="6FB4CE9A" w14:textId="77777777" w:rsidR="0099455C" w:rsidRPr="00EE43C6" w:rsidRDefault="0099455C">
            <w:pPr>
              <w:spacing w:before="0" w:after="0" w:line="240" w:lineRule="auto"/>
              <w:jc w:val="left"/>
              <w:rPr>
                <w:rFonts w:eastAsia="Cambria" w:cs="MS Gothic"/>
                <w:b/>
                <w:bCs/>
                <w:sz w:val="18"/>
                <w:szCs w:val="18"/>
              </w:rPr>
            </w:pPr>
            <w:r w:rsidRPr="00EE43C6">
              <w:rPr>
                <w:rFonts w:eastAsia="Cambria" w:cs="MS Gothic"/>
                <w:b/>
                <w:bCs/>
                <w:sz w:val="18"/>
                <w:szCs w:val="18"/>
              </w:rPr>
              <w:t>Testudinidae</w:t>
            </w:r>
          </w:p>
        </w:tc>
        <w:tc>
          <w:tcPr>
            <w:tcW w:w="1211" w:type="dxa"/>
            <w:shd w:val="clear" w:color="auto" w:fill="FFFFFF" w:themeFill="background1"/>
            <w:vAlign w:val="center"/>
          </w:tcPr>
          <w:p w14:paraId="0666D878" w14:textId="77777777" w:rsidR="0099455C" w:rsidRPr="00EE43C6" w:rsidRDefault="0099455C">
            <w:pPr>
              <w:spacing w:before="0" w:after="0" w:line="240" w:lineRule="auto"/>
              <w:jc w:val="center"/>
              <w:rPr>
                <w:rFonts w:eastAsia="Cambria" w:cs="MS Gothic"/>
                <w:b/>
                <w:bCs/>
                <w:sz w:val="18"/>
                <w:szCs w:val="18"/>
              </w:rPr>
            </w:pPr>
          </w:p>
        </w:tc>
        <w:tc>
          <w:tcPr>
            <w:tcW w:w="663" w:type="dxa"/>
            <w:shd w:val="clear" w:color="auto" w:fill="FFFFFF" w:themeFill="background1"/>
            <w:vAlign w:val="center"/>
          </w:tcPr>
          <w:p w14:paraId="328B2413" w14:textId="77777777" w:rsidR="0099455C" w:rsidRPr="00EE43C6" w:rsidRDefault="0099455C">
            <w:pPr>
              <w:spacing w:before="0" w:after="0" w:line="240" w:lineRule="auto"/>
              <w:jc w:val="center"/>
              <w:rPr>
                <w:rFonts w:eastAsia="Cambria" w:cs="MS Gothic"/>
                <w:sz w:val="18"/>
                <w:szCs w:val="18"/>
              </w:rPr>
            </w:pPr>
          </w:p>
        </w:tc>
        <w:tc>
          <w:tcPr>
            <w:tcW w:w="3308" w:type="dxa"/>
            <w:shd w:val="clear" w:color="auto" w:fill="FFFFFF" w:themeFill="background1"/>
          </w:tcPr>
          <w:p w14:paraId="1EF3B463" w14:textId="77777777" w:rsidR="0099455C" w:rsidRPr="00EE43C6" w:rsidRDefault="0099455C">
            <w:pPr>
              <w:spacing w:before="0" w:after="0" w:line="240" w:lineRule="auto"/>
              <w:jc w:val="left"/>
              <w:rPr>
                <w:rFonts w:eastAsia="Cambria" w:cs="MS Gothic"/>
                <w:b/>
                <w:bCs/>
                <w:sz w:val="18"/>
                <w:szCs w:val="18"/>
              </w:rPr>
            </w:pPr>
          </w:p>
        </w:tc>
        <w:tc>
          <w:tcPr>
            <w:tcW w:w="993" w:type="dxa"/>
            <w:shd w:val="clear" w:color="auto" w:fill="FFFFFF" w:themeFill="background1"/>
            <w:vAlign w:val="center"/>
          </w:tcPr>
          <w:p w14:paraId="065BF862" w14:textId="77777777" w:rsidR="0099455C" w:rsidRPr="002F52ED" w:rsidRDefault="0099455C">
            <w:pPr>
              <w:spacing w:before="0" w:after="0" w:line="240" w:lineRule="auto"/>
              <w:jc w:val="center"/>
              <w:rPr>
                <w:rFonts w:eastAsia="Cambria" w:cs="MS Gothic"/>
                <w:sz w:val="18"/>
                <w:szCs w:val="18"/>
              </w:rPr>
            </w:pPr>
          </w:p>
        </w:tc>
        <w:tc>
          <w:tcPr>
            <w:tcW w:w="1253" w:type="dxa"/>
            <w:shd w:val="clear" w:color="auto" w:fill="FFFFFF" w:themeFill="background1"/>
            <w:vAlign w:val="center"/>
          </w:tcPr>
          <w:p w14:paraId="115486D8" w14:textId="77777777" w:rsidR="0099455C" w:rsidRPr="002F52ED" w:rsidRDefault="0099455C">
            <w:pPr>
              <w:spacing w:before="0" w:after="0" w:line="240" w:lineRule="auto"/>
              <w:jc w:val="center"/>
              <w:rPr>
                <w:rFonts w:eastAsia="Cambria" w:cs="MS Gothic"/>
                <w:sz w:val="18"/>
                <w:szCs w:val="18"/>
              </w:rPr>
            </w:pPr>
          </w:p>
        </w:tc>
      </w:tr>
      <w:tr w:rsidR="0099455C" w:rsidRPr="00EE43C6" w14:paraId="53BE8013" w14:textId="77777777">
        <w:trPr>
          <w:trHeight w:val="284"/>
        </w:trPr>
        <w:tc>
          <w:tcPr>
            <w:tcW w:w="1730" w:type="dxa"/>
            <w:shd w:val="clear" w:color="auto" w:fill="FFFFFF" w:themeFill="background1"/>
            <w:vAlign w:val="center"/>
          </w:tcPr>
          <w:p w14:paraId="2921E46A" w14:textId="77777777" w:rsidR="0099455C" w:rsidRPr="00EE43C6" w:rsidRDefault="0099455C">
            <w:pPr>
              <w:spacing w:before="0" w:after="0" w:line="240" w:lineRule="auto"/>
              <w:jc w:val="left"/>
              <w:rPr>
                <w:rFonts w:eastAsia="Cambria" w:cs="MS Gothic"/>
                <w:i/>
                <w:iCs/>
                <w:sz w:val="18"/>
                <w:szCs w:val="18"/>
              </w:rPr>
            </w:pPr>
            <w:r w:rsidRPr="00EE43C6">
              <w:rPr>
                <w:rFonts w:eastAsia="Cambria" w:cs="MS Gothic"/>
                <w:i/>
                <w:iCs/>
                <w:sz w:val="18"/>
                <w:szCs w:val="18"/>
              </w:rPr>
              <w:t>Testudo graeca</w:t>
            </w:r>
          </w:p>
        </w:tc>
        <w:tc>
          <w:tcPr>
            <w:tcW w:w="1211" w:type="dxa"/>
            <w:shd w:val="clear" w:color="auto" w:fill="FFFFFF" w:themeFill="background1"/>
            <w:vAlign w:val="center"/>
          </w:tcPr>
          <w:p w14:paraId="144472FA"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Common Tortoise</w:t>
            </w:r>
          </w:p>
        </w:tc>
        <w:tc>
          <w:tcPr>
            <w:tcW w:w="663" w:type="dxa"/>
            <w:shd w:val="clear" w:color="auto" w:fill="FFFFFF" w:themeFill="background1"/>
            <w:vAlign w:val="center"/>
          </w:tcPr>
          <w:p w14:paraId="20FBAAB4"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VU</w:t>
            </w:r>
          </w:p>
        </w:tc>
        <w:tc>
          <w:tcPr>
            <w:tcW w:w="3308" w:type="dxa"/>
            <w:shd w:val="clear" w:color="auto" w:fill="FFFFFF" w:themeFill="background1"/>
          </w:tcPr>
          <w:p w14:paraId="71D0729C" w14:textId="77777777" w:rsidR="0099455C" w:rsidRPr="00EE43C6" w:rsidRDefault="0099455C">
            <w:pPr>
              <w:spacing w:before="0" w:after="0" w:line="240" w:lineRule="auto"/>
              <w:jc w:val="left"/>
              <w:rPr>
                <w:rFonts w:eastAsia="Cambria" w:cs="MS Gothic"/>
                <w:sz w:val="18"/>
                <w:szCs w:val="18"/>
              </w:rPr>
            </w:pPr>
            <w:r w:rsidRPr="00EE43C6">
              <w:rPr>
                <w:rFonts w:eastAsia="Cambria" w:cs="MS Gothic"/>
                <w:sz w:val="18"/>
                <w:szCs w:val="18"/>
              </w:rPr>
              <w:t xml:space="preserve">The population of this species in </w:t>
            </w:r>
            <w:r>
              <w:rPr>
                <w:rFonts w:eastAsia="Cambria" w:cs="MS Gothic"/>
                <w:sz w:val="18"/>
                <w:szCs w:val="18"/>
              </w:rPr>
              <w:t>Türkiye</w:t>
            </w:r>
            <w:r w:rsidRPr="00EE43C6">
              <w:rPr>
                <w:rFonts w:eastAsia="Cambria" w:cs="MS Gothic"/>
                <w:sz w:val="18"/>
                <w:szCs w:val="18"/>
              </w:rPr>
              <w:t xml:space="preserve"> is high and its distribution area is quite wide</w:t>
            </w:r>
          </w:p>
        </w:tc>
        <w:tc>
          <w:tcPr>
            <w:tcW w:w="993" w:type="dxa"/>
            <w:shd w:val="clear" w:color="auto" w:fill="FFFFFF" w:themeFill="background1"/>
            <w:vAlign w:val="center"/>
          </w:tcPr>
          <w:p w14:paraId="64C9C5DA" w14:textId="77777777" w:rsidR="0099455C" w:rsidRPr="00EE43C6" w:rsidRDefault="0099455C">
            <w:pPr>
              <w:spacing w:before="0" w:after="0" w:line="240" w:lineRule="auto"/>
              <w:jc w:val="center"/>
              <w:rPr>
                <w:rFonts w:eastAsia="Cambria" w:cs="MS Gothic"/>
                <w:sz w:val="18"/>
                <w:szCs w:val="18"/>
              </w:rPr>
            </w:pPr>
            <w:r>
              <w:rPr>
                <w:rFonts w:eastAsia="Cambria" w:cs="MS Gothic"/>
                <w:sz w:val="18"/>
                <w:szCs w:val="18"/>
              </w:rPr>
              <w:t>Literature</w:t>
            </w:r>
          </w:p>
        </w:tc>
        <w:tc>
          <w:tcPr>
            <w:tcW w:w="1253" w:type="dxa"/>
            <w:shd w:val="clear" w:color="auto" w:fill="FFFFFF" w:themeFill="background1"/>
            <w:vAlign w:val="center"/>
          </w:tcPr>
          <w:p w14:paraId="2BB82DB7" w14:textId="77777777" w:rsidR="0099455C" w:rsidRDefault="0099455C">
            <w:pPr>
              <w:spacing w:before="0" w:after="0" w:line="240" w:lineRule="auto"/>
              <w:jc w:val="center"/>
              <w:rPr>
                <w:rFonts w:eastAsia="Cambria" w:cs="MS Gothic"/>
                <w:sz w:val="18"/>
                <w:szCs w:val="18"/>
              </w:rPr>
            </w:pPr>
            <w:r>
              <w:rPr>
                <w:rFonts w:eastAsia="Cambria" w:cs="MS Gothic"/>
                <w:sz w:val="18"/>
                <w:szCs w:val="18"/>
              </w:rPr>
              <w:t>Observation</w:t>
            </w:r>
          </w:p>
        </w:tc>
      </w:tr>
      <w:tr w:rsidR="0099455C" w:rsidRPr="00EE43C6" w14:paraId="1234E034" w14:textId="77777777" w:rsidTr="001E0229">
        <w:trPr>
          <w:trHeight w:val="284"/>
        </w:trPr>
        <w:tc>
          <w:tcPr>
            <w:tcW w:w="1730" w:type="dxa"/>
            <w:shd w:val="clear" w:color="auto" w:fill="FFFFFF" w:themeFill="background1"/>
            <w:vAlign w:val="center"/>
          </w:tcPr>
          <w:p w14:paraId="4E443464" w14:textId="77777777" w:rsidR="0099455C" w:rsidRPr="00EE43C6" w:rsidRDefault="0099455C">
            <w:pPr>
              <w:spacing w:before="0" w:after="0" w:line="240" w:lineRule="auto"/>
              <w:jc w:val="left"/>
              <w:rPr>
                <w:rFonts w:eastAsia="Cambria" w:cs="MS Gothic"/>
                <w:i/>
                <w:iCs/>
                <w:sz w:val="18"/>
                <w:szCs w:val="18"/>
              </w:rPr>
            </w:pPr>
            <w:r w:rsidRPr="00EE43C6">
              <w:rPr>
                <w:rFonts w:eastAsia="Cambria" w:cs="MS Gothic"/>
                <w:b/>
                <w:bCs/>
                <w:iCs/>
                <w:sz w:val="18"/>
                <w:szCs w:val="18"/>
              </w:rPr>
              <w:t>Rhinolophidae</w:t>
            </w:r>
          </w:p>
        </w:tc>
        <w:tc>
          <w:tcPr>
            <w:tcW w:w="1211" w:type="dxa"/>
            <w:shd w:val="clear" w:color="auto" w:fill="FFFFFF" w:themeFill="background1"/>
            <w:vAlign w:val="center"/>
          </w:tcPr>
          <w:p w14:paraId="299AB1DA" w14:textId="77777777" w:rsidR="0099455C" w:rsidRPr="00EE43C6" w:rsidRDefault="0099455C">
            <w:pPr>
              <w:spacing w:before="0" w:after="0" w:line="240" w:lineRule="auto"/>
              <w:jc w:val="center"/>
              <w:rPr>
                <w:rFonts w:eastAsia="Cambria" w:cs="MS Gothic"/>
                <w:sz w:val="18"/>
                <w:szCs w:val="18"/>
              </w:rPr>
            </w:pPr>
          </w:p>
        </w:tc>
        <w:tc>
          <w:tcPr>
            <w:tcW w:w="663" w:type="dxa"/>
            <w:shd w:val="clear" w:color="auto" w:fill="FFFFFF" w:themeFill="background1"/>
            <w:vAlign w:val="center"/>
          </w:tcPr>
          <w:p w14:paraId="2EA5C3A6" w14:textId="77777777" w:rsidR="0099455C" w:rsidRPr="00EE43C6" w:rsidRDefault="0099455C">
            <w:pPr>
              <w:spacing w:before="0" w:after="0" w:line="240" w:lineRule="auto"/>
              <w:jc w:val="center"/>
              <w:rPr>
                <w:rFonts w:eastAsia="Cambria" w:cs="MS Gothic"/>
                <w:sz w:val="18"/>
                <w:szCs w:val="18"/>
              </w:rPr>
            </w:pPr>
          </w:p>
        </w:tc>
        <w:tc>
          <w:tcPr>
            <w:tcW w:w="3308" w:type="dxa"/>
            <w:shd w:val="clear" w:color="auto" w:fill="FFFFFF" w:themeFill="background1"/>
          </w:tcPr>
          <w:p w14:paraId="284F8DC6" w14:textId="77777777" w:rsidR="0099455C" w:rsidRPr="00EE43C6" w:rsidRDefault="0099455C">
            <w:pPr>
              <w:spacing w:before="0" w:after="0" w:line="240" w:lineRule="auto"/>
              <w:jc w:val="left"/>
              <w:rPr>
                <w:rFonts w:eastAsia="Cambria" w:cs="MS Gothic"/>
                <w:sz w:val="18"/>
                <w:szCs w:val="18"/>
              </w:rPr>
            </w:pPr>
          </w:p>
        </w:tc>
        <w:tc>
          <w:tcPr>
            <w:tcW w:w="993" w:type="dxa"/>
            <w:shd w:val="clear" w:color="auto" w:fill="FFFFFF" w:themeFill="background1"/>
            <w:vAlign w:val="center"/>
          </w:tcPr>
          <w:p w14:paraId="0EFEAFF0" w14:textId="77777777" w:rsidR="0099455C" w:rsidRPr="00EE43C6" w:rsidRDefault="0099455C">
            <w:pPr>
              <w:spacing w:before="0" w:after="0" w:line="240" w:lineRule="auto"/>
              <w:jc w:val="center"/>
              <w:rPr>
                <w:rFonts w:eastAsia="Cambria" w:cs="MS Gothic"/>
                <w:sz w:val="18"/>
                <w:szCs w:val="18"/>
              </w:rPr>
            </w:pPr>
          </w:p>
        </w:tc>
        <w:tc>
          <w:tcPr>
            <w:tcW w:w="1253" w:type="dxa"/>
            <w:shd w:val="clear" w:color="auto" w:fill="FFFFFF" w:themeFill="background1"/>
            <w:vAlign w:val="center"/>
          </w:tcPr>
          <w:p w14:paraId="5BB036D8" w14:textId="77777777" w:rsidR="0099455C" w:rsidRPr="00EE43C6" w:rsidRDefault="0099455C">
            <w:pPr>
              <w:spacing w:before="0" w:after="0" w:line="240" w:lineRule="auto"/>
              <w:jc w:val="center"/>
              <w:rPr>
                <w:rFonts w:eastAsia="Cambria" w:cs="MS Gothic"/>
                <w:sz w:val="18"/>
                <w:szCs w:val="18"/>
              </w:rPr>
            </w:pPr>
          </w:p>
        </w:tc>
      </w:tr>
      <w:tr w:rsidR="0099455C" w:rsidRPr="00EE43C6" w14:paraId="2C6F690F" w14:textId="77777777">
        <w:trPr>
          <w:trHeight w:val="284"/>
        </w:trPr>
        <w:tc>
          <w:tcPr>
            <w:tcW w:w="1730" w:type="dxa"/>
            <w:shd w:val="clear" w:color="auto" w:fill="FFFFFF" w:themeFill="background1"/>
            <w:vAlign w:val="center"/>
          </w:tcPr>
          <w:p w14:paraId="1189D54E" w14:textId="77777777" w:rsidR="0099455C" w:rsidRPr="00EE43C6" w:rsidRDefault="0099455C">
            <w:pPr>
              <w:spacing w:before="0" w:after="0" w:line="240" w:lineRule="auto"/>
              <w:jc w:val="left"/>
              <w:rPr>
                <w:rFonts w:eastAsia="Cambria" w:cs="MS Gothic"/>
                <w:i/>
                <w:iCs/>
                <w:sz w:val="18"/>
                <w:szCs w:val="18"/>
              </w:rPr>
            </w:pPr>
            <w:r w:rsidRPr="00EE43C6">
              <w:rPr>
                <w:rFonts w:eastAsia="Cambria" w:cs="MS Gothic"/>
                <w:i/>
                <w:sz w:val="18"/>
                <w:szCs w:val="18"/>
              </w:rPr>
              <w:t>Rhinolophus mehelyi</w:t>
            </w:r>
          </w:p>
        </w:tc>
        <w:tc>
          <w:tcPr>
            <w:tcW w:w="1211" w:type="dxa"/>
            <w:shd w:val="clear" w:color="auto" w:fill="FFFFFF" w:themeFill="background1"/>
            <w:vAlign w:val="center"/>
          </w:tcPr>
          <w:p w14:paraId="6FC8BD77"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Mehely’s Horseshoe Bat</w:t>
            </w:r>
          </w:p>
        </w:tc>
        <w:tc>
          <w:tcPr>
            <w:tcW w:w="663" w:type="dxa"/>
            <w:shd w:val="clear" w:color="auto" w:fill="FFFFFF" w:themeFill="background1"/>
            <w:vAlign w:val="center"/>
          </w:tcPr>
          <w:p w14:paraId="03197DEA"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VU</w:t>
            </w:r>
          </w:p>
        </w:tc>
        <w:tc>
          <w:tcPr>
            <w:tcW w:w="3308" w:type="dxa"/>
            <w:shd w:val="clear" w:color="auto" w:fill="FFFFFF" w:themeFill="background1"/>
          </w:tcPr>
          <w:p w14:paraId="04001AE8" w14:textId="77777777" w:rsidR="0099455C" w:rsidRPr="00EE43C6" w:rsidRDefault="0099455C">
            <w:pPr>
              <w:spacing w:before="0" w:after="0" w:line="240" w:lineRule="auto"/>
              <w:jc w:val="left"/>
              <w:rPr>
                <w:rFonts w:eastAsia="Cambria" w:cs="MS Gothic"/>
                <w:sz w:val="18"/>
                <w:szCs w:val="18"/>
              </w:rPr>
            </w:pPr>
            <w:r w:rsidRPr="00EE43C6">
              <w:rPr>
                <w:rFonts w:eastAsia="Cambria" w:cs="MS Gothic"/>
                <w:sz w:val="18"/>
                <w:szCs w:val="18"/>
              </w:rPr>
              <w:t>The species found in Southern Europe. They are widespread as far as North Africa and Iran. There are records in Eastern, Central and Western Anatolia, Thrace and Eastern Mediterranean regions.</w:t>
            </w:r>
          </w:p>
        </w:tc>
        <w:tc>
          <w:tcPr>
            <w:tcW w:w="993" w:type="dxa"/>
            <w:shd w:val="clear" w:color="auto" w:fill="FFFFFF" w:themeFill="background1"/>
            <w:vAlign w:val="center"/>
          </w:tcPr>
          <w:p w14:paraId="1314DFCC" w14:textId="77777777" w:rsidR="0099455C" w:rsidRPr="00EE43C6" w:rsidRDefault="0099455C">
            <w:pPr>
              <w:spacing w:before="0" w:after="0" w:line="240" w:lineRule="auto"/>
              <w:jc w:val="center"/>
              <w:rPr>
                <w:rFonts w:eastAsia="Cambria" w:cs="MS Gothic"/>
                <w:sz w:val="18"/>
                <w:szCs w:val="18"/>
              </w:rPr>
            </w:pPr>
            <w:r>
              <w:rPr>
                <w:rFonts w:eastAsia="Cambria" w:cs="MS Gothic"/>
                <w:sz w:val="18"/>
                <w:szCs w:val="18"/>
              </w:rPr>
              <w:t>Literature</w:t>
            </w:r>
          </w:p>
        </w:tc>
        <w:tc>
          <w:tcPr>
            <w:tcW w:w="1253" w:type="dxa"/>
            <w:shd w:val="clear" w:color="auto" w:fill="FFFFFF" w:themeFill="background1"/>
            <w:vAlign w:val="center"/>
          </w:tcPr>
          <w:p w14:paraId="22DA5158" w14:textId="77777777" w:rsidR="0099455C" w:rsidRDefault="0099455C">
            <w:pPr>
              <w:spacing w:before="0" w:after="0" w:line="240" w:lineRule="auto"/>
              <w:jc w:val="center"/>
              <w:rPr>
                <w:rFonts w:eastAsia="Cambria" w:cs="MS Gothic"/>
                <w:sz w:val="18"/>
                <w:szCs w:val="18"/>
              </w:rPr>
            </w:pPr>
            <w:r>
              <w:rPr>
                <w:rFonts w:eastAsia="Cambria" w:cs="MS Gothic"/>
                <w:sz w:val="18"/>
                <w:szCs w:val="18"/>
              </w:rPr>
              <w:t>Literature</w:t>
            </w:r>
          </w:p>
        </w:tc>
      </w:tr>
      <w:tr w:rsidR="0099455C" w:rsidRPr="00EE43C6" w14:paraId="6231EE50" w14:textId="77777777" w:rsidTr="001E0229">
        <w:trPr>
          <w:trHeight w:val="284"/>
        </w:trPr>
        <w:tc>
          <w:tcPr>
            <w:tcW w:w="1730" w:type="dxa"/>
            <w:shd w:val="clear" w:color="auto" w:fill="FFFFFF" w:themeFill="background1"/>
            <w:vAlign w:val="center"/>
          </w:tcPr>
          <w:p w14:paraId="491E3C9A" w14:textId="77777777" w:rsidR="0099455C" w:rsidRPr="00EE43C6" w:rsidRDefault="0099455C">
            <w:pPr>
              <w:spacing w:before="0" w:after="0" w:line="240" w:lineRule="auto"/>
              <w:jc w:val="left"/>
              <w:rPr>
                <w:rFonts w:eastAsia="Cambria" w:cs="MS Gothic"/>
                <w:i/>
                <w:iCs/>
                <w:sz w:val="18"/>
                <w:szCs w:val="18"/>
              </w:rPr>
            </w:pPr>
            <w:r w:rsidRPr="00EE43C6">
              <w:rPr>
                <w:rFonts w:eastAsia="Cambria" w:cs="MS Gothic"/>
                <w:b/>
                <w:bCs/>
                <w:iCs/>
                <w:sz w:val="18"/>
                <w:szCs w:val="18"/>
              </w:rPr>
              <w:t>Vespertilionidae</w:t>
            </w:r>
          </w:p>
        </w:tc>
        <w:tc>
          <w:tcPr>
            <w:tcW w:w="1211" w:type="dxa"/>
            <w:shd w:val="clear" w:color="auto" w:fill="FFFFFF" w:themeFill="background1"/>
            <w:vAlign w:val="center"/>
          </w:tcPr>
          <w:p w14:paraId="2807C177" w14:textId="77777777" w:rsidR="0099455C" w:rsidRPr="00EE43C6" w:rsidRDefault="0099455C">
            <w:pPr>
              <w:spacing w:before="0" w:after="0" w:line="240" w:lineRule="auto"/>
              <w:jc w:val="center"/>
              <w:rPr>
                <w:rFonts w:eastAsia="Cambria" w:cs="MS Gothic"/>
                <w:sz w:val="18"/>
                <w:szCs w:val="18"/>
              </w:rPr>
            </w:pPr>
          </w:p>
        </w:tc>
        <w:tc>
          <w:tcPr>
            <w:tcW w:w="663" w:type="dxa"/>
            <w:shd w:val="clear" w:color="auto" w:fill="FFFFFF" w:themeFill="background1"/>
            <w:vAlign w:val="center"/>
          </w:tcPr>
          <w:p w14:paraId="4C95C866" w14:textId="77777777" w:rsidR="0099455C" w:rsidRPr="00EE43C6" w:rsidRDefault="0099455C">
            <w:pPr>
              <w:spacing w:before="0" w:after="0" w:line="240" w:lineRule="auto"/>
              <w:jc w:val="center"/>
              <w:rPr>
                <w:rFonts w:eastAsia="Cambria" w:cs="MS Gothic"/>
                <w:sz w:val="18"/>
                <w:szCs w:val="18"/>
              </w:rPr>
            </w:pPr>
          </w:p>
        </w:tc>
        <w:tc>
          <w:tcPr>
            <w:tcW w:w="3308" w:type="dxa"/>
            <w:shd w:val="clear" w:color="auto" w:fill="FFFFFF" w:themeFill="background1"/>
          </w:tcPr>
          <w:p w14:paraId="2935C68D" w14:textId="77777777" w:rsidR="0099455C" w:rsidRPr="00EE43C6" w:rsidRDefault="0099455C">
            <w:pPr>
              <w:spacing w:before="0" w:after="0" w:line="240" w:lineRule="auto"/>
              <w:jc w:val="left"/>
              <w:rPr>
                <w:rFonts w:eastAsia="Cambria" w:cs="MS Gothic"/>
                <w:sz w:val="18"/>
                <w:szCs w:val="18"/>
              </w:rPr>
            </w:pPr>
          </w:p>
        </w:tc>
        <w:tc>
          <w:tcPr>
            <w:tcW w:w="993" w:type="dxa"/>
            <w:shd w:val="clear" w:color="auto" w:fill="FFFFFF" w:themeFill="background1"/>
            <w:vAlign w:val="center"/>
          </w:tcPr>
          <w:p w14:paraId="0F0ECC5E" w14:textId="77777777" w:rsidR="0099455C" w:rsidRPr="00EE43C6" w:rsidRDefault="0099455C">
            <w:pPr>
              <w:spacing w:before="0" w:after="0" w:line="240" w:lineRule="auto"/>
              <w:jc w:val="center"/>
              <w:rPr>
                <w:rFonts w:eastAsia="Cambria" w:cs="MS Gothic"/>
                <w:sz w:val="18"/>
                <w:szCs w:val="18"/>
              </w:rPr>
            </w:pPr>
          </w:p>
        </w:tc>
        <w:tc>
          <w:tcPr>
            <w:tcW w:w="1253" w:type="dxa"/>
            <w:shd w:val="clear" w:color="auto" w:fill="FFFFFF" w:themeFill="background1"/>
            <w:vAlign w:val="center"/>
          </w:tcPr>
          <w:p w14:paraId="45C2EE04" w14:textId="77777777" w:rsidR="0099455C" w:rsidRPr="00EE43C6" w:rsidRDefault="0099455C">
            <w:pPr>
              <w:spacing w:before="0" w:after="0" w:line="240" w:lineRule="auto"/>
              <w:jc w:val="center"/>
              <w:rPr>
                <w:rFonts w:eastAsia="Cambria" w:cs="MS Gothic"/>
                <w:sz w:val="18"/>
                <w:szCs w:val="18"/>
              </w:rPr>
            </w:pPr>
          </w:p>
        </w:tc>
      </w:tr>
      <w:tr w:rsidR="0099455C" w:rsidRPr="00EE43C6" w14:paraId="1CA3975B" w14:textId="77777777">
        <w:trPr>
          <w:trHeight w:val="284"/>
        </w:trPr>
        <w:tc>
          <w:tcPr>
            <w:tcW w:w="1730" w:type="dxa"/>
            <w:shd w:val="clear" w:color="auto" w:fill="FFFFFF" w:themeFill="background1"/>
            <w:vAlign w:val="center"/>
          </w:tcPr>
          <w:p w14:paraId="30904B41" w14:textId="77777777" w:rsidR="0099455C" w:rsidRPr="00EE43C6" w:rsidRDefault="0099455C">
            <w:pPr>
              <w:spacing w:before="0" w:after="0" w:line="240" w:lineRule="auto"/>
              <w:jc w:val="left"/>
              <w:rPr>
                <w:rFonts w:eastAsia="Cambria" w:cs="MS Gothic"/>
                <w:i/>
                <w:iCs/>
                <w:sz w:val="18"/>
                <w:szCs w:val="18"/>
              </w:rPr>
            </w:pPr>
            <w:r w:rsidRPr="00EE43C6">
              <w:rPr>
                <w:rFonts w:eastAsia="Cambria" w:cs="MS Gothic"/>
                <w:i/>
                <w:iCs/>
                <w:sz w:val="18"/>
                <w:szCs w:val="18"/>
              </w:rPr>
              <w:t>Myotis capaccinii</w:t>
            </w:r>
          </w:p>
        </w:tc>
        <w:tc>
          <w:tcPr>
            <w:tcW w:w="1211" w:type="dxa"/>
            <w:shd w:val="clear" w:color="auto" w:fill="FFFFFF" w:themeFill="background1"/>
            <w:vAlign w:val="center"/>
          </w:tcPr>
          <w:p w14:paraId="2AA3CE70"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i/>
                <w:sz w:val="18"/>
                <w:szCs w:val="18"/>
              </w:rPr>
              <w:t>Long-fingered Bat</w:t>
            </w:r>
          </w:p>
        </w:tc>
        <w:tc>
          <w:tcPr>
            <w:tcW w:w="663" w:type="dxa"/>
            <w:shd w:val="clear" w:color="auto" w:fill="FFFFFF" w:themeFill="background1"/>
            <w:vAlign w:val="center"/>
          </w:tcPr>
          <w:p w14:paraId="69335FA6"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VU</w:t>
            </w:r>
          </w:p>
        </w:tc>
        <w:tc>
          <w:tcPr>
            <w:tcW w:w="3308" w:type="dxa"/>
            <w:shd w:val="clear" w:color="auto" w:fill="FFFFFF" w:themeFill="background1"/>
          </w:tcPr>
          <w:p w14:paraId="72E94FA6" w14:textId="77777777" w:rsidR="0099455C" w:rsidRPr="00EE43C6" w:rsidRDefault="0099455C">
            <w:pPr>
              <w:spacing w:before="0" w:after="0" w:line="240" w:lineRule="auto"/>
              <w:jc w:val="left"/>
              <w:rPr>
                <w:rFonts w:eastAsia="Cambria" w:cs="MS Gothic"/>
                <w:sz w:val="18"/>
                <w:szCs w:val="18"/>
              </w:rPr>
            </w:pPr>
            <w:r w:rsidRPr="00EE43C6">
              <w:rPr>
                <w:rFonts w:eastAsia="Cambria" w:cs="MS Gothic"/>
                <w:sz w:val="18"/>
                <w:szCs w:val="18"/>
              </w:rPr>
              <w:t xml:space="preserve">The species spread from Southern Europe to Northern Africa and Uzbekistan. In </w:t>
            </w:r>
            <w:r>
              <w:rPr>
                <w:rFonts w:eastAsia="Cambria" w:cs="MS Gothic"/>
                <w:sz w:val="18"/>
                <w:szCs w:val="18"/>
              </w:rPr>
              <w:t>Türkiye</w:t>
            </w:r>
            <w:r w:rsidRPr="00EE43C6">
              <w:rPr>
                <w:rFonts w:eastAsia="Cambria" w:cs="MS Gothic"/>
                <w:sz w:val="18"/>
                <w:szCs w:val="18"/>
              </w:rPr>
              <w:t>, there are records from Thrace, Istanbul-Şile, Aydın, Konya, Burdur, Bursa-Manyas, Mersin, Silifke, Tarsus, Hatay and Antalya.</w:t>
            </w:r>
          </w:p>
        </w:tc>
        <w:tc>
          <w:tcPr>
            <w:tcW w:w="993" w:type="dxa"/>
            <w:shd w:val="clear" w:color="auto" w:fill="FFFFFF" w:themeFill="background1"/>
            <w:vAlign w:val="center"/>
          </w:tcPr>
          <w:p w14:paraId="7BA1862B" w14:textId="77777777" w:rsidR="0099455C" w:rsidRPr="00EE43C6" w:rsidRDefault="0099455C">
            <w:pPr>
              <w:spacing w:before="0" w:after="0" w:line="240" w:lineRule="auto"/>
              <w:jc w:val="center"/>
              <w:rPr>
                <w:rFonts w:eastAsia="Cambria" w:cs="MS Gothic"/>
                <w:sz w:val="18"/>
                <w:szCs w:val="18"/>
              </w:rPr>
            </w:pPr>
            <w:r>
              <w:rPr>
                <w:rFonts w:eastAsia="Cambria" w:cs="MS Gothic"/>
                <w:sz w:val="18"/>
                <w:szCs w:val="18"/>
              </w:rPr>
              <w:t>Literature</w:t>
            </w:r>
          </w:p>
        </w:tc>
        <w:tc>
          <w:tcPr>
            <w:tcW w:w="1253" w:type="dxa"/>
            <w:shd w:val="clear" w:color="auto" w:fill="FFFFFF" w:themeFill="background1"/>
            <w:vAlign w:val="center"/>
          </w:tcPr>
          <w:p w14:paraId="7EA50AFD" w14:textId="77777777" w:rsidR="0099455C" w:rsidRDefault="0099455C">
            <w:pPr>
              <w:spacing w:before="0" w:after="0" w:line="240" w:lineRule="auto"/>
              <w:jc w:val="center"/>
              <w:rPr>
                <w:rFonts w:eastAsia="Cambria" w:cs="MS Gothic"/>
                <w:sz w:val="18"/>
                <w:szCs w:val="18"/>
              </w:rPr>
            </w:pPr>
            <w:r>
              <w:rPr>
                <w:rFonts w:eastAsia="Cambria" w:cs="MS Gothic"/>
                <w:sz w:val="18"/>
                <w:szCs w:val="18"/>
              </w:rPr>
              <w:t>Literature</w:t>
            </w:r>
          </w:p>
        </w:tc>
      </w:tr>
      <w:tr w:rsidR="0099455C" w:rsidRPr="00EE43C6" w14:paraId="555E9146" w14:textId="77777777" w:rsidTr="001E0229">
        <w:trPr>
          <w:trHeight w:val="284"/>
        </w:trPr>
        <w:tc>
          <w:tcPr>
            <w:tcW w:w="1730" w:type="dxa"/>
            <w:shd w:val="clear" w:color="auto" w:fill="FFFFFF" w:themeFill="background1"/>
            <w:vAlign w:val="center"/>
          </w:tcPr>
          <w:p w14:paraId="4AF232E2" w14:textId="77777777" w:rsidR="0099455C" w:rsidRPr="00EE43C6" w:rsidRDefault="0099455C">
            <w:pPr>
              <w:spacing w:before="0" w:after="0" w:line="240" w:lineRule="auto"/>
              <w:jc w:val="left"/>
              <w:rPr>
                <w:rFonts w:eastAsia="Cambria" w:cs="MS Gothic"/>
                <w:b/>
                <w:sz w:val="18"/>
                <w:szCs w:val="18"/>
              </w:rPr>
            </w:pPr>
            <w:r w:rsidRPr="00EE43C6">
              <w:rPr>
                <w:rFonts w:eastAsia="Cambria" w:cs="MS Gothic"/>
                <w:b/>
                <w:sz w:val="18"/>
                <w:szCs w:val="18"/>
              </w:rPr>
              <w:t>Sciuridae</w:t>
            </w:r>
          </w:p>
        </w:tc>
        <w:tc>
          <w:tcPr>
            <w:tcW w:w="1211" w:type="dxa"/>
            <w:shd w:val="clear" w:color="auto" w:fill="FFFFFF" w:themeFill="background1"/>
            <w:vAlign w:val="center"/>
          </w:tcPr>
          <w:p w14:paraId="4896E41D" w14:textId="77777777" w:rsidR="0099455C" w:rsidRPr="00EE43C6" w:rsidRDefault="0099455C">
            <w:pPr>
              <w:spacing w:before="0" w:after="0" w:line="240" w:lineRule="auto"/>
              <w:jc w:val="center"/>
              <w:rPr>
                <w:rFonts w:eastAsia="Cambria" w:cs="MS Gothic"/>
                <w:i/>
                <w:sz w:val="18"/>
                <w:szCs w:val="18"/>
              </w:rPr>
            </w:pPr>
          </w:p>
        </w:tc>
        <w:tc>
          <w:tcPr>
            <w:tcW w:w="663" w:type="dxa"/>
            <w:shd w:val="clear" w:color="auto" w:fill="FFFFFF" w:themeFill="background1"/>
            <w:vAlign w:val="center"/>
          </w:tcPr>
          <w:p w14:paraId="5FBA0878" w14:textId="77777777" w:rsidR="0099455C" w:rsidRPr="00EE43C6" w:rsidRDefault="0099455C">
            <w:pPr>
              <w:spacing w:before="0" w:after="0" w:line="240" w:lineRule="auto"/>
              <w:jc w:val="center"/>
              <w:rPr>
                <w:rFonts w:eastAsia="Cambria" w:cs="MS Gothic"/>
                <w:sz w:val="18"/>
                <w:szCs w:val="18"/>
              </w:rPr>
            </w:pPr>
          </w:p>
        </w:tc>
        <w:tc>
          <w:tcPr>
            <w:tcW w:w="3308" w:type="dxa"/>
            <w:shd w:val="clear" w:color="auto" w:fill="FFFFFF" w:themeFill="background1"/>
          </w:tcPr>
          <w:p w14:paraId="7EE3DEEC" w14:textId="77777777" w:rsidR="0099455C" w:rsidRPr="00EE43C6" w:rsidRDefault="0099455C">
            <w:pPr>
              <w:spacing w:before="0" w:after="0" w:line="240" w:lineRule="auto"/>
              <w:jc w:val="left"/>
              <w:rPr>
                <w:rFonts w:eastAsia="Cambria" w:cs="MS Gothic"/>
                <w:sz w:val="18"/>
                <w:szCs w:val="18"/>
              </w:rPr>
            </w:pPr>
          </w:p>
        </w:tc>
        <w:tc>
          <w:tcPr>
            <w:tcW w:w="993" w:type="dxa"/>
            <w:shd w:val="clear" w:color="auto" w:fill="FFFFFF" w:themeFill="background1"/>
            <w:vAlign w:val="center"/>
          </w:tcPr>
          <w:p w14:paraId="06EC0331" w14:textId="77777777" w:rsidR="0099455C" w:rsidRPr="00EE43C6" w:rsidRDefault="0099455C">
            <w:pPr>
              <w:spacing w:before="0" w:after="0" w:line="240" w:lineRule="auto"/>
              <w:jc w:val="center"/>
              <w:rPr>
                <w:rFonts w:eastAsia="Cambria" w:cs="MS Gothic"/>
                <w:sz w:val="18"/>
                <w:szCs w:val="18"/>
              </w:rPr>
            </w:pPr>
          </w:p>
        </w:tc>
        <w:tc>
          <w:tcPr>
            <w:tcW w:w="1253" w:type="dxa"/>
            <w:shd w:val="clear" w:color="auto" w:fill="FFFFFF" w:themeFill="background1"/>
            <w:vAlign w:val="center"/>
          </w:tcPr>
          <w:p w14:paraId="2743213B" w14:textId="77777777" w:rsidR="0099455C" w:rsidRPr="00EE43C6" w:rsidRDefault="0099455C">
            <w:pPr>
              <w:spacing w:before="0" w:after="0" w:line="240" w:lineRule="auto"/>
              <w:jc w:val="center"/>
              <w:rPr>
                <w:rFonts w:eastAsia="Cambria" w:cs="MS Gothic"/>
                <w:sz w:val="18"/>
                <w:szCs w:val="18"/>
              </w:rPr>
            </w:pPr>
          </w:p>
        </w:tc>
      </w:tr>
      <w:tr w:rsidR="0099455C" w:rsidRPr="00EE43C6" w14:paraId="7615FA1B" w14:textId="77777777">
        <w:trPr>
          <w:trHeight w:val="284"/>
        </w:trPr>
        <w:tc>
          <w:tcPr>
            <w:tcW w:w="1730" w:type="dxa"/>
            <w:shd w:val="clear" w:color="auto" w:fill="FFFFFF" w:themeFill="background1"/>
            <w:vAlign w:val="center"/>
          </w:tcPr>
          <w:p w14:paraId="27F81727" w14:textId="77777777" w:rsidR="0099455C" w:rsidRPr="00EE43C6" w:rsidRDefault="0099455C">
            <w:pPr>
              <w:spacing w:before="0" w:after="0" w:line="240" w:lineRule="auto"/>
              <w:jc w:val="left"/>
              <w:rPr>
                <w:rFonts w:eastAsia="Cambria" w:cs="MS Gothic"/>
                <w:i/>
                <w:iCs/>
                <w:sz w:val="18"/>
                <w:szCs w:val="18"/>
              </w:rPr>
            </w:pPr>
            <w:r w:rsidRPr="00EE43C6">
              <w:rPr>
                <w:rFonts w:cs="Arial"/>
                <w:i/>
                <w:iCs/>
                <w:color w:val="080100"/>
                <w:sz w:val="18"/>
                <w:szCs w:val="18"/>
                <w:bdr w:val="none" w:sz="0" w:space="0" w:color="auto" w:frame="1"/>
                <w:shd w:val="clear" w:color="auto" w:fill="FFFFFF"/>
              </w:rPr>
              <w:t>Spermophilus citellus</w:t>
            </w:r>
          </w:p>
        </w:tc>
        <w:tc>
          <w:tcPr>
            <w:tcW w:w="1211" w:type="dxa"/>
            <w:shd w:val="clear" w:color="auto" w:fill="FFFFFF" w:themeFill="background1"/>
            <w:vAlign w:val="center"/>
          </w:tcPr>
          <w:p w14:paraId="739CFC25" w14:textId="77777777" w:rsidR="0099455C" w:rsidRPr="00EE43C6" w:rsidRDefault="0099455C">
            <w:pPr>
              <w:spacing w:before="0" w:after="0" w:line="240" w:lineRule="auto"/>
              <w:jc w:val="center"/>
              <w:rPr>
                <w:rFonts w:eastAsia="Cambria" w:cs="MS Gothic"/>
                <w:i/>
                <w:sz w:val="18"/>
                <w:szCs w:val="18"/>
              </w:rPr>
            </w:pPr>
            <w:r w:rsidRPr="00EE43C6">
              <w:rPr>
                <w:rFonts w:eastAsia="Cambria" w:cs="MS Gothic"/>
                <w:sz w:val="18"/>
                <w:szCs w:val="18"/>
              </w:rPr>
              <w:t>European Souslik</w:t>
            </w:r>
          </w:p>
        </w:tc>
        <w:tc>
          <w:tcPr>
            <w:tcW w:w="663" w:type="dxa"/>
            <w:shd w:val="clear" w:color="auto" w:fill="FFFFFF" w:themeFill="background1"/>
            <w:vAlign w:val="center"/>
          </w:tcPr>
          <w:p w14:paraId="6882147F"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EN</w:t>
            </w:r>
          </w:p>
        </w:tc>
        <w:tc>
          <w:tcPr>
            <w:tcW w:w="3308" w:type="dxa"/>
            <w:shd w:val="clear" w:color="auto" w:fill="FFFFFF" w:themeFill="background1"/>
          </w:tcPr>
          <w:p w14:paraId="61592C1E" w14:textId="77777777" w:rsidR="0099455C" w:rsidRPr="00EE43C6" w:rsidRDefault="0099455C">
            <w:pPr>
              <w:spacing w:before="0" w:after="0" w:line="240" w:lineRule="auto"/>
              <w:jc w:val="left"/>
              <w:rPr>
                <w:rFonts w:eastAsia="Cambria" w:cs="MS Gothic"/>
                <w:sz w:val="18"/>
                <w:szCs w:val="18"/>
              </w:rPr>
            </w:pPr>
            <w:r w:rsidRPr="00EE43C6">
              <w:rPr>
                <w:rFonts w:eastAsia="Cambria" w:cs="MS Gothic"/>
                <w:sz w:val="18"/>
                <w:szCs w:val="18"/>
              </w:rPr>
              <w:t>The species is common from southeastern Europe to Thrace. Records previously reported to have been found in the steppes of Central and Eastern Anatolia have been removed; The distribution of this species is limited to Thrace.</w:t>
            </w:r>
          </w:p>
        </w:tc>
        <w:tc>
          <w:tcPr>
            <w:tcW w:w="993" w:type="dxa"/>
            <w:shd w:val="clear" w:color="auto" w:fill="FFFFFF" w:themeFill="background1"/>
            <w:vAlign w:val="center"/>
          </w:tcPr>
          <w:p w14:paraId="34FE6EE3" w14:textId="77777777" w:rsidR="0099455C" w:rsidRPr="00EE43C6" w:rsidRDefault="0099455C">
            <w:pPr>
              <w:spacing w:before="0" w:after="0" w:line="240" w:lineRule="auto"/>
              <w:jc w:val="center"/>
              <w:rPr>
                <w:rFonts w:eastAsia="Cambria" w:cs="MS Gothic"/>
                <w:sz w:val="18"/>
                <w:szCs w:val="18"/>
              </w:rPr>
            </w:pPr>
            <w:r>
              <w:rPr>
                <w:rFonts w:eastAsia="Cambria" w:cs="MS Gothic"/>
                <w:sz w:val="18"/>
                <w:szCs w:val="18"/>
              </w:rPr>
              <w:t>Literature</w:t>
            </w:r>
          </w:p>
        </w:tc>
        <w:tc>
          <w:tcPr>
            <w:tcW w:w="1253" w:type="dxa"/>
            <w:shd w:val="clear" w:color="auto" w:fill="FFFFFF" w:themeFill="background1"/>
            <w:vAlign w:val="center"/>
          </w:tcPr>
          <w:p w14:paraId="1FF0DB33" w14:textId="77777777" w:rsidR="0099455C" w:rsidRDefault="0099455C">
            <w:pPr>
              <w:spacing w:before="0" w:after="0" w:line="240" w:lineRule="auto"/>
              <w:jc w:val="center"/>
              <w:rPr>
                <w:rFonts w:eastAsia="Cambria" w:cs="MS Gothic"/>
                <w:sz w:val="18"/>
                <w:szCs w:val="18"/>
              </w:rPr>
            </w:pPr>
            <w:r>
              <w:rPr>
                <w:rFonts w:eastAsia="Cambria" w:cs="MS Gothic"/>
                <w:sz w:val="18"/>
                <w:szCs w:val="18"/>
              </w:rPr>
              <w:t>Literature</w:t>
            </w:r>
          </w:p>
        </w:tc>
      </w:tr>
      <w:tr w:rsidR="0099455C" w:rsidRPr="00EE43C6" w14:paraId="70CF5BAC" w14:textId="77777777" w:rsidTr="001E0229">
        <w:trPr>
          <w:trHeight w:val="284"/>
        </w:trPr>
        <w:tc>
          <w:tcPr>
            <w:tcW w:w="1730" w:type="dxa"/>
            <w:shd w:val="clear" w:color="auto" w:fill="FFFFFF" w:themeFill="background1"/>
            <w:vAlign w:val="center"/>
          </w:tcPr>
          <w:p w14:paraId="4428E20F" w14:textId="77777777" w:rsidR="0099455C" w:rsidRPr="00EE43C6" w:rsidRDefault="0099455C">
            <w:pPr>
              <w:spacing w:before="0" w:after="0" w:line="240" w:lineRule="auto"/>
              <w:jc w:val="left"/>
              <w:rPr>
                <w:rFonts w:cs="Arial"/>
                <w:i/>
                <w:iCs/>
                <w:color w:val="080100"/>
                <w:sz w:val="18"/>
                <w:szCs w:val="18"/>
                <w:bdr w:val="none" w:sz="0" w:space="0" w:color="auto" w:frame="1"/>
                <w:shd w:val="clear" w:color="auto" w:fill="FFFFFF"/>
              </w:rPr>
            </w:pPr>
            <w:r w:rsidRPr="00EE43C6">
              <w:rPr>
                <w:rFonts w:eastAsia="Cambria" w:cs="MS Gothic"/>
                <w:b/>
                <w:bCs/>
                <w:iCs/>
                <w:sz w:val="18"/>
                <w:szCs w:val="18"/>
              </w:rPr>
              <w:t>Miniopteridae</w:t>
            </w:r>
          </w:p>
        </w:tc>
        <w:tc>
          <w:tcPr>
            <w:tcW w:w="1211" w:type="dxa"/>
            <w:shd w:val="clear" w:color="auto" w:fill="FFFFFF" w:themeFill="background1"/>
            <w:vAlign w:val="center"/>
          </w:tcPr>
          <w:p w14:paraId="6F7523DA" w14:textId="77777777" w:rsidR="0099455C" w:rsidRPr="00EE43C6" w:rsidRDefault="0099455C">
            <w:pPr>
              <w:spacing w:before="0" w:after="0" w:line="240" w:lineRule="auto"/>
              <w:jc w:val="center"/>
              <w:rPr>
                <w:rFonts w:eastAsia="Cambria" w:cs="MS Gothic"/>
                <w:sz w:val="18"/>
                <w:szCs w:val="18"/>
              </w:rPr>
            </w:pPr>
          </w:p>
        </w:tc>
        <w:tc>
          <w:tcPr>
            <w:tcW w:w="663" w:type="dxa"/>
            <w:shd w:val="clear" w:color="auto" w:fill="FFFFFF" w:themeFill="background1"/>
            <w:vAlign w:val="center"/>
          </w:tcPr>
          <w:p w14:paraId="7BED4A31" w14:textId="77777777" w:rsidR="0099455C" w:rsidRPr="00EE43C6" w:rsidRDefault="0099455C">
            <w:pPr>
              <w:spacing w:before="0" w:after="0" w:line="240" w:lineRule="auto"/>
              <w:jc w:val="center"/>
              <w:rPr>
                <w:rFonts w:eastAsia="Cambria" w:cs="MS Gothic"/>
                <w:sz w:val="18"/>
                <w:szCs w:val="18"/>
              </w:rPr>
            </w:pPr>
          </w:p>
        </w:tc>
        <w:tc>
          <w:tcPr>
            <w:tcW w:w="3308" w:type="dxa"/>
            <w:shd w:val="clear" w:color="auto" w:fill="FFFFFF" w:themeFill="background1"/>
          </w:tcPr>
          <w:p w14:paraId="59443E7F" w14:textId="77777777" w:rsidR="0099455C" w:rsidRPr="00EE43C6" w:rsidRDefault="0099455C">
            <w:pPr>
              <w:spacing w:before="0" w:after="0" w:line="240" w:lineRule="auto"/>
              <w:jc w:val="left"/>
              <w:rPr>
                <w:rFonts w:eastAsia="Cambria" w:cs="MS Gothic"/>
                <w:sz w:val="18"/>
                <w:szCs w:val="18"/>
              </w:rPr>
            </w:pPr>
          </w:p>
        </w:tc>
        <w:tc>
          <w:tcPr>
            <w:tcW w:w="993" w:type="dxa"/>
            <w:shd w:val="clear" w:color="auto" w:fill="FFFFFF" w:themeFill="background1"/>
            <w:vAlign w:val="center"/>
          </w:tcPr>
          <w:p w14:paraId="2A1E825A" w14:textId="77777777" w:rsidR="0099455C" w:rsidRPr="00EE43C6" w:rsidRDefault="0099455C">
            <w:pPr>
              <w:spacing w:before="0" w:after="0" w:line="240" w:lineRule="auto"/>
              <w:jc w:val="center"/>
              <w:rPr>
                <w:rFonts w:eastAsia="Cambria" w:cs="MS Gothic"/>
                <w:sz w:val="18"/>
                <w:szCs w:val="18"/>
              </w:rPr>
            </w:pPr>
          </w:p>
        </w:tc>
        <w:tc>
          <w:tcPr>
            <w:tcW w:w="1253" w:type="dxa"/>
            <w:shd w:val="clear" w:color="auto" w:fill="FFFFFF" w:themeFill="background1"/>
            <w:vAlign w:val="center"/>
          </w:tcPr>
          <w:p w14:paraId="6F7B85F8" w14:textId="77777777" w:rsidR="0099455C" w:rsidRPr="00EE43C6" w:rsidRDefault="0099455C">
            <w:pPr>
              <w:spacing w:before="0" w:after="0" w:line="240" w:lineRule="auto"/>
              <w:jc w:val="center"/>
              <w:rPr>
                <w:rFonts w:eastAsia="Cambria" w:cs="MS Gothic"/>
                <w:sz w:val="18"/>
                <w:szCs w:val="18"/>
              </w:rPr>
            </w:pPr>
          </w:p>
        </w:tc>
      </w:tr>
      <w:tr w:rsidR="0099455C" w:rsidRPr="00EE43C6" w14:paraId="7BA5B439" w14:textId="77777777">
        <w:trPr>
          <w:trHeight w:val="284"/>
        </w:trPr>
        <w:tc>
          <w:tcPr>
            <w:tcW w:w="1730" w:type="dxa"/>
            <w:shd w:val="clear" w:color="auto" w:fill="FFFFFF" w:themeFill="background1"/>
            <w:vAlign w:val="center"/>
          </w:tcPr>
          <w:p w14:paraId="5DFCDAEE" w14:textId="77777777" w:rsidR="0099455C" w:rsidRPr="00EE43C6" w:rsidRDefault="0099455C">
            <w:pPr>
              <w:spacing w:before="0" w:after="0" w:line="240" w:lineRule="auto"/>
              <w:jc w:val="left"/>
              <w:rPr>
                <w:rFonts w:cs="Arial"/>
                <w:i/>
                <w:iCs/>
                <w:color w:val="080100"/>
                <w:sz w:val="18"/>
                <w:szCs w:val="18"/>
                <w:bdr w:val="none" w:sz="0" w:space="0" w:color="auto" w:frame="1"/>
                <w:shd w:val="clear" w:color="auto" w:fill="FFFFFF"/>
              </w:rPr>
            </w:pPr>
            <w:r w:rsidRPr="00EE43C6">
              <w:rPr>
                <w:rFonts w:eastAsia="Cambria" w:cs="MS Gothic"/>
                <w:i/>
                <w:sz w:val="18"/>
                <w:szCs w:val="18"/>
              </w:rPr>
              <w:t>Miniopterus schreibersii</w:t>
            </w:r>
          </w:p>
        </w:tc>
        <w:tc>
          <w:tcPr>
            <w:tcW w:w="1211" w:type="dxa"/>
            <w:shd w:val="clear" w:color="auto" w:fill="FFFFFF" w:themeFill="background1"/>
            <w:vAlign w:val="center"/>
          </w:tcPr>
          <w:p w14:paraId="4867C9A2"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bCs/>
                <w:sz w:val="18"/>
                <w:szCs w:val="18"/>
              </w:rPr>
              <w:t>Schreiber’s Bent-winged Bat</w:t>
            </w:r>
          </w:p>
        </w:tc>
        <w:tc>
          <w:tcPr>
            <w:tcW w:w="663" w:type="dxa"/>
            <w:shd w:val="clear" w:color="auto" w:fill="FFFFFF" w:themeFill="background1"/>
            <w:vAlign w:val="center"/>
          </w:tcPr>
          <w:p w14:paraId="50AF1847" w14:textId="77777777" w:rsidR="0099455C" w:rsidRPr="00EE43C6" w:rsidRDefault="0099455C">
            <w:pPr>
              <w:spacing w:before="0" w:after="0" w:line="240" w:lineRule="auto"/>
              <w:jc w:val="center"/>
              <w:rPr>
                <w:rFonts w:eastAsia="Cambria" w:cs="MS Gothic"/>
                <w:sz w:val="18"/>
                <w:szCs w:val="18"/>
              </w:rPr>
            </w:pPr>
            <w:r w:rsidRPr="00EE43C6">
              <w:rPr>
                <w:rFonts w:eastAsia="Cambria" w:cs="MS Gothic"/>
                <w:sz w:val="18"/>
                <w:szCs w:val="18"/>
              </w:rPr>
              <w:t>VU</w:t>
            </w:r>
          </w:p>
        </w:tc>
        <w:tc>
          <w:tcPr>
            <w:tcW w:w="3308" w:type="dxa"/>
            <w:shd w:val="clear" w:color="auto" w:fill="FFFFFF" w:themeFill="background1"/>
          </w:tcPr>
          <w:p w14:paraId="6843401F" w14:textId="77777777" w:rsidR="0099455C" w:rsidRPr="00EE43C6" w:rsidRDefault="0099455C">
            <w:pPr>
              <w:spacing w:before="0" w:after="0" w:line="240" w:lineRule="auto"/>
              <w:jc w:val="left"/>
              <w:rPr>
                <w:rFonts w:eastAsia="Cambria" w:cs="MS Gothic"/>
                <w:sz w:val="18"/>
                <w:szCs w:val="18"/>
              </w:rPr>
            </w:pPr>
            <w:r w:rsidRPr="00EE43C6">
              <w:rPr>
                <w:rFonts w:eastAsia="Cambria" w:cs="MS Gothic"/>
                <w:sz w:val="18"/>
                <w:szCs w:val="18"/>
              </w:rPr>
              <w:t>The species spread from Europe to Southern Asia, Australia and most of Africa. It has records from Trabzon Erzurum, İstanbul, Muğla-Finike, Bodrum, Bursa, Balıkesir, Artvin, Antalya, Antalya-Anamur, Thrace, Kırklareli-Demirköy, Adana, Antakya and Gaziantep.</w:t>
            </w:r>
          </w:p>
        </w:tc>
        <w:tc>
          <w:tcPr>
            <w:tcW w:w="993" w:type="dxa"/>
            <w:shd w:val="clear" w:color="auto" w:fill="FFFFFF" w:themeFill="background1"/>
            <w:vAlign w:val="center"/>
          </w:tcPr>
          <w:p w14:paraId="76FFC76A" w14:textId="77777777" w:rsidR="0099455C" w:rsidRPr="00EE43C6" w:rsidRDefault="0099455C">
            <w:pPr>
              <w:spacing w:before="0" w:after="0" w:line="240" w:lineRule="auto"/>
              <w:jc w:val="center"/>
              <w:rPr>
                <w:rFonts w:eastAsia="Cambria" w:cs="MS Gothic"/>
                <w:sz w:val="18"/>
                <w:szCs w:val="18"/>
              </w:rPr>
            </w:pPr>
            <w:r>
              <w:rPr>
                <w:rFonts w:eastAsia="Cambria" w:cs="MS Gothic"/>
                <w:sz w:val="18"/>
                <w:szCs w:val="18"/>
              </w:rPr>
              <w:t>Literature</w:t>
            </w:r>
          </w:p>
        </w:tc>
        <w:tc>
          <w:tcPr>
            <w:tcW w:w="1253" w:type="dxa"/>
            <w:shd w:val="clear" w:color="auto" w:fill="FFFFFF" w:themeFill="background1"/>
            <w:vAlign w:val="center"/>
          </w:tcPr>
          <w:p w14:paraId="4D922BC3" w14:textId="77777777" w:rsidR="0099455C" w:rsidRDefault="0099455C">
            <w:pPr>
              <w:spacing w:before="0" w:after="0" w:line="240" w:lineRule="auto"/>
              <w:jc w:val="center"/>
              <w:rPr>
                <w:rFonts w:eastAsia="Cambria" w:cs="MS Gothic"/>
                <w:sz w:val="18"/>
                <w:szCs w:val="18"/>
              </w:rPr>
            </w:pPr>
            <w:r>
              <w:rPr>
                <w:rFonts w:eastAsia="Cambria" w:cs="MS Gothic"/>
                <w:sz w:val="18"/>
                <w:szCs w:val="18"/>
              </w:rPr>
              <w:t>Literature</w:t>
            </w:r>
          </w:p>
        </w:tc>
      </w:tr>
    </w:tbl>
    <w:p w14:paraId="19F6E578" w14:textId="379B1979" w:rsidR="00082434" w:rsidRPr="00EE43C6" w:rsidRDefault="0597B555" w:rsidP="1C429C64">
      <w:pPr>
        <w:spacing w:before="200" w:after="200"/>
        <w:rPr>
          <w:rFonts w:eastAsia="Arial TUR" w:cs="Wingdings"/>
          <w:color w:val="000000"/>
        </w:rPr>
      </w:pPr>
      <w:r w:rsidRPr="00EE43C6">
        <w:rPr>
          <w:rFonts w:eastAsia="Arial TUR" w:cs="Wingdings"/>
          <w:color w:val="000000" w:themeColor="text1"/>
        </w:rPr>
        <w:t xml:space="preserve">It has been determined that these species are also present in areas outside the project area and are alternative areas that will survive. The species consist of species that do not need special habitats and have a wide distribution in </w:t>
      </w:r>
      <w:r w:rsidR="00C87566" w:rsidRPr="00EE43C6">
        <w:rPr>
          <w:rFonts w:eastAsia="Arial TUR" w:cs="Wingdings"/>
          <w:color w:val="000000" w:themeColor="text1"/>
        </w:rPr>
        <w:t>T</w:t>
      </w:r>
      <w:r w:rsidR="00C87566">
        <w:rPr>
          <w:rFonts w:eastAsia="Arial TUR" w:cs="Wingdings"/>
          <w:color w:val="000000" w:themeColor="text1"/>
        </w:rPr>
        <w:t>ü</w:t>
      </w:r>
      <w:r w:rsidR="00C87566" w:rsidRPr="00EE43C6">
        <w:rPr>
          <w:rFonts w:eastAsia="Arial TUR" w:cs="Wingdings"/>
          <w:color w:val="000000" w:themeColor="text1"/>
        </w:rPr>
        <w:t>rkiye</w:t>
      </w:r>
      <w:r w:rsidRPr="00EE43C6">
        <w:rPr>
          <w:rFonts w:eastAsia="Arial TUR" w:cs="Wingdings"/>
          <w:color w:val="000000" w:themeColor="text1"/>
        </w:rPr>
        <w:t>.</w:t>
      </w:r>
    </w:p>
    <w:p w14:paraId="042C8A05" w14:textId="46B19944" w:rsidR="0597B555" w:rsidRPr="00EE43C6" w:rsidRDefault="0597B555" w:rsidP="1C429C64">
      <w:pPr>
        <w:spacing w:before="200" w:after="200"/>
        <w:rPr>
          <w:rFonts w:eastAsia="Arial TUR" w:cs="Wingdings"/>
          <w:color w:val="000000" w:themeColor="text1"/>
          <w:highlight w:val="yellow"/>
        </w:rPr>
      </w:pPr>
      <w:r w:rsidRPr="00EE43C6">
        <w:rPr>
          <w:rFonts w:eastAsia="Arial TUR" w:cs="Wingdings"/>
          <w:color w:val="000000" w:themeColor="text1"/>
        </w:rPr>
        <w:t xml:space="preserve">Among the flora and fauna species, there are </w:t>
      </w:r>
      <w:r w:rsidR="257D3A19" w:rsidRPr="00EE43C6">
        <w:rPr>
          <w:rFonts w:eastAsia="Arial TUR" w:cs="Wingdings"/>
          <w:color w:val="000000" w:themeColor="text1"/>
        </w:rPr>
        <w:t xml:space="preserve">five (5) </w:t>
      </w:r>
      <w:r w:rsidRPr="00EE43C6">
        <w:rPr>
          <w:rFonts w:eastAsia="Arial TUR" w:cs="Wingdings"/>
          <w:color w:val="000000" w:themeColor="text1"/>
        </w:rPr>
        <w:t>endemic species</w:t>
      </w:r>
      <w:r w:rsidR="41CE9FD9" w:rsidRPr="00EE43C6">
        <w:rPr>
          <w:rFonts w:eastAsia="Arial TUR" w:cs="Wingdings"/>
          <w:color w:val="000000" w:themeColor="text1"/>
        </w:rPr>
        <w:t>. These species are presented in</w:t>
      </w:r>
      <w:r w:rsidR="001E0229">
        <w:rPr>
          <w:rFonts w:eastAsia="Arial TUR" w:cs="Wingdings"/>
          <w:color w:val="000000" w:themeColor="text1"/>
        </w:rPr>
        <w:t xml:space="preserve"> </w:t>
      </w:r>
      <w:r w:rsidR="001E0229">
        <w:rPr>
          <w:rFonts w:eastAsia="Arial TUR" w:cs="Wingdings"/>
          <w:color w:val="000000" w:themeColor="text1"/>
        </w:rPr>
        <w:fldChar w:fldCharType="begin"/>
      </w:r>
      <w:r w:rsidR="001E0229">
        <w:rPr>
          <w:rFonts w:eastAsia="Arial TUR" w:cs="Wingdings"/>
          <w:color w:val="000000" w:themeColor="text1"/>
        </w:rPr>
        <w:instrText xml:space="preserve"> REF _Ref141438511 \h </w:instrText>
      </w:r>
      <w:r w:rsidR="001E0229">
        <w:rPr>
          <w:rFonts w:eastAsia="Arial TUR" w:cs="Wingdings"/>
          <w:color w:val="000000" w:themeColor="text1"/>
        </w:rPr>
      </w:r>
      <w:r w:rsidR="001E0229">
        <w:rPr>
          <w:rFonts w:eastAsia="Arial TUR" w:cs="Wingdings"/>
          <w:color w:val="000000" w:themeColor="text1"/>
        </w:rPr>
        <w:fldChar w:fldCharType="separate"/>
      </w:r>
      <w:r w:rsidR="001E0229" w:rsidRPr="00EE43C6">
        <w:t xml:space="preserve">Table </w:t>
      </w:r>
      <w:r w:rsidR="001E0229">
        <w:t>4</w:t>
      </w:r>
      <w:r w:rsidR="001E0229">
        <w:noBreakHyphen/>
        <w:t>9</w:t>
      </w:r>
      <w:r w:rsidR="001E0229">
        <w:rPr>
          <w:rFonts w:eastAsia="Arial TUR" w:cs="Wingdings"/>
          <w:color w:val="000000" w:themeColor="text1"/>
        </w:rPr>
        <w:fldChar w:fldCharType="end"/>
      </w:r>
      <w:r w:rsidR="41CE9FD9" w:rsidRPr="00EE43C6">
        <w:rPr>
          <w:rFonts w:eastAsia="Arial TUR" w:cs="Wingdings"/>
          <w:color w:val="000000" w:themeColor="text1"/>
        </w:rPr>
        <w:t>.</w:t>
      </w:r>
    </w:p>
    <w:p w14:paraId="57EE8431" w14:textId="77777777" w:rsidR="001E0229" w:rsidRDefault="001E0229">
      <w:pPr>
        <w:spacing w:before="0" w:after="200" w:line="276" w:lineRule="auto"/>
        <w:jc w:val="left"/>
        <w:rPr>
          <w:b/>
          <w:bCs/>
          <w:color w:val="4F81BD"/>
          <w:sz w:val="20"/>
          <w:szCs w:val="20"/>
          <w:lang w:eastAsia="en-US"/>
        </w:rPr>
      </w:pPr>
      <w:bookmarkStart w:id="368" w:name="_Ref126335827"/>
      <w:r>
        <w:br w:type="page"/>
      </w:r>
    </w:p>
    <w:p w14:paraId="156F0849" w14:textId="1612525D" w:rsidR="41CE9FD9" w:rsidRPr="00EE43C6" w:rsidRDefault="00F60B11" w:rsidP="1C429C64">
      <w:pPr>
        <w:pStyle w:val="Caption"/>
        <w:rPr>
          <w:rFonts w:cs="MS Gothic"/>
          <w:b w:val="0"/>
          <w:noProof w:val="0"/>
          <w:color w:val="auto"/>
        </w:rPr>
      </w:pPr>
      <w:bookmarkStart w:id="369" w:name="_Ref141438511"/>
      <w:bookmarkStart w:id="370" w:name="_Toc141445504"/>
      <w:r w:rsidRPr="00EE43C6">
        <w:rPr>
          <w:noProof w:val="0"/>
        </w:rPr>
        <w:lastRenderedPageBreak/>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4</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9</w:t>
      </w:r>
      <w:r w:rsidR="006D2DE8">
        <w:rPr>
          <w:noProof w:val="0"/>
        </w:rPr>
        <w:fldChar w:fldCharType="end"/>
      </w:r>
      <w:bookmarkEnd w:id="368"/>
      <w:bookmarkEnd w:id="369"/>
      <w:r w:rsidRPr="00EE43C6">
        <w:rPr>
          <w:noProof w:val="0"/>
        </w:rPr>
        <w:t xml:space="preserve">. </w:t>
      </w:r>
      <w:r w:rsidR="41CE9FD9" w:rsidRPr="00EE43C6">
        <w:rPr>
          <w:rFonts w:cs="MS Gothic"/>
          <w:b w:val="0"/>
          <w:noProof w:val="0"/>
          <w:color w:val="auto"/>
        </w:rPr>
        <w:t xml:space="preserve">Identified </w:t>
      </w:r>
      <w:r w:rsidR="579EA0B6" w:rsidRPr="00EE43C6">
        <w:rPr>
          <w:rFonts w:cs="MS Gothic"/>
          <w:b w:val="0"/>
          <w:noProof w:val="0"/>
          <w:color w:val="auto"/>
        </w:rPr>
        <w:t xml:space="preserve">endemic </w:t>
      </w:r>
      <w:r w:rsidR="41CE9FD9" w:rsidRPr="00EE43C6">
        <w:rPr>
          <w:rFonts w:cs="MS Gothic"/>
          <w:b w:val="0"/>
          <w:noProof w:val="0"/>
          <w:color w:val="auto"/>
        </w:rPr>
        <w:t>species in the AoI</w:t>
      </w:r>
      <w:bookmarkEnd w:id="3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116"/>
        <w:gridCol w:w="1127"/>
        <w:gridCol w:w="3003"/>
        <w:gridCol w:w="1187"/>
        <w:gridCol w:w="1032"/>
      </w:tblGrid>
      <w:tr w:rsidR="004E7C8C" w:rsidRPr="00EE43C6" w14:paraId="451E07E7" w14:textId="77777777" w:rsidTr="001E0229">
        <w:trPr>
          <w:trHeight w:val="210"/>
          <w:tblHeader/>
        </w:trPr>
        <w:tc>
          <w:tcPr>
            <w:tcW w:w="885" w:type="pct"/>
            <w:vMerge w:val="restart"/>
            <w:shd w:val="clear" w:color="auto" w:fill="4F81BD" w:themeFill="accent1"/>
            <w:vAlign w:val="center"/>
          </w:tcPr>
          <w:p w14:paraId="27146980" w14:textId="77777777" w:rsidR="0017211C" w:rsidRPr="00EE43C6" w:rsidRDefault="0017211C">
            <w:pPr>
              <w:spacing w:before="0" w:after="0" w:line="240" w:lineRule="auto"/>
              <w:jc w:val="center"/>
              <w:rPr>
                <w:rFonts w:eastAsia="Cambria" w:cs="MS Gothic"/>
                <w:sz w:val="18"/>
                <w:szCs w:val="18"/>
              </w:rPr>
            </w:pPr>
            <w:r w:rsidRPr="00EE43C6">
              <w:rPr>
                <w:rFonts w:eastAsia="Cambria" w:cs="MS Gothic"/>
                <w:b/>
                <w:bCs/>
                <w:color w:val="FFFFFF" w:themeColor="background1"/>
                <w:sz w:val="18"/>
                <w:szCs w:val="18"/>
              </w:rPr>
              <w:t>Species Name</w:t>
            </w:r>
          </w:p>
        </w:tc>
        <w:tc>
          <w:tcPr>
            <w:tcW w:w="624" w:type="pct"/>
            <w:vMerge w:val="restart"/>
            <w:shd w:val="clear" w:color="auto" w:fill="4F81BD" w:themeFill="accent1"/>
            <w:vAlign w:val="center"/>
          </w:tcPr>
          <w:p w14:paraId="552009BF" w14:textId="77777777" w:rsidR="0017211C" w:rsidRPr="00EE43C6" w:rsidRDefault="0017211C">
            <w:pPr>
              <w:spacing w:before="0" w:after="0" w:line="240" w:lineRule="auto"/>
              <w:jc w:val="center"/>
              <w:rPr>
                <w:rFonts w:eastAsia="Cambria" w:cs="MS Gothic"/>
                <w:sz w:val="18"/>
                <w:szCs w:val="18"/>
              </w:rPr>
            </w:pPr>
            <w:r w:rsidRPr="00EE43C6">
              <w:rPr>
                <w:rFonts w:eastAsia="Cambria" w:cs="MS Gothic"/>
                <w:b/>
                <w:bCs/>
                <w:color w:val="FFFFFF" w:themeColor="background1"/>
                <w:sz w:val="18"/>
                <w:szCs w:val="18"/>
              </w:rPr>
              <w:t>Common Name</w:t>
            </w:r>
          </w:p>
        </w:tc>
        <w:tc>
          <w:tcPr>
            <w:tcW w:w="597" w:type="pct"/>
            <w:vMerge w:val="restart"/>
            <w:shd w:val="clear" w:color="auto" w:fill="4F81BD" w:themeFill="accent1"/>
            <w:vAlign w:val="center"/>
          </w:tcPr>
          <w:p w14:paraId="4922D1B5" w14:textId="77777777" w:rsidR="0017211C" w:rsidRPr="00EE43C6" w:rsidRDefault="0017211C">
            <w:pPr>
              <w:spacing w:before="0" w:after="0" w:line="240" w:lineRule="auto"/>
              <w:jc w:val="center"/>
              <w:rPr>
                <w:rFonts w:eastAsia="Cambria" w:cs="MS Gothic"/>
                <w:sz w:val="18"/>
                <w:szCs w:val="18"/>
              </w:rPr>
            </w:pPr>
            <w:r w:rsidRPr="00EE43C6">
              <w:rPr>
                <w:rFonts w:eastAsia="Cambria" w:cs="MS Gothic"/>
                <w:b/>
                <w:bCs/>
                <w:color w:val="FFFFFF" w:themeColor="background1"/>
                <w:sz w:val="18"/>
                <w:szCs w:val="18"/>
              </w:rPr>
              <w:t>Endemism</w:t>
            </w:r>
          </w:p>
        </w:tc>
        <w:tc>
          <w:tcPr>
            <w:tcW w:w="1666" w:type="pct"/>
            <w:vMerge w:val="restart"/>
            <w:shd w:val="clear" w:color="auto" w:fill="4F81BD" w:themeFill="accent1"/>
            <w:vAlign w:val="center"/>
          </w:tcPr>
          <w:p w14:paraId="57D3E71E" w14:textId="77777777" w:rsidR="0017211C" w:rsidRPr="00EE43C6" w:rsidRDefault="0017211C">
            <w:pPr>
              <w:spacing w:before="0" w:after="0" w:line="240" w:lineRule="auto"/>
              <w:jc w:val="center"/>
              <w:rPr>
                <w:rFonts w:eastAsia="Cambria" w:cs="MS Gothic"/>
                <w:sz w:val="18"/>
                <w:szCs w:val="18"/>
              </w:rPr>
            </w:pPr>
            <w:r w:rsidRPr="00EE43C6">
              <w:rPr>
                <w:rFonts w:eastAsia="Cambria" w:cs="MS Gothic"/>
                <w:b/>
                <w:bCs/>
                <w:color w:val="FFFFFF" w:themeColor="background1"/>
                <w:sz w:val="18"/>
                <w:szCs w:val="18"/>
              </w:rPr>
              <w:t>Distribution</w:t>
            </w:r>
          </w:p>
        </w:tc>
        <w:tc>
          <w:tcPr>
            <w:tcW w:w="1228" w:type="pct"/>
            <w:gridSpan w:val="2"/>
            <w:shd w:val="clear" w:color="auto" w:fill="4F81BD" w:themeFill="accent1"/>
            <w:vAlign w:val="center"/>
          </w:tcPr>
          <w:p w14:paraId="775645FB" w14:textId="77777777" w:rsidR="0017211C" w:rsidRDefault="0017211C">
            <w:pPr>
              <w:spacing w:before="0" w:after="0" w:line="240" w:lineRule="auto"/>
              <w:jc w:val="center"/>
              <w:rPr>
                <w:rFonts w:eastAsia="Cambria" w:cs="MS Gothic"/>
                <w:b/>
                <w:bCs/>
                <w:color w:val="FFFFFF" w:themeColor="background1"/>
                <w:sz w:val="18"/>
                <w:szCs w:val="18"/>
              </w:rPr>
            </w:pPr>
            <w:r>
              <w:rPr>
                <w:rFonts w:eastAsia="Cambria" w:cs="MS Gothic"/>
                <w:b/>
                <w:bCs/>
                <w:color w:val="FFFFFF" w:themeColor="background1"/>
                <w:sz w:val="18"/>
                <w:szCs w:val="18"/>
              </w:rPr>
              <w:t>Source</w:t>
            </w:r>
          </w:p>
        </w:tc>
      </w:tr>
      <w:tr w:rsidR="00106AC5" w:rsidRPr="00EE43C6" w14:paraId="0F0AC43A" w14:textId="77777777" w:rsidTr="001E0229">
        <w:trPr>
          <w:trHeight w:val="210"/>
          <w:tblHeader/>
        </w:trPr>
        <w:tc>
          <w:tcPr>
            <w:tcW w:w="885" w:type="pct"/>
            <w:vMerge/>
            <w:shd w:val="clear" w:color="auto" w:fill="4F81BD" w:themeFill="accent1"/>
            <w:vAlign w:val="center"/>
          </w:tcPr>
          <w:p w14:paraId="5FD5ADFD" w14:textId="77777777" w:rsidR="0017211C" w:rsidRPr="00EE43C6" w:rsidRDefault="0017211C">
            <w:pPr>
              <w:spacing w:before="0" w:after="0" w:line="240" w:lineRule="auto"/>
              <w:jc w:val="center"/>
              <w:rPr>
                <w:rFonts w:eastAsia="Cambria" w:cs="MS Gothic"/>
                <w:b/>
                <w:bCs/>
                <w:color w:val="FFFFFF" w:themeColor="background1"/>
                <w:sz w:val="18"/>
                <w:szCs w:val="18"/>
              </w:rPr>
            </w:pPr>
          </w:p>
        </w:tc>
        <w:tc>
          <w:tcPr>
            <w:tcW w:w="624" w:type="pct"/>
            <w:vMerge/>
            <w:shd w:val="clear" w:color="auto" w:fill="4F81BD" w:themeFill="accent1"/>
            <w:vAlign w:val="center"/>
          </w:tcPr>
          <w:p w14:paraId="23809C60" w14:textId="77777777" w:rsidR="0017211C" w:rsidRPr="00EE43C6" w:rsidRDefault="0017211C">
            <w:pPr>
              <w:spacing w:before="0" w:after="0" w:line="240" w:lineRule="auto"/>
              <w:jc w:val="center"/>
              <w:rPr>
                <w:rFonts w:eastAsia="Cambria" w:cs="MS Gothic"/>
                <w:b/>
                <w:bCs/>
                <w:color w:val="FFFFFF" w:themeColor="background1"/>
                <w:sz w:val="18"/>
                <w:szCs w:val="18"/>
              </w:rPr>
            </w:pPr>
          </w:p>
        </w:tc>
        <w:tc>
          <w:tcPr>
            <w:tcW w:w="597" w:type="pct"/>
            <w:vMerge/>
            <w:shd w:val="clear" w:color="auto" w:fill="4F81BD" w:themeFill="accent1"/>
            <w:vAlign w:val="center"/>
          </w:tcPr>
          <w:p w14:paraId="17FBE412" w14:textId="77777777" w:rsidR="0017211C" w:rsidRPr="00EE43C6" w:rsidRDefault="0017211C">
            <w:pPr>
              <w:spacing w:before="0" w:after="0" w:line="240" w:lineRule="auto"/>
              <w:jc w:val="center"/>
              <w:rPr>
                <w:rFonts w:eastAsia="Cambria" w:cs="MS Gothic"/>
                <w:b/>
                <w:bCs/>
                <w:color w:val="FFFFFF" w:themeColor="background1"/>
                <w:sz w:val="18"/>
                <w:szCs w:val="18"/>
              </w:rPr>
            </w:pPr>
          </w:p>
        </w:tc>
        <w:tc>
          <w:tcPr>
            <w:tcW w:w="1666" w:type="pct"/>
            <w:vMerge/>
            <w:shd w:val="clear" w:color="auto" w:fill="4F81BD" w:themeFill="accent1"/>
            <w:vAlign w:val="center"/>
          </w:tcPr>
          <w:p w14:paraId="35694E2C" w14:textId="77777777" w:rsidR="0017211C" w:rsidRPr="00EE43C6" w:rsidRDefault="0017211C">
            <w:pPr>
              <w:spacing w:before="0" w:after="0" w:line="240" w:lineRule="auto"/>
              <w:jc w:val="center"/>
              <w:rPr>
                <w:rFonts w:eastAsia="Cambria" w:cs="MS Gothic"/>
                <w:b/>
                <w:bCs/>
                <w:color w:val="FFFFFF" w:themeColor="background1"/>
                <w:sz w:val="18"/>
                <w:szCs w:val="18"/>
              </w:rPr>
            </w:pPr>
          </w:p>
        </w:tc>
        <w:tc>
          <w:tcPr>
            <w:tcW w:w="651" w:type="pct"/>
            <w:shd w:val="clear" w:color="auto" w:fill="4F81BD" w:themeFill="accent1"/>
            <w:vAlign w:val="center"/>
          </w:tcPr>
          <w:p w14:paraId="23E8BA57" w14:textId="77777777" w:rsidR="0017211C" w:rsidRDefault="0017211C">
            <w:pPr>
              <w:spacing w:before="0" w:after="0" w:line="240" w:lineRule="auto"/>
              <w:jc w:val="center"/>
              <w:rPr>
                <w:rFonts w:eastAsia="Cambria" w:cs="MS Gothic"/>
                <w:b/>
                <w:bCs/>
                <w:color w:val="FFFFFF" w:themeColor="background1"/>
                <w:sz w:val="18"/>
                <w:szCs w:val="18"/>
              </w:rPr>
            </w:pPr>
            <w:r w:rsidRPr="00C304C7">
              <w:rPr>
                <w:rFonts w:eastAsia="Cambria" w:cs="MS Gothic"/>
                <w:b/>
                <w:bCs/>
                <w:color w:val="FFFFFF" w:themeColor="background1"/>
                <w:sz w:val="18"/>
                <w:szCs w:val="18"/>
              </w:rPr>
              <w:t>Previous Studies</w:t>
            </w:r>
            <w:r w:rsidRPr="00C304C7">
              <w:rPr>
                <w:rFonts w:eastAsia="Cambria" w:cs="MS Gothic"/>
                <w:b/>
                <w:bCs/>
                <w:color w:val="FFFFFF" w:themeColor="background1"/>
                <w:sz w:val="18"/>
                <w:szCs w:val="18"/>
              </w:rPr>
              <w:br/>
              <w:t>(EIAs)</w:t>
            </w:r>
          </w:p>
        </w:tc>
        <w:tc>
          <w:tcPr>
            <w:tcW w:w="577" w:type="pct"/>
            <w:shd w:val="clear" w:color="auto" w:fill="4F81BD" w:themeFill="accent1"/>
            <w:vAlign w:val="center"/>
          </w:tcPr>
          <w:p w14:paraId="3241529B" w14:textId="77777777" w:rsidR="0017211C" w:rsidRDefault="0017211C">
            <w:pPr>
              <w:spacing w:before="0" w:after="0" w:line="240" w:lineRule="auto"/>
              <w:jc w:val="center"/>
              <w:rPr>
                <w:rFonts w:eastAsia="Cambria" w:cs="MS Gothic"/>
                <w:b/>
                <w:bCs/>
                <w:color w:val="FFFFFF" w:themeColor="background1"/>
                <w:sz w:val="18"/>
                <w:szCs w:val="18"/>
              </w:rPr>
            </w:pPr>
            <w:r w:rsidRPr="00C304C7">
              <w:rPr>
                <w:rFonts w:eastAsia="Cambria" w:cs="MS Gothic"/>
                <w:b/>
                <w:bCs/>
                <w:color w:val="FFFFFF" w:themeColor="background1"/>
                <w:sz w:val="18"/>
                <w:szCs w:val="18"/>
              </w:rPr>
              <w:t>ESMP</w:t>
            </w:r>
          </w:p>
        </w:tc>
      </w:tr>
      <w:tr w:rsidR="005C66B8" w:rsidRPr="00EE43C6" w14:paraId="72CB7D2E" w14:textId="77777777" w:rsidTr="001E0229">
        <w:trPr>
          <w:trHeight w:val="284"/>
        </w:trPr>
        <w:tc>
          <w:tcPr>
            <w:tcW w:w="885" w:type="pct"/>
            <w:vAlign w:val="center"/>
          </w:tcPr>
          <w:p w14:paraId="2B16963A" w14:textId="77777777" w:rsidR="0017211C" w:rsidRPr="00EE43C6" w:rsidRDefault="0017211C">
            <w:pPr>
              <w:spacing w:before="0" w:after="0" w:line="240" w:lineRule="auto"/>
              <w:jc w:val="left"/>
              <w:rPr>
                <w:rFonts w:cs="Arial"/>
                <w:b/>
                <w:bCs/>
                <w:color w:val="000000" w:themeColor="text1"/>
                <w:sz w:val="18"/>
                <w:szCs w:val="18"/>
              </w:rPr>
            </w:pPr>
            <w:r w:rsidRPr="00EE43C6">
              <w:rPr>
                <w:rFonts w:cs="Arial"/>
                <w:b/>
                <w:bCs/>
                <w:color w:val="000000" w:themeColor="text1"/>
                <w:sz w:val="18"/>
                <w:szCs w:val="18"/>
              </w:rPr>
              <w:t>Brassicaceae</w:t>
            </w:r>
          </w:p>
        </w:tc>
        <w:tc>
          <w:tcPr>
            <w:tcW w:w="624" w:type="pct"/>
            <w:vAlign w:val="center"/>
          </w:tcPr>
          <w:p w14:paraId="1C8DE88B" w14:textId="77777777" w:rsidR="0017211C" w:rsidRPr="00EE43C6" w:rsidRDefault="0017211C">
            <w:pPr>
              <w:spacing w:before="0" w:after="0" w:line="240" w:lineRule="auto"/>
              <w:jc w:val="center"/>
              <w:rPr>
                <w:rFonts w:cs="Arial"/>
                <w:color w:val="000000" w:themeColor="text1"/>
                <w:sz w:val="18"/>
                <w:szCs w:val="18"/>
              </w:rPr>
            </w:pPr>
            <w:r w:rsidRPr="00EE43C6">
              <w:rPr>
                <w:rFonts w:eastAsia="Cambria" w:cs="MS Gothic"/>
                <w:color w:val="000000" w:themeColor="text1"/>
                <w:sz w:val="18"/>
                <w:szCs w:val="18"/>
              </w:rPr>
              <w:t> </w:t>
            </w:r>
          </w:p>
        </w:tc>
        <w:tc>
          <w:tcPr>
            <w:tcW w:w="597" w:type="pct"/>
            <w:vAlign w:val="center"/>
          </w:tcPr>
          <w:p w14:paraId="0B1EDC30" w14:textId="77777777" w:rsidR="0017211C" w:rsidRPr="00EE43C6" w:rsidRDefault="0017211C">
            <w:pPr>
              <w:spacing w:before="0" w:after="0" w:line="240" w:lineRule="auto"/>
              <w:jc w:val="center"/>
              <w:rPr>
                <w:rFonts w:cs="Arial"/>
                <w:color w:val="000000" w:themeColor="text1"/>
                <w:sz w:val="18"/>
                <w:szCs w:val="18"/>
              </w:rPr>
            </w:pPr>
            <w:r w:rsidRPr="00EE43C6">
              <w:rPr>
                <w:rFonts w:eastAsia="Cambria" w:cs="MS Gothic"/>
                <w:color w:val="000000" w:themeColor="text1"/>
                <w:sz w:val="18"/>
                <w:szCs w:val="18"/>
              </w:rPr>
              <w:t> </w:t>
            </w:r>
          </w:p>
        </w:tc>
        <w:tc>
          <w:tcPr>
            <w:tcW w:w="1666" w:type="pct"/>
            <w:vAlign w:val="center"/>
          </w:tcPr>
          <w:p w14:paraId="39F1E00D" w14:textId="77777777" w:rsidR="0017211C" w:rsidRPr="00EE43C6" w:rsidRDefault="0017211C">
            <w:pPr>
              <w:spacing w:before="0" w:after="0" w:line="240" w:lineRule="auto"/>
              <w:jc w:val="center"/>
              <w:rPr>
                <w:rFonts w:eastAsia="Cambria" w:cs="MS Gothic"/>
                <w:sz w:val="18"/>
                <w:szCs w:val="18"/>
              </w:rPr>
            </w:pPr>
          </w:p>
        </w:tc>
        <w:tc>
          <w:tcPr>
            <w:tcW w:w="651" w:type="pct"/>
            <w:vAlign w:val="center"/>
          </w:tcPr>
          <w:p w14:paraId="0F2D188F" w14:textId="77777777" w:rsidR="0017211C" w:rsidRPr="00EE43C6" w:rsidRDefault="0017211C">
            <w:pPr>
              <w:spacing w:before="0" w:after="0" w:line="240" w:lineRule="auto"/>
              <w:jc w:val="center"/>
              <w:rPr>
                <w:rFonts w:eastAsia="Cambria" w:cs="MS Gothic"/>
                <w:sz w:val="18"/>
                <w:szCs w:val="18"/>
              </w:rPr>
            </w:pPr>
          </w:p>
        </w:tc>
        <w:tc>
          <w:tcPr>
            <w:tcW w:w="577" w:type="pct"/>
            <w:vAlign w:val="center"/>
          </w:tcPr>
          <w:p w14:paraId="5013E484" w14:textId="77777777" w:rsidR="0017211C" w:rsidRPr="00EE43C6" w:rsidRDefault="0017211C">
            <w:pPr>
              <w:spacing w:before="0" w:after="0" w:line="240" w:lineRule="auto"/>
              <w:jc w:val="center"/>
              <w:rPr>
                <w:rFonts w:eastAsia="Cambria" w:cs="MS Gothic"/>
                <w:sz w:val="18"/>
                <w:szCs w:val="18"/>
              </w:rPr>
            </w:pPr>
          </w:p>
        </w:tc>
      </w:tr>
      <w:tr w:rsidR="005C66B8" w:rsidRPr="00EE43C6" w14:paraId="4C4662F9" w14:textId="77777777" w:rsidTr="001E0229">
        <w:trPr>
          <w:trHeight w:val="284"/>
        </w:trPr>
        <w:tc>
          <w:tcPr>
            <w:tcW w:w="885" w:type="pct"/>
            <w:vAlign w:val="center"/>
          </w:tcPr>
          <w:p w14:paraId="76F7F445" w14:textId="77777777" w:rsidR="0017211C" w:rsidRPr="00EE43C6" w:rsidRDefault="0017211C">
            <w:pPr>
              <w:spacing w:before="0" w:after="0" w:line="240" w:lineRule="auto"/>
              <w:jc w:val="left"/>
              <w:rPr>
                <w:rFonts w:cs="Arial"/>
                <w:i/>
                <w:iCs/>
                <w:color w:val="000000" w:themeColor="text1"/>
                <w:sz w:val="18"/>
                <w:szCs w:val="18"/>
              </w:rPr>
            </w:pPr>
            <w:r w:rsidRPr="00EE43C6">
              <w:rPr>
                <w:rFonts w:cs="Arial"/>
                <w:i/>
                <w:iCs/>
                <w:color w:val="000000" w:themeColor="text1"/>
                <w:sz w:val="18"/>
                <w:szCs w:val="18"/>
              </w:rPr>
              <w:t>Arabis aubrietioides</w:t>
            </w:r>
          </w:p>
        </w:tc>
        <w:tc>
          <w:tcPr>
            <w:tcW w:w="624" w:type="pct"/>
            <w:vAlign w:val="center"/>
          </w:tcPr>
          <w:p w14:paraId="216300BE" w14:textId="77777777" w:rsidR="0017211C" w:rsidRPr="00EE43C6" w:rsidRDefault="0017211C">
            <w:pPr>
              <w:spacing w:before="0" w:after="0" w:line="240" w:lineRule="auto"/>
              <w:jc w:val="center"/>
              <w:rPr>
                <w:rFonts w:cs="Arial"/>
                <w:color w:val="000000" w:themeColor="text1"/>
                <w:sz w:val="18"/>
                <w:szCs w:val="18"/>
              </w:rPr>
            </w:pPr>
            <w:r w:rsidRPr="00EE43C6">
              <w:rPr>
                <w:rFonts w:eastAsia="Cambria" w:cs="MS Gothic"/>
                <w:color w:val="000000" w:themeColor="text1"/>
                <w:sz w:val="18"/>
                <w:szCs w:val="18"/>
              </w:rPr>
              <w:t>-</w:t>
            </w:r>
          </w:p>
        </w:tc>
        <w:tc>
          <w:tcPr>
            <w:tcW w:w="597" w:type="pct"/>
            <w:vAlign w:val="center"/>
          </w:tcPr>
          <w:p w14:paraId="6E202E4C" w14:textId="77777777" w:rsidR="0017211C" w:rsidRPr="00EE43C6" w:rsidRDefault="0017211C">
            <w:pPr>
              <w:spacing w:before="0" w:after="0" w:line="240" w:lineRule="auto"/>
              <w:jc w:val="center"/>
              <w:rPr>
                <w:rFonts w:cs="Arial"/>
                <w:color w:val="000000" w:themeColor="text1"/>
                <w:sz w:val="18"/>
                <w:szCs w:val="18"/>
              </w:rPr>
            </w:pPr>
            <w:r w:rsidRPr="00EE43C6">
              <w:rPr>
                <w:rFonts w:eastAsia="Cambria" w:cs="MS Gothic"/>
                <w:color w:val="000000" w:themeColor="text1"/>
                <w:sz w:val="18"/>
                <w:szCs w:val="18"/>
              </w:rPr>
              <w:t>Endemic</w:t>
            </w:r>
          </w:p>
        </w:tc>
        <w:tc>
          <w:tcPr>
            <w:tcW w:w="1666" w:type="pct"/>
            <w:vAlign w:val="center"/>
          </w:tcPr>
          <w:p w14:paraId="639CF911" w14:textId="77777777" w:rsidR="0017211C" w:rsidRPr="00EE43C6" w:rsidRDefault="0017211C">
            <w:pPr>
              <w:spacing w:before="0" w:after="0" w:line="240" w:lineRule="auto"/>
              <w:jc w:val="center"/>
              <w:rPr>
                <w:rFonts w:eastAsia="Cambria" w:cs="MS Gothic"/>
                <w:sz w:val="18"/>
                <w:szCs w:val="18"/>
              </w:rPr>
            </w:pPr>
            <w:r w:rsidRPr="00EE43C6">
              <w:rPr>
                <w:rFonts w:eastAsia="Cambria" w:cs="MS Gothic"/>
                <w:sz w:val="18"/>
                <w:szCs w:val="18"/>
              </w:rPr>
              <w:t xml:space="preserve">The population of this species in </w:t>
            </w:r>
            <w:r>
              <w:rPr>
                <w:rFonts w:eastAsia="Cambria" w:cs="MS Gothic"/>
                <w:sz w:val="18"/>
                <w:szCs w:val="18"/>
              </w:rPr>
              <w:t>Türkiye</w:t>
            </w:r>
            <w:r w:rsidRPr="00EE43C6">
              <w:rPr>
                <w:rFonts w:eastAsia="Cambria" w:cs="MS Gothic"/>
                <w:sz w:val="18"/>
                <w:szCs w:val="18"/>
              </w:rPr>
              <w:t xml:space="preserve"> is high and this species is distributed over a wide area in Central, Eastern and Southern Anatolia in </w:t>
            </w:r>
            <w:r>
              <w:rPr>
                <w:rFonts w:eastAsia="Cambria" w:cs="MS Gothic"/>
                <w:sz w:val="18"/>
                <w:szCs w:val="18"/>
              </w:rPr>
              <w:t>Türkiye</w:t>
            </w:r>
            <w:r w:rsidRPr="00EE43C6">
              <w:rPr>
                <w:rFonts w:eastAsia="Cambria" w:cs="MS Gothic"/>
                <w:sz w:val="18"/>
                <w:szCs w:val="18"/>
              </w:rPr>
              <w:t>.</w:t>
            </w:r>
          </w:p>
        </w:tc>
        <w:tc>
          <w:tcPr>
            <w:tcW w:w="651" w:type="pct"/>
            <w:vAlign w:val="center"/>
          </w:tcPr>
          <w:p w14:paraId="180BEAE7" w14:textId="77777777" w:rsidR="0017211C" w:rsidRDefault="0017211C">
            <w:pPr>
              <w:spacing w:before="0" w:after="0" w:line="240" w:lineRule="auto"/>
              <w:jc w:val="center"/>
              <w:rPr>
                <w:rFonts w:eastAsia="Cambria" w:cs="MS Gothic"/>
                <w:sz w:val="18"/>
                <w:szCs w:val="18"/>
              </w:rPr>
            </w:pPr>
            <w:r>
              <w:rPr>
                <w:rFonts w:eastAsia="Cambria" w:cs="MS Gothic"/>
                <w:sz w:val="18"/>
                <w:szCs w:val="18"/>
              </w:rPr>
              <w:t>Observation</w:t>
            </w:r>
          </w:p>
        </w:tc>
        <w:tc>
          <w:tcPr>
            <w:tcW w:w="577" w:type="pct"/>
            <w:vAlign w:val="center"/>
          </w:tcPr>
          <w:p w14:paraId="1C3F5EB6" w14:textId="77777777" w:rsidR="0017211C" w:rsidRDefault="0017211C">
            <w:pPr>
              <w:spacing w:before="0" w:after="0" w:line="240" w:lineRule="auto"/>
              <w:jc w:val="center"/>
              <w:rPr>
                <w:rFonts w:eastAsia="Cambria" w:cs="MS Gothic"/>
                <w:sz w:val="18"/>
                <w:szCs w:val="18"/>
              </w:rPr>
            </w:pPr>
            <w:r w:rsidRPr="005F1B45">
              <w:rPr>
                <w:rFonts w:eastAsia="Cambria" w:cs="MS Gothic"/>
                <w:sz w:val="18"/>
                <w:szCs w:val="18"/>
              </w:rPr>
              <w:t>Literature</w:t>
            </w:r>
          </w:p>
        </w:tc>
      </w:tr>
      <w:tr w:rsidR="005C66B8" w:rsidRPr="00EE43C6" w14:paraId="7743B8C3" w14:textId="77777777" w:rsidTr="001E0229">
        <w:trPr>
          <w:trHeight w:val="284"/>
        </w:trPr>
        <w:tc>
          <w:tcPr>
            <w:tcW w:w="885" w:type="pct"/>
            <w:vAlign w:val="center"/>
          </w:tcPr>
          <w:p w14:paraId="01020DAB" w14:textId="77777777" w:rsidR="0017211C" w:rsidRPr="00EE43C6" w:rsidRDefault="0017211C">
            <w:pPr>
              <w:spacing w:before="0" w:after="0" w:line="240" w:lineRule="auto"/>
              <w:jc w:val="left"/>
              <w:rPr>
                <w:rFonts w:cs="Arial"/>
                <w:i/>
                <w:iCs/>
                <w:color w:val="000000" w:themeColor="text1"/>
                <w:sz w:val="18"/>
                <w:szCs w:val="18"/>
              </w:rPr>
            </w:pPr>
            <w:r w:rsidRPr="00EE43C6">
              <w:rPr>
                <w:rFonts w:cs="Arial"/>
                <w:i/>
                <w:iCs/>
                <w:color w:val="000000" w:themeColor="text1"/>
                <w:sz w:val="18"/>
                <w:szCs w:val="18"/>
              </w:rPr>
              <w:t>Aubrieta canescens </w:t>
            </w:r>
          </w:p>
        </w:tc>
        <w:tc>
          <w:tcPr>
            <w:tcW w:w="624" w:type="pct"/>
            <w:vAlign w:val="center"/>
          </w:tcPr>
          <w:p w14:paraId="46D31331" w14:textId="77777777" w:rsidR="0017211C" w:rsidRPr="00EE43C6" w:rsidRDefault="0017211C">
            <w:pPr>
              <w:spacing w:before="0" w:after="0" w:line="240" w:lineRule="auto"/>
              <w:jc w:val="center"/>
              <w:rPr>
                <w:rFonts w:cs="Arial"/>
                <w:color w:val="000000" w:themeColor="text1"/>
                <w:sz w:val="18"/>
                <w:szCs w:val="18"/>
              </w:rPr>
            </w:pPr>
            <w:r w:rsidRPr="00EE43C6">
              <w:rPr>
                <w:rFonts w:eastAsia="Cambria" w:cs="MS Gothic"/>
                <w:color w:val="000000" w:themeColor="text1"/>
                <w:sz w:val="18"/>
                <w:szCs w:val="18"/>
              </w:rPr>
              <w:t>-</w:t>
            </w:r>
          </w:p>
        </w:tc>
        <w:tc>
          <w:tcPr>
            <w:tcW w:w="597" w:type="pct"/>
            <w:vAlign w:val="center"/>
          </w:tcPr>
          <w:p w14:paraId="2A940FE0" w14:textId="77777777" w:rsidR="0017211C" w:rsidRPr="00EE43C6" w:rsidRDefault="0017211C">
            <w:pPr>
              <w:spacing w:before="0" w:after="0" w:line="240" w:lineRule="auto"/>
              <w:jc w:val="center"/>
              <w:rPr>
                <w:rFonts w:cs="Arial"/>
                <w:color w:val="000000" w:themeColor="text1"/>
                <w:sz w:val="18"/>
                <w:szCs w:val="18"/>
              </w:rPr>
            </w:pPr>
            <w:r w:rsidRPr="00EE43C6">
              <w:rPr>
                <w:rFonts w:eastAsia="Cambria" w:cs="MS Gothic"/>
                <w:color w:val="000000" w:themeColor="text1"/>
                <w:sz w:val="18"/>
                <w:szCs w:val="18"/>
              </w:rPr>
              <w:t>Endemic</w:t>
            </w:r>
          </w:p>
        </w:tc>
        <w:tc>
          <w:tcPr>
            <w:tcW w:w="1666" w:type="pct"/>
            <w:vAlign w:val="center"/>
          </w:tcPr>
          <w:p w14:paraId="0D31D7D9" w14:textId="77777777" w:rsidR="0017211C" w:rsidRPr="00EE43C6" w:rsidRDefault="0017211C">
            <w:pPr>
              <w:spacing w:before="0" w:after="0" w:line="240" w:lineRule="auto"/>
              <w:jc w:val="center"/>
              <w:rPr>
                <w:rFonts w:eastAsia="Cambria" w:cs="MS Gothic"/>
                <w:sz w:val="18"/>
                <w:szCs w:val="18"/>
              </w:rPr>
            </w:pPr>
            <w:r w:rsidRPr="00EE43C6">
              <w:rPr>
                <w:rFonts w:eastAsia="Cambria" w:cs="MS Gothic"/>
                <w:sz w:val="18"/>
                <w:szCs w:val="18"/>
              </w:rPr>
              <w:t xml:space="preserve">The population of this species in </w:t>
            </w:r>
            <w:r>
              <w:rPr>
                <w:rFonts w:eastAsia="Cambria" w:cs="MS Gothic"/>
                <w:sz w:val="18"/>
                <w:szCs w:val="18"/>
              </w:rPr>
              <w:t>Türkiye</w:t>
            </w:r>
            <w:r w:rsidRPr="00EE43C6">
              <w:rPr>
                <w:rFonts w:eastAsia="Cambria" w:cs="MS Gothic"/>
                <w:sz w:val="18"/>
                <w:szCs w:val="18"/>
              </w:rPr>
              <w:t xml:space="preserve"> is high and this species is distributed in a very wide area in </w:t>
            </w:r>
            <w:r>
              <w:rPr>
                <w:rFonts w:eastAsia="Cambria" w:cs="MS Gothic"/>
                <w:sz w:val="18"/>
                <w:szCs w:val="18"/>
              </w:rPr>
              <w:t>Türkiye</w:t>
            </w:r>
            <w:r w:rsidRPr="00EE43C6">
              <w:rPr>
                <w:rFonts w:eastAsia="Cambria" w:cs="MS Gothic"/>
                <w:sz w:val="18"/>
                <w:szCs w:val="18"/>
              </w:rPr>
              <w:t>.</w:t>
            </w:r>
          </w:p>
        </w:tc>
        <w:tc>
          <w:tcPr>
            <w:tcW w:w="651" w:type="pct"/>
            <w:vAlign w:val="center"/>
          </w:tcPr>
          <w:p w14:paraId="4C3260A5" w14:textId="77777777" w:rsidR="0017211C" w:rsidRDefault="0017211C">
            <w:pPr>
              <w:spacing w:before="0" w:after="0" w:line="240" w:lineRule="auto"/>
              <w:jc w:val="center"/>
              <w:rPr>
                <w:rFonts w:eastAsia="Cambria" w:cs="MS Gothic"/>
                <w:sz w:val="18"/>
                <w:szCs w:val="18"/>
              </w:rPr>
            </w:pPr>
            <w:r>
              <w:rPr>
                <w:rFonts w:eastAsia="Cambria" w:cs="MS Gothic"/>
                <w:sz w:val="18"/>
                <w:szCs w:val="18"/>
              </w:rPr>
              <w:t>Observation</w:t>
            </w:r>
          </w:p>
        </w:tc>
        <w:tc>
          <w:tcPr>
            <w:tcW w:w="577" w:type="pct"/>
            <w:vAlign w:val="center"/>
          </w:tcPr>
          <w:p w14:paraId="43B2785A" w14:textId="77777777" w:rsidR="0017211C" w:rsidRDefault="0017211C">
            <w:pPr>
              <w:spacing w:before="0" w:after="0" w:line="240" w:lineRule="auto"/>
              <w:jc w:val="center"/>
              <w:rPr>
                <w:rFonts w:eastAsia="Cambria" w:cs="MS Gothic"/>
                <w:sz w:val="18"/>
                <w:szCs w:val="18"/>
              </w:rPr>
            </w:pPr>
            <w:r w:rsidRPr="005F1B45">
              <w:rPr>
                <w:rFonts w:eastAsia="Cambria" w:cs="MS Gothic"/>
                <w:sz w:val="18"/>
                <w:szCs w:val="18"/>
              </w:rPr>
              <w:t>Literature</w:t>
            </w:r>
          </w:p>
        </w:tc>
      </w:tr>
      <w:tr w:rsidR="005C66B8" w:rsidRPr="00EE43C6" w14:paraId="538A260B" w14:textId="77777777" w:rsidTr="001E0229">
        <w:trPr>
          <w:trHeight w:val="284"/>
        </w:trPr>
        <w:tc>
          <w:tcPr>
            <w:tcW w:w="885" w:type="pct"/>
            <w:vAlign w:val="center"/>
          </w:tcPr>
          <w:p w14:paraId="4D6B583C" w14:textId="77777777" w:rsidR="0017211C" w:rsidRPr="00EE43C6" w:rsidRDefault="0017211C">
            <w:pPr>
              <w:spacing w:before="0" w:after="0" w:line="240" w:lineRule="auto"/>
              <w:rPr>
                <w:rFonts w:cs="Arial"/>
                <w:b/>
                <w:bCs/>
                <w:color w:val="000000" w:themeColor="text1"/>
                <w:sz w:val="18"/>
                <w:szCs w:val="18"/>
              </w:rPr>
            </w:pPr>
            <w:r w:rsidRPr="00EE43C6">
              <w:rPr>
                <w:rFonts w:cs="Arial"/>
                <w:b/>
                <w:bCs/>
                <w:color w:val="000000" w:themeColor="text1"/>
                <w:sz w:val="18"/>
                <w:szCs w:val="18"/>
              </w:rPr>
              <w:t>Fabaceae</w:t>
            </w:r>
          </w:p>
        </w:tc>
        <w:tc>
          <w:tcPr>
            <w:tcW w:w="624" w:type="pct"/>
            <w:vAlign w:val="center"/>
          </w:tcPr>
          <w:p w14:paraId="2A24DAE0" w14:textId="77777777" w:rsidR="0017211C" w:rsidRPr="00EE43C6" w:rsidRDefault="0017211C">
            <w:pPr>
              <w:spacing w:before="0" w:after="0" w:line="240" w:lineRule="auto"/>
              <w:jc w:val="center"/>
              <w:rPr>
                <w:rFonts w:cs="Arial"/>
                <w:color w:val="000000" w:themeColor="text1"/>
                <w:sz w:val="18"/>
                <w:szCs w:val="18"/>
              </w:rPr>
            </w:pPr>
            <w:r w:rsidRPr="00EE43C6">
              <w:rPr>
                <w:rFonts w:eastAsia="Cambria" w:cs="MS Gothic"/>
                <w:color w:val="000000" w:themeColor="text1"/>
                <w:sz w:val="18"/>
                <w:szCs w:val="18"/>
              </w:rPr>
              <w:t> </w:t>
            </w:r>
          </w:p>
        </w:tc>
        <w:tc>
          <w:tcPr>
            <w:tcW w:w="597" w:type="pct"/>
            <w:vAlign w:val="center"/>
          </w:tcPr>
          <w:p w14:paraId="62ED9E7C" w14:textId="77777777" w:rsidR="0017211C" w:rsidRPr="00EE43C6" w:rsidRDefault="0017211C">
            <w:pPr>
              <w:spacing w:before="0" w:after="0" w:line="240" w:lineRule="auto"/>
              <w:jc w:val="center"/>
              <w:rPr>
                <w:rFonts w:cs="Arial"/>
                <w:color w:val="000000" w:themeColor="text1"/>
                <w:sz w:val="18"/>
                <w:szCs w:val="18"/>
              </w:rPr>
            </w:pPr>
            <w:r w:rsidRPr="00EE43C6">
              <w:rPr>
                <w:rFonts w:eastAsia="Cambria" w:cs="MS Gothic"/>
                <w:color w:val="000000" w:themeColor="text1"/>
                <w:sz w:val="18"/>
                <w:szCs w:val="18"/>
              </w:rPr>
              <w:t> </w:t>
            </w:r>
          </w:p>
        </w:tc>
        <w:tc>
          <w:tcPr>
            <w:tcW w:w="1666" w:type="pct"/>
            <w:vAlign w:val="center"/>
          </w:tcPr>
          <w:p w14:paraId="50E5F674" w14:textId="77777777" w:rsidR="0017211C" w:rsidRPr="00EE43C6" w:rsidRDefault="0017211C">
            <w:pPr>
              <w:spacing w:before="0" w:after="0" w:line="240" w:lineRule="auto"/>
              <w:jc w:val="center"/>
              <w:rPr>
                <w:rFonts w:eastAsia="Cambria" w:cs="MS Gothic"/>
                <w:sz w:val="18"/>
                <w:szCs w:val="18"/>
              </w:rPr>
            </w:pPr>
          </w:p>
        </w:tc>
        <w:tc>
          <w:tcPr>
            <w:tcW w:w="651" w:type="pct"/>
            <w:vAlign w:val="center"/>
          </w:tcPr>
          <w:p w14:paraId="212CA033" w14:textId="77777777" w:rsidR="0017211C" w:rsidRPr="00EE43C6" w:rsidRDefault="0017211C">
            <w:pPr>
              <w:spacing w:before="0" w:after="0" w:line="240" w:lineRule="auto"/>
              <w:jc w:val="center"/>
              <w:rPr>
                <w:rFonts w:eastAsia="Cambria" w:cs="MS Gothic"/>
                <w:sz w:val="18"/>
                <w:szCs w:val="18"/>
              </w:rPr>
            </w:pPr>
          </w:p>
        </w:tc>
        <w:tc>
          <w:tcPr>
            <w:tcW w:w="577" w:type="pct"/>
            <w:vAlign w:val="center"/>
          </w:tcPr>
          <w:p w14:paraId="480A991F" w14:textId="77777777" w:rsidR="0017211C" w:rsidRPr="00EE43C6" w:rsidRDefault="0017211C">
            <w:pPr>
              <w:spacing w:before="0" w:after="0" w:line="240" w:lineRule="auto"/>
              <w:jc w:val="center"/>
              <w:rPr>
                <w:rFonts w:eastAsia="Cambria" w:cs="MS Gothic"/>
                <w:sz w:val="18"/>
                <w:szCs w:val="18"/>
              </w:rPr>
            </w:pPr>
          </w:p>
        </w:tc>
      </w:tr>
      <w:tr w:rsidR="005C66B8" w:rsidRPr="00EE43C6" w14:paraId="43F137F1" w14:textId="77777777" w:rsidTr="001E0229">
        <w:trPr>
          <w:trHeight w:val="284"/>
        </w:trPr>
        <w:tc>
          <w:tcPr>
            <w:tcW w:w="885" w:type="pct"/>
            <w:vAlign w:val="center"/>
          </w:tcPr>
          <w:p w14:paraId="13F75656" w14:textId="77777777" w:rsidR="0017211C" w:rsidRPr="00EE43C6" w:rsidRDefault="0017211C">
            <w:pPr>
              <w:spacing w:before="0" w:after="0" w:line="240" w:lineRule="auto"/>
              <w:jc w:val="left"/>
              <w:rPr>
                <w:rFonts w:cs="Arial"/>
                <w:i/>
                <w:iCs/>
                <w:color w:val="000000" w:themeColor="text1"/>
                <w:sz w:val="18"/>
                <w:szCs w:val="18"/>
              </w:rPr>
            </w:pPr>
            <w:r w:rsidRPr="00EE43C6">
              <w:rPr>
                <w:rFonts w:cs="Arial"/>
                <w:i/>
                <w:iCs/>
                <w:color w:val="000000" w:themeColor="text1"/>
                <w:sz w:val="18"/>
                <w:szCs w:val="18"/>
              </w:rPr>
              <w:t>Astragalus condensatus</w:t>
            </w:r>
          </w:p>
        </w:tc>
        <w:tc>
          <w:tcPr>
            <w:tcW w:w="624" w:type="pct"/>
            <w:vAlign w:val="center"/>
          </w:tcPr>
          <w:p w14:paraId="12B7D53F" w14:textId="77777777" w:rsidR="0017211C" w:rsidRPr="00EE43C6" w:rsidRDefault="0017211C">
            <w:pPr>
              <w:spacing w:before="0" w:after="0" w:line="240" w:lineRule="auto"/>
              <w:jc w:val="center"/>
              <w:rPr>
                <w:rFonts w:cs="Arial"/>
                <w:color w:val="000000" w:themeColor="text1"/>
                <w:sz w:val="18"/>
                <w:szCs w:val="18"/>
              </w:rPr>
            </w:pPr>
            <w:r w:rsidRPr="00EE43C6">
              <w:rPr>
                <w:rFonts w:eastAsia="Cambria" w:cs="MS Gothic"/>
                <w:color w:val="000000" w:themeColor="text1"/>
                <w:sz w:val="18"/>
                <w:szCs w:val="18"/>
              </w:rPr>
              <w:t>-</w:t>
            </w:r>
          </w:p>
        </w:tc>
        <w:tc>
          <w:tcPr>
            <w:tcW w:w="597" w:type="pct"/>
            <w:vAlign w:val="center"/>
          </w:tcPr>
          <w:p w14:paraId="317C879D" w14:textId="77777777" w:rsidR="0017211C" w:rsidRPr="00EE43C6" w:rsidRDefault="0017211C">
            <w:pPr>
              <w:spacing w:before="0" w:after="0" w:line="240" w:lineRule="auto"/>
              <w:jc w:val="center"/>
              <w:rPr>
                <w:rFonts w:cs="Arial"/>
                <w:color w:val="000000" w:themeColor="text1"/>
                <w:sz w:val="18"/>
                <w:szCs w:val="18"/>
              </w:rPr>
            </w:pPr>
            <w:r w:rsidRPr="00EE43C6">
              <w:rPr>
                <w:rFonts w:eastAsia="Cambria" w:cs="MS Gothic"/>
                <w:color w:val="000000" w:themeColor="text1"/>
                <w:sz w:val="18"/>
                <w:szCs w:val="18"/>
              </w:rPr>
              <w:t>Endemic</w:t>
            </w:r>
          </w:p>
        </w:tc>
        <w:tc>
          <w:tcPr>
            <w:tcW w:w="1666" w:type="pct"/>
            <w:vAlign w:val="center"/>
          </w:tcPr>
          <w:p w14:paraId="116B4E95" w14:textId="77777777" w:rsidR="0017211C" w:rsidRPr="00EE43C6" w:rsidRDefault="0017211C">
            <w:pPr>
              <w:spacing w:before="0" w:after="0" w:line="240" w:lineRule="auto"/>
              <w:jc w:val="center"/>
              <w:rPr>
                <w:rFonts w:eastAsia="Cambria" w:cs="MS Gothic"/>
                <w:sz w:val="18"/>
                <w:szCs w:val="18"/>
              </w:rPr>
            </w:pPr>
            <w:r w:rsidRPr="00EE43C6">
              <w:rPr>
                <w:rFonts w:eastAsia="Cambria" w:cs="MS Gothic"/>
                <w:sz w:val="18"/>
                <w:szCs w:val="18"/>
              </w:rPr>
              <w:t xml:space="preserve">The population of this species in </w:t>
            </w:r>
            <w:r>
              <w:rPr>
                <w:rFonts w:eastAsia="Cambria" w:cs="MS Gothic"/>
                <w:sz w:val="18"/>
                <w:szCs w:val="18"/>
              </w:rPr>
              <w:t>Türkiye</w:t>
            </w:r>
            <w:r w:rsidRPr="00EE43C6">
              <w:rPr>
                <w:rFonts w:eastAsia="Cambria" w:cs="MS Gothic"/>
                <w:sz w:val="18"/>
                <w:szCs w:val="18"/>
              </w:rPr>
              <w:t xml:space="preserve"> is high and this species is distributed in a very wide area in </w:t>
            </w:r>
            <w:r>
              <w:rPr>
                <w:rFonts w:eastAsia="Cambria" w:cs="MS Gothic"/>
                <w:sz w:val="18"/>
                <w:szCs w:val="18"/>
              </w:rPr>
              <w:t>Türkiye</w:t>
            </w:r>
            <w:r w:rsidRPr="00EE43C6">
              <w:rPr>
                <w:rFonts w:eastAsia="Cambria" w:cs="MS Gothic"/>
                <w:sz w:val="18"/>
                <w:szCs w:val="18"/>
              </w:rPr>
              <w:t>.</w:t>
            </w:r>
          </w:p>
        </w:tc>
        <w:tc>
          <w:tcPr>
            <w:tcW w:w="651" w:type="pct"/>
            <w:vAlign w:val="center"/>
          </w:tcPr>
          <w:p w14:paraId="5CB2549D" w14:textId="77777777" w:rsidR="0017211C" w:rsidRDefault="0017211C">
            <w:pPr>
              <w:spacing w:before="0" w:after="0" w:line="240" w:lineRule="auto"/>
              <w:jc w:val="center"/>
              <w:rPr>
                <w:rFonts w:eastAsia="Cambria" w:cs="MS Gothic"/>
                <w:sz w:val="18"/>
                <w:szCs w:val="18"/>
              </w:rPr>
            </w:pPr>
            <w:r>
              <w:rPr>
                <w:rFonts w:eastAsia="Cambria" w:cs="MS Gothic"/>
                <w:sz w:val="18"/>
                <w:szCs w:val="18"/>
              </w:rPr>
              <w:t>Observation</w:t>
            </w:r>
          </w:p>
        </w:tc>
        <w:tc>
          <w:tcPr>
            <w:tcW w:w="577" w:type="pct"/>
            <w:vAlign w:val="center"/>
          </w:tcPr>
          <w:p w14:paraId="4064E480" w14:textId="77777777" w:rsidR="0017211C" w:rsidRDefault="0017211C">
            <w:pPr>
              <w:spacing w:before="0" w:after="0" w:line="240" w:lineRule="auto"/>
              <w:jc w:val="center"/>
              <w:rPr>
                <w:rFonts w:eastAsia="Cambria" w:cs="MS Gothic"/>
                <w:sz w:val="18"/>
                <w:szCs w:val="18"/>
              </w:rPr>
            </w:pPr>
            <w:r w:rsidRPr="005F1B45">
              <w:rPr>
                <w:rFonts w:eastAsia="Cambria" w:cs="MS Gothic"/>
                <w:sz w:val="18"/>
                <w:szCs w:val="18"/>
              </w:rPr>
              <w:t>Literature</w:t>
            </w:r>
          </w:p>
        </w:tc>
      </w:tr>
      <w:tr w:rsidR="005C66B8" w:rsidRPr="00EE43C6" w14:paraId="475FEC2F" w14:textId="77777777" w:rsidTr="001E0229">
        <w:trPr>
          <w:trHeight w:val="284"/>
        </w:trPr>
        <w:tc>
          <w:tcPr>
            <w:tcW w:w="885" w:type="pct"/>
            <w:vAlign w:val="center"/>
          </w:tcPr>
          <w:p w14:paraId="5DC58F4B" w14:textId="77777777" w:rsidR="0017211C" w:rsidRPr="00EE43C6" w:rsidRDefault="0017211C">
            <w:pPr>
              <w:spacing w:before="0" w:after="0" w:line="240" w:lineRule="auto"/>
              <w:jc w:val="left"/>
              <w:rPr>
                <w:rFonts w:cs="Arial"/>
                <w:b/>
                <w:bCs/>
                <w:color w:val="000000" w:themeColor="text1"/>
                <w:sz w:val="18"/>
                <w:szCs w:val="18"/>
              </w:rPr>
            </w:pPr>
            <w:r w:rsidRPr="00EE43C6">
              <w:rPr>
                <w:rFonts w:cs="Arial"/>
                <w:b/>
                <w:bCs/>
                <w:color w:val="000000" w:themeColor="text1"/>
                <w:sz w:val="18"/>
                <w:szCs w:val="18"/>
              </w:rPr>
              <w:t>Lamiaceae</w:t>
            </w:r>
          </w:p>
        </w:tc>
        <w:tc>
          <w:tcPr>
            <w:tcW w:w="624" w:type="pct"/>
            <w:vAlign w:val="center"/>
          </w:tcPr>
          <w:p w14:paraId="7F1722F5" w14:textId="77777777" w:rsidR="0017211C" w:rsidRPr="00EE43C6" w:rsidRDefault="0017211C">
            <w:pPr>
              <w:spacing w:before="0" w:after="0" w:line="240" w:lineRule="auto"/>
              <w:jc w:val="center"/>
              <w:rPr>
                <w:rFonts w:cs="Arial"/>
                <w:color w:val="000000" w:themeColor="text1"/>
                <w:sz w:val="18"/>
                <w:szCs w:val="18"/>
              </w:rPr>
            </w:pPr>
            <w:r w:rsidRPr="00EE43C6">
              <w:rPr>
                <w:rFonts w:cs="Arial"/>
                <w:color w:val="000000" w:themeColor="text1"/>
                <w:sz w:val="18"/>
                <w:szCs w:val="18"/>
              </w:rPr>
              <w:t> </w:t>
            </w:r>
          </w:p>
        </w:tc>
        <w:tc>
          <w:tcPr>
            <w:tcW w:w="597" w:type="pct"/>
            <w:vAlign w:val="center"/>
          </w:tcPr>
          <w:p w14:paraId="35A514BB" w14:textId="77777777" w:rsidR="0017211C" w:rsidRPr="00EE43C6" w:rsidRDefault="0017211C">
            <w:pPr>
              <w:spacing w:before="0" w:after="0" w:line="240" w:lineRule="auto"/>
              <w:jc w:val="center"/>
              <w:rPr>
                <w:rFonts w:cs="Arial"/>
                <w:color w:val="000000" w:themeColor="text1"/>
                <w:sz w:val="18"/>
                <w:szCs w:val="18"/>
              </w:rPr>
            </w:pPr>
            <w:r w:rsidRPr="00EE43C6">
              <w:rPr>
                <w:rFonts w:cs="Arial"/>
                <w:color w:val="000000" w:themeColor="text1"/>
                <w:sz w:val="18"/>
                <w:szCs w:val="18"/>
              </w:rPr>
              <w:t> </w:t>
            </w:r>
          </w:p>
        </w:tc>
        <w:tc>
          <w:tcPr>
            <w:tcW w:w="1666" w:type="pct"/>
            <w:vAlign w:val="center"/>
          </w:tcPr>
          <w:p w14:paraId="19190A00" w14:textId="77777777" w:rsidR="0017211C" w:rsidRPr="00EE43C6" w:rsidRDefault="0017211C">
            <w:pPr>
              <w:spacing w:before="0" w:after="0" w:line="240" w:lineRule="auto"/>
              <w:jc w:val="center"/>
              <w:rPr>
                <w:rFonts w:eastAsia="Cambria" w:cs="MS Gothic"/>
                <w:sz w:val="18"/>
                <w:szCs w:val="18"/>
              </w:rPr>
            </w:pPr>
          </w:p>
        </w:tc>
        <w:tc>
          <w:tcPr>
            <w:tcW w:w="651" w:type="pct"/>
            <w:vAlign w:val="center"/>
          </w:tcPr>
          <w:p w14:paraId="70A16116" w14:textId="77777777" w:rsidR="0017211C" w:rsidRPr="00EE43C6" w:rsidRDefault="0017211C">
            <w:pPr>
              <w:spacing w:before="0" w:after="0" w:line="240" w:lineRule="auto"/>
              <w:jc w:val="center"/>
              <w:rPr>
                <w:rFonts w:eastAsia="Cambria" w:cs="MS Gothic"/>
                <w:sz w:val="18"/>
                <w:szCs w:val="18"/>
              </w:rPr>
            </w:pPr>
          </w:p>
        </w:tc>
        <w:tc>
          <w:tcPr>
            <w:tcW w:w="577" w:type="pct"/>
            <w:vAlign w:val="center"/>
          </w:tcPr>
          <w:p w14:paraId="7A1686F2" w14:textId="77777777" w:rsidR="0017211C" w:rsidRPr="00EE43C6" w:rsidRDefault="0017211C">
            <w:pPr>
              <w:spacing w:before="0" w:after="0" w:line="240" w:lineRule="auto"/>
              <w:jc w:val="center"/>
              <w:rPr>
                <w:rFonts w:eastAsia="Cambria" w:cs="MS Gothic"/>
                <w:sz w:val="18"/>
                <w:szCs w:val="18"/>
              </w:rPr>
            </w:pPr>
          </w:p>
        </w:tc>
      </w:tr>
      <w:tr w:rsidR="005C66B8" w:rsidRPr="00EE43C6" w14:paraId="7CB369E8" w14:textId="77777777" w:rsidTr="001E0229">
        <w:trPr>
          <w:trHeight w:val="284"/>
        </w:trPr>
        <w:tc>
          <w:tcPr>
            <w:tcW w:w="885" w:type="pct"/>
            <w:vAlign w:val="center"/>
          </w:tcPr>
          <w:p w14:paraId="3EE0A65C" w14:textId="77777777" w:rsidR="0017211C" w:rsidRPr="00EE43C6" w:rsidRDefault="0017211C">
            <w:pPr>
              <w:spacing w:before="0" w:after="0" w:line="240" w:lineRule="auto"/>
              <w:jc w:val="left"/>
              <w:rPr>
                <w:rFonts w:cs="Arial"/>
                <w:i/>
                <w:iCs/>
                <w:color w:val="000000" w:themeColor="text1"/>
                <w:sz w:val="18"/>
                <w:szCs w:val="18"/>
              </w:rPr>
            </w:pPr>
            <w:r w:rsidRPr="00EE43C6">
              <w:rPr>
                <w:rFonts w:cs="Arial"/>
                <w:i/>
                <w:iCs/>
                <w:color w:val="000000" w:themeColor="text1"/>
                <w:sz w:val="18"/>
                <w:szCs w:val="18"/>
              </w:rPr>
              <w:t>Marrubium globosum subsp. Globosum</w:t>
            </w:r>
          </w:p>
        </w:tc>
        <w:tc>
          <w:tcPr>
            <w:tcW w:w="624" w:type="pct"/>
            <w:vAlign w:val="center"/>
          </w:tcPr>
          <w:p w14:paraId="4B5ADD41" w14:textId="77777777" w:rsidR="0017211C" w:rsidRPr="00EE43C6" w:rsidRDefault="0017211C">
            <w:pPr>
              <w:spacing w:before="0" w:after="0" w:line="240" w:lineRule="auto"/>
              <w:jc w:val="center"/>
              <w:rPr>
                <w:rFonts w:cs="Arial"/>
                <w:color w:val="000000" w:themeColor="text1"/>
                <w:sz w:val="18"/>
                <w:szCs w:val="18"/>
              </w:rPr>
            </w:pPr>
            <w:r w:rsidRPr="00EE43C6">
              <w:rPr>
                <w:rFonts w:cs="Arial"/>
                <w:color w:val="000000" w:themeColor="text1"/>
                <w:sz w:val="18"/>
                <w:szCs w:val="18"/>
              </w:rPr>
              <w:t>-</w:t>
            </w:r>
          </w:p>
        </w:tc>
        <w:tc>
          <w:tcPr>
            <w:tcW w:w="597" w:type="pct"/>
            <w:vAlign w:val="center"/>
          </w:tcPr>
          <w:p w14:paraId="77E6EB8A" w14:textId="77777777" w:rsidR="0017211C" w:rsidRPr="00EE43C6" w:rsidRDefault="0017211C">
            <w:pPr>
              <w:spacing w:before="0" w:after="0" w:line="240" w:lineRule="auto"/>
              <w:jc w:val="center"/>
              <w:rPr>
                <w:rFonts w:cs="Arial"/>
                <w:color w:val="000000" w:themeColor="text1"/>
                <w:sz w:val="18"/>
                <w:szCs w:val="18"/>
              </w:rPr>
            </w:pPr>
            <w:r w:rsidRPr="00EE43C6">
              <w:rPr>
                <w:rFonts w:eastAsia="Cambria" w:cs="MS Gothic"/>
                <w:color w:val="000000" w:themeColor="text1"/>
                <w:sz w:val="18"/>
                <w:szCs w:val="18"/>
              </w:rPr>
              <w:t>Endemic</w:t>
            </w:r>
          </w:p>
        </w:tc>
        <w:tc>
          <w:tcPr>
            <w:tcW w:w="1666" w:type="pct"/>
            <w:vAlign w:val="center"/>
          </w:tcPr>
          <w:p w14:paraId="70E700AB" w14:textId="77777777" w:rsidR="0017211C" w:rsidRPr="00EE43C6" w:rsidRDefault="0017211C">
            <w:pPr>
              <w:spacing w:before="0" w:after="0" w:line="240" w:lineRule="auto"/>
              <w:jc w:val="center"/>
              <w:rPr>
                <w:rFonts w:eastAsia="Cambria" w:cs="MS Gothic"/>
                <w:sz w:val="18"/>
                <w:szCs w:val="18"/>
              </w:rPr>
            </w:pPr>
            <w:r w:rsidRPr="00EE43C6">
              <w:rPr>
                <w:rFonts w:eastAsia="Cambria" w:cs="MS Gothic"/>
                <w:sz w:val="18"/>
                <w:szCs w:val="18"/>
              </w:rPr>
              <w:t xml:space="preserve">The population of this species in </w:t>
            </w:r>
            <w:r>
              <w:rPr>
                <w:rFonts w:eastAsia="Cambria" w:cs="MS Gothic"/>
                <w:sz w:val="18"/>
                <w:szCs w:val="18"/>
              </w:rPr>
              <w:t>Türkiye</w:t>
            </w:r>
            <w:r w:rsidRPr="00EE43C6">
              <w:rPr>
                <w:rFonts w:eastAsia="Cambria" w:cs="MS Gothic"/>
                <w:sz w:val="18"/>
                <w:szCs w:val="18"/>
              </w:rPr>
              <w:t xml:space="preserve"> is high and this species is distributed in a very wide area in </w:t>
            </w:r>
            <w:r>
              <w:rPr>
                <w:rFonts w:eastAsia="Cambria" w:cs="MS Gothic"/>
                <w:sz w:val="18"/>
                <w:szCs w:val="18"/>
              </w:rPr>
              <w:t>Türkiye</w:t>
            </w:r>
            <w:r w:rsidRPr="00EE43C6">
              <w:rPr>
                <w:rFonts w:eastAsia="Cambria" w:cs="MS Gothic"/>
                <w:sz w:val="18"/>
                <w:szCs w:val="18"/>
              </w:rPr>
              <w:t>.</w:t>
            </w:r>
          </w:p>
        </w:tc>
        <w:tc>
          <w:tcPr>
            <w:tcW w:w="651" w:type="pct"/>
            <w:vAlign w:val="center"/>
          </w:tcPr>
          <w:p w14:paraId="6911A3EB" w14:textId="77777777" w:rsidR="0017211C" w:rsidRDefault="0017211C">
            <w:pPr>
              <w:spacing w:before="0" w:after="0" w:line="240" w:lineRule="auto"/>
              <w:jc w:val="center"/>
              <w:rPr>
                <w:rFonts w:eastAsia="Cambria" w:cs="MS Gothic"/>
                <w:sz w:val="18"/>
                <w:szCs w:val="18"/>
              </w:rPr>
            </w:pPr>
            <w:r>
              <w:rPr>
                <w:rFonts w:eastAsia="Cambria" w:cs="MS Gothic"/>
                <w:sz w:val="18"/>
                <w:szCs w:val="18"/>
              </w:rPr>
              <w:t>Observation</w:t>
            </w:r>
          </w:p>
        </w:tc>
        <w:tc>
          <w:tcPr>
            <w:tcW w:w="577" w:type="pct"/>
            <w:vAlign w:val="center"/>
          </w:tcPr>
          <w:p w14:paraId="64CA5BB1" w14:textId="77777777" w:rsidR="0017211C" w:rsidRDefault="0017211C">
            <w:pPr>
              <w:spacing w:before="0" w:after="0" w:line="240" w:lineRule="auto"/>
              <w:jc w:val="center"/>
              <w:rPr>
                <w:rFonts w:eastAsia="Cambria" w:cs="MS Gothic"/>
                <w:sz w:val="18"/>
                <w:szCs w:val="18"/>
              </w:rPr>
            </w:pPr>
            <w:r w:rsidRPr="005F1B45">
              <w:rPr>
                <w:rFonts w:eastAsia="Cambria" w:cs="MS Gothic"/>
                <w:sz w:val="18"/>
                <w:szCs w:val="18"/>
              </w:rPr>
              <w:t>Literature</w:t>
            </w:r>
          </w:p>
        </w:tc>
      </w:tr>
      <w:tr w:rsidR="005C66B8" w:rsidRPr="00EE43C6" w14:paraId="525E4602" w14:textId="77777777" w:rsidTr="001E0229">
        <w:trPr>
          <w:trHeight w:val="284"/>
        </w:trPr>
        <w:tc>
          <w:tcPr>
            <w:tcW w:w="885" w:type="pct"/>
            <w:vAlign w:val="center"/>
          </w:tcPr>
          <w:p w14:paraId="3DC4A8D8" w14:textId="77777777" w:rsidR="0017211C" w:rsidRPr="00EE43C6" w:rsidRDefault="0017211C">
            <w:pPr>
              <w:spacing w:before="0" w:after="0" w:line="240" w:lineRule="auto"/>
              <w:jc w:val="left"/>
              <w:rPr>
                <w:rFonts w:eastAsia="Cambria" w:cs="MS Gothic"/>
                <w:i/>
                <w:iCs/>
                <w:sz w:val="18"/>
                <w:szCs w:val="18"/>
              </w:rPr>
            </w:pPr>
            <w:r w:rsidRPr="00EE43C6">
              <w:rPr>
                <w:rFonts w:eastAsia="Cambria" w:cs="MS Gothic"/>
                <w:b/>
                <w:bCs/>
                <w:sz w:val="18"/>
                <w:szCs w:val="18"/>
              </w:rPr>
              <w:t>Lacertidae</w:t>
            </w:r>
          </w:p>
        </w:tc>
        <w:tc>
          <w:tcPr>
            <w:tcW w:w="624" w:type="pct"/>
            <w:vAlign w:val="center"/>
          </w:tcPr>
          <w:p w14:paraId="3C8E4960" w14:textId="77777777" w:rsidR="0017211C" w:rsidRPr="00EE43C6" w:rsidRDefault="0017211C">
            <w:pPr>
              <w:spacing w:before="0" w:after="0" w:line="240" w:lineRule="auto"/>
              <w:jc w:val="center"/>
              <w:rPr>
                <w:rFonts w:eastAsia="Cambria" w:cs="MS Gothic"/>
                <w:sz w:val="18"/>
                <w:szCs w:val="18"/>
              </w:rPr>
            </w:pPr>
          </w:p>
        </w:tc>
        <w:tc>
          <w:tcPr>
            <w:tcW w:w="597" w:type="pct"/>
            <w:vAlign w:val="center"/>
          </w:tcPr>
          <w:p w14:paraId="39A1B8B9" w14:textId="77777777" w:rsidR="0017211C" w:rsidRPr="00EE43C6" w:rsidRDefault="0017211C">
            <w:pPr>
              <w:spacing w:before="0" w:after="0" w:line="240" w:lineRule="auto"/>
              <w:jc w:val="center"/>
              <w:rPr>
                <w:rFonts w:eastAsia="Cambria" w:cs="MS Gothic"/>
                <w:sz w:val="18"/>
                <w:szCs w:val="18"/>
              </w:rPr>
            </w:pPr>
          </w:p>
        </w:tc>
        <w:tc>
          <w:tcPr>
            <w:tcW w:w="1666" w:type="pct"/>
            <w:vAlign w:val="center"/>
          </w:tcPr>
          <w:p w14:paraId="0C386AAD" w14:textId="77777777" w:rsidR="0017211C" w:rsidRPr="00EE43C6" w:rsidRDefault="0017211C">
            <w:pPr>
              <w:spacing w:before="0" w:after="0" w:line="240" w:lineRule="auto"/>
              <w:jc w:val="center"/>
              <w:rPr>
                <w:rFonts w:eastAsia="Cambria" w:cs="MS Gothic"/>
                <w:sz w:val="18"/>
                <w:szCs w:val="18"/>
              </w:rPr>
            </w:pPr>
          </w:p>
        </w:tc>
        <w:tc>
          <w:tcPr>
            <w:tcW w:w="651" w:type="pct"/>
            <w:vAlign w:val="center"/>
          </w:tcPr>
          <w:p w14:paraId="6B611DAD" w14:textId="77777777" w:rsidR="0017211C" w:rsidRPr="00EE43C6" w:rsidRDefault="0017211C">
            <w:pPr>
              <w:spacing w:before="0" w:after="0" w:line="240" w:lineRule="auto"/>
              <w:jc w:val="center"/>
              <w:rPr>
                <w:rFonts w:eastAsia="Cambria" w:cs="MS Gothic"/>
                <w:sz w:val="18"/>
                <w:szCs w:val="18"/>
              </w:rPr>
            </w:pPr>
          </w:p>
        </w:tc>
        <w:tc>
          <w:tcPr>
            <w:tcW w:w="577" w:type="pct"/>
            <w:vAlign w:val="center"/>
          </w:tcPr>
          <w:p w14:paraId="07BC63D9" w14:textId="77777777" w:rsidR="0017211C" w:rsidRPr="00EE43C6" w:rsidRDefault="0017211C">
            <w:pPr>
              <w:spacing w:before="0" w:after="0" w:line="240" w:lineRule="auto"/>
              <w:jc w:val="center"/>
              <w:rPr>
                <w:rFonts w:eastAsia="Cambria" w:cs="MS Gothic"/>
                <w:sz w:val="18"/>
                <w:szCs w:val="18"/>
              </w:rPr>
            </w:pPr>
          </w:p>
        </w:tc>
      </w:tr>
      <w:tr w:rsidR="005C66B8" w:rsidRPr="00EE43C6" w14:paraId="77A04E0C" w14:textId="77777777" w:rsidTr="001E0229">
        <w:trPr>
          <w:trHeight w:val="284"/>
        </w:trPr>
        <w:tc>
          <w:tcPr>
            <w:tcW w:w="885" w:type="pct"/>
            <w:vAlign w:val="center"/>
          </w:tcPr>
          <w:p w14:paraId="33D152A7" w14:textId="77777777" w:rsidR="0017211C" w:rsidRPr="00EE43C6" w:rsidRDefault="0017211C">
            <w:pPr>
              <w:spacing w:before="0" w:after="0" w:line="240" w:lineRule="auto"/>
              <w:jc w:val="left"/>
              <w:rPr>
                <w:rFonts w:eastAsia="Cambria" w:cs="MS Gothic"/>
                <w:i/>
                <w:iCs/>
                <w:sz w:val="18"/>
                <w:szCs w:val="18"/>
              </w:rPr>
            </w:pPr>
            <w:r w:rsidRPr="00EE43C6">
              <w:rPr>
                <w:rFonts w:eastAsia="Cambria" w:cs="MS Gothic"/>
                <w:i/>
                <w:iCs/>
                <w:sz w:val="18"/>
                <w:szCs w:val="18"/>
              </w:rPr>
              <w:t xml:space="preserve">Anatololacerta danfordi </w:t>
            </w:r>
          </w:p>
        </w:tc>
        <w:tc>
          <w:tcPr>
            <w:tcW w:w="624" w:type="pct"/>
            <w:vAlign w:val="center"/>
          </w:tcPr>
          <w:p w14:paraId="005C9096" w14:textId="77777777" w:rsidR="0017211C" w:rsidRPr="00EE43C6" w:rsidRDefault="0017211C">
            <w:pPr>
              <w:spacing w:before="0" w:after="0" w:line="240" w:lineRule="auto"/>
              <w:jc w:val="center"/>
              <w:rPr>
                <w:rFonts w:eastAsia="Cambria" w:cs="MS Gothic"/>
                <w:sz w:val="18"/>
                <w:szCs w:val="18"/>
              </w:rPr>
            </w:pPr>
            <w:r w:rsidRPr="00EE43C6">
              <w:rPr>
                <w:rFonts w:eastAsia="Cambria" w:cs="MS Gothic"/>
                <w:sz w:val="18"/>
                <w:szCs w:val="18"/>
              </w:rPr>
              <w:t>Danford</w:t>
            </w:r>
            <w:r>
              <w:rPr>
                <w:rFonts w:eastAsia="Cambria" w:cs="MS Gothic"/>
                <w:sz w:val="18"/>
                <w:szCs w:val="18"/>
              </w:rPr>
              <w:t>’</w:t>
            </w:r>
            <w:r w:rsidRPr="00EE43C6">
              <w:rPr>
                <w:rFonts w:eastAsia="Cambria" w:cs="MS Gothic"/>
                <w:sz w:val="18"/>
                <w:szCs w:val="18"/>
              </w:rPr>
              <w:t>s Lizard</w:t>
            </w:r>
          </w:p>
        </w:tc>
        <w:tc>
          <w:tcPr>
            <w:tcW w:w="597" w:type="pct"/>
            <w:vAlign w:val="center"/>
          </w:tcPr>
          <w:p w14:paraId="7A237BA4" w14:textId="77777777" w:rsidR="0017211C" w:rsidRPr="00EE43C6" w:rsidRDefault="0017211C">
            <w:pPr>
              <w:tabs>
                <w:tab w:val="center" w:pos="675"/>
              </w:tabs>
              <w:spacing w:before="0" w:after="0" w:line="240" w:lineRule="auto"/>
              <w:jc w:val="center"/>
              <w:rPr>
                <w:rFonts w:eastAsia="Cambria" w:cs="MS Gothic"/>
                <w:sz w:val="18"/>
                <w:szCs w:val="18"/>
              </w:rPr>
            </w:pPr>
            <w:r w:rsidRPr="00EE43C6">
              <w:rPr>
                <w:rFonts w:eastAsia="Cambria" w:cs="MS Gothic"/>
                <w:color w:val="000000" w:themeColor="text1"/>
                <w:sz w:val="18"/>
                <w:szCs w:val="18"/>
              </w:rPr>
              <w:t>Endemic</w:t>
            </w:r>
          </w:p>
        </w:tc>
        <w:tc>
          <w:tcPr>
            <w:tcW w:w="1666" w:type="pct"/>
            <w:vAlign w:val="center"/>
          </w:tcPr>
          <w:p w14:paraId="3E4B48C7" w14:textId="77777777" w:rsidR="0017211C" w:rsidRPr="00EE43C6" w:rsidRDefault="0017211C">
            <w:pPr>
              <w:spacing w:before="0" w:after="0" w:line="240" w:lineRule="auto"/>
              <w:jc w:val="center"/>
              <w:rPr>
                <w:rFonts w:eastAsia="Arial" w:cs="Arial"/>
                <w:sz w:val="18"/>
                <w:szCs w:val="18"/>
              </w:rPr>
            </w:pPr>
            <w:r w:rsidRPr="00EE43C6">
              <w:rPr>
                <w:rFonts w:eastAsia="Arial" w:cs="Arial"/>
                <w:color w:val="080100"/>
                <w:sz w:val="18"/>
                <w:szCs w:val="18"/>
              </w:rPr>
              <w:t xml:space="preserve">This species is present in </w:t>
            </w:r>
            <w:r>
              <w:rPr>
                <w:rFonts w:eastAsia="Arial" w:cs="Arial"/>
                <w:color w:val="080100"/>
                <w:sz w:val="18"/>
                <w:szCs w:val="18"/>
              </w:rPr>
              <w:t>Türkiye</w:t>
            </w:r>
            <w:r w:rsidRPr="00EE43C6">
              <w:rPr>
                <w:rFonts w:eastAsia="Arial" w:cs="Arial"/>
                <w:color w:val="080100"/>
                <w:sz w:val="18"/>
                <w:szCs w:val="18"/>
              </w:rPr>
              <w:t xml:space="preserve"> in the mountains of southern Anatolia and on part of the southern coast. It ranges from sea level up to 2,100 m asl.</w:t>
            </w:r>
          </w:p>
        </w:tc>
        <w:tc>
          <w:tcPr>
            <w:tcW w:w="651" w:type="pct"/>
            <w:vAlign w:val="center"/>
          </w:tcPr>
          <w:p w14:paraId="6933C871" w14:textId="77777777" w:rsidR="0017211C" w:rsidRPr="005F1B45" w:rsidRDefault="0017211C">
            <w:pPr>
              <w:spacing w:before="0" w:after="0" w:line="240" w:lineRule="auto"/>
              <w:jc w:val="center"/>
              <w:rPr>
                <w:rFonts w:eastAsia="Cambria" w:cs="MS Gothic"/>
                <w:sz w:val="18"/>
                <w:szCs w:val="18"/>
              </w:rPr>
            </w:pPr>
            <w:r w:rsidRPr="005F1B45">
              <w:rPr>
                <w:rFonts w:eastAsia="Cambria" w:cs="MS Gothic"/>
                <w:sz w:val="18"/>
                <w:szCs w:val="18"/>
              </w:rPr>
              <w:t>Literature</w:t>
            </w:r>
          </w:p>
        </w:tc>
        <w:tc>
          <w:tcPr>
            <w:tcW w:w="577" w:type="pct"/>
            <w:vAlign w:val="center"/>
          </w:tcPr>
          <w:p w14:paraId="029D8234" w14:textId="77777777" w:rsidR="0017211C" w:rsidRPr="005F1B45" w:rsidRDefault="0017211C">
            <w:pPr>
              <w:spacing w:before="0" w:after="0" w:line="240" w:lineRule="auto"/>
              <w:jc w:val="center"/>
              <w:rPr>
                <w:rFonts w:eastAsia="Cambria" w:cs="MS Gothic"/>
                <w:sz w:val="18"/>
                <w:szCs w:val="18"/>
              </w:rPr>
            </w:pPr>
            <w:r w:rsidRPr="005F1B45">
              <w:rPr>
                <w:rFonts w:eastAsia="Cambria" w:cs="MS Gothic"/>
                <w:sz w:val="18"/>
                <w:szCs w:val="18"/>
              </w:rPr>
              <w:t>Literature</w:t>
            </w:r>
          </w:p>
        </w:tc>
      </w:tr>
    </w:tbl>
    <w:p w14:paraId="5C7BBB81" w14:textId="1E9854A9" w:rsidR="7290F927" w:rsidRPr="00EE43C6" w:rsidRDefault="7290F927" w:rsidP="1C429C64">
      <w:pPr>
        <w:spacing w:before="200" w:after="200"/>
        <w:rPr>
          <w:rFonts w:eastAsia="Arial TUR" w:cs="Wingdings"/>
          <w:color w:val="000000" w:themeColor="text1"/>
        </w:rPr>
      </w:pPr>
      <w:r w:rsidRPr="00EE43C6">
        <w:rPr>
          <w:rFonts w:eastAsia="Arial TUR" w:cs="Wingdings"/>
          <w:color w:val="000000" w:themeColor="text1"/>
        </w:rPr>
        <w:t>The populations of all endemic species identified are large and their distribution is wide.</w:t>
      </w:r>
    </w:p>
    <w:p w14:paraId="0BD43947" w14:textId="77777777" w:rsidR="00082434" w:rsidRPr="00EE43C6" w:rsidRDefault="0597B555" w:rsidP="1C429C64">
      <w:pPr>
        <w:spacing w:before="200" w:after="200"/>
        <w:rPr>
          <w:rFonts w:eastAsia="Arial TUR" w:cs="Wingdings"/>
          <w:color w:val="000000"/>
        </w:rPr>
      </w:pPr>
      <w:r w:rsidRPr="00EE43C6">
        <w:rPr>
          <w:rFonts w:eastAsia="Arial TUR" w:cs="Wingdings"/>
          <w:color w:val="000000" w:themeColor="text1"/>
        </w:rPr>
        <w:t>As a result of intense anthropogenic pressure in the region, flora and fauna distribution is limited in the project area. The flora and fauna species are not under any threat due to the activities and will not be damaged.</w:t>
      </w:r>
    </w:p>
    <w:p w14:paraId="67A618B4" w14:textId="08ED646E" w:rsidR="00082434" w:rsidRPr="00EE43C6" w:rsidRDefault="00082434" w:rsidP="00082434">
      <w:pPr>
        <w:spacing w:before="200" w:after="200"/>
        <w:rPr>
          <w:rFonts w:eastAsia="Wingdings" w:cs="Wingdings"/>
          <w:b/>
          <w:szCs w:val="22"/>
        </w:rPr>
      </w:pPr>
      <w:r w:rsidRPr="00EE43C6">
        <w:rPr>
          <w:rFonts w:eastAsia="Wingdings" w:cs="Wingdings"/>
          <w:b/>
          <w:szCs w:val="22"/>
        </w:rPr>
        <w:t xml:space="preserve">Nationally Protected Areas within the Surrounding of the Project </w:t>
      </w:r>
      <w:r w:rsidR="006C51C2" w:rsidRPr="00EE43C6">
        <w:rPr>
          <w:rFonts w:eastAsia="Wingdings" w:cs="Wingdings"/>
          <w:b/>
          <w:szCs w:val="22"/>
        </w:rPr>
        <w:t xml:space="preserve">Area </w:t>
      </w:r>
    </w:p>
    <w:p w14:paraId="6A0EAF45" w14:textId="2DFA0A51" w:rsidR="00082434" w:rsidRPr="00EE43C6" w:rsidRDefault="00082434" w:rsidP="3C3DFBEF">
      <w:pPr>
        <w:spacing w:before="200" w:after="200"/>
        <w:rPr>
          <w:rFonts w:eastAsia="Wingdings" w:cs="Wingdings"/>
        </w:rPr>
      </w:pPr>
      <w:r w:rsidRPr="3C3DFBEF">
        <w:rPr>
          <w:rFonts w:eastAsia="Wingdings" w:cs="Wingdings"/>
        </w:rPr>
        <w:t xml:space="preserve">In the scope of the National Parks Law No. 2873 which was published in the Official Gazette of the Republic of </w:t>
      </w:r>
      <w:r w:rsidR="00117757">
        <w:rPr>
          <w:rFonts w:eastAsia="Wingdings" w:cs="Wingdings"/>
        </w:rPr>
        <w:t>Türkiye</w:t>
      </w:r>
      <w:r w:rsidRPr="3C3DFBEF">
        <w:rPr>
          <w:rFonts w:eastAsia="Wingdings" w:cs="Wingdings"/>
        </w:rPr>
        <w:t xml:space="preserve"> dated 11 August 1983, there is no area with a protection status </w:t>
      </w:r>
      <w:r w:rsidR="518304FE" w:rsidRPr="3C3DFBEF">
        <w:rPr>
          <w:rFonts w:eastAsia="Wingdings" w:cs="Wingdings"/>
        </w:rPr>
        <w:t>with</w:t>
      </w:r>
      <w:r w:rsidRPr="3C3DFBEF">
        <w:rPr>
          <w:rFonts w:eastAsia="Wingdings" w:cs="Wingdings"/>
        </w:rPr>
        <w:t xml:space="preserve">in and in vicinity of the project area. </w:t>
      </w:r>
    </w:p>
    <w:p w14:paraId="125C629C" w14:textId="595E8F06" w:rsidR="00082434" w:rsidRPr="00EE43C6" w:rsidRDefault="00082434" w:rsidP="00082434">
      <w:pPr>
        <w:spacing w:before="200" w:after="200"/>
        <w:rPr>
          <w:rFonts w:eastAsia="Wingdings" w:cs="Wingdings"/>
          <w:b/>
          <w:szCs w:val="22"/>
        </w:rPr>
      </w:pPr>
      <w:r w:rsidRPr="00EE43C6">
        <w:rPr>
          <w:rFonts w:eastAsia="Wingdings" w:cs="Wingdings"/>
          <w:b/>
          <w:szCs w:val="22"/>
        </w:rPr>
        <w:t>Inte</w:t>
      </w:r>
      <w:r w:rsidRPr="00EE43C6">
        <w:rPr>
          <w:rFonts w:eastAsia="Wingdings" w:cs="Wingdings"/>
          <w:b/>
          <w:spacing w:val="-1"/>
          <w:szCs w:val="22"/>
        </w:rPr>
        <w:t>r</w:t>
      </w:r>
      <w:r w:rsidRPr="00EE43C6">
        <w:rPr>
          <w:rFonts w:eastAsia="Wingdings" w:cs="Wingdings"/>
          <w:b/>
          <w:szCs w:val="22"/>
        </w:rPr>
        <w:t>national</w:t>
      </w:r>
      <w:r w:rsidRPr="00EE43C6">
        <w:rPr>
          <w:rFonts w:eastAsia="Wingdings" w:cs="Wingdings"/>
          <w:b/>
          <w:spacing w:val="1"/>
          <w:szCs w:val="22"/>
        </w:rPr>
        <w:t>l</w:t>
      </w:r>
      <w:r w:rsidRPr="00EE43C6">
        <w:rPr>
          <w:rFonts w:eastAsia="Wingdings" w:cs="Wingdings"/>
          <w:b/>
          <w:szCs w:val="22"/>
        </w:rPr>
        <w:t>y</w:t>
      </w:r>
      <w:r w:rsidRPr="00EE43C6">
        <w:rPr>
          <w:rFonts w:eastAsia="Wingdings" w:cs="Wingdings"/>
          <w:b/>
          <w:spacing w:val="-16"/>
          <w:szCs w:val="22"/>
        </w:rPr>
        <w:t xml:space="preserve"> </w:t>
      </w:r>
      <w:r w:rsidRPr="00EE43C6">
        <w:rPr>
          <w:rFonts w:eastAsia="Wingdings" w:cs="Wingdings"/>
          <w:b/>
          <w:szCs w:val="22"/>
        </w:rPr>
        <w:t>Recognized</w:t>
      </w:r>
      <w:r w:rsidRPr="00EE43C6">
        <w:rPr>
          <w:rFonts w:eastAsia="Wingdings" w:cs="Wingdings"/>
          <w:b/>
          <w:spacing w:val="-11"/>
          <w:szCs w:val="22"/>
        </w:rPr>
        <w:t xml:space="preserve"> </w:t>
      </w:r>
      <w:r w:rsidRPr="00EE43C6">
        <w:rPr>
          <w:rFonts w:eastAsia="Wingdings" w:cs="Wingdings"/>
          <w:b/>
          <w:szCs w:val="22"/>
        </w:rPr>
        <w:t>A</w:t>
      </w:r>
      <w:r w:rsidRPr="00EE43C6">
        <w:rPr>
          <w:rFonts w:eastAsia="Wingdings" w:cs="Wingdings"/>
          <w:b/>
          <w:spacing w:val="-1"/>
          <w:szCs w:val="22"/>
        </w:rPr>
        <w:t>r</w:t>
      </w:r>
      <w:r w:rsidRPr="00EE43C6">
        <w:rPr>
          <w:rFonts w:eastAsia="Wingdings" w:cs="Wingdings"/>
          <w:b/>
          <w:szCs w:val="22"/>
        </w:rPr>
        <w:t>eas</w:t>
      </w:r>
      <w:r w:rsidRPr="00EE43C6">
        <w:rPr>
          <w:rFonts w:eastAsia="Wingdings" w:cs="Wingdings"/>
          <w:b/>
          <w:spacing w:val="-5"/>
          <w:szCs w:val="22"/>
        </w:rPr>
        <w:t xml:space="preserve"> </w:t>
      </w:r>
      <w:r w:rsidRPr="00EE43C6">
        <w:rPr>
          <w:rFonts w:eastAsia="Wingdings" w:cs="Wingdings"/>
          <w:b/>
          <w:spacing w:val="2"/>
          <w:szCs w:val="22"/>
        </w:rPr>
        <w:t>w</w:t>
      </w:r>
      <w:r w:rsidRPr="00EE43C6">
        <w:rPr>
          <w:rFonts w:eastAsia="Wingdings" w:cs="Wingdings"/>
          <w:b/>
          <w:szCs w:val="22"/>
        </w:rPr>
        <w:t>ith</w:t>
      </w:r>
      <w:r w:rsidRPr="00EE43C6">
        <w:rPr>
          <w:rFonts w:eastAsia="Wingdings" w:cs="Wingdings"/>
          <w:b/>
          <w:spacing w:val="-1"/>
          <w:szCs w:val="22"/>
        </w:rPr>
        <w:t>i</w:t>
      </w:r>
      <w:r w:rsidRPr="00EE43C6">
        <w:rPr>
          <w:rFonts w:eastAsia="Wingdings" w:cs="Wingdings"/>
          <w:b/>
          <w:szCs w:val="22"/>
        </w:rPr>
        <w:t>n</w:t>
      </w:r>
      <w:r w:rsidRPr="00EE43C6">
        <w:rPr>
          <w:rFonts w:eastAsia="Wingdings" w:cs="Wingdings"/>
          <w:b/>
          <w:spacing w:val="-2"/>
          <w:szCs w:val="22"/>
        </w:rPr>
        <w:t xml:space="preserve"> </w:t>
      </w:r>
      <w:r w:rsidRPr="00EE43C6">
        <w:rPr>
          <w:rFonts w:eastAsia="Wingdings" w:cs="Wingdings"/>
          <w:b/>
          <w:szCs w:val="22"/>
        </w:rPr>
        <w:t>the</w:t>
      </w:r>
      <w:r w:rsidRPr="00EE43C6">
        <w:rPr>
          <w:rFonts w:eastAsia="Wingdings" w:cs="Wingdings"/>
          <w:b/>
          <w:spacing w:val="-3"/>
          <w:szCs w:val="22"/>
        </w:rPr>
        <w:t xml:space="preserve"> </w:t>
      </w:r>
      <w:r w:rsidRPr="00EE43C6">
        <w:rPr>
          <w:rFonts w:eastAsia="Wingdings" w:cs="Wingdings"/>
          <w:b/>
          <w:szCs w:val="22"/>
        </w:rPr>
        <w:t xml:space="preserve">Surrounding of Project </w:t>
      </w:r>
      <w:r w:rsidR="006C51C2" w:rsidRPr="00EE43C6">
        <w:rPr>
          <w:rFonts w:eastAsia="Wingdings" w:cs="Wingdings"/>
          <w:b/>
          <w:szCs w:val="22"/>
        </w:rPr>
        <w:t>Area</w:t>
      </w:r>
    </w:p>
    <w:p w14:paraId="7D3FBD48" w14:textId="54F4420A" w:rsidR="00082434" w:rsidRPr="00EE43C6" w:rsidRDefault="00082434" w:rsidP="00082434">
      <w:pPr>
        <w:spacing w:before="200" w:after="200"/>
        <w:rPr>
          <w:rFonts w:eastAsia="Wingdings" w:cs="Wingdings"/>
          <w:szCs w:val="22"/>
        </w:rPr>
      </w:pPr>
      <w:r w:rsidRPr="00EE43C6">
        <w:rPr>
          <w:rFonts w:eastAsia="Wingdings" w:cs="Wingdings"/>
          <w:szCs w:val="22"/>
        </w:rPr>
        <w:t xml:space="preserve">There is an internationally recognized area </w:t>
      </w:r>
      <w:r w:rsidR="00DC75B4" w:rsidRPr="00EE43C6">
        <w:rPr>
          <w:rFonts w:eastAsia="Wingdings" w:cs="Wingdings"/>
          <w:szCs w:val="22"/>
        </w:rPr>
        <w:t>11</w:t>
      </w:r>
      <w:r w:rsidRPr="00EE43C6">
        <w:rPr>
          <w:rFonts w:eastAsia="Wingdings" w:cs="Wingdings"/>
          <w:szCs w:val="22"/>
        </w:rPr>
        <w:t xml:space="preserve"> km away from the project area</w:t>
      </w:r>
      <w:r w:rsidRPr="00EE43C6" w:rsidDel="00A72F78">
        <w:rPr>
          <w:rFonts w:eastAsia="Wingdings" w:cs="Wingdings"/>
          <w:szCs w:val="22"/>
        </w:rPr>
        <w:t xml:space="preserve"> </w:t>
      </w:r>
      <w:r w:rsidRPr="00EE43C6">
        <w:rPr>
          <w:rFonts w:eastAsia="Wingdings" w:cs="Wingdings"/>
          <w:szCs w:val="22"/>
        </w:rPr>
        <w:t>named as Bo</w:t>
      </w:r>
      <w:r w:rsidR="00DC75B4" w:rsidRPr="00EE43C6">
        <w:rPr>
          <w:rFonts w:eastAsia="Wingdings" w:cs="Wingdings"/>
          <w:szCs w:val="22"/>
        </w:rPr>
        <w:t>lkar Dağları</w:t>
      </w:r>
      <w:r w:rsidRPr="00EE43C6">
        <w:rPr>
          <w:rFonts w:eastAsia="Wingdings" w:cs="Wingdings"/>
          <w:szCs w:val="22"/>
        </w:rPr>
        <w:t xml:space="preserve"> (</w:t>
      </w:r>
      <w:r w:rsidR="00DC75B4" w:rsidRPr="00EE43C6">
        <w:rPr>
          <w:rFonts w:eastAsia="Wingdings" w:cs="Wingdings"/>
          <w:szCs w:val="22"/>
        </w:rPr>
        <w:t>Bolkar</w:t>
      </w:r>
      <w:r w:rsidRPr="00EE43C6">
        <w:rPr>
          <w:rFonts w:eastAsia="Wingdings" w:cs="Wingdings"/>
          <w:szCs w:val="22"/>
        </w:rPr>
        <w:t xml:space="preserve"> Mountains) Key Biodiversity Area (KBA).</w:t>
      </w:r>
      <w:r w:rsidRPr="00EE43C6">
        <w:rPr>
          <w:rFonts w:eastAsia="Wingdings" w:cs="Wingdings"/>
          <w:spacing w:val="-3"/>
          <w:szCs w:val="22"/>
        </w:rPr>
        <w:t xml:space="preserve"> </w:t>
      </w:r>
      <w:r w:rsidRPr="00EE43C6">
        <w:rPr>
          <w:rFonts w:eastAsia="Wingdings" w:cs="Wingdings"/>
          <w:spacing w:val="3"/>
          <w:szCs w:val="22"/>
        </w:rPr>
        <w:t>K</w:t>
      </w:r>
      <w:r w:rsidRPr="00EE43C6">
        <w:rPr>
          <w:rFonts w:eastAsia="Wingdings" w:cs="Wingdings"/>
          <w:szCs w:val="22"/>
        </w:rPr>
        <w:t>BAs are</w:t>
      </w:r>
      <w:r w:rsidRPr="00EE43C6">
        <w:rPr>
          <w:rFonts w:eastAsia="Wingdings" w:cs="Wingdings"/>
          <w:spacing w:val="11"/>
          <w:szCs w:val="22"/>
        </w:rPr>
        <w:t xml:space="preserve"> </w:t>
      </w:r>
      <w:r w:rsidRPr="00EE43C6">
        <w:rPr>
          <w:rFonts w:eastAsia="Wingdings" w:cs="Wingdings"/>
          <w:szCs w:val="22"/>
        </w:rPr>
        <w:t>the</w:t>
      </w:r>
      <w:r w:rsidRPr="00EE43C6">
        <w:rPr>
          <w:rFonts w:eastAsia="Wingdings" w:cs="Wingdings"/>
          <w:spacing w:val="11"/>
          <w:szCs w:val="22"/>
        </w:rPr>
        <w:t xml:space="preserve"> </w:t>
      </w:r>
      <w:r w:rsidRPr="00EE43C6">
        <w:rPr>
          <w:rFonts w:eastAsia="Wingdings" w:cs="Wingdings"/>
          <w:szCs w:val="22"/>
        </w:rPr>
        <w:t>m</w:t>
      </w:r>
      <w:r w:rsidRPr="00EE43C6">
        <w:rPr>
          <w:rFonts w:eastAsia="Wingdings" w:cs="Wingdings"/>
          <w:spacing w:val="1"/>
          <w:szCs w:val="22"/>
        </w:rPr>
        <w:t>o</w:t>
      </w:r>
      <w:r w:rsidRPr="00EE43C6">
        <w:rPr>
          <w:rFonts w:eastAsia="Wingdings" w:cs="Wingdings"/>
          <w:szCs w:val="22"/>
        </w:rPr>
        <w:t>st</w:t>
      </w:r>
      <w:r w:rsidRPr="00EE43C6">
        <w:rPr>
          <w:rFonts w:eastAsia="Wingdings" w:cs="Wingdings"/>
          <w:spacing w:val="9"/>
          <w:szCs w:val="22"/>
        </w:rPr>
        <w:t xml:space="preserve"> </w:t>
      </w:r>
      <w:r w:rsidRPr="00EE43C6">
        <w:rPr>
          <w:rFonts w:eastAsia="Wingdings" w:cs="Wingdings"/>
          <w:szCs w:val="22"/>
        </w:rPr>
        <w:t>important</w:t>
      </w:r>
      <w:r w:rsidRPr="00EE43C6">
        <w:rPr>
          <w:rFonts w:eastAsia="Wingdings" w:cs="Wingdings"/>
          <w:spacing w:val="5"/>
          <w:szCs w:val="22"/>
        </w:rPr>
        <w:t xml:space="preserve"> </w:t>
      </w:r>
      <w:r w:rsidRPr="00EE43C6">
        <w:rPr>
          <w:rFonts w:eastAsia="Wingdings" w:cs="Wingdings"/>
          <w:szCs w:val="22"/>
        </w:rPr>
        <w:t>areas</w:t>
      </w:r>
      <w:r w:rsidRPr="00EE43C6">
        <w:rPr>
          <w:rFonts w:eastAsia="Wingdings" w:cs="Wingdings"/>
          <w:spacing w:val="9"/>
          <w:szCs w:val="22"/>
        </w:rPr>
        <w:t xml:space="preserve"> </w:t>
      </w:r>
      <w:r w:rsidRPr="00EE43C6">
        <w:rPr>
          <w:rFonts w:eastAsia="Wingdings" w:cs="Wingdings"/>
          <w:szCs w:val="22"/>
        </w:rPr>
        <w:t>in</w:t>
      </w:r>
      <w:r w:rsidRPr="00EE43C6">
        <w:rPr>
          <w:rFonts w:eastAsia="Wingdings" w:cs="Wingdings"/>
          <w:spacing w:val="12"/>
          <w:szCs w:val="22"/>
        </w:rPr>
        <w:t xml:space="preserve"> </w:t>
      </w:r>
      <w:r w:rsidRPr="00EE43C6">
        <w:rPr>
          <w:rFonts w:eastAsia="Wingdings" w:cs="Wingdings"/>
          <w:spacing w:val="1"/>
          <w:szCs w:val="22"/>
        </w:rPr>
        <w:t>t</w:t>
      </w:r>
      <w:r w:rsidRPr="00EE43C6">
        <w:rPr>
          <w:rFonts w:eastAsia="Wingdings" w:cs="Wingdings"/>
          <w:szCs w:val="22"/>
        </w:rPr>
        <w:t>erms</w:t>
      </w:r>
      <w:r w:rsidRPr="00EE43C6">
        <w:rPr>
          <w:rFonts w:eastAsia="Wingdings" w:cs="Wingdings"/>
          <w:spacing w:val="9"/>
          <w:szCs w:val="22"/>
        </w:rPr>
        <w:t xml:space="preserve"> </w:t>
      </w:r>
      <w:r w:rsidRPr="00EE43C6">
        <w:rPr>
          <w:rFonts w:eastAsia="Wingdings" w:cs="Wingdings"/>
          <w:szCs w:val="22"/>
        </w:rPr>
        <w:t>of</w:t>
      </w:r>
      <w:r w:rsidRPr="00EE43C6">
        <w:rPr>
          <w:rFonts w:eastAsia="Wingdings" w:cs="Wingdings"/>
          <w:spacing w:val="12"/>
          <w:szCs w:val="22"/>
        </w:rPr>
        <w:t xml:space="preserve"> </w:t>
      </w:r>
      <w:r w:rsidRPr="00EE43C6">
        <w:rPr>
          <w:rFonts w:eastAsia="Wingdings" w:cs="Wingdings"/>
          <w:szCs w:val="22"/>
        </w:rPr>
        <w:t>their</w:t>
      </w:r>
      <w:r w:rsidRPr="00EE43C6">
        <w:rPr>
          <w:rFonts w:eastAsia="Wingdings" w:cs="Wingdings"/>
          <w:spacing w:val="10"/>
          <w:szCs w:val="22"/>
        </w:rPr>
        <w:t xml:space="preserve"> </w:t>
      </w:r>
      <w:r w:rsidRPr="00EE43C6">
        <w:rPr>
          <w:rFonts w:eastAsia="Wingdings" w:cs="Wingdings"/>
          <w:szCs w:val="22"/>
        </w:rPr>
        <w:t>c</w:t>
      </w:r>
      <w:r w:rsidRPr="00EE43C6">
        <w:rPr>
          <w:rFonts w:eastAsia="Wingdings" w:cs="Wingdings"/>
          <w:spacing w:val="1"/>
          <w:szCs w:val="22"/>
        </w:rPr>
        <w:t>h</w:t>
      </w:r>
      <w:r w:rsidRPr="00EE43C6">
        <w:rPr>
          <w:rFonts w:eastAsia="Wingdings" w:cs="Wingdings"/>
          <w:szCs w:val="22"/>
        </w:rPr>
        <w:t>aracteri</w:t>
      </w:r>
      <w:r w:rsidRPr="00EE43C6">
        <w:rPr>
          <w:rFonts w:eastAsia="Wingdings" w:cs="Wingdings"/>
          <w:spacing w:val="1"/>
          <w:szCs w:val="22"/>
        </w:rPr>
        <w:t>s</w:t>
      </w:r>
      <w:r w:rsidRPr="00EE43C6">
        <w:rPr>
          <w:rFonts w:eastAsia="Wingdings" w:cs="Wingdings"/>
          <w:szCs w:val="22"/>
        </w:rPr>
        <w:t>tics in</w:t>
      </w:r>
      <w:r w:rsidRPr="00EE43C6">
        <w:rPr>
          <w:rFonts w:eastAsia="Wingdings" w:cs="Wingdings"/>
          <w:spacing w:val="12"/>
          <w:szCs w:val="22"/>
        </w:rPr>
        <w:t xml:space="preserve"> </w:t>
      </w:r>
      <w:r w:rsidRPr="00EE43C6">
        <w:rPr>
          <w:rFonts w:eastAsia="Wingdings" w:cs="Wingdings"/>
          <w:szCs w:val="22"/>
        </w:rPr>
        <w:t>terms</w:t>
      </w:r>
      <w:r w:rsidRPr="00EE43C6">
        <w:rPr>
          <w:rFonts w:eastAsia="Wingdings" w:cs="Wingdings"/>
          <w:spacing w:val="9"/>
          <w:szCs w:val="22"/>
        </w:rPr>
        <w:t xml:space="preserve"> </w:t>
      </w:r>
      <w:r w:rsidRPr="00EE43C6">
        <w:rPr>
          <w:rFonts w:eastAsia="Wingdings" w:cs="Wingdings"/>
          <w:szCs w:val="22"/>
        </w:rPr>
        <w:t>of s</w:t>
      </w:r>
      <w:r w:rsidRPr="00EE43C6">
        <w:rPr>
          <w:rFonts w:eastAsia="Wingdings" w:cs="Wingdings"/>
          <w:spacing w:val="1"/>
          <w:szCs w:val="22"/>
        </w:rPr>
        <w:t>u</w:t>
      </w:r>
      <w:r w:rsidRPr="00EE43C6">
        <w:rPr>
          <w:rFonts w:eastAsia="Wingdings" w:cs="Wingdings"/>
          <w:szCs w:val="22"/>
        </w:rPr>
        <w:t>pp</w:t>
      </w:r>
      <w:r w:rsidRPr="00EE43C6">
        <w:rPr>
          <w:rFonts w:eastAsia="Wingdings" w:cs="Wingdings"/>
          <w:spacing w:val="1"/>
          <w:szCs w:val="22"/>
        </w:rPr>
        <w:t>o</w:t>
      </w:r>
      <w:r w:rsidRPr="00EE43C6">
        <w:rPr>
          <w:rFonts w:eastAsia="Wingdings" w:cs="Wingdings"/>
          <w:szCs w:val="22"/>
        </w:rPr>
        <w:t>rting</w:t>
      </w:r>
      <w:r w:rsidRPr="00EE43C6">
        <w:rPr>
          <w:rFonts w:eastAsia="Wingdings" w:cs="Wingdings"/>
          <w:spacing w:val="2"/>
          <w:szCs w:val="22"/>
        </w:rPr>
        <w:t xml:space="preserve"> </w:t>
      </w:r>
      <w:r w:rsidRPr="00EE43C6">
        <w:rPr>
          <w:rFonts w:eastAsia="Wingdings" w:cs="Wingdings"/>
          <w:spacing w:val="-1"/>
          <w:szCs w:val="22"/>
        </w:rPr>
        <w:t>b</w:t>
      </w:r>
      <w:r w:rsidRPr="00EE43C6">
        <w:rPr>
          <w:rFonts w:eastAsia="Wingdings" w:cs="Wingdings"/>
          <w:szCs w:val="22"/>
        </w:rPr>
        <w:t>iological</w:t>
      </w:r>
      <w:r w:rsidRPr="00EE43C6">
        <w:rPr>
          <w:rFonts w:eastAsia="Wingdings" w:cs="Wingdings"/>
          <w:spacing w:val="2"/>
          <w:szCs w:val="22"/>
        </w:rPr>
        <w:t xml:space="preserve"> </w:t>
      </w:r>
      <w:r w:rsidRPr="00EE43C6">
        <w:rPr>
          <w:rFonts w:eastAsia="Wingdings" w:cs="Wingdings"/>
          <w:szCs w:val="22"/>
        </w:rPr>
        <w:t>co</w:t>
      </w:r>
      <w:r w:rsidRPr="00EE43C6">
        <w:rPr>
          <w:rFonts w:eastAsia="Wingdings" w:cs="Wingdings"/>
          <w:spacing w:val="-1"/>
          <w:szCs w:val="22"/>
        </w:rPr>
        <w:t>m</w:t>
      </w:r>
      <w:r w:rsidRPr="00EE43C6">
        <w:rPr>
          <w:rFonts w:eastAsia="Wingdings" w:cs="Wingdings"/>
          <w:szCs w:val="22"/>
        </w:rPr>
        <w:t>po</w:t>
      </w:r>
      <w:r w:rsidRPr="00EE43C6">
        <w:rPr>
          <w:rFonts w:eastAsia="Wingdings" w:cs="Wingdings"/>
          <w:spacing w:val="1"/>
          <w:szCs w:val="22"/>
        </w:rPr>
        <w:t>n</w:t>
      </w:r>
      <w:r w:rsidRPr="00EE43C6">
        <w:rPr>
          <w:rFonts w:eastAsia="Wingdings" w:cs="Wingdings"/>
          <w:szCs w:val="22"/>
        </w:rPr>
        <w:t>ents.</w:t>
      </w:r>
      <w:r w:rsidRPr="00EE43C6">
        <w:rPr>
          <w:rFonts w:eastAsia="Wingdings" w:cs="Wingdings"/>
          <w:spacing w:val="-2"/>
          <w:szCs w:val="22"/>
        </w:rPr>
        <w:t xml:space="preserve"> </w:t>
      </w:r>
    </w:p>
    <w:p w14:paraId="114D5F5B" w14:textId="55040AC4" w:rsidR="00082434" w:rsidRPr="00EE43C6" w:rsidRDefault="002E4D14" w:rsidP="00082434">
      <w:pPr>
        <w:spacing w:before="200" w:after="200"/>
        <w:rPr>
          <w:rFonts w:eastAsia="Wingdings" w:cs="Wingdings"/>
          <w:szCs w:val="22"/>
          <w:highlight w:val="yellow"/>
        </w:rPr>
      </w:pPr>
      <w:r w:rsidRPr="00EE43C6">
        <w:rPr>
          <w:rFonts w:eastAsia="Wingdings" w:cs="Wingdings"/>
          <w:szCs w:val="22"/>
        </w:rPr>
        <w:t>Bolkar Mountains</w:t>
      </w:r>
      <w:r w:rsidRPr="00EE43C6">
        <w:rPr>
          <w:rFonts w:eastAsia="Wingdings" w:cs="Wingdings"/>
          <w:szCs w:val="22"/>
          <w:u w:val="single" w:color="000000"/>
        </w:rPr>
        <w:t xml:space="preserve"> </w:t>
      </w:r>
      <w:r w:rsidR="00082434" w:rsidRPr="00EE43C6">
        <w:rPr>
          <w:rFonts w:eastAsia="Wingdings" w:cs="Wingdings"/>
          <w:szCs w:val="22"/>
          <w:u w:val="single" w:color="000000"/>
        </w:rPr>
        <w:t>KBA</w:t>
      </w:r>
      <w:r w:rsidR="00082434" w:rsidRPr="00EE43C6">
        <w:rPr>
          <w:rFonts w:eastAsia="Wingdings" w:cs="Wingdings"/>
          <w:szCs w:val="22"/>
        </w:rPr>
        <w:t xml:space="preserve"> </w:t>
      </w:r>
      <w:r w:rsidRPr="00EE43C6">
        <w:rPr>
          <w:rFonts w:eastAsia="Wingdings" w:cs="Wingdings"/>
          <w:szCs w:val="22"/>
        </w:rPr>
        <w:t xml:space="preserve">It is a large mountain range between the Eastern Mediterranean Region and the Central Anatolian Plateau. The fact that the two regions are at the crossing point and their geomorphological structure with great diversity has made the Bolkar Mountains one of the most unique areas in </w:t>
      </w:r>
      <w:r w:rsidR="00117757">
        <w:rPr>
          <w:rFonts w:eastAsia="Wingdings" w:cs="Wingdings"/>
          <w:szCs w:val="22"/>
        </w:rPr>
        <w:t>Türkiye</w:t>
      </w:r>
      <w:r w:rsidRPr="00EE43C6">
        <w:rPr>
          <w:rFonts w:eastAsia="Wingdings" w:cs="Wingdings"/>
          <w:szCs w:val="22"/>
        </w:rPr>
        <w:t xml:space="preserve"> in terms of natural life and rare species.</w:t>
      </w:r>
    </w:p>
    <w:p w14:paraId="604FE49F" w14:textId="32CD2B1D" w:rsidR="00082434" w:rsidRPr="00EE43C6" w:rsidRDefault="00447779" w:rsidP="00082434">
      <w:pPr>
        <w:spacing w:before="200" w:after="200"/>
        <w:rPr>
          <w:rFonts w:eastAsia="Wingdings" w:cs="Wingdings"/>
          <w:szCs w:val="22"/>
          <w:highlight w:val="yellow"/>
        </w:rPr>
      </w:pPr>
      <w:r w:rsidRPr="00EE43C6">
        <w:rPr>
          <w:rFonts w:eastAsia="Wingdings" w:cs="Wingdings"/>
          <w:szCs w:val="22"/>
        </w:rPr>
        <w:lastRenderedPageBreak/>
        <w:t xml:space="preserve">It contains the largest alpine meadow communities in the Mediterranean region. The southern slopes of the mountains have different Mediterranean vegetation types. The deep canyons in this region have a temperate and humid microclimate, so they host some semi-tropical species that are not seen in other parts of </w:t>
      </w:r>
      <w:r w:rsidR="00117757">
        <w:rPr>
          <w:rFonts w:eastAsia="Wingdings" w:cs="Wingdings"/>
          <w:szCs w:val="22"/>
        </w:rPr>
        <w:t>Türkiye</w:t>
      </w:r>
      <w:r w:rsidRPr="00EE43C6">
        <w:rPr>
          <w:rFonts w:eastAsia="Wingdings" w:cs="Wingdings"/>
          <w:szCs w:val="22"/>
        </w:rPr>
        <w:t>. On the northern slopes, typical Central Anatolian continental climate is observed</w:t>
      </w:r>
      <w:r w:rsidR="009808B8" w:rsidRPr="00EE43C6">
        <w:rPr>
          <w:rFonts w:eastAsia="Wingdings" w:cs="Wingdings"/>
          <w:szCs w:val="22"/>
        </w:rPr>
        <w:t>,</w:t>
      </w:r>
      <w:r w:rsidRPr="00EE43C6">
        <w:rPr>
          <w:rFonts w:eastAsia="Wingdings" w:cs="Wingdings"/>
          <w:szCs w:val="22"/>
        </w:rPr>
        <w:t xml:space="preserve"> and this region is covered with mountain steppes and thin forest cover.</w:t>
      </w:r>
    </w:p>
    <w:p w14:paraId="581F9DEF" w14:textId="6458EAA9" w:rsidR="00781EC8" w:rsidRPr="00EE43C6" w:rsidRDefault="00781EC8" w:rsidP="00781EC8">
      <w:pPr>
        <w:spacing w:before="200" w:after="200"/>
        <w:rPr>
          <w:rFonts w:eastAsia="Wingdings" w:cs="Wingdings"/>
          <w:szCs w:val="22"/>
        </w:rPr>
      </w:pPr>
      <w:r w:rsidRPr="00EE43C6">
        <w:rPr>
          <w:rFonts w:eastAsia="Wingdings" w:cs="Wingdings"/>
          <w:szCs w:val="22"/>
        </w:rPr>
        <w:t>The region is one of the most unique wildlife areas in our country. Priority species from many living groups are found in the area.</w:t>
      </w:r>
    </w:p>
    <w:p w14:paraId="4FFAC8A4" w14:textId="6B912498" w:rsidR="00781EC8" w:rsidRPr="00EE43C6" w:rsidRDefault="00781EC8" w:rsidP="00781EC8">
      <w:pPr>
        <w:spacing w:before="200" w:after="200"/>
        <w:rPr>
          <w:rFonts w:eastAsia="Wingdings" w:cs="Wingdings"/>
          <w:szCs w:val="22"/>
        </w:rPr>
      </w:pPr>
      <w:r w:rsidRPr="00EE43C6">
        <w:rPr>
          <w:rFonts w:eastAsia="Wingdings" w:cs="Wingdings"/>
          <w:szCs w:val="22"/>
        </w:rPr>
        <w:t xml:space="preserve">There are about 300 plant species </w:t>
      </w:r>
      <w:r w:rsidR="00387678" w:rsidRPr="00EE43C6">
        <w:rPr>
          <w:rFonts w:eastAsia="Wingdings" w:cs="Wingdings"/>
          <w:szCs w:val="22"/>
        </w:rPr>
        <w:t>endemics</w:t>
      </w:r>
      <w:r w:rsidRPr="00EE43C6">
        <w:rPr>
          <w:rFonts w:eastAsia="Wingdings" w:cs="Wingdings"/>
          <w:szCs w:val="22"/>
        </w:rPr>
        <w:t xml:space="preserve"> to </w:t>
      </w:r>
      <w:r w:rsidR="00117757">
        <w:rPr>
          <w:rFonts w:eastAsia="Wingdings" w:cs="Wingdings"/>
          <w:szCs w:val="22"/>
        </w:rPr>
        <w:t>Türkiye</w:t>
      </w:r>
      <w:r w:rsidRPr="00EE43C6">
        <w:rPr>
          <w:rFonts w:eastAsia="Wingdings" w:cs="Wingdings"/>
          <w:szCs w:val="22"/>
        </w:rPr>
        <w:t xml:space="preserve"> in the area. It is known that the known world distribution of about 10 of these species is limited to the Bolkar Mountains.</w:t>
      </w:r>
    </w:p>
    <w:p w14:paraId="3329F0BD" w14:textId="1FD6CCDE" w:rsidR="00781EC8" w:rsidRPr="00EE43C6" w:rsidRDefault="00781EC8" w:rsidP="00781EC8">
      <w:pPr>
        <w:spacing w:before="200" w:after="200"/>
        <w:rPr>
          <w:rFonts w:eastAsia="Wingdings" w:cs="Wingdings"/>
          <w:szCs w:val="22"/>
        </w:rPr>
      </w:pPr>
      <w:r w:rsidRPr="00EE43C6">
        <w:rPr>
          <w:rFonts w:eastAsia="Wingdings" w:cs="Wingdings"/>
          <w:szCs w:val="22"/>
        </w:rPr>
        <w:t xml:space="preserve">The area is also very important for birds, especially for predators. </w:t>
      </w:r>
      <w:r w:rsidR="005B7BB7" w:rsidRPr="00EE43C6">
        <w:rPr>
          <w:rFonts w:eastAsia="Wingdings" w:cs="Wingdings"/>
          <w:szCs w:val="22"/>
        </w:rPr>
        <w:t>Lanner</w:t>
      </w:r>
      <w:r w:rsidRPr="00EE43C6">
        <w:rPr>
          <w:rFonts w:eastAsia="Wingdings" w:cs="Wingdings"/>
          <w:szCs w:val="22"/>
        </w:rPr>
        <w:t xml:space="preserve"> falcon (</w:t>
      </w:r>
      <w:r w:rsidRPr="00EE43C6">
        <w:rPr>
          <w:rFonts w:eastAsia="Wingdings" w:cs="Wingdings"/>
          <w:i/>
          <w:szCs w:val="22"/>
        </w:rPr>
        <w:t>Falco biarmicus</w:t>
      </w:r>
      <w:r w:rsidRPr="00EE43C6">
        <w:rPr>
          <w:rFonts w:eastAsia="Wingdings" w:cs="Wingdings"/>
          <w:szCs w:val="22"/>
        </w:rPr>
        <w:t xml:space="preserve">), bearded vulture (Gypaetos barbatus), </w:t>
      </w:r>
      <w:r w:rsidR="000D1CC5" w:rsidRPr="00EE43C6">
        <w:rPr>
          <w:rFonts w:eastAsia="Wingdings" w:cs="Wingdings"/>
          <w:szCs w:val="22"/>
        </w:rPr>
        <w:t>Egyptian</w:t>
      </w:r>
      <w:r w:rsidRPr="00EE43C6">
        <w:rPr>
          <w:rFonts w:eastAsia="Wingdings" w:cs="Wingdings"/>
          <w:szCs w:val="22"/>
        </w:rPr>
        <w:t xml:space="preserve"> vulture (Neophron percnopterus), black kite (</w:t>
      </w:r>
      <w:r w:rsidRPr="00EE43C6">
        <w:rPr>
          <w:rFonts w:eastAsia="Wingdings" w:cs="Wingdings"/>
          <w:i/>
          <w:szCs w:val="22"/>
        </w:rPr>
        <w:t>Milvus migrans</w:t>
      </w:r>
      <w:r w:rsidRPr="00EE43C6">
        <w:rPr>
          <w:rFonts w:eastAsia="Wingdings" w:cs="Wingdings"/>
          <w:szCs w:val="22"/>
        </w:rPr>
        <w:t xml:space="preserve">) and </w:t>
      </w:r>
      <w:r w:rsidR="00730F2E" w:rsidRPr="00EE43C6">
        <w:rPr>
          <w:rFonts w:eastAsia="Wingdings" w:cs="Wingdings"/>
          <w:szCs w:val="22"/>
        </w:rPr>
        <w:t>Caspian snowcock</w:t>
      </w:r>
      <w:r w:rsidRPr="00EE43C6">
        <w:rPr>
          <w:rFonts w:eastAsia="Wingdings" w:cs="Wingdings"/>
          <w:szCs w:val="22"/>
        </w:rPr>
        <w:t xml:space="preserve"> (</w:t>
      </w:r>
      <w:r w:rsidRPr="00EE43C6">
        <w:rPr>
          <w:rFonts w:eastAsia="Wingdings" w:cs="Wingdings"/>
          <w:i/>
          <w:szCs w:val="22"/>
        </w:rPr>
        <w:t>Tetraogallus caspius</w:t>
      </w:r>
      <w:r w:rsidRPr="00EE43C6">
        <w:rPr>
          <w:rFonts w:eastAsia="Wingdings" w:cs="Wingdings"/>
          <w:szCs w:val="22"/>
        </w:rPr>
        <w:t>) breeding in the area are some of the priority birds for conservation.</w:t>
      </w:r>
    </w:p>
    <w:p w14:paraId="56DAF9F2" w14:textId="4F67FE76" w:rsidR="00781EC8" w:rsidRPr="00EE43C6" w:rsidRDefault="00781EC8" w:rsidP="00781EC8">
      <w:pPr>
        <w:spacing w:before="200" w:after="200"/>
        <w:rPr>
          <w:rFonts w:eastAsia="Wingdings" w:cs="Wingdings"/>
          <w:szCs w:val="22"/>
        </w:rPr>
      </w:pPr>
      <w:r w:rsidRPr="00EE43C6">
        <w:rPr>
          <w:rFonts w:eastAsia="Wingdings" w:cs="Wingdings"/>
          <w:szCs w:val="22"/>
        </w:rPr>
        <w:t>Bolkar Mountains is one of the most important areas of our country in terms of mammal species. Wild goat (</w:t>
      </w:r>
      <w:r w:rsidRPr="00EE43C6">
        <w:rPr>
          <w:rFonts w:eastAsia="Wingdings" w:cs="Wingdings"/>
          <w:i/>
          <w:szCs w:val="22"/>
        </w:rPr>
        <w:t>Capra aegagrus</w:t>
      </w:r>
      <w:r w:rsidRPr="00EE43C6">
        <w:rPr>
          <w:rFonts w:eastAsia="Wingdings" w:cs="Wingdings"/>
          <w:szCs w:val="22"/>
        </w:rPr>
        <w:t xml:space="preserve">), </w:t>
      </w:r>
      <w:r w:rsidR="00E20198" w:rsidRPr="00EE43C6">
        <w:rPr>
          <w:rFonts w:eastAsia="Wingdings" w:cs="Wingdings"/>
          <w:szCs w:val="22"/>
        </w:rPr>
        <w:t xml:space="preserve">Eurasian </w:t>
      </w:r>
      <w:r w:rsidRPr="00EE43C6">
        <w:rPr>
          <w:rFonts w:eastAsia="Wingdings" w:cs="Wingdings"/>
          <w:szCs w:val="22"/>
        </w:rPr>
        <w:t>lynx (</w:t>
      </w:r>
      <w:r w:rsidRPr="00EE43C6">
        <w:rPr>
          <w:rFonts w:eastAsia="Wingdings" w:cs="Wingdings"/>
          <w:i/>
          <w:szCs w:val="22"/>
        </w:rPr>
        <w:t>Lynx lynx</w:t>
      </w:r>
      <w:r w:rsidRPr="00EE43C6">
        <w:rPr>
          <w:rFonts w:eastAsia="Wingdings" w:cs="Wingdings"/>
          <w:szCs w:val="22"/>
        </w:rPr>
        <w:t xml:space="preserve">), woolly </w:t>
      </w:r>
      <w:r w:rsidR="00E20198" w:rsidRPr="00EE43C6">
        <w:rPr>
          <w:rFonts w:eastAsia="Wingdings" w:cs="Wingdings"/>
          <w:szCs w:val="22"/>
        </w:rPr>
        <w:t>dormouse</w:t>
      </w:r>
      <w:r w:rsidRPr="00EE43C6">
        <w:rPr>
          <w:rFonts w:eastAsia="Wingdings" w:cs="Wingdings"/>
          <w:szCs w:val="22"/>
        </w:rPr>
        <w:t xml:space="preserve"> (</w:t>
      </w:r>
      <w:r w:rsidRPr="00EE43C6">
        <w:rPr>
          <w:rFonts w:eastAsia="Wingdings" w:cs="Wingdings"/>
          <w:i/>
          <w:szCs w:val="22"/>
        </w:rPr>
        <w:t>Dryomys laniger</w:t>
      </w:r>
      <w:r w:rsidRPr="00EE43C6">
        <w:rPr>
          <w:rFonts w:eastAsia="Wingdings" w:cs="Wingdings"/>
          <w:szCs w:val="22"/>
        </w:rPr>
        <w:t xml:space="preserve">) and three different bat species give the area KBA status. </w:t>
      </w:r>
    </w:p>
    <w:p w14:paraId="04AA6908" w14:textId="3C3FB06E" w:rsidR="00082434" w:rsidRPr="00EE43C6" w:rsidRDefault="00082434" w:rsidP="00082434">
      <w:pPr>
        <w:spacing w:before="200" w:after="200"/>
        <w:rPr>
          <w:rFonts w:eastAsia="Wingdings" w:cs="Wingdings"/>
          <w:szCs w:val="22"/>
        </w:rPr>
      </w:pPr>
      <w:r w:rsidRPr="00EE43C6">
        <w:rPr>
          <w:rFonts w:eastAsia="Wingdings" w:cs="Wingdings"/>
          <w:szCs w:val="22"/>
        </w:rPr>
        <w:t xml:space="preserve">KBA, which has an area of </w:t>
      </w:r>
      <w:r w:rsidR="006457F7" w:rsidRPr="00EE43C6">
        <w:rPr>
          <w:rFonts w:eastAsia="Wingdings" w:cs="Wingdings"/>
          <w:szCs w:val="22"/>
        </w:rPr>
        <w:t>399,366</w:t>
      </w:r>
      <w:r w:rsidRPr="00EE43C6">
        <w:rPr>
          <w:rFonts w:eastAsia="Wingdings" w:cs="Wingdings"/>
          <w:szCs w:val="22"/>
        </w:rPr>
        <w:t xml:space="preserve"> ha, is located </w:t>
      </w:r>
      <w:r w:rsidR="006457F7" w:rsidRPr="00EE43C6">
        <w:rPr>
          <w:rFonts w:eastAsia="Wingdings" w:cs="Wingdings"/>
          <w:szCs w:val="22"/>
        </w:rPr>
        <w:t>11</w:t>
      </w:r>
      <w:r w:rsidRPr="00EE43C6">
        <w:rPr>
          <w:rFonts w:eastAsia="Wingdings" w:cs="Wingdings"/>
          <w:szCs w:val="22"/>
        </w:rPr>
        <w:t xml:space="preserve"> km from the </w:t>
      </w:r>
      <w:r w:rsidR="006C51C2" w:rsidRPr="00EE43C6">
        <w:rPr>
          <w:rFonts w:eastAsia="Wingdings" w:cs="Wingdings"/>
          <w:szCs w:val="22"/>
        </w:rPr>
        <w:t>Project Area</w:t>
      </w:r>
      <w:r w:rsidRPr="00EE43C6">
        <w:rPr>
          <w:rFonts w:eastAsia="Wingdings" w:cs="Wingdings"/>
          <w:szCs w:val="22"/>
        </w:rPr>
        <w:t>.</w:t>
      </w:r>
    </w:p>
    <w:p w14:paraId="188C0CE2" w14:textId="66A7BBB2" w:rsidR="00082434" w:rsidRPr="00EE43C6" w:rsidRDefault="009E7D7F" w:rsidP="009E7D7F">
      <w:pPr>
        <w:spacing w:before="0" w:after="0" w:line="240" w:lineRule="auto"/>
        <w:jc w:val="center"/>
        <w:rPr>
          <w:highlight w:val="yellow"/>
          <w:lang w:eastAsia="tr-TR"/>
        </w:rPr>
      </w:pPr>
      <w:r w:rsidRPr="00EE43C6">
        <w:rPr>
          <w:noProof/>
        </w:rPr>
        <w:lastRenderedPageBreak/>
        <w:drawing>
          <wp:inline distT="0" distB="0" distL="0" distR="0" wp14:anchorId="492ECD5B" wp14:editId="03D12F12">
            <wp:extent cx="5732675" cy="8100000"/>
            <wp:effectExtent l="38100" t="38100" r="40005" b="34925"/>
            <wp:docPr id="103" name="Resim 103"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esim 103" descr="harita içeren bir resim&#10;&#10;Açıklama otomatik olarak oluşturuldu"/>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732675" cy="8100000"/>
                    </a:xfrm>
                    <a:prstGeom prst="rect">
                      <a:avLst/>
                    </a:prstGeom>
                    <a:noFill/>
                    <a:ln w="38100">
                      <a:solidFill>
                        <a:schemeClr val="tx1"/>
                      </a:solidFill>
                    </a:ln>
                  </pic:spPr>
                </pic:pic>
              </a:graphicData>
            </a:graphic>
          </wp:inline>
        </w:drawing>
      </w:r>
      <w:r w:rsidRPr="00EE43C6">
        <w:rPr>
          <w:highlight w:val="yellow"/>
          <w:lang w:eastAsia="tr-TR"/>
        </w:rPr>
        <w:t xml:space="preserve"> </w:t>
      </w:r>
    </w:p>
    <w:p w14:paraId="4FD6FDB0" w14:textId="0E6E6C66" w:rsidR="00082434" w:rsidRPr="00EE43C6" w:rsidRDefault="00663B28" w:rsidP="00082434">
      <w:pPr>
        <w:pStyle w:val="Caption"/>
        <w:rPr>
          <w:rFonts w:cs="Wingdings"/>
          <w:b w:val="0"/>
          <w:noProof w:val="0"/>
          <w:color w:val="000000"/>
        </w:rPr>
      </w:pPr>
      <w:bookmarkStart w:id="371" w:name="_Toc62821491"/>
      <w:bookmarkStart w:id="372" w:name="_Toc120016840"/>
      <w:bookmarkStart w:id="373" w:name="_Toc120004618"/>
      <w:bookmarkStart w:id="374" w:name="_Toc122089728"/>
      <w:bookmarkStart w:id="375" w:name="_Toc141445573"/>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4</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2334B">
        <w:rPr>
          <w:color w:val="00B050"/>
        </w:rPr>
        <w:t>14</w:t>
      </w:r>
      <w:r w:rsidR="0096150F">
        <w:rPr>
          <w:noProof w:val="0"/>
          <w:color w:val="00B050"/>
        </w:rPr>
        <w:fldChar w:fldCharType="end"/>
      </w:r>
      <w:r w:rsidR="00F60B11" w:rsidRPr="00EE43C6">
        <w:rPr>
          <w:noProof w:val="0"/>
          <w:color w:val="00B050"/>
        </w:rPr>
        <w:t>.</w:t>
      </w:r>
      <w:r w:rsidRPr="00EE43C6">
        <w:rPr>
          <w:noProof w:val="0"/>
          <w:color w:val="00B050"/>
        </w:rPr>
        <w:t xml:space="preserve"> </w:t>
      </w:r>
      <w:r w:rsidR="00082434" w:rsidRPr="00EE43C6">
        <w:rPr>
          <w:rFonts w:cs="Wingdings"/>
          <w:b w:val="0"/>
          <w:noProof w:val="0"/>
          <w:color w:val="000000"/>
        </w:rPr>
        <w:t>Internationally Recognized Areas</w:t>
      </w:r>
      <w:bookmarkEnd w:id="371"/>
      <w:bookmarkEnd w:id="372"/>
      <w:bookmarkEnd w:id="373"/>
      <w:bookmarkEnd w:id="374"/>
      <w:bookmarkEnd w:id="375"/>
    </w:p>
    <w:p w14:paraId="4C0227FA" w14:textId="77777777" w:rsidR="00F60B11" w:rsidRPr="00EE43C6" w:rsidRDefault="00F60B11" w:rsidP="00F60B11">
      <w:pPr>
        <w:rPr>
          <w:rFonts w:eastAsia="Wingdings"/>
          <w:lang w:eastAsia="en-US"/>
        </w:rPr>
      </w:pPr>
    </w:p>
    <w:p w14:paraId="05CF1CA3" w14:textId="77777777" w:rsidR="00082434" w:rsidRPr="00EE43C6" w:rsidRDefault="0597B555" w:rsidP="00082434">
      <w:pPr>
        <w:tabs>
          <w:tab w:val="left" w:pos="0"/>
        </w:tabs>
        <w:spacing w:after="120"/>
        <w:rPr>
          <w:rFonts w:eastAsia="Wingdings"/>
        </w:rPr>
      </w:pPr>
      <w:r w:rsidRPr="00EE43C6">
        <w:rPr>
          <w:rFonts w:eastAsia="Arial" w:cs="Arial"/>
        </w:rPr>
        <w:lastRenderedPageBreak/>
        <w:t>Nationally Protected and Internationally Recognized Areas are located a long distance from the project area. However, since the activities to be carried out are limited to the project area, the Nationally Protected and Internationally Recognized Areas are not under any threat due to the activities and are not expected to be damaged.</w:t>
      </w:r>
    </w:p>
    <w:p w14:paraId="299C9E90" w14:textId="7DA89EA4" w:rsidR="00BE3797" w:rsidRPr="00EE43C6" w:rsidRDefault="747B0B2B" w:rsidP="1C429C64">
      <w:pPr>
        <w:rPr>
          <w:rFonts w:cs="MS Gothic"/>
        </w:rPr>
      </w:pPr>
      <w:r w:rsidRPr="00EE43C6">
        <w:rPr>
          <w:rFonts w:cs="MS Gothic"/>
        </w:rPr>
        <w:t xml:space="preserve">Although </w:t>
      </w:r>
      <w:r w:rsidRPr="00EE43C6">
        <w:rPr>
          <w:rFonts w:eastAsia="Arial" w:cs="MS Gothic"/>
        </w:rPr>
        <w:t xml:space="preserve">there are </w:t>
      </w:r>
      <w:r w:rsidRPr="00EE43C6">
        <w:rPr>
          <w:rFonts w:cs="MS Gothic"/>
        </w:rPr>
        <w:t xml:space="preserve">IUCN red-listed and endemic species among the species identified in the project area, the distribution of all these species is quite wide. Therefore, the effects of the project area on these species are quite limited. Additionally, </w:t>
      </w:r>
      <w:r w:rsidRPr="00EE43C6">
        <w:rPr>
          <w:rFonts w:eastAsia="Arial" w:cs="MS Gothic"/>
        </w:rPr>
        <w:t xml:space="preserve">there are </w:t>
      </w:r>
      <w:r w:rsidRPr="00EE43C6">
        <w:rPr>
          <w:rFonts w:cs="MS Gothic"/>
        </w:rPr>
        <w:t xml:space="preserve">no </w:t>
      </w:r>
      <w:r w:rsidR="00165A8C">
        <w:rPr>
          <w:rFonts w:cs="MS Gothic"/>
        </w:rPr>
        <w:t>“</w:t>
      </w:r>
      <w:r w:rsidRPr="00EE43C6">
        <w:rPr>
          <w:rFonts w:cs="MS Gothic"/>
        </w:rPr>
        <w:t>National Protected Areas</w:t>
      </w:r>
      <w:r w:rsidR="00165A8C">
        <w:rPr>
          <w:rFonts w:cs="MS Gothic"/>
        </w:rPr>
        <w:t>”</w:t>
      </w:r>
      <w:r w:rsidRPr="00EE43C6">
        <w:rPr>
          <w:rFonts w:cs="MS Gothic"/>
        </w:rPr>
        <w:t xml:space="preserve"> or </w:t>
      </w:r>
      <w:r w:rsidR="00165A8C">
        <w:rPr>
          <w:rFonts w:cs="MS Gothic"/>
        </w:rPr>
        <w:t>“</w:t>
      </w:r>
      <w:r w:rsidRPr="00EE43C6">
        <w:rPr>
          <w:rFonts w:cs="MS Gothic"/>
        </w:rPr>
        <w:t>Internationally Recognized Areas</w:t>
      </w:r>
      <w:r w:rsidR="00AF140A" w:rsidRPr="00EE43C6">
        <w:rPr>
          <w:rFonts w:cs="MS Gothic"/>
        </w:rPr>
        <w:t>” (such as World Heritage Natural Sites, Biosphere Reserves, Ramsar Wetlands of International Importance, Key Biodiversity Areas, Important Bird Areas, and Alliance for Zero Extinction Sites)</w:t>
      </w:r>
      <w:r w:rsidR="00F614EE" w:rsidRPr="00EE43C6">
        <w:rPr>
          <w:rFonts w:cs="MS Gothic"/>
        </w:rPr>
        <w:t xml:space="preserve"> </w:t>
      </w:r>
      <w:r w:rsidRPr="00EE43C6">
        <w:rPr>
          <w:rFonts w:cs="MS Gothic"/>
        </w:rPr>
        <w:t xml:space="preserve">within the AoI. At the same time, the AoI does not have the characteristics of a </w:t>
      </w:r>
      <w:r w:rsidR="10F02B81" w:rsidRPr="00EE43C6">
        <w:t>feeding, breeding and stopover areas for migratory species</w:t>
      </w:r>
      <w:r w:rsidRPr="00EE43C6">
        <w:rPr>
          <w:rFonts w:cs="MS Gothic"/>
        </w:rPr>
        <w:t>. As a result of this assessment, the Project Area of Influence cannot be classified as a critical habitat.</w:t>
      </w:r>
    </w:p>
    <w:p w14:paraId="3A750880" w14:textId="77777777" w:rsidR="00EF5CC1" w:rsidRPr="00EE43C6" w:rsidRDefault="00EF5CC1" w:rsidP="00D003A4">
      <w:pPr>
        <w:tabs>
          <w:tab w:val="left" w:pos="0"/>
        </w:tabs>
        <w:spacing w:after="120"/>
        <w:rPr>
          <w:rFonts w:cs="Wingdings"/>
        </w:rPr>
      </w:pPr>
    </w:p>
    <w:p w14:paraId="44A370A0" w14:textId="275BA316" w:rsidR="00A82B5D" w:rsidRPr="00EE43C6" w:rsidRDefault="00A82B5D" w:rsidP="006A10D7">
      <w:pPr>
        <w:rPr>
          <w:rFonts w:cs="Wingdings"/>
        </w:rPr>
        <w:sectPr w:rsidR="00A82B5D" w:rsidRPr="00EE43C6" w:rsidSect="00E67C71">
          <w:headerReference w:type="default" r:id="rId60"/>
          <w:pgSz w:w="11900" w:h="16840" w:code="9"/>
          <w:pgMar w:top="1418" w:right="1418" w:bottom="1418" w:left="1418" w:header="709" w:footer="147" w:gutter="0"/>
          <w:cols w:space="708"/>
          <w:docGrid w:linePitch="360"/>
        </w:sectPr>
      </w:pPr>
    </w:p>
    <w:p w14:paraId="1ECCE955" w14:textId="7E84D939" w:rsidR="004339AC" w:rsidRPr="00EE43C6" w:rsidRDefault="004339AC" w:rsidP="00132E74">
      <w:pPr>
        <w:pStyle w:val="Heading1"/>
        <w:ind w:left="426"/>
        <w:rPr>
          <w:noProof w:val="0"/>
          <w:lang w:val="en-GB"/>
        </w:rPr>
      </w:pPr>
      <w:bookmarkStart w:id="376" w:name="_Toc80633542"/>
      <w:bookmarkStart w:id="377" w:name="_Toc120016929"/>
      <w:bookmarkStart w:id="378" w:name="_Toc120004707"/>
      <w:bookmarkStart w:id="379" w:name="_Toc141445418"/>
      <w:bookmarkEnd w:id="317"/>
      <w:r w:rsidRPr="00EE43C6">
        <w:rPr>
          <w:noProof w:val="0"/>
          <w:lang w:val="en-GB"/>
        </w:rPr>
        <w:lastRenderedPageBreak/>
        <w:t xml:space="preserve">SOCIAL </w:t>
      </w:r>
      <w:r w:rsidR="00334F4C" w:rsidRPr="00EE43C6">
        <w:rPr>
          <w:noProof w:val="0"/>
          <w:lang w:val="en-GB"/>
        </w:rPr>
        <w:t xml:space="preserve">BASELINE </w:t>
      </w:r>
      <w:r w:rsidRPr="00EE43C6">
        <w:rPr>
          <w:noProof w:val="0"/>
          <w:lang w:val="en-GB"/>
        </w:rPr>
        <w:t>OF THE PROJECT</w:t>
      </w:r>
      <w:bookmarkEnd w:id="376"/>
      <w:bookmarkEnd w:id="377"/>
      <w:bookmarkEnd w:id="378"/>
      <w:bookmarkEnd w:id="379"/>
      <w:r w:rsidRPr="00EE43C6">
        <w:rPr>
          <w:noProof w:val="0"/>
          <w:lang w:val="en-GB"/>
        </w:rPr>
        <w:t xml:space="preserve"> </w:t>
      </w:r>
    </w:p>
    <w:p w14:paraId="031925C0" w14:textId="77777777" w:rsidR="00845680" w:rsidRPr="00EE43C6" w:rsidRDefault="00845680" w:rsidP="00845680">
      <w:pPr>
        <w:rPr>
          <w:rFonts w:cs="Wingdings"/>
          <w:szCs w:val="22"/>
        </w:rPr>
      </w:pPr>
      <w:r w:rsidRPr="00EE43C6">
        <w:rPr>
          <w:rFonts w:cs="Wingdings"/>
          <w:szCs w:val="22"/>
        </w:rPr>
        <w:t>In this section, quantitative and qualitative data have been compiled for the social baseline of the Project. The purpose of the socio-economic baseline study is to describe socio-economic conditions and trends in areas potentially affected by the Project in order to understand potential impacts and develop appropriate mitigation measures. The social baseline identifies key socio-economic issues of provincial and local communities and establishes a socio-economic database that can be used to monitor changes in affected communities post Project.</w:t>
      </w:r>
    </w:p>
    <w:p w14:paraId="76C9E62D" w14:textId="77777777" w:rsidR="00845680" w:rsidRPr="00EE43C6" w:rsidRDefault="00845680" w:rsidP="00845680">
      <w:pPr>
        <w:rPr>
          <w:rFonts w:cs="Wingdings"/>
          <w:szCs w:val="22"/>
        </w:rPr>
      </w:pPr>
      <w:r w:rsidRPr="00EE43C6">
        <w:rPr>
          <w:rFonts w:cs="Wingdings"/>
          <w:szCs w:val="22"/>
        </w:rPr>
        <w:t>The following topics were selected for discussion of social indicators of the settlements around the Project area:</w:t>
      </w:r>
    </w:p>
    <w:p w14:paraId="7CE3E69A" w14:textId="77777777" w:rsidR="00B60632" w:rsidRPr="00EE43C6" w:rsidRDefault="00845680" w:rsidP="00854BE8">
      <w:pPr>
        <w:pStyle w:val="ListParagraph"/>
        <w:numPr>
          <w:ilvl w:val="0"/>
          <w:numId w:val="36"/>
        </w:numPr>
        <w:rPr>
          <w:rFonts w:cs="Wingdings"/>
          <w:noProof w:val="0"/>
        </w:rPr>
      </w:pPr>
      <w:r w:rsidRPr="00EE43C6">
        <w:rPr>
          <w:rFonts w:cs="Wingdings"/>
          <w:noProof w:val="0"/>
        </w:rPr>
        <w:t>Cultural Heritage</w:t>
      </w:r>
      <w:r w:rsidR="00B60632" w:rsidRPr="00EE43C6">
        <w:rPr>
          <w:rFonts w:cs="Wingdings"/>
          <w:noProof w:val="0"/>
        </w:rPr>
        <w:t>;</w:t>
      </w:r>
    </w:p>
    <w:p w14:paraId="42050DC3" w14:textId="77777777" w:rsidR="00B60632" w:rsidRPr="00EE43C6" w:rsidRDefault="00845680" w:rsidP="00854BE8">
      <w:pPr>
        <w:pStyle w:val="ListParagraph"/>
        <w:numPr>
          <w:ilvl w:val="0"/>
          <w:numId w:val="36"/>
        </w:numPr>
        <w:rPr>
          <w:rFonts w:cs="Wingdings"/>
          <w:noProof w:val="0"/>
        </w:rPr>
      </w:pPr>
      <w:r w:rsidRPr="00EE43C6">
        <w:rPr>
          <w:rFonts w:cs="Wingdings"/>
          <w:noProof w:val="0"/>
        </w:rPr>
        <w:t>Traffic and Transport</w:t>
      </w:r>
      <w:r w:rsidR="00B60632" w:rsidRPr="00EE43C6">
        <w:rPr>
          <w:rFonts w:cs="Wingdings"/>
          <w:noProof w:val="0"/>
        </w:rPr>
        <w:t>;</w:t>
      </w:r>
    </w:p>
    <w:p w14:paraId="195CD807" w14:textId="77777777" w:rsidR="00B60632" w:rsidRPr="00EE43C6" w:rsidRDefault="00845680" w:rsidP="00854BE8">
      <w:pPr>
        <w:pStyle w:val="ListParagraph"/>
        <w:numPr>
          <w:ilvl w:val="0"/>
          <w:numId w:val="36"/>
        </w:numPr>
        <w:rPr>
          <w:rFonts w:cs="Wingdings"/>
          <w:noProof w:val="0"/>
        </w:rPr>
      </w:pPr>
      <w:r w:rsidRPr="00EE43C6">
        <w:rPr>
          <w:rFonts w:cs="Wingdings"/>
          <w:noProof w:val="0"/>
        </w:rPr>
        <w:t>Demography and Population,</w:t>
      </w:r>
    </w:p>
    <w:p w14:paraId="559CC356" w14:textId="77777777" w:rsidR="00B60632" w:rsidRPr="00EE43C6" w:rsidRDefault="00845680" w:rsidP="00854BE8">
      <w:pPr>
        <w:pStyle w:val="ListParagraph"/>
        <w:numPr>
          <w:ilvl w:val="0"/>
          <w:numId w:val="36"/>
        </w:numPr>
        <w:rPr>
          <w:rFonts w:cs="Wingdings"/>
          <w:noProof w:val="0"/>
        </w:rPr>
      </w:pPr>
      <w:r w:rsidRPr="00EE43C6">
        <w:rPr>
          <w:rFonts w:cs="Wingdings"/>
          <w:noProof w:val="0"/>
        </w:rPr>
        <w:t>Livelihoods and Employment,</w:t>
      </w:r>
    </w:p>
    <w:p w14:paraId="1AB7DE33" w14:textId="77777777" w:rsidR="00B60632" w:rsidRPr="00EE43C6" w:rsidRDefault="00845680" w:rsidP="00854BE8">
      <w:pPr>
        <w:pStyle w:val="ListParagraph"/>
        <w:numPr>
          <w:ilvl w:val="0"/>
          <w:numId w:val="36"/>
        </w:numPr>
        <w:rPr>
          <w:rFonts w:cs="Wingdings"/>
          <w:noProof w:val="0"/>
        </w:rPr>
      </w:pPr>
      <w:r w:rsidRPr="00EE43C6">
        <w:rPr>
          <w:rFonts w:cs="Wingdings"/>
          <w:noProof w:val="0"/>
        </w:rPr>
        <w:t>Education</w:t>
      </w:r>
      <w:r w:rsidR="00B60632" w:rsidRPr="00EE43C6">
        <w:rPr>
          <w:rFonts w:cs="Wingdings"/>
          <w:noProof w:val="0"/>
        </w:rPr>
        <w:t xml:space="preserve"> and Health Services;</w:t>
      </w:r>
    </w:p>
    <w:p w14:paraId="138E0263" w14:textId="77777777" w:rsidR="00B60632" w:rsidRPr="00EE43C6" w:rsidRDefault="00845680" w:rsidP="00854BE8">
      <w:pPr>
        <w:pStyle w:val="ListParagraph"/>
        <w:numPr>
          <w:ilvl w:val="0"/>
          <w:numId w:val="36"/>
        </w:numPr>
        <w:rPr>
          <w:rFonts w:cs="Wingdings"/>
          <w:noProof w:val="0"/>
        </w:rPr>
      </w:pPr>
      <w:r w:rsidRPr="00EE43C6">
        <w:rPr>
          <w:rFonts w:cs="Wingdings"/>
          <w:noProof w:val="0"/>
        </w:rPr>
        <w:t>Vulnerable Groups,</w:t>
      </w:r>
    </w:p>
    <w:p w14:paraId="7B792670" w14:textId="77777777" w:rsidR="00B60632" w:rsidRPr="00EE43C6" w:rsidRDefault="00845680" w:rsidP="00854BE8">
      <w:pPr>
        <w:pStyle w:val="ListParagraph"/>
        <w:numPr>
          <w:ilvl w:val="0"/>
          <w:numId w:val="36"/>
        </w:numPr>
        <w:rPr>
          <w:rFonts w:cs="Wingdings"/>
          <w:noProof w:val="0"/>
        </w:rPr>
      </w:pPr>
      <w:r w:rsidRPr="00EE43C6">
        <w:rPr>
          <w:rFonts w:cs="Wingdings"/>
          <w:noProof w:val="0"/>
        </w:rPr>
        <w:t>Infrastructure Services,</w:t>
      </w:r>
    </w:p>
    <w:p w14:paraId="21304F4E" w14:textId="6F431492" w:rsidR="00845680" w:rsidRPr="00EE43C6" w:rsidRDefault="00845680" w:rsidP="00854BE8">
      <w:pPr>
        <w:pStyle w:val="ListParagraph"/>
        <w:numPr>
          <w:ilvl w:val="0"/>
          <w:numId w:val="36"/>
        </w:numPr>
        <w:rPr>
          <w:rFonts w:cs="Wingdings"/>
          <w:noProof w:val="0"/>
        </w:rPr>
      </w:pPr>
      <w:r w:rsidRPr="00EE43C6">
        <w:rPr>
          <w:rFonts w:cs="Wingdings"/>
          <w:noProof w:val="0"/>
        </w:rPr>
        <w:t>Level of Knowledge about the Project.</w:t>
      </w:r>
    </w:p>
    <w:p w14:paraId="555F3263" w14:textId="48DAEF71" w:rsidR="00845680" w:rsidRPr="00EE43C6" w:rsidRDefault="00845680" w:rsidP="00845680">
      <w:pPr>
        <w:rPr>
          <w:rFonts w:cs="Wingdings"/>
          <w:szCs w:val="22"/>
        </w:rPr>
      </w:pPr>
      <w:r w:rsidRPr="00EE43C6">
        <w:rPr>
          <w:rFonts w:cs="Arial"/>
          <w:szCs w:val="22"/>
        </w:rPr>
        <w:t xml:space="preserve">A site visit was carried out on </w:t>
      </w:r>
      <w:r w:rsidR="00E96AD9" w:rsidRPr="00EE43C6">
        <w:rPr>
          <w:rFonts w:cs="Arial"/>
          <w:szCs w:val="22"/>
        </w:rPr>
        <w:t>20.12.</w:t>
      </w:r>
      <w:r w:rsidR="00E96AD9" w:rsidRPr="00EE43C6">
        <w:rPr>
          <w:rFonts w:eastAsia="Arial TUR" w:cs="Arial"/>
          <w:szCs w:val="22"/>
        </w:rPr>
        <w:t>2022</w:t>
      </w:r>
      <w:r w:rsidR="00E96AD9" w:rsidRPr="00EE43C6">
        <w:rPr>
          <w:rFonts w:cs="Arial"/>
          <w:szCs w:val="22"/>
        </w:rPr>
        <w:t xml:space="preserve"> </w:t>
      </w:r>
      <w:r w:rsidR="00165A8C">
        <w:rPr>
          <w:rFonts w:cs="Arial"/>
          <w:szCs w:val="22"/>
        </w:rPr>
        <w:t>–</w:t>
      </w:r>
      <w:r w:rsidR="00E96AD9" w:rsidRPr="00EE43C6">
        <w:rPr>
          <w:rFonts w:cs="Arial"/>
          <w:szCs w:val="22"/>
        </w:rPr>
        <w:t xml:space="preserve"> 21.12.</w:t>
      </w:r>
      <w:r w:rsidRPr="00EE43C6">
        <w:rPr>
          <w:rFonts w:cs="Arial"/>
          <w:szCs w:val="22"/>
        </w:rPr>
        <w:t xml:space="preserve">2022 to see the Project </w:t>
      </w:r>
      <w:r w:rsidR="006C51C2" w:rsidRPr="00EE43C6">
        <w:rPr>
          <w:rFonts w:cs="Arial"/>
          <w:szCs w:val="22"/>
        </w:rPr>
        <w:t>Area</w:t>
      </w:r>
      <w:r w:rsidRPr="00EE43C6">
        <w:rPr>
          <w:rFonts w:cs="Arial"/>
          <w:szCs w:val="22"/>
        </w:rPr>
        <w:t xml:space="preserve">, identify sensitives and determine whether there are any formal and informal users on the land. During the site visit, a meeting was held with the </w:t>
      </w:r>
      <w:r w:rsidR="00B561CF" w:rsidRPr="00EE43C6">
        <w:rPr>
          <w:rFonts w:cs="Arial"/>
          <w:szCs w:val="22"/>
        </w:rPr>
        <w:t>TUIOSB</w:t>
      </w:r>
      <w:r w:rsidRPr="00EE43C6">
        <w:rPr>
          <w:rFonts w:cs="Arial"/>
          <w:szCs w:val="22"/>
        </w:rPr>
        <w:t xml:space="preserve"> and preliminary information about the Project was received. During the field visit, a meeting was held with the headm</w:t>
      </w:r>
      <w:r w:rsidR="00FA7529" w:rsidRPr="00EE43C6">
        <w:rPr>
          <w:rFonts w:cs="Arial"/>
          <w:szCs w:val="22"/>
        </w:rPr>
        <w:t>e</w:t>
      </w:r>
      <w:r w:rsidRPr="00EE43C6">
        <w:rPr>
          <w:rFonts w:cs="Arial"/>
          <w:szCs w:val="22"/>
        </w:rPr>
        <w:t xml:space="preserve">n of </w:t>
      </w:r>
      <w:r w:rsidR="00FA7529" w:rsidRPr="00EE43C6">
        <w:rPr>
          <w:rFonts w:cs="Arial"/>
          <w:szCs w:val="22"/>
        </w:rPr>
        <w:t xml:space="preserve">Kurbanlı, Eskişehir and Sağlıklı </w:t>
      </w:r>
      <w:r w:rsidRPr="00EE43C6">
        <w:rPr>
          <w:rFonts w:cs="Arial"/>
          <w:szCs w:val="22"/>
        </w:rPr>
        <w:t>neighbourhood</w:t>
      </w:r>
      <w:r w:rsidR="00FA7529" w:rsidRPr="00EE43C6">
        <w:rPr>
          <w:rFonts w:cs="Arial"/>
          <w:szCs w:val="22"/>
        </w:rPr>
        <w:t>s</w:t>
      </w:r>
      <w:r w:rsidRPr="00EE43C6">
        <w:rPr>
          <w:rFonts w:cs="Arial"/>
          <w:szCs w:val="22"/>
        </w:rPr>
        <w:t>.</w:t>
      </w:r>
    </w:p>
    <w:p w14:paraId="401CDA07" w14:textId="72483153" w:rsidR="00845680" w:rsidRPr="00EE43C6" w:rsidRDefault="00845680" w:rsidP="00845680">
      <w:pPr>
        <w:rPr>
          <w:rFonts w:cs="Wingdings"/>
          <w:szCs w:val="22"/>
        </w:rPr>
      </w:pPr>
      <w:r w:rsidRPr="00EE43C6">
        <w:rPr>
          <w:rFonts w:cs="Wingdings"/>
          <w:szCs w:val="22"/>
        </w:rPr>
        <w:t>Secondary data has an important role in understanding the social baseline and potential social risks and impacts. The information obtained from secondary data improves the quality of baseline studies. These data were collected and prepared through regional and national statistics and project documents.</w:t>
      </w:r>
    </w:p>
    <w:p w14:paraId="031A177F" w14:textId="1D7FCADF" w:rsidR="008B697C" w:rsidRPr="00EE43C6" w:rsidRDefault="008B697C" w:rsidP="00B625EB">
      <w:pPr>
        <w:pStyle w:val="Heading2"/>
        <w:ind w:hanging="718"/>
        <w:rPr>
          <w:lang w:val="en-GB"/>
        </w:rPr>
      </w:pPr>
      <w:bookmarkStart w:id="380" w:name="_Toc120016930"/>
      <w:bookmarkStart w:id="381" w:name="_Toc120004708"/>
      <w:bookmarkStart w:id="382" w:name="_Toc141445419"/>
      <w:r w:rsidRPr="00EE43C6">
        <w:rPr>
          <w:lang w:val="en-GB"/>
        </w:rPr>
        <w:t>Cultural Heritage</w:t>
      </w:r>
      <w:bookmarkEnd w:id="380"/>
      <w:bookmarkEnd w:id="381"/>
      <w:bookmarkEnd w:id="382"/>
    </w:p>
    <w:p w14:paraId="16CA474C" w14:textId="01DED955" w:rsidR="00710314" w:rsidRPr="00EE43C6" w:rsidRDefault="00D66673" w:rsidP="00611A47">
      <w:r w:rsidRPr="00EE43C6">
        <w:t xml:space="preserve">There is an ancient Roman road to the west of the OIZ, approximately 1.5 </w:t>
      </w:r>
      <w:r w:rsidR="00C2405C" w:rsidRPr="00EE43C6">
        <w:t>kilometres</w:t>
      </w:r>
      <w:r w:rsidRPr="00EE43C6">
        <w:t xml:space="preserve"> from the air distance. There are quarries between OIZ and the ancient Roman road. It is considered that the Project will have no impact on this area. </w:t>
      </w:r>
      <w:r w:rsidR="005F3AA4" w:rsidRPr="00EE43C6">
        <w:t>Ancient Roman Road</w:t>
      </w:r>
      <w:r w:rsidRPr="00EE43C6">
        <w:t xml:space="preserve"> and the Project Area are presented in </w:t>
      </w:r>
      <w:r w:rsidR="00880175" w:rsidRPr="00EE43C6">
        <w:fldChar w:fldCharType="begin"/>
      </w:r>
      <w:r w:rsidR="00880175" w:rsidRPr="00EE43C6">
        <w:instrText xml:space="preserve"> REF _Ref126330130 \h  \* MERGEFORMAT </w:instrText>
      </w:r>
      <w:r w:rsidR="00880175" w:rsidRPr="00EE43C6">
        <w:fldChar w:fldCharType="separate"/>
      </w:r>
      <w:r w:rsidR="00CE3B94" w:rsidRPr="00EE43C6">
        <w:t>Figure 5</w:t>
      </w:r>
      <w:r w:rsidR="00CE3B94" w:rsidRPr="00EE43C6">
        <w:noBreakHyphen/>
        <w:t>1</w:t>
      </w:r>
      <w:r w:rsidR="00880175" w:rsidRPr="00EE43C6">
        <w:fldChar w:fldCharType="end"/>
      </w:r>
      <w:r w:rsidR="00880175" w:rsidRPr="00EE43C6">
        <w:t>.</w:t>
      </w:r>
    </w:p>
    <w:p w14:paraId="17BB511E" w14:textId="27DC7292" w:rsidR="00A07EB5" w:rsidRPr="00EE43C6" w:rsidRDefault="00A07EB5" w:rsidP="00592E68">
      <w:pPr>
        <w:spacing w:before="0" w:after="0"/>
      </w:pPr>
      <w:r w:rsidRPr="00EE43C6">
        <w:rPr>
          <w:noProof/>
        </w:rPr>
        <w:lastRenderedPageBreak/>
        <w:drawing>
          <wp:inline distT="0" distB="0" distL="0" distR="0" wp14:anchorId="6215B797" wp14:editId="6E2EBBAF">
            <wp:extent cx="5667375" cy="4012306"/>
            <wp:effectExtent l="38100" t="38100" r="28575" b="4572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669244" cy="4013629"/>
                    </a:xfrm>
                    <a:prstGeom prst="rect">
                      <a:avLst/>
                    </a:prstGeom>
                    <a:noFill/>
                    <a:ln w="38100">
                      <a:solidFill>
                        <a:schemeClr val="tx1"/>
                      </a:solidFill>
                    </a:ln>
                  </pic:spPr>
                </pic:pic>
              </a:graphicData>
            </a:graphic>
          </wp:inline>
        </w:drawing>
      </w:r>
    </w:p>
    <w:p w14:paraId="01B5A7DF" w14:textId="3400C397" w:rsidR="00A07EB5" w:rsidRPr="00EE43C6" w:rsidRDefault="00DB334D" w:rsidP="00591B1C">
      <w:pPr>
        <w:pStyle w:val="Caption"/>
        <w:rPr>
          <w:noProof w:val="0"/>
        </w:rPr>
      </w:pPr>
      <w:bookmarkStart w:id="383" w:name="_Ref126330130"/>
      <w:bookmarkStart w:id="384" w:name="_Toc141445574"/>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5</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1</w:t>
      </w:r>
      <w:r w:rsidR="0096150F">
        <w:rPr>
          <w:noProof w:val="0"/>
          <w:color w:val="00B050"/>
        </w:rPr>
        <w:fldChar w:fldCharType="end"/>
      </w:r>
      <w:bookmarkEnd w:id="383"/>
      <w:r w:rsidR="00B625EB" w:rsidRPr="00EE43C6">
        <w:rPr>
          <w:noProof w:val="0"/>
          <w:color w:val="00B050"/>
        </w:rPr>
        <w:t xml:space="preserve">. </w:t>
      </w:r>
      <w:r w:rsidR="00A07EB5" w:rsidRPr="00EE43C6">
        <w:rPr>
          <w:b w:val="0"/>
          <w:noProof w:val="0"/>
          <w:color w:val="000000" w:themeColor="text1"/>
        </w:rPr>
        <w:t xml:space="preserve">Ancient Roman Road and </w:t>
      </w:r>
      <w:r w:rsidR="00592E68" w:rsidRPr="00EE43C6">
        <w:rPr>
          <w:b w:val="0"/>
          <w:noProof w:val="0"/>
          <w:color w:val="000000" w:themeColor="text1"/>
        </w:rPr>
        <w:t>Project Area</w:t>
      </w:r>
      <w:bookmarkEnd w:id="384"/>
    </w:p>
    <w:p w14:paraId="5A06D7A6" w14:textId="68089A6C" w:rsidR="00014B29" w:rsidRPr="00EE43C6" w:rsidRDefault="00014B29" w:rsidP="00B625EB">
      <w:pPr>
        <w:pStyle w:val="Heading2"/>
        <w:ind w:hanging="718"/>
        <w:rPr>
          <w:lang w:val="en-GB"/>
        </w:rPr>
      </w:pPr>
      <w:bookmarkStart w:id="385" w:name="_Toc120016931"/>
      <w:bookmarkStart w:id="386" w:name="_Toc120004709"/>
      <w:bookmarkStart w:id="387" w:name="_Toc141445420"/>
      <w:r w:rsidRPr="00EE43C6">
        <w:rPr>
          <w:lang w:val="en-GB"/>
        </w:rPr>
        <w:t>Traffic and Transportation</w:t>
      </w:r>
      <w:bookmarkEnd w:id="385"/>
      <w:bookmarkEnd w:id="386"/>
      <w:bookmarkEnd w:id="387"/>
      <w:r w:rsidRPr="00EE43C6">
        <w:rPr>
          <w:lang w:val="en-GB"/>
        </w:rPr>
        <w:t xml:space="preserve"> </w:t>
      </w:r>
    </w:p>
    <w:p w14:paraId="3F1E9C8D" w14:textId="3097CD69" w:rsidR="00487DB8" w:rsidRPr="00EE43C6" w:rsidRDefault="00FB765B" w:rsidP="00FB765B">
      <w:pPr>
        <w:rPr>
          <w:rFonts w:cs="Wingdings"/>
          <w:szCs w:val="22"/>
        </w:rPr>
      </w:pPr>
      <w:r w:rsidRPr="00EE43C6">
        <w:rPr>
          <w:rFonts w:cs="Wingdings"/>
          <w:szCs w:val="22"/>
        </w:rPr>
        <w:t xml:space="preserve">A total of 8.85 km of road is planned to be built </w:t>
      </w:r>
      <w:r w:rsidR="00284441" w:rsidRPr="00EE43C6">
        <w:rPr>
          <w:rFonts w:cs="Wingdings"/>
          <w:szCs w:val="22"/>
        </w:rPr>
        <w:t>with</w:t>
      </w:r>
      <w:r w:rsidRPr="00EE43C6">
        <w:rPr>
          <w:rFonts w:cs="Wingdings"/>
          <w:szCs w:val="22"/>
        </w:rPr>
        <w:t xml:space="preserve">in the </w:t>
      </w:r>
      <w:r w:rsidR="00284441" w:rsidRPr="00EE43C6">
        <w:rPr>
          <w:rFonts w:cs="Wingdings"/>
          <w:szCs w:val="22"/>
        </w:rPr>
        <w:t xml:space="preserve">scope of the </w:t>
      </w:r>
      <w:r w:rsidRPr="00EE43C6">
        <w:rPr>
          <w:rFonts w:cs="Wingdings"/>
          <w:szCs w:val="22"/>
        </w:rPr>
        <w:t>Project</w:t>
      </w:r>
      <w:r w:rsidR="00FF7101" w:rsidRPr="00EE43C6">
        <w:rPr>
          <w:rFonts w:cs="Wingdings"/>
          <w:szCs w:val="22"/>
        </w:rPr>
        <w:t>. Also,</w:t>
      </w:r>
      <w:r w:rsidRPr="00EE43C6">
        <w:rPr>
          <w:rFonts w:cs="Wingdings"/>
          <w:szCs w:val="22"/>
        </w:rPr>
        <w:t xml:space="preserve"> the </w:t>
      </w:r>
      <w:r w:rsidRPr="00EE43C6">
        <w:rPr>
          <w:rFonts w:cs="Wingdings"/>
          <w:szCs w:val="18"/>
        </w:rPr>
        <w:t xml:space="preserve">Ankara-Aksaray Road (D750) </w:t>
      </w:r>
      <w:r w:rsidRPr="00EE43C6">
        <w:rPr>
          <w:rFonts w:cs="Wingdings"/>
          <w:szCs w:val="22"/>
        </w:rPr>
        <w:t xml:space="preserve">separating the Project Area will be constructed as an intersection with traffic lights (see </w:t>
      </w:r>
      <w:r w:rsidRPr="00EE43C6">
        <w:rPr>
          <w:rFonts w:cs="Wingdings"/>
          <w:szCs w:val="22"/>
        </w:rPr>
        <w:fldChar w:fldCharType="begin"/>
      </w:r>
      <w:r w:rsidRPr="00EE43C6">
        <w:rPr>
          <w:rFonts w:cs="Wingdings"/>
          <w:szCs w:val="22"/>
        </w:rPr>
        <w:instrText xml:space="preserve"> REF _Ref124776538 \h  \* MERGEFORMAT </w:instrText>
      </w:r>
      <w:r w:rsidRPr="00EE43C6">
        <w:rPr>
          <w:rFonts w:cs="Wingdings"/>
          <w:szCs w:val="22"/>
        </w:rPr>
      </w:r>
      <w:r w:rsidRPr="00EE43C6">
        <w:rPr>
          <w:rFonts w:cs="Wingdings"/>
          <w:szCs w:val="22"/>
        </w:rPr>
        <w:fldChar w:fldCharType="separate"/>
      </w:r>
      <w:r w:rsidR="00765896" w:rsidRPr="00765896">
        <w:rPr>
          <w:rFonts w:cs="Wingdings"/>
          <w:szCs w:val="22"/>
        </w:rPr>
        <w:t>Figure 2</w:t>
      </w:r>
      <w:r w:rsidR="00765896" w:rsidRPr="00765896">
        <w:rPr>
          <w:rFonts w:cs="Wingdings"/>
          <w:szCs w:val="22"/>
        </w:rPr>
        <w:noBreakHyphen/>
        <w:t>2</w:t>
      </w:r>
      <w:r w:rsidRPr="00EE43C6">
        <w:rPr>
          <w:rFonts w:cs="Wingdings"/>
          <w:szCs w:val="22"/>
        </w:rPr>
        <w:fldChar w:fldCharType="end"/>
      </w:r>
      <w:r w:rsidRPr="00EE43C6">
        <w:rPr>
          <w:rFonts w:cs="Wingdings"/>
          <w:szCs w:val="22"/>
        </w:rPr>
        <w:t xml:space="preserve"> and </w:t>
      </w:r>
      <w:r w:rsidRPr="00EE43C6">
        <w:rPr>
          <w:rFonts w:cs="Wingdings"/>
          <w:szCs w:val="18"/>
        </w:rPr>
        <w:fldChar w:fldCharType="begin"/>
      </w:r>
      <w:r w:rsidRPr="00EE43C6">
        <w:rPr>
          <w:rFonts w:cs="Wingdings"/>
          <w:szCs w:val="18"/>
        </w:rPr>
        <w:instrText xml:space="preserve"> REF _Ref124863188 \h  \* MERGEFORMAT </w:instrText>
      </w:r>
      <w:r w:rsidRPr="00EE43C6">
        <w:rPr>
          <w:rFonts w:cs="Wingdings"/>
          <w:szCs w:val="18"/>
        </w:rPr>
      </w:r>
      <w:r w:rsidRPr="00EE43C6">
        <w:rPr>
          <w:rFonts w:cs="Wingdings"/>
          <w:szCs w:val="18"/>
        </w:rPr>
        <w:fldChar w:fldCharType="separate"/>
      </w:r>
      <w:r w:rsidR="00765896" w:rsidRPr="00765896">
        <w:rPr>
          <w:rFonts w:cs="Wingdings"/>
          <w:szCs w:val="18"/>
        </w:rPr>
        <w:t>Figure 2</w:t>
      </w:r>
      <w:r w:rsidR="00765896" w:rsidRPr="00765896">
        <w:rPr>
          <w:rFonts w:cs="Wingdings"/>
          <w:szCs w:val="18"/>
        </w:rPr>
        <w:noBreakHyphen/>
        <w:t>14</w:t>
      </w:r>
      <w:r w:rsidRPr="00EE43C6">
        <w:rPr>
          <w:rFonts w:cs="Wingdings"/>
          <w:szCs w:val="18"/>
        </w:rPr>
        <w:fldChar w:fldCharType="end"/>
      </w:r>
      <w:r w:rsidRPr="00EE43C6">
        <w:rPr>
          <w:rFonts w:cs="Wingdings"/>
          <w:szCs w:val="18"/>
        </w:rPr>
        <w:t xml:space="preserve">). </w:t>
      </w:r>
      <w:r w:rsidR="00487DB8" w:rsidRPr="00EE43C6">
        <w:rPr>
          <w:rFonts w:cs="Wingdings"/>
          <w:szCs w:val="18"/>
        </w:rPr>
        <w:t xml:space="preserve">The widening of the concerned road, which bisects the Project Area, and the construction of the lighted intersection on the road will be carried out by the </w:t>
      </w:r>
      <w:r w:rsidR="00FF7101" w:rsidRPr="00EE43C6">
        <w:rPr>
          <w:rFonts w:cs="Wingdings"/>
          <w:szCs w:val="18"/>
        </w:rPr>
        <w:t>General Directorate of Highways</w:t>
      </w:r>
      <w:r w:rsidR="00487DB8" w:rsidRPr="00EE43C6">
        <w:rPr>
          <w:rFonts w:cs="Wingdings"/>
          <w:szCs w:val="18"/>
        </w:rPr>
        <w:t>.</w:t>
      </w:r>
    </w:p>
    <w:p w14:paraId="4EB99B2D" w14:textId="7164B271" w:rsidR="00FB765B" w:rsidRPr="00EE43C6" w:rsidRDefault="00FB765B" w:rsidP="00FB765B">
      <w:pPr>
        <w:rPr>
          <w:rFonts w:cs="Wingdings"/>
          <w:szCs w:val="22"/>
        </w:rPr>
      </w:pPr>
      <w:r w:rsidRPr="00EE43C6">
        <w:rPr>
          <w:rFonts w:cs="Wingdings"/>
          <w:szCs w:val="22"/>
        </w:rPr>
        <w:t>According</w:t>
      </w:r>
      <w:r w:rsidRPr="00EE43C6">
        <w:rPr>
          <w:rFonts w:cs="Wingdings"/>
          <w:szCs w:val="18"/>
        </w:rPr>
        <w:t xml:space="preserve"> to the 2020 state highways traffic volume map published by the General Directorate of Highways, the annual average daily number of vehicles on the Ankara-Aksaray Road (D750) passing through the west of the Project Area is 3,673 vehicles. Of these vehicles, 2,377 are automobiles, 419 are medium-load commercial vehicles, 14 are buses, 362 are trucks and 501 are tow trucks.</w:t>
      </w:r>
    </w:p>
    <w:p w14:paraId="30762345" w14:textId="05B3C6F1" w:rsidR="004339AC" w:rsidRPr="00EE43C6" w:rsidRDefault="004339AC" w:rsidP="00B625EB">
      <w:pPr>
        <w:pStyle w:val="Heading2"/>
        <w:ind w:hanging="718"/>
        <w:rPr>
          <w:lang w:val="en-GB"/>
        </w:rPr>
      </w:pPr>
      <w:bookmarkStart w:id="388" w:name="_Toc98425317"/>
      <w:bookmarkStart w:id="389" w:name="_Toc98429159"/>
      <w:bookmarkStart w:id="390" w:name="_Toc98425318"/>
      <w:bookmarkStart w:id="391" w:name="_Toc98429160"/>
      <w:bookmarkStart w:id="392" w:name="_Toc80278314"/>
      <w:bookmarkStart w:id="393" w:name="_Toc120016932"/>
      <w:bookmarkStart w:id="394" w:name="_Toc120004710"/>
      <w:bookmarkStart w:id="395" w:name="_Toc141445421"/>
      <w:bookmarkEnd w:id="388"/>
      <w:bookmarkEnd w:id="389"/>
      <w:bookmarkEnd w:id="390"/>
      <w:bookmarkEnd w:id="391"/>
      <w:r w:rsidRPr="00EE43C6">
        <w:rPr>
          <w:lang w:val="en-GB"/>
        </w:rPr>
        <w:t>Demography and Population</w:t>
      </w:r>
      <w:bookmarkEnd w:id="392"/>
      <w:bookmarkEnd w:id="393"/>
      <w:bookmarkEnd w:id="394"/>
      <w:r w:rsidRPr="00EE43C6">
        <w:rPr>
          <w:lang w:val="en-GB"/>
        </w:rPr>
        <w:t xml:space="preserve"> </w:t>
      </w:r>
      <w:r w:rsidR="00B3581A" w:rsidRPr="00EE43C6">
        <w:rPr>
          <w:rStyle w:val="FootnoteReference"/>
          <w:lang w:val="en-GB"/>
        </w:rPr>
        <w:footnoteReference w:id="17"/>
      </w:r>
      <w:bookmarkEnd w:id="395"/>
    </w:p>
    <w:p w14:paraId="6F3A0735" w14:textId="3C938A6A" w:rsidR="007C2622" w:rsidRPr="00EE43C6" w:rsidRDefault="00DB3BDE" w:rsidP="004C56E4">
      <w:pPr>
        <w:rPr>
          <w:rFonts w:cs="Wingdings"/>
        </w:rPr>
      </w:pPr>
      <w:r w:rsidRPr="3C3DFBEF">
        <w:rPr>
          <w:rFonts w:cs="Arial"/>
        </w:rPr>
        <w:t>The Project is planned to be established by the TUIOSB at Mersin Province, Tarsus District, Kurbanlı</w:t>
      </w:r>
      <w:r w:rsidR="00247B7C" w:rsidRPr="3C3DFBEF">
        <w:rPr>
          <w:rFonts w:cs="Arial"/>
        </w:rPr>
        <w:t xml:space="preserve">, </w:t>
      </w:r>
      <w:r w:rsidRPr="3C3DFBEF">
        <w:rPr>
          <w:rFonts w:cs="Arial"/>
        </w:rPr>
        <w:t>Eskişehir</w:t>
      </w:r>
      <w:r w:rsidR="00B04AE3" w:rsidRPr="3C3DFBEF">
        <w:rPr>
          <w:rFonts w:cs="Arial"/>
        </w:rPr>
        <w:t xml:space="preserve">, </w:t>
      </w:r>
      <w:r w:rsidR="00247B7C" w:rsidRPr="3C3DFBEF">
        <w:rPr>
          <w:rFonts w:cs="Arial"/>
        </w:rPr>
        <w:t xml:space="preserve">and Sağlıklı </w:t>
      </w:r>
      <w:r w:rsidR="00E44AD1" w:rsidRPr="3C3DFBEF">
        <w:rPr>
          <w:rFonts w:cs="Arial"/>
        </w:rPr>
        <w:t>Neighbourhood</w:t>
      </w:r>
      <w:r w:rsidR="00B04AE3" w:rsidRPr="3C3DFBEF">
        <w:rPr>
          <w:rFonts w:cs="Arial"/>
        </w:rPr>
        <w:t>s</w:t>
      </w:r>
      <w:r w:rsidRPr="3C3DFBEF">
        <w:rPr>
          <w:rFonts w:cs="Arial"/>
        </w:rPr>
        <w:t>.</w:t>
      </w:r>
      <w:r w:rsidRPr="00EE43C6">
        <w:rPr>
          <w:rFonts w:cs="Wingdings"/>
        </w:rPr>
        <w:t xml:space="preserve"> </w:t>
      </w:r>
      <w:r w:rsidR="004C56E4" w:rsidRPr="00EE43C6">
        <w:rPr>
          <w:rFonts w:cs="Wingdings"/>
        </w:rPr>
        <w:t>According to 2021 data from the address-</w:t>
      </w:r>
      <w:r w:rsidR="004C56E4" w:rsidRPr="00EE43C6">
        <w:rPr>
          <w:rFonts w:cs="Wingdings"/>
        </w:rPr>
        <w:lastRenderedPageBreak/>
        <w:t xml:space="preserve">based population registration system of </w:t>
      </w:r>
      <w:r w:rsidR="008F6AA0" w:rsidRPr="00EE43C6">
        <w:rPr>
          <w:rFonts w:cs="Wingdings"/>
        </w:rPr>
        <w:t>TurkStat</w:t>
      </w:r>
      <w:r w:rsidR="004C56E4" w:rsidRPr="00EE43C6">
        <w:rPr>
          <w:rFonts w:cs="Wingdings"/>
        </w:rPr>
        <w:t>, the population of Mersin province is 1</w:t>
      </w:r>
      <w:r w:rsidR="007C3C56">
        <w:rPr>
          <w:rFonts w:cs="Wingdings"/>
        </w:rPr>
        <w:t>,</w:t>
      </w:r>
      <w:r w:rsidR="004C56E4" w:rsidRPr="00EE43C6">
        <w:rPr>
          <w:rFonts w:cs="Wingdings"/>
        </w:rPr>
        <w:t>891</w:t>
      </w:r>
      <w:r w:rsidR="007C3C56">
        <w:rPr>
          <w:rFonts w:cs="Wingdings"/>
        </w:rPr>
        <w:t>,</w:t>
      </w:r>
      <w:r w:rsidR="004C56E4" w:rsidRPr="00EE43C6">
        <w:rPr>
          <w:rFonts w:cs="Wingdings"/>
        </w:rPr>
        <w:t>145. Tarsus has a population of 347</w:t>
      </w:r>
      <w:r w:rsidR="007C3C56">
        <w:rPr>
          <w:rFonts w:cs="Wingdings"/>
        </w:rPr>
        <w:t>,</w:t>
      </w:r>
      <w:r w:rsidR="004C56E4" w:rsidRPr="00EE43C6">
        <w:rPr>
          <w:rFonts w:cs="Wingdings"/>
        </w:rPr>
        <w:t>414</w:t>
      </w:r>
      <w:r w:rsidR="003E1930" w:rsidRPr="00EE43C6">
        <w:rPr>
          <w:rFonts w:cs="Wingdings"/>
        </w:rPr>
        <w:t xml:space="preserve"> </w:t>
      </w:r>
      <w:sdt>
        <w:sdtPr>
          <w:rPr>
            <w:rFonts w:cs="Wingdings"/>
          </w:rPr>
          <w:id w:val="-1718045912"/>
          <w:placeholder>
            <w:docPart w:val="DefaultPlaceholder_1081868574"/>
          </w:placeholder>
          <w:citation/>
        </w:sdtPr>
        <w:sdtEndPr/>
        <w:sdtContent>
          <w:r w:rsidR="003E1930" w:rsidRPr="00EE43C6">
            <w:rPr>
              <w:rFonts w:cs="Wingdings"/>
            </w:rPr>
            <w:fldChar w:fldCharType="begin"/>
          </w:r>
          <w:r w:rsidR="003E1930" w:rsidRPr="00EE43C6">
            <w:rPr>
              <w:rFonts w:cs="Wingdings"/>
            </w:rPr>
            <w:instrText xml:space="preserve"> CITATION Mer21 \l 1055 </w:instrText>
          </w:r>
          <w:r w:rsidR="003E1930" w:rsidRPr="00EE43C6">
            <w:rPr>
              <w:rFonts w:cs="Wingdings"/>
            </w:rPr>
            <w:fldChar w:fldCharType="separate"/>
          </w:r>
          <w:r w:rsidR="00CE3B94" w:rsidRPr="00EE43C6">
            <w:rPr>
              <w:rFonts w:cs="Wingdings"/>
            </w:rPr>
            <w:t>(Mersin Governorate, 2021)</w:t>
          </w:r>
          <w:r w:rsidR="003E1930" w:rsidRPr="00EE43C6">
            <w:rPr>
              <w:rFonts w:cs="Wingdings"/>
            </w:rPr>
            <w:fldChar w:fldCharType="end"/>
          </w:r>
        </w:sdtContent>
      </w:sdt>
      <w:r w:rsidR="003E1930" w:rsidRPr="00EE43C6">
        <w:rPr>
          <w:rFonts w:cs="Wingdings"/>
        </w:rPr>
        <w:t>.</w:t>
      </w:r>
      <w:r w:rsidRPr="00EE43C6">
        <w:rPr>
          <w:rFonts w:cs="Wingdings"/>
        </w:rPr>
        <w:t xml:space="preserve"> </w:t>
      </w:r>
    </w:p>
    <w:p w14:paraId="7E06F8DD" w14:textId="049CE3CA" w:rsidR="004C56E4" w:rsidRPr="00EE43C6" w:rsidRDefault="007C2622" w:rsidP="00B24B0D">
      <w:pPr>
        <w:rPr>
          <w:rFonts w:cs="Wingdings"/>
        </w:rPr>
      </w:pPr>
      <w:r w:rsidRPr="3C3DFBEF">
        <w:rPr>
          <w:rFonts w:cs="Wingdings"/>
        </w:rPr>
        <w:t xml:space="preserve">During the site visit, headmen were asked questions about demographics and population. </w:t>
      </w:r>
    </w:p>
    <w:p w14:paraId="78DCC836" w14:textId="7C881FC3" w:rsidR="004339AC" w:rsidRPr="00EE43C6" w:rsidRDefault="004339AC" w:rsidP="00B625EB">
      <w:pPr>
        <w:pStyle w:val="Heading2"/>
        <w:ind w:hanging="718"/>
        <w:rPr>
          <w:lang w:val="en-GB"/>
        </w:rPr>
      </w:pPr>
      <w:bookmarkStart w:id="396" w:name="_Toc120016933"/>
      <w:bookmarkStart w:id="397" w:name="_Toc120004711"/>
      <w:bookmarkStart w:id="398" w:name="_Toc141445422"/>
      <w:bookmarkStart w:id="399" w:name="_Toc80278315"/>
      <w:r w:rsidRPr="00EE43C6">
        <w:rPr>
          <w:lang w:val="en-GB"/>
        </w:rPr>
        <w:t>Means of Livelihood and Employment</w:t>
      </w:r>
      <w:bookmarkEnd w:id="396"/>
      <w:bookmarkEnd w:id="397"/>
      <w:bookmarkEnd w:id="398"/>
      <w:r w:rsidRPr="00EE43C6">
        <w:rPr>
          <w:lang w:val="en-GB"/>
        </w:rPr>
        <w:t xml:space="preserve"> </w:t>
      </w:r>
      <w:bookmarkEnd w:id="399"/>
    </w:p>
    <w:p w14:paraId="76E42D1F" w14:textId="5D8EEA8F" w:rsidR="00ED6B26" w:rsidRPr="00EE43C6" w:rsidRDefault="00362A12" w:rsidP="001E3D3E">
      <w:pPr>
        <w:rPr>
          <w:rFonts w:cs="Wingdings"/>
          <w:szCs w:val="22"/>
        </w:rPr>
      </w:pPr>
      <w:r w:rsidRPr="00EE43C6">
        <w:rPr>
          <w:rFonts w:cs="Wingdings"/>
          <w:szCs w:val="22"/>
        </w:rPr>
        <w:t>According to</w:t>
      </w:r>
      <w:r w:rsidR="00213C65" w:rsidRPr="00EE43C6">
        <w:rPr>
          <w:rFonts w:cs="Wingdings"/>
          <w:szCs w:val="22"/>
        </w:rPr>
        <w:t xml:space="preserve"> the Ministry </w:t>
      </w:r>
      <w:r w:rsidR="00AF029F" w:rsidRPr="00EE43C6">
        <w:rPr>
          <w:rFonts w:cs="Wingdings"/>
          <w:szCs w:val="22"/>
        </w:rPr>
        <w:t>o</w:t>
      </w:r>
      <w:r w:rsidR="00213C65" w:rsidRPr="00EE43C6">
        <w:rPr>
          <w:rFonts w:cs="Wingdings"/>
          <w:szCs w:val="22"/>
        </w:rPr>
        <w:t xml:space="preserve">f Industry and Technology, </w:t>
      </w:r>
      <w:r w:rsidR="001F1BAC" w:rsidRPr="00EE43C6">
        <w:rPr>
          <w:rFonts w:cs="Wingdings"/>
          <w:szCs w:val="22"/>
        </w:rPr>
        <w:t>M</w:t>
      </w:r>
      <w:r w:rsidRPr="00EE43C6">
        <w:rPr>
          <w:rFonts w:cs="Wingdings"/>
          <w:szCs w:val="22"/>
        </w:rPr>
        <w:t>ersin is 25</w:t>
      </w:r>
      <w:r w:rsidRPr="00EE43C6">
        <w:rPr>
          <w:rFonts w:cs="Wingdings"/>
          <w:szCs w:val="22"/>
          <w:vertAlign w:val="superscript"/>
        </w:rPr>
        <w:t>th</w:t>
      </w:r>
      <w:r w:rsidR="001F1BAC" w:rsidRPr="00EE43C6">
        <w:rPr>
          <w:rFonts w:cs="Wingdings"/>
          <w:szCs w:val="22"/>
        </w:rPr>
        <w:t xml:space="preserve"> at the Socio-</w:t>
      </w:r>
      <w:r w:rsidR="00213C65" w:rsidRPr="00EE43C6">
        <w:rPr>
          <w:rFonts w:cs="Wingdings"/>
          <w:szCs w:val="22"/>
        </w:rPr>
        <w:t xml:space="preserve">Economic Development Ranking of Provinces in 2017 </w:t>
      </w:r>
      <w:sdt>
        <w:sdtPr>
          <w:rPr>
            <w:rFonts w:cs="Wingdings"/>
            <w:szCs w:val="22"/>
          </w:rPr>
          <w:id w:val="-1896267660"/>
          <w:citation/>
        </w:sdtPr>
        <w:sdtEndPr/>
        <w:sdtContent>
          <w:r w:rsidR="00213C65" w:rsidRPr="00EE43C6">
            <w:rPr>
              <w:rFonts w:cs="Wingdings"/>
              <w:szCs w:val="22"/>
            </w:rPr>
            <w:fldChar w:fldCharType="begin"/>
          </w:r>
          <w:r w:rsidR="00213C65" w:rsidRPr="00EE43C6">
            <w:rPr>
              <w:rFonts w:cs="Wingdings"/>
              <w:szCs w:val="22"/>
            </w:rPr>
            <w:instrText xml:space="preserve"> CITATION The17 \l 1055 </w:instrText>
          </w:r>
          <w:r w:rsidR="00213C65" w:rsidRPr="00EE43C6">
            <w:rPr>
              <w:rFonts w:cs="Wingdings"/>
              <w:szCs w:val="22"/>
            </w:rPr>
            <w:fldChar w:fldCharType="separate"/>
          </w:r>
          <w:r w:rsidR="00CE3B94" w:rsidRPr="00EE43C6">
            <w:rPr>
              <w:rFonts w:cs="Wingdings"/>
              <w:szCs w:val="22"/>
            </w:rPr>
            <w:t>(The Ministry of Industry and Technology, 2017)</w:t>
          </w:r>
          <w:r w:rsidR="00213C65" w:rsidRPr="00EE43C6">
            <w:rPr>
              <w:rFonts w:cs="Wingdings"/>
              <w:szCs w:val="22"/>
            </w:rPr>
            <w:fldChar w:fldCharType="end"/>
          </w:r>
        </w:sdtContent>
      </w:sdt>
      <w:r w:rsidR="00213C65" w:rsidRPr="00EE43C6">
        <w:rPr>
          <w:rFonts w:cs="Wingdings"/>
          <w:szCs w:val="22"/>
        </w:rPr>
        <w:t>.</w:t>
      </w:r>
      <w:r w:rsidR="001E3D3E" w:rsidRPr="00EE43C6">
        <w:rPr>
          <w:rFonts w:cs="Wingdings"/>
          <w:szCs w:val="22"/>
        </w:rPr>
        <w:t xml:space="preserve"> The livelihoods of Mersin district are agricultural production, industry, </w:t>
      </w:r>
      <w:r w:rsidR="00B130C9" w:rsidRPr="00EE43C6">
        <w:rPr>
          <w:rFonts w:cs="Wingdings"/>
          <w:szCs w:val="22"/>
        </w:rPr>
        <w:t>mining,</w:t>
      </w:r>
      <w:r w:rsidR="001E3D3E" w:rsidRPr="00EE43C6">
        <w:rPr>
          <w:rFonts w:cs="Wingdings"/>
          <w:szCs w:val="22"/>
        </w:rPr>
        <w:t xml:space="preserve"> and port activities. 40% of gross domestic product (gross income) is derived from industry, 30% from agriculture and 10% from trade.</w:t>
      </w:r>
      <w:r w:rsidR="00CC7C56" w:rsidRPr="00EE43C6">
        <w:rPr>
          <w:rFonts w:cs="Wingdings"/>
          <w:szCs w:val="22"/>
        </w:rPr>
        <w:t xml:space="preserve"> </w:t>
      </w:r>
    </w:p>
    <w:p w14:paraId="30D85D1C" w14:textId="37E83477" w:rsidR="001E3D3E" w:rsidRPr="00EE43C6" w:rsidRDefault="00CC7C56" w:rsidP="001E3D3E">
      <w:pPr>
        <w:rPr>
          <w:rFonts w:cs="Wingdings"/>
          <w:szCs w:val="22"/>
        </w:rPr>
      </w:pPr>
      <w:r w:rsidRPr="00EE43C6">
        <w:rPr>
          <w:rFonts w:cs="Wingdings"/>
          <w:szCs w:val="22"/>
        </w:rPr>
        <w:t xml:space="preserve">The main agricultural products are wheat, barley, rye, rice, </w:t>
      </w:r>
      <w:r w:rsidR="00A41936" w:rsidRPr="00EE43C6">
        <w:rPr>
          <w:rFonts w:cs="Wingdings"/>
          <w:szCs w:val="22"/>
        </w:rPr>
        <w:t>chickpeas,</w:t>
      </w:r>
      <w:r w:rsidRPr="00EE43C6">
        <w:rPr>
          <w:rFonts w:cs="Wingdings"/>
          <w:szCs w:val="22"/>
        </w:rPr>
        <w:t xml:space="preserve"> and lentils.</w:t>
      </w:r>
    </w:p>
    <w:p w14:paraId="38BD1D0D" w14:textId="01285776" w:rsidR="007339C5" w:rsidRPr="00EE43C6" w:rsidRDefault="00CC39EA" w:rsidP="007339C5">
      <w:pPr>
        <w:rPr>
          <w:rFonts w:cs="Wingdings"/>
          <w:szCs w:val="22"/>
        </w:rPr>
      </w:pPr>
      <w:r w:rsidRPr="00EE43C6">
        <w:rPr>
          <w:rFonts w:cs="Wingdings"/>
          <w:szCs w:val="22"/>
        </w:rPr>
        <w:t>Mersin is the second most developed province in the Mediterranean region, after Adana.</w:t>
      </w:r>
      <w:r w:rsidR="006529D7" w:rsidRPr="00EE43C6">
        <w:rPr>
          <w:rFonts w:cs="Wingdings"/>
          <w:szCs w:val="22"/>
        </w:rPr>
        <w:t xml:space="preserve"> The industrial sector mainly produces cement, plastics, fertilizers, </w:t>
      </w:r>
      <w:r w:rsidR="00A41936" w:rsidRPr="00EE43C6">
        <w:rPr>
          <w:rFonts w:cs="Wingdings"/>
          <w:szCs w:val="22"/>
        </w:rPr>
        <w:t>fabrics,</w:t>
      </w:r>
      <w:r w:rsidR="006529D7" w:rsidRPr="00EE43C6">
        <w:rPr>
          <w:rFonts w:cs="Wingdings"/>
          <w:szCs w:val="22"/>
        </w:rPr>
        <w:t xml:space="preserve"> and furniture.</w:t>
      </w:r>
    </w:p>
    <w:p w14:paraId="15AAFD18" w14:textId="7FC38EC2" w:rsidR="00A41936" w:rsidRPr="00EE43C6" w:rsidRDefault="00C73C3D" w:rsidP="007339C5">
      <w:pPr>
        <w:rPr>
          <w:rFonts w:cs="Wingdings"/>
          <w:szCs w:val="22"/>
        </w:rPr>
      </w:pPr>
      <w:r w:rsidRPr="00EE43C6">
        <w:rPr>
          <w:rFonts w:cs="Wingdings"/>
          <w:szCs w:val="22"/>
        </w:rPr>
        <w:t>According to the Ministry of Industry and Technology</w:t>
      </w:r>
      <w:r w:rsidR="00165A8C">
        <w:rPr>
          <w:rFonts w:cs="Wingdings"/>
          <w:szCs w:val="22"/>
        </w:rPr>
        <w:t>’</w:t>
      </w:r>
      <w:r w:rsidRPr="00EE43C6">
        <w:rPr>
          <w:rFonts w:cs="Wingdings"/>
          <w:szCs w:val="22"/>
        </w:rPr>
        <w:t>s study, Tarsus ranks 4</w:t>
      </w:r>
      <w:r w:rsidRPr="00EE43C6">
        <w:rPr>
          <w:rFonts w:cs="Wingdings"/>
          <w:szCs w:val="22"/>
          <w:vertAlign w:val="superscript"/>
        </w:rPr>
        <w:t>th</w:t>
      </w:r>
      <w:r w:rsidRPr="00EE43C6">
        <w:rPr>
          <w:rFonts w:cs="Wingdings"/>
          <w:szCs w:val="22"/>
        </w:rPr>
        <w:t xml:space="preserve"> in Mersin province and 198</w:t>
      </w:r>
      <w:r w:rsidRPr="00EE43C6">
        <w:rPr>
          <w:rFonts w:cs="Wingdings"/>
          <w:szCs w:val="22"/>
          <w:vertAlign w:val="superscript"/>
        </w:rPr>
        <w:t>th</w:t>
      </w:r>
      <w:r w:rsidRPr="00EE43C6">
        <w:rPr>
          <w:rFonts w:cs="Wingdings"/>
          <w:szCs w:val="22"/>
        </w:rPr>
        <w:t xml:space="preserve"> in the general ranking in the Socio-Economic Development Ranking of Districts and is in the 2</w:t>
      </w:r>
      <w:r w:rsidRPr="00EE43C6">
        <w:rPr>
          <w:rFonts w:cs="Wingdings"/>
          <w:szCs w:val="22"/>
          <w:vertAlign w:val="superscript"/>
        </w:rPr>
        <w:t>nd</w:t>
      </w:r>
      <w:r w:rsidRPr="00EE43C6">
        <w:rPr>
          <w:rFonts w:cs="Wingdings"/>
          <w:szCs w:val="22"/>
        </w:rPr>
        <w:t xml:space="preserve"> tier developed districts category. </w:t>
      </w:r>
      <w:r w:rsidR="00147AC4" w:rsidRPr="00EE43C6">
        <w:rPr>
          <w:rFonts w:cs="Wingdings"/>
          <w:szCs w:val="22"/>
        </w:rPr>
        <w:t>Agriculture is an important source of income in Tarsus</w:t>
      </w:r>
      <w:r w:rsidR="00165A8C">
        <w:rPr>
          <w:rFonts w:cs="Wingdings"/>
          <w:szCs w:val="22"/>
        </w:rPr>
        <w:t>’</w:t>
      </w:r>
      <w:r w:rsidR="00147AC4" w:rsidRPr="00EE43C6">
        <w:rPr>
          <w:rFonts w:cs="Wingdings"/>
          <w:szCs w:val="22"/>
        </w:rPr>
        <w:t>s economy.</w:t>
      </w:r>
      <w:r w:rsidR="009A4567" w:rsidRPr="00EE43C6">
        <w:rPr>
          <w:rFonts w:cs="Wingdings"/>
          <w:szCs w:val="22"/>
        </w:rPr>
        <w:t xml:space="preserve"> The climate is favo</w:t>
      </w:r>
      <w:r w:rsidR="00932B52" w:rsidRPr="00EE43C6">
        <w:rPr>
          <w:rFonts w:cs="Wingdings"/>
          <w:szCs w:val="22"/>
        </w:rPr>
        <w:t>u</w:t>
      </w:r>
      <w:r w:rsidR="009A4567" w:rsidRPr="00EE43C6">
        <w:rPr>
          <w:rFonts w:cs="Wingdings"/>
          <w:szCs w:val="22"/>
        </w:rPr>
        <w:t xml:space="preserve">rable for agriculture, enabling all kinds of production in agricultural lands. In lowland areas, vegetables and fruits are planted in the spring, followed by vegetables, </w:t>
      </w:r>
      <w:r w:rsidR="00B130C9" w:rsidRPr="00EE43C6">
        <w:rPr>
          <w:rFonts w:cs="Wingdings"/>
          <w:szCs w:val="22"/>
        </w:rPr>
        <w:t>cherries,</w:t>
      </w:r>
      <w:r w:rsidR="009A4567" w:rsidRPr="00EE43C6">
        <w:rPr>
          <w:rFonts w:cs="Wingdings"/>
          <w:szCs w:val="22"/>
        </w:rPr>
        <w:t xml:space="preserve"> and grapes.</w:t>
      </w:r>
      <w:r w:rsidR="005305F5" w:rsidRPr="00EE43C6">
        <w:t xml:space="preserve"> </w:t>
      </w:r>
      <w:r w:rsidR="005305F5" w:rsidRPr="00EE43C6">
        <w:rPr>
          <w:rFonts w:cs="Wingdings"/>
          <w:szCs w:val="22"/>
        </w:rPr>
        <w:t>Industry is also among the main sources of livelihood in Tarsus district. These include factories making agricultural tools, machine spare parts, machine tools, packaged food factories, brick and ceramic factories</w:t>
      </w:r>
      <w:r w:rsidR="00DB08E4" w:rsidRPr="00EE43C6">
        <w:rPr>
          <w:rFonts w:cs="Wingdings"/>
          <w:szCs w:val="22"/>
        </w:rPr>
        <w:t xml:space="preserve"> </w:t>
      </w:r>
      <w:sdt>
        <w:sdtPr>
          <w:rPr>
            <w:rFonts w:cs="Wingdings"/>
            <w:szCs w:val="22"/>
          </w:rPr>
          <w:id w:val="994294752"/>
          <w:citation/>
        </w:sdtPr>
        <w:sdtEndPr/>
        <w:sdtContent>
          <w:r w:rsidR="00DB08E4" w:rsidRPr="00EE43C6">
            <w:rPr>
              <w:rFonts w:cs="Wingdings"/>
              <w:szCs w:val="22"/>
            </w:rPr>
            <w:fldChar w:fldCharType="begin"/>
          </w:r>
          <w:r w:rsidR="00DB08E4" w:rsidRPr="00EE43C6">
            <w:rPr>
              <w:rFonts w:cs="Wingdings"/>
              <w:szCs w:val="22"/>
            </w:rPr>
            <w:instrText xml:space="preserve">CITATION Tar \y  \l 1055 </w:instrText>
          </w:r>
          <w:r w:rsidR="00DB08E4" w:rsidRPr="00EE43C6">
            <w:rPr>
              <w:rFonts w:cs="Wingdings"/>
              <w:szCs w:val="22"/>
            </w:rPr>
            <w:fldChar w:fldCharType="separate"/>
          </w:r>
          <w:r w:rsidR="00B625EB" w:rsidRPr="00EE43C6">
            <w:rPr>
              <w:rFonts w:cs="Wingdings"/>
              <w:szCs w:val="22"/>
            </w:rPr>
            <w:t>(Tarsus Municipality)</w:t>
          </w:r>
          <w:r w:rsidR="00DB08E4" w:rsidRPr="00EE43C6">
            <w:rPr>
              <w:rFonts w:cs="Wingdings"/>
              <w:szCs w:val="22"/>
            </w:rPr>
            <w:fldChar w:fldCharType="end"/>
          </w:r>
        </w:sdtContent>
      </w:sdt>
      <w:r w:rsidR="00DB08E4" w:rsidRPr="00EE43C6">
        <w:rPr>
          <w:rFonts w:cs="Wingdings"/>
          <w:szCs w:val="22"/>
        </w:rPr>
        <w:t>.</w:t>
      </w:r>
    </w:p>
    <w:p w14:paraId="4EE3C8C2" w14:textId="1079CC99" w:rsidR="007313BD" w:rsidRPr="00EE43C6" w:rsidRDefault="007313BD" w:rsidP="007313BD">
      <w:pPr>
        <w:pStyle w:val="Heading3"/>
        <w:rPr>
          <w:noProof w:val="0"/>
        </w:rPr>
      </w:pPr>
      <w:bookmarkStart w:id="400" w:name="_Toc120016934"/>
      <w:bookmarkStart w:id="401" w:name="_Toc120004712"/>
      <w:bookmarkStart w:id="402" w:name="_Toc141445423"/>
      <w:r w:rsidRPr="00EE43C6">
        <w:rPr>
          <w:bCs w:val="0"/>
          <w:noProof w:val="0"/>
        </w:rPr>
        <w:t xml:space="preserve">Major Economic Activities in Settlements Located in the Project </w:t>
      </w:r>
      <w:r w:rsidR="00C937C8" w:rsidRPr="00EE43C6">
        <w:rPr>
          <w:bCs w:val="0"/>
          <w:noProof w:val="0"/>
        </w:rPr>
        <w:t>A</w:t>
      </w:r>
      <w:r w:rsidR="00D9582C" w:rsidRPr="00EE43C6">
        <w:rPr>
          <w:bCs w:val="0"/>
          <w:noProof w:val="0"/>
        </w:rPr>
        <w:t>o</w:t>
      </w:r>
      <w:r w:rsidR="00C937C8" w:rsidRPr="00EE43C6">
        <w:rPr>
          <w:bCs w:val="0"/>
          <w:noProof w:val="0"/>
        </w:rPr>
        <w:t>I</w:t>
      </w:r>
      <w:bookmarkEnd w:id="400"/>
      <w:bookmarkEnd w:id="401"/>
      <w:bookmarkEnd w:id="402"/>
      <w:r w:rsidRPr="00EE43C6">
        <w:rPr>
          <w:bCs w:val="0"/>
          <w:noProof w:val="0"/>
        </w:rPr>
        <w:t xml:space="preserve"> </w:t>
      </w:r>
    </w:p>
    <w:p w14:paraId="0661FC0B" w14:textId="5365AA0F" w:rsidR="006B2000" w:rsidRPr="00EE43C6" w:rsidRDefault="006B2000" w:rsidP="42856C53">
      <w:pPr>
        <w:rPr>
          <w:rFonts w:cs="Wingdings"/>
        </w:rPr>
      </w:pPr>
      <w:r w:rsidRPr="00EE43C6">
        <w:rPr>
          <w:rFonts w:cs="Wingdings"/>
        </w:rPr>
        <w:t>Information on economic activities was obtained during key informant interviews with the headm</w:t>
      </w:r>
      <w:r w:rsidR="00301DBA" w:rsidRPr="00EE43C6">
        <w:rPr>
          <w:rFonts w:cs="Wingdings"/>
        </w:rPr>
        <w:t>e</w:t>
      </w:r>
      <w:r w:rsidRPr="00EE43C6">
        <w:rPr>
          <w:rFonts w:cs="Wingdings"/>
        </w:rPr>
        <w:t xml:space="preserve">n of the </w:t>
      </w:r>
      <w:r w:rsidR="00301DBA" w:rsidRPr="00EE43C6">
        <w:rPr>
          <w:rFonts w:cs="Wingdings"/>
        </w:rPr>
        <w:t xml:space="preserve">Kurbanlı, Eskişehir and Sağlıklı </w:t>
      </w:r>
      <w:r w:rsidRPr="00EE43C6">
        <w:rPr>
          <w:rFonts w:cs="Wingdings"/>
        </w:rPr>
        <w:t>neighbourhood</w:t>
      </w:r>
      <w:r w:rsidR="00301DBA" w:rsidRPr="00EE43C6">
        <w:rPr>
          <w:rFonts w:cs="Wingdings"/>
        </w:rPr>
        <w:t>s</w:t>
      </w:r>
      <w:r w:rsidRPr="00EE43C6">
        <w:rPr>
          <w:rFonts w:cs="Wingdings"/>
        </w:rPr>
        <w:t xml:space="preserve"> in the </w:t>
      </w:r>
      <w:r w:rsidR="00F53D74">
        <w:rPr>
          <w:rFonts w:cs="Wingdings"/>
        </w:rPr>
        <w:t>P</w:t>
      </w:r>
      <w:r w:rsidR="00F53D74" w:rsidRPr="00EE43C6">
        <w:rPr>
          <w:rFonts w:cs="Wingdings"/>
        </w:rPr>
        <w:t xml:space="preserve">roject </w:t>
      </w:r>
      <w:r w:rsidR="00F53D74">
        <w:rPr>
          <w:rFonts w:cs="Wingdings"/>
        </w:rPr>
        <w:t>A</w:t>
      </w:r>
      <w:r w:rsidR="00F53D74" w:rsidRPr="00EE43C6">
        <w:rPr>
          <w:rFonts w:cs="Wingdings"/>
        </w:rPr>
        <w:t>rea</w:t>
      </w:r>
      <w:r w:rsidRPr="00EE43C6">
        <w:rPr>
          <w:rFonts w:cs="Wingdings"/>
        </w:rPr>
        <w:t xml:space="preserve">. </w:t>
      </w:r>
      <w:r w:rsidR="004E0495" w:rsidRPr="00EE43C6">
        <w:rPr>
          <w:rFonts w:cs="Wingdings"/>
        </w:rPr>
        <w:t xml:space="preserve">The information provided is given in </w:t>
      </w:r>
      <w:r w:rsidR="008F4DEC">
        <w:rPr>
          <w:rFonts w:cs="Wingdings"/>
        </w:rPr>
        <w:fldChar w:fldCharType="begin"/>
      </w:r>
      <w:r w:rsidR="008F4DEC">
        <w:rPr>
          <w:rFonts w:cs="Wingdings"/>
        </w:rPr>
        <w:instrText xml:space="preserve"> REF _Ref130552333 \h </w:instrText>
      </w:r>
      <w:r w:rsidR="008F4DEC">
        <w:rPr>
          <w:rFonts w:cs="Wingdings"/>
        </w:rPr>
      </w:r>
      <w:r w:rsidR="008F4DEC">
        <w:rPr>
          <w:rFonts w:cs="Wingdings"/>
        </w:rPr>
        <w:fldChar w:fldCharType="separate"/>
      </w:r>
      <w:r w:rsidR="008F4DEC">
        <w:t xml:space="preserve">Table </w:t>
      </w:r>
      <w:r w:rsidR="008F4DEC">
        <w:rPr>
          <w:noProof/>
        </w:rPr>
        <w:t>5</w:t>
      </w:r>
      <w:r w:rsidR="008F4DEC">
        <w:noBreakHyphen/>
      </w:r>
      <w:r w:rsidR="008F4DEC">
        <w:rPr>
          <w:noProof/>
        </w:rPr>
        <w:t>1</w:t>
      </w:r>
      <w:r w:rsidR="008F4DEC">
        <w:rPr>
          <w:rFonts w:cs="Wingdings"/>
        </w:rPr>
        <w:fldChar w:fldCharType="end"/>
      </w:r>
      <w:r w:rsidR="009B53D7" w:rsidRPr="00EE43C6">
        <w:rPr>
          <w:rFonts w:cs="Wingdings"/>
        </w:rPr>
        <w:t>.</w:t>
      </w:r>
    </w:p>
    <w:p w14:paraId="3772537B" w14:textId="3F85928F" w:rsidR="005A3DDC" w:rsidRPr="00EE43C6" w:rsidRDefault="00857E30" w:rsidP="00857E30">
      <w:pPr>
        <w:pStyle w:val="Caption"/>
        <w:rPr>
          <w:rFonts w:cs="Wingdings"/>
          <w:b w:val="0"/>
          <w:noProof w:val="0"/>
          <w:color w:val="auto"/>
        </w:rPr>
      </w:pPr>
      <w:bookmarkStart w:id="403" w:name="_Ref130552333"/>
      <w:bookmarkStart w:id="404" w:name="_Toc141445505"/>
      <w:r>
        <w:t xml:space="preserve">Table </w:t>
      </w:r>
      <w:r w:rsidR="006D2DE8">
        <w:fldChar w:fldCharType="begin"/>
      </w:r>
      <w:r w:rsidR="006D2DE8">
        <w:instrText xml:space="preserve"> STYLEREF 1 \s </w:instrText>
      </w:r>
      <w:r w:rsidR="006D2DE8">
        <w:fldChar w:fldCharType="separate"/>
      </w:r>
      <w:r w:rsidR="006D2DE8">
        <w:t>5</w:t>
      </w:r>
      <w:r w:rsidR="006D2DE8">
        <w:fldChar w:fldCharType="end"/>
      </w:r>
      <w:r w:rsidR="006D2DE8">
        <w:noBreakHyphen/>
      </w:r>
      <w:r w:rsidR="006D2DE8">
        <w:fldChar w:fldCharType="begin"/>
      </w:r>
      <w:r w:rsidR="006D2DE8">
        <w:instrText xml:space="preserve"> SEQ Table \* ARABIC \s 1 </w:instrText>
      </w:r>
      <w:r w:rsidR="006D2DE8">
        <w:fldChar w:fldCharType="separate"/>
      </w:r>
      <w:r w:rsidR="006D2DE8">
        <w:t>1</w:t>
      </w:r>
      <w:r w:rsidR="006D2DE8">
        <w:fldChar w:fldCharType="end"/>
      </w:r>
      <w:bookmarkEnd w:id="403"/>
      <w:r>
        <w:t>.</w:t>
      </w:r>
      <w:r w:rsidR="008F4DEC">
        <w:t xml:space="preserve"> </w:t>
      </w:r>
      <w:r w:rsidR="009B53D7" w:rsidRPr="00EE43C6">
        <w:rPr>
          <w:rFonts w:cs="Wingdings"/>
          <w:b w:val="0"/>
          <w:noProof w:val="0"/>
          <w:color w:val="000000" w:themeColor="text1"/>
        </w:rPr>
        <w:t>Common Economic Activities in the Project Area</w:t>
      </w:r>
      <w:bookmarkEnd w:id="404"/>
    </w:p>
    <w:tbl>
      <w:tblPr>
        <w:tblStyle w:val="TableGrid"/>
        <w:tblW w:w="5000" w:type="pct"/>
        <w:tblLook w:val="04A0" w:firstRow="1" w:lastRow="0" w:firstColumn="1" w:lastColumn="0" w:noHBand="0" w:noVBand="1"/>
      </w:tblPr>
      <w:tblGrid>
        <w:gridCol w:w="2387"/>
        <w:gridCol w:w="2073"/>
        <w:gridCol w:w="1992"/>
        <w:gridCol w:w="2602"/>
      </w:tblGrid>
      <w:tr w:rsidR="005A3DDC" w:rsidRPr="00EE43C6" w14:paraId="63785F10" w14:textId="77777777">
        <w:trPr>
          <w:trHeight w:val="340"/>
        </w:trPr>
        <w:tc>
          <w:tcPr>
            <w:tcW w:w="1318" w:type="pct"/>
            <w:shd w:val="clear" w:color="auto" w:fill="4F81BD"/>
            <w:vAlign w:val="center"/>
          </w:tcPr>
          <w:p w14:paraId="4DC937AF" w14:textId="77777777" w:rsidR="005A3DDC" w:rsidRPr="00EE43C6" w:rsidRDefault="005A3DDC">
            <w:pPr>
              <w:keepNext/>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Settlement Area</w:t>
            </w:r>
          </w:p>
        </w:tc>
        <w:tc>
          <w:tcPr>
            <w:tcW w:w="1145" w:type="pct"/>
            <w:shd w:val="clear" w:color="auto" w:fill="4F81BD"/>
            <w:vAlign w:val="center"/>
          </w:tcPr>
          <w:p w14:paraId="3B6A06C5" w14:textId="77777777" w:rsidR="005A3DDC" w:rsidRPr="00EE43C6" w:rsidRDefault="005A3DDC">
            <w:pPr>
              <w:keepNext/>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Primary Economic Activity</w:t>
            </w:r>
          </w:p>
        </w:tc>
        <w:tc>
          <w:tcPr>
            <w:tcW w:w="1100" w:type="pct"/>
            <w:shd w:val="clear" w:color="auto" w:fill="4F81BD"/>
            <w:vAlign w:val="center"/>
          </w:tcPr>
          <w:p w14:paraId="6D92975E" w14:textId="77777777" w:rsidR="005A3DDC" w:rsidRPr="00EE43C6" w:rsidRDefault="005A3DDC">
            <w:pPr>
              <w:keepNext/>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Secondary Economic Activity</w:t>
            </w:r>
          </w:p>
        </w:tc>
        <w:tc>
          <w:tcPr>
            <w:tcW w:w="1437" w:type="pct"/>
            <w:shd w:val="clear" w:color="auto" w:fill="4F81BD"/>
            <w:vAlign w:val="center"/>
          </w:tcPr>
          <w:p w14:paraId="2BC5EF41" w14:textId="77777777" w:rsidR="005A3DDC" w:rsidRPr="00EE43C6" w:rsidRDefault="005A3DDC">
            <w:pPr>
              <w:keepNext/>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Tertiary Economic Activity</w:t>
            </w:r>
          </w:p>
        </w:tc>
      </w:tr>
      <w:tr w:rsidR="005A3DDC" w:rsidRPr="00EE43C6" w14:paraId="3423F89E" w14:textId="77777777">
        <w:trPr>
          <w:trHeight w:val="340"/>
        </w:trPr>
        <w:tc>
          <w:tcPr>
            <w:tcW w:w="1318" w:type="pct"/>
            <w:shd w:val="clear" w:color="auto" w:fill="4F81BD"/>
            <w:vAlign w:val="center"/>
          </w:tcPr>
          <w:p w14:paraId="1BE3C979" w14:textId="10C31B1C" w:rsidR="005A3DDC" w:rsidRPr="00EE43C6" w:rsidRDefault="009B53D7">
            <w:pPr>
              <w:keepNext/>
              <w:spacing w:before="0" w:after="0" w:line="240" w:lineRule="auto"/>
              <w:rPr>
                <w:rFonts w:cs="Wingdings"/>
                <w:b/>
                <w:color w:val="FFFFFF" w:themeColor="background1"/>
                <w:sz w:val="18"/>
                <w:szCs w:val="18"/>
              </w:rPr>
            </w:pPr>
            <w:r w:rsidRPr="00EE43C6">
              <w:rPr>
                <w:rFonts w:cs="Wingdings"/>
                <w:b/>
                <w:color w:val="FFFFFF" w:themeColor="background1"/>
                <w:sz w:val="18"/>
                <w:szCs w:val="18"/>
              </w:rPr>
              <w:t>Kurbanlı</w:t>
            </w:r>
            <w:r w:rsidR="005A3DDC" w:rsidRPr="00EE43C6">
              <w:rPr>
                <w:rFonts w:cs="Wingdings"/>
                <w:b/>
                <w:color w:val="FFFFFF" w:themeColor="background1"/>
                <w:sz w:val="18"/>
                <w:szCs w:val="18"/>
              </w:rPr>
              <w:t xml:space="preserve"> Neighbourhood</w:t>
            </w:r>
          </w:p>
        </w:tc>
        <w:tc>
          <w:tcPr>
            <w:tcW w:w="1145" w:type="pct"/>
            <w:vAlign w:val="center"/>
          </w:tcPr>
          <w:p w14:paraId="0CB4E693" w14:textId="77777777" w:rsidR="005A3DDC" w:rsidRPr="00EE43C6" w:rsidRDefault="005A3DDC">
            <w:pPr>
              <w:keepNext/>
              <w:spacing w:before="0" w:after="0" w:line="240" w:lineRule="auto"/>
              <w:jc w:val="center"/>
              <w:rPr>
                <w:rFonts w:cs="Wingdings"/>
                <w:sz w:val="18"/>
                <w:szCs w:val="18"/>
              </w:rPr>
            </w:pPr>
            <w:r w:rsidRPr="00EE43C6">
              <w:rPr>
                <w:rFonts w:cs="Wingdings"/>
                <w:sz w:val="18"/>
                <w:szCs w:val="18"/>
              </w:rPr>
              <w:t>Agriculture</w:t>
            </w:r>
          </w:p>
        </w:tc>
        <w:tc>
          <w:tcPr>
            <w:tcW w:w="1100" w:type="pct"/>
            <w:vAlign w:val="center"/>
          </w:tcPr>
          <w:p w14:paraId="12FE510C" w14:textId="3D915802" w:rsidR="005A3DDC" w:rsidRPr="00EE43C6" w:rsidRDefault="00451604">
            <w:pPr>
              <w:keepNext/>
              <w:spacing w:before="0" w:after="0" w:line="240" w:lineRule="auto"/>
              <w:jc w:val="center"/>
              <w:rPr>
                <w:rFonts w:cs="Wingdings"/>
                <w:sz w:val="18"/>
                <w:szCs w:val="18"/>
              </w:rPr>
            </w:pPr>
            <w:r w:rsidRPr="00EE43C6">
              <w:rPr>
                <w:rFonts w:cs="Wingdings"/>
                <w:sz w:val="18"/>
                <w:szCs w:val="18"/>
              </w:rPr>
              <w:t>Retirement</w:t>
            </w:r>
          </w:p>
        </w:tc>
        <w:tc>
          <w:tcPr>
            <w:tcW w:w="1437" w:type="pct"/>
            <w:vAlign w:val="center"/>
          </w:tcPr>
          <w:p w14:paraId="41780350" w14:textId="77777777" w:rsidR="005A3DDC" w:rsidRPr="00EE43C6" w:rsidRDefault="005A3DDC">
            <w:pPr>
              <w:keepNext/>
              <w:spacing w:before="0" w:after="0" w:line="240" w:lineRule="auto"/>
              <w:jc w:val="center"/>
              <w:rPr>
                <w:rFonts w:cs="Wingdings"/>
                <w:sz w:val="18"/>
                <w:szCs w:val="18"/>
              </w:rPr>
            </w:pPr>
            <w:r w:rsidRPr="00EE43C6">
              <w:rPr>
                <w:rFonts w:cs="Wingdings"/>
                <w:sz w:val="18"/>
                <w:szCs w:val="18"/>
              </w:rPr>
              <w:t>Husbandry</w:t>
            </w:r>
          </w:p>
        </w:tc>
      </w:tr>
      <w:tr w:rsidR="009B53D7" w:rsidRPr="00EE43C6" w14:paraId="46DFEB65" w14:textId="77777777">
        <w:trPr>
          <w:trHeight w:val="340"/>
        </w:trPr>
        <w:tc>
          <w:tcPr>
            <w:tcW w:w="1318" w:type="pct"/>
            <w:shd w:val="clear" w:color="auto" w:fill="4F81BD"/>
            <w:vAlign w:val="center"/>
          </w:tcPr>
          <w:p w14:paraId="0ED87EF2" w14:textId="07170D2C" w:rsidR="009B53D7" w:rsidRPr="00EE43C6" w:rsidRDefault="009B53D7">
            <w:pPr>
              <w:keepNext/>
              <w:spacing w:before="0" w:after="0" w:line="240" w:lineRule="auto"/>
              <w:rPr>
                <w:rFonts w:cs="Wingdings"/>
                <w:b/>
                <w:color w:val="FFFFFF" w:themeColor="background1"/>
                <w:sz w:val="18"/>
                <w:szCs w:val="18"/>
              </w:rPr>
            </w:pPr>
            <w:r w:rsidRPr="00EE43C6">
              <w:rPr>
                <w:rFonts w:cs="Wingdings"/>
                <w:b/>
                <w:color w:val="FFFFFF" w:themeColor="background1"/>
                <w:sz w:val="18"/>
                <w:szCs w:val="18"/>
              </w:rPr>
              <w:t xml:space="preserve">Eskişehir Neighborhood </w:t>
            </w:r>
          </w:p>
        </w:tc>
        <w:tc>
          <w:tcPr>
            <w:tcW w:w="1145" w:type="pct"/>
            <w:vAlign w:val="center"/>
          </w:tcPr>
          <w:p w14:paraId="228ACAFE" w14:textId="2EC77071" w:rsidR="009B53D7" w:rsidRPr="00EE43C6" w:rsidRDefault="003C4911">
            <w:pPr>
              <w:keepNext/>
              <w:spacing w:before="0" w:after="0" w:line="240" w:lineRule="auto"/>
              <w:jc w:val="center"/>
              <w:rPr>
                <w:rFonts w:cs="Wingdings"/>
                <w:sz w:val="18"/>
                <w:szCs w:val="18"/>
              </w:rPr>
            </w:pPr>
            <w:r w:rsidRPr="00EE43C6">
              <w:rPr>
                <w:rFonts w:cs="Wingdings"/>
                <w:sz w:val="18"/>
                <w:szCs w:val="18"/>
              </w:rPr>
              <w:t>Husbandry</w:t>
            </w:r>
          </w:p>
        </w:tc>
        <w:tc>
          <w:tcPr>
            <w:tcW w:w="1100" w:type="pct"/>
            <w:vAlign w:val="center"/>
          </w:tcPr>
          <w:p w14:paraId="419A2F87" w14:textId="6A8B7E71" w:rsidR="009B53D7" w:rsidRPr="00EE43C6" w:rsidRDefault="003C4911">
            <w:pPr>
              <w:keepNext/>
              <w:spacing w:before="0" w:after="0" w:line="240" w:lineRule="auto"/>
              <w:jc w:val="center"/>
              <w:rPr>
                <w:rFonts w:cs="Wingdings"/>
                <w:sz w:val="18"/>
                <w:szCs w:val="18"/>
              </w:rPr>
            </w:pPr>
            <w:r w:rsidRPr="00EE43C6">
              <w:rPr>
                <w:rFonts w:cs="Wingdings"/>
                <w:sz w:val="18"/>
                <w:szCs w:val="18"/>
              </w:rPr>
              <w:t>Retirement</w:t>
            </w:r>
          </w:p>
        </w:tc>
        <w:tc>
          <w:tcPr>
            <w:tcW w:w="1437" w:type="pct"/>
            <w:vAlign w:val="center"/>
          </w:tcPr>
          <w:p w14:paraId="531E278B" w14:textId="02545B15" w:rsidR="009B53D7" w:rsidRPr="00EE43C6" w:rsidRDefault="004C4FFA">
            <w:pPr>
              <w:keepNext/>
              <w:spacing w:before="0" w:after="0" w:line="240" w:lineRule="auto"/>
              <w:jc w:val="center"/>
              <w:rPr>
                <w:rFonts w:cs="Wingdings"/>
                <w:sz w:val="18"/>
                <w:szCs w:val="18"/>
              </w:rPr>
            </w:pPr>
            <w:r w:rsidRPr="00EE43C6">
              <w:rPr>
                <w:rFonts w:cs="Wingdings"/>
                <w:sz w:val="18"/>
                <w:szCs w:val="18"/>
              </w:rPr>
              <w:t>Agriculture</w:t>
            </w:r>
          </w:p>
        </w:tc>
      </w:tr>
      <w:tr w:rsidR="009B53D7" w:rsidRPr="00EE43C6" w14:paraId="7194023D" w14:textId="77777777">
        <w:trPr>
          <w:trHeight w:val="340"/>
        </w:trPr>
        <w:tc>
          <w:tcPr>
            <w:tcW w:w="1318" w:type="pct"/>
            <w:shd w:val="clear" w:color="auto" w:fill="4F81BD"/>
            <w:vAlign w:val="center"/>
          </w:tcPr>
          <w:p w14:paraId="14EC4E14" w14:textId="79445598" w:rsidR="009B53D7" w:rsidRPr="00EE43C6" w:rsidRDefault="00451604">
            <w:pPr>
              <w:keepNext/>
              <w:spacing w:before="0" w:after="0" w:line="240" w:lineRule="auto"/>
              <w:rPr>
                <w:rFonts w:cs="Wingdings"/>
                <w:b/>
                <w:color w:val="FFFFFF" w:themeColor="background1"/>
                <w:sz w:val="18"/>
                <w:szCs w:val="18"/>
              </w:rPr>
            </w:pPr>
            <w:r w:rsidRPr="00EE43C6">
              <w:rPr>
                <w:rFonts w:cs="Wingdings"/>
                <w:b/>
                <w:color w:val="FFFFFF" w:themeColor="background1"/>
                <w:sz w:val="18"/>
                <w:szCs w:val="18"/>
              </w:rPr>
              <w:t>Sağlıklı Neighborhood</w:t>
            </w:r>
          </w:p>
        </w:tc>
        <w:tc>
          <w:tcPr>
            <w:tcW w:w="1145" w:type="pct"/>
            <w:vAlign w:val="center"/>
          </w:tcPr>
          <w:p w14:paraId="487C06DE" w14:textId="7E0C4329" w:rsidR="009B53D7" w:rsidRPr="00EE43C6" w:rsidRDefault="00451604">
            <w:pPr>
              <w:keepNext/>
              <w:spacing w:before="0" w:after="0" w:line="240" w:lineRule="auto"/>
              <w:jc w:val="center"/>
              <w:rPr>
                <w:rFonts w:cs="Wingdings"/>
                <w:sz w:val="18"/>
                <w:szCs w:val="18"/>
              </w:rPr>
            </w:pPr>
            <w:r w:rsidRPr="00EE43C6">
              <w:rPr>
                <w:rFonts w:cs="Wingdings"/>
                <w:sz w:val="18"/>
                <w:szCs w:val="18"/>
              </w:rPr>
              <w:t>Transportation</w:t>
            </w:r>
          </w:p>
        </w:tc>
        <w:tc>
          <w:tcPr>
            <w:tcW w:w="1100" w:type="pct"/>
            <w:vAlign w:val="center"/>
          </w:tcPr>
          <w:p w14:paraId="592055ED" w14:textId="4ED1B490" w:rsidR="009B53D7" w:rsidRPr="00EE43C6" w:rsidRDefault="003C4911">
            <w:pPr>
              <w:keepNext/>
              <w:spacing w:before="0" w:after="0" w:line="240" w:lineRule="auto"/>
              <w:jc w:val="center"/>
              <w:rPr>
                <w:rFonts w:cs="Wingdings"/>
                <w:sz w:val="18"/>
                <w:szCs w:val="18"/>
              </w:rPr>
            </w:pPr>
            <w:r w:rsidRPr="00EE43C6">
              <w:rPr>
                <w:rFonts w:cs="Wingdings"/>
                <w:sz w:val="18"/>
                <w:szCs w:val="18"/>
              </w:rPr>
              <w:t>Mining</w:t>
            </w:r>
          </w:p>
        </w:tc>
        <w:tc>
          <w:tcPr>
            <w:tcW w:w="1437" w:type="pct"/>
            <w:vAlign w:val="center"/>
          </w:tcPr>
          <w:p w14:paraId="488D58C9" w14:textId="577359D0" w:rsidR="009B53D7" w:rsidRPr="00EE43C6" w:rsidRDefault="003C4911">
            <w:pPr>
              <w:keepNext/>
              <w:spacing w:before="0" w:after="0" w:line="240" w:lineRule="auto"/>
              <w:jc w:val="center"/>
              <w:rPr>
                <w:rFonts w:cs="Wingdings"/>
                <w:sz w:val="18"/>
                <w:szCs w:val="18"/>
              </w:rPr>
            </w:pPr>
            <w:r w:rsidRPr="00EE43C6">
              <w:rPr>
                <w:rFonts w:cs="Wingdings"/>
                <w:sz w:val="18"/>
                <w:szCs w:val="18"/>
              </w:rPr>
              <w:t>Husbandry</w:t>
            </w:r>
          </w:p>
        </w:tc>
      </w:tr>
    </w:tbl>
    <w:p w14:paraId="494CAE7D" w14:textId="4F348FB7" w:rsidR="00767327" w:rsidRPr="00EE43C6" w:rsidRDefault="00EC3E2C" w:rsidP="42856C53">
      <w:pPr>
        <w:rPr>
          <w:rFonts w:cs="Wingdings"/>
        </w:rPr>
      </w:pPr>
      <w:r w:rsidRPr="00EE43C6">
        <w:rPr>
          <w:rFonts w:cs="Wingdings"/>
        </w:rPr>
        <w:t xml:space="preserve">All three neighbourhoods are sharing same kind of economic activities. Their </w:t>
      </w:r>
      <w:r w:rsidR="003429E6" w:rsidRPr="00EE43C6">
        <w:rPr>
          <w:rFonts w:cs="Wingdings"/>
        </w:rPr>
        <w:t xml:space="preserve">main agricultural products </w:t>
      </w:r>
      <w:r w:rsidR="00A00C1D" w:rsidRPr="00EE43C6">
        <w:rPr>
          <w:rFonts w:cs="Wingdings"/>
        </w:rPr>
        <w:t xml:space="preserve">are </w:t>
      </w:r>
      <w:r w:rsidR="0078631E" w:rsidRPr="00EE43C6">
        <w:rPr>
          <w:rFonts w:cs="Wingdings"/>
        </w:rPr>
        <w:t xml:space="preserve">olive, </w:t>
      </w:r>
      <w:r w:rsidR="00601727" w:rsidRPr="00EE43C6">
        <w:rPr>
          <w:rFonts w:cs="Wingdings"/>
        </w:rPr>
        <w:t xml:space="preserve">citrus, </w:t>
      </w:r>
      <w:r w:rsidR="00AA0216" w:rsidRPr="00EE43C6">
        <w:rPr>
          <w:rFonts w:cs="Wingdings"/>
        </w:rPr>
        <w:t xml:space="preserve">wheat, </w:t>
      </w:r>
      <w:r w:rsidR="00387678" w:rsidRPr="00EE43C6">
        <w:rPr>
          <w:rFonts w:cs="Wingdings"/>
        </w:rPr>
        <w:t>barley,</w:t>
      </w:r>
      <w:r w:rsidR="008D46A2" w:rsidRPr="00EE43C6">
        <w:rPr>
          <w:rFonts w:cs="Wingdings"/>
        </w:rPr>
        <w:t xml:space="preserve"> and sunflower. </w:t>
      </w:r>
      <w:r w:rsidR="008213F0" w:rsidRPr="00EE43C6">
        <w:rPr>
          <w:rFonts w:cs="Wingdings"/>
        </w:rPr>
        <w:t xml:space="preserve">In </w:t>
      </w:r>
      <w:r w:rsidRPr="00EE43C6">
        <w:rPr>
          <w:rFonts w:cs="Wingdings"/>
        </w:rPr>
        <w:t>Kurbanlı,</w:t>
      </w:r>
      <w:r w:rsidR="00767327" w:rsidRPr="00EE43C6">
        <w:rPr>
          <w:rFonts w:cs="Wingdings"/>
        </w:rPr>
        <w:t xml:space="preserve"> Eskişehir </w:t>
      </w:r>
      <w:r w:rsidRPr="00EE43C6">
        <w:rPr>
          <w:rFonts w:cs="Wingdings"/>
        </w:rPr>
        <w:t xml:space="preserve">and Sağlıklı </w:t>
      </w:r>
      <w:r w:rsidR="00225AE9" w:rsidRPr="00EE43C6">
        <w:rPr>
          <w:rFonts w:cs="Wingdings"/>
        </w:rPr>
        <w:t>Neighbourhood</w:t>
      </w:r>
      <w:r w:rsidR="00767327" w:rsidRPr="00EE43C6">
        <w:rPr>
          <w:rFonts w:cs="Wingdings"/>
        </w:rPr>
        <w:t xml:space="preserve">, </w:t>
      </w:r>
      <w:r w:rsidRPr="00EE43C6">
        <w:rPr>
          <w:rFonts w:cs="Wingdings"/>
        </w:rPr>
        <w:t xml:space="preserve">big </w:t>
      </w:r>
      <w:r w:rsidR="00767327" w:rsidRPr="00EE43C6">
        <w:rPr>
          <w:rFonts w:cs="Wingdings"/>
        </w:rPr>
        <w:t xml:space="preserve">cattle and </w:t>
      </w:r>
      <w:r w:rsidRPr="00EE43C6">
        <w:rPr>
          <w:rFonts w:cs="Wingdings"/>
        </w:rPr>
        <w:t>small cattle</w:t>
      </w:r>
      <w:r w:rsidR="00767327" w:rsidRPr="00EE43C6">
        <w:rPr>
          <w:rFonts w:cs="Wingdings"/>
        </w:rPr>
        <w:t xml:space="preserve"> breeding is practiced. </w:t>
      </w:r>
    </w:p>
    <w:p w14:paraId="202A4BD2" w14:textId="7BAF1834" w:rsidR="004339AC" w:rsidRPr="00EE43C6" w:rsidRDefault="004339AC" w:rsidP="00B625EB">
      <w:pPr>
        <w:pStyle w:val="Heading2"/>
        <w:ind w:hanging="718"/>
        <w:rPr>
          <w:lang w:val="en-GB"/>
        </w:rPr>
      </w:pPr>
      <w:bookmarkStart w:id="405" w:name="_Toc80278317"/>
      <w:bookmarkStart w:id="406" w:name="_Toc120016935"/>
      <w:bookmarkStart w:id="407" w:name="_Toc120004713"/>
      <w:bookmarkStart w:id="408" w:name="_Toc141445424"/>
      <w:r w:rsidRPr="00EE43C6">
        <w:rPr>
          <w:lang w:val="en-GB"/>
        </w:rPr>
        <w:lastRenderedPageBreak/>
        <w:t>Education</w:t>
      </w:r>
      <w:bookmarkEnd w:id="405"/>
      <w:bookmarkEnd w:id="406"/>
      <w:bookmarkEnd w:id="407"/>
      <w:r w:rsidR="007C2622" w:rsidRPr="00EE43C6">
        <w:rPr>
          <w:lang w:val="en-GB"/>
        </w:rPr>
        <w:t xml:space="preserve"> and Health Services</w:t>
      </w:r>
      <w:bookmarkEnd w:id="408"/>
    </w:p>
    <w:p w14:paraId="0D5B71A3" w14:textId="6E78407B" w:rsidR="001C0D1F" w:rsidRPr="00EE43C6" w:rsidRDefault="00DE7F3B" w:rsidP="004F6F35">
      <w:pPr>
        <w:spacing w:after="0"/>
      </w:pPr>
      <w:r w:rsidRPr="00EE43C6">
        <w:t xml:space="preserve">There is a primary school in Sağlıklı </w:t>
      </w:r>
      <w:r w:rsidR="001E22D1" w:rsidRPr="00EE43C6">
        <w:t>neighbourhood</w:t>
      </w:r>
      <w:r w:rsidR="004029FF" w:rsidRPr="00EE43C6">
        <w:t xml:space="preserve">. Children of Kurbanlı and Eskişehir </w:t>
      </w:r>
      <w:r w:rsidR="001E22D1" w:rsidRPr="00EE43C6">
        <w:t>neighbourhoods</w:t>
      </w:r>
      <w:r w:rsidR="004029FF" w:rsidRPr="00EE43C6">
        <w:t xml:space="preserve"> are transported to Sağlıklı </w:t>
      </w:r>
      <w:r w:rsidR="001E22D1" w:rsidRPr="00EE43C6">
        <w:t>neighbourhood</w:t>
      </w:r>
      <w:r w:rsidR="004029FF" w:rsidRPr="00EE43C6">
        <w:t>.</w:t>
      </w:r>
      <w:r w:rsidRPr="00EE43C6">
        <w:t xml:space="preserve"> </w:t>
      </w:r>
      <w:r w:rsidR="00B674F5" w:rsidRPr="00EE43C6">
        <w:t xml:space="preserve">Education and health </w:t>
      </w:r>
      <w:r w:rsidR="00CD3060" w:rsidRPr="00EE43C6">
        <w:t xml:space="preserve">services </w:t>
      </w:r>
      <w:r w:rsidR="00B674F5" w:rsidRPr="00EE43C6">
        <w:t xml:space="preserve">close to the </w:t>
      </w:r>
      <w:r w:rsidR="00CD3060" w:rsidRPr="00EE43C6">
        <w:t>P</w:t>
      </w:r>
      <w:r w:rsidR="00B674F5" w:rsidRPr="00EE43C6">
        <w:t xml:space="preserve">roject </w:t>
      </w:r>
      <w:r w:rsidR="00392A77" w:rsidRPr="00EE43C6">
        <w:t>A</w:t>
      </w:r>
      <w:r w:rsidR="00B674F5" w:rsidRPr="00EE43C6">
        <w:t xml:space="preserve">rea are shown in </w:t>
      </w:r>
      <w:r w:rsidR="00215E71" w:rsidRPr="00EE43C6">
        <w:fldChar w:fldCharType="begin"/>
      </w:r>
      <w:r w:rsidR="00215E71" w:rsidRPr="00EE43C6">
        <w:instrText xml:space="preserve"> REF _Ref128041925 \h </w:instrText>
      </w:r>
      <w:r w:rsidR="003710F3" w:rsidRPr="00EE43C6">
        <w:instrText xml:space="preserve"> \* MERGEFORMAT </w:instrText>
      </w:r>
      <w:r w:rsidR="00215E71" w:rsidRPr="00EE43C6">
        <w:fldChar w:fldCharType="separate"/>
      </w:r>
      <w:r w:rsidR="00215E71" w:rsidRPr="00EE43C6">
        <w:t>Figure 5</w:t>
      </w:r>
      <w:r w:rsidR="00215E71" w:rsidRPr="00EE43C6" w:rsidDel="00433461">
        <w:noBreakHyphen/>
      </w:r>
      <w:r w:rsidR="00215E71" w:rsidRPr="00EE43C6">
        <w:t>2</w:t>
      </w:r>
      <w:r w:rsidR="00215E71" w:rsidRPr="00EE43C6">
        <w:fldChar w:fldCharType="end"/>
      </w:r>
      <w:r w:rsidR="00215E71" w:rsidRPr="00EE43C6">
        <w:t>.</w:t>
      </w:r>
    </w:p>
    <w:p w14:paraId="111AE62C" w14:textId="56828317" w:rsidR="00C502F1" w:rsidRPr="00EE43C6" w:rsidRDefault="00FF0940" w:rsidP="004F6F35">
      <w:pPr>
        <w:spacing w:before="0" w:after="60" w:line="240" w:lineRule="auto"/>
        <w:jc w:val="center"/>
      </w:pPr>
      <w:r w:rsidRPr="00EE43C6">
        <w:rPr>
          <w:noProof/>
        </w:rPr>
        <w:drawing>
          <wp:inline distT="0" distB="0" distL="0" distR="0" wp14:anchorId="584A1E1A" wp14:editId="447B07E8">
            <wp:extent cx="3923104" cy="5544000"/>
            <wp:effectExtent l="38100" t="38100" r="39370" b="3810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23104" cy="5544000"/>
                    </a:xfrm>
                    <a:prstGeom prst="rect">
                      <a:avLst/>
                    </a:prstGeom>
                    <a:ln w="38100">
                      <a:solidFill>
                        <a:sysClr val="windowText" lastClr="000000"/>
                      </a:solidFill>
                    </a:ln>
                  </pic:spPr>
                </pic:pic>
              </a:graphicData>
            </a:graphic>
          </wp:inline>
        </w:drawing>
      </w:r>
    </w:p>
    <w:p w14:paraId="382F230C" w14:textId="2F648E8D" w:rsidR="005D4493" w:rsidRPr="00EE43C6" w:rsidRDefault="004A0F81" w:rsidP="004A0F81">
      <w:pPr>
        <w:pStyle w:val="Caption"/>
        <w:rPr>
          <w:noProof w:val="0"/>
          <w:szCs w:val="22"/>
        </w:rPr>
      </w:pPr>
      <w:bookmarkStart w:id="409" w:name="_Toc141445575"/>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5</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2</w:t>
      </w:r>
      <w:r w:rsidR="0096150F">
        <w:rPr>
          <w:noProof w:val="0"/>
          <w:color w:val="00B050"/>
        </w:rPr>
        <w:fldChar w:fldCharType="end"/>
      </w:r>
      <w:r w:rsidRPr="00EE43C6">
        <w:rPr>
          <w:noProof w:val="0"/>
          <w:color w:val="00B050"/>
        </w:rPr>
        <w:t xml:space="preserve">. </w:t>
      </w:r>
      <w:r w:rsidR="004F4BF4" w:rsidRPr="00EE43C6">
        <w:rPr>
          <w:b w:val="0"/>
          <w:bCs w:val="0"/>
          <w:noProof w:val="0"/>
          <w:color w:val="auto"/>
          <w:szCs w:val="22"/>
        </w:rPr>
        <w:t xml:space="preserve">Education and Health </w:t>
      </w:r>
      <w:r w:rsidR="007B5133" w:rsidRPr="00EE43C6">
        <w:rPr>
          <w:b w:val="0"/>
          <w:bCs w:val="0"/>
          <w:noProof w:val="0"/>
          <w:color w:val="auto"/>
          <w:szCs w:val="22"/>
        </w:rPr>
        <w:t>Services Near the Project Area</w:t>
      </w:r>
      <w:bookmarkEnd w:id="409"/>
    </w:p>
    <w:p w14:paraId="430356D8" w14:textId="631A4B06" w:rsidR="00B037B6" w:rsidRPr="00EE43C6" w:rsidRDefault="00B037B6" w:rsidP="00B037B6">
      <w:r w:rsidRPr="00EE43C6">
        <w:t xml:space="preserve">In </w:t>
      </w:r>
      <w:r w:rsidR="00117757">
        <w:t>Türkiye</w:t>
      </w:r>
      <w:r w:rsidRPr="00EE43C6">
        <w:t xml:space="preserve">, primary health care is the provision of diagnosis, treatment, and rehabilitation services at low cost. The name of this practice in </w:t>
      </w:r>
      <w:r w:rsidR="00117757">
        <w:t>Türkiye</w:t>
      </w:r>
      <w:r w:rsidRPr="00EE43C6">
        <w:t xml:space="preserve"> is family medicine. </w:t>
      </w:r>
    </w:p>
    <w:p w14:paraId="368EEFA9" w14:textId="623A78CD" w:rsidR="00485BAD" w:rsidRPr="00EE43C6" w:rsidRDefault="00B037B6" w:rsidP="00485BAD">
      <w:r w:rsidRPr="00EE43C6">
        <w:t xml:space="preserve">There are 3,000 people per family physician in </w:t>
      </w:r>
      <w:r w:rsidR="00117757">
        <w:t>Türkiye</w:t>
      </w:r>
      <w:r w:rsidRPr="00EE43C6">
        <w:t xml:space="preserve">. According to 2020 data, there are 26,594 Family Medicine units in </w:t>
      </w:r>
      <w:r w:rsidR="00117757">
        <w:t>Türkiye</w:t>
      </w:r>
      <w:r w:rsidRPr="00EE43C6">
        <w:t xml:space="preserve">. There are 8,015 Family Health Centres. There are 779 Community Health Centres. There are 3,050 112 Emergency Aid Stations and 5,711 112 Emergency Aid Ambulances. According to 2018 </w:t>
      </w:r>
      <w:r w:rsidR="008F6AA0" w:rsidRPr="00EE43C6">
        <w:t xml:space="preserve">TurkStat </w:t>
      </w:r>
      <w:r w:rsidRPr="00EE43C6">
        <w:t xml:space="preserve">data, the total number of beds in </w:t>
      </w:r>
      <w:r w:rsidR="00117757">
        <w:t>Türkiye</w:t>
      </w:r>
      <w:r w:rsidRPr="00EE43C6">
        <w:t xml:space="preserve"> is 231,913 and the number of beds per 1,000 people is 2.83.</w:t>
      </w:r>
    </w:p>
    <w:p w14:paraId="7B40E39C" w14:textId="77777777" w:rsidR="006F0432" w:rsidRPr="00EE43C6" w:rsidRDefault="006F0432" w:rsidP="006F0432">
      <w:r w:rsidRPr="00EE43C6">
        <w:lastRenderedPageBreak/>
        <w:t xml:space="preserve">This ratio varies in places where the population is below 3,000 people or where access to health centres is difficult. In addition to this, there is a mobile health service for patients who cannot access health services or who have problems in travelling to health centres by their own means. Thus, health workers visit predetermined regions at certain intervals. </w:t>
      </w:r>
    </w:p>
    <w:p w14:paraId="0BEEB1B0" w14:textId="082042F2" w:rsidR="00C53020" w:rsidRPr="00EE43C6" w:rsidRDefault="00C53020" w:rsidP="00C53020">
      <w:r w:rsidRPr="00EE43C6">
        <w:t>According to 2023 data, 30 institutions provide health services in Mersin Province. There are 15 Private Hospitals, 14 State Hospital and a university hospital.</w:t>
      </w:r>
    </w:p>
    <w:p w14:paraId="27AA27E2" w14:textId="0512BDE2" w:rsidR="009B2074" w:rsidRPr="00EE43C6" w:rsidRDefault="009B2074" w:rsidP="00C53020">
      <w:r w:rsidRPr="00EE43C6">
        <w:t xml:space="preserve">In Mersin Tarsus district, 10 institutions provide health services. There are </w:t>
      </w:r>
      <w:r w:rsidR="00AB44D4">
        <w:t>two (</w:t>
      </w:r>
      <w:r w:rsidRPr="00EE43C6">
        <w:t>2</w:t>
      </w:r>
      <w:r w:rsidR="00AB44D4">
        <w:t>)</w:t>
      </w:r>
      <w:r w:rsidRPr="00EE43C6">
        <w:t xml:space="preserve"> Private Hospitals, </w:t>
      </w:r>
      <w:r w:rsidR="00603DA8">
        <w:t>two</w:t>
      </w:r>
      <w:r w:rsidR="00603DA8" w:rsidRPr="00EE43C6">
        <w:t xml:space="preserve"> </w:t>
      </w:r>
      <w:r w:rsidR="00603DA8">
        <w:t>(</w:t>
      </w:r>
      <w:r w:rsidRPr="00EE43C6">
        <w:t>2</w:t>
      </w:r>
      <w:r w:rsidR="00603DA8">
        <w:t>)</w:t>
      </w:r>
      <w:r w:rsidRPr="00EE43C6">
        <w:t xml:space="preserve"> Dialysis Centers, </w:t>
      </w:r>
      <w:r w:rsidR="00603DA8">
        <w:t>one (</w:t>
      </w:r>
      <w:r w:rsidRPr="00EE43C6">
        <w:t>1</w:t>
      </w:r>
      <w:r w:rsidR="00603DA8">
        <w:t>)</w:t>
      </w:r>
      <w:r w:rsidRPr="00EE43C6">
        <w:t xml:space="preserve"> Medical Center, </w:t>
      </w:r>
      <w:r w:rsidR="00603DA8">
        <w:t>one (</w:t>
      </w:r>
      <w:r w:rsidRPr="00EE43C6">
        <w:t>1</w:t>
      </w:r>
      <w:r w:rsidR="00603DA8">
        <w:t>)</w:t>
      </w:r>
      <w:r w:rsidRPr="00EE43C6">
        <w:t xml:space="preserve"> State Hospital, </w:t>
      </w:r>
      <w:r w:rsidR="00603DA8">
        <w:t>one (</w:t>
      </w:r>
      <w:r w:rsidRPr="00EE43C6">
        <w:t>1</w:t>
      </w:r>
      <w:r w:rsidR="00603DA8">
        <w:t>)</w:t>
      </w:r>
      <w:r w:rsidRPr="00EE43C6">
        <w:t xml:space="preserve"> Oral and Dental Health Center, </w:t>
      </w:r>
      <w:r w:rsidR="00603DA8">
        <w:t>one (</w:t>
      </w:r>
      <w:r w:rsidRPr="00EE43C6">
        <w:t>1</w:t>
      </w:r>
      <w:r w:rsidR="00603DA8">
        <w:t>)</w:t>
      </w:r>
      <w:r w:rsidRPr="00EE43C6">
        <w:t xml:space="preserve"> Physical Therapy and Rehabilitation Center, </w:t>
      </w:r>
      <w:r w:rsidR="00603DA8">
        <w:t>one (</w:t>
      </w:r>
      <w:r w:rsidRPr="00EE43C6">
        <w:t>1</w:t>
      </w:r>
      <w:r w:rsidR="00603DA8">
        <w:t>)</w:t>
      </w:r>
      <w:r w:rsidRPr="00EE43C6">
        <w:t xml:space="preserve"> Gynecology and Obstetrics Hospital, </w:t>
      </w:r>
      <w:r w:rsidR="00603DA8">
        <w:t>one (</w:t>
      </w:r>
      <w:r w:rsidRPr="00EE43C6">
        <w:t>1</w:t>
      </w:r>
      <w:r w:rsidR="00603DA8">
        <w:t>)</w:t>
      </w:r>
      <w:r w:rsidRPr="00EE43C6">
        <w:t xml:space="preserve"> Ophthalmology Center.</w:t>
      </w:r>
      <w:r w:rsidR="00852699">
        <w:t xml:space="preserve"> Residents of Kurbanlı, Eskişehir and Sağlıklı neighbourhoods are receiving health services from health centers in Tarsus district. </w:t>
      </w:r>
      <w:r w:rsidR="00852699" w:rsidRPr="00E97AEC">
        <w:t>All three neighborhoods are located approximately 17 km from Tarsus State Hospital.</w:t>
      </w:r>
    </w:p>
    <w:p w14:paraId="1F57E718" w14:textId="78090FFD" w:rsidR="007313BD" w:rsidRPr="00EE43C6" w:rsidRDefault="007313BD" w:rsidP="00B625EB">
      <w:pPr>
        <w:pStyle w:val="Heading2"/>
        <w:ind w:hanging="718"/>
        <w:rPr>
          <w:lang w:val="en-GB"/>
        </w:rPr>
      </w:pPr>
      <w:bookmarkStart w:id="410" w:name="_Toc141367275"/>
      <w:bookmarkStart w:id="411" w:name="_Toc141367573"/>
      <w:bookmarkStart w:id="412" w:name="_Toc82779432"/>
      <w:bookmarkStart w:id="413" w:name="_Toc80633549"/>
      <w:bookmarkStart w:id="414" w:name="_Ref100072473"/>
      <w:bookmarkStart w:id="415" w:name="_Toc120016937"/>
      <w:bookmarkStart w:id="416" w:name="_Toc120004715"/>
      <w:bookmarkStart w:id="417" w:name="_Toc141445425"/>
      <w:bookmarkEnd w:id="410"/>
      <w:bookmarkEnd w:id="411"/>
      <w:r w:rsidRPr="00EE43C6">
        <w:rPr>
          <w:lang w:val="en-GB"/>
        </w:rPr>
        <w:t>Vulnerable Groups</w:t>
      </w:r>
      <w:bookmarkEnd w:id="412"/>
      <w:bookmarkEnd w:id="413"/>
      <w:bookmarkEnd w:id="414"/>
      <w:bookmarkEnd w:id="415"/>
      <w:bookmarkEnd w:id="416"/>
      <w:bookmarkEnd w:id="417"/>
      <w:r w:rsidRPr="00EE43C6">
        <w:rPr>
          <w:lang w:val="en-GB"/>
        </w:rPr>
        <w:t xml:space="preserve"> </w:t>
      </w:r>
    </w:p>
    <w:p w14:paraId="21370597" w14:textId="77777777" w:rsidR="00EF728E" w:rsidRPr="00EE43C6" w:rsidRDefault="00EF728E" w:rsidP="00EF728E">
      <w:pPr>
        <w:rPr>
          <w:rFonts w:cs="Wingdings"/>
          <w:szCs w:val="22"/>
        </w:rPr>
      </w:pPr>
      <w:r w:rsidRPr="00EE43C6">
        <w:rPr>
          <w:rFonts w:cs="Wingdings"/>
          <w:szCs w:val="22"/>
        </w:rPr>
        <w:t>The characteristics of persons belonging to vulnerable groups are as follows:</w:t>
      </w:r>
    </w:p>
    <w:p w14:paraId="21018252" w14:textId="77777777" w:rsidR="00FD7298" w:rsidRPr="00EE43C6" w:rsidRDefault="00B6785B" w:rsidP="000C70D9">
      <w:pPr>
        <w:pStyle w:val="ListParagraph"/>
        <w:numPr>
          <w:ilvl w:val="0"/>
          <w:numId w:val="12"/>
        </w:numPr>
        <w:tabs>
          <w:tab w:val="left" w:pos="1576"/>
        </w:tabs>
        <w:spacing w:before="120"/>
        <w:rPr>
          <w:noProof w:val="0"/>
        </w:rPr>
      </w:pPr>
      <w:r w:rsidRPr="00EE43C6">
        <w:rPr>
          <w:noProof w:val="0"/>
        </w:rPr>
        <w:t>Refugees;</w:t>
      </w:r>
    </w:p>
    <w:p w14:paraId="51F13AB6" w14:textId="77777777" w:rsidR="00FD7298" w:rsidRPr="00EE43C6" w:rsidRDefault="00B6785B" w:rsidP="000C70D9">
      <w:pPr>
        <w:pStyle w:val="ListParagraph"/>
        <w:numPr>
          <w:ilvl w:val="0"/>
          <w:numId w:val="12"/>
        </w:numPr>
        <w:tabs>
          <w:tab w:val="left" w:pos="1576"/>
        </w:tabs>
        <w:spacing w:before="120"/>
        <w:rPr>
          <w:noProof w:val="0"/>
        </w:rPr>
      </w:pPr>
      <w:r w:rsidRPr="00EE43C6">
        <w:rPr>
          <w:noProof w:val="0"/>
        </w:rPr>
        <w:t>Ethnic minority groups;</w:t>
      </w:r>
    </w:p>
    <w:p w14:paraId="2E66376D" w14:textId="6A46F2AD" w:rsidR="00FD7298" w:rsidRPr="00EE43C6" w:rsidRDefault="00F77886" w:rsidP="000C70D9">
      <w:pPr>
        <w:pStyle w:val="ListParagraph"/>
        <w:numPr>
          <w:ilvl w:val="0"/>
          <w:numId w:val="12"/>
        </w:numPr>
        <w:tabs>
          <w:tab w:val="left" w:pos="1576"/>
        </w:tabs>
        <w:spacing w:before="120"/>
        <w:rPr>
          <w:noProof w:val="0"/>
        </w:rPr>
      </w:pPr>
      <w:r w:rsidRPr="00EE43C6">
        <w:rPr>
          <w:noProof w:val="0"/>
        </w:rPr>
        <w:t>Individuals over 65 years of age living alone</w:t>
      </w:r>
      <w:r w:rsidR="00B6785B" w:rsidRPr="00EE43C6">
        <w:rPr>
          <w:noProof w:val="0"/>
        </w:rPr>
        <w:t>;</w:t>
      </w:r>
    </w:p>
    <w:p w14:paraId="22692C3D" w14:textId="77777777" w:rsidR="00FD7298" w:rsidRPr="00EE43C6" w:rsidRDefault="00B6785B" w:rsidP="000C70D9">
      <w:pPr>
        <w:pStyle w:val="ListParagraph"/>
        <w:numPr>
          <w:ilvl w:val="0"/>
          <w:numId w:val="12"/>
        </w:numPr>
        <w:tabs>
          <w:tab w:val="left" w:pos="1576"/>
        </w:tabs>
        <w:spacing w:before="120"/>
        <w:rPr>
          <w:noProof w:val="0"/>
        </w:rPr>
      </w:pPr>
      <w:r w:rsidRPr="00EE43C6">
        <w:rPr>
          <w:noProof w:val="0"/>
        </w:rPr>
        <w:t>Physically or mentally handicapped;</w:t>
      </w:r>
    </w:p>
    <w:p w14:paraId="37D2D942" w14:textId="77777777" w:rsidR="00FD7298" w:rsidRPr="00EE43C6" w:rsidRDefault="00B6785B" w:rsidP="000C70D9">
      <w:pPr>
        <w:pStyle w:val="ListParagraph"/>
        <w:numPr>
          <w:ilvl w:val="0"/>
          <w:numId w:val="12"/>
        </w:numPr>
        <w:tabs>
          <w:tab w:val="left" w:pos="1576"/>
        </w:tabs>
        <w:spacing w:before="120"/>
        <w:rPr>
          <w:noProof w:val="0"/>
        </w:rPr>
      </w:pPr>
      <w:r w:rsidRPr="00EE43C6">
        <w:rPr>
          <w:noProof w:val="0"/>
        </w:rPr>
        <w:t>Those who have a chronic illness or are bedridden;</w:t>
      </w:r>
    </w:p>
    <w:p w14:paraId="2EE57C30" w14:textId="3DA904A3" w:rsidR="002550F4" w:rsidRDefault="009D3CA5" w:rsidP="000C70D9">
      <w:pPr>
        <w:pStyle w:val="ListParagraph"/>
        <w:numPr>
          <w:ilvl w:val="0"/>
          <w:numId w:val="12"/>
        </w:numPr>
        <w:tabs>
          <w:tab w:val="left" w:pos="1576"/>
        </w:tabs>
        <w:spacing w:before="120"/>
        <w:rPr>
          <w:noProof w:val="0"/>
        </w:rPr>
      </w:pPr>
      <w:r w:rsidRPr="00EE43C6">
        <w:rPr>
          <w:noProof w:val="0"/>
        </w:rPr>
        <w:t>Women</w:t>
      </w:r>
      <w:r w:rsidR="00B6785B" w:rsidRPr="00EE43C6">
        <w:rPr>
          <w:noProof w:val="0"/>
        </w:rPr>
        <w:t xml:space="preserve"> heads of households;</w:t>
      </w:r>
    </w:p>
    <w:p w14:paraId="75DE093D" w14:textId="7C5DFCAF" w:rsidR="00DF67F4" w:rsidRPr="00EE43C6" w:rsidRDefault="00DF67F4" w:rsidP="000C70D9">
      <w:pPr>
        <w:pStyle w:val="ListParagraph"/>
        <w:numPr>
          <w:ilvl w:val="0"/>
          <w:numId w:val="12"/>
        </w:numPr>
        <w:tabs>
          <w:tab w:val="left" w:pos="1576"/>
        </w:tabs>
        <w:spacing w:before="120"/>
        <w:rPr>
          <w:noProof w:val="0"/>
        </w:rPr>
      </w:pPr>
      <w:r>
        <w:rPr>
          <w:noProof w:val="0"/>
        </w:rPr>
        <w:t>Women living alone,</w:t>
      </w:r>
    </w:p>
    <w:p w14:paraId="34DA14A8" w14:textId="77777777" w:rsidR="002550F4" w:rsidRPr="00EE43C6" w:rsidRDefault="00B6785B" w:rsidP="000C70D9">
      <w:pPr>
        <w:pStyle w:val="ListParagraph"/>
        <w:numPr>
          <w:ilvl w:val="0"/>
          <w:numId w:val="12"/>
        </w:numPr>
        <w:tabs>
          <w:tab w:val="left" w:pos="1576"/>
        </w:tabs>
        <w:spacing w:before="120"/>
        <w:rPr>
          <w:noProof w:val="0"/>
        </w:rPr>
      </w:pPr>
      <w:r w:rsidRPr="00EE43C6">
        <w:rPr>
          <w:noProof w:val="0"/>
        </w:rPr>
        <w:t>Poor people who live on state or association aid;</w:t>
      </w:r>
    </w:p>
    <w:p w14:paraId="7D997EB2" w14:textId="50B530E4" w:rsidR="00EF728E" w:rsidRPr="00EE43C6" w:rsidRDefault="00B6785B" w:rsidP="000C70D9">
      <w:pPr>
        <w:pStyle w:val="ListParagraph"/>
        <w:numPr>
          <w:ilvl w:val="0"/>
          <w:numId w:val="12"/>
        </w:numPr>
        <w:tabs>
          <w:tab w:val="left" w:pos="1576"/>
        </w:tabs>
        <w:spacing w:before="120"/>
        <w:rPr>
          <w:noProof w:val="0"/>
        </w:rPr>
      </w:pPr>
      <w:r w:rsidRPr="00EE43C6">
        <w:rPr>
          <w:noProof w:val="0"/>
        </w:rPr>
        <w:t>Nomads.</w:t>
      </w:r>
    </w:p>
    <w:p w14:paraId="49759C4E" w14:textId="699A3596" w:rsidR="00BE517E" w:rsidRPr="00EE43C6" w:rsidRDefault="00986E10" w:rsidP="00BD2637">
      <w:pPr>
        <w:rPr>
          <w:rFonts w:cs="Arial"/>
          <w:szCs w:val="22"/>
        </w:rPr>
      </w:pPr>
      <w:r w:rsidRPr="00EE43C6">
        <w:rPr>
          <w:rFonts w:cs="Arial"/>
          <w:szCs w:val="22"/>
        </w:rPr>
        <w:t xml:space="preserve">According to the information provided by the headmen of </w:t>
      </w:r>
      <w:r w:rsidR="005F4B19" w:rsidRPr="00EE43C6">
        <w:rPr>
          <w:rFonts w:cs="Arial"/>
          <w:szCs w:val="22"/>
        </w:rPr>
        <w:t>neighbourhoods</w:t>
      </w:r>
      <w:r w:rsidRPr="00EE43C6">
        <w:rPr>
          <w:rFonts w:cs="Arial"/>
          <w:szCs w:val="22"/>
        </w:rPr>
        <w:t xml:space="preserve">, information about vulnerable/disadvantaged individuals/groups was </w:t>
      </w:r>
      <w:r w:rsidR="0009108C" w:rsidRPr="1CD9B89B">
        <w:rPr>
          <w:rFonts w:cs="Arial"/>
        </w:rPr>
        <w:t xml:space="preserve">received </w:t>
      </w:r>
      <w:r w:rsidR="0009108C" w:rsidRPr="00EE43C6">
        <w:rPr>
          <w:rFonts w:cs="Arial"/>
          <w:szCs w:val="22"/>
        </w:rPr>
        <w:t>and</w:t>
      </w:r>
      <w:r w:rsidRPr="00EE43C6">
        <w:rPr>
          <w:rFonts w:cs="Arial"/>
          <w:szCs w:val="22"/>
        </w:rPr>
        <w:t xml:space="preserve"> the groups identified are presented in</w:t>
      </w:r>
      <w:r w:rsidR="000A7CBC">
        <w:rPr>
          <w:rFonts w:cs="Arial"/>
          <w:szCs w:val="22"/>
        </w:rPr>
        <w:t xml:space="preserve"> </w:t>
      </w:r>
      <w:r w:rsidR="000A7CBC">
        <w:rPr>
          <w:rFonts w:cs="Arial"/>
          <w:szCs w:val="22"/>
        </w:rPr>
        <w:fldChar w:fldCharType="begin"/>
      </w:r>
      <w:r w:rsidR="000A7CBC">
        <w:rPr>
          <w:rFonts w:cs="Arial"/>
          <w:szCs w:val="22"/>
        </w:rPr>
        <w:instrText xml:space="preserve"> REF _Ref130552393 \h </w:instrText>
      </w:r>
      <w:r w:rsidR="000A7CBC">
        <w:rPr>
          <w:rFonts w:cs="Arial"/>
          <w:szCs w:val="22"/>
        </w:rPr>
      </w:r>
      <w:r w:rsidR="000A7CBC">
        <w:rPr>
          <w:rFonts w:cs="Arial"/>
          <w:szCs w:val="22"/>
        </w:rPr>
        <w:fldChar w:fldCharType="separate"/>
      </w:r>
      <w:r w:rsidR="005F4B19">
        <w:t xml:space="preserve">Table </w:t>
      </w:r>
      <w:r w:rsidR="005F4B19">
        <w:rPr>
          <w:noProof/>
        </w:rPr>
        <w:t>5</w:t>
      </w:r>
      <w:r w:rsidR="005F4B19">
        <w:noBreakHyphen/>
      </w:r>
      <w:r w:rsidR="005F4B19">
        <w:rPr>
          <w:noProof/>
        </w:rPr>
        <w:t>2</w:t>
      </w:r>
      <w:r w:rsidR="000A7CBC">
        <w:rPr>
          <w:rFonts w:cs="Arial"/>
          <w:szCs w:val="22"/>
        </w:rPr>
        <w:fldChar w:fldCharType="end"/>
      </w:r>
      <w:r w:rsidR="001B4E69" w:rsidRPr="00EE43C6">
        <w:rPr>
          <w:rFonts w:cs="Arial"/>
          <w:szCs w:val="22"/>
        </w:rPr>
        <w:t>.</w:t>
      </w:r>
    </w:p>
    <w:p w14:paraId="7097661E" w14:textId="53A8D299" w:rsidR="00971C48" w:rsidRPr="00EE43C6" w:rsidRDefault="008F4DEC" w:rsidP="000A7CBC">
      <w:pPr>
        <w:pStyle w:val="Caption"/>
        <w:rPr>
          <w:rFonts w:cs="Arial"/>
          <w:noProof w:val="0"/>
        </w:rPr>
      </w:pPr>
      <w:bookmarkStart w:id="418" w:name="_Ref130552393"/>
      <w:bookmarkStart w:id="419" w:name="_Toc141445506"/>
      <w:r>
        <w:t xml:space="preserve">Table </w:t>
      </w:r>
      <w:r w:rsidR="006D2DE8">
        <w:fldChar w:fldCharType="begin"/>
      </w:r>
      <w:r w:rsidR="006D2DE8">
        <w:instrText xml:space="preserve"> STYLEREF 1 \s </w:instrText>
      </w:r>
      <w:r w:rsidR="006D2DE8">
        <w:fldChar w:fldCharType="separate"/>
      </w:r>
      <w:r w:rsidR="006D2DE8">
        <w:t>5</w:t>
      </w:r>
      <w:r w:rsidR="006D2DE8">
        <w:fldChar w:fldCharType="end"/>
      </w:r>
      <w:r w:rsidR="006D2DE8">
        <w:noBreakHyphen/>
      </w:r>
      <w:r w:rsidR="006D2DE8">
        <w:fldChar w:fldCharType="begin"/>
      </w:r>
      <w:r w:rsidR="006D2DE8">
        <w:instrText xml:space="preserve"> SEQ Table \* ARABIC \s 1 </w:instrText>
      </w:r>
      <w:r w:rsidR="006D2DE8">
        <w:fldChar w:fldCharType="separate"/>
      </w:r>
      <w:r w:rsidR="006D2DE8">
        <w:t>2</w:t>
      </w:r>
      <w:r w:rsidR="006D2DE8">
        <w:fldChar w:fldCharType="end"/>
      </w:r>
      <w:bookmarkEnd w:id="418"/>
      <w:r>
        <w:t>.</w:t>
      </w:r>
      <w:r w:rsidR="000A7CBC">
        <w:t xml:space="preserve"> </w:t>
      </w:r>
      <w:r w:rsidR="009736B9" w:rsidRPr="000A7CBC">
        <w:rPr>
          <w:rFonts w:cs="Arial"/>
          <w:b w:val="0"/>
          <w:bCs w:val="0"/>
          <w:noProof w:val="0"/>
          <w:color w:val="auto"/>
        </w:rPr>
        <w:t>Vulnerable/Disadvantaged Individuals/Groups in the Project Area</w:t>
      </w:r>
      <w:bookmarkEnd w:id="419"/>
      <w:r w:rsidR="009736B9" w:rsidRPr="000A7CBC">
        <w:rPr>
          <w:rFonts w:cs="Arial"/>
          <w:noProof w:val="0"/>
          <w:color w:val="auto"/>
        </w:rPr>
        <w:t xml:space="preserve"> </w:t>
      </w:r>
    </w:p>
    <w:tbl>
      <w:tblPr>
        <w:tblStyle w:val="Tablelongdocument1"/>
        <w:tblW w:w="5065" w:type="pct"/>
        <w:tblLook w:val="04A0" w:firstRow="1" w:lastRow="0" w:firstColumn="1" w:lastColumn="0" w:noHBand="0" w:noVBand="1"/>
      </w:tblPr>
      <w:tblGrid>
        <w:gridCol w:w="1501"/>
        <w:gridCol w:w="1838"/>
        <w:gridCol w:w="1368"/>
        <w:gridCol w:w="1473"/>
        <w:gridCol w:w="1616"/>
        <w:gridCol w:w="1376"/>
      </w:tblGrid>
      <w:tr w:rsidR="00971C48" w:rsidRPr="00EE43C6" w14:paraId="74A4F107" w14:textId="77777777" w:rsidTr="4941ED1F">
        <w:trPr>
          <w:trHeight w:val="324"/>
          <w:tblHeader/>
        </w:trPr>
        <w:tc>
          <w:tcPr>
            <w:tcW w:w="818" w:type="pct"/>
            <w:shd w:val="clear" w:color="auto" w:fill="4F81BD" w:themeFill="accent1"/>
            <w:vAlign w:val="center"/>
          </w:tcPr>
          <w:p w14:paraId="016F6427" w14:textId="77777777" w:rsidR="00971C48" w:rsidRPr="00EE43C6" w:rsidRDefault="00971C48" w:rsidP="001E0229">
            <w:pPr>
              <w:spacing w:before="0" w:after="0" w:line="240" w:lineRule="auto"/>
              <w:jc w:val="center"/>
              <w:rPr>
                <w:b/>
                <w:color w:val="FFFFFF"/>
                <w:sz w:val="18"/>
                <w:szCs w:val="18"/>
              </w:rPr>
            </w:pPr>
            <w:r w:rsidRPr="00EE43C6">
              <w:rPr>
                <w:b/>
                <w:bCs/>
                <w:color w:val="FFFFFF"/>
                <w:sz w:val="18"/>
                <w:szCs w:val="18"/>
              </w:rPr>
              <w:t>Settlement</w:t>
            </w:r>
          </w:p>
        </w:tc>
        <w:tc>
          <w:tcPr>
            <w:tcW w:w="1002" w:type="pct"/>
            <w:shd w:val="clear" w:color="auto" w:fill="4F81BD" w:themeFill="accent1"/>
            <w:vAlign w:val="center"/>
          </w:tcPr>
          <w:p w14:paraId="2961DC46" w14:textId="77777777" w:rsidR="00971C48" w:rsidRPr="00EE43C6" w:rsidRDefault="00971C48" w:rsidP="001E0229">
            <w:pPr>
              <w:spacing w:before="0" w:after="0" w:line="240" w:lineRule="auto"/>
              <w:jc w:val="center"/>
              <w:rPr>
                <w:b/>
                <w:color w:val="FFFFFF"/>
                <w:sz w:val="18"/>
                <w:szCs w:val="18"/>
              </w:rPr>
            </w:pPr>
            <w:r w:rsidRPr="00EE43C6">
              <w:rPr>
                <w:b/>
                <w:bCs/>
                <w:color w:val="FFFFFF"/>
                <w:sz w:val="18"/>
                <w:szCs w:val="18"/>
              </w:rPr>
              <w:t>Individuals over 65 years of age living alone</w:t>
            </w:r>
          </w:p>
        </w:tc>
        <w:tc>
          <w:tcPr>
            <w:tcW w:w="746" w:type="pct"/>
            <w:shd w:val="clear" w:color="auto" w:fill="4F81BD" w:themeFill="accent1"/>
            <w:vAlign w:val="center"/>
          </w:tcPr>
          <w:p w14:paraId="2A4C3470" w14:textId="77777777" w:rsidR="00971C48" w:rsidRPr="00EE43C6" w:rsidRDefault="00971C48" w:rsidP="001E0229">
            <w:pPr>
              <w:spacing w:before="0" w:after="0" w:line="240" w:lineRule="auto"/>
              <w:jc w:val="center"/>
              <w:rPr>
                <w:b/>
                <w:color w:val="FFFFFF"/>
                <w:sz w:val="18"/>
                <w:szCs w:val="18"/>
                <w:vertAlign w:val="superscript"/>
              </w:rPr>
            </w:pPr>
            <w:r w:rsidRPr="00EE43C6">
              <w:rPr>
                <w:b/>
                <w:bCs/>
                <w:color w:val="FFFFFF"/>
                <w:sz w:val="18"/>
                <w:szCs w:val="18"/>
              </w:rPr>
              <w:t>Poor families</w:t>
            </w:r>
            <w:r w:rsidRPr="00EE43C6">
              <w:rPr>
                <w:b/>
                <w:bCs/>
                <w:color w:val="FFFFFF"/>
                <w:sz w:val="18"/>
                <w:szCs w:val="18"/>
                <w:vertAlign w:val="superscript"/>
              </w:rPr>
              <w:t>*</w:t>
            </w:r>
          </w:p>
        </w:tc>
        <w:tc>
          <w:tcPr>
            <w:tcW w:w="803" w:type="pct"/>
            <w:shd w:val="clear" w:color="auto" w:fill="4F81BD" w:themeFill="accent1"/>
            <w:vAlign w:val="center"/>
          </w:tcPr>
          <w:p w14:paraId="488464D9" w14:textId="77777777" w:rsidR="00971C48" w:rsidRPr="00EE43C6" w:rsidRDefault="00971C48" w:rsidP="001E0229">
            <w:pPr>
              <w:spacing w:before="0" w:after="0" w:line="240" w:lineRule="auto"/>
              <w:jc w:val="center"/>
              <w:rPr>
                <w:b/>
                <w:color w:val="FFFFFF"/>
                <w:sz w:val="18"/>
                <w:szCs w:val="18"/>
              </w:rPr>
            </w:pPr>
            <w:r w:rsidRPr="00EE43C6">
              <w:rPr>
                <w:b/>
                <w:bCs/>
                <w:color w:val="FFFFFF"/>
                <w:sz w:val="18"/>
                <w:szCs w:val="18"/>
              </w:rPr>
              <w:t>Physically / Mentally disabled</w:t>
            </w:r>
          </w:p>
        </w:tc>
        <w:tc>
          <w:tcPr>
            <w:tcW w:w="881" w:type="pct"/>
            <w:shd w:val="clear" w:color="auto" w:fill="4F81BD" w:themeFill="accent1"/>
            <w:vAlign w:val="center"/>
          </w:tcPr>
          <w:p w14:paraId="1A1DA4D9" w14:textId="77777777" w:rsidR="00971C48" w:rsidRPr="00EE43C6" w:rsidRDefault="00971C48" w:rsidP="001E0229">
            <w:pPr>
              <w:spacing w:before="0" w:after="0" w:line="240" w:lineRule="auto"/>
              <w:jc w:val="center"/>
              <w:rPr>
                <w:b/>
                <w:color w:val="FFFFFF"/>
                <w:sz w:val="18"/>
                <w:szCs w:val="18"/>
              </w:rPr>
            </w:pPr>
            <w:r w:rsidRPr="00EE43C6">
              <w:rPr>
                <w:b/>
                <w:color w:val="FFFFFF"/>
                <w:sz w:val="18"/>
                <w:szCs w:val="18"/>
              </w:rPr>
              <w:t>Refugee</w:t>
            </w:r>
          </w:p>
        </w:tc>
        <w:tc>
          <w:tcPr>
            <w:tcW w:w="750" w:type="pct"/>
            <w:shd w:val="clear" w:color="auto" w:fill="4F81BD" w:themeFill="accent1"/>
            <w:vAlign w:val="center"/>
          </w:tcPr>
          <w:p w14:paraId="7E49EA0D" w14:textId="1F103AAD" w:rsidR="00971C48" w:rsidRPr="00EE43C6" w:rsidRDefault="00971C48" w:rsidP="001E0229">
            <w:pPr>
              <w:spacing w:before="0" w:after="0" w:line="240" w:lineRule="auto"/>
              <w:jc w:val="center"/>
              <w:rPr>
                <w:b/>
                <w:color w:val="FFFFFF"/>
                <w:sz w:val="18"/>
                <w:szCs w:val="18"/>
              </w:rPr>
            </w:pPr>
            <w:r w:rsidRPr="4941ED1F">
              <w:rPr>
                <w:b/>
                <w:color w:val="FFFFFF" w:themeColor="background1"/>
                <w:sz w:val="18"/>
                <w:szCs w:val="18"/>
              </w:rPr>
              <w:t>Women Living alone</w:t>
            </w:r>
          </w:p>
        </w:tc>
      </w:tr>
      <w:tr w:rsidR="00971C48" w:rsidRPr="00EE43C6" w14:paraId="497A2247" w14:textId="77777777" w:rsidTr="4941ED1F">
        <w:trPr>
          <w:trHeight w:val="537"/>
        </w:trPr>
        <w:tc>
          <w:tcPr>
            <w:tcW w:w="818" w:type="pct"/>
            <w:shd w:val="clear" w:color="auto" w:fill="4F81BD" w:themeFill="accent1"/>
            <w:vAlign w:val="center"/>
          </w:tcPr>
          <w:p w14:paraId="76BF8091" w14:textId="77777777" w:rsidR="00971C48" w:rsidRPr="00EE43C6" w:rsidRDefault="00971C48" w:rsidP="001E0229">
            <w:pPr>
              <w:spacing w:before="0" w:after="0" w:line="240" w:lineRule="auto"/>
              <w:jc w:val="center"/>
              <w:rPr>
                <w:b/>
                <w:color w:val="FFFFFF"/>
                <w:sz w:val="18"/>
                <w:szCs w:val="18"/>
              </w:rPr>
            </w:pPr>
            <w:r w:rsidRPr="00EE43C6">
              <w:rPr>
                <w:b/>
                <w:bCs/>
                <w:color w:val="FFFFFF"/>
                <w:sz w:val="18"/>
                <w:szCs w:val="18"/>
              </w:rPr>
              <w:t>Kurbanli Neighborhood</w:t>
            </w:r>
          </w:p>
        </w:tc>
        <w:tc>
          <w:tcPr>
            <w:tcW w:w="1002" w:type="pct"/>
            <w:vAlign w:val="center"/>
          </w:tcPr>
          <w:p w14:paraId="2BB43197" w14:textId="77777777" w:rsidR="00971C48" w:rsidRPr="00EE43C6" w:rsidRDefault="00971C48" w:rsidP="001E0229">
            <w:pPr>
              <w:spacing w:before="0" w:after="0" w:line="240" w:lineRule="auto"/>
              <w:jc w:val="center"/>
              <w:rPr>
                <w:sz w:val="18"/>
                <w:szCs w:val="18"/>
              </w:rPr>
            </w:pPr>
            <w:r w:rsidRPr="00EE43C6">
              <w:rPr>
                <w:sz w:val="18"/>
                <w:szCs w:val="18"/>
              </w:rPr>
              <w:t>approximately 20 people</w:t>
            </w:r>
          </w:p>
        </w:tc>
        <w:tc>
          <w:tcPr>
            <w:tcW w:w="746" w:type="pct"/>
            <w:vAlign w:val="center"/>
          </w:tcPr>
          <w:p w14:paraId="3ADF2B86" w14:textId="77777777" w:rsidR="00971C48" w:rsidRPr="00EE43C6" w:rsidRDefault="00971C48" w:rsidP="001E0229">
            <w:pPr>
              <w:spacing w:before="0" w:after="0" w:line="240" w:lineRule="auto"/>
              <w:jc w:val="center"/>
              <w:rPr>
                <w:sz w:val="18"/>
                <w:szCs w:val="18"/>
              </w:rPr>
            </w:pPr>
            <w:r w:rsidRPr="00EE43C6">
              <w:rPr>
                <w:sz w:val="18"/>
                <w:szCs w:val="18"/>
              </w:rPr>
              <w:t>approximately 10 households</w:t>
            </w:r>
          </w:p>
        </w:tc>
        <w:tc>
          <w:tcPr>
            <w:tcW w:w="803" w:type="pct"/>
            <w:vAlign w:val="center"/>
          </w:tcPr>
          <w:p w14:paraId="1E9579F7" w14:textId="77777777" w:rsidR="00971C48" w:rsidRPr="00EE43C6" w:rsidRDefault="00971C48" w:rsidP="001E0229">
            <w:pPr>
              <w:spacing w:before="0" w:after="0" w:line="240" w:lineRule="auto"/>
              <w:jc w:val="center"/>
              <w:rPr>
                <w:sz w:val="18"/>
                <w:szCs w:val="18"/>
              </w:rPr>
            </w:pPr>
            <w:r w:rsidRPr="00EE43C6">
              <w:rPr>
                <w:sz w:val="18"/>
                <w:szCs w:val="18"/>
              </w:rPr>
              <w:t>2 people</w:t>
            </w:r>
          </w:p>
        </w:tc>
        <w:tc>
          <w:tcPr>
            <w:tcW w:w="881" w:type="pct"/>
            <w:vAlign w:val="center"/>
          </w:tcPr>
          <w:p w14:paraId="6774BABD" w14:textId="77777777" w:rsidR="00971C48" w:rsidRPr="00EE43C6" w:rsidRDefault="00971C48" w:rsidP="001E0229">
            <w:pPr>
              <w:spacing w:before="0" w:after="0" w:line="240" w:lineRule="auto"/>
              <w:jc w:val="center"/>
              <w:rPr>
                <w:sz w:val="18"/>
                <w:szCs w:val="18"/>
              </w:rPr>
            </w:pPr>
            <w:r w:rsidRPr="00EE43C6">
              <w:rPr>
                <w:sz w:val="18"/>
                <w:szCs w:val="18"/>
              </w:rPr>
              <w:t>-</w:t>
            </w:r>
          </w:p>
        </w:tc>
        <w:tc>
          <w:tcPr>
            <w:tcW w:w="750" w:type="pct"/>
            <w:vAlign w:val="center"/>
          </w:tcPr>
          <w:p w14:paraId="042CE5D7" w14:textId="77777777" w:rsidR="00971C48" w:rsidRPr="00EE43C6" w:rsidRDefault="00971C48" w:rsidP="001E0229">
            <w:pPr>
              <w:spacing w:before="0" w:after="0" w:line="240" w:lineRule="auto"/>
              <w:jc w:val="center"/>
              <w:rPr>
                <w:sz w:val="18"/>
                <w:szCs w:val="18"/>
              </w:rPr>
            </w:pPr>
            <w:r w:rsidRPr="00EE43C6">
              <w:rPr>
                <w:sz w:val="18"/>
                <w:szCs w:val="18"/>
              </w:rPr>
              <w:t>approximately 10 women</w:t>
            </w:r>
          </w:p>
        </w:tc>
      </w:tr>
      <w:tr w:rsidR="00971C48" w:rsidRPr="00EE43C6" w14:paraId="068EAE28" w14:textId="77777777" w:rsidTr="4941ED1F">
        <w:trPr>
          <w:trHeight w:val="324"/>
        </w:trPr>
        <w:tc>
          <w:tcPr>
            <w:tcW w:w="818" w:type="pct"/>
            <w:shd w:val="clear" w:color="auto" w:fill="4F81BD" w:themeFill="accent1"/>
            <w:vAlign w:val="center"/>
          </w:tcPr>
          <w:p w14:paraId="6D81C7F8" w14:textId="77777777" w:rsidR="00971C48" w:rsidRPr="00EE43C6" w:rsidRDefault="00971C48" w:rsidP="001E0229">
            <w:pPr>
              <w:spacing w:before="0" w:after="0" w:line="240" w:lineRule="auto"/>
              <w:jc w:val="center"/>
              <w:rPr>
                <w:b/>
                <w:bCs/>
                <w:color w:val="FFFFFF"/>
                <w:sz w:val="18"/>
                <w:szCs w:val="18"/>
              </w:rPr>
            </w:pPr>
            <w:r w:rsidRPr="00EE43C6">
              <w:rPr>
                <w:b/>
                <w:bCs/>
                <w:color w:val="FFFFFF"/>
                <w:sz w:val="18"/>
                <w:szCs w:val="18"/>
              </w:rPr>
              <w:t>Eskisehir Neighborhood</w:t>
            </w:r>
          </w:p>
        </w:tc>
        <w:tc>
          <w:tcPr>
            <w:tcW w:w="1002" w:type="pct"/>
            <w:vAlign w:val="center"/>
          </w:tcPr>
          <w:p w14:paraId="26E16E8E" w14:textId="77777777" w:rsidR="00971C48" w:rsidRPr="00EE43C6" w:rsidRDefault="00971C48" w:rsidP="001E0229">
            <w:pPr>
              <w:spacing w:before="0" w:after="0" w:line="240" w:lineRule="auto"/>
              <w:jc w:val="center"/>
              <w:rPr>
                <w:sz w:val="18"/>
                <w:szCs w:val="18"/>
              </w:rPr>
            </w:pPr>
            <w:r w:rsidRPr="00EE43C6">
              <w:rPr>
                <w:sz w:val="18"/>
                <w:szCs w:val="18"/>
              </w:rPr>
              <w:t>approximately 10 people</w:t>
            </w:r>
          </w:p>
        </w:tc>
        <w:tc>
          <w:tcPr>
            <w:tcW w:w="746" w:type="pct"/>
            <w:vAlign w:val="center"/>
          </w:tcPr>
          <w:p w14:paraId="315B01FF" w14:textId="77777777" w:rsidR="00971C48" w:rsidRPr="00EE43C6" w:rsidRDefault="00971C48" w:rsidP="001E0229">
            <w:pPr>
              <w:spacing w:before="0" w:after="0" w:line="240" w:lineRule="auto"/>
              <w:jc w:val="center"/>
              <w:rPr>
                <w:sz w:val="18"/>
                <w:szCs w:val="18"/>
              </w:rPr>
            </w:pPr>
            <w:r w:rsidRPr="00EE43C6">
              <w:rPr>
                <w:sz w:val="18"/>
                <w:szCs w:val="18"/>
              </w:rPr>
              <w:t>approximately 10 households</w:t>
            </w:r>
          </w:p>
        </w:tc>
        <w:tc>
          <w:tcPr>
            <w:tcW w:w="803" w:type="pct"/>
            <w:vAlign w:val="center"/>
          </w:tcPr>
          <w:p w14:paraId="0B686743" w14:textId="77777777" w:rsidR="00971C48" w:rsidRPr="00EE43C6" w:rsidRDefault="00971C48" w:rsidP="001E0229">
            <w:pPr>
              <w:spacing w:before="0" w:after="0" w:line="240" w:lineRule="auto"/>
              <w:jc w:val="center"/>
              <w:rPr>
                <w:sz w:val="18"/>
                <w:szCs w:val="18"/>
              </w:rPr>
            </w:pPr>
            <w:r w:rsidRPr="00EE43C6">
              <w:rPr>
                <w:sz w:val="18"/>
                <w:szCs w:val="18"/>
              </w:rPr>
              <w:t>1 person</w:t>
            </w:r>
          </w:p>
        </w:tc>
        <w:tc>
          <w:tcPr>
            <w:tcW w:w="881" w:type="pct"/>
            <w:vAlign w:val="center"/>
          </w:tcPr>
          <w:p w14:paraId="3F4E1DBA" w14:textId="77777777" w:rsidR="00971C48" w:rsidRPr="00EE43C6" w:rsidRDefault="00971C48" w:rsidP="001E0229">
            <w:pPr>
              <w:spacing w:before="0" w:after="0" w:line="240" w:lineRule="auto"/>
              <w:jc w:val="center"/>
              <w:rPr>
                <w:sz w:val="18"/>
                <w:szCs w:val="18"/>
              </w:rPr>
            </w:pPr>
            <w:r w:rsidRPr="00EE43C6">
              <w:rPr>
                <w:sz w:val="18"/>
                <w:szCs w:val="18"/>
              </w:rPr>
              <w:t>1 person</w:t>
            </w:r>
          </w:p>
        </w:tc>
        <w:tc>
          <w:tcPr>
            <w:tcW w:w="750" w:type="pct"/>
            <w:vAlign w:val="center"/>
          </w:tcPr>
          <w:p w14:paraId="32D73EBD" w14:textId="77777777" w:rsidR="00971C48" w:rsidRPr="00EE43C6" w:rsidRDefault="00971C48" w:rsidP="001E0229">
            <w:pPr>
              <w:spacing w:before="0" w:after="0" w:line="240" w:lineRule="auto"/>
              <w:jc w:val="center"/>
              <w:rPr>
                <w:sz w:val="18"/>
                <w:szCs w:val="18"/>
              </w:rPr>
            </w:pPr>
            <w:r w:rsidRPr="00EE43C6">
              <w:rPr>
                <w:sz w:val="18"/>
                <w:szCs w:val="18"/>
              </w:rPr>
              <w:t>between 10-15 households</w:t>
            </w:r>
          </w:p>
        </w:tc>
      </w:tr>
      <w:tr w:rsidR="00971C48" w:rsidRPr="00EE43C6" w14:paraId="2B2D245E" w14:textId="77777777" w:rsidTr="4941ED1F">
        <w:trPr>
          <w:trHeight w:val="543"/>
        </w:trPr>
        <w:tc>
          <w:tcPr>
            <w:tcW w:w="818" w:type="pct"/>
            <w:shd w:val="clear" w:color="auto" w:fill="4F81BD" w:themeFill="accent1"/>
            <w:vAlign w:val="center"/>
          </w:tcPr>
          <w:p w14:paraId="2ABBF1AD" w14:textId="77777777" w:rsidR="00971C48" w:rsidRPr="00EE43C6" w:rsidRDefault="00971C48" w:rsidP="001E0229">
            <w:pPr>
              <w:spacing w:before="0" w:after="0" w:line="240" w:lineRule="auto"/>
              <w:jc w:val="center"/>
              <w:rPr>
                <w:b/>
                <w:bCs/>
                <w:color w:val="FFFFFF"/>
                <w:sz w:val="18"/>
                <w:szCs w:val="18"/>
              </w:rPr>
            </w:pPr>
            <w:r w:rsidRPr="00EE43C6">
              <w:rPr>
                <w:b/>
                <w:bCs/>
                <w:color w:val="FFFFFF"/>
                <w:sz w:val="18"/>
                <w:szCs w:val="18"/>
              </w:rPr>
              <w:t>Saglikli Neighborhood</w:t>
            </w:r>
          </w:p>
        </w:tc>
        <w:tc>
          <w:tcPr>
            <w:tcW w:w="1002" w:type="pct"/>
            <w:vAlign w:val="center"/>
          </w:tcPr>
          <w:p w14:paraId="073335B8" w14:textId="77777777" w:rsidR="00971C48" w:rsidRPr="00EE43C6" w:rsidRDefault="00971C48" w:rsidP="001E0229">
            <w:pPr>
              <w:spacing w:before="0" w:after="0" w:line="240" w:lineRule="auto"/>
              <w:jc w:val="center"/>
              <w:rPr>
                <w:sz w:val="18"/>
                <w:szCs w:val="18"/>
              </w:rPr>
            </w:pPr>
            <w:r w:rsidRPr="00EE43C6">
              <w:rPr>
                <w:sz w:val="18"/>
                <w:szCs w:val="18"/>
              </w:rPr>
              <w:t xml:space="preserve">unknown number </w:t>
            </w:r>
          </w:p>
        </w:tc>
        <w:tc>
          <w:tcPr>
            <w:tcW w:w="746" w:type="pct"/>
            <w:vAlign w:val="center"/>
          </w:tcPr>
          <w:p w14:paraId="52A08C57" w14:textId="77777777" w:rsidR="00971C48" w:rsidRPr="00EE43C6" w:rsidRDefault="00971C48" w:rsidP="001E0229">
            <w:pPr>
              <w:spacing w:before="0" w:after="0" w:line="240" w:lineRule="auto"/>
              <w:jc w:val="center"/>
              <w:rPr>
                <w:sz w:val="18"/>
                <w:szCs w:val="18"/>
              </w:rPr>
            </w:pPr>
            <w:r w:rsidRPr="00EE43C6">
              <w:rPr>
                <w:sz w:val="18"/>
                <w:szCs w:val="18"/>
              </w:rPr>
              <w:t>approximately 15 households</w:t>
            </w:r>
          </w:p>
        </w:tc>
        <w:tc>
          <w:tcPr>
            <w:tcW w:w="803" w:type="pct"/>
            <w:vAlign w:val="center"/>
          </w:tcPr>
          <w:p w14:paraId="7434BDCB" w14:textId="77777777" w:rsidR="00971C48" w:rsidRPr="00EE43C6" w:rsidRDefault="00971C48" w:rsidP="001E0229">
            <w:pPr>
              <w:spacing w:before="0" w:after="0" w:line="240" w:lineRule="auto"/>
              <w:jc w:val="center"/>
              <w:rPr>
                <w:sz w:val="18"/>
                <w:szCs w:val="18"/>
              </w:rPr>
            </w:pPr>
            <w:r w:rsidRPr="00EE43C6">
              <w:rPr>
                <w:sz w:val="18"/>
                <w:szCs w:val="18"/>
              </w:rPr>
              <w:t>approximately 10 people</w:t>
            </w:r>
          </w:p>
        </w:tc>
        <w:tc>
          <w:tcPr>
            <w:tcW w:w="881" w:type="pct"/>
            <w:vAlign w:val="center"/>
          </w:tcPr>
          <w:p w14:paraId="26620CEF" w14:textId="77777777" w:rsidR="00971C48" w:rsidRPr="00EE43C6" w:rsidRDefault="00971C48" w:rsidP="001E0229">
            <w:pPr>
              <w:spacing w:before="0" w:after="0" w:line="240" w:lineRule="auto"/>
              <w:jc w:val="center"/>
              <w:rPr>
                <w:sz w:val="18"/>
                <w:szCs w:val="18"/>
              </w:rPr>
            </w:pPr>
            <w:r w:rsidRPr="00EE43C6">
              <w:rPr>
                <w:sz w:val="18"/>
                <w:szCs w:val="18"/>
              </w:rPr>
              <w:t>1 person</w:t>
            </w:r>
          </w:p>
        </w:tc>
        <w:tc>
          <w:tcPr>
            <w:tcW w:w="750" w:type="pct"/>
            <w:vAlign w:val="center"/>
          </w:tcPr>
          <w:p w14:paraId="1A96EDCA" w14:textId="77777777" w:rsidR="00971C48" w:rsidRPr="00EE43C6" w:rsidRDefault="00971C48" w:rsidP="001E0229">
            <w:pPr>
              <w:spacing w:before="0" w:after="0" w:line="240" w:lineRule="auto"/>
              <w:jc w:val="center"/>
              <w:rPr>
                <w:sz w:val="18"/>
                <w:szCs w:val="18"/>
              </w:rPr>
            </w:pPr>
            <w:r w:rsidRPr="00EE43C6">
              <w:rPr>
                <w:sz w:val="18"/>
                <w:szCs w:val="18"/>
              </w:rPr>
              <w:t>between 25-30 households</w:t>
            </w:r>
          </w:p>
        </w:tc>
      </w:tr>
    </w:tbl>
    <w:p w14:paraId="197CCF1D" w14:textId="77777777" w:rsidR="009E54A2" w:rsidRPr="00EE43C6" w:rsidRDefault="009E54A2" w:rsidP="009E54A2">
      <w:pPr>
        <w:spacing w:before="0" w:after="0"/>
        <w:rPr>
          <w:rFonts w:cs="Arial"/>
          <w:i/>
          <w:iCs/>
          <w:sz w:val="16"/>
          <w:szCs w:val="16"/>
        </w:rPr>
      </w:pPr>
      <w:r w:rsidRPr="00EE43C6">
        <w:rPr>
          <w:rFonts w:cs="Arial"/>
          <w:i/>
          <w:iCs/>
          <w:sz w:val="16"/>
          <w:szCs w:val="16"/>
        </w:rPr>
        <w:t>Source: Survey study with the headmen, December 2022</w:t>
      </w:r>
    </w:p>
    <w:p w14:paraId="07B148C7" w14:textId="77777777" w:rsidR="00BE517E" w:rsidRPr="00EE43C6" w:rsidRDefault="009E54A2" w:rsidP="00BE517E">
      <w:pPr>
        <w:spacing w:before="0" w:after="0"/>
        <w:rPr>
          <w:rFonts w:cs="Arial"/>
          <w:i/>
          <w:iCs/>
          <w:sz w:val="16"/>
          <w:szCs w:val="16"/>
        </w:rPr>
      </w:pPr>
      <w:r w:rsidRPr="00EE43C6">
        <w:rPr>
          <w:rFonts w:cs="Arial"/>
          <w:i/>
          <w:iCs/>
          <w:sz w:val="16"/>
          <w:szCs w:val="16"/>
          <w:vertAlign w:val="superscript"/>
        </w:rPr>
        <w:t xml:space="preserve"> *</w:t>
      </w:r>
      <w:r w:rsidRPr="00EE43C6">
        <w:rPr>
          <w:rFonts w:cs="Arial"/>
          <w:i/>
          <w:iCs/>
          <w:sz w:val="16"/>
          <w:szCs w:val="16"/>
        </w:rPr>
        <w:t xml:space="preserve"> Households, which are depended on social and economic support are defined as Poor Family by headmen.</w:t>
      </w:r>
    </w:p>
    <w:p w14:paraId="3D22DA01" w14:textId="6FE69335" w:rsidR="006D1A92" w:rsidRPr="00EE43C6" w:rsidRDefault="00F12027" w:rsidP="00F12027">
      <w:pPr>
        <w:pStyle w:val="Heading2"/>
        <w:ind w:hanging="718"/>
        <w:rPr>
          <w:rFonts w:eastAsia="Calibri"/>
          <w:lang w:val="en-GB"/>
        </w:rPr>
      </w:pPr>
      <w:bookmarkStart w:id="420" w:name="_Toc141445426"/>
      <w:r w:rsidRPr="00EE43C6">
        <w:rPr>
          <w:lang w:val="en-GB"/>
        </w:rPr>
        <w:lastRenderedPageBreak/>
        <w:t>Sea</w:t>
      </w:r>
      <w:r w:rsidR="00EE094B" w:rsidRPr="00EE43C6">
        <w:rPr>
          <w:lang w:val="en-GB"/>
        </w:rPr>
        <w:t xml:space="preserve">sonal </w:t>
      </w:r>
      <w:r w:rsidR="006D453F" w:rsidRPr="00EE43C6">
        <w:rPr>
          <w:lang w:val="en-GB"/>
        </w:rPr>
        <w:t>W</w:t>
      </w:r>
      <w:r w:rsidR="00EE094B" w:rsidRPr="00EE43C6">
        <w:rPr>
          <w:lang w:val="en-GB"/>
        </w:rPr>
        <w:t>or</w:t>
      </w:r>
      <w:r w:rsidR="006D453F" w:rsidRPr="00EE43C6">
        <w:rPr>
          <w:lang w:val="en-GB"/>
        </w:rPr>
        <w:t>k</w:t>
      </w:r>
      <w:r w:rsidR="00EE094B" w:rsidRPr="00EE43C6">
        <w:rPr>
          <w:lang w:val="en-GB"/>
        </w:rPr>
        <w:t>ers and Unemployed Perso</w:t>
      </w:r>
      <w:r w:rsidR="006D453F" w:rsidRPr="00EE43C6">
        <w:rPr>
          <w:lang w:val="en-GB"/>
        </w:rPr>
        <w:t>n</w:t>
      </w:r>
      <w:bookmarkEnd w:id="420"/>
      <w:r w:rsidRPr="00EE43C6">
        <w:rPr>
          <w:lang w:val="en-GB"/>
        </w:rPr>
        <w:t xml:space="preserve"> </w:t>
      </w:r>
    </w:p>
    <w:p w14:paraId="47FCC278" w14:textId="692BFE04" w:rsidR="00331515" w:rsidRPr="00EE43C6" w:rsidRDefault="00331515" w:rsidP="001E0229">
      <w:pPr>
        <w:rPr>
          <w:rFonts w:eastAsia="Calibri" w:cs="Arial"/>
          <w:i/>
          <w:sz w:val="16"/>
          <w:szCs w:val="16"/>
        </w:rPr>
      </w:pPr>
      <w:r w:rsidRPr="00EE43C6">
        <w:rPr>
          <w:rFonts w:eastAsia="Calibri" w:cs="Arial"/>
          <w:szCs w:val="22"/>
          <w:lang w:eastAsia="en-US"/>
        </w:rPr>
        <w:t xml:space="preserve">The headmen were also asked if there were unemployed people throughout the settlement and the following answers in </w:t>
      </w:r>
      <w:r w:rsidR="000A7CBC">
        <w:rPr>
          <w:rFonts w:eastAsia="Calibri" w:cs="Arial"/>
          <w:szCs w:val="22"/>
          <w:lang w:eastAsia="en-US"/>
        </w:rPr>
        <w:fldChar w:fldCharType="begin"/>
      </w:r>
      <w:r w:rsidR="000A7CBC">
        <w:rPr>
          <w:rFonts w:eastAsia="Calibri" w:cs="Arial"/>
          <w:szCs w:val="22"/>
          <w:lang w:eastAsia="en-US"/>
        </w:rPr>
        <w:instrText xml:space="preserve"> REF _Ref130552452 \h </w:instrText>
      </w:r>
      <w:r w:rsidR="000A7CBC">
        <w:rPr>
          <w:rFonts w:eastAsia="Calibri" w:cs="Arial"/>
          <w:szCs w:val="22"/>
          <w:lang w:eastAsia="en-US"/>
        </w:rPr>
      </w:r>
      <w:r w:rsidR="000A7CBC">
        <w:rPr>
          <w:rFonts w:eastAsia="Calibri" w:cs="Arial"/>
          <w:szCs w:val="22"/>
          <w:lang w:eastAsia="en-US"/>
        </w:rPr>
        <w:fldChar w:fldCharType="separate"/>
      </w:r>
      <w:r w:rsidR="000A7CBC">
        <w:t xml:space="preserve">Table </w:t>
      </w:r>
      <w:r w:rsidR="000A7CBC">
        <w:rPr>
          <w:noProof/>
        </w:rPr>
        <w:t>5</w:t>
      </w:r>
      <w:r w:rsidR="000A7CBC">
        <w:noBreakHyphen/>
      </w:r>
      <w:r w:rsidR="000A7CBC">
        <w:rPr>
          <w:noProof/>
        </w:rPr>
        <w:t>3</w:t>
      </w:r>
      <w:r w:rsidR="000A7CBC">
        <w:rPr>
          <w:rFonts w:eastAsia="Calibri" w:cs="Arial"/>
          <w:szCs w:val="22"/>
          <w:lang w:eastAsia="en-US"/>
        </w:rPr>
        <w:fldChar w:fldCharType="end"/>
      </w:r>
      <w:r w:rsidR="000A7CBC">
        <w:rPr>
          <w:rFonts w:eastAsia="Calibri" w:cs="Arial"/>
          <w:szCs w:val="22"/>
          <w:lang w:eastAsia="en-US"/>
        </w:rPr>
        <w:t xml:space="preserve"> </w:t>
      </w:r>
      <w:r w:rsidRPr="00EE43C6">
        <w:rPr>
          <w:rFonts w:eastAsia="Calibri" w:cs="Arial"/>
          <w:szCs w:val="22"/>
          <w:lang w:eastAsia="en-US"/>
        </w:rPr>
        <w:fldChar w:fldCharType="begin"/>
      </w:r>
      <w:r w:rsidRPr="00EE43C6">
        <w:rPr>
          <w:rFonts w:eastAsia="Calibri" w:cs="Arial"/>
          <w:szCs w:val="22"/>
          <w:lang w:eastAsia="en-US"/>
        </w:rPr>
        <w:instrText xml:space="preserve"> REF _Ref125588219 \h  \* MERGEFORMAT </w:instrText>
      </w:r>
      <w:r w:rsidRPr="00EE43C6">
        <w:rPr>
          <w:rFonts w:eastAsia="Calibri" w:cs="Arial"/>
          <w:szCs w:val="22"/>
          <w:lang w:eastAsia="en-US"/>
        </w:rPr>
      </w:r>
      <w:r w:rsidRPr="00EE43C6">
        <w:rPr>
          <w:rFonts w:eastAsia="Calibri" w:cs="Arial"/>
          <w:szCs w:val="22"/>
          <w:lang w:eastAsia="en-US"/>
        </w:rPr>
        <w:fldChar w:fldCharType="end"/>
      </w:r>
      <w:r w:rsidRPr="00EE43C6">
        <w:rPr>
          <w:rFonts w:eastAsia="Calibri" w:cs="Arial"/>
          <w:szCs w:val="22"/>
          <w:lang w:eastAsia="en-US"/>
        </w:rPr>
        <w:t>were received.</w:t>
      </w:r>
    </w:p>
    <w:p w14:paraId="505F07CD" w14:textId="3AAF1EBA" w:rsidR="00C72079" w:rsidRPr="00EE43C6" w:rsidRDefault="000A7CBC" w:rsidP="000A7CBC">
      <w:pPr>
        <w:pStyle w:val="Caption"/>
        <w:rPr>
          <w:rFonts w:eastAsia="Calibri"/>
          <w:iCs/>
          <w:noProof w:val="0"/>
          <w:color w:val="000000"/>
          <w:szCs w:val="18"/>
          <w14:props3d w14:extrusionH="0" w14:contourW="0" w14:prstMaterial="matte"/>
        </w:rPr>
      </w:pPr>
      <w:bookmarkStart w:id="421" w:name="_Ref130552452"/>
      <w:bookmarkStart w:id="422" w:name="_Toc126314277"/>
      <w:bookmarkStart w:id="423" w:name="_Toc141445507"/>
      <w:r>
        <w:t xml:space="preserve">Table </w:t>
      </w:r>
      <w:r w:rsidR="006D2DE8">
        <w:fldChar w:fldCharType="begin"/>
      </w:r>
      <w:r w:rsidR="006D2DE8">
        <w:instrText xml:space="preserve"> STYLEREF 1 \s </w:instrText>
      </w:r>
      <w:r w:rsidR="006D2DE8">
        <w:fldChar w:fldCharType="separate"/>
      </w:r>
      <w:r w:rsidR="006D2DE8">
        <w:t>5</w:t>
      </w:r>
      <w:r w:rsidR="006D2DE8">
        <w:fldChar w:fldCharType="end"/>
      </w:r>
      <w:r w:rsidR="006D2DE8">
        <w:noBreakHyphen/>
      </w:r>
      <w:r w:rsidR="006D2DE8">
        <w:fldChar w:fldCharType="begin"/>
      </w:r>
      <w:r w:rsidR="006D2DE8">
        <w:instrText xml:space="preserve"> SEQ Table \* ARABIC \s 1 </w:instrText>
      </w:r>
      <w:r w:rsidR="006D2DE8">
        <w:fldChar w:fldCharType="separate"/>
      </w:r>
      <w:r w:rsidR="006D2DE8">
        <w:t>3</w:t>
      </w:r>
      <w:r w:rsidR="006D2DE8">
        <w:fldChar w:fldCharType="end"/>
      </w:r>
      <w:bookmarkEnd w:id="421"/>
      <w:bookmarkEnd w:id="422"/>
      <w:r>
        <w:t xml:space="preserve">. </w:t>
      </w:r>
      <w:r w:rsidR="00C72079" w:rsidRPr="000A7CBC">
        <w:rPr>
          <w:rFonts w:eastAsia="Calibri"/>
          <w:b w:val="0"/>
          <w:bCs w:val="0"/>
          <w:iCs/>
          <w:noProof w:val="0"/>
          <w:color w:val="000000"/>
          <w:szCs w:val="18"/>
          <w14:props3d w14:extrusionH="0" w14:contourW="0" w14:prstMaterial="matte"/>
        </w:rPr>
        <w:t xml:space="preserve">Unemployment in the </w:t>
      </w:r>
      <w:r w:rsidR="004A0F81" w:rsidRPr="000A7CBC">
        <w:rPr>
          <w:rFonts w:eastAsia="Calibri"/>
          <w:b w:val="0"/>
          <w:bCs w:val="0"/>
          <w:iCs/>
          <w:noProof w:val="0"/>
          <w:color w:val="000000"/>
          <w:szCs w:val="18"/>
          <w14:props3d w14:extrusionH="0" w14:contourW="0" w14:prstMaterial="matte"/>
        </w:rPr>
        <w:t>Settlements</w:t>
      </w:r>
      <w:bookmarkEnd w:id="423"/>
    </w:p>
    <w:tbl>
      <w:tblPr>
        <w:tblStyle w:val="TabloKlavuzu1"/>
        <w:tblW w:w="5000" w:type="pct"/>
        <w:tblLook w:val="04A0" w:firstRow="1" w:lastRow="0" w:firstColumn="1" w:lastColumn="0" w:noHBand="0" w:noVBand="1"/>
      </w:tblPr>
      <w:tblGrid>
        <w:gridCol w:w="2398"/>
        <w:gridCol w:w="2600"/>
        <w:gridCol w:w="1197"/>
        <w:gridCol w:w="2859"/>
      </w:tblGrid>
      <w:tr w:rsidR="00C72079" w:rsidRPr="00EE43C6" w14:paraId="1CF7F0EB" w14:textId="77777777">
        <w:trPr>
          <w:trHeight w:val="513"/>
        </w:trPr>
        <w:tc>
          <w:tcPr>
            <w:tcW w:w="1324" w:type="pct"/>
            <w:shd w:val="clear" w:color="auto" w:fill="4F81BD"/>
            <w:vAlign w:val="center"/>
          </w:tcPr>
          <w:p w14:paraId="68BB32AA" w14:textId="77777777" w:rsidR="00C72079" w:rsidRPr="00EE43C6" w:rsidRDefault="00C72079" w:rsidP="00C72079">
            <w:pPr>
              <w:spacing w:before="0" w:after="0" w:line="240" w:lineRule="auto"/>
              <w:jc w:val="left"/>
              <w:rPr>
                <w:b/>
                <w:bCs/>
                <w:sz w:val="18"/>
                <w:szCs w:val="18"/>
                <w:lang w:eastAsia="tr-TR"/>
                <w14:textFill>
                  <w14:solidFill>
                    <w14:srgbClr w14:val="FFFFFF"/>
                  </w14:solidFill>
                </w14:textFill>
                <w14:props3d w14:extrusionH="0" w14:contourW="0" w14:prstMaterial="matte"/>
              </w:rPr>
            </w:pPr>
            <w:r w:rsidRPr="00EE43C6">
              <w:rPr>
                <w:b/>
                <w:bCs/>
                <w:sz w:val="18"/>
                <w:szCs w:val="18"/>
                <w:lang w:eastAsia="tr-TR"/>
                <w14:textFill>
                  <w14:solidFill>
                    <w14:srgbClr w14:val="FFFFFF"/>
                  </w14:solidFill>
                </w14:textFill>
                <w14:props3d w14:extrusionH="0" w14:contourW="0" w14:prstMaterial="matte"/>
              </w:rPr>
              <w:t>Settlement</w:t>
            </w:r>
          </w:p>
        </w:tc>
        <w:tc>
          <w:tcPr>
            <w:tcW w:w="1436" w:type="pct"/>
            <w:shd w:val="clear" w:color="auto" w:fill="4F81BD"/>
            <w:vAlign w:val="center"/>
          </w:tcPr>
          <w:p w14:paraId="709392E0" w14:textId="77777777" w:rsidR="00C72079" w:rsidRPr="00EE43C6" w:rsidRDefault="00C72079" w:rsidP="00C72079">
            <w:pPr>
              <w:spacing w:before="0" w:after="0" w:line="240" w:lineRule="auto"/>
              <w:jc w:val="center"/>
              <w:rPr>
                <w:b/>
                <w:bCs/>
                <w:sz w:val="18"/>
                <w:szCs w:val="18"/>
                <w:lang w:eastAsia="tr-TR"/>
                <w14:textFill>
                  <w14:solidFill>
                    <w14:srgbClr w14:val="FFFFFF"/>
                  </w14:solidFill>
                </w14:textFill>
                <w14:props3d w14:extrusionH="0" w14:contourW="0" w14:prstMaterial="matte"/>
              </w:rPr>
            </w:pPr>
            <w:r w:rsidRPr="00EE43C6">
              <w:rPr>
                <w:b/>
                <w:bCs/>
                <w:sz w:val="18"/>
                <w:szCs w:val="18"/>
                <w:lang w:eastAsia="tr-TR"/>
                <w14:textFill>
                  <w14:solidFill>
                    <w14:srgbClr w14:val="FFFFFF"/>
                  </w14:solidFill>
                </w14:textFill>
                <w14:props3d w14:extrusionH="0" w14:contourW="0" w14:prstMaterial="matte"/>
              </w:rPr>
              <w:t>Villagers who are looking for a job but cannot find it</w:t>
            </w:r>
          </w:p>
        </w:tc>
        <w:tc>
          <w:tcPr>
            <w:tcW w:w="661" w:type="pct"/>
            <w:shd w:val="clear" w:color="auto" w:fill="4F81BD"/>
            <w:vAlign w:val="center"/>
          </w:tcPr>
          <w:p w14:paraId="68768386" w14:textId="77777777" w:rsidR="00C72079" w:rsidRPr="00EE43C6" w:rsidRDefault="00C72079" w:rsidP="00C72079">
            <w:pPr>
              <w:spacing w:before="0" w:after="0" w:line="240" w:lineRule="auto"/>
              <w:jc w:val="center"/>
              <w:rPr>
                <w:b/>
                <w:bCs/>
                <w:sz w:val="18"/>
                <w:szCs w:val="18"/>
                <w:lang w:eastAsia="tr-TR"/>
                <w14:textFill>
                  <w14:solidFill>
                    <w14:srgbClr w14:val="FFFFFF"/>
                  </w14:solidFill>
                </w14:textFill>
                <w14:props3d w14:extrusionH="0" w14:contourW="0" w14:prstMaterial="matte"/>
              </w:rPr>
            </w:pPr>
            <w:r w:rsidRPr="00EE43C6">
              <w:rPr>
                <w:b/>
                <w:bCs/>
                <w:sz w:val="18"/>
                <w:szCs w:val="18"/>
                <w:lang w:eastAsia="tr-TR"/>
                <w14:textFill>
                  <w14:solidFill>
                    <w14:srgbClr w14:val="FFFFFF"/>
                  </w14:solidFill>
                </w14:textFill>
                <w14:props3d w14:extrusionH="0" w14:contourW="0" w14:prstMaterial="matte"/>
              </w:rPr>
              <w:t>N</w:t>
            </w:r>
          </w:p>
        </w:tc>
        <w:tc>
          <w:tcPr>
            <w:tcW w:w="1579" w:type="pct"/>
            <w:shd w:val="clear" w:color="auto" w:fill="4F81BD"/>
            <w:vAlign w:val="center"/>
          </w:tcPr>
          <w:p w14:paraId="25A0981A" w14:textId="77777777" w:rsidR="00C72079" w:rsidRPr="00EE43C6" w:rsidRDefault="00C72079" w:rsidP="00C72079">
            <w:pPr>
              <w:spacing w:before="0" w:after="0" w:line="240" w:lineRule="auto"/>
              <w:jc w:val="center"/>
              <w:rPr>
                <w:b/>
                <w:bCs/>
                <w:sz w:val="18"/>
                <w:szCs w:val="18"/>
                <w:lang w:eastAsia="tr-TR"/>
                <w14:textFill>
                  <w14:solidFill>
                    <w14:srgbClr w14:val="FFFFFF"/>
                  </w14:solidFill>
                </w14:textFill>
                <w14:props3d w14:extrusionH="0" w14:contourW="0" w14:prstMaterial="matte"/>
              </w:rPr>
            </w:pPr>
            <w:r w:rsidRPr="00EE43C6">
              <w:rPr>
                <w:b/>
                <w:bCs/>
                <w:sz w:val="18"/>
                <w:szCs w:val="18"/>
                <w:lang w:eastAsia="tr-TR"/>
                <w14:textFill>
                  <w14:solidFill>
                    <w14:srgbClr w14:val="FFFFFF"/>
                  </w14:solidFill>
                </w14:textFill>
                <w14:props3d w14:extrusionH="0" w14:contourW="0" w14:prstMaterial="matte"/>
              </w:rPr>
              <w:t>Unemployed individuals in project-affected households</w:t>
            </w:r>
          </w:p>
        </w:tc>
      </w:tr>
      <w:tr w:rsidR="00C72079" w:rsidRPr="00EE43C6" w14:paraId="5B322869" w14:textId="77777777">
        <w:trPr>
          <w:trHeight w:val="286"/>
        </w:trPr>
        <w:tc>
          <w:tcPr>
            <w:tcW w:w="1324" w:type="pct"/>
            <w:vAlign w:val="center"/>
          </w:tcPr>
          <w:p w14:paraId="6EE2282E" w14:textId="77777777" w:rsidR="00C72079" w:rsidRPr="00EE43C6" w:rsidRDefault="00C72079" w:rsidP="00C72079">
            <w:pPr>
              <w:spacing w:before="0" w:after="0" w:line="240" w:lineRule="auto"/>
              <w:jc w:val="left"/>
              <w:rPr>
                <w:sz w:val="18"/>
                <w:szCs w:val="18"/>
                <w:lang w:eastAsia="tr-TR"/>
                <w14:props3d w14:extrusionH="0" w14:contourW="0" w14:prstMaterial="matte"/>
              </w:rPr>
            </w:pPr>
            <w:r w:rsidRPr="00EE43C6">
              <w:rPr>
                <w:sz w:val="18"/>
                <w:szCs w:val="18"/>
                <w:lang w:eastAsia="tr-TR"/>
                <w14:props3d w14:extrusionH="0" w14:contourW="0" w14:prstMaterial="matte"/>
              </w:rPr>
              <w:t>Sağlıklı</w:t>
            </w:r>
          </w:p>
        </w:tc>
        <w:tc>
          <w:tcPr>
            <w:tcW w:w="1436" w:type="pct"/>
            <w:vAlign w:val="center"/>
          </w:tcPr>
          <w:p w14:paraId="752C717B" w14:textId="77777777" w:rsidR="00C72079" w:rsidRPr="00EE43C6" w:rsidRDefault="00C72079" w:rsidP="00C72079">
            <w:pPr>
              <w:spacing w:before="0" w:after="0" w:line="240" w:lineRule="auto"/>
              <w:jc w:val="center"/>
              <w:rPr>
                <w:sz w:val="18"/>
                <w:szCs w:val="18"/>
                <w:lang w:eastAsia="tr-TR"/>
                <w14:props3d w14:extrusionH="0" w14:contourW="0" w14:prstMaterial="matte"/>
              </w:rPr>
            </w:pPr>
            <w:r w:rsidRPr="00EE43C6">
              <w:rPr>
                <w:sz w:val="18"/>
                <w:szCs w:val="18"/>
                <w:lang w:eastAsia="tr-TR"/>
                <w14:props3d w14:extrusionH="0" w14:contourW="0" w14:prstMaterial="matte"/>
              </w:rPr>
              <w:t>Yes</w:t>
            </w:r>
          </w:p>
        </w:tc>
        <w:tc>
          <w:tcPr>
            <w:tcW w:w="661" w:type="pct"/>
            <w:vAlign w:val="center"/>
            <w:hideMark/>
          </w:tcPr>
          <w:p w14:paraId="450A76CA" w14:textId="77777777" w:rsidR="00C72079" w:rsidRPr="00EE43C6" w:rsidRDefault="00C72079" w:rsidP="00C72079">
            <w:pPr>
              <w:spacing w:before="0" w:after="0" w:line="240" w:lineRule="auto"/>
              <w:jc w:val="center"/>
              <w:rPr>
                <w:sz w:val="18"/>
                <w:szCs w:val="18"/>
                <w:lang w:eastAsia="tr-TR"/>
                <w14:props3d w14:extrusionH="0" w14:contourW="0" w14:prstMaterial="matte"/>
              </w:rPr>
            </w:pPr>
            <w:r w:rsidRPr="00EE43C6">
              <w:rPr>
                <w:sz w:val="18"/>
                <w:szCs w:val="18"/>
                <w:lang w:eastAsia="tr-TR"/>
                <w14:props3d w14:extrusionH="0" w14:contourW="0" w14:prstMaterial="matte"/>
              </w:rPr>
              <w:t>15</w:t>
            </w:r>
          </w:p>
        </w:tc>
        <w:tc>
          <w:tcPr>
            <w:tcW w:w="1579" w:type="pct"/>
            <w:vAlign w:val="center"/>
          </w:tcPr>
          <w:p w14:paraId="3D7C0E02" w14:textId="77777777" w:rsidR="00C72079" w:rsidRPr="00EE43C6" w:rsidRDefault="00C72079" w:rsidP="00C72079">
            <w:pPr>
              <w:spacing w:before="0" w:after="0" w:line="240" w:lineRule="auto"/>
              <w:jc w:val="center"/>
              <w:rPr>
                <w:sz w:val="18"/>
                <w:szCs w:val="18"/>
                <w:lang w:eastAsia="tr-TR"/>
                <w14:props3d w14:extrusionH="0" w14:contourW="0" w14:prstMaterial="matte"/>
              </w:rPr>
            </w:pPr>
            <w:r w:rsidRPr="00EE43C6">
              <w:rPr>
                <w:sz w:val="18"/>
                <w:szCs w:val="18"/>
                <w:lang w:eastAsia="tr-TR"/>
                <w14:props3d w14:extrusionH="0" w14:contourW="0" w14:prstMaterial="matte"/>
              </w:rPr>
              <w:t>No</w:t>
            </w:r>
          </w:p>
        </w:tc>
      </w:tr>
      <w:tr w:rsidR="00C72079" w:rsidRPr="00EE43C6" w14:paraId="1772356A" w14:textId="77777777">
        <w:trPr>
          <w:trHeight w:val="270"/>
        </w:trPr>
        <w:tc>
          <w:tcPr>
            <w:tcW w:w="1324" w:type="pct"/>
            <w:vAlign w:val="center"/>
          </w:tcPr>
          <w:p w14:paraId="2E451B23" w14:textId="77777777" w:rsidR="00C72079" w:rsidRPr="00EE43C6" w:rsidRDefault="00C72079" w:rsidP="00C72079">
            <w:pPr>
              <w:spacing w:before="0" w:after="0" w:line="240" w:lineRule="auto"/>
              <w:jc w:val="left"/>
              <w:rPr>
                <w:sz w:val="18"/>
                <w:szCs w:val="18"/>
                <w:lang w:eastAsia="tr-TR"/>
                <w14:props3d w14:extrusionH="0" w14:contourW="0" w14:prstMaterial="matte"/>
              </w:rPr>
            </w:pPr>
            <w:r w:rsidRPr="00EE43C6">
              <w:rPr>
                <w:sz w:val="18"/>
                <w:szCs w:val="18"/>
                <w:lang w:eastAsia="tr-TR"/>
                <w14:props3d w14:extrusionH="0" w14:contourW="0" w14:prstMaterial="matte"/>
              </w:rPr>
              <w:t>Kurbanlı</w:t>
            </w:r>
          </w:p>
        </w:tc>
        <w:tc>
          <w:tcPr>
            <w:tcW w:w="1436" w:type="pct"/>
            <w:vAlign w:val="center"/>
          </w:tcPr>
          <w:p w14:paraId="2C2EE322" w14:textId="77777777" w:rsidR="00C72079" w:rsidRPr="00EE43C6" w:rsidRDefault="00C72079" w:rsidP="00C72079">
            <w:pPr>
              <w:spacing w:before="0" w:after="0" w:line="240" w:lineRule="auto"/>
              <w:jc w:val="center"/>
              <w:rPr>
                <w:sz w:val="18"/>
                <w:szCs w:val="18"/>
                <w:lang w:eastAsia="tr-TR"/>
                <w14:props3d w14:extrusionH="0" w14:contourW="0" w14:prstMaterial="matte"/>
              </w:rPr>
            </w:pPr>
            <w:r w:rsidRPr="00EE43C6">
              <w:rPr>
                <w:sz w:val="18"/>
                <w:szCs w:val="18"/>
                <w:lang w:eastAsia="tr-TR"/>
                <w14:props3d w14:extrusionH="0" w14:contourW="0" w14:prstMaterial="matte"/>
              </w:rPr>
              <w:t>Yes</w:t>
            </w:r>
          </w:p>
        </w:tc>
        <w:tc>
          <w:tcPr>
            <w:tcW w:w="661" w:type="pct"/>
            <w:vAlign w:val="center"/>
            <w:hideMark/>
          </w:tcPr>
          <w:p w14:paraId="1DCC6BE4" w14:textId="77777777" w:rsidR="00C72079" w:rsidRPr="00EE43C6" w:rsidRDefault="00C72079" w:rsidP="00C72079">
            <w:pPr>
              <w:spacing w:before="0" w:after="0" w:line="240" w:lineRule="auto"/>
              <w:jc w:val="center"/>
              <w:rPr>
                <w:sz w:val="18"/>
                <w:szCs w:val="18"/>
                <w:lang w:eastAsia="tr-TR"/>
                <w14:props3d w14:extrusionH="0" w14:contourW="0" w14:prstMaterial="matte"/>
              </w:rPr>
            </w:pPr>
            <w:r w:rsidRPr="00EE43C6">
              <w:rPr>
                <w:sz w:val="18"/>
                <w:szCs w:val="18"/>
                <w:lang w:eastAsia="tr-TR"/>
                <w14:props3d w14:extrusionH="0" w14:contourW="0" w14:prstMaterial="matte"/>
              </w:rPr>
              <w:t>1</w:t>
            </w:r>
          </w:p>
        </w:tc>
        <w:tc>
          <w:tcPr>
            <w:tcW w:w="1579" w:type="pct"/>
            <w:vAlign w:val="center"/>
          </w:tcPr>
          <w:p w14:paraId="4653C9D1" w14:textId="77777777" w:rsidR="00C72079" w:rsidRPr="00EE43C6" w:rsidRDefault="00C72079" w:rsidP="00C72079">
            <w:pPr>
              <w:spacing w:before="0" w:after="0" w:line="240" w:lineRule="auto"/>
              <w:jc w:val="center"/>
              <w:rPr>
                <w:sz w:val="18"/>
                <w:szCs w:val="18"/>
                <w:lang w:eastAsia="tr-TR"/>
                <w14:props3d w14:extrusionH="0" w14:contourW="0" w14:prstMaterial="matte"/>
              </w:rPr>
            </w:pPr>
            <w:r w:rsidRPr="00EE43C6">
              <w:rPr>
                <w:sz w:val="18"/>
                <w:szCs w:val="18"/>
                <w:lang w:eastAsia="tr-TR"/>
                <w14:props3d w14:extrusionH="0" w14:contourW="0" w14:prstMaterial="matte"/>
              </w:rPr>
              <w:t>No</w:t>
            </w:r>
          </w:p>
        </w:tc>
      </w:tr>
      <w:tr w:rsidR="00C72079" w:rsidRPr="00EE43C6" w14:paraId="5FE4FE66" w14:textId="77777777">
        <w:trPr>
          <w:trHeight w:val="260"/>
        </w:trPr>
        <w:tc>
          <w:tcPr>
            <w:tcW w:w="1324" w:type="pct"/>
            <w:vAlign w:val="center"/>
          </w:tcPr>
          <w:p w14:paraId="1377D8DC" w14:textId="77777777" w:rsidR="00C72079" w:rsidRPr="00EE43C6" w:rsidRDefault="00C72079" w:rsidP="00C72079">
            <w:pPr>
              <w:spacing w:before="0" w:after="0" w:line="240" w:lineRule="auto"/>
              <w:jc w:val="left"/>
              <w:rPr>
                <w:sz w:val="18"/>
                <w:szCs w:val="18"/>
                <w:lang w:eastAsia="tr-TR"/>
                <w14:props3d w14:extrusionH="0" w14:contourW="0" w14:prstMaterial="matte"/>
              </w:rPr>
            </w:pPr>
            <w:r w:rsidRPr="00EE43C6">
              <w:rPr>
                <w:sz w:val="18"/>
                <w:szCs w:val="18"/>
                <w:lang w:eastAsia="tr-TR"/>
                <w14:props3d w14:extrusionH="0" w14:contourW="0" w14:prstMaterial="matte"/>
              </w:rPr>
              <w:t>Eskişehir</w:t>
            </w:r>
          </w:p>
        </w:tc>
        <w:tc>
          <w:tcPr>
            <w:tcW w:w="1436" w:type="pct"/>
            <w:vAlign w:val="center"/>
          </w:tcPr>
          <w:p w14:paraId="77C72FFC" w14:textId="77777777" w:rsidR="00C72079" w:rsidRPr="00EE43C6" w:rsidRDefault="00C72079" w:rsidP="00C72079">
            <w:pPr>
              <w:spacing w:before="0" w:after="0" w:line="240" w:lineRule="auto"/>
              <w:jc w:val="center"/>
              <w:rPr>
                <w:sz w:val="18"/>
                <w:szCs w:val="18"/>
                <w:lang w:eastAsia="tr-TR"/>
                <w14:props3d w14:extrusionH="0" w14:contourW="0" w14:prstMaterial="matte"/>
              </w:rPr>
            </w:pPr>
            <w:r w:rsidRPr="00EE43C6">
              <w:rPr>
                <w:sz w:val="18"/>
                <w:szCs w:val="18"/>
                <w:lang w:eastAsia="tr-TR"/>
                <w14:props3d w14:extrusionH="0" w14:contourW="0" w14:prstMaterial="matte"/>
              </w:rPr>
              <w:t>No</w:t>
            </w:r>
          </w:p>
        </w:tc>
        <w:tc>
          <w:tcPr>
            <w:tcW w:w="661" w:type="pct"/>
            <w:vAlign w:val="center"/>
            <w:hideMark/>
          </w:tcPr>
          <w:p w14:paraId="2F88BC00" w14:textId="77777777" w:rsidR="00C72079" w:rsidRPr="00EE43C6" w:rsidRDefault="00C72079" w:rsidP="00C72079">
            <w:pPr>
              <w:spacing w:before="0" w:after="0" w:line="240" w:lineRule="auto"/>
              <w:jc w:val="center"/>
              <w:rPr>
                <w:sz w:val="18"/>
                <w:szCs w:val="18"/>
                <w:lang w:eastAsia="tr-TR"/>
                <w14:props3d w14:extrusionH="0" w14:contourW="0" w14:prstMaterial="matte"/>
              </w:rPr>
            </w:pPr>
            <w:r w:rsidRPr="00EE43C6">
              <w:rPr>
                <w:sz w:val="18"/>
                <w:szCs w:val="18"/>
                <w:lang w:eastAsia="tr-TR"/>
                <w14:props3d w14:extrusionH="0" w14:contourW="0" w14:prstMaterial="matte"/>
              </w:rPr>
              <w:t>0</w:t>
            </w:r>
          </w:p>
        </w:tc>
        <w:tc>
          <w:tcPr>
            <w:tcW w:w="1579" w:type="pct"/>
            <w:vAlign w:val="center"/>
          </w:tcPr>
          <w:p w14:paraId="2BA123BE" w14:textId="77777777" w:rsidR="00C72079" w:rsidRPr="00EE43C6" w:rsidRDefault="00C72079" w:rsidP="00C72079">
            <w:pPr>
              <w:spacing w:before="0" w:after="0" w:line="240" w:lineRule="auto"/>
              <w:jc w:val="center"/>
              <w:rPr>
                <w:sz w:val="18"/>
                <w:szCs w:val="18"/>
                <w:lang w:eastAsia="tr-TR"/>
                <w14:props3d w14:extrusionH="0" w14:contourW="0" w14:prstMaterial="matte"/>
              </w:rPr>
            </w:pPr>
            <w:r w:rsidRPr="00EE43C6">
              <w:rPr>
                <w:sz w:val="18"/>
                <w:szCs w:val="18"/>
                <w:lang w:eastAsia="tr-TR"/>
                <w14:props3d w14:extrusionH="0" w14:contourW="0" w14:prstMaterial="matte"/>
              </w:rPr>
              <w:t>No</w:t>
            </w:r>
          </w:p>
        </w:tc>
      </w:tr>
      <w:tr w:rsidR="00C72079" w:rsidRPr="00EE43C6" w14:paraId="63BF45C9" w14:textId="77777777">
        <w:trPr>
          <w:trHeight w:val="260"/>
        </w:trPr>
        <w:tc>
          <w:tcPr>
            <w:tcW w:w="1324" w:type="pct"/>
            <w:vAlign w:val="center"/>
          </w:tcPr>
          <w:p w14:paraId="6F0068BE" w14:textId="77777777" w:rsidR="00C72079" w:rsidRPr="00EE43C6" w:rsidRDefault="00C72079" w:rsidP="00C72079">
            <w:pPr>
              <w:spacing w:before="0" w:after="0" w:line="240" w:lineRule="auto"/>
              <w:jc w:val="left"/>
              <w:rPr>
                <w:b/>
                <w:bCs/>
                <w:sz w:val="18"/>
                <w:szCs w:val="18"/>
                <w:lang w:eastAsia="tr-TR"/>
                <w14:props3d w14:extrusionH="0" w14:contourW="0" w14:prstMaterial="matte"/>
              </w:rPr>
            </w:pPr>
            <w:r w:rsidRPr="00EE43C6">
              <w:rPr>
                <w:b/>
                <w:bCs/>
                <w:sz w:val="18"/>
                <w:szCs w:val="18"/>
                <w:lang w:eastAsia="tr-TR"/>
                <w14:props3d w14:extrusionH="0" w14:contourW="0" w14:prstMaterial="matte"/>
              </w:rPr>
              <w:t>Total</w:t>
            </w:r>
          </w:p>
        </w:tc>
        <w:tc>
          <w:tcPr>
            <w:tcW w:w="1436" w:type="pct"/>
            <w:vAlign w:val="center"/>
          </w:tcPr>
          <w:p w14:paraId="7DBF2B1E" w14:textId="77777777" w:rsidR="00C72079" w:rsidRPr="00EE43C6" w:rsidRDefault="00C72079" w:rsidP="00C72079">
            <w:pPr>
              <w:spacing w:before="0" w:after="0" w:line="240" w:lineRule="auto"/>
              <w:jc w:val="center"/>
              <w:rPr>
                <w:b/>
                <w:bCs/>
                <w:sz w:val="18"/>
                <w:szCs w:val="18"/>
                <w:lang w:eastAsia="tr-TR"/>
                <w14:props3d w14:extrusionH="0" w14:contourW="0" w14:prstMaterial="matte"/>
              </w:rPr>
            </w:pPr>
          </w:p>
        </w:tc>
        <w:tc>
          <w:tcPr>
            <w:tcW w:w="661" w:type="pct"/>
            <w:vAlign w:val="center"/>
          </w:tcPr>
          <w:p w14:paraId="29E625E5" w14:textId="77777777" w:rsidR="00C72079" w:rsidRPr="00EE43C6" w:rsidRDefault="00C72079" w:rsidP="00C72079">
            <w:pPr>
              <w:spacing w:before="0" w:after="0" w:line="240" w:lineRule="auto"/>
              <w:jc w:val="center"/>
              <w:rPr>
                <w:b/>
                <w:bCs/>
                <w:sz w:val="18"/>
                <w:szCs w:val="18"/>
                <w:lang w:eastAsia="tr-TR"/>
                <w14:props3d w14:extrusionH="0" w14:contourW="0" w14:prstMaterial="matte"/>
              </w:rPr>
            </w:pPr>
            <w:r w:rsidRPr="00EE43C6">
              <w:rPr>
                <w:b/>
                <w:bCs/>
                <w:sz w:val="18"/>
                <w:szCs w:val="18"/>
                <w:lang w:eastAsia="tr-TR"/>
                <w14:props3d w14:extrusionH="0" w14:contourW="0" w14:prstMaterial="matte"/>
              </w:rPr>
              <w:t>16</w:t>
            </w:r>
          </w:p>
        </w:tc>
        <w:tc>
          <w:tcPr>
            <w:tcW w:w="1579" w:type="pct"/>
            <w:vAlign w:val="center"/>
          </w:tcPr>
          <w:p w14:paraId="7D488FBD" w14:textId="77777777" w:rsidR="00C72079" w:rsidRPr="00EE43C6" w:rsidRDefault="00C72079" w:rsidP="00C72079">
            <w:pPr>
              <w:spacing w:before="0" w:after="0" w:line="240" w:lineRule="auto"/>
              <w:jc w:val="center"/>
              <w:rPr>
                <w:b/>
                <w:bCs/>
                <w:sz w:val="18"/>
                <w:szCs w:val="18"/>
                <w:lang w:eastAsia="tr-TR"/>
                <w14:props3d w14:extrusionH="0" w14:contourW="0" w14:prstMaterial="matte"/>
              </w:rPr>
            </w:pPr>
          </w:p>
        </w:tc>
      </w:tr>
    </w:tbl>
    <w:p w14:paraId="3BE5213D" w14:textId="77777777" w:rsidR="00C72079" w:rsidRPr="00EE43C6" w:rsidRDefault="00C72079" w:rsidP="00C72079">
      <w:pPr>
        <w:spacing w:before="0" w:after="120" w:line="259" w:lineRule="auto"/>
        <w:rPr>
          <w:rFonts w:eastAsia="Calibri" w:cs="Arial"/>
          <w:i/>
          <w:iCs/>
          <w:color w:val="000000"/>
          <w:sz w:val="16"/>
          <w:szCs w:val="16"/>
          <w:lang w:eastAsia="tr-TR"/>
        </w:rPr>
      </w:pPr>
      <w:r w:rsidRPr="00EE43C6">
        <w:rPr>
          <w:rFonts w:eastAsia="Calibri" w:cs="Arial"/>
          <w:i/>
          <w:iCs/>
          <w:color w:val="000000"/>
          <w:sz w:val="16"/>
          <w:szCs w:val="16"/>
          <w:lang w:eastAsia="tr-TR"/>
        </w:rPr>
        <w:t>Source: Community-Level Survey, Jan. 2023</w:t>
      </w:r>
    </w:p>
    <w:p w14:paraId="73FA28E3" w14:textId="117F33B0" w:rsidR="004109A2" w:rsidRDefault="004109A2" w:rsidP="004109A2">
      <w:pPr>
        <w:spacing w:before="360" w:after="360"/>
        <w:rPr>
          <w:rFonts w:cs="Arial"/>
        </w:rPr>
      </w:pPr>
      <w:r w:rsidRPr="00EE43C6">
        <w:rPr>
          <w:rFonts w:cs="Arial"/>
        </w:rPr>
        <w:t>It was asked whether seasonal workers come to the settlements at certain times of the year, and a positive response was received from the headman of a settlement (</w:t>
      </w:r>
      <w:r w:rsidR="004D3628">
        <w:rPr>
          <w:rFonts w:cs="Arial"/>
        </w:rPr>
        <w:t xml:space="preserve">see </w:t>
      </w:r>
      <w:r w:rsidR="004D3628">
        <w:rPr>
          <w:rFonts w:cs="Arial"/>
        </w:rPr>
        <w:fldChar w:fldCharType="begin"/>
      </w:r>
      <w:r w:rsidR="004D3628">
        <w:rPr>
          <w:rFonts w:cs="Arial"/>
        </w:rPr>
        <w:instrText xml:space="preserve"> REF _Ref130810574 \h </w:instrText>
      </w:r>
      <w:r w:rsidR="004D3628">
        <w:rPr>
          <w:rFonts w:cs="Arial"/>
        </w:rPr>
      </w:r>
      <w:r w:rsidR="004D3628">
        <w:rPr>
          <w:rFonts w:cs="Arial"/>
        </w:rPr>
        <w:fldChar w:fldCharType="separate"/>
      </w:r>
      <w:r w:rsidR="004D3628">
        <w:t>Table 5</w:t>
      </w:r>
      <w:r w:rsidR="004D3628">
        <w:noBreakHyphen/>
        <w:t>4</w:t>
      </w:r>
      <w:r w:rsidR="004D3628">
        <w:rPr>
          <w:rFonts w:cs="Arial"/>
        </w:rPr>
        <w:fldChar w:fldCharType="end"/>
      </w:r>
      <w:r w:rsidRPr="00EE43C6">
        <w:rPr>
          <w:rFonts w:cs="Arial"/>
        </w:rPr>
        <w:fldChar w:fldCharType="begin"/>
      </w:r>
      <w:r w:rsidRPr="00EE43C6">
        <w:rPr>
          <w:rFonts w:cs="Arial"/>
        </w:rPr>
        <w:instrText xml:space="preserve"> REF _Ref125588240 \h  \* MERGEFORMAT </w:instrText>
      </w:r>
      <w:r w:rsidRPr="00EE43C6">
        <w:rPr>
          <w:rFonts w:cs="Arial"/>
        </w:rPr>
      </w:r>
      <w:r w:rsidRPr="00EE43C6">
        <w:rPr>
          <w:rFonts w:cs="Arial"/>
        </w:rPr>
        <w:fldChar w:fldCharType="end"/>
      </w:r>
      <w:r w:rsidRPr="00EE43C6">
        <w:rPr>
          <w:rFonts w:cs="Arial"/>
        </w:rPr>
        <w:t>).</w:t>
      </w:r>
    </w:p>
    <w:p w14:paraId="5EFF8267" w14:textId="1117559A" w:rsidR="004109A2" w:rsidRPr="00EE43C6" w:rsidRDefault="000A7CBC" w:rsidP="000A7CBC">
      <w:pPr>
        <w:pStyle w:val="Caption"/>
        <w:rPr>
          <w:i/>
          <w:noProof w:val="0"/>
          <w:color w:val="000000" w:themeColor="text1"/>
          <w:lang w:eastAsia="tr-TR"/>
          <w14:props3d w14:extrusionH="0" w14:contourW="0" w14:prstMaterial="matte"/>
        </w:rPr>
      </w:pPr>
      <w:bookmarkStart w:id="424" w:name="_Ref130810574"/>
      <w:bookmarkStart w:id="425" w:name="_Toc126314278"/>
      <w:bookmarkStart w:id="426" w:name="_Toc141445508"/>
      <w:r>
        <w:t xml:space="preserve">Table </w:t>
      </w:r>
      <w:r w:rsidR="006D2DE8">
        <w:fldChar w:fldCharType="begin"/>
      </w:r>
      <w:r w:rsidR="006D2DE8">
        <w:instrText xml:space="preserve"> STYLEREF 1 \s </w:instrText>
      </w:r>
      <w:r w:rsidR="006D2DE8">
        <w:fldChar w:fldCharType="separate"/>
      </w:r>
      <w:r w:rsidR="006D2DE8">
        <w:t>5</w:t>
      </w:r>
      <w:r w:rsidR="006D2DE8">
        <w:fldChar w:fldCharType="end"/>
      </w:r>
      <w:r w:rsidR="006D2DE8">
        <w:noBreakHyphen/>
      </w:r>
      <w:r w:rsidR="006D2DE8">
        <w:fldChar w:fldCharType="begin"/>
      </w:r>
      <w:r w:rsidR="006D2DE8">
        <w:instrText xml:space="preserve"> SEQ Table \* ARABIC \s 1 </w:instrText>
      </w:r>
      <w:r w:rsidR="006D2DE8">
        <w:fldChar w:fldCharType="separate"/>
      </w:r>
      <w:r w:rsidR="006D2DE8">
        <w:t>4</w:t>
      </w:r>
      <w:r w:rsidR="006D2DE8">
        <w:fldChar w:fldCharType="end"/>
      </w:r>
      <w:bookmarkEnd w:id="424"/>
      <w:bookmarkEnd w:id="425"/>
      <w:r>
        <w:t xml:space="preserve">. </w:t>
      </w:r>
      <w:r w:rsidR="004109A2" w:rsidRPr="00EE43C6">
        <w:rPr>
          <w:b w:val="0"/>
          <w:bCs w:val="0"/>
          <w:noProof w:val="0"/>
          <w:color w:val="000000" w:themeColor="text1"/>
          <w:lang w:eastAsia="tr-TR"/>
          <w14:props3d w14:extrusionH="0" w14:contourW="0" w14:prstMaterial="matte"/>
        </w:rPr>
        <w:t xml:space="preserve">Seasonal </w:t>
      </w:r>
      <w:r w:rsidR="004A0F81" w:rsidRPr="00EE43C6">
        <w:rPr>
          <w:b w:val="0"/>
          <w:bCs w:val="0"/>
          <w:noProof w:val="0"/>
          <w:color w:val="000000" w:themeColor="text1"/>
          <w:lang w:eastAsia="tr-TR"/>
          <w14:props3d w14:extrusionH="0" w14:contourW="0" w14:prstMaterial="matte"/>
        </w:rPr>
        <w:t>Workers</w:t>
      </w:r>
      <w:bookmarkEnd w:id="426"/>
    </w:p>
    <w:tbl>
      <w:tblPr>
        <w:tblStyle w:val="TableGrid"/>
        <w:tblW w:w="5000" w:type="pct"/>
        <w:tblLook w:val="04A0" w:firstRow="1" w:lastRow="0" w:firstColumn="1" w:lastColumn="0" w:noHBand="0" w:noVBand="1"/>
      </w:tblPr>
      <w:tblGrid>
        <w:gridCol w:w="1870"/>
        <w:gridCol w:w="1740"/>
        <w:gridCol w:w="1364"/>
        <w:gridCol w:w="1360"/>
        <w:gridCol w:w="1360"/>
        <w:gridCol w:w="1360"/>
      </w:tblGrid>
      <w:tr w:rsidR="004109A2" w:rsidRPr="00EE43C6" w14:paraId="04985227" w14:textId="77777777" w:rsidTr="2DB09FEA">
        <w:trPr>
          <w:trHeight w:val="284"/>
        </w:trPr>
        <w:tc>
          <w:tcPr>
            <w:tcW w:w="1033" w:type="pct"/>
            <w:shd w:val="clear" w:color="auto" w:fill="4F81BD" w:themeFill="accent1"/>
            <w:vAlign w:val="center"/>
          </w:tcPr>
          <w:p w14:paraId="0B3A7FAA" w14:textId="77777777" w:rsidR="004109A2" w:rsidRPr="00EE43C6" w:rsidRDefault="004109A2">
            <w:pPr>
              <w:spacing w:before="0" w:after="0"/>
              <w:jc w:val="left"/>
              <w:rPr>
                <w:b/>
                <w:bCs/>
                <w:color w:val="FFFFFF" w:themeColor="background1"/>
                <w:sz w:val="18"/>
                <w:szCs w:val="18"/>
                <w14:props3d w14:extrusionH="0" w14:contourW="0" w14:prstMaterial="matte"/>
              </w:rPr>
            </w:pPr>
            <w:r w:rsidRPr="00EE43C6">
              <w:rPr>
                <w:b/>
                <w:bCs/>
                <w:color w:val="FFFFFF" w:themeColor="background1"/>
                <w:sz w:val="18"/>
                <w:szCs w:val="18"/>
                <w14:props3d w14:extrusionH="0" w14:contourW="0" w14:prstMaterial="matte"/>
              </w:rPr>
              <w:t>Settlement</w:t>
            </w:r>
          </w:p>
        </w:tc>
        <w:tc>
          <w:tcPr>
            <w:tcW w:w="961" w:type="pct"/>
            <w:shd w:val="clear" w:color="auto" w:fill="4F81BD" w:themeFill="accent1"/>
            <w:vAlign w:val="center"/>
          </w:tcPr>
          <w:p w14:paraId="5E4052DB" w14:textId="77777777" w:rsidR="004109A2" w:rsidRPr="00EE43C6" w:rsidRDefault="004109A2">
            <w:pPr>
              <w:spacing w:before="0" w:after="0"/>
              <w:jc w:val="center"/>
              <w:rPr>
                <w:b/>
                <w:bCs/>
                <w:color w:val="FFFFFF" w:themeColor="background1"/>
                <w:sz w:val="18"/>
                <w:szCs w:val="18"/>
                <w14:props3d w14:extrusionH="0" w14:contourW="0" w14:prstMaterial="matte"/>
              </w:rPr>
            </w:pPr>
            <w:r w:rsidRPr="00EE43C6">
              <w:rPr>
                <w:b/>
                <w:bCs/>
                <w:color w:val="FFFFFF" w:themeColor="background1"/>
                <w:sz w:val="18"/>
                <w:szCs w:val="18"/>
                <w14:props3d w14:extrusionH="0" w14:contourW="0" w14:prstMaterial="matte"/>
              </w:rPr>
              <w:t>Are seasonal workers coming?</w:t>
            </w:r>
          </w:p>
        </w:tc>
        <w:tc>
          <w:tcPr>
            <w:tcW w:w="753" w:type="pct"/>
            <w:shd w:val="clear" w:color="auto" w:fill="4F81BD" w:themeFill="accent1"/>
            <w:vAlign w:val="center"/>
          </w:tcPr>
          <w:p w14:paraId="64B77AF1" w14:textId="77777777" w:rsidR="004109A2" w:rsidRPr="00EE43C6" w:rsidRDefault="004109A2">
            <w:pPr>
              <w:spacing w:before="0" w:after="0"/>
              <w:jc w:val="center"/>
              <w:rPr>
                <w:b/>
                <w:bCs/>
                <w:color w:val="FFFFFF" w:themeColor="background1"/>
                <w:sz w:val="18"/>
                <w:szCs w:val="18"/>
                <w14:props3d w14:extrusionH="0" w14:contourW="0" w14:prstMaterial="matte"/>
              </w:rPr>
            </w:pPr>
            <w:r w:rsidRPr="00EE43C6">
              <w:rPr>
                <w:b/>
                <w:bCs/>
                <w:color w:val="FFFFFF" w:themeColor="background1"/>
                <w:sz w:val="18"/>
                <w:szCs w:val="18"/>
                <w14:props3d w14:extrusionH="0" w14:contourW="0" w14:prstMaterial="matte"/>
              </w:rPr>
              <w:t>Purpose</w:t>
            </w:r>
          </w:p>
        </w:tc>
        <w:tc>
          <w:tcPr>
            <w:tcW w:w="751" w:type="pct"/>
            <w:shd w:val="clear" w:color="auto" w:fill="4F81BD" w:themeFill="accent1"/>
            <w:vAlign w:val="center"/>
          </w:tcPr>
          <w:p w14:paraId="6DF45227" w14:textId="77777777" w:rsidR="004109A2" w:rsidRPr="00EE43C6" w:rsidRDefault="004109A2">
            <w:pPr>
              <w:spacing w:before="0" w:after="0"/>
              <w:jc w:val="center"/>
              <w:rPr>
                <w:b/>
                <w:bCs/>
                <w:color w:val="FFFFFF" w:themeColor="background1"/>
                <w:sz w:val="18"/>
                <w:szCs w:val="18"/>
                <w14:props3d w14:extrusionH="0" w14:contourW="0" w14:prstMaterial="matte"/>
              </w:rPr>
            </w:pPr>
            <w:r w:rsidRPr="00EE43C6">
              <w:rPr>
                <w:b/>
                <w:bCs/>
                <w:color w:val="FFFFFF" w:themeColor="background1"/>
                <w:sz w:val="18"/>
                <w:szCs w:val="18"/>
                <w14:props3d w14:extrusionH="0" w14:contourW="0" w14:prstMaterial="matte"/>
              </w:rPr>
              <w:t>No. of adult men</w:t>
            </w:r>
          </w:p>
        </w:tc>
        <w:tc>
          <w:tcPr>
            <w:tcW w:w="751" w:type="pct"/>
            <w:shd w:val="clear" w:color="auto" w:fill="4F81BD" w:themeFill="accent1"/>
            <w:vAlign w:val="center"/>
          </w:tcPr>
          <w:p w14:paraId="5100A3DE" w14:textId="77777777" w:rsidR="004109A2" w:rsidRPr="00EE43C6" w:rsidRDefault="004109A2">
            <w:pPr>
              <w:spacing w:before="0" w:after="0"/>
              <w:jc w:val="center"/>
              <w:rPr>
                <w:b/>
                <w:bCs/>
                <w:color w:val="FFFFFF" w:themeColor="background1"/>
                <w:sz w:val="18"/>
                <w:szCs w:val="18"/>
                <w14:props3d w14:extrusionH="0" w14:contourW="0" w14:prstMaterial="matte"/>
              </w:rPr>
            </w:pPr>
            <w:r w:rsidRPr="00EE43C6">
              <w:rPr>
                <w:b/>
                <w:bCs/>
                <w:color w:val="FFFFFF" w:themeColor="background1"/>
                <w:sz w:val="18"/>
                <w:szCs w:val="18"/>
                <w14:props3d w14:extrusionH="0" w14:contourW="0" w14:prstMaterial="matte"/>
              </w:rPr>
              <w:t>No. of adult women</w:t>
            </w:r>
          </w:p>
        </w:tc>
        <w:tc>
          <w:tcPr>
            <w:tcW w:w="751" w:type="pct"/>
            <w:shd w:val="clear" w:color="auto" w:fill="4F81BD" w:themeFill="accent1"/>
            <w:vAlign w:val="center"/>
          </w:tcPr>
          <w:p w14:paraId="209B65AD" w14:textId="77777777" w:rsidR="004109A2" w:rsidRPr="00EE43C6" w:rsidRDefault="004109A2">
            <w:pPr>
              <w:spacing w:before="0" w:after="0"/>
              <w:jc w:val="center"/>
              <w:rPr>
                <w:b/>
                <w:bCs/>
                <w:color w:val="FFFFFF" w:themeColor="background1"/>
                <w:sz w:val="18"/>
                <w:szCs w:val="18"/>
                <w14:props3d w14:extrusionH="0" w14:contourW="0" w14:prstMaterial="matte"/>
              </w:rPr>
            </w:pPr>
            <w:r w:rsidRPr="00EE43C6">
              <w:rPr>
                <w:b/>
                <w:bCs/>
                <w:color w:val="FFFFFF" w:themeColor="background1"/>
                <w:sz w:val="18"/>
                <w:szCs w:val="18"/>
                <w14:props3d w14:extrusionH="0" w14:contourW="0" w14:prstMaterial="matte"/>
              </w:rPr>
              <w:t>No. of children</w:t>
            </w:r>
          </w:p>
        </w:tc>
      </w:tr>
      <w:tr w:rsidR="004109A2" w:rsidRPr="00EE43C6" w14:paraId="5B469E9C" w14:textId="77777777" w:rsidTr="2DB09FEA">
        <w:trPr>
          <w:trHeight w:val="284"/>
        </w:trPr>
        <w:tc>
          <w:tcPr>
            <w:tcW w:w="1033" w:type="pct"/>
            <w:vAlign w:val="center"/>
          </w:tcPr>
          <w:p w14:paraId="62944D66" w14:textId="77777777" w:rsidR="004109A2" w:rsidRPr="00EE43C6" w:rsidRDefault="004109A2">
            <w:pPr>
              <w:spacing w:before="0" w:after="0"/>
              <w:jc w:val="left"/>
              <w:rPr>
                <w:sz w:val="18"/>
                <w:szCs w:val="18"/>
                <w14:props3d w14:extrusionH="0" w14:contourW="0" w14:prstMaterial="matte"/>
              </w:rPr>
            </w:pPr>
            <w:r w:rsidRPr="00EE43C6">
              <w:rPr>
                <w:sz w:val="18"/>
                <w:szCs w:val="18"/>
                <w14:props3d w14:extrusionH="0" w14:contourW="0" w14:prstMaterial="matte"/>
              </w:rPr>
              <w:t>Sağlıklı</w:t>
            </w:r>
          </w:p>
        </w:tc>
        <w:tc>
          <w:tcPr>
            <w:tcW w:w="961" w:type="pct"/>
            <w:vAlign w:val="center"/>
          </w:tcPr>
          <w:p w14:paraId="6E6A3AD6" w14:textId="77777777" w:rsidR="004109A2" w:rsidRPr="00EE43C6" w:rsidRDefault="004109A2">
            <w:pPr>
              <w:spacing w:before="0" w:after="0"/>
              <w:jc w:val="center"/>
              <w:rPr>
                <w:sz w:val="18"/>
                <w:szCs w:val="18"/>
                <w14:props3d w14:extrusionH="0" w14:contourW="0" w14:prstMaterial="matte"/>
              </w:rPr>
            </w:pPr>
            <w:r w:rsidRPr="00EE43C6">
              <w:rPr>
                <w:sz w:val="18"/>
                <w:szCs w:val="18"/>
                <w14:props3d w14:extrusionH="0" w14:contourW="0" w14:prstMaterial="matte"/>
              </w:rPr>
              <w:t>No</w:t>
            </w:r>
          </w:p>
        </w:tc>
        <w:tc>
          <w:tcPr>
            <w:tcW w:w="753" w:type="pct"/>
            <w:vAlign w:val="center"/>
          </w:tcPr>
          <w:p w14:paraId="7C601C73" w14:textId="5C0697CD" w:rsidR="004109A2" w:rsidRPr="00EE43C6" w:rsidRDefault="00B83794">
            <w:pPr>
              <w:spacing w:before="0" w:after="0"/>
              <w:jc w:val="center"/>
              <w:rPr>
                <w:sz w:val="18"/>
                <w:szCs w:val="18"/>
                <w14:props3d w14:extrusionH="0" w14:contourW="0" w14:prstMaterial="matte"/>
              </w:rPr>
            </w:pPr>
            <w:r>
              <w:rPr>
                <w:sz w:val="18"/>
                <w:szCs w:val="18"/>
                <w14:props3d w14:extrusionH="0" w14:contourW="0" w14:prstMaterial="matte"/>
              </w:rPr>
              <w:t>Agriculture</w:t>
            </w:r>
          </w:p>
        </w:tc>
        <w:tc>
          <w:tcPr>
            <w:tcW w:w="751" w:type="pct"/>
            <w:vAlign w:val="center"/>
          </w:tcPr>
          <w:p w14:paraId="0E305999" w14:textId="03FA8B49" w:rsidR="004109A2" w:rsidRPr="00EE43C6" w:rsidRDefault="00656437">
            <w:pPr>
              <w:spacing w:before="0" w:after="0"/>
              <w:jc w:val="center"/>
              <w:rPr>
                <w:sz w:val="18"/>
                <w:szCs w:val="18"/>
                <w14:props3d w14:extrusionH="0" w14:contourW="0" w14:prstMaterial="matte"/>
              </w:rPr>
            </w:pPr>
            <w:r>
              <w:rPr>
                <w:sz w:val="18"/>
                <w:szCs w:val="18"/>
                <w14:props3d w14:extrusionH="0" w14:contourW="0" w14:prstMaterial="matte"/>
              </w:rPr>
              <w:t>40</w:t>
            </w:r>
          </w:p>
        </w:tc>
        <w:tc>
          <w:tcPr>
            <w:tcW w:w="751" w:type="pct"/>
            <w:vAlign w:val="center"/>
          </w:tcPr>
          <w:p w14:paraId="6FE9F2C2" w14:textId="3DBE3401" w:rsidR="004109A2" w:rsidRPr="00EE43C6" w:rsidRDefault="00656437">
            <w:pPr>
              <w:spacing w:before="0" w:after="0"/>
              <w:jc w:val="center"/>
              <w:rPr>
                <w:sz w:val="18"/>
                <w:szCs w:val="18"/>
                <w14:props3d w14:extrusionH="0" w14:contourW="0" w14:prstMaterial="matte"/>
              </w:rPr>
            </w:pPr>
            <w:r>
              <w:rPr>
                <w:sz w:val="18"/>
                <w:szCs w:val="18"/>
                <w14:props3d w14:extrusionH="0" w14:contourW="0" w14:prstMaterial="matte"/>
              </w:rPr>
              <w:t>10</w:t>
            </w:r>
          </w:p>
        </w:tc>
        <w:tc>
          <w:tcPr>
            <w:tcW w:w="751" w:type="pct"/>
            <w:vAlign w:val="center"/>
          </w:tcPr>
          <w:p w14:paraId="7D12F4CF" w14:textId="44DDE4F4" w:rsidR="004109A2" w:rsidRPr="00EE43C6" w:rsidRDefault="00656437">
            <w:pPr>
              <w:spacing w:before="0" w:after="0"/>
              <w:jc w:val="center"/>
              <w:rPr>
                <w:sz w:val="18"/>
                <w:szCs w:val="18"/>
                <w14:props3d w14:extrusionH="0" w14:contourW="0" w14:prstMaterial="matte"/>
              </w:rPr>
            </w:pPr>
            <w:r>
              <w:rPr>
                <w:sz w:val="18"/>
                <w:szCs w:val="18"/>
                <w14:props3d w14:extrusionH="0" w14:contourW="0" w14:prstMaterial="matte"/>
              </w:rPr>
              <w:t>0</w:t>
            </w:r>
          </w:p>
        </w:tc>
      </w:tr>
      <w:tr w:rsidR="004109A2" w:rsidRPr="00EE43C6" w14:paraId="19C65716" w14:textId="77777777" w:rsidTr="2DB09FEA">
        <w:trPr>
          <w:trHeight w:val="284"/>
        </w:trPr>
        <w:tc>
          <w:tcPr>
            <w:tcW w:w="1033" w:type="pct"/>
            <w:vAlign w:val="center"/>
          </w:tcPr>
          <w:p w14:paraId="3F3FB8CA" w14:textId="77777777" w:rsidR="004109A2" w:rsidRPr="00EE43C6" w:rsidRDefault="004109A2">
            <w:pPr>
              <w:spacing w:before="0" w:after="0"/>
              <w:jc w:val="left"/>
              <w:rPr>
                <w:sz w:val="18"/>
                <w:szCs w:val="18"/>
                <w14:props3d w14:extrusionH="0" w14:contourW="0" w14:prstMaterial="matte"/>
              </w:rPr>
            </w:pPr>
            <w:r w:rsidRPr="00EE43C6">
              <w:rPr>
                <w:sz w:val="18"/>
                <w:szCs w:val="18"/>
                <w14:props3d w14:extrusionH="0" w14:contourW="0" w14:prstMaterial="matte"/>
              </w:rPr>
              <w:t>Kurbanlı</w:t>
            </w:r>
          </w:p>
        </w:tc>
        <w:tc>
          <w:tcPr>
            <w:tcW w:w="961" w:type="pct"/>
            <w:vAlign w:val="center"/>
          </w:tcPr>
          <w:p w14:paraId="0AA0E95D" w14:textId="77777777" w:rsidR="004109A2" w:rsidRPr="00EE43C6" w:rsidRDefault="004109A2">
            <w:pPr>
              <w:spacing w:before="0" w:after="0"/>
              <w:jc w:val="center"/>
              <w:rPr>
                <w:sz w:val="18"/>
                <w:szCs w:val="18"/>
                <w14:props3d w14:extrusionH="0" w14:contourW="0" w14:prstMaterial="matte"/>
              </w:rPr>
            </w:pPr>
            <w:r w:rsidRPr="00EE43C6">
              <w:rPr>
                <w:sz w:val="18"/>
                <w:szCs w:val="18"/>
                <w14:props3d w14:extrusionH="0" w14:contourW="0" w14:prstMaterial="matte"/>
              </w:rPr>
              <w:t>No</w:t>
            </w:r>
          </w:p>
        </w:tc>
        <w:tc>
          <w:tcPr>
            <w:tcW w:w="753" w:type="pct"/>
            <w:vAlign w:val="center"/>
          </w:tcPr>
          <w:p w14:paraId="5A254F4E" w14:textId="77777777" w:rsidR="004109A2" w:rsidRPr="00EE43C6" w:rsidRDefault="004109A2">
            <w:pPr>
              <w:spacing w:before="0" w:after="0"/>
              <w:jc w:val="center"/>
              <w:rPr>
                <w:sz w:val="18"/>
                <w:szCs w:val="18"/>
                <w14:props3d w14:extrusionH="0" w14:contourW="0" w14:prstMaterial="matte"/>
              </w:rPr>
            </w:pPr>
            <w:r w:rsidRPr="00EE43C6">
              <w:rPr>
                <w:sz w:val="18"/>
                <w:szCs w:val="18"/>
                <w14:props3d w14:extrusionH="0" w14:contourW="0" w14:prstMaterial="matte"/>
              </w:rPr>
              <w:t>NA</w:t>
            </w:r>
          </w:p>
        </w:tc>
        <w:tc>
          <w:tcPr>
            <w:tcW w:w="751" w:type="pct"/>
            <w:vAlign w:val="center"/>
          </w:tcPr>
          <w:p w14:paraId="646037DA" w14:textId="77777777" w:rsidR="004109A2" w:rsidRPr="00EE43C6" w:rsidRDefault="004109A2">
            <w:pPr>
              <w:spacing w:before="0" w:after="0"/>
              <w:jc w:val="center"/>
              <w:rPr>
                <w:sz w:val="18"/>
                <w:szCs w:val="18"/>
                <w14:props3d w14:extrusionH="0" w14:contourW="0" w14:prstMaterial="matte"/>
              </w:rPr>
            </w:pPr>
            <w:r w:rsidRPr="00EE43C6">
              <w:rPr>
                <w:sz w:val="18"/>
                <w:szCs w:val="18"/>
                <w14:props3d w14:extrusionH="0" w14:contourW="0" w14:prstMaterial="matte"/>
              </w:rPr>
              <w:t>NA</w:t>
            </w:r>
          </w:p>
        </w:tc>
        <w:tc>
          <w:tcPr>
            <w:tcW w:w="751" w:type="pct"/>
            <w:vAlign w:val="center"/>
          </w:tcPr>
          <w:p w14:paraId="5A4BA233" w14:textId="77777777" w:rsidR="004109A2" w:rsidRPr="00EE43C6" w:rsidRDefault="004109A2">
            <w:pPr>
              <w:spacing w:before="0" w:after="0"/>
              <w:jc w:val="center"/>
              <w:rPr>
                <w:sz w:val="18"/>
                <w:szCs w:val="18"/>
                <w14:props3d w14:extrusionH="0" w14:contourW="0" w14:prstMaterial="matte"/>
              </w:rPr>
            </w:pPr>
            <w:r w:rsidRPr="00EE43C6">
              <w:rPr>
                <w:sz w:val="18"/>
                <w:szCs w:val="18"/>
                <w14:props3d w14:extrusionH="0" w14:contourW="0" w14:prstMaterial="matte"/>
              </w:rPr>
              <w:t>NA</w:t>
            </w:r>
          </w:p>
        </w:tc>
        <w:tc>
          <w:tcPr>
            <w:tcW w:w="751" w:type="pct"/>
            <w:vAlign w:val="center"/>
          </w:tcPr>
          <w:p w14:paraId="229A6FF9" w14:textId="77777777" w:rsidR="004109A2" w:rsidRPr="00EE43C6" w:rsidRDefault="004109A2">
            <w:pPr>
              <w:spacing w:before="0" w:after="0"/>
              <w:jc w:val="center"/>
              <w:rPr>
                <w:sz w:val="18"/>
                <w:szCs w:val="18"/>
                <w14:props3d w14:extrusionH="0" w14:contourW="0" w14:prstMaterial="matte"/>
              </w:rPr>
            </w:pPr>
            <w:r w:rsidRPr="00EE43C6">
              <w:rPr>
                <w:sz w:val="18"/>
                <w:szCs w:val="18"/>
                <w14:props3d w14:extrusionH="0" w14:contourW="0" w14:prstMaterial="matte"/>
              </w:rPr>
              <w:t>NA</w:t>
            </w:r>
          </w:p>
        </w:tc>
      </w:tr>
      <w:tr w:rsidR="004109A2" w:rsidRPr="00EE43C6" w14:paraId="00A869DD" w14:textId="77777777" w:rsidTr="2DB09FEA">
        <w:trPr>
          <w:trHeight w:val="284"/>
        </w:trPr>
        <w:tc>
          <w:tcPr>
            <w:tcW w:w="1033" w:type="pct"/>
            <w:vAlign w:val="center"/>
          </w:tcPr>
          <w:p w14:paraId="6907A03C" w14:textId="77777777" w:rsidR="004109A2" w:rsidRPr="00EE43C6" w:rsidRDefault="004109A2">
            <w:pPr>
              <w:spacing w:before="0" w:after="0"/>
              <w:jc w:val="left"/>
              <w:rPr>
                <w:sz w:val="18"/>
                <w:szCs w:val="18"/>
                <w14:props3d w14:extrusionH="0" w14:contourW="0" w14:prstMaterial="matte"/>
              </w:rPr>
            </w:pPr>
            <w:r w:rsidRPr="00EE43C6">
              <w:rPr>
                <w:sz w:val="18"/>
                <w:szCs w:val="18"/>
                <w14:props3d w14:extrusionH="0" w14:contourW="0" w14:prstMaterial="matte"/>
              </w:rPr>
              <w:t>Eskişehir</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649B154E" w14:textId="77777777" w:rsidR="004109A2" w:rsidRPr="00EE43C6" w:rsidRDefault="004109A2">
            <w:pPr>
              <w:spacing w:before="0" w:after="0"/>
              <w:jc w:val="center"/>
              <w:rPr>
                <w:sz w:val="18"/>
                <w:szCs w:val="18"/>
                <w14:props3d w14:extrusionH="0" w14:contourW="0" w14:prstMaterial="matte"/>
              </w:rPr>
            </w:pPr>
            <w:r w:rsidRPr="00EE43C6">
              <w:rPr>
                <w:sz w:val="18"/>
                <w:szCs w:val="18"/>
                <w14:props3d w14:extrusionH="0" w14:contourW="0" w14:prstMaterial="matte"/>
              </w:rPr>
              <w:t>Yes</w:t>
            </w:r>
          </w:p>
        </w:tc>
        <w:tc>
          <w:tcPr>
            <w:tcW w:w="753" w:type="pct"/>
            <w:tcBorders>
              <w:top w:val="single" w:sz="4" w:space="0" w:color="auto"/>
              <w:left w:val="nil"/>
              <w:bottom w:val="single" w:sz="4" w:space="0" w:color="auto"/>
              <w:right w:val="single" w:sz="4" w:space="0" w:color="auto"/>
            </w:tcBorders>
            <w:shd w:val="clear" w:color="auto" w:fill="auto"/>
            <w:vAlign w:val="center"/>
          </w:tcPr>
          <w:p w14:paraId="2C8D46AD" w14:textId="4CA7CFB2" w:rsidR="004109A2" w:rsidRPr="00EE43C6" w:rsidRDefault="004109A2">
            <w:pPr>
              <w:spacing w:before="0" w:after="0"/>
              <w:jc w:val="center"/>
              <w:rPr>
                <w:sz w:val="18"/>
                <w:szCs w:val="18"/>
                <w14:props3d w14:extrusionH="0" w14:contourW="0" w14:prstMaterial="matte"/>
              </w:rPr>
            </w:pPr>
            <w:r w:rsidRPr="00EE43C6">
              <w:rPr>
                <w:sz w:val="18"/>
                <w:szCs w:val="18"/>
                <w14:props3d w14:extrusionH="0" w14:contourW="0" w14:prstMaterial="matte"/>
              </w:rPr>
              <w:t>Agriculture</w:t>
            </w:r>
          </w:p>
        </w:tc>
        <w:tc>
          <w:tcPr>
            <w:tcW w:w="751" w:type="pct"/>
            <w:tcBorders>
              <w:top w:val="single" w:sz="4" w:space="0" w:color="auto"/>
              <w:left w:val="nil"/>
              <w:bottom w:val="single" w:sz="4" w:space="0" w:color="auto"/>
              <w:right w:val="single" w:sz="4" w:space="0" w:color="auto"/>
            </w:tcBorders>
            <w:vAlign w:val="center"/>
          </w:tcPr>
          <w:p w14:paraId="42DD1F8F" w14:textId="77777777" w:rsidR="004109A2" w:rsidRPr="00EE43C6" w:rsidRDefault="004109A2">
            <w:pPr>
              <w:spacing w:before="0" w:after="0"/>
              <w:jc w:val="center"/>
              <w:rPr>
                <w:sz w:val="18"/>
                <w:szCs w:val="18"/>
                <w14:props3d w14:extrusionH="0" w14:contourW="0" w14:prstMaterial="matte"/>
              </w:rPr>
            </w:pPr>
            <w:r w:rsidRPr="00EE43C6">
              <w:rPr>
                <w:sz w:val="18"/>
                <w:szCs w:val="18"/>
                <w14:props3d w14:extrusionH="0" w14:contourW="0" w14:prstMaterial="matte"/>
              </w:rPr>
              <w:t>100</w:t>
            </w:r>
          </w:p>
        </w:tc>
        <w:tc>
          <w:tcPr>
            <w:tcW w:w="751" w:type="pct"/>
            <w:tcBorders>
              <w:top w:val="single" w:sz="4" w:space="0" w:color="auto"/>
              <w:left w:val="nil"/>
              <w:bottom w:val="single" w:sz="4" w:space="0" w:color="auto"/>
              <w:right w:val="single" w:sz="4" w:space="0" w:color="auto"/>
            </w:tcBorders>
            <w:vAlign w:val="center"/>
          </w:tcPr>
          <w:p w14:paraId="38107A14" w14:textId="77777777" w:rsidR="004109A2" w:rsidRPr="00EE43C6" w:rsidRDefault="004109A2">
            <w:pPr>
              <w:spacing w:before="0" w:after="0"/>
              <w:jc w:val="center"/>
              <w:rPr>
                <w:sz w:val="18"/>
                <w:szCs w:val="18"/>
                <w14:props3d w14:extrusionH="0" w14:contourW="0" w14:prstMaterial="matte"/>
              </w:rPr>
            </w:pPr>
            <w:r w:rsidRPr="00EE43C6">
              <w:rPr>
                <w:sz w:val="18"/>
                <w:szCs w:val="18"/>
                <w14:props3d w14:extrusionH="0" w14:contourW="0" w14:prstMaterial="matte"/>
              </w:rPr>
              <w:t>80</w:t>
            </w:r>
          </w:p>
        </w:tc>
        <w:tc>
          <w:tcPr>
            <w:tcW w:w="751" w:type="pct"/>
            <w:tcBorders>
              <w:top w:val="single" w:sz="4" w:space="0" w:color="auto"/>
              <w:left w:val="nil"/>
              <w:bottom w:val="single" w:sz="4" w:space="0" w:color="auto"/>
              <w:right w:val="single" w:sz="4" w:space="0" w:color="auto"/>
            </w:tcBorders>
            <w:vAlign w:val="center"/>
          </w:tcPr>
          <w:p w14:paraId="6B2835E4" w14:textId="77777777" w:rsidR="004109A2" w:rsidRPr="00EE43C6" w:rsidRDefault="004109A2">
            <w:pPr>
              <w:spacing w:before="0" w:after="0"/>
              <w:jc w:val="center"/>
              <w:rPr>
                <w:sz w:val="18"/>
                <w:szCs w:val="18"/>
                <w14:props3d w14:extrusionH="0" w14:contourW="0" w14:prstMaterial="matte"/>
              </w:rPr>
            </w:pPr>
            <w:r w:rsidRPr="00EE43C6">
              <w:rPr>
                <w:sz w:val="18"/>
                <w:szCs w:val="18"/>
                <w14:props3d w14:extrusionH="0" w14:contourW="0" w14:prstMaterial="matte"/>
              </w:rPr>
              <w:t>20</w:t>
            </w:r>
          </w:p>
        </w:tc>
      </w:tr>
      <w:tr w:rsidR="004109A2" w:rsidRPr="00EE43C6" w14:paraId="1F398335" w14:textId="77777777" w:rsidTr="2DB09FEA">
        <w:trPr>
          <w:trHeight w:val="284"/>
        </w:trPr>
        <w:tc>
          <w:tcPr>
            <w:tcW w:w="1033" w:type="pct"/>
            <w:shd w:val="clear" w:color="auto" w:fill="auto"/>
            <w:vAlign w:val="center"/>
          </w:tcPr>
          <w:p w14:paraId="57F1E47A" w14:textId="77777777" w:rsidR="004109A2" w:rsidRPr="00EE43C6" w:rsidRDefault="004109A2">
            <w:pPr>
              <w:spacing w:before="0" w:after="0"/>
              <w:jc w:val="left"/>
              <w:rPr>
                <w:b/>
                <w:bCs/>
                <w:sz w:val="18"/>
                <w:szCs w:val="18"/>
                <w14:props3d w14:extrusionH="0" w14:contourW="0" w14:prstMaterial="matte"/>
              </w:rPr>
            </w:pPr>
            <w:r w:rsidRPr="00EE43C6">
              <w:rPr>
                <w:b/>
                <w:bCs/>
                <w:sz w:val="18"/>
                <w:szCs w:val="18"/>
                <w14:props3d w14:extrusionH="0" w14:contourW="0" w14:prstMaterial="matte"/>
              </w:rPr>
              <w:t>Total</w:t>
            </w:r>
          </w:p>
        </w:tc>
        <w:tc>
          <w:tcPr>
            <w:tcW w:w="961" w:type="pct"/>
            <w:shd w:val="clear" w:color="auto" w:fill="auto"/>
            <w:vAlign w:val="center"/>
          </w:tcPr>
          <w:p w14:paraId="75D70811" w14:textId="77777777" w:rsidR="004109A2" w:rsidRPr="00EE43C6" w:rsidRDefault="004109A2">
            <w:pPr>
              <w:spacing w:before="0" w:after="0"/>
              <w:jc w:val="center"/>
              <w:rPr>
                <w:b/>
                <w:bCs/>
                <w:sz w:val="18"/>
                <w:szCs w:val="18"/>
                <w14:props3d w14:extrusionH="0" w14:contourW="0" w14:prstMaterial="matte"/>
              </w:rPr>
            </w:pPr>
          </w:p>
        </w:tc>
        <w:tc>
          <w:tcPr>
            <w:tcW w:w="753" w:type="pct"/>
            <w:shd w:val="clear" w:color="auto" w:fill="auto"/>
            <w:vAlign w:val="center"/>
          </w:tcPr>
          <w:p w14:paraId="555D611F" w14:textId="77777777" w:rsidR="004109A2" w:rsidRPr="00EE43C6" w:rsidRDefault="004109A2">
            <w:pPr>
              <w:spacing w:before="0" w:after="0"/>
              <w:jc w:val="center"/>
              <w:rPr>
                <w:b/>
                <w:bCs/>
                <w:sz w:val="18"/>
                <w:szCs w:val="18"/>
                <w14:props3d w14:extrusionH="0" w14:contourW="0" w14:prstMaterial="matte"/>
              </w:rPr>
            </w:pPr>
          </w:p>
        </w:tc>
        <w:tc>
          <w:tcPr>
            <w:tcW w:w="751" w:type="pct"/>
            <w:vAlign w:val="center"/>
          </w:tcPr>
          <w:p w14:paraId="7A63C04B" w14:textId="0FA52F46" w:rsidR="004109A2" w:rsidRPr="00EE43C6" w:rsidRDefault="004109A2">
            <w:pPr>
              <w:spacing w:before="0" w:after="0"/>
              <w:jc w:val="center"/>
              <w:rPr>
                <w:b/>
                <w:bCs/>
                <w:sz w:val="18"/>
                <w:szCs w:val="18"/>
                <w14:props3d w14:extrusionH="0" w14:contourW="0" w14:prstMaterial="matte"/>
              </w:rPr>
            </w:pPr>
            <w:r w:rsidRPr="00EE43C6">
              <w:rPr>
                <w:b/>
                <w:bCs/>
                <w:sz w:val="18"/>
                <w:szCs w:val="18"/>
                <w14:props3d w14:extrusionH="0" w14:contourW="0" w14:prstMaterial="matte"/>
              </w:rPr>
              <w:t>1</w:t>
            </w:r>
            <w:r w:rsidR="00C45FE7">
              <w:rPr>
                <w:b/>
                <w:bCs/>
                <w:sz w:val="18"/>
                <w:szCs w:val="18"/>
                <w14:props3d w14:extrusionH="0" w14:contourW="0" w14:prstMaterial="matte"/>
              </w:rPr>
              <w:t>4</w:t>
            </w:r>
            <w:r w:rsidRPr="00EE43C6">
              <w:rPr>
                <w:b/>
                <w:bCs/>
                <w:sz w:val="18"/>
                <w:szCs w:val="18"/>
                <w14:props3d w14:extrusionH="0" w14:contourW="0" w14:prstMaterial="matte"/>
              </w:rPr>
              <w:t>0</w:t>
            </w:r>
          </w:p>
        </w:tc>
        <w:tc>
          <w:tcPr>
            <w:tcW w:w="751" w:type="pct"/>
            <w:vAlign w:val="center"/>
          </w:tcPr>
          <w:p w14:paraId="5FD4FBE0" w14:textId="4F13409C" w:rsidR="004109A2" w:rsidRPr="00EE43C6" w:rsidRDefault="00C45FE7">
            <w:pPr>
              <w:spacing w:before="0" w:after="0"/>
              <w:jc w:val="center"/>
              <w:rPr>
                <w:b/>
                <w:bCs/>
                <w:sz w:val="18"/>
                <w:szCs w:val="18"/>
                <w14:props3d w14:extrusionH="0" w14:contourW="0" w14:prstMaterial="matte"/>
              </w:rPr>
            </w:pPr>
            <w:r>
              <w:rPr>
                <w:b/>
                <w:bCs/>
                <w:sz w:val="18"/>
                <w:szCs w:val="18"/>
                <w14:props3d w14:extrusionH="0" w14:contourW="0" w14:prstMaterial="matte"/>
              </w:rPr>
              <w:t>9</w:t>
            </w:r>
            <w:r w:rsidR="004109A2" w:rsidRPr="00EE43C6">
              <w:rPr>
                <w:b/>
                <w:bCs/>
                <w:sz w:val="18"/>
                <w:szCs w:val="18"/>
                <w14:props3d w14:extrusionH="0" w14:contourW="0" w14:prstMaterial="matte"/>
              </w:rPr>
              <w:t>0</w:t>
            </w:r>
          </w:p>
        </w:tc>
        <w:tc>
          <w:tcPr>
            <w:tcW w:w="751" w:type="pct"/>
            <w:vAlign w:val="center"/>
          </w:tcPr>
          <w:p w14:paraId="08CF9952" w14:textId="77777777" w:rsidR="004109A2" w:rsidRPr="00EE43C6" w:rsidRDefault="004109A2">
            <w:pPr>
              <w:spacing w:before="0" w:after="0"/>
              <w:jc w:val="center"/>
              <w:rPr>
                <w:b/>
                <w:bCs/>
                <w:sz w:val="18"/>
                <w:szCs w:val="18"/>
                <w14:props3d w14:extrusionH="0" w14:contourW="0" w14:prstMaterial="matte"/>
              </w:rPr>
            </w:pPr>
            <w:r w:rsidRPr="00EE43C6">
              <w:rPr>
                <w:b/>
                <w:bCs/>
                <w:sz w:val="18"/>
                <w:szCs w:val="18"/>
                <w14:props3d w14:extrusionH="0" w14:contourW="0" w14:prstMaterial="matte"/>
              </w:rPr>
              <w:t>20</w:t>
            </w:r>
          </w:p>
        </w:tc>
      </w:tr>
    </w:tbl>
    <w:p w14:paraId="7C6B465E" w14:textId="77777777" w:rsidR="004109A2" w:rsidRPr="00EE43C6" w:rsidRDefault="004109A2" w:rsidP="004109A2">
      <w:pPr>
        <w:spacing w:before="0"/>
        <w:rPr>
          <w:rFonts w:cs="Arial"/>
          <w:color w:val="000000" w:themeColor="text1"/>
          <w:sz w:val="16"/>
          <w:szCs w:val="16"/>
          <w:lang w:eastAsia="tr-TR"/>
        </w:rPr>
      </w:pPr>
      <w:r w:rsidRPr="00EE43C6">
        <w:rPr>
          <w:rFonts w:cs="Arial"/>
          <w:i/>
          <w:iCs/>
          <w:color w:val="000000" w:themeColor="text1"/>
          <w:sz w:val="16"/>
          <w:szCs w:val="16"/>
          <w:lang w:eastAsia="tr-TR"/>
        </w:rPr>
        <w:t>Source: Community-Level Survey, Jan. 2023</w:t>
      </w:r>
    </w:p>
    <w:p w14:paraId="3A77743E" w14:textId="562CB2E7" w:rsidR="004109A2" w:rsidRPr="00EE43C6" w:rsidRDefault="004109A2" w:rsidP="004109A2">
      <w:pPr>
        <w:rPr>
          <w:rFonts w:cs="Arial"/>
          <w:color w:val="000000" w:themeColor="text1"/>
          <w:lang w:eastAsia="tr-TR"/>
        </w:rPr>
      </w:pPr>
      <w:r w:rsidRPr="5F58EB95">
        <w:rPr>
          <w:rFonts w:cs="Arial"/>
          <w:color w:val="000000" w:themeColor="text1"/>
          <w:lang w:eastAsia="tr-TR"/>
        </w:rPr>
        <w:t>It has been learned that seasonal agricultural workers do not stay</w:t>
      </w:r>
      <w:r w:rsidR="00071422" w:rsidRPr="5F58EB95">
        <w:rPr>
          <w:rFonts w:cs="Arial"/>
          <w:color w:val="000000" w:themeColor="text1"/>
          <w:lang w:eastAsia="tr-TR"/>
        </w:rPr>
        <w:t xml:space="preserve"> with</w:t>
      </w:r>
      <w:r w:rsidR="001B2D9A" w:rsidRPr="5F58EB95">
        <w:rPr>
          <w:rFonts w:cs="Arial"/>
          <w:color w:val="000000" w:themeColor="text1"/>
          <w:lang w:eastAsia="tr-TR"/>
        </w:rPr>
        <w:t>i</w:t>
      </w:r>
      <w:r w:rsidR="00071422" w:rsidRPr="5F58EB95">
        <w:rPr>
          <w:rFonts w:cs="Arial"/>
          <w:color w:val="000000" w:themeColor="text1"/>
          <w:lang w:eastAsia="tr-TR"/>
        </w:rPr>
        <w:t>n the AoI of the Project</w:t>
      </w:r>
      <w:r w:rsidR="0040557A" w:rsidRPr="5F58EB95">
        <w:rPr>
          <w:rFonts w:cs="Arial"/>
          <w:color w:val="000000" w:themeColor="text1"/>
          <w:lang w:eastAsia="tr-TR"/>
        </w:rPr>
        <w:t>.</w:t>
      </w:r>
      <w:r w:rsidRPr="5F58EB95">
        <w:rPr>
          <w:rFonts w:cs="Arial"/>
          <w:color w:val="000000" w:themeColor="text1"/>
          <w:lang w:eastAsia="tr-TR"/>
        </w:rPr>
        <w:t xml:space="preserve"> Therefore, no effect </w:t>
      </w:r>
      <w:r w:rsidR="0022361F" w:rsidRPr="5F58EB95">
        <w:rPr>
          <w:rFonts w:cs="Arial"/>
          <w:color w:val="000000" w:themeColor="text1"/>
          <w:lang w:eastAsia="tr-TR"/>
        </w:rPr>
        <w:t>is expected</w:t>
      </w:r>
      <w:r w:rsidR="00ED0058" w:rsidRPr="5F58EB95">
        <w:rPr>
          <w:rFonts w:cs="Arial"/>
          <w:color w:val="000000" w:themeColor="text1"/>
          <w:lang w:eastAsia="tr-TR"/>
        </w:rPr>
        <w:t xml:space="preserve"> </w:t>
      </w:r>
      <w:r w:rsidRPr="5F58EB95">
        <w:rPr>
          <w:rFonts w:cs="Arial"/>
          <w:color w:val="000000" w:themeColor="text1"/>
          <w:lang w:eastAsia="tr-TR"/>
        </w:rPr>
        <w:t>on seasonal agricultural workers.</w:t>
      </w:r>
    </w:p>
    <w:p w14:paraId="0991D712" w14:textId="77777777" w:rsidR="007313BD" w:rsidRPr="00EE43C6" w:rsidRDefault="007313BD" w:rsidP="00B625EB">
      <w:pPr>
        <w:pStyle w:val="Heading2"/>
        <w:ind w:hanging="718"/>
        <w:rPr>
          <w:lang w:val="en-GB"/>
        </w:rPr>
      </w:pPr>
      <w:bookmarkStart w:id="427" w:name="_Toc82779433"/>
      <w:bookmarkStart w:id="428" w:name="_Toc80633550"/>
      <w:bookmarkStart w:id="429" w:name="_Toc120016938"/>
      <w:bookmarkStart w:id="430" w:name="_Toc120004716"/>
      <w:bookmarkStart w:id="431" w:name="_Toc141445427"/>
      <w:r w:rsidRPr="00EE43C6">
        <w:rPr>
          <w:lang w:val="en-GB"/>
        </w:rPr>
        <w:t>Infrastructure Services</w:t>
      </w:r>
      <w:bookmarkEnd w:id="427"/>
      <w:bookmarkEnd w:id="428"/>
      <w:bookmarkEnd w:id="429"/>
      <w:bookmarkEnd w:id="430"/>
      <w:bookmarkEnd w:id="431"/>
    </w:p>
    <w:p w14:paraId="06EF42AA" w14:textId="3F4B90C5" w:rsidR="00F65536" w:rsidRPr="00EE43C6" w:rsidRDefault="00F65536" w:rsidP="00F65536">
      <w:r w:rsidRPr="00EE43C6">
        <w:t xml:space="preserve">The following table presents the infrastructure services </w:t>
      </w:r>
      <w:r w:rsidR="002550F4" w:rsidRPr="00EE43C6">
        <w:t xml:space="preserve">of the </w:t>
      </w:r>
      <w:r w:rsidR="0081536D" w:rsidRPr="00EE43C6">
        <w:t>neighbourhoods</w:t>
      </w:r>
      <w:r w:rsidR="002550F4" w:rsidRPr="00EE43C6">
        <w:t xml:space="preserve"> in the social AoI</w:t>
      </w:r>
      <w:r w:rsidRPr="00EE43C6">
        <w:t>.</w:t>
      </w:r>
    </w:p>
    <w:p w14:paraId="608036F1" w14:textId="2430C5FB" w:rsidR="00476ED6" w:rsidRPr="00EE43C6" w:rsidRDefault="000A7CBC" w:rsidP="000A7CBC">
      <w:pPr>
        <w:pStyle w:val="Caption"/>
        <w:rPr>
          <w:noProof w:val="0"/>
        </w:rPr>
      </w:pPr>
      <w:bookmarkStart w:id="432" w:name="_Toc141445509"/>
      <w:r>
        <w:t xml:space="preserve">Table </w:t>
      </w:r>
      <w:r w:rsidR="006D2DE8">
        <w:fldChar w:fldCharType="begin"/>
      </w:r>
      <w:r w:rsidR="006D2DE8">
        <w:instrText xml:space="preserve"> STYLEREF 1 \s </w:instrText>
      </w:r>
      <w:r w:rsidR="006D2DE8">
        <w:fldChar w:fldCharType="separate"/>
      </w:r>
      <w:r w:rsidR="006D2DE8">
        <w:t>5</w:t>
      </w:r>
      <w:r w:rsidR="006D2DE8">
        <w:fldChar w:fldCharType="end"/>
      </w:r>
      <w:r w:rsidR="006D2DE8">
        <w:noBreakHyphen/>
      </w:r>
      <w:r w:rsidR="006D2DE8">
        <w:fldChar w:fldCharType="begin"/>
      </w:r>
      <w:r w:rsidR="006D2DE8">
        <w:instrText xml:space="preserve"> SEQ Table \* ARABIC \s 1 </w:instrText>
      </w:r>
      <w:r w:rsidR="006D2DE8">
        <w:fldChar w:fldCharType="separate"/>
      </w:r>
      <w:r w:rsidR="006D2DE8">
        <w:t>5</w:t>
      </w:r>
      <w:r w:rsidR="006D2DE8">
        <w:fldChar w:fldCharType="end"/>
      </w:r>
      <w:r>
        <w:t xml:space="preserve">. </w:t>
      </w:r>
      <w:r w:rsidR="00476ED6" w:rsidRPr="00EE43C6">
        <w:rPr>
          <w:rFonts w:cs="Wingdings"/>
          <w:b w:val="0"/>
          <w:noProof w:val="0"/>
          <w:color w:val="000000" w:themeColor="text1"/>
        </w:rPr>
        <w:t xml:space="preserve">Infrastructure Services of the </w:t>
      </w:r>
      <w:r w:rsidR="0081536D" w:rsidRPr="00EE43C6">
        <w:rPr>
          <w:rFonts w:cs="Wingdings"/>
          <w:b w:val="0"/>
          <w:noProof w:val="0"/>
          <w:color w:val="000000" w:themeColor="text1"/>
        </w:rPr>
        <w:t>Neighbourhoods</w:t>
      </w:r>
      <w:bookmarkEnd w:id="432"/>
    </w:p>
    <w:tbl>
      <w:tblPr>
        <w:tblStyle w:val="TableGrid"/>
        <w:tblW w:w="5000" w:type="pct"/>
        <w:jc w:val="center"/>
        <w:tblLook w:val="04A0" w:firstRow="1" w:lastRow="0" w:firstColumn="1" w:lastColumn="0" w:noHBand="0" w:noVBand="1"/>
      </w:tblPr>
      <w:tblGrid>
        <w:gridCol w:w="1556"/>
        <w:gridCol w:w="1267"/>
        <w:gridCol w:w="1492"/>
        <w:gridCol w:w="1293"/>
        <w:gridCol w:w="1617"/>
        <w:gridCol w:w="1829"/>
      </w:tblGrid>
      <w:tr w:rsidR="00F21198" w:rsidRPr="00EE43C6" w14:paraId="3E368F0F" w14:textId="77777777" w:rsidTr="00F21198">
        <w:trPr>
          <w:trHeight w:val="284"/>
          <w:jc w:val="center"/>
        </w:trPr>
        <w:tc>
          <w:tcPr>
            <w:tcW w:w="784" w:type="pct"/>
            <w:shd w:val="clear" w:color="auto" w:fill="4F81BD"/>
            <w:vAlign w:val="center"/>
          </w:tcPr>
          <w:p w14:paraId="151C512A" w14:textId="77777777" w:rsidR="00F21198" w:rsidRPr="00EE43C6" w:rsidRDefault="00F21198">
            <w:pPr>
              <w:spacing w:before="0" w:after="0" w:line="240" w:lineRule="auto"/>
              <w:rPr>
                <w:rFonts w:cs="Wingdings"/>
                <w:b/>
                <w:color w:val="FFFFFF" w:themeColor="background1"/>
                <w:sz w:val="18"/>
                <w:szCs w:val="18"/>
              </w:rPr>
            </w:pPr>
            <w:r w:rsidRPr="00EE43C6">
              <w:rPr>
                <w:rFonts w:cs="Wingdings"/>
                <w:b/>
                <w:color w:val="FFFFFF" w:themeColor="background1"/>
                <w:sz w:val="18"/>
                <w:szCs w:val="18"/>
              </w:rPr>
              <w:t xml:space="preserve">Settlement </w:t>
            </w:r>
          </w:p>
        </w:tc>
        <w:tc>
          <w:tcPr>
            <w:tcW w:w="715" w:type="pct"/>
            <w:shd w:val="clear" w:color="auto" w:fill="4F81BD"/>
            <w:vAlign w:val="center"/>
          </w:tcPr>
          <w:p w14:paraId="7A6273E6" w14:textId="77777777" w:rsidR="00F21198" w:rsidRPr="00EE43C6" w:rsidRDefault="00F21198">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Water Resource</w:t>
            </w:r>
          </w:p>
        </w:tc>
        <w:tc>
          <w:tcPr>
            <w:tcW w:w="839" w:type="pct"/>
            <w:shd w:val="clear" w:color="auto" w:fill="4F81BD"/>
            <w:vAlign w:val="center"/>
          </w:tcPr>
          <w:p w14:paraId="2E052EE0" w14:textId="77777777" w:rsidR="00F21198" w:rsidRPr="00EE43C6" w:rsidRDefault="00F21198">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Irrigation Resource</w:t>
            </w:r>
          </w:p>
        </w:tc>
        <w:tc>
          <w:tcPr>
            <w:tcW w:w="729" w:type="pct"/>
            <w:shd w:val="clear" w:color="auto" w:fill="4F81BD"/>
            <w:vAlign w:val="center"/>
          </w:tcPr>
          <w:p w14:paraId="17E405A5" w14:textId="77777777" w:rsidR="00F21198" w:rsidRPr="00EE43C6" w:rsidRDefault="00F21198">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Sewerage System</w:t>
            </w:r>
          </w:p>
        </w:tc>
        <w:tc>
          <w:tcPr>
            <w:tcW w:w="908" w:type="pct"/>
            <w:shd w:val="clear" w:color="auto" w:fill="4F81BD"/>
            <w:vAlign w:val="center"/>
          </w:tcPr>
          <w:p w14:paraId="21B93C3F" w14:textId="77777777" w:rsidR="00F21198" w:rsidRPr="00EE43C6" w:rsidRDefault="00F21198">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Waste Management</w:t>
            </w:r>
          </w:p>
        </w:tc>
        <w:tc>
          <w:tcPr>
            <w:tcW w:w="1025" w:type="pct"/>
            <w:shd w:val="clear" w:color="auto" w:fill="4F81BD"/>
            <w:vAlign w:val="center"/>
          </w:tcPr>
          <w:p w14:paraId="5A49044B" w14:textId="77777777" w:rsidR="00F21198" w:rsidRPr="00EE43C6" w:rsidRDefault="00F21198">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Mass Transportation Vehicle</w:t>
            </w:r>
          </w:p>
        </w:tc>
      </w:tr>
      <w:tr w:rsidR="00F21198" w:rsidRPr="00EE43C6" w14:paraId="2A3537EA" w14:textId="77777777" w:rsidTr="00F21198">
        <w:trPr>
          <w:trHeight w:val="284"/>
          <w:jc w:val="center"/>
        </w:trPr>
        <w:tc>
          <w:tcPr>
            <w:tcW w:w="784" w:type="pct"/>
            <w:shd w:val="clear" w:color="auto" w:fill="4F81BD"/>
            <w:vAlign w:val="center"/>
          </w:tcPr>
          <w:p w14:paraId="4E1AF5CF" w14:textId="5512ADC8" w:rsidR="00F21198" w:rsidRPr="00EE43C6" w:rsidRDefault="00476ED6">
            <w:pPr>
              <w:spacing w:before="0" w:after="0" w:line="240" w:lineRule="auto"/>
              <w:rPr>
                <w:rFonts w:cs="Wingdings"/>
                <w:b/>
                <w:color w:val="FFFFFF" w:themeColor="background1"/>
                <w:sz w:val="18"/>
                <w:szCs w:val="18"/>
              </w:rPr>
            </w:pPr>
            <w:r w:rsidRPr="00EE43C6">
              <w:rPr>
                <w:rFonts w:cs="Wingdings"/>
                <w:b/>
                <w:color w:val="FFFFFF" w:themeColor="background1"/>
                <w:sz w:val="18"/>
                <w:szCs w:val="18"/>
              </w:rPr>
              <w:t>Kurbanlı Neighbourhood</w:t>
            </w:r>
          </w:p>
        </w:tc>
        <w:tc>
          <w:tcPr>
            <w:tcW w:w="715" w:type="pct"/>
            <w:vAlign w:val="center"/>
          </w:tcPr>
          <w:p w14:paraId="4739D490" w14:textId="77777777" w:rsidR="00F21198" w:rsidRPr="00EE43C6" w:rsidRDefault="00671E5C" w:rsidP="00433623">
            <w:pPr>
              <w:spacing w:before="0" w:after="0" w:line="240" w:lineRule="auto"/>
              <w:jc w:val="center"/>
              <w:rPr>
                <w:rFonts w:cs="Wingdings"/>
                <w:sz w:val="18"/>
                <w:szCs w:val="18"/>
              </w:rPr>
            </w:pPr>
            <w:r w:rsidRPr="00EE43C6">
              <w:rPr>
                <w:rFonts w:cs="Wingdings"/>
                <w:sz w:val="18"/>
                <w:szCs w:val="18"/>
              </w:rPr>
              <w:t>Well water</w:t>
            </w:r>
          </w:p>
          <w:p w14:paraId="03D5BDC8" w14:textId="3FEBC4C7" w:rsidR="00F21198" w:rsidRPr="00EE43C6" w:rsidRDefault="00F21198">
            <w:pPr>
              <w:spacing w:before="0" w:after="0" w:line="240" w:lineRule="auto"/>
              <w:jc w:val="center"/>
              <w:rPr>
                <w:rFonts w:cs="Wingdings"/>
                <w:sz w:val="18"/>
                <w:szCs w:val="18"/>
              </w:rPr>
            </w:pPr>
          </w:p>
        </w:tc>
        <w:tc>
          <w:tcPr>
            <w:tcW w:w="839" w:type="pct"/>
            <w:vAlign w:val="center"/>
          </w:tcPr>
          <w:p w14:paraId="39DE4C4B" w14:textId="798608CC" w:rsidR="00F21198" w:rsidRPr="00EE43C6" w:rsidRDefault="00671E5C">
            <w:pPr>
              <w:spacing w:before="0" w:after="0" w:line="240" w:lineRule="auto"/>
              <w:jc w:val="center"/>
              <w:rPr>
                <w:rFonts w:cs="Wingdings"/>
                <w:sz w:val="18"/>
                <w:szCs w:val="18"/>
              </w:rPr>
            </w:pPr>
            <w:r w:rsidRPr="00EE43C6">
              <w:rPr>
                <w:rFonts w:cs="Wingdings"/>
                <w:sz w:val="18"/>
                <w:szCs w:val="18"/>
              </w:rPr>
              <w:t>Ground water</w:t>
            </w:r>
          </w:p>
        </w:tc>
        <w:tc>
          <w:tcPr>
            <w:tcW w:w="729" w:type="pct"/>
            <w:vAlign w:val="center"/>
          </w:tcPr>
          <w:p w14:paraId="20219A49" w14:textId="3ABA4319" w:rsidR="00F21198" w:rsidRPr="00EE43C6" w:rsidRDefault="00671E5C">
            <w:pPr>
              <w:spacing w:before="0" w:after="0" w:line="240" w:lineRule="auto"/>
              <w:jc w:val="center"/>
              <w:rPr>
                <w:rFonts w:cs="Wingdings"/>
                <w:sz w:val="18"/>
                <w:szCs w:val="18"/>
              </w:rPr>
            </w:pPr>
            <w:r w:rsidRPr="00EE43C6">
              <w:rPr>
                <w:rFonts w:cs="Wingdings"/>
                <w:sz w:val="18"/>
                <w:szCs w:val="18"/>
              </w:rPr>
              <w:t>Pond</w:t>
            </w:r>
          </w:p>
        </w:tc>
        <w:tc>
          <w:tcPr>
            <w:tcW w:w="908" w:type="pct"/>
            <w:vAlign w:val="center"/>
          </w:tcPr>
          <w:p w14:paraId="4428AF79" w14:textId="64BCAA27" w:rsidR="00F21198" w:rsidRPr="00EE43C6" w:rsidRDefault="00483920">
            <w:pPr>
              <w:spacing w:before="0" w:after="0" w:line="240" w:lineRule="auto"/>
              <w:jc w:val="center"/>
              <w:rPr>
                <w:rFonts w:cs="Wingdings"/>
                <w:sz w:val="18"/>
                <w:szCs w:val="18"/>
              </w:rPr>
            </w:pPr>
            <w:r w:rsidRPr="00EE43C6">
              <w:rPr>
                <w:rFonts w:cs="Wingdings"/>
                <w:sz w:val="18"/>
                <w:szCs w:val="18"/>
              </w:rPr>
              <w:t>Domestic wastes collected by the municipality</w:t>
            </w:r>
          </w:p>
        </w:tc>
        <w:tc>
          <w:tcPr>
            <w:tcW w:w="1025" w:type="pct"/>
            <w:vAlign w:val="center"/>
          </w:tcPr>
          <w:p w14:paraId="67E07D56" w14:textId="18B2B45E" w:rsidR="00F21198" w:rsidRPr="00EE43C6" w:rsidRDefault="001B6C6D">
            <w:pPr>
              <w:spacing w:before="0" w:after="0" w:line="240" w:lineRule="auto"/>
              <w:jc w:val="center"/>
              <w:rPr>
                <w:rFonts w:cs="Wingdings"/>
                <w:sz w:val="18"/>
                <w:szCs w:val="18"/>
              </w:rPr>
            </w:pPr>
            <w:r w:rsidRPr="00EE43C6">
              <w:rPr>
                <w:rFonts w:cs="Wingdings"/>
                <w:sz w:val="18"/>
                <w:szCs w:val="18"/>
              </w:rPr>
              <w:t xml:space="preserve">Minibus, </w:t>
            </w:r>
            <w:r w:rsidR="00BE2CEB" w:rsidRPr="00EE43C6">
              <w:rPr>
                <w:rFonts w:cs="Wingdings"/>
                <w:sz w:val="18"/>
                <w:szCs w:val="18"/>
              </w:rPr>
              <w:t>person</w:t>
            </w:r>
            <w:r w:rsidR="00FA03D5" w:rsidRPr="00EE43C6">
              <w:rPr>
                <w:rFonts w:cs="Wingdings"/>
                <w:sz w:val="18"/>
                <w:szCs w:val="18"/>
              </w:rPr>
              <w:t>a</w:t>
            </w:r>
            <w:r w:rsidR="00BE2CEB" w:rsidRPr="00EE43C6">
              <w:rPr>
                <w:rFonts w:cs="Wingdings"/>
                <w:sz w:val="18"/>
                <w:szCs w:val="18"/>
              </w:rPr>
              <w:t>l</w:t>
            </w:r>
            <w:r w:rsidR="00FA03D5" w:rsidRPr="00EE43C6">
              <w:rPr>
                <w:rFonts w:cs="Wingdings"/>
                <w:sz w:val="18"/>
                <w:szCs w:val="18"/>
              </w:rPr>
              <w:t xml:space="preserve"> automobile</w:t>
            </w:r>
          </w:p>
        </w:tc>
      </w:tr>
      <w:tr w:rsidR="00476ED6" w:rsidRPr="00EE43C6" w14:paraId="54B1EF83" w14:textId="77777777" w:rsidTr="00F21198">
        <w:trPr>
          <w:trHeight w:val="284"/>
          <w:jc w:val="center"/>
        </w:trPr>
        <w:tc>
          <w:tcPr>
            <w:tcW w:w="784" w:type="pct"/>
            <w:shd w:val="clear" w:color="auto" w:fill="4F81BD"/>
            <w:vAlign w:val="center"/>
          </w:tcPr>
          <w:p w14:paraId="22C0CA8D" w14:textId="3D06AC26" w:rsidR="00476ED6" w:rsidRPr="00EE43C6" w:rsidRDefault="00476ED6">
            <w:pPr>
              <w:spacing w:before="0" w:after="0" w:line="240" w:lineRule="auto"/>
              <w:rPr>
                <w:rFonts w:cs="Wingdings"/>
                <w:b/>
                <w:color w:val="FFFFFF" w:themeColor="background1"/>
                <w:sz w:val="18"/>
                <w:szCs w:val="18"/>
              </w:rPr>
            </w:pPr>
            <w:r w:rsidRPr="00EE43C6">
              <w:rPr>
                <w:rFonts w:cs="Wingdings"/>
                <w:b/>
                <w:color w:val="FFFFFF" w:themeColor="background1"/>
                <w:sz w:val="18"/>
                <w:szCs w:val="18"/>
              </w:rPr>
              <w:t>Eskişehir Neighbourhood</w:t>
            </w:r>
          </w:p>
        </w:tc>
        <w:tc>
          <w:tcPr>
            <w:tcW w:w="715" w:type="pct"/>
            <w:vAlign w:val="center"/>
          </w:tcPr>
          <w:p w14:paraId="5927386C" w14:textId="58E43876" w:rsidR="00476ED6" w:rsidRPr="00EE43C6" w:rsidRDefault="00671E5C">
            <w:pPr>
              <w:spacing w:before="0" w:after="0" w:line="240" w:lineRule="auto"/>
              <w:jc w:val="center"/>
              <w:rPr>
                <w:rFonts w:cs="Wingdings"/>
                <w:sz w:val="18"/>
                <w:szCs w:val="18"/>
              </w:rPr>
            </w:pPr>
            <w:r w:rsidRPr="00EE43C6">
              <w:rPr>
                <w:rFonts w:cs="Wingdings"/>
                <w:sz w:val="18"/>
                <w:szCs w:val="18"/>
              </w:rPr>
              <w:t>Ground</w:t>
            </w:r>
            <w:r w:rsidR="00A07B8C" w:rsidRPr="00EE43C6">
              <w:rPr>
                <w:rFonts w:cs="Wingdings"/>
                <w:sz w:val="18"/>
                <w:szCs w:val="18"/>
              </w:rPr>
              <w:t xml:space="preserve"> water</w:t>
            </w:r>
          </w:p>
        </w:tc>
        <w:tc>
          <w:tcPr>
            <w:tcW w:w="839" w:type="pct"/>
            <w:vAlign w:val="center"/>
          </w:tcPr>
          <w:p w14:paraId="50AC5FB9" w14:textId="2470950F" w:rsidR="00476ED6" w:rsidRPr="00EE43C6" w:rsidRDefault="00A07B8C">
            <w:pPr>
              <w:spacing w:before="0" w:after="0" w:line="240" w:lineRule="auto"/>
              <w:jc w:val="center"/>
              <w:rPr>
                <w:rFonts w:cs="Wingdings"/>
                <w:sz w:val="18"/>
                <w:szCs w:val="18"/>
              </w:rPr>
            </w:pPr>
            <w:r w:rsidRPr="00EE43C6">
              <w:rPr>
                <w:rFonts w:cs="Wingdings"/>
                <w:sz w:val="18"/>
                <w:szCs w:val="18"/>
              </w:rPr>
              <w:t>Ground water</w:t>
            </w:r>
          </w:p>
        </w:tc>
        <w:tc>
          <w:tcPr>
            <w:tcW w:w="729" w:type="pct"/>
            <w:vAlign w:val="center"/>
          </w:tcPr>
          <w:p w14:paraId="7FE129E6" w14:textId="47006F0C" w:rsidR="00476ED6" w:rsidRPr="00EE43C6" w:rsidRDefault="00671E5C">
            <w:pPr>
              <w:spacing w:before="0" w:after="0" w:line="240" w:lineRule="auto"/>
              <w:jc w:val="center"/>
              <w:rPr>
                <w:rFonts w:cs="Wingdings"/>
                <w:sz w:val="18"/>
                <w:szCs w:val="18"/>
              </w:rPr>
            </w:pPr>
            <w:r w:rsidRPr="00EE43C6">
              <w:rPr>
                <w:rFonts w:cs="Wingdings"/>
                <w:sz w:val="18"/>
                <w:szCs w:val="18"/>
              </w:rPr>
              <w:t>Pond</w:t>
            </w:r>
          </w:p>
        </w:tc>
        <w:tc>
          <w:tcPr>
            <w:tcW w:w="908" w:type="pct"/>
            <w:vAlign w:val="center"/>
          </w:tcPr>
          <w:p w14:paraId="7C1159C2" w14:textId="2C5F7330" w:rsidR="00476ED6" w:rsidRPr="00EE43C6" w:rsidRDefault="00483920">
            <w:pPr>
              <w:spacing w:before="0" w:after="0" w:line="240" w:lineRule="auto"/>
              <w:jc w:val="center"/>
              <w:rPr>
                <w:rFonts w:cs="Wingdings"/>
                <w:sz w:val="18"/>
                <w:szCs w:val="18"/>
              </w:rPr>
            </w:pPr>
            <w:r w:rsidRPr="00EE43C6">
              <w:rPr>
                <w:rFonts w:cs="Wingdings"/>
                <w:sz w:val="18"/>
                <w:szCs w:val="18"/>
              </w:rPr>
              <w:t>Domestic wastes collected by the municipality</w:t>
            </w:r>
          </w:p>
        </w:tc>
        <w:tc>
          <w:tcPr>
            <w:tcW w:w="1025" w:type="pct"/>
            <w:vAlign w:val="center"/>
          </w:tcPr>
          <w:p w14:paraId="40AD5566" w14:textId="7CD6E2D8" w:rsidR="00476ED6" w:rsidRPr="00EE43C6" w:rsidRDefault="001B6C6D">
            <w:pPr>
              <w:spacing w:before="0" w:after="0" w:line="240" w:lineRule="auto"/>
              <w:jc w:val="center"/>
              <w:rPr>
                <w:rFonts w:cs="Wingdings"/>
                <w:sz w:val="18"/>
                <w:szCs w:val="18"/>
              </w:rPr>
            </w:pPr>
            <w:r w:rsidRPr="00EE43C6">
              <w:rPr>
                <w:rFonts w:cs="Wingdings"/>
                <w:sz w:val="18"/>
                <w:szCs w:val="18"/>
              </w:rPr>
              <w:t xml:space="preserve">Minibus, </w:t>
            </w:r>
            <w:r w:rsidR="00FA03D5" w:rsidRPr="00EE43C6">
              <w:rPr>
                <w:rFonts w:cs="Wingdings"/>
                <w:sz w:val="18"/>
                <w:szCs w:val="18"/>
              </w:rPr>
              <w:t>personal automobile</w:t>
            </w:r>
          </w:p>
        </w:tc>
      </w:tr>
      <w:tr w:rsidR="00476ED6" w:rsidRPr="00EE43C6" w14:paraId="2A0929B7" w14:textId="77777777" w:rsidTr="00F21198">
        <w:trPr>
          <w:trHeight w:val="284"/>
          <w:jc w:val="center"/>
        </w:trPr>
        <w:tc>
          <w:tcPr>
            <w:tcW w:w="784" w:type="pct"/>
            <w:shd w:val="clear" w:color="auto" w:fill="4F81BD"/>
            <w:vAlign w:val="center"/>
          </w:tcPr>
          <w:p w14:paraId="1C4E3B53" w14:textId="0108FF13" w:rsidR="00476ED6" w:rsidRPr="00EE43C6" w:rsidRDefault="00476ED6">
            <w:pPr>
              <w:spacing w:before="0" w:after="0" w:line="240" w:lineRule="auto"/>
              <w:rPr>
                <w:rFonts w:cs="Wingdings"/>
                <w:b/>
                <w:color w:val="FFFFFF" w:themeColor="background1"/>
                <w:sz w:val="18"/>
                <w:szCs w:val="18"/>
              </w:rPr>
            </w:pPr>
            <w:r w:rsidRPr="00EE43C6">
              <w:rPr>
                <w:rFonts w:cs="Wingdings"/>
                <w:b/>
                <w:color w:val="FFFFFF" w:themeColor="background1"/>
                <w:sz w:val="18"/>
                <w:szCs w:val="18"/>
              </w:rPr>
              <w:t>Sağlıklı Neighbourhood</w:t>
            </w:r>
          </w:p>
        </w:tc>
        <w:tc>
          <w:tcPr>
            <w:tcW w:w="715" w:type="pct"/>
            <w:vAlign w:val="center"/>
          </w:tcPr>
          <w:p w14:paraId="00468FB6" w14:textId="0855EC31" w:rsidR="00476ED6" w:rsidRPr="00EE43C6" w:rsidRDefault="00671E5C">
            <w:pPr>
              <w:spacing w:before="0" w:after="0" w:line="240" w:lineRule="auto"/>
              <w:jc w:val="center"/>
              <w:rPr>
                <w:rFonts w:cs="Wingdings"/>
                <w:sz w:val="18"/>
                <w:szCs w:val="18"/>
              </w:rPr>
            </w:pPr>
            <w:r w:rsidRPr="00EE43C6">
              <w:rPr>
                <w:rFonts w:cs="Wingdings"/>
                <w:sz w:val="18"/>
                <w:szCs w:val="18"/>
              </w:rPr>
              <w:t>Well water</w:t>
            </w:r>
          </w:p>
        </w:tc>
        <w:tc>
          <w:tcPr>
            <w:tcW w:w="839" w:type="pct"/>
            <w:vAlign w:val="center"/>
          </w:tcPr>
          <w:p w14:paraId="2E03E135" w14:textId="6ADCE8FC" w:rsidR="00476ED6" w:rsidRPr="00EE43C6" w:rsidRDefault="00671E5C">
            <w:pPr>
              <w:spacing w:before="0" w:after="0" w:line="240" w:lineRule="auto"/>
              <w:jc w:val="center"/>
              <w:rPr>
                <w:rFonts w:cs="Wingdings"/>
                <w:sz w:val="18"/>
                <w:szCs w:val="18"/>
              </w:rPr>
            </w:pPr>
            <w:r w:rsidRPr="00EE43C6">
              <w:rPr>
                <w:rFonts w:cs="Wingdings"/>
                <w:sz w:val="18"/>
                <w:szCs w:val="18"/>
              </w:rPr>
              <w:t>Ground water</w:t>
            </w:r>
          </w:p>
        </w:tc>
        <w:tc>
          <w:tcPr>
            <w:tcW w:w="729" w:type="pct"/>
            <w:vAlign w:val="center"/>
          </w:tcPr>
          <w:p w14:paraId="65E3688C" w14:textId="7729947A" w:rsidR="00476ED6" w:rsidRPr="00EE43C6" w:rsidRDefault="00671E5C">
            <w:pPr>
              <w:spacing w:before="0" w:after="0" w:line="240" w:lineRule="auto"/>
              <w:jc w:val="center"/>
              <w:rPr>
                <w:rFonts w:cs="Wingdings"/>
                <w:sz w:val="18"/>
                <w:szCs w:val="18"/>
              </w:rPr>
            </w:pPr>
            <w:r w:rsidRPr="00EE43C6">
              <w:rPr>
                <w:rFonts w:cs="Wingdings"/>
                <w:sz w:val="18"/>
                <w:szCs w:val="18"/>
              </w:rPr>
              <w:t xml:space="preserve">Pond </w:t>
            </w:r>
          </w:p>
        </w:tc>
        <w:tc>
          <w:tcPr>
            <w:tcW w:w="908" w:type="pct"/>
            <w:vAlign w:val="center"/>
          </w:tcPr>
          <w:p w14:paraId="602EB739" w14:textId="3F30F337" w:rsidR="00476ED6" w:rsidRPr="00EE43C6" w:rsidRDefault="00483920">
            <w:pPr>
              <w:spacing w:before="0" w:after="0" w:line="240" w:lineRule="auto"/>
              <w:jc w:val="center"/>
              <w:rPr>
                <w:rFonts w:cs="Wingdings"/>
                <w:sz w:val="18"/>
                <w:szCs w:val="18"/>
              </w:rPr>
            </w:pPr>
            <w:r w:rsidRPr="00EE43C6">
              <w:rPr>
                <w:rFonts w:cs="Wingdings"/>
                <w:sz w:val="18"/>
                <w:szCs w:val="18"/>
              </w:rPr>
              <w:t>Domestic wastes collected by the municipality</w:t>
            </w:r>
          </w:p>
        </w:tc>
        <w:tc>
          <w:tcPr>
            <w:tcW w:w="1025" w:type="pct"/>
            <w:vAlign w:val="center"/>
          </w:tcPr>
          <w:p w14:paraId="7B37E2EA" w14:textId="3D095888" w:rsidR="00476ED6" w:rsidRPr="00EE43C6" w:rsidRDefault="001B6C6D">
            <w:pPr>
              <w:spacing w:before="0" w:after="0" w:line="240" w:lineRule="auto"/>
              <w:jc w:val="center"/>
              <w:rPr>
                <w:rFonts w:cs="Wingdings"/>
                <w:sz w:val="18"/>
                <w:szCs w:val="18"/>
              </w:rPr>
            </w:pPr>
            <w:r w:rsidRPr="00EE43C6">
              <w:rPr>
                <w:rFonts w:cs="Wingdings"/>
                <w:sz w:val="18"/>
                <w:szCs w:val="18"/>
              </w:rPr>
              <w:t xml:space="preserve">Minibus, </w:t>
            </w:r>
            <w:r w:rsidR="00FA03D5" w:rsidRPr="00EE43C6">
              <w:rPr>
                <w:rFonts w:cs="Wingdings"/>
                <w:sz w:val="18"/>
                <w:szCs w:val="18"/>
              </w:rPr>
              <w:t>personal automobile</w:t>
            </w:r>
          </w:p>
        </w:tc>
      </w:tr>
    </w:tbl>
    <w:p w14:paraId="2E39EBD0" w14:textId="63CAB0AD" w:rsidR="007313BD" w:rsidRPr="00EE43C6" w:rsidRDefault="007313BD" w:rsidP="00B625EB">
      <w:pPr>
        <w:pStyle w:val="Heading2"/>
        <w:ind w:hanging="718"/>
        <w:rPr>
          <w:lang w:val="en-GB"/>
        </w:rPr>
      </w:pPr>
      <w:bookmarkStart w:id="433" w:name="_Toc82779434"/>
      <w:bookmarkStart w:id="434" w:name="_Toc80633551"/>
      <w:bookmarkStart w:id="435" w:name="_Toc120016939"/>
      <w:bookmarkStart w:id="436" w:name="_Toc120004717"/>
      <w:bookmarkStart w:id="437" w:name="_Toc141445428"/>
      <w:r w:rsidRPr="00EE43C6">
        <w:rPr>
          <w:lang w:val="en-GB"/>
        </w:rPr>
        <w:lastRenderedPageBreak/>
        <w:t>Level of Information about the Project</w:t>
      </w:r>
      <w:bookmarkEnd w:id="433"/>
      <w:bookmarkEnd w:id="434"/>
      <w:bookmarkEnd w:id="435"/>
      <w:bookmarkEnd w:id="436"/>
      <w:bookmarkEnd w:id="437"/>
      <w:r w:rsidRPr="00EE43C6">
        <w:rPr>
          <w:lang w:val="en-GB"/>
        </w:rPr>
        <w:t xml:space="preserve"> </w:t>
      </w:r>
    </w:p>
    <w:p w14:paraId="7F18654C" w14:textId="46D2C42D" w:rsidR="007313BD" w:rsidRPr="00EE43C6" w:rsidRDefault="007313BD" w:rsidP="007313BD">
      <w:pPr>
        <w:pStyle w:val="Heading3"/>
        <w:spacing w:after="240"/>
        <w:rPr>
          <w:rFonts w:eastAsia="Arial TUR"/>
          <w:noProof w:val="0"/>
        </w:rPr>
      </w:pPr>
      <w:bookmarkStart w:id="438" w:name="_Toc82779435"/>
      <w:bookmarkStart w:id="439" w:name="_Toc80633552"/>
      <w:bookmarkStart w:id="440" w:name="_Toc120016940"/>
      <w:bookmarkStart w:id="441" w:name="_Toc120004718"/>
      <w:bookmarkStart w:id="442" w:name="_Toc141445429"/>
      <w:r w:rsidRPr="00EE43C6">
        <w:rPr>
          <w:rFonts w:eastAsia="Arial TUR"/>
          <w:noProof w:val="0"/>
        </w:rPr>
        <w:t xml:space="preserve">Results of the </w:t>
      </w:r>
      <w:r w:rsidR="001F2D30" w:rsidRPr="00EE43C6">
        <w:rPr>
          <w:rFonts w:eastAsia="Arial TUR"/>
          <w:noProof w:val="0"/>
        </w:rPr>
        <w:t xml:space="preserve">Key Informant Interviews </w:t>
      </w:r>
      <w:bookmarkEnd w:id="438"/>
      <w:bookmarkEnd w:id="439"/>
      <w:r w:rsidR="00AF7F14" w:rsidRPr="00EE43C6">
        <w:rPr>
          <w:rFonts w:eastAsia="Arial TUR"/>
          <w:noProof w:val="0"/>
        </w:rPr>
        <w:t>with Headmen</w:t>
      </w:r>
      <w:bookmarkEnd w:id="440"/>
      <w:bookmarkEnd w:id="441"/>
      <w:bookmarkEnd w:id="442"/>
    </w:p>
    <w:p w14:paraId="7E8A818A" w14:textId="0EE4D6E3" w:rsidR="00EF5CC1" w:rsidRPr="00EE43C6" w:rsidRDefault="00FB39D6" w:rsidP="006B3984">
      <w:pPr>
        <w:rPr>
          <w:rFonts w:eastAsia="Arial TUR"/>
          <w:lang w:eastAsia="en-US"/>
        </w:rPr>
      </w:pPr>
      <w:r w:rsidRPr="00EE43C6">
        <w:rPr>
          <w:rFonts w:eastAsia="Arial TUR"/>
          <w:lang w:eastAsia="en-US"/>
        </w:rPr>
        <w:t>Community level information was collected through face-to-face key informant interviews with the headm</w:t>
      </w:r>
      <w:r w:rsidR="00F53398" w:rsidRPr="00EE43C6">
        <w:rPr>
          <w:rFonts w:eastAsia="Arial TUR"/>
          <w:lang w:eastAsia="en-US"/>
        </w:rPr>
        <w:t>e</w:t>
      </w:r>
      <w:r w:rsidRPr="00EE43C6">
        <w:rPr>
          <w:rFonts w:eastAsia="Arial TUR"/>
          <w:lang w:eastAsia="en-US"/>
        </w:rPr>
        <w:t xml:space="preserve">n of </w:t>
      </w:r>
      <w:r w:rsidR="00F53398" w:rsidRPr="00EE43C6">
        <w:rPr>
          <w:rFonts w:cs="Arial"/>
          <w:szCs w:val="22"/>
        </w:rPr>
        <w:t>Kurbanlı, Eskişehir and Sağlıklı</w:t>
      </w:r>
      <w:r w:rsidRPr="00EE43C6">
        <w:rPr>
          <w:rFonts w:eastAsia="Arial TUR"/>
          <w:lang w:eastAsia="en-US"/>
        </w:rPr>
        <w:t xml:space="preserve"> Neighbourhood</w:t>
      </w:r>
      <w:r w:rsidR="00F53398" w:rsidRPr="00EE43C6">
        <w:rPr>
          <w:rFonts w:eastAsia="Arial TUR"/>
          <w:lang w:eastAsia="en-US"/>
        </w:rPr>
        <w:t>s</w:t>
      </w:r>
      <w:r w:rsidRPr="00EE43C6">
        <w:rPr>
          <w:rFonts w:eastAsia="Arial TUR"/>
          <w:lang w:eastAsia="en-US"/>
        </w:rPr>
        <w:t xml:space="preserve"> on </w:t>
      </w:r>
      <w:r w:rsidR="00E55B32" w:rsidRPr="00EE43C6">
        <w:rPr>
          <w:rFonts w:cs="Arial"/>
          <w:szCs w:val="22"/>
        </w:rPr>
        <w:t>20.12.</w:t>
      </w:r>
      <w:r w:rsidRPr="00EE43C6">
        <w:rPr>
          <w:rFonts w:eastAsia="Arial TUR" w:cs="Arial"/>
          <w:szCs w:val="22"/>
        </w:rPr>
        <w:t>2022</w:t>
      </w:r>
      <w:r w:rsidR="00E55B32" w:rsidRPr="00EE43C6">
        <w:rPr>
          <w:rFonts w:cs="Arial"/>
          <w:szCs w:val="22"/>
        </w:rPr>
        <w:t xml:space="preserve"> </w:t>
      </w:r>
      <w:r w:rsidR="00165A8C">
        <w:rPr>
          <w:rFonts w:cs="Arial"/>
          <w:szCs w:val="22"/>
        </w:rPr>
        <w:t>–</w:t>
      </w:r>
      <w:r w:rsidR="00E55B32" w:rsidRPr="00EE43C6">
        <w:rPr>
          <w:rFonts w:cs="Arial"/>
          <w:szCs w:val="22"/>
        </w:rPr>
        <w:t xml:space="preserve"> 21.12.2022</w:t>
      </w:r>
      <w:r w:rsidRPr="00EE43C6">
        <w:rPr>
          <w:rFonts w:eastAsia="Arial TUR"/>
          <w:lang w:eastAsia="en-US"/>
        </w:rPr>
        <w:t>.</w:t>
      </w:r>
      <w:r w:rsidR="00105DD0" w:rsidRPr="00EE43C6">
        <w:rPr>
          <w:rFonts w:eastAsia="Arial TUR"/>
          <w:lang w:eastAsia="en-US"/>
        </w:rPr>
        <w:t xml:space="preserve"> The study aims to measure the level of information and to obtain information about the neighbourhood in order for the headmen to have a more realistic view on the possible project impacts and their expectations from the project. The survey provided information that the neighbourhood headman is informed about the Project and in contact with the OIZ management</w:t>
      </w:r>
      <w:r w:rsidRPr="00EE43C6">
        <w:rPr>
          <w:rFonts w:eastAsia="Arial TUR"/>
          <w:lang w:eastAsia="en-US"/>
        </w:rPr>
        <w:t>.</w:t>
      </w:r>
    </w:p>
    <w:p w14:paraId="658099E8" w14:textId="09E47A02" w:rsidR="0058641F" w:rsidRPr="00EE43C6" w:rsidRDefault="0058641F" w:rsidP="006B3984">
      <w:pPr>
        <w:rPr>
          <w:rFonts w:eastAsia="Arial TUR"/>
          <w:lang w:eastAsia="en-US"/>
        </w:rPr>
      </w:pPr>
      <w:r w:rsidRPr="00EE43C6">
        <w:rPr>
          <w:rFonts w:eastAsia="Arial TUR"/>
          <w:lang w:eastAsia="en-US"/>
        </w:rPr>
        <w:t xml:space="preserve">Stakeholders will be informed prior to the commencement of construction works in accordance with the environmental and social aspects and best practice mitigation measures given in Section 8 and based on the requirements for disclosure, stakeholder engagement, </w:t>
      </w:r>
      <w:r w:rsidR="00387678" w:rsidRPr="00EE43C6">
        <w:rPr>
          <w:rFonts w:eastAsia="Arial TUR"/>
          <w:lang w:eastAsia="en-US"/>
        </w:rPr>
        <w:t>grievance mechanism</w:t>
      </w:r>
      <w:r w:rsidRPr="00EE43C6">
        <w:rPr>
          <w:rFonts w:eastAsia="Arial TUR"/>
          <w:lang w:eastAsia="en-US"/>
        </w:rPr>
        <w:t>.</w:t>
      </w:r>
    </w:p>
    <w:p w14:paraId="481AA3FF" w14:textId="22987815" w:rsidR="00AE6DB0" w:rsidRPr="00EE43C6" w:rsidRDefault="00AE6DB0" w:rsidP="006B3984"/>
    <w:p w14:paraId="41124FA5" w14:textId="77777777" w:rsidR="00AE6DB0" w:rsidRPr="00EE43C6" w:rsidRDefault="00AE6DB0" w:rsidP="005E51BC">
      <w:pPr>
        <w:spacing w:before="0" w:after="200" w:line="276" w:lineRule="auto"/>
        <w:jc w:val="left"/>
        <w:rPr>
          <w:highlight w:val="red"/>
        </w:rPr>
        <w:sectPr w:rsidR="00AE6DB0" w:rsidRPr="00EE43C6" w:rsidSect="00D719FE">
          <w:pgSz w:w="11900" w:h="16840" w:code="9"/>
          <w:pgMar w:top="1418" w:right="1418" w:bottom="1418" w:left="1418" w:header="709" w:footer="179" w:gutter="0"/>
          <w:cols w:space="708"/>
          <w:docGrid w:linePitch="360"/>
        </w:sectPr>
      </w:pPr>
    </w:p>
    <w:p w14:paraId="768636E5" w14:textId="3F193C1C" w:rsidR="004339AC" w:rsidRPr="00EE43C6" w:rsidRDefault="00CC5B52" w:rsidP="00132E74">
      <w:pPr>
        <w:pStyle w:val="Heading1"/>
        <w:ind w:left="426"/>
        <w:rPr>
          <w:noProof w:val="0"/>
          <w:lang w:val="en-GB"/>
        </w:rPr>
      </w:pPr>
      <w:bookmarkStart w:id="443" w:name="_Toc80633554"/>
      <w:bookmarkStart w:id="444" w:name="_Toc120016941"/>
      <w:bookmarkStart w:id="445" w:name="_Toc120004719"/>
      <w:bookmarkStart w:id="446" w:name="_Toc141445430"/>
      <w:r w:rsidRPr="00EE43C6">
        <w:rPr>
          <w:noProof w:val="0"/>
          <w:lang w:val="en-GB"/>
        </w:rPr>
        <w:lastRenderedPageBreak/>
        <w:t>ENVIRONMENTAL AND SOCIAL IMPACTS</w:t>
      </w:r>
      <w:bookmarkEnd w:id="443"/>
      <w:r w:rsidR="00347FB8" w:rsidRPr="00EE43C6">
        <w:rPr>
          <w:noProof w:val="0"/>
          <w:lang w:val="en-GB"/>
        </w:rPr>
        <w:t xml:space="preserve"> OF THE PROJECT</w:t>
      </w:r>
      <w:bookmarkEnd w:id="444"/>
      <w:bookmarkEnd w:id="445"/>
      <w:bookmarkEnd w:id="446"/>
    </w:p>
    <w:p w14:paraId="1523E73F" w14:textId="10F3BE66" w:rsidR="00141AA1" w:rsidRPr="00EE43C6" w:rsidRDefault="00947FA5" w:rsidP="00C11A75">
      <w:pPr>
        <w:rPr>
          <w:lang w:eastAsia="en-US"/>
        </w:rPr>
      </w:pPr>
      <w:r w:rsidRPr="00EE43C6">
        <w:rPr>
          <w:lang w:eastAsia="en-US"/>
        </w:rPr>
        <w:t xml:space="preserve">There are currently 30 people working for </w:t>
      </w:r>
      <w:r w:rsidR="00180831" w:rsidRPr="00EE43C6">
        <w:rPr>
          <w:lang w:eastAsia="en-US"/>
        </w:rPr>
        <w:t>ground</w:t>
      </w:r>
      <w:r w:rsidRPr="00EE43C6">
        <w:rPr>
          <w:lang w:eastAsia="en-US"/>
        </w:rPr>
        <w:t xml:space="preserve"> levelling at the Project Area and it is planned to employ a total of </w:t>
      </w:r>
      <w:r w:rsidR="00640A82" w:rsidRPr="00EE43C6">
        <w:rPr>
          <w:lang w:eastAsia="en-US"/>
        </w:rPr>
        <w:t>250</w:t>
      </w:r>
      <w:r w:rsidRPr="00EE43C6">
        <w:rPr>
          <w:lang w:eastAsia="en-US"/>
        </w:rPr>
        <w:t xml:space="preserve"> people at peak time in the construction phase of the Project. During the operation phase, approximately </w:t>
      </w:r>
      <w:r w:rsidR="00640A82" w:rsidRPr="00EE43C6">
        <w:rPr>
          <w:lang w:eastAsia="en-US"/>
        </w:rPr>
        <w:t>3</w:t>
      </w:r>
      <w:r w:rsidRPr="00EE43C6">
        <w:rPr>
          <w:lang w:eastAsia="en-US"/>
        </w:rPr>
        <w:t>,</w:t>
      </w:r>
      <w:r w:rsidR="00640A82" w:rsidRPr="00EE43C6">
        <w:rPr>
          <w:lang w:eastAsia="en-US"/>
        </w:rPr>
        <w:t>5</w:t>
      </w:r>
      <w:r w:rsidRPr="00EE43C6">
        <w:rPr>
          <w:lang w:eastAsia="en-US"/>
        </w:rPr>
        <w:t>00 people</w:t>
      </w:r>
      <w:r w:rsidR="00DA1621" w:rsidRPr="00EE43C6">
        <w:rPr>
          <w:lang w:eastAsia="en-US"/>
        </w:rPr>
        <w:t xml:space="preserve"> </w:t>
      </w:r>
      <w:r w:rsidR="00637991" w:rsidRPr="00EE43C6">
        <w:rPr>
          <w:lang w:eastAsia="en-US"/>
        </w:rPr>
        <w:t xml:space="preserve">are planned to be employed by the </w:t>
      </w:r>
      <w:r w:rsidR="005A3730" w:rsidRPr="00EE43C6">
        <w:rPr>
          <w:lang w:eastAsia="en-US"/>
        </w:rPr>
        <w:t>facilities</w:t>
      </w:r>
      <w:r w:rsidR="0075353F" w:rsidRPr="00EE43C6">
        <w:rPr>
          <w:lang w:eastAsia="en-US"/>
        </w:rPr>
        <w:t xml:space="preserve"> to be located in the OIZ</w:t>
      </w:r>
      <w:r w:rsidRPr="00EE43C6">
        <w:rPr>
          <w:lang w:eastAsia="en-US"/>
        </w:rPr>
        <w:t>.</w:t>
      </w:r>
    </w:p>
    <w:p w14:paraId="399A5A79" w14:textId="71DBFD6F" w:rsidR="00E7546C" w:rsidRPr="00EE43C6" w:rsidRDefault="00020F0F" w:rsidP="00C11A75">
      <w:pPr>
        <w:rPr>
          <w:lang w:eastAsia="en-US"/>
        </w:rPr>
      </w:pPr>
      <w:r w:rsidRPr="00EE43C6">
        <w:rPr>
          <w:lang w:eastAsia="en-US"/>
        </w:rPr>
        <w:t xml:space="preserve">Since there </w:t>
      </w:r>
      <w:r w:rsidR="008875CE" w:rsidRPr="00EE43C6">
        <w:rPr>
          <w:lang w:eastAsia="en-US"/>
        </w:rPr>
        <w:t>are</w:t>
      </w:r>
      <w:r w:rsidRPr="00EE43C6">
        <w:rPr>
          <w:lang w:eastAsia="en-US"/>
        </w:rPr>
        <w:t xml:space="preserve"> no </w:t>
      </w:r>
      <w:r w:rsidR="008875CE" w:rsidRPr="00EE43C6">
        <w:rPr>
          <w:lang w:eastAsia="en-US"/>
        </w:rPr>
        <w:t>exact</w:t>
      </w:r>
      <w:r w:rsidRPr="00EE43C6">
        <w:rPr>
          <w:lang w:eastAsia="en-US"/>
        </w:rPr>
        <w:t xml:space="preserve"> information about </w:t>
      </w:r>
      <w:r w:rsidR="005E3156" w:rsidRPr="00EE43C6">
        <w:rPr>
          <w:lang w:eastAsia="en-US"/>
        </w:rPr>
        <w:t xml:space="preserve">the number of the </w:t>
      </w:r>
      <w:r w:rsidRPr="00EE43C6">
        <w:rPr>
          <w:lang w:eastAsia="en-US"/>
        </w:rPr>
        <w:t>facilit</w:t>
      </w:r>
      <w:r w:rsidR="005E3156" w:rsidRPr="00EE43C6">
        <w:rPr>
          <w:lang w:eastAsia="en-US"/>
        </w:rPr>
        <w:t>ies</w:t>
      </w:r>
      <w:r w:rsidRPr="00EE43C6">
        <w:rPr>
          <w:lang w:eastAsia="en-US"/>
        </w:rPr>
        <w:t xml:space="preserve"> to be established within the OIZ and how many </w:t>
      </w:r>
      <w:r w:rsidR="00FB039D" w:rsidRPr="00EE43C6">
        <w:rPr>
          <w:lang w:eastAsia="en-US"/>
        </w:rPr>
        <w:t xml:space="preserve">and </w:t>
      </w:r>
      <w:r w:rsidRPr="00EE43C6">
        <w:rPr>
          <w:lang w:eastAsia="en-US"/>
        </w:rPr>
        <w:t xml:space="preserve">which type of facility will be established, estimated information is </w:t>
      </w:r>
      <w:r w:rsidR="00C11A75" w:rsidRPr="00EE43C6">
        <w:rPr>
          <w:lang w:eastAsia="en-US"/>
        </w:rPr>
        <w:t>presented</w:t>
      </w:r>
      <w:r w:rsidRPr="00EE43C6">
        <w:rPr>
          <w:lang w:eastAsia="en-US"/>
        </w:rPr>
        <w:t xml:space="preserve"> in the </w:t>
      </w:r>
      <w:r w:rsidR="0008794B" w:rsidRPr="00EE43C6">
        <w:rPr>
          <w:lang w:eastAsia="en-US"/>
        </w:rPr>
        <w:t>sub</w:t>
      </w:r>
      <w:r w:rsidR="00C11A75" w:rsidRPr="00EE43C6">
        <w:rPr>
          <w:lang w:eastAsia="en-US"/>
        </w:rPr>
        <w:t>sections</w:t>
      </w:r>
      <w:r w:rsidRPr="00EE43C6">
        <w:rPr>
          <w:lang w:eastAsia="en-US"/>
        </w:rPr>
        <w:t xml:space="preserve"> regarding the water to be used and the wastewater to be generated.</w:t>
      </w:r>
    </w:p>
    <w:p w14:paraId="654359F3" w14:textId="350EE959" w:rsidR="00C11A75" w:rsidRPr="001E0229" w:rsidRDefault="00B23BED" w:rsidP="00C11A75">
      <w:pPr>
        <w:rPr>
          <w:rFonts w:eastAsiaTheme="minorHAnsi"/>
          <w:szCs w:val="22"/>
          <w:lang w:eastAsia="en-US"/>
        </w:rPr>
      </w:pPr>
      <w:r w:rsidRPr="00EE43C6">
        <w:rPr>
          <w:lang w:eastAsia="en-US"/>
        </w:rPr>
        <w:t xml:space="preserve">As a basic infrastructure project, the operation phase of the Project is a project whose environmental impact assessment can be limited in general. </w:t>
      </w:r>
      <w:r w:rsidR="00C11A75" w:rsidRPr="00EE43C6">
        <w:rPr>
          <w:lang w:eastAsia="en-US"/>
        </w:rPr>
        <w:t xml:space="preserve">In addition to this, </w:t>
      </w:r>
      <w:r w:rsidR="00C11A75" w:rsidRPr="00EE43C6">
        <w:rPr>
          <w:rFonts w:eastAsiaTheme="minorHAnsi"/>
          <w:lang w:eastAsia="en-US"/>
        </w:rPr>
        <w:t xml:space="preserve">as </w:t>
      </w:r>
      <w:r w:rsidR="00C11A75" w:rsidRPr="00EE43C6">
        <w:rPr>
          <w:rFonts w:cs="Wingdings"/>
          <w:szCs w:val="22"/>
        </w:rPr>
        <w:t xml:space="preserve">operation </w:t>
      </w:r>
      <w:r w:rsidR="00280DA9" w:rsidRPr="00EE43C6">
        <w:rPr>
          <w:rFonts w:cs="Wingdings"/>
          <w:szCs w:val="22"/>
        </w:rPr>
        <w:t>and construction phases with the facilities to be established within the OIZ</w:t>
      </w:r>
      <w:r w:rsidR="005841D1" w:rsidRPr="00EE43C6">
        <w:rPr>
          <w:rFonts w:cs="Wingdings"/>
          <w:szCs w:val="22"/>
        </w:rPr>
        <w:t xml:space="preserve">, the construction of </w:t>
      </w:r>
      <w:r w:rsidR="000E7D8F" w:rsidRPr="00EE43C6">
        <w:rPr>
          <w:rFonts w:cs="Wingdings"/>
          <w:szCs w:val="22"/>
        </w:rPr>
        <w:t>Projec</w:t>
      </w:r>
      <w:r w:rsidR="000566B6" w:rsidRPr="00EE43C6">
        <w:rPr>
          <w:rFonts w:cs="Wingdings"/>
          <w:szCs w:val="22"/>
        </w:rPr>
        <w:t xml:space="preserve">t’s </w:t>
      </w:r>
      <w:r w:rsidR="00E4700C" w:rsidRPr="00EE43C6">
        <w:rPr>
          <w:rFonts w:cs="Wingdings"/>
          <w:szCs w:val="22"/>
        </w:rPr>
        <w:t>Phase 2</w:t>
      </w:r>
      <w:r w:rsidR="00413277" w:rsidRPr="00EE43C6">
        <w:rPr>
          <w:rFonts w:eastAsiaTheme="minorHAnsi" w:cs="Wingdings"/>
          <w:szCs w:val="22"/>
        </w:rPr>
        <w:t xml:space="preserve"> </w:t>
      </w:r>
      <w:r w:rsidR="00413277" w:rsidRPr="00EE43C6">
        <w:rPr>
          <w:rFonts w:cs="Wingdings"/>
          <w:szCs w:val="22"/>
        </w:rPr>
        <w:t>Area</w:t>
      </w:r>
      <w:r w:rsidR="005E53C1" w:rsidRPr="00EE43C6">
        <w:rPr>
          <w:rFonts w:eastAsiaTheme="minorHAnsi"/>
          <w:lang w:eastAsia="en-US"/>
        </w:rPr>
        <w:t>,</w:t>
      </w:r>
      <w:r w:rsidR="00C11A75" w:rsidRPr="00EE43C6">
        <w:rPr>
          <w:rFonts w:eastAsiaTheme="minorHAnsi"/>
          <w:lang w:eastAsia="en-US"/>
        </w:rPr>
        <w:t xml:space="preserve"> the construction and operation of the WWTP to </w:t>
      </w:r>
      <w:r w:rsidR="00413277" w:rsidRPr="00EE43C6">
        <w:rPr>
          <w:rFonts w:eastAsiaTheme="minorHAnsi"/>
          <w:lang w:eastAsia="en-US"/>
        </w:rPr>
        <w:t>serve</w:t>
      </w:r>
      <w:r w:rsidR="00C11A75" w:rsidRPr="00EE43C6">
        <w:rPr>
          <w:rFonts w:eastAsiaTheme="minorHAnsi"/>
          <w:lang w:eastAsia="en-US"/>
        </w:rPr>
        <w:t xml:space="preserve"> the OIZ </w:t>
      </w:r>
      <w:r w:rsidR="00413277" w:rsidRPr="00EE43C6">
        <w:rPr>
          <w:rFonts w:eastAsiaTheme="minorHAnsi"/>
          <w:lang w:eastAsia="en-US"/>
        </w:rPr>
        <w:t xml:space="preserve">and </w:t>
      </w:r>
      <w:r w:rsidR="00413277" w:rsidRPr="00EE43C6">
        <w:rPr>
          <w:rFonts w:cs="Wingdings"/>
          <w:szCs w:val="22"/>
        </w:rPr>
        <w:t>natural gaseous line</w:t>
      </w:r>
      <w:r w:rsidR="00C11A75" w:rsidRPr="00EE43C6">
        <w:rPr>
          <w:rFonts w:eastAsiaTheme="minorHAnsi"/>
          <w:lang w:eastAsia="en-US"/>
        </w:rPr>
        <w:t xml:space="preserve"> are not within the scope of loan usage, </w:t>
      </w:r>
      <w:r w:rsidR="002D1090" w:rsidRPr="00EE43C6">
        <w:rPr>
          <w:rFonts w:eastAsiaTheme="minorHAnsi"/>
          <w:lang w:eastAsia="en-US"/>
        </w:rPr>
        <w:t>impact assessments</w:t>
      </w:r>
      <w:r w:rsidR="002D1090" w:rsidRPr="00EE43C6" w:rsidDel="002D1090">
        <w:rPr>
          <w:rFonts w:eastAsiaTheme="minorHAnsi"/>
          <w:lang w:eastAsia="en-US"/>
        </w:rPr>
        <w:t xml:space="preserve"> </w:t>
      </w:r>
      <w:r w:rsidR="009017D4">
        <w:rPr>
          <w:rFonts w:eastAsiaTheme="minorHAnsi"/>
          <w:lang w:eastAsia="en-US"/>
        </w:rPr>
        <w:t xml:space="preserve">for </w:t>
      </w:r>
      <w:r w:rsidR="009017D4" w:rsidRPr="00EE43C6">
        <w:rPr>
          <w:rFonts w:cs="Wingdings"/>
          <w:szCs w:val="22"/>
        </w:rPr>
        <w:t>Project’s Phase 2</w:t>
      </w:r>
      <w:r w:rsidR="009017D4" w:rsidRPr="00EE43C6">
        <w:rPr>
          <w:rFonts w:eastAsiaTheme="minorHAnsi" w:cs="Wingdings"/>
          <w:szCs w:val="22"/>
        </w:rPr>
        <w:t xml:space="preserve"> </w:t>
      </w:r>
      <w:r w:rsidR="009017D4" w:rsidRPr="00EE43C6">
        <w:rPr>
          <w:rFonts w:cs="Wingdings"/>
          <w:szCs w:val="22"/>
        </w:rPr>
        <w:t>Area</w:t>
      </w:r>
      <w:r w:rsidR="009017D4" w:rsidRPr="00EE43C6" w:rsidDel="002D1090">
        <w:rPr>
          <w:rFonts w:eastAsiaTheme="minorHAnsi"/>
          <w:lang w:eastAsia="en-US"/>
        </w:rPr>
        <w:t xml:space="preserve"> </w:t>
      </w:r>
      <w:r w:rsidR="008A5333">
        <w:rPr>
          <w:rFonts w:eastAsiaTheme="minorHAnsi"/>
          <w:lang w:eastAsia="en-US"/>
        </w:rPr>
        <w:t xml:space="preserve">and WWTP </w:t>
      </w:r>
      <w:r w:rsidR="00EF3CA6" w:rsidRPr="00EE43C6">
        <w:rPr>
          <w:rFonts w:eastAsiaTheme="minorHAnsi"/>
          <w:lang w:eastAsia="en-US"/>
        </w:rPr>
        <w:t>ha</w:t>
      </w:r>
      <w:r w:rsidR="00AB2091" w:rsidRPr="00EE43C6">
        <w:rPr>
          <w:rFonts w:eastAsiaTheme="minorHAnsi"/>
          <w:lang w:eastAsia="en-US"/>
        </w:rPr>
        <w:t>ve</w:t>
      </w:r>
      <w:r w:rsidR="00EF3CA6" w:rsidRPr="00EE43C6">
        <w:rPr>
          <w:rFonts w:eastAsiaTheme="minorHAnsi"/>
          <w:lang w:eastAsia="en-US"/>
        </w:rPr>
        <w:t xml:space="preserve"> been</w:t>
      </w:r>
      <w:r w:rsidR="00C11A75" w:rsidRPr="00EE43C6">
        <w:rPr>
          <w:rFonts w:eastAsiaTheme="minorHAnsi"/>
          <w:lang w:eastAsia="en-US"/>
        </w:rPr>
        <w:t xml:space="preserve"> included in </w:t>
      </w:r>
      <w:r w:rsidR="004D7884" w:rsidRPr="00EE43C6">
        <w:rPr>
          <w:rFonts w:eastAsiaTheme="minorHAnsi"/>
          <w:lang w:eastAsia="en-US"/>
        </w:rPr>
        <w:t xml:space="preserve">corresponding </w:t>
      </w:r>
      <w:r w:rsidR="0008794B" w:rsidRPr="00EE43C6">
        <w:rPr>
          <w:rFonts w:eastAsiaTheme="minorHAnsi"/>
          <w:lang w:eastAsia="en-US"/>
        </w:rPr>
        <w:t>sub</w:t>
      </w:r>
      <w:r w:rsidR="00C11A75" w:rsidRPr="00EE43C6">
        <w:rPr>
          <w:rFonts w:eastAsiaTheme="minorHAnsi"/>
          <w:lang w:eastAsia="en-US"/>
        </w:rPr>
        <w:t>section</w:t>
      </w:r>
      <w:r w:rsidR="0008794B" w:rsidRPr="00EE43C6">
        <w:rPr>
          <w:rFonts w:eastAsiaTheme="minorHAnsi"/>
          <w:lang w:eastAsia="en-US"/>
        </w:rPr>
        <w:t>s</w:t>
      </w:r>
      <w:r w:rsidR="00C11A75" w:rsidRPr="00EE43C6">
        <w:rPr>
          <w:rFonts w:eastAsiaTheme="minorHAnsi"/>
          <w:lang w:eastAsia="en-US"/>
        </w:rPr>
        <w:t xml:space="preserve"> as associated facilit</w:t>
      </w:r>
      <w:r w:rsidR="00EF3CA6" w:rsidRPr="00EE43C6">
        <w:rPr>
          <w:rFonts w:eastAsiaTheme="minorHAnsi"/>
          <w:lang w:eastAsia="en-US"/>
        </w:rPr>
        <w:t>ies</w:t>
      </w:r>
      <w:r w:rsidR="004D7884" w:rsidRPr="00EE43C6">
        <w:rPr>
          <w:rFonts w:eastAsiaTheme="minorHAnsi"/>
          <w:lang w:eastAsia="en-US"/>
        </w:rPr>
        <w:t xml:space="preserve"> </w:t>
      </w:r>
      <w:r w:rsidR="004D7884" w:rsidRPr="001E0229">
        <w:rPr>
          <w:rFonts w:eastAsiaTheme="minorHAnsi"/>
          <w:szCs w:val="22"/>
          <w:lang w:eastAsia="en-US"/>
        </w:rPr>
        <w:t>when need</w:t>
      </w:r>
      <w:r w:rsidR="00F435CF" w:rsidRPr="001E0229">
        <w:rPr>
          <w:rFonts w:eastAsiaTheme="minorHAnsi"/>
          <w:szCs w:val="22"/>
          <w:lang w:eastAsia="en-US"/>
        </w:rPr>
        <w:t xml:space="preserve"> or</w:t>
      </w:r>
      <w:r w:rsidR="00A33E00" w:rsidRPr="001E0229">
        <w:rPr>
          <w:rFonts w:eastAsiaTheme="minorHAnsi"/>
          <w:szCs w:val="22"/>
          <w:lang w:eastAsia="en-US"/>
        </w:rPr>
        <w:t xml:space="preserve">/and </w:t>
      </w:r>
      <w:r w:rsidR="00455D4F" w:rsidRPr="001E0229">
        <w:rPr>
          <w:rFonts w:eastAsiaTheme="minorHAnsi"/>
          <w:szCs w:val="22"/>
          <w:lang w:eastAsia="en-US"/>
        </w:rPr>
        <w:t>cannot</w:t>
      </w:r>
      <w:r w:rsidR="00A33E00" w:rsidRPr="001E0229">
        <w:rPr>
          <w:rFonts w:eastAsiaTheme="minorHAnsi"/>
          <w:szCs w:val="22"/>
          <w:lang w:eastAsia="en-US"/>
        </w:rPr>
        <w:t xml:space="preserve"> </w:t>
      </w:r>
      <w:r w:rsidR="00455D4F" w:rsidRPr="001E0229">
        <w:rPr>
          <w:rFonts w:eastAsiaTheme="minorHAnsi"/>
          <w:szCs w:val="22"/>
          <w:lang w:eastAsia="en-US"/>
        </w:rPr>
        <w:t>be separated from the Project.</w:t>
      </w:r>
      <w:r w:rsidR="00E05CC8" w:rsidRPr="001E0229">
        <w:rPr>
          <w:rFonts w:eastAsiaTheme="minorHAnsi"/>
          <w:szCs w:val="22"/>
          <w:lang w:eastAsia="en-US"/>
        </w:rPr>
        <w:t xml:space="preserve"> </w:t>
      </w:r>
      <w:r w:rsidR="00AC1621" w:rsidRPr="001E0229">
        <w:rPr>
          <w:rFonts w:eastAsiaTheme="minorHAnsi"/>
          <w:szCs w:val="22"/>
          <w:lang w:eastAsia="en-US"/>
        </w:rPr>
        <w:t xml:space="preserve">In </w:t>
      </w:r>
      <w:r w:rsidR="00F2159F" w:rsidRPr="001E0229">
        <w:rPr>
          <w:rFonts w:eastAsiaTheme="minorHAnsi"/>
          <w:szCs w:val="22"/>
          <w:lang w:eastAsia="en-US"/>
        </w:rPr>
        <w:t>addition</w:t>
      </w:r>
      <w:r w:rsidR="00E05CC8" w:rsidRPr="001E0229">
        <w:rPr>
          <w:rFonts w:eastAsiaTheme="minorHAnsi"/>
          <w:szCs w:val="22"/>
          <w:lang w:eastAsia="en-US"/>
        </w:rPr>
        <w:t xml:space="preserve">, </w:t>
      </w:r>
      <w:r w:rsidR="00F2159F" w:rsidRPr="001E0229">
        <w:rPr>
          <w:rFonts w:eastAsiaTheme="minorHAnsi"/>
          <w:szCs w:val="22"/>
          <w:lang w:eastAsia="en-US"/>
        </w:rPr>
        <w:t>corresponding impact assessments</w:t>
      </w:r>
      <w:r w:rsidR="00474C5B" w:rsidRPr="001E0229">
        <w:rPr>
          <w:rFonts w:eastAsiaTheme="minorHAnsi"/>
          <w:szCs w:val="22"/>
          <w:lang w:eastAsia="en-US"/>
        </w:rPr>
        <w:t xml:space="preserve"> for </w:t>
      </w:r>
      <w:r w:rsidR="005C2801" w:rsidRPr="001E0229">
        <w:rPr>
          <w:rFonts w:eastAsiaTheme="minorHAnsi"/>
          <w:szCs w:val="22"/>
          <w:lang w:eastAsia="en-US"/>
        </w:rPr>
        <w:t xml:space="preserve">these </w:t>
      </w:r>
      <w:r w:rsidR="00914848" w:rsidRPr="001E0229">
        <w:rPr>
          <w:rFonts w:eastAsiaTheme="minorHAnsi"/>
          <w:szCs w:val="22"/>
          <w:lang w:eastAsia="en-US"/>
        </w:rPr>
        <w:t xml:space="preserve">activities </w:t>
      </w:r>
      <w:r w:rsidR="00F762BB" w:rsidRPr="001E0229">
        <w:rPr>
          <w:rFonts w:eastAsiaTheme="minorHAnsi"/>
          <w:szCs w:val="22"/>
          <w:lang w:eastAsia="en-US"/>
        </w:rPr>
        <w:t>ha</w:t>
      </w:r>
      <w:r w:rsidR="00F2159F" w:rsidRPr="001E0229">
        <w:rPr>
          <w:rFonts w:eastAsiaTheme="minorHAnsi"/>
          <w:szCs w:val="22"/>
          <w:lang w:eastAsia="en-US"/>
        </w:rPr>
        <w:t>ve</w:t>
      </w:r>
      <w:r w:rsidR="00F762BB" w:rsidRPr="001E0229">
        <w:rPr>
          <w:rFonts w:eastAsiaTheme="minorHAnsi"/>
          <w:szCs w:val="22"/>
          <w:lang w:eastAsia="en-US"/>
        </w:rPr>
        <w:t xml:space="preserve"> </w:t>
      </w:r>
      <w:r w:rsidR="00185FA6" w:rsidRPr="001E0229">
        <w:rPr>
          <w:rFonts w:eastAsiaTheme="minorHAnsi"/>
          <w:szCs w:val="22"/>
          <w:lang w:eastAsia="en-US"/>
        </w:rPr>
        <w:t xml:space="preserve">also </w:t>
      </w:r>
      <w:r w:rsidR="00F762BB" w:rsidRPr="001E0229">
        <w:rPr>
          <w:rFonts w:eastAsiaTheme="minorHAnsi"/>
          <w:szCs w:val="22"/>
          <w:lang w:eastAsia="en-US"/>
        </w:rPr>
        <w:t>been included in mitigation</w:t>
      </w:r>
      <w:r w:rsidR="00795E0A" w:rsidRPr="001E0229">
        <w:rPr>
          <w:rFonts w:eastAsiaTheme="minorHAnsi"/>
          <w:szCs w:val="22"/>
          <w:lang w:eastAsia="en-US"/>
        </w:rPr>
        <w:t xml:space="preserve"> measures</w:t>
      </w:r>
      <w:r w:rsidR="00F762BB" w:rsidRPr="001E0229">
        <w:rPr>
          <w:rFonts w:eastAsiaTheme="minorHAnsi"/>
          <w:szCs w:val="22"/>
          <w:lang w:eastAsia="en-US"/>
        </w:rPr>
        <w:t xml:space="preserve"> and monitoring</w:t>
      </w:r>
      <w:r w:rsidR="00795E0A" w:rsidRPr="001E0229">
        <w:rPr>
          <w:rFonts w:eastAsiaTheme="minorHAnsi"/>
          <w:szCs w:val="22"/>
          <w:lang w:eastAsia="en-US"/>
        </w:rPr>
        <w:t xml:space="preserve"> plan</w:t>
      </w:r>
      <w:r w:rsidR="00185FA6" w:rsidRPr="001E0229">
        <w:rPr>
          <w:rFonts w:eastAsiaTheme="minorHAnsi"/>
          <w:szCs w:val="22"/>
          <w:lang w:eastAsia="en-US"/>
        </w:rPr>
        <w:t xml:space="preserve"> </w:t>
      </w:r>
      <w:r w:rsidR="000E72A3" w:rsidRPr="001E0229">
        <w:rPr>
          <w:rFonts w:eastAsiaTheme="minorHAnsi"/>
          <w:szCs w:val="22"/>
          <w:lang w:eastAsia="en-US"/>
        </w:rPr>
        <w:t xml:space="preserve">tables </w:t>
      </w:r>
      <w:r w:rsidR="00185FA6" w:rsidRPr="001E0229">
        <w:rPr>
          <w:rFonts w:eastAsiaTheme="minorHAnsi"/>
          <w:szCs w:val="22"/>
          <w:lang w:eastAsia="en-US"/>
        </w:rPr>
        <w:t>of the Project</w:t>
      </w:r>
      <w:r w:rsidR="00F762BB" w:rsidRPr="001E0229">
        <w:rPr>
          <w:rFonts w:eastAsiaTheme="minorHAnsi"/>
          <w:szCs w:val="22"/>
          <w:lang w:eastAsia="en-US"/>
        </w:rPr>
        <w:t>.</w:t>
      </w:r>
    </w:p>
    <w:p w14:paraId="6B86C6B5" w14:textId="6751C9EF" w:rsidR="00CF189D" w:rsidRPr="001E0229" w:rsidRDefault="00CF189D" w:rsidP="00C11A75">
      <w:pPr>
        <w:rPr>
          <w:rFonts w:eastAsiaTheme="minorHAnsi" w:cs="Arial"/>
          <w:szCs w:val="22"/>
          <w:u w:val="single"/>
          <w:lang w:eastAsia="en-US"/>
        </w:rPr>
      </w:pPr>
      <w:r w:rsidRPr="001E0229">
        <w:rPr>
          <w:rFonts w:eastAsiaTheme="minorHAnsi"/>
          <w:szCs w:val="22"/>
          <w:u w:val="single"/>
          <w:lang w:eastAsia="en-US"/>
        </w:rPr>
        <w:t xml:space="preserve">Description of the </w:t>
      </w:r>
      <w:r w:rsidRPr="001E0229">
        <w:rPr>
          <w:rFonts w:eastAsiaTheme="minorHAnsi" w:cs="Arial"/>
          <w:szCs w:val="22"/>
          <w:u w:val="single"/>
          <w:lang w:eastAsia="en-US"/>
        </w:rPr>
        <w:t>Area of Influence</w:t>
      </w:r>
    </w:p>
    <w:p w14:paraId="7652C5B8" w14:textId="2F24F107" w:rsidR="00B718F0" w:rsidRPr="001E0229" w:rsidRDefault="00755E19" w:rsidP="5F58EB95">
      <w:pPr>
        <w:rPr>
          <w:rFonts w:cs="Arial"/>
          <w:szCs w:val="22"/>
          <w:lang w:eastAsia="en-US"/>
        </w:rPr>
      </w:pPr>
      <w:r w:rsidRPr="001E0229">
        <w:rPr>
          <w:rFonts w:cs="Arial"/>
          <w:szCs w:val="22"/>
          <w:lang w:eastAsia="en-US"/>
        </w:rPr>
        <w:t xml:space="preserve">The ESF of WB </w:t>
      </w:r>
      <w:r w:rsidR="6C2532F3" w:rsidRPr="001E0229">
        <w:rPr>
          <w:rFonts w:cs="Arial"/>
          <w:szCs w:val="22"/>
          <w:lang w:eastAsia="en-US"/>
        </w:rPr>
        <w:t>wa</w:t>
      </w:r>
      <w:r w:rsidRPr="001E0229">
        <w:rPr>
          <w:rFonts w:cs="Arial"/>
          <w:szCs w:val="22"/>
          <w:lang w:eastAsia="en-US"/>
        </w:rPr>
        <w:t xml:space="preserve">s developed </w:t>
      </w:r>
      <w:r w:rsidR="29EC80CD" w:rsidRPr="001E0229">
        <w:rPr>
          <w:rFonts w:cs="Arial"/>
          <w:szCs w:val="22"/>
          <w:lang w:eastAsia="en-US"/>
        </w:rPr>
        <w:t xml:space="preserve">and replaced </w:t>
      </w:r>
      <w:r w:rsidRPr="001E0229">
        <w:rPr>
          <w:rFonts w:cs="Arial"/>
          <w:szCs w:val="22"/>
          <w:lang w:eastAsia="en-US"/>
        </w:rPr>
        <w:t xml:space="preserve">the Safeguard Policies </w:t>
      </w:r>
      <w:r w:rsidR="00581BF2" w:rsidRPr="001E0229">
        <w:rPr>
          <w:rFonts w:cs="Arial"/>
          <w:szCs w:val="22"/>
          <w:lang w:eastAsia="en-US"/>
        </w:rPr>
        <w:t xml:space="preserve">of WB </w:t>
      </w:r>
      <w:r w:rsidRPr="001E0229">
        <w:rPr>
          <w:rFonts w:cs="Arial"/>
          <w:szCs w:val="22"/>
          <w:lang w:eastAsia="en-US"/>
        </w:rPr>
        <w:t xml:space="preserve">with the objective of creating better long-term development outcomes. </w:t>
      </w:r>
      <w:r w:rsidR="51DC3DE5" w:rsidRPr="001E0229">
        <w:rPr>
          <w:rFonts w:cs="Arial"/>
          <w:szCs w:val="22"/>
          <w:lang w:eastAsia="en-US"/>
        </w:rPr>
        <w:t>T</w:t>
      </w:r>
      <w:r w:rsidR="1385E8B0" w:rsidRPr="001E0229">
        <w:rPr>
          <w:rFonts w:eastAsia="Segoe UI" w:cs="Arial"/>
          <w:color w:val="333333"/>
          <w:szCs w:val="22"/>
        </w:rPr>
        <w:t>he environmental and social assessment will be conducted and consider, in an integrated way, all relevant direct, indirect, and cumulative environmental and social risks and impacts of the project, including those specifically identified under ESS1-10.</w:t>
      </w:r>
      <w:r w:rsidR="1385E8B0" w:rsidRPr="001E0229">
        <w:rPr>
          <w:rFonts w:cs="Arial"/>
          <w:szCs w:val="22"/>
          <w:lang w:eastAsia="en-US"/>
        </w:rPr>
        <w:t xml:space="preserve"> </w:t>
      </w:r>
      <w:r w:rsidR="009525CC" w:rsidRPr="001E0229">
        <w:rPr>
          <w:rFonts w:cs="Arial"/>
          <w:szCs w:val="22"/>
          <w:lang w:eastAsia="en-US"/>
        </w:rPr>
        <w:t xml:space="preserve"> </w:t>
      </w:r>
      <w:r w:rsidR="7EC4CEC7" w:rsidRPr="001E0229">
        <w:rPr>
          <w:rFonts w:cs="Arial"/>
          <w:szCs w:val="22"/>
          <w:lang w:eastAsia="en-US"/>
        </w:rPr>
        <w:t>A</w:t>
      </w:r>
      <w:r w:rsidR="00B718F0" w:rsidRPr="001E0229">
        <w:rPr>
          <w:rFonts w:cs="Arial"/>
          <w:szCs w:val="22"/>
          <w:lang w:eastAsia="en-US"/>
        </w:rPr>
        <w:t>ccordin</w:t>
      </w:r>
      <w:r w:rsidR="7AAC53C2" w:rsidRPr="001E0229">
        <w:rPr>
          <w:rFonts w:cs="Arial"/>
          <w:szCs w:val="22"/>
          <w:lang w:eastAsia="en-US"/>
        </w:rPr>
        <w:t xml:space="preserve">ly, </w:t>
      </w:r>
      <w:r w:rsidR="00B718F0" w:rsidRPr="001E0229">
        <w:rPr>
          <w:rFonts w:cs="Arial"/>
          <w:szCs w:val="22"/>
          <w:lang w:eastAsia="en-US"/>
        </w:rPr>
        <w:t>the “Project area of influence”</w:t>
      </w:r>
      <w:r w:rsidR="00857580" w:rsidRPr="001E0229">
        <w:rPr>
          <w:rFonts w:cs="Arial"/>
          <w:szCs w:val="22"/>
          <w:lang w:eastAsia="en-US"/>
        </w:rPr>
        <w:t xml:space="preserve"> (AoI)</w:t>
      </w:r>
      <w:r w:rsidR="00B718F0" w:rsidRPr="001E0229">
        <w:rPr>
          <w:rFonts w:cs="Arial"/>
          <w:szCs w:val="22"/>
          <w:lang w:eastAsia="en-US"/>
        </w:rPr>
        <w:t xml:space="preserve"> is</w:t>
      </w:r>
      <w:r w:rsidR="68A3C802" w:rsidRPr="001E0229">
        <w:rPr>
          <w:rFonts w:cs="Arial"/>
          <w:szCs w:val="22"/>
          <w:lang w:eastAsia="en-US"/>
        </w:rPr>
        <w:t xml:space="preserve"> determined.</w:t>
      </w:r>
    </w:p>
    <w:p w14:paraId="4BC50F83" w14:textId="0846B165" w:rsidR="00B625EB" w:rsidRPr="00EE43C6" w:rsidRDefault="002A161E" w:rsidP="5F58EB95">
      <w:pPr>
        <w:spacing w:after="0"/>
        <w:rPr>
          <w:rFonts w:eastAsiaTheme="minorEastAsia"/>
          <w:lang w:eastAsia="en-US"/>
        </w:rPr>
      </w:pPr>
      <w:r w:rsidRPr="001E0229">
        <w:rPr>
          <w:szCs w:val="22"/>
          <w:lang w:eastAsia="en-US"/>
        </w:rPr>
        <w:t xml:space="preserve">This </w:t>
      </w:r>
      <w:r w:rsidR="7143923F" w:rsidRPr="001E0229">
        <w:rPr>
          <w:szCs w:val="22"/>
          <w:lang w:eastAsia="en-US"/>
        </w:rPr>
        <w:t xml:space="preserve">AoI </w:t>
      </w:r>
      <w:r w:rsidRPr="001E0229">
        <w:rPr>
          <w:szCs w:val="22"/>
          <w:lang w:eastAsia="en-US"/>
        </w:rPr>
        <w:t xml:space="preserve"> is highly impact dependent, such as an emission source’s area of influence might be found with a dispersion model, while a wastewater discharge’s area of influence is related to the characteristics of the effluent and its discharge point. Thus, in the ESMP, the Project’s </w:t>
      </w:r>
      <w:r w:rsidR="002E14C3" w:rsidRPr="001E0229">
        <w:rPr>
          <w:szCs w:val="22"/>
          <w:lang w:eastAsia="en-US"/>
        </w:rPr>
        <w:t>AoI</w:t>
      </w:r>
      <w:r w:rsidRPr="001E0229">
        <w:rPr>
          <w:szCs w:val="22"/>
          <w:lang w:eastAsia="en-US"/>
        </w:rPr>
        <w:t xml:space="preserve"> </w:t>
      </w:r>
      <w:r w:rsidR="093E8DDE" w:rsidRPr="001E0229">
        <w:rPr>
          <w:szCs w:val="22"/>
          <w:lang w:eastAsia="en-US"/>
        </w:rPr>
        <w:t>i</w:t>
      </w:r>
      <w:r w:rsidR="7F3CE322" w:rsidRPr="001E0229">
        <w:rPr>
          <w:szCs w:val="22"/>
          <w:lang w:eastAsia="en-US"/>
        </w:rPr>
        <w:t>s</w:t>
      </w:r>
      <w:r w:rsidRPr="001E0229">
        <w:rPr>
          <w:szCs w:val="22"/>
          <w:lang w:eastAsia="en-US"/>
        </w:rPr>
        <w:t xml:space="preserve"> defined according to the impact type and magnitude and impact assessment done. Potentially Affected Parties particularly for the settlements in the close vicinity of the Project area that might be of the primary receptors of the impacts such as </w:t>
      </w:r>
      <w:r w:rsidR="00387678" w:rsidRPr="001E0229">
        <w:rPr>
          <w:szCs w:val="22"/>
          <w:lang w:eastAsia="en-US"/>
        </w:rPr>
        <w:t>odour</w:t>
      </w:r>
      <w:r w:rsidRPr="001E0229">
        <w:rPr>
          <w:szCs w:val="22"/>
          <w:lang w:eastAsia="en-US"/>
        </w:rPr>
        <w:t xml:space="preserve">, noise and dust </w:t>
      </w:r>
      <w:r w:rsidR="3E2C1A9C" w:rsidRPr="001E0229">
        <w:rPr>
          <w:szCs w:val="22"/>
          <w:lang w:eastAsia="en-US"/>
        </w:rPr>
        <w:t>a</w:t>
      </w:r>
      <w:r w:rsidR="7F3CE322" w:rsidRPr="001E0229">
        <w:rPr>
          <w:szCs w:val="22"/>
          <w:lang w:eastAsia="en-US"/>
        </w:rPr>
        <w:t>re</w:t>
      </w:r>
      <w:r w:rsidRPr="001E0229">
        <w:rPr>
          <w:szCs w:val="22"/>
          <w:lang w:eastAsia="en-US"/>
        </w:rPr>
        <w:t xml:space="preserve"> identified based on the detailed impact assessment results. The</w:t>
      </w:r>
      <w:r w:rsidR="00AC1B5F" w:rsidRPr="001E0229">
        <w:rPr>
          <w:szCs w:val="22"/>
          <w:lang w:eastAsia="en-US"/>
        </w:rPr>
        <w:t xml:space="preserve"> </w:t>
      </w:r>
      <w:r w:rsidRPr="001E0229">
        <w:rPr>
          <w:szCs w:val="22"/>
          <w:lang w:eastAsia="en-US"/>
        </w:rPr>
        <w:t xml:space="preserve">settlements </w:t>
      </w:r>
      <w:r w:rsidR="00AC1B5F" w:rsidRPr="001E0229">
        <w:rPr>
          <w:szCs w:val="22"/>
          <w:lang w:eastAsia="en-US"/>
        </w:rPr>
        <w:t>shown</w:t>
      </w:r>
      <w:r w:rsidRPr="001E0229">
        <w:rPr>
          <w:szCs w:val="22"/>
          <w:lang w:eastAsia="en-US"/>
        </w:rPr>
        <w:t xml:space="preserve"> in</w:t>
      </w:r>
      <w:r w:rsidR="00B61FB8" w:rsidRPr="001E0229">
        <w:rPr>
          <w:szCs w:val="22"/>
          <w:lang w:eastAsia="en-US"/>
        </w:rPr>
        <w:t xml:space="preserve"> </w:t>
      </w:r>
      <w:r w:rsidR="0025039F" w:rsidRPr="001E0229">
        <w:rPr>
          <w:szCs w:val="22"/>
          <w:lang w:eastAsia="en-US"/>
        </w:rPr>
        <w:fldChar w:fldCharType="begin"/>
      </w:r>
      <w:r w:rsidR="0025039F" w:rsidRPr="001E0229">
        <w:rPr>
          <w:szCs w:val="22"/>
          <w:lang w:eastAsia="en-US"/>
        </w:rPr>
        <w:instrText xml:space="preserve"> REF _Ref124778818 \h </w:instrText>
      </w:r>
      <w:r w:rsidR="00715003" w:rsidRPr="001E0229">
        <w:rPr>
          <w:szCs w:val="22"/>
          <w:lang w:eastAsia="en-US"/>
        </w:rPr>
        <w:instrText xml:space="preserve"> \* MERGEFORMAT </w:instrText>
      </w:r>
      <w:r w:rsidR="0025039F" w:rsidRPr="001E0229">
        <w:rPr>
          <w:szCs w:val="22"/>
          <w:lang w:eastAsia="en-US"/>
        </w:rPr>
      </w:r>
      <w:r w:rsidR="0025039F" w:rsidRPr="001E0229">
        <w:rPr>
          <w:szCs w:val="22"/>
          <w:lang w:eastAsia="en-US"/>
        </w:rPr>
        <w:fldChar w:fldCharType="separate"/>
      </w:r>
      <w:r w:rsidR="001E0229" w:rsidRPr="001E0229">
        <w:rPr>
          <w:szCs w:val="22"/>
          <w:lang w:eastAsia="en-US"/>
        </w:rPr>
        <w:t>Figure 2</w:t>
      </w:r>
      <w:r w:rsidR="001E0229" w:rsidRPr="001E0229">
        <w:rPr>
          <w:szCs w:val="22"/>
          <w:lang w:eastAsia="en-US"/>
        </w:rPr>
        <w:noBreakHyphen/>
        <w:t>5</w:t>
      </w:r>
      <w:r w:rsidR="0025039F" w:rsidRPr="001E0229">
        <w:rPr>
          <w:szCs w:val="22"/>
          <w:lang w:eastAsia="en-US"/>
        </w:rPr>
        <w:fldChar w:fldCharType="end"/>
      </w:r>
      <w:r w:rsidR="00E67C90" w:rsidRPr="001E0229">
        <w:rPr>
          <w:szCs w:val="22"/>
          <w:lang w:eastAsia="en-US"/>
        </w:rPr>
        <w:t xml:space="preserve"> is an indicative list</w:t>
      </w:r>
      <w:r w:rsidR="00E67C90" w:rsidRPr="00EE43C6">
        <w:rPr>
          <w:lang w:eastAsia="en-US"/>
        </w:rPr>
        <w:t xml:space="preserve"> that includes residential areas that is likely to be affected by direct impacts of the Project</w:t>
      </w:r>
      <w:r w:rsidR="0025039F" w:rsidRPr="00EE43C6">
        <w:rPr>
          <w:lang w:eastAsia="en-US"/>
        </w:rPr>
        <w:t>.</w:t>
      </w:r>
      <w:r w:rsidR="00EC2531" w:rsidRPr="00EE43C6">
        <w:rPr>
          <w:lang w:eastAsia="en-US"/>
        </w:rPr>
        <w:t xml:space="preserve"> </w:t>
      </w:r>
      <w:r w:rsidR="00493836" w:rsidRPr="00EE43C6">
        <w:rPr>
          <w:lang w:eastAsia="en-US"/>
        </w:rPr>
        <w:t xml:space="preserve">The closest </w:t>
      </w:r>
      <w:r w:rsidR="00D12763" w:rsidRPr="00EE43C6">
        <w:rPr>
          <w:lang w:eastAsia="en-US"/>
        </w:rPr>
        <w:t xml:space="preserve">sensitive </w:t>
      </w:r>
      <w:r w:rsidR="00493836" w:rsidRPr="00EE43C6">
        <w:rPr>
          <w:lang w:eastAsia="en-US"/>
        </w:rPr>
        <w:t xml:space="preserve">receptor that is identified within the AoI of the Project Area for the assessment of the </w:t>
      </w:r>
      <w:r w:rsidR="03097A81" w:rsidRPr="00EE43C6">
        <w:rPr>
          <w:lang w:eastAsia="en-US"/>
        </w:rPr>
        <w:t xml:space="preserve">social and </w:t>
      </w:r>
      <w:r w:rsidR="00493836" w:rsidRPr="00EE43C6">
        <w:rPr>
          <w:lang w:eastAsia="en-US"/>
        </w:rPr>
        <w:t>environmental impacts is the house</w:t>
      </w:r>
      <w:r w:rsidR="00146F29" w:rsidRPr="00EE43C6">
        <w:rPr>
          <w:lang w:eastAsia="en-US"/>
        </w:rPr>
        <w:t xml:space="preserve"> </w:t>
      </w:r>
      <w:r w:rsidR="00493836" w:rsidRPr="00EE43C6">
        <w:rPr>
          <w:lang w:eastAsia="en-US"/>
        </w:rPr>
        <w:t xml:space="preserve">located at the </w:t>
      </w:r>
      <w:r w:rsidR="008F62DF" w:rsidRPr="5F58EB95">
        <w:rPr>
          <w:rFonts w:eastAsiaTheme="minorEastAsia"/>
          <w:lang w:eastAsia="en-US"/>
        </w:rPr>
        <w:t xml:space="preserve">23 meters </w:t>
      </w:r>
      <w:r w:rsidR="008F62DF" w:rsidRPr="00EE43C6">
        <w:rPr>
          <w:lang w:eastAsia="en-US"/>
        </w:rPr>
        <w:t>southwest</w:t>
      </w:r>
      <w:r w:rsidR="00493836" w:rsidRPr="00EE43C6">
        <w:rPr>
          <w:lang w:eastAsia="en-US"/>
        </w:rPr>
        <w:t xml:space="preserve"> of the Project Area</w:t>
      </w:r>
      <w:r w:rsidR="00EF6A25" w:rsidRPr="00EE43C6">
        <w:rPr>
          <w:lang w:eastAsia="en-US"/>
        </w:rPr>
        <w:t xml:space="preserve"> (see</w:t>
      </w:r>
      <w:r w:rsidR="001E0229">
        <w:rPr>
          <w:lang w:eastAsia="en-US"/>
        </w:rPr>
        <w:t>.</w:t>
      </w:r>
      <w:r w:rsidR="00EF6A25" w:rsidRPr="00EE43C6">
        <w:rPr>
          <w:lang w:eastAsia="en-US"/>
        </w:rPr>
        <w:t xml:space="preserve"> also</w:t>
      </w:r>
      <w:r w:rsidR="00171604" w:rsidRPr="00EE43C6">
        <w:rPr>
          <w:lang w:eastAsia="en-US"/>
        </w:rPr>
        <w:t xml:space="preserve"> </w:t>
      </w:r>
      <w:r w:rsidR="00171604" w:rsidRPr="00EE43C6">
        <w:rPr>
          <w:lang w:eastAsia="en-US"/>
        </w:rPr>
        <w:fldChar w:fldCharType="begin"/>
      </w:r>
      <w:r w:rsidR="00171604" w:rsidRPr="00EE43C6">
        <w:rPr>
          <w:lang w:eastAsia="en-US"/>
        </w:rPr>
        <w:instrText xml:space="preserve"> REF _Ref125706849 \h  \* MERGEFORMAT </w:instrText>
      </w:r>
      <w:r w:rsidR="00171604" w:rsidRPr="00EE43C6">
        <w:rPr>
          <w:lang w:eastAsia="en-US"/>
        </w:rPr>
      </w:r>
      <w:r w:rsidR="00171604" w:rsidRPr="00EE43C6">
        <w:rPr>
          <w:lang w:eastAsia="en-US"/>
        </w:rPr>
        <w:fldChar w:fldCharType="separate"/>
      </w:r>
      <w:r w:rsidR="001E0229" w:rsidRPr="001E0229">
        <w:rPr>
          <w:lang w:eastAsia="en-US"/>
        </w:rPr>
        <w:t>Figure 2</w:t>
      </w:r>
      <w:r w:rsidR="001E0229" w:rsidRPr="001E0229">
        <w:rPr>
          <w:lang w:eastAsia="en-US"/>
        </w:rPr>
        <w:noBreakHyphen/>
        <w:t>4</w:t>
      </w:r>
      <w:r w:rsidR="00171604" w:rsidRPr="00EE43C6">
        <w:rPr>
          <w:lang w:eastAsia="en-US"/>
        </w:rPr>
        <w:fldChar w:fldCharType="end"/>
      </w:r>
      <w:r w:rsidR="00171604" w:rsidRPr="00EE43C6">
        <w:rPr>
          <w:lang w:eastAsia="en-US"/>
        </w:rPr>
        <w:t xml:space="preserve"> and</w:t>
      </w:r>
      <w:r w:rsidR="00EF6A25" w:rsidRPr="00EE43C6">
        <w:rPr>
          <w:lang w:eastAsia="en-US"/>
        </w:rPr>
        <w:t xml:space="preserve"> </w:t>
      </w:r>
      <w:r w:rsidR="00EF6A25" w:rsidRPr="00EE43C6">
        <w:rPr>
          <w:lang w:eastAsia="en-US"/>
        </w:rPr>
        <w:fldChar w:fldCharType="begin"/>
      </w:r>
      <w:r w:rsidR="00EF6A25" w:rsidRPr="00EE43C6">
        <w:rPr>
          <w:lang w:eastAsia="en-US"/>
        </w:rPr>
        <w:instrText xml:space="preserve"> REF _Ref124778818 \h </w:instrText>
      </w:r>
      <w:r w:rsidR="00715003" w:rsidRPr="00EE43C6">
        <w:rPr>
          <w:lang w:eastAsia="en-US"/>
        </w:rPr>
        <w:instrText xml:space="preserve"> \* MERGEFORMAT </w:instrText>
      </w:r>
      <w:r w:rsidR="00EF6A25" w:rsidRPr="00EE43C6">
        <w:rPr>
          <w:lang w:eastAsia="en-US"/>
        </w:rPr>
      </w:r>
      <w:r w:rsidR="00EF6A25" w:rsidRPr="00EE43C6">
        <w:rPr>
          <w:lang w:eastAsia="en-US"/>
        </w:rPr>
        <w:fldChar w:fldCharType="separate"/>
      </w:r>
      <w:r w:rsidR="001E0229" w:rsidRPr="001E0229">
        <w:rPr>
          <w:lang w:eastAsia="en-US"/>
        </w:rPr>
        <w:t>Figure 2</w:t>
      </w:r>
      <w:r w:rsidR="001E0229" w:rsidRPr="001E0229">
        <w:rPr>
          <w:lang w:eastAsia="en-US"/>
        </w:rPr>
        <w:noBreakHyphen/>
        <w:t>5</w:t>
      </w:r>
      <w:r w:rsidR="00EF6A25" w:rsidRPr="00EE43C6">
        <w:rPr>
          <w:lang w:eastAsia="en-US"/>
        </w:rPr>
        <w:fldChar w:fldCharType="end"/>
      </w:r>
      <w:r w:rsidR="00EF6A25" w:rsidRPr="00EE43C6">
        <w:rPr>
          <w:lang w:eastAsia="en-US"/>
        </w:rPr>
        <w:t>)</w:t>
      </w:r>
      <w:r w:rsidR="00A165FF" w:rsidRPr="00EE43C6">
        <w:rPr>
          <w:lang w:eastAsia="en-US"/>
        </w:rPr>
        <w:t>.</w:t>
      </w:r>
      <w:r w:rsidR="00FE09E6" w:rsidRPr="00EE43C6">
        <w:rPr>
          <w:lang w:eastAsia="en-US"/>
        </w:rPr>
        <w:t xml:space="preserve"> </w:t>
      </w:r>
      <w:r w:rsidR="00FA478D" w:rsidRPr="5F58EB95">
        <w:rPr>
          <w:rFonts w:eastAsiaTheme="minorEastAsia"/>
          <w:lang w:eastAsia="en-US"/>
        </w:rPr>
        <w:t xml:space="preserve">In this </w:t>
      </w:r>
      <w:r w:rsidR="00FA478D" w:rsidRPr="5F58EB95">
        <w:rPr>
          <w:rFonts w:eastAsiaTheme="minorEastAsia"/>
          <w:lang w:eastAsia="en-US"/>
        </w:rPr>
        <w:lastRenderedPageBreak/>
        <w:t xml:space="preserve">context, </w:t>
      </w:r>
      <w:r w:rsidR="00FE09E6" w:rsidRPr="00EE43C6">
        <w:rPr>
          <w:lang w:eastAsia="en-US"/>
        </w:rPr>
        <w:t xml:space="preserve">Project’s </w:t>
      </w:r>
      <w:r w:rsidR="0037183F" w:rsidRPr="00EE43C6">
        <w:rPr>
          <w:lang w:eastAsia="en-US"/>
        </w:rPr>
        <w:t>AoI</w:t>
      </w:r>
      <w:r w:rsidR="00FE09E6" w:rsidRPr="00EE43C6">
        <w:rPr>
          <w:lang w:eastAsia="en-US"/>
        </w:rPr>
        <w:t xml:space="preserve"> for the Assessment of the </w:t>
      </w:r>
      <w:r w:rsidR="5E98FB0A" w:rsidRPr="00EE43C6">
        <w:rPr>
          <w:lang w:eastAsia="en-US"/>
        </w:rPr>
        <w:t xml:space="preserve">Social and </w:t>
      </w:r>
      <w:r w:rsidR="2484F32D" w:rsidRPr="00EE43C6">
        <w:rPr>
          <w:lang w:eastAsia="en-US"/>
        </w:rPr>
        <w:t>Environmental</w:t>
      </w:r>
      <w:r w:rsidR="00FE09E6" w:rsidRPr="00EE43C6">
        <w:rPr>
          <w:lang w:eastAsia="en-US"/>
        </w:rPr>
        <w:t xml:space="preserve"> Impacts</w:t>
      </w:r>
      <w:r w:rsidR="00FA478D" w:rsidRPr="00EE43C6">
        <w:rPr>
          <w:lang w:eastAsia="en-US"/>
        </w:rPr>
        <w:t xml:space="preserve"> is </w:t>
      </w:r>
      <w:r w:rsidR="005F76E4" w:rsidRPr="00EE43C6">
        <w:rPr>
          <w:lang w:eastAsia="en-US"/>
        </w:rPr>
        <w:t xml:space="preserve">presented in </w:t>
      </w:r>
      <w:r w:rsidR="00704CB9" w:rsidRPr="00EE43C6">
        <w:rPr>
          <w:lang w:eastAsia="en-US"/>
        </w:rPr>
        <w:fldChar w:fldCharType="begin"/>
      </w:r>
      <w:r w:rsidR="00704CB9" w:rsidRPr="00EE43C6">
        <w:rPr>
          <w:lang w:eastAsia="en-US"/>
        </w:rPr>
        <w:instrText xml:space="preserve"> REF _Ref126243873 \h </w:instrText>
      </w:r>
      <w:r w:rsidR="00704CB9" w:rsidRPr="00EE43C6">
        <w:rPr>
          <w:lang w:eastAsia="en-US"/>
        </w:rPr>
      </w:r>
      <w:r w:rsidR="00704CB9" w:rsidRPr="00EE43C6">
        <w:rPr>
          <w:lang w:eastAsia="en-US"/>
        </w:rPr>
        <w:fldChar w:fldCharType="separate"/>
      </w:r>
      <w:r w:rsidR="00B625EB" w:rsidRPr="00EE43C6">
        <w:t>Figure 6</w:t>
      </w:r>
      <w:r w:rsidR="00B625EB" w:rsidRPr="00EE43C6">
        <w:noBreakHyphen/>
        <w:t>1</w:t>
      </w:r>
      <w:r w:rsidR="00704CB9" w:rsidRPr="00EE43C6">
        <w:rPr>
          <w:lang w:eastAsia="en-US"/>
        </w:rPr>
        <w:fldChar w:fldCharType="end"/>
      </w:r>
      <w:r w:rsidR="005F76E4" w:rsidRPr="00EE43C6">
        <w:rPr>
          <w:lang w:eastAsia="en-US"/>
        </w:rPr>
        <w:t>.</w:t>
      </w:r>
    </w:p>
    <w:p w14:paraId="316D5A8F" w14:textId="56A4DF59" w:rsidR="005F76E4" w:rsidRPr="00EE43C6" w:rsidRDefault="00212800" w:rsidP="00970873">
      <w:pPr>
        <w:spacing w:before="0" w:after="0"/>
        <w:jc w:val="center"/>
        <w:rPr>
          <w:rFonts w:eastAsiaTheme="minorHAnsi"/>
          <w:u w:val="single"/>
          <w:lang w:eastAsia="en-US"/>
        </w:rPr>
      </w:pPr>
      <w:r w:rsidRPr="00EE43C6">
        <w:rPr>
          <w:noProof/>
        </w:rPr>
        <w:drawing>
          <wp:inline distT="0" distB="0" distL="0" distR="0" wp14:anchorId="3E937967" wp14:editId="00A15BC2">
            <wp:extent cx="3905536" cy="5519422"/>
            <wp:effectExtent l="38100" t="38100" r="38100" b="43180"/>
            <wp:docPr id="54" name="Resim 54"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descr="harita içeren bir resim&#10;&#10;Açıklama otomatik olarak oluşturuldu"/>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921817" cy="5542431"/>
                    </a:xfrm>
                    <a:prstGeom prst="rect">
                      <a:avLst/>
                    </a:prstGeom>
                    <a:noFill/>
                    <a:ln w="38100">
                      <a:solidFill>
                        <a:sysClr val="windowText" lastClr="000000"/>
                      </a:solidFill>
                    </a:ln>
                  </pic:spPr>
                </pic:pic>
              </a:graphicData>
            </a:graphic>
          </wp:inline>
        </w:drawing>
      </w:r>
    </w:p>
    <w:p w14:paraId="42C5D86F" w14:textId="151F80EE" w:rsidR="00923EA3" w:rsidRPr="00EE43C6" w:rsidRDefault="00704CB9" w:rsidP="00591B1C">
      <w:pPr>
        <w:pStyle w:val="Caption"/>
        <w:spacing w:before="0"/>
        <w:rPr>
          <w:rFonts w:eastAsiaTheme="minorEastAsia"/>
          <w:b w:val="0"/>
          <w:color w:val="auto"/>
        </w:rPr>
      </w:pPr>
      <w:bookmarkStart w:id="447" w:name="_Ref136451611"/>
      <w:bookmarkStart w:id="448" w:name="_Ref126243873"/>
      <w:bookmarkStart w:id="449" w:name="_Toc141445576"/>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6</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1</w:t>
      </w:r>
      <w:r w:rsidR="0096150F">
        <w:rPr>
          <w:noProof w:val="0"/>
          <w:color w:val="00B050"/>
        </w:rPr>
        <w:fldChar w:fldCharType="end"/>
      </w:r>
      <w:bookmarkEnd w:id="447"/>
      <w:bookmarkEnd w:id="448"/>
      <w:r w:rsidRPr="00EE43C6">
        <w:rPr>
          <w:noProof w:val="0"/>
          <w:color w:val="00B050"/>
        </w:rPr>
        <w:t xml:space="preserve">. </w:t>
      </w:r>
      <w:r w:rsidR="00923EA3" w:rsidRPr="6D3072F8">
        <w:rPr>
          <w:rFonts w:eastAsiaTheme="minorEastAsia"/>
          <w:b w:val="0"/>
          <w:color w:val="auto"/>
        </w:rPr>
        <w:t xml:space="preserve">Project’s Area of Influence for the Assessment of the </w:t>
      </w:r>
      <w:r w:rsidR="18A63DE9" w:rsidRPr="6D3072F8">
        <w:rPr>
          <w:rFonts w:eastAsiaTheme="minorEastAsia"/>
          <w:b w:val="0"/>
          <w:bCs w:val="0"/>
          <w:noProof w:val="0"/>
          <w:color w:val="auto"/>
        </w:rPr>
        <w:t xml:space="preserve">Social and </w:t>
      </w:r>
      <w:r w:rsidR="00923EA3" w:rsidRPr="6D3072F8">
        <w:rPr>
          <w:rFonts w:eastAsiaTheme="minorEastAsia"/>
          <w:b w:val="0"/>
          <w:color w:val="auto"/>
        </w:rPr>
        <w:t>Environmental Impacts</w:t>
      </w:r>
      <w:bookmarkEnd w:id="449"/>
    </w:p>
    <w:p w14:paraId="4F2B1FBA" w14:textId="2127FE7D" w:rsidR="00BD28B6" w:rsidRPr="00EE43C6" w:rsidRDefault="00D1360C" w:rsidP="001E0229">
      <w:pPr>
        <w:rPr>
          <w:lang w:eastAsia="en-US"/>
        </w:rPr>
      </w:pPr>
      <w:r w:rsidRPr="00EE43C6">
        <w:rPr>
          <w:lang w:eastAsia="en-US"/>
        </w:rPr>
        <w:t xml:space="preserve">The Project will </w:t>
      </w:r>
      <w:r w:rsidR="00C706FB" w:rsidRPr="00EE43C6">
        <w:rPr>
          <w:lang w:eastAsia="en-US"/>
        </w:rPr>
        <w:t xml:space="preserve">have </w:t>
      </w:r>
      <w:r w:rsidRPr="00EE43C6">
        <w:rPr>
          <w:lang w:eastAsia="en-US"/>
        </w:rPr>
        <w:t xml:space="preserve">impact </w:t>
      </w:r>
      <w:r w:rsidR="008D2AC0" w:rsidRPr="00EE43C6">
        <w:rPr>
          <w:lang w:eastAsia="en-US"/>
        </w:rPr>
        <w:t>on</w:t>
      </w:r>
      <w:r w:rsidRPr="00EE43C6">
        <w:rPr>
          <w:lang w:eastAsia="en-US"/>
        </w:rPr>
        <w:t xml:space="preserve"> its surroundings during </w:t>
      </w:r>
      <w:r w:rsidRPr="00EE43C6">
        <w:rPr>
          <w:b/>
          <w:lang w:eastAsia="en-US"/>
        </w:rPr>
        <w:t xml:space="preserve">construction phase </w:t>
      </w:r>
      <w:r w:rsidRPr="00EE43C6">
        <w:rPr>
          <w:i/>
          <w:lang w:eastAsia="en-US"/>
        </w:rPr>
        <w:t>physically</w:t>
      </w:r>
      <w:r w:rsidRPr="00EE43C6">
        <w:rPr>
          <w:lang w:eastAsia="en-US"/>
        </w:rPr>
        <w:t xml:space="preserve"> due to noise generation, increased dust emission, management of excavated soil, and emissions from the construction machinery. </w:t>
      </w:r>
      <w:r w:rsidR="00EF4ED2" w:rsidRPr="00EE43C6">
        <w:rPr>
          <w:lang w:eastAsia="en-US"/>
        </w:rPr>
        <w:t xml:space="preserve">In addition, potential risks of </w:t>
      </w:r>
      <w:r w:rsidR="00C23B87" w:rsidRPr="00EE43C6">
        <w:rPr>
          <w:lang w:eastAsia="en-US"/>
        </w:rPr>
        <w:t>labour</w:t>
      </w:r>
      <w:r w:rsidR="00EF4ED2" w:rsidRPr="00EE43C6">
        <w:rPr>
          <w:lang w:eastAsia="en-US"/>
        </w:rPr>
        <w:t xml:space="preserve"> influx may also pose for </w:t>
      </w:r>
      <w:r w:rsidR="00B8100C" w:rsidRPr="00EE43C6">
        <w:rPr>
          <w:lang w:eastAsia="en-US"/>
        </w:rPr>
        <w:t>nearby</w:t>
      </w:r>
      <w:r w:rsidR="00EF4ED2" w:rsidRPr="00EE43C6">
        <w:rPr>
          <w:lang w:eastAsia="en-US"/>
        </w:rPr>
        <w:t xml:space="preserve"> communities. </w:t>
      </w:r>
      <w:r w:rsidR="003A758C" w:rsidRPr="00EE43C6">
        <w:rPr>
          <w:lang w:eastAsia="en-US"/>
        </w:rPr>
        <w:t>Thus</w:t>
      </w:r>
      <w:r w:rsidR="003C32B8" w:rsidRPr="00EE43C6">
        <w:rPr>
          <w:lang w:eastAsia="en-US"/>
        </w:rPr>
        <w:t>,</w:t>
      </w:r>
      <w:r w:rsidR="00FF7E3B" w:rsidRPr="00EE43C6">
        <w:rPr>
          <w:lang w:eastAsia="en-US"/>
        </w:rPr>
        <w:t xml:space="preserve"> AoI of the Project </w:t>
      </w:r>
      <w:r w:rsidR="00A1757B" w:rsidRPr="00EE43C6">
        <w:rPr>
          <w:lang w:eastAsia="en-US"/>
        </w:rPr>
        <w:t>has been selected with a radius of 2 km</w:t>
      </w:r>
      <w:r w:rsidR="00DA3F9F" w:rsidRPr="00EE43C6">
        <w:rPr>
          <w:lang w:eastAsia="en-US"/>
        </w:rPr>
        <w:t xml:space="preserve"> by</w:t>
      </w:r>
      <w:r w:rsidR="00A1757B" w:rsidRPr="00EE43C6">
        <w:rPr>
          <w:lang w:eastAsia="en-US"/>
        </w:rPr>
        <w:t xml:space="preserve"> taking the Project Area at the center, </w:t>
      </w:r>
      <w:r w:rsidR="00987349" w:rsidRPr="00EE43C6">
        <w:rPr>
          <w:lang w:eastAsia="en-US"/>
        </w:rPr>
        <w:t xml:space="preserve">including </w:t>
      </w:r>
      <w:r w:rsidR="00CA6CD6" w:rsidRPr="00EE43C6">
        <w:rPr>
          <w:lang w:eastAsia="en-US"/>
        </w:rPr>
        <w:t>the closest settlements to the</w:t>
      </w:r>
      <w:r w:rsidR="00F92A20" w:rsidRPr="00EE43C6">
        <w:rPr>
          <w:lang w:eastAsia="en-US"/>
        </w:rPr>
        <w:t xml:space="preserve"> P</w:t>
      </w:r>
      <w:r w:rsidR="00CA6CD6" w:rsidRPr="00EE43C6">
        <w:rPr>
          <w:lang w:eastAsia="en-US"/>
        </w:rPr>
        <w:t xml:space="preserve">roject </w:t>
      </w:r>
      <w:r w:rsidR="00F92A20" w:rsidRPr="00EE43C6">
        <w:rPr>
          <w:lang w:eastAsia="en-US"/>
        </w:rPr>
        <w:t>A</w:t>
      </w:r>
      <w:r w:rsidR="00CA6CD6" w:rsidRPr="00EE43C6">
        <w:rPr>
          <w:lang w:eastAsia="en-US"/>
        </w:rPr>
        <w:t xml:space="preserve">rea, Evcisuyu </w:t>
      </w:r>
      <w:r w:rsidR="00F92A20" w:rsidRPr="00EE43C6">
        <w:rPr>
          <w:lang w:eastAsia="en-US"/>
        </w:rPr>
        <w:t xml:space="preserve">Stream </w:t>
      </w:r>
      <w:r w:rsidR="00CA6CD6" w:rsidRPr="00EE43C6">
        <w:rPr>
          <w:lang w:eastAsia="en-US"/>
        </w:rPr>
        <w:t>from the WWTP discharge point</w:t>
      </w:r>
      <w:r w:rsidR="00A1757B" w:rsidRPr="00EE43C6">
        <w:rPr>
          <w:lang w:eastAsia="en-US"/>
        </w:rPr>
        <w:t>.</w:t>
      </w:r>
    </w:p>
    <w:p w14:paraId="710CFBDF" w14:textId="50FA7094" w:rsidR="00C355BD" w:rsidRPr="00EE43C6" w:rsidRDefault="00C355BD" w:rsidP="00FE724B">
      <w:pPr>
        <w:rPr>
          <w:lang w:eastAsia="en-US"/>
        </w:rPr>
      </w:pPr>
      <w:r w:rsidRPr="00EE43C6">
        <w:rPr>
          <w:lang w:eastAsia="en-US"/>
        </w:rPr>
        <w:t xml:space="preserve">The main </w:t>
      </w:r>
      <w:r w:rsidRPr="00EE43C6">
        <w:rPr>
          <w:i/>
          <w:lang w:eastAsia="en-US"/>
        </w:rPr>
        <w:t>physical</w:t>
      </w:r>
      <w:r w:rsidRPr="00EE43C6">
        <w:rPr>
          <w:lang w:eastAsia="en-US"/>
        </w:rPr>
        <w:t xml:space="preserve"> impacts of the </w:t>
      </w:r>
      <w:r w:rsidRPr="00EE43C6">
        <w:rPr>
          <w:b/>
          <w:lang w:eastAsia="en-US"/>
        </w:rPr>
        <w:t>operation phase</w:t>
      </w:r>
      <w:r w:rsidRPr="00EE43C6">
        <w:rPr>
          <w:lang w:eastAsia="en-US"/>
        </w:rPr>
        <w:t xml:space="preserve"> for </w:t>
      </w:r>
      <w:r w:rsidR="00E7508D" w:rsidRPr="00EE43C6">
        <w:rPr>
          <w:lang w:eastAsia="en-US"/>
        </w:rPr>
        <w:t xml:space="preserve">to be established </w:t>
      </w:r>
      <w:r w:rsidRPr="00EE43C6">
        <w:rPr>
          <w:lang w:eastAsia="en-US"/>
        </w:rPr>
        <w:t>WWTP</w:t>
      </w:r>
      <w:r w:rsidR="0098101F" w:rsidRPr="00EE43C6">
        <w:rPr>
          <w:lang w:eastAsia="en-US"/>
        </w:rPr>
        <w:t xml:space="preserve">, </w:t>
      </w:r>
      <w:r w:rsidR="003B5E99" w:rsidRPr="00EE43C6">
        <w:rPr>
          <w:lang w:eastAsia="en-US"/>
        </w:rPr>
        <w:t>facilities</w:t>
      </w:r>
      <w:r w:rsidR="005729DD" w:rsidRPr="00EE43C6">
        <w:rPr>
          <w:lang w:eastAsia="en-US"/>
        </w:rPr>
        <w:t xml:space="preserve">, </w:t>
      </w:r>
      <w:r w:rsidR="003B5E99" w:rsidRPr="00EE43C6">
        <w:rPr>
          <w:lang w:eastAsia="en-US"/>
        </w:rPr>
        <w:t>other buildings</w:t>
      </w:r>
      <w:r w:rsidRPr="00EE43C6">
        <w:rPr>
          <w:lang w:eastAsia="en-US"/>
        </w:rPr>
        <w:t xml:space="preserve"> </w:t>
      </w:r>
      <w:r w:rsidR="00E7508D" w:rsidRPr="00EE43C6">
        <w:rPr>
          <w:lang w:eastAsia="en-US"/>
        </w:rPr>
        <w:t>in the OIZ</w:t>
      </w:r>
      <w:r w:rsidR="00453056" w:rsidRPr="00EE43C6">
        <w:rPr>
          <w:lang w:eastAsia="en-US"/>
        </w:rPr>
        <w:t xml:space="preserve"> and natural gaseous line</w:t>
      </w:r>
      <w:r w:rsidR="00E7508D" w:rsidRPr="00EE43C6">
        <w:rPr>
          <w:lang w:eastAsia="en-US"/>
        </w:rPr>
        <w:t xml:space="preserve"> </w:t>
      </w:r>
      <w:r w:rsidRPr="00EE43C6">
        <w:rPr>
          <w:lang w:eastAsia="en-US"/>
        </w:rPr>
        <w:t xml:space="preserve">as associated </w:t>
      </w:r>
      <w:r w:rsidR="00945811" w:rsidRPr="00EE43C6">
        <w:rPr>
          <w:lang w:eastAsia="en-US"/>
        </w:rPr>
        <w:t>facilities</w:t>
      </w:r>
      <w:r w:rsidR="00BC5C13" w:rsidRPr="00EE43C6">
        <w:rPr>
          <w:lang w:eastAsia="en-US"/>
        </w:rPr>
        <w:t xml:space="preserve"> </w:t>
      </w:r>
      <w:r w:rsidRPr="00EE43C6">
        <w:rPr>
          <w:lang w:eastAsia="en-US"/>
        </w:rPr>
        <w:t xml:space="preserve">are wastewater discharge, sludge generation and disposal, greenhouse gas and </w:t>
      </w:r>
      <w:r w:rsidR="00C23B87" w:rsidRPr="00EE43C6">
        <w:rPr>
          <w:lang w:eastAsia="en-US"/>
        </w:rPr>
        <w:t>odour</w:t>
      </w:r>
      <w:r w:rsidRPr="00EE43C6">
        <w:rPr>
          <w:lang w:eastAsia="en-US"/>
        </w:rPr>
        <w:t xml:space="preserve"> emissions from </w:t>
      </w:r>
      <w:r w:rsidR="00C230E4" w:rsidRPr="00EE43C6">
        <w:rPr>
          <w:lang w:eastAsia="en-US"/>
        </w:rPr>
        <w:t xml:space="preserve">facility and </w:t>
      </w:r>
      <w:r w:rsidRPr="00EE43C6">
        <w:rPr>
          <w:lang w:eastAsia="en-US"/>
        </w:rPr>
        <w:t>WWTP units directly, and increased water requirement</w:t>
      </w:r>
      <w:r w:rsidR="009C7F00" w:rsidRPr="00EE43C6">
        <w:rPr>
          <w:lang w:eastAsia="en-US"/>
        </w:rPr>
        <w:t xml:space="preserve"> for </w:t>
      </w:r>
      <w:r w:rsidR="00911DBC" w:rsidRPr="00EE43C6">
        <w:rPr>
          <w:lang w:eastAsia="en-US"/>
        </w:rPr>
        <w:t>all units</w:t>
      </w:r>
      <w:r w:rsidR="009C7F00" w:rsidRPr="00EE43C6">
        <w:rPr>
          <w:lang w:eastAsia="en-US"/>
        </w:rPr>
        <w:t xml:space="preserve"> to be operated in the OIZ</w:t>
      </w:r>
      <w:r w:rsidRPr="00EE43C6">
        <w:rPr>
          <w:lang w:eastAsia="en-US"/>
        </w:rPr>
        <w:t>.</w:t>
      </w:r>
      <w:r w:rsidR="002E6B50" w:rsidRPr="00EE43C6">
        <w:rPr>
          <w:lang w:eastAsia="en-US"/>
        </w:rPr>
        <w:t xml:space="preserve"> Socially, employment opportunities will be provided for nearby communities.</w:t>
      </w:r>
    </w:p>
    <w:p w14:paraId="582847B8" w14:textId="135F5B5A" w:rsidR="009F5426" w:rsidRPr="00EE43C6" w:rsidRDefault="009F5426" w:rsidP="00854BE8">
      <w:pPr>
        <w:pStyle w:val="ListParagraph"/>
        <w:numPr>
          <w:ilvl w:val="0"/>
          <w:numId w:val="33"/>
        </w:numPr>
        <w:spacing w:before="120"/>
        <w:ind w:left="714" w:hanging="357"/>
        <w:contextualSpacing w:val="0"/>
        <w:rPr>
          <w:noProof w:val="0"/>
        </w:rPr>
      </w:pPr>
      <w:r w:rsidRPr="00EE43C6">
        <w:rPr>
          <w:noProof w:val="0"/>
        </w:rPr>
        <w:lastRenderedPageBreak/>
        <w:t xml:space="preserve">Wastewater discharge’s </w:t>
      </w:r>
      <w:r w:rsidR="006F256D" w:rsidRPr="00EE43C6">
        <w:rPr>
          <w:noProof w:val="0"/>
        </w:rPr>
        <w:t>AoI</w:t>
      </w:r>
      <w:r w:rsidRPr="00EE43C6">
        <w:rPr>
          <w:noProof w:val="0"/>
        </w:rPr>
        <w:t xml:space="preserve"> is a section of the Evcisuyu Stream starting from the discharge point and it will be dependent on its quality and quantity, physical-chemical properties of the Evcisuyu Stream water and flowrate, and the region’s meteorological characteristics.</w:t>
      </w:r>
    </w:p>
    <w:p w14:paraId="1C544805" w14:textId="37718EB8" w:rsidR="009F5426" w:rsidRPr="00EE43C6" w:rsidRDefault="009F5426" w:rsidP="0BFC2E28">
      <w:pPr>
        <w:pStyle w:val="ListParagraph"/>
        <w:numPr>
          <w:ilvl w:val="0"/>
          <w:numId w:val="33"/>
        </w:numPr>
        <w:spacing w:before="120"/>
        <w:ind w:left="714" w:hanging="357"/>
        <w:rPr>
          <w:noProof w:val="0"/>
        </w:rPr>
      </w:pPr>
      <w:r w:rsidRPr="00EE43C6">
        <w:rPr>
          <w:noProof w:val="0"/>
        </w:rPr>
        <w:t xml:space="preserve">By the use of good </w:t>
      </w:r>
      <w:r w:rsidR="0F6C36CD">
        <w:rPr>
          <w:noProof w:val="0"/>
        </w:rPr>
        <w:t>p</w:t>
      </w:r>
      <w:r w:rsidR="22C4C672">
        <w:rPr>
          <w:noProof w:val="0"/>
        </w:rPr>
        <w:t>roject</w:t>
      </w:r>
      <w:r w:rsidRPr="00EE43C6">
        <w:rPr>
          <w:noProof w:val="0"/>
        </w:rPr>
        <w:t xml:space="preserve"> management practices and application of the sludge treatment and disposal options </w:t>
      </w:r>
      <w:r w:rsidR="00C23B87" w:rsidRPr="00EE43C6">
        <w:rPr>
          <w:noProof w:val="0"/>
        </w:rPr>
        <w:t>assessed</w:t>
      </w:r>
      <w:r w:rsidRPr="00EE43C6">
        <w:rPr>
          <w:noProof w:val="0"/>
        </w:rPr>
        <w:t xml:space="preserve"> in the related feasibility report </w:t>
      </w:r>
      <w:r w:rsidR="000A273A" w:rsidRPr="00EE43C6">
        <w:rPr>
          <w:noProof w:val="0"/>
        </w:rPr>
        <w:t xml:space="preserve">to be prepared, </w:t>
      </w:r>
      <w:r w:rsidRPr="00EE43C6">
        <w:rPr>
          <w:noProof w:val="0"/>
        </w:rPr>
        <w:t xml:space="preserve">the impact of the sludge generation and disposal is considered to be local and minimal, </w:t>
      </w:r>
      <w:r w:rsidR="003E30BA">
        <w:rPr>
          <w:noProof w:val="0"/>
        </w:rPr>
        <w:t xml:space="preserve">provided </w:t>
      </w:r>
      <w:r w:rsidR="003E30BA" w:rsidRPr="00EE43C6">
        <w:rPr>
          <w:noProof w:val="0"/>
        </w:rPr>
        <w:t>that</w:t>
      </w:r>
      <w:r w:rsidRPr="00EE43C6">
        <w:rPr>
          <w:noProof w:val="0"/>
        </w:rPr>
        <w:t xml:space="preserve"> necessary measures are taken. </w:t>
      </w:r>
      <w:r w:rsidR="003E30BA" w:rsidRPr="00EE43C6">
        <w:rPr>
          <w:noProof w:val="0"/>
        </w:rPr>
        <w:t>With good</w:t>
      </w:r>
      <w:r w:rsidRPr="00EE43C6">
        <w:rPr>
          <w:noProof w:val="0"/>
        </w:rPr>
        <w:t xml:space="preserve"> management practices and appropriate mitigation measures any major residual impact of the sludges is not expected.</w:t>
      </w:r>
    </w:p>
    <w:p w14:paraId="685BAA0D" w14:textId="32BDCDC9" w:rsidR="009F5426" w:rsidRPr="00EE43C6" w:rsidRDefault="009F5426" w:rsidP="00854BE8">
      <w:pPr>
        <w:pStyle w:val="ListParagraph"/>
        <w:numPr>
          <w:ilvl w:val="0"/>
          <w:numId w:val="33"/>
        </w:numPr>
        <w:spacing w:before="120"/>
        <w:ind w:left="714" w:hanging="357"/>
        <w:contextualSpacing w:val="0"/>
        <w:rPr>
          <w:noProof w:val="0"/>
        </w:rPr>
      </w:pPr>
      <w:r w:rsidRPr="00EE43C6">
        <w:rPr>
          <w:noProof w:val="0"/>
        </w:rPr>
        <w:t xml:space="preserve">For greenhouse gas emissions and </w:t>
      </w:r>
      <w:r w:rsidR="00C23B87" w:rsidRPr="00EE43C6">
        <w:rPr>
          <w:noProof w:val="0"/>
        </w:rPr>
        <w:t>odour</w:t>
      </w:r>
      <w:r w:rsidRPr="00EE43C6">
        <w:rPr>
          <w:noProof w:val="0"/>
        </w:rPr>
        <w:t xml:space="preserve">, </w:t>
      </w:r>
      <w:r w:rsidR="00383FEB" w:rsidRPr="00EE43C6">
        <w:rPr>
          <w:noProof w:val="0"/>
        </w:rPr>
        <w:t xml:space="preserve">considering </w:t>
      </w:r>
      <w:r w:rsidRPr="00EE43C6">
        <w:rPr>
          <w:noProof w:val="0"/>
        </w:rPr>
        <w:t xml:space="preserve">all of the surface areas of the </w:t>
      </w:r>
      <w:r w:rsidR="00763297" w:rsidRPr="00EE43C6">
        <w:rPr>
          <w:noProof w:val="0"/>
        </w:rPr>
        <w:t>OIZ</w:t>
      </w:r>
      <w:r w:rsidRPr="00EE43C6">
        <w:rPr>
          <w:noProof w:val="0"/>
        </w:rPr>
        <w:t xml:space="preserve"> units in total</w:t>
      </w:r>
      <w:r w:rsidR="00383FEB" w:rsidRPr="00EE43C6">
        <w:rPr>
          <w:noProof w:val="0"/>
        </w:rPr>
        <w:t xml:space="preserve">, </w:t>
      </w:r>
      <w:r w:rsidRPr="00EE43C6">
        <w:rPr>
          <w:noProof w:val="0"/>
        </w:rPr>
        <w:t xml:space="preserve">the AoI regarding emissions to the air and </w:t>
      </w:r>
      <w:r w:rsidR="00C23B87" w:rsidRPr="00EE43C6">
        <w:rPr>
          <w:noProof w:val="0"/>
        </w:rPr>
        <w:t>odour</w:t>
      </w:r>
      <w:r w:rsidRPr="00EE43C6">
        <w:rPr>
          <w:noProof w:val="0"/>
        </w:rPr>
        <w:t xml:space="preserve"> is expected to be limited to the Project Area. Furthermore, impacts due to GHGs can only be evaluated in a cumulative way and the AoI of such an impact (change in GHG concentration in the atmosphere) can only be evaluated in a global context.</w:t>
      </w:r>
    </w:p>
    <w:p w14:paraId="15F4D3C0" w14:textId="77777777" w:rsidR="004339AC" w:rsidRPr="00EE43C6" w:rsidRDefault="004339AC" w:rsidP="00B625EB">
      <w:pPr>
        <w:pStyle w:val="Heading2"/>
        <w:ind w:hanging="718"/>
        <w:rPr>
          <w:lang w:val="en-GB"/>
        </w:rPr>
      </w:pPr>
      <w:bookmarkStart w:id="450" w:name="_Toc80633555"/>
      <w:bookmarkStart w:id="451" w:name="_Toc67676580"/>
      <w:bookmarkStart w:id="452" w:name="_Toc120016942"/>
      <w:bookmarkStart w:id="453" w:name="_Toc120004720"/>
      <w:bookmarkStart w:id="454" w:name="_Toc141445431"/>
      <w:r w:rsidRPr="00EE43C6">
        <w:rPr>
          <w:lang w:val="en-GB"/>
        </w:rPr>
        <w:t>Air Quality</w:t>
      </w:r>
      <w:bookmarkEnd w:id="450"/>
      <w:bookmarkEnd w:id="451"/>
      <w:bookmarkEnd w:id="452"/>
      <w:bookmarkEnd w:id="453"/>
      <w:bookmarkEnd w:id="454"/>
    </w:p>
    <w:p w14:paraId="09C43244" w14:textId="45420109" w:rsidR="004339AC" w:rsidRPr="00EE43C6" w:rsidRDefault="004339AC" w:rsidP="004339AC">
      <w:pPr>
        <w:pStyle w:val="Heading3"/>
        <w:spacing w:after="240"/>
        <w:rPr>
          <w:rFonts w:eastAsia="Arial TUR"/>
          <w:noProof w:val="0"/>
        </w:rPr>
      </w:pPr>
      <w:bookmarkStart w:id="455" w:name="_Toc80633556"/>
      <w:bookmarkStart w:id="456" w:name="_Toc67676581"/>
      <w:bookmarkStart w:id="457" w:name="_Ref119990214"/>
      <w:bookmarkStart w:id="458" w:name="_Toc120016943"/>
      <w:bookmarkStart w:id="459" w:name="_Toc120004721"/>
      <w:bookmarkStart w:id="460" w:name="_Ref126071803"/>
      <w:bookmarkStart w:id="461" w:name="_Toc141445432"/>
      <w:r w:rsidRPr="00EE43C6">
        <w:rPr>
          <w:rFonts w:eastAsia="Arial TUR"/>
          <w:noProof w:val="0"/>
        </w:rPr>
        <w:t>Construction Phase</w:t>
      </w:r>
      <w:bookmarkEnd w:id="455"/>
      <w:bookmarkEnd w:id="456"/>
      <w:bookmarkEnd w:id="457"/>
      <w:bookmarkEnd w:id="458"/>
      <w:bookmarkEnd w:id="459"/>
      <w:bookmarkEnd w:id="460"/>
      <w:bookmarkEnd w:id="461"/>
    </w:p>
    <w:p w14:paraId="0612C1EE" w14:textId="0493A70C" w:rsidR="00AF4923" w:rsidRPr="00EE43C6" w:rsidRDefault="005B419E" w:rsidP="00B625EB">
      <w:pPr>
        <w:rPr>
          <w:rFonts w:cs="Wingdings"/>
        </w:rPr>
      </w:pPr>
      <w:r w:rsidRPr="4CAAF9AE">
        <w:rPr>
          <w:rFonts w:cs="Wingdings"/>
        </w:rPr>
        <w:t xml:space="preserve">Within the scope of the </w:t>
      </w:r>
      <w:r w:rsidR="00A53D8E" w:rsidRPr="4CAAF9AE">
        <w:rPr>
          <w:rFonts w:cs="Wingdings"/>
        </w:rPr>
        <w:t>construction phase, e</w:t>
      </w:r>
      <w:r w:rsidR="00C04F1D" w:rsidRPr="4CAAF9AE">
        <w:rPr>
          <w:rFonts w:cs="Wingdings"/>
        </w:rPr>
        <w:t xml:space="preserve">xcavation operations </w:t>
      </w:r>
      <w:r w:rsidR="00A53D8E" w:rsidRPr="4CAAF9AE">
        <w:rPr>
          <w:rFonts w:cs="Wingdings"/>
        </w:rPr>
        <w:t xml:space="preserve">of the Project </w:t>
      </w:r>
      <w:r w:rsidR="00C04F1D" w:rsidRPr="4CAAF9AE">
        <w:rPr>
          <w:rFonts w:cs="Wingdings"/>
        </w:rPr>
        <w:t xml:space="preserve">have been started in the </w:t>
      </w:r>
      <w:r w:rsidR="00BC3AC0" w:rsidRPr="4CAAF9AE">
        <w:rPr>
          <w:rFonts w:cs="Wingdings"/>
        </w:rPr>
        <w:t>Project Area</w:t>
      </w:r>
      <w:r w:rsidR="00C04F1D" w:rsidRPr="4CAAF9AE">
        <w:rPr>
          <w:rFonts w:cs="Wingdings"/>
        </w:rPr>
        <w:t xml:space="preserve">. </w:t>
      </w:r>
      <w:r w:rsidR="00A53D8E" w:rsidRPr="4CAAF9AE">
        <w:rPr>
          <w:rFonts w:cs="Wingdings"/>
        </w:rPr>
        <w:t>In this context, g</w:t>
      </w:r>
      <w:r w:rsidR="00180831" w:rsidRPr="4CAAF9AE">
        <w:rPr>
          <w:rFonts w:cs="Wingdings"/>
        </w:rPr>
        <w:t>round</w:t>
      </w:r>
      <w:r w:rsidR="00C04F1D" w:rsidRPr="4CAAF9AE">
        <w:rPr>
          <w:rFonts w:cs="Wingdings"/>
        </w:rPr>
        <w:t xml:space="preserve"> </w:t>
      </w:r>
      <w:r w:rsidR="00BC3AC0" w:rsidRPr="4CAAF9AE">
        <w:rPr>
          <w:rFonts w:cs="Wingdings"/>
        </w:rPr>
        <w:t>levelling</w:t>
      </w:r>
      <w:r w:rsidR="00C04F1D" w:rsidRPr="4CAAF9AE">
        <w:rPr>
          <w:rFonts w:cs="Wingdings"/>
        </w:rPr>
        <w:t xml:space="preserve"> in the </w:t>
      </w:r>
      <w:r w:rsidR="00BC3AC0" w:rsidRPr="4CAAF9AE">
        <w:rPr>
          <w:rFonts w:cs="Wingdings"/>
        </w:rPr>
        <w:t>concerned</w:t>
      </w:r>
      <w:r w:rsidR="00C04F1D" w:rsidRPr="4CAAF9AE">
        <w:rPr>
          <w:rFonts w:cs="Wingdings"/>
        </w:rPr>
        <w:t xml:space="preserve"> area has been </w:t>
      </w:r>
      <w:r w:rsidR="00AC3CA9" w:rsidRPr="4CAAF9AE">
        <w:rPr>
          <w:rFonts w:cs="Wingdings"/>
        </w:rPr>
        <w:t xml:space="preserve">almost </w:t>
      </w:r>
      <w:r w:rsidR="00C04F1D" w:rsidRPr="4CAAF9AE">
        <w:rPr>
          <w:rFonts w:cs="Wingdings"/>
        </w:rPr>
        <w:t>completed</w:t>
      </w:r>
      <w:r w:rsidR="003D0CD2" w:rsidRPr="4CAAF9AE">
        <w:rPr>
          <w:rFonts w:cs="Wingdings"/>
        </w:rPr>
        <w:t xml:space="preserve"> and e</w:t>
      </w:r>
      <w:r w:rsidR="00C04F1D" w:rsidRPr="4CAAF9AE">
        <w:rPr>
          <w:rFonts w:cs="Wingdings"/>
        </w:rPr>
        <w:t>xcavation</w:t>
      </w:r>
      <w:r w:rsidR="00BC3AC0" w:rsidRPr="4CAAF9AE">
        <w:rPr>
          <w:rFonts w:cs="Wingdings"/>
        </w:rPr>
        <w:t xml:space="preserve"> work</w:t>
      </w:r>
      <w:r w:rsidR="00C04F1D" w:rsidRPr="4CAAF9AE">
        <w:rPr>
          <w:rFonts w:cs="Wingdings"/>
        </w:rPr>
        <w:t xml:space="preserve">s for </w:t>
      </w:r>
      <w:r w:rsidR="00694979" w:rsidRPr="4CAAF9AE">
        <w:rPr>
          <w:rFonts w:cs="Wingdings"/>
        </w:rPr>
        <w:t xml:space="preserve">basic </w:t>
      </w:r>
      <w:r w:rsidR="00C04F1D" w:rsidRPr="4CAAF9AE">
        <w:rPr>
          <w:rFonts w:cs="Wingdings"/>
        </w:rPr>
        <w:t>infrastructure activities</w:t>
      </w:r>
      <w:r w:rsidR="003D0CD2" w:rsidRPr="4CAAF9AE">
        <w:rPr>
          <w:rFonts w:cs="Wingdings"/>
        </w:rPr>
        <w:t xml:space="preserve"> </w:t>
      </w:r>
      <w:r w:rsidR="00C04F1D" w:rsidRPr="4CAAF9AE">
        <w:rPr>
          <w:rFonts w:cs="Wingdings"/>
        </w:rPr>
        <w:t>will be carried out.</w:t>
      </w:r>
    </w:p>
    <w:p w14:paraId="4A811A08" w14:textId="6598D9C3" w:rsidR="00694979" w:rsidRPr="00EE43C6" w:rsidRDefault="007D2018" w:rsidP="00B625EB">
      <w:pPr>
        <w:rPr>
          <w:rFonts w:cs="Wingdings"/>
          <w:szCs w:val="18"/>
        </w:rPr>
      </w:pPr>
      <w:r w:rsidRPr="00EE43C6">
        <w:rPr>
          <w:rFonts w:cs="Wingdings"/>
          <w:szCs w:val="18"/>
        </w:rPr>
        <w:t xml:space="preserve">In emission calculations, </w:t>
      </w:r>
      <w:r w:rsidR="005A1DA7" w:rsidRPr="00EE43C6">
        <w:rPr>
          <w:rFonts w:cs="Wingdings"/>
          <w:szCs w:val="18"/>
        </w:rPr>
        <w:t xml:space="preserve">considering the cumulative </w:t>
      </w:r>
      <w:r w:rsidR="00E95437" w:rsidRPr="00EE43C6">
        <w:rPr>
          <w:rFonts w:cs="Wingdings"/>
          <w:szCs w:val="18"/>
        </w:rPr>
        <w:t>environmental impacts</w:t>
      </w:r>
      <w:r w:rsidR="005A1DA7" w:rsidRPr="00EE43C6">
        <w:rPr>
          <w:rFonts w:cs="Wingdings"/>
          <w:szCs w:val="18"/>
        </w:rPr>
        <w:t xml:space="preserve">, </w:t>
      </w:r>
      <w:r w:rsidR="00E95437" w:rsidRPr="00EE43C6">
        <w:rPr>
          <w:rFonts w:cs="Wingdings"/>
          <w:szCs w:val="18"/>
        </w:rPr>
        <w:t>P</w:t>
      </w:r>
      <w:r w:rsidR="005A1DA7" w:rsidRPr="00EE43C6">
        <w:rPr>
          <w:rFonts w:cs="Wingdings"/>
          <w:szCs w:val="18"/>
        </w:rPr>
        <w:t>hase</w:t>
      </w:r>
      <w:r w:rsidRPr="00EE43C6">
        <w:rPr>
          <w:rFonts w:cs="Wingdings"/>
          <w:szCs w:val="18"/>
        </w:rPr>
        <w:t xml:space="preserve"> 2 of the </w:t>
      </w:r>
      <w:r w:rsidR="00E95437" w:rsidRPr="00EE43C6">
        <w:rPr>
          <w:rFonts w:cs="Wingdings"/>
          <w:szCs w:val="18"/>
        </w:rPr>
        <w:t>P</w:t>
      </w:r>
      <w:r w:rsidR="005A1DA7" w:rsidRPr="00EE43C6">
        <w:rPr>
          <w:rFonts w:cs="Wingdings"/>
          <w:szCs w:val="18"/>
        </w:rPr>
        <w:t>roject</w:t>
      </w:r>
      <w:r w:rsidRPr="00EE43C6">
        <w:rPr>
          <w:rFonts w:cs="Wingdings"/>
          <w:szCs w:val="18"/>
        </w:rPr>
        <w:t xml:space="preserve"> and </w:t>
      </w:r>
      <w:r w:rsidR="005A1DA7" w:rsidRPr="00EE43C6">
        <w:rPr>
          <w:rFonts w:cs="Wingdings"/>
          <w:szCs w:val="18"/>
        </w:rPr>
        <w:t xml:space="preserve">adjacent </w:t>
      </w:r>
      <w:r w:rsidRPr="00EE43C6">
        <w:rPr>
          <w:rFonts w:cs="Wingdings"/>
          <w:szCs w:val="18"/>
        </w:rPr>
        <w:t xml:space="preserve">quarries to the </w:t>
      </w:r>
      <w:r w:rsidR="00E95437" w:rsidRPr="00EE43C6">
        <w:rPr>
          <w:rFonts w:cs="Wingdings"/>
          <w:szCs w:val="18"/>
        </w:rPr>
        <w:t>P</w:t>
      </w:r>
      <w:r w:rsidR="005A1DA7" w:rsidRPr="00EE43C6">
        <w:rPr>
          <w:rFonts w:cs="Wingdings"/>
          <w:szCs w:val="18"/>
        </w:rPr>
        <w:t xml:space="preserve">roject </w:t>
      </w:r>
      <w:r w:rsidR="00E95437" w:rsidRPr="00EE43C6">
        <w:rPr>
          <w:rFonts w:cs="Wingdings"/>
          <w:szCs w:val="18"/>
        </w:rPr>
        <w:t>A</w:t>
      </w:r>
      <w:r w:rsidR="005A1DA7" w:rsidRPr="00EE43C6">
        <w:rPr>
          <w:rFonts w:cs="Wingdings"/>
          <w:szCs w:val="18"/>
        </w:rPr>
        <w:t>rea</w:t>
      </w:r>
      <w:r w:rsidRPr="00EE43C6">
        <w:rPr>
          <w:rFonts w:cs="Wingdings"/>
          <w:szCs w:val="18"/>
        </w:rPr>
        <w:t xml:space="preserve"> </w:t>
      </w:r>
      <w:r w:rsidR="005A1DA7" w:rsidRPr="00EE43C6">
        <w:rPr>
          <w:rFonts w:cs="Wingdings"/>
          <w:szCs w:val="18"/>
        </w:rPr>
        <w:t>are</w:t>
      </w:r>
      <w:r w:rsidRPr="00EE43C6">
        <w:rPr>
          <w:rFonts w:cs="Wingdings"/>
          <w:szCs w:val="18"/>
        </w:rPr>
        <w:t xml:space="preserve"> also </w:t>
      </w:r>
      <w:r w:rsidR="005A1DA7" w:rsidRPr="00EE43C6">
        <w:rPr>
          <w:rFonts w:cs="Wingdings"/>
          <w:szCs w:val="18"/>
        </w:rPr>
        <w:t>included</w:t>
      </w:r>
      <w:r w:rsidRPr="00EE43C6">
        <w:rPr>
          <w:rFonts w:cs="Wingdings"/>
          <w:szCs w:val="18"/>
        </w:rPr>
        <w:t>.</w:t>
      </w:r>
    </w:p>
    <w:p w14:paraId="3C868D8E" w14:textId="31762752" w:rsidR="00E95437" w:rsidRPr="00EE43C6" w:rsidRDefault="00C40C75" w:rsidP="00B625EB">
      <w:pPr>
        <w:rPr>
          <w:rFonts w:cs="Wingdings"/>
          <w:szCs w:val="18"/>
        </w:rPr>
      </w:pPr>
      <w:r w:rsidRPr="00EE43C6">
        <w:rPr>
          <w:rFonts w:cs="Wingdings"/>
          <w:szCs w:val="18"/>
        </w:rPr>
        <w:t>In this context, the amount of excavation to be carried out on the total parcel is 3,781,808.69 m³, the amount of excavation to be made on the roads is 1,332,819</w:t>
      </w:r>
      <w:r w:rsidR="0073325B" w:rsidRPr="00EE43C6">
        <w:rPr>
          <w:rFonts w:cs="Wingdings"/>
          <w:szCs w:val="18"/>
        </w:rPr>
        <w:t>.</w:t>
      </w:r>
      <w:r w:rsidRPr="00EE43C6">
        <w:rPr>
          <w:rFonts w:cs="Wingdings"/>
          <w:szCs w:val="18"/>
        </w:rPr>
        <w:t>90 m³ and a total of 5,114,628</w:t>
      </w:r>
      <w:r w:rsidR="0073325B" w:rsidRPr="00EE43C6">
        <w:rPr>
          <w:rFonts w:cs="Wingdings"/>
          <w:szCs w:val="18"/>
        </w:rPr>
        <w:t>.</w:t>
      </w:r>
      <w:r w:rsidRPr="00EE43C6">
        <w:rPr>
          <w:rFonts w:cs="Wingdings"/>
          <w:szCs w:val="18"/>
        </w:rPr>
        <w:t>5</w:t>
      </w:r>
      <w:r w:rsidR="00BD791C" w:rsidRPr="00EE43C6">
        <w:rPr>
          <w:rFonts w:cs="Wingdings"/>
          <w:szCs w:val="18"/>
        </w:rPr>
        <w:t>9</w:t>
      </w:r>
      <w:r w:rsidRPr="00EE43C6">
        <w:rPr>
          <w:rFonts w:cs="Wingdings"/>
          <w:szCs w:val="18"/>
        </w:rPr>
        <w:t xml:space="preserve"> m³.</w:t>
      </w:r>
      <w:r w:rsidR="001561D8" w:rsidRPr="00EE43C6">
        <w:rPr>
          <w:rFonts w:cs="Wingdings"/>
          <w:szCs w:val="18"/>
        </w:rPr>
        <w:t xml:space="preserve"> The amount of backfilling to be made is 3</w:t>
      </w:r>
      <w:r w:rsidR="0073325B" w:rsidRPr="00EE43C6">
        <w:rPr>
          <w:rFonts w:cs="Wingdings"/>
          <w:szCs w:val="18"/>
        </w:rPr>
        <w:t>,</w:t>
      </w:r>
      <w:r w:rsidR="001561D8" w:rsidRPr="00EE43C6">
        <w:rPr>
          <w:rFonts w:cs="Wingdings"/>
          <w:szCs w:val="18"/>
        </w:rPr>
        <w:t>645</w:t>
      </w:r>
      <w:r w:rsidR="0073325B" w:rsidRPr="00EE43C6">
        <w:rPr>
          <w:rFonts w:cs="Wingdings"/>
          <w:szCs w:val="18"/>
        </w:rPr>
        <w:t>,</w:t>
      </w:r>
      <w:r w:rsidR="001561D8" w:rsidRPr="00EE43C6">
        <w:rPr>
          <w:rFonts w:cs="Wingdings"/>
          <w:szCs w:val="18"/>
        </w:rPr>
        <w:t>405.06 m³ for parcel areas, the amount of filling to be made for roads is 1</w:t>
      </w:r>
      <w:r w:rsidR="0073325B" w:rsidRPr="00EE43C6">
        <w:rPr>
          <w:rFonts w:cs="Wingdings"/>
          <w:szCs w:val="18"/>
        </w:rPr>
        <w:t>,</w:t>
      </w:r>
      <w:r w:rsidR="001561D8" w:rsidRPr="00EE43C6">
        <w:rPr>
          <w:rFonts w:cs="Wingdings"/>
          <w:szCs w:val="18"/>
        </w:rPr>
        <w:t>149</w:t>
      </w:r>
      <w:r w:rsidR="0073325B" w:rsidRPr="00EE43C6">
        <w:rPr>
          <w:rFonts w:cs="Wingdings"/>
          <w:szCs w:val="18"/>
        </w:rPr>
        <w:t>,</w:t>
      </w:r>
      <w:r w:rsidR="001561D8" w:rsidRPr="00EE43C6">
        <w:rPr>
          <w:rFonts w:cs="Wingdings"/>
          <w:szCs w:val="18"/>
        </w:rPr>
        <w:t>508.82 m³ and a total of 4</w:t>
      </w:r>
      <w:r w:rsidR="0073325B" w:rsidRPr="00EE43C6">
        <w:rPr>
          <w:rFonts w:cs="Wingdings"/>
          <w:szCs w:val="18"/>
        </w:rPr>
        <w:t>,</w:t>
      </w:r>
      <w:r w:rsidR="001561D8" w:rsidRPr="00EE43C6">
        <w:rPr>
          <w:rFonts w:cs="Wingdings"/>
          <w:szCs w:val="18"/>
        </w:rPr>
        <w:t>794</w:t>
      </w:r>
      <w:r w:rsidR="0073325B" w:rsidRPr="00EE43C6">
        <w:rPr>
          <w:rFonts w:cs="Wingdings"/>
          <w:szCs w:val="18"/>
        </w:rPr>
        <w:t>,</w:t>
      </w:r>
      <w:r w:rsidR="001561D8" w:rsidRPr="00EE43C6">
        <w:rPr>
          <w:rFonts w:cs="Wingdings"/>
          <w:szCs w:val="18"/>
        </w:rPr>
        <w:t>913.88 m³.</w:t>
      </w:r>
    </w:p>
    <w:p w14:paraId="1F9D3CF6" w14:textId="1A7CEE3B" w:rsidR="00F21BCE" w:rsidRPr="00EE43C6" w:rsidRDefault="00E74247" w:rsidP="00B625EB">
      <w:pPr>
        <w:rPr>
          <w:rFonts w:cs="Wingdings"/>
          <w:szCs w:val="18"/>
        </w:rPr>
      </w:pPr>
      <w:r w:rsidRPr="00EE43C6">
        <w:rPr>
          <w:rFonts w:cs="Wingdings"/>
          <w:szCs w:val="18"/>
        </w:rPr>
        <w:t xml:space="preserve">6% of the total area planned to be excavated is </w:t>
      </w:r>
      <w:r w:rsidR="0040288E" w:rsidRPr="00EE43C6">
        <w:rPr>
          <w:rFonts w:cs="Wingdings"/>
          <w:szCs w:val="18"/>
        </w:rPr>
        <w:t>tops</w:t>
      </w:r>
      <w:r w:rsidRPr="00EE43C6">
        <w:rPr>
          <w:rFonts w:cs="Wingdings"/>
          <w:szCs w:val="18"/>
        </w:rPr>
        <w:t xml:space="preserve">oil and it is 306,878 m³. Since </w:t>
      </w:r>
      <w:r w:rsidR="004941A0" w:rsidRPr="00EE43C6">
        <w:rPr>
          <w:rFonts w:cs="Wingdings"/>
          <w:szCs w:val="18"/>
        </w:rPr>
        <w:t>topsoil</w:t>
      </w:r>
      <w:r w:rsidRPr="00EE43C6">
        <w:rPr>
          <w:rFonts w:cs="Wingdings"/>
          <w:szCs w:val="18"/>
        </w:rPr>
        <w:t xml:space="preserve"> density is 1.5 m³/ton</w:t>
      </w:r>
      <w:r w:rsidR="001932B8" w:rsidRPr="00EE43C6">
        <w:rPr>
          <w:rFonts w:cs="Wingdings"/>
          <w:szCs w:val="18"/>
        </w:rPr>
        <w:t>nes</w:t>
      </w:r>
      <w:r w:rsidRPr="00EE43C6">
        <w:rPr>
          <w:rFonts w:cs="Wingdings"/>
          <w:szCs w:val="18"/>
        </w:rPr>
        <w:t xml:space="preserve">, the amount of </w:t>
      </w:r>
      <w:r w:rsidR="004941A0" w:rsidRPr="00EE43C6">
        <w:rPr>
          <w:rFonts w:cs="Wingdings"/>
          <w:szCs w:val="18"/>
        </w:rPr>
        <w:t>topsoil</w:t>
      </w:r>
      <w:r w:rsidRPr="00EE43C6">
        <w:rPr>
          <w:rFonts w:cs="Wingdings"/>
          <w:szCs w:val="18"/>
        </w:rPr>
        <w:t xml:space="preserve"> </w:t>
      </w:r>
      <w:r w:rsidR="00F7056E" w:rsidRPr="00EE43C6">
        <w:rPr>
          <w:rFonts w:cs="Wingdings"/>
          <w:szCs w:val="18"/>
        </w:rPr>
        <w:t xml:space="preserve">to be </w:t>
      </w:r>
      <w:r w:rsidRPr="00EE43C6">
        <w:rPr>
          <w:rFonts w:cs="Wingdings"/>
          <w:szCs w:val="18"/>
        </w:rPr>
        <w:t>formed in the area is 460,317 ton</w:t>
      </w:r>
      <w:r w:rsidR="001932B8" w:rsidRPr="00EE43C6">
        <w:rPr>
          <w:rFonts w:cs="Wingdings"/>
          <w:szCs w:val="18"/>
        </w:rPr>
        <w:t>ne</w:t>
      </w:r>
      <w:r w:rsidRPr="00EE43C6">
        <w:rPr>
          <w:rFonts w:cs="Wingdings"/>
          <w:szCs w:val="18"/>
        </w:rPr>
        <w:t>s.</w:t>
      </w:r>
      <w:r w:rsidR="0033340E" w:rsidRPr="00EE43C6">
        <w:rPr>
          <w:rFonts w:cs="Wingdings"/>
          <w:szCs w:val="18"/>
        </w:rPr>
        <w:t xml:space="preserve"> To</w:t>
      </w:r>
      <w:r w:rsidR="00556A24" w:rsidRPr="00EE43C6">
        <w:rPr>
          <w:rFonts w:cs="Wingdings"/>
          <w:szCs w:val="18"/>
        </w:rPr>
        <w:t>ps</w:t>
      </w:r>
      <w:r w:rsidR="0033340E" w:rsidRPr="00EE43C6">
        <w:rPr>
          <w:rFonts w:cs="Wingdings"/>
          <w:szCs w:val="18"/>
        </w:rPr>
        <w:t xml:space="preserve">oil </w:t>
      </w:r>
      <w:r w:rsidR="00C51A3B" w:rsidRPr="00EE43C6">
        <w:rPr>
          <w:rFonts w:cs="Wingdings"/>
          <w:szCs w:val="18"/>
        </w:rPr>
        <w:t>a</w:t>
      </w:r>
      <w:r w:rsidR="0033340E" w:rsidRPr="00EE43C6">
        <w:rPr>
          <w:rFonts w:cs="Wingdings"/>
          <w:szCs w:val="18"/>
        </w:rPr>
        <w:t>rea has been determined on the land and the area is 30,000 m².</w:t>
      </w:r>
      <w:r w:rsidR="00F26EDF" w:rsidRPr="00EE43C6">
        <w:rPr>
          <w:rFonts w:cs="Wingdings"/>
          <w:szCs w:val="18"/>
        </w:rPr>
        <w:t xml:space="preserve"> Currently, stripped topsoil was carried to the region in the Project Area allocated for afforestation (see </w:t>
      </w:r>
      <w:r w:rsidR="004B5A81">
        <w:rPr>
          <w:rFonts w:cs="Wingdings"/>
          <w:szCs w:val="18"/>
        </w:rPr>
        <w:fldChar w:fldCharType="begin"/>
      </w:r>
      <w:r w:rsidR="004B5A81">
        <w:rPr>
          <w:rFonts w:cs="Wingdings"/>
          <w:szCs w:val="18"/>
        </w:rPr>
        <w:instrText xml:space="preserve"> REF _Ref136450334 \h  \* MERGEFORMAT </w:instrText>
      </w:r>
      <w:r w:rsidR="004B5A81">
        <w:rPr>
          <w:rFonts w:cs="Wingdings"/>
          <w:szCs w:val="18"/>
        </w:rPr>
      </w:r>
      <w:r w:rsidR="004B5A81">
        <w:rPr>
          <w:rFonts w:cs="Wingdings"/>
          <w:szCs w:val="18"/>
        </w:rPr>
        <w:fldChar w:fldCharType="separate"/>
      </w:r>
      <w:r w:rsidR="004B5A81" w:rsidRPr="002539CA">
        <w:rPr>
          <w:rFonts w:cs="Wingdings"/>
          <w:szCs w:val="18"/>
        </w:rPr>
        <w:t>Figure 4</w:t>
      </w:r>
      <w:r w:rsidR="004B5A81" w:rsidRPr="002539CA">
        <w:rPr>
          <w:rFonts w:cs="Wingdings"/>
          <w:szCs w:val="18"/>
        </w:rPr>
        <w:noBreakHyphen/>
        <w:t>6</w:t>
      </w:r>
      <w:r w:rsidR="004B5A81">
        <w:rPr>
          <w:rFonts w:cs="Wingdings"/>
          <w:szCs w:val="18"/>
        </w:rPr>
        <w:fldChar w:fldCharType="end"/>
      </w:r>
      <w:r w:rsidR="00C51A3B" w:rsidRPr="00EE43C6">
        <w:rPr>
          <w:rFonts w:cs="Wingdings"/>
          <w:szCs w:val="18"/>
        </w:rPr>
        <w:fldChar w:fldCharType="begin"/>
      </w:r>
      <w:r w:rsidR="00C51A3B" w:rsidRPr="00EE43C6">
        <w:rPr>
          <w:rFonts w:cs="Wingdings"/>
          <w:szCs w:val="18"/>
        </w:rPr>
        <w:instrText xml:space="preserve"> REF _Ref125706053 \h  \* MERGEFORMAT </w:instrText>
      </w:r>
      <w:r w:rsidR="00C51A3B" w:rsidRPr="00EE43C6">
        <w:rPr>
          <w:rFonts w:cs="Wingdings"/>
          <w:szCs w:val="18"/>
        </w:rPr>
      </w:r>
      <w:r w:rsidR="00EC509A">
        <w:rPr>
          <w:rFonts w:cs="Wingdings"/>
          <w:szCs w:val="18"/>
        </w:rPr>
        <w:fldChar w:fldCharType="separate"/>
      </w:r>
      <w:r w:rsidR="00C51A3B" w:rsidRPr="00EE43C6">
        <w:rPr>
          <w:rFonts w:cs="Wingdings"/>
          <w:szCs w:val="18"/>
        </w:rPr>
        <w:fldChar w:fldCharType="end"/>
      </w:r>
      <w:r w:rsidR="00C51A3B" w:rsidRPr="00EE43C6">
        <w:rPr>
          <w:rFonts w:cs="Wingdings"/>
          <w:szCs w:val="18"/>
        </w:rPr>
        <w:t>)</w:t>
      </w:r>
      <w:r w:rsidR="0033340E" w:rsidRPr="00EE43C6">
        <w:rPr>
          <w:rFonts w:cs="Wingdings"/>
          <w:szCs w:val="18"/>
        </w:rPr>
        <w:t>.</w:t>
      </w:r>
    </w:p>
    <w:p w14:paraId="1145F8A7" w14:textId="199262CA" w:rsidR="004941A0" w:rsidRPr="00EE43C6" w:rsidRDefault="00FA0BEA" w:rsidP="00B625EB">
      <w:pPr>
        <w:rPr>
          <w:rFonts w:cs="Wingdings"/>
          <w:szCs w:val="18"/>
        </w:rPr>
      </w:pPr>
      <w:r w:rsidRPr="00EE43C6">
        <w:rPr>
          <w:rFonts w:cs="Wingdings"/>
          <w:szCs w:val="18"/>
        </w:rPr>
        <w:t>Excavation material of 94% is 4</w:t>
      </w:r>
      <w:r w:rsidR="0016040B" w:rsidRPr="00EE43C6">
        <w:rPr>
          <w:rFonts w:cs="Wingdings"/>
          <w:szCs w:val="18"/>
        </w:rPr>
        <w:t>,</w:t>
      </w:r>
      <w:r w:rsidRPr="00EE43C6">
        <w:rPr>
          <w:rFonts w:cs="Wingdings"/>
          <w:szCs w:val="18"/>
        </w:rPr>
        <w:t>807</w:t>
      </w:r>
      <w:r w:rsidR="0016040B" w:rsidRPr="00EE43C6">
        <w:rPr>
          <w:rFonts w:cs="Wingdings"/>
          <w:szCs w:val="18"/>
        </w:rPr>
        <w:t>,</w:t>
      </w:r>
      <w:r w:rsidRPr="00EE43C6">
        <w:rPr>
          <w:rFonts w:cs="Wingdings"/>
          <w:szCs w:val="18"/>
        </w:rPr>
        <w:t>750.58 m³, soil density is 2</w:t>
      </w:r>
      <w:r w:rsidR="0016040B" w:rsidRPr="00EE43C6">
        <w:rPr>
          <w:rFonts w:cs="Wingdings"/>
          <w:szCs w:val="18"/>
        </w:rPr>
        <w:t>.</w:t>
      </w:r>
      <w:r w:rsidRPr="00EE43C6">
        <w:rPr>
          <w:rFonts w:cs="Wingdings"/>
          <w:szCs w:val="18"/>
        </w:rPr>
        <w:t>4 m³/ton</w:t>
      </w:r>
      <w:r w:rsidR="001932B8" w:rsidRPr="00EE43C6">
        <w:rPr>
          <w:rFonts w:cs="Wingdings"/>
          <w:szCs w:val="18"/>
        </w:rPr>
        <w:t>nes</w:t>
      </w:r>
      <w:r w:rsidRPr="00EE43C6">
        <w:rPr>
          <w:rFonts w:cs="Wingdings"/>
          <w:szCs w:val="18"/>
        </w:rPr>
        <w:t xml:space="preserve"> and 11,538,601.39 ton</w:t>
      </w:r>
      <w:r w:rsidR="001932B8" w:rsidRPr="00EE43C6">
        <w:rPr>
          <w:rFonts w:cs="Wingdings"/>
          <w:szCs w:val="18"/>
        </w:rPr>
        <w:t>ne</w:t>
      </w:r>
      <w:r w:rsidRPr="00EE43C6">
        <w:rPr>
          <w:rFonts w:cs="Wingdings"/>
          <w:szCs w:val="18"/>
        </w:rPr>
        <w:t>s of material will be used in backfilling operations.</w:t>
      </w:r>
    </w:p>
    <w:p w14:paraId="398F7667" w14:textId="74318AE8" w:rsidR="004234B9" w:rsidRPr="00EE43C6" w:rsidRDefault="00D44910" w:rsidP="00B625EB">
      <w:pPr>
        <w:rPr>
          <w:rFonts w:cs="Wingdings"/>
          <w:szCs w:val="18"/>
        </w:rPr>
      </w:pPr>
      <w:r w:rsidRPr="00EE43C6">
        <w:rPr>
          <w:rFonts w:cs="Wingdings"/>
          <w:szCs w:val="18"/>
        </w:rPr>
        <w:t>4</w:t>
      </w:r>
      <w:r w:rsidR="0016040B" w:rsidRPr="00EE43C6">
        <w:rPr>
          <w:rFonts w:cs="Wingdings"/>
          <w:szCs w:val="18"/>
        </w:rPr>
        <w:t>,</w:t>
      </w:r>
      <w:r w:rsidRPr="00EE43C6">
        <w:rPr>
          <w:rFonts w:cs="Wingdings"/>
          <w:szCs w:val="18"/>
        </w:rPr>
        <w:t>794</w:t>
      </w:r>
      <w:r w:rsidR="0016040B" w:rsidRPr="00EE43C6">
        <w:rPr>
          <w:rFonts w:cs="Wingdings"/>
          <w:szCs w:val="18"/>
        </w:rPr>
        <w:t>,</w:t>
      </w:r>
      <w:r w:rsidRPr="00EE43C6">
        <w:rPr>
          <w:rFonts w:cs="Wingdings"/>
          <w:szCs w:val="18"/>
        </w:rPr>
        <w:t>913.88 m³ of the 4</w:t>
      </w:r>
      <w:r w:rsidR="0016040B" w:rsidRPr="00EE43C6">
        <w:rPr>
          <w:rFonts w:cs="Wingdings"/>
          <w:szCs w:val="18"/>
        </w:rPr>
        <w:t>,</w:t>
      </w:r>
      <w:r w:rsidRPr="00EE43C6">
        <w:rPr>
          <w:rFonts w:cs="Wingdings"/>
          <w:szCs w:val="18"/>
        </w:rPr>
        <w:t>807</w:t>
      </w:r>
      <w:r w:rsidR="0016040B" w:rsidRPr="00EE43C6">
        <w:rPr>
          <w:rFonts w:cs="Wingdings"/>
          <w:szCs w:val="18"/>
        </w:rPr>
        <w:t>,</w:t>
      </w:r>
      <w:r w:rsidRPr="00EE43C6">
        <w:rPr>
          <w:rFonts w:cs="Wingdings"/>
          <w:szCs w:val="18"/>
        </w:rPr>
        <w:t xml:space="preserve">750.58 m³ excavation material to be excavated will be used in the </w:t>
      </w:r>
      <w:r w:rsidR="003566CB" w:rsidRPr="00EE43C6">
        <w:rPr>
          <w:rFonts w:cs="Wingdings"/>
          <w:szCs w:val="18"/>
        </w:rPr>
        <w:t>back</w:t>
      </w:r>
      <w:r w:rsidRPr="00EE43C6">
        <w:rPr>
          <w:rFonts w:cs="Wingdings"/>
          <w:szCs w:val="18"/>
        </w:rPr>
        <w:t xml:space="preserve">filling and the remaining 12,836.7 m³ excavation material </w:t>
      </w:r>
      <w:r w:rsidR="00997F3C" w:rsidRPr="00EE43C6">
        <w:rPr>
          <w:rFonts w:cs="Wingdings"/>
          <w:szCs w:val="18"/>
        </w:rPr>
        <w:t>is planned to</w:t>
      </w:r>
      <w:r w:rsidRPr="00EE43C6">
        <w:rPr>
          <w:rFonts w:cs="Wingdings"/>
          <w:szCs w:val="18"/>
        </w:rPr>
        <w:t xml:space="preserve"> be sent to the permitted Excavation Storage Areas.</w:t>
      </w:r>
    </w:p>
    <w:p w14:paraId="35AF3AB8" w14:textId="25646083" w:rsidR="00CD1F98" w:rsidRPr="00EE43C6" w:rsidRDefault="00CD1F98" w:rsidP="00B625EB">
      <w:pPr>
        <w:rPr>
          <w:rFonts w:cs="Wingdings"/>
          <w:szCs w:val="18"/>
        </w:rPr>
      </w:pPr>
      <w:r w:rsidRPr="00EE43C6">
        <w:rPr>
          <w:rFonts w:cs="Wingdings"/>
          <w:szCs w:val="18"/>
        </w:rPr>
        <w:lastRenderedPageBreak/>
        <w:t>The following dust emission flowrate calculation</w:t>
      </w:r>
      <w:r w:rsidR="002F6959" w:rsidRPr="00EE43C6">
        <w:rPr>
          <w:rFonts w:cs="Wingdings"/>
          <w:szCs w:val="18"/>
        </w:rPr>
        <w:t>s</w:t>
      </w:r>
      <w:r w:rsidRPr="00EE43C6">
        <w:rPr>
          <w:rFonts w:cs="Wingdings"/>
          <w:szCs w:val="18"/>
        </w:rPr>
        <w:t xml:space="preserve"> w</w:t>
      </w:r>
      <w:r w:rsidR="00DD1F5A" w:rsidRPr="00EE43C6">
        <w:rPr>
          <w:rFonts w:cs="Wingdings"/>
          <w:szCs w:val="18"/>
        </w:rPr>
        <w:t xml:space="preserve">ere made </w:t>
      </w:r>
      <w:r w:rsidR="00AA779E" w:rsidRPr="00EE43C6">
        <w:rPr>
          <w:rFonts w:cs="Wingdings"/>
          <w:szCs w:val="18"/>
        </w:rPr>
        <w:t xml:space="preserve">by using </w:t>
      </w:r>
      <w:r w:rsidR="00F13337" w:rsidRPr="00EE43C6">
        <w:rPr>
          <w:rFonts w:cs="Wingdings"/>
          <w:szCs w:val="18"/>
        </w:rPr>
        <w:t xml:space="preserve">emission factors specified in the </w:t>
      </w:r>
      <w:r w:rsidR="00AA779E" w:rsidRPr="00EE43C6">
        <w:rPr>
          <w:rFonts w:cs="Wingdings"/>
          <w:szCs w:val="18"/>
        </w:rPr>
        <w:t xml:space="preserve">Table 12.6 of the </w:t>
      </w:r>
      <w:r w:rsidR="00FA3137" w:rsidRPr="00EE43C6">
        <w:rPr>
          <w:rFonts w:cs="Wingdings"/>
          <w:szCs w:val="18"/>
        </w:rPr>
        <w:t>Regulation on Control of Industrial Air Pollution (RoCIAP), published in the Official Gazette dated 03.07.2009 and numbered 27277</w:t>
      </w:r>
      <w:r w:rsidR="002F6959" w:rsidRPr="00EE43C6">
        <w:rPr>
          <w:rFonts w:cs="Wingdings"/>
          <w:szCs w:val="18"/>
        </w:rPr>
        <w:t xml:space="preserve"> (see </w:t>
      </w:r>
      <w:r w:rsidR="002F6959" w:rsidRPr="00EE43C6">
        <w:rPr>
          <w:rFonts w:cs="Wingdings"/>
          <w:szCs w:val="18"/>
        </w:rPr>
        <w:fldChar w:fldCharType="begin"/>
      </w:r>
      <w:r w:rsidR="002F6959" w:rsidRPr="00EE43C6">
        <w:rPr>
          <w:rFonts w:cs="Wingdings"/>
          <w:szCs w:val="18"/>
        </w:rPr>
        <w:instrText xml:space="preserve"> REF _Ref129615508 \h </w:instrText>
      </w:r>
      <w:r w:rsidR="002F6959" w:rsidRPr="00EE43C6">
        <w:rPr>
          <w:rFonts w:cs="Wingdings"/>
          <w:szCs w:val="18"/>
        </w:rPr>
      </w:r>
      <w:r w:rsidR="002F6959" w:rsidRPr="00EE43C6">
        <w:rPr>
          <w:rFonts w:cs="Wingdings"/>
          <w:szCs w:val="18"/>
        </w:rPr>
        <w:fldChar w:fldCharType="separate"/>
      </w:r>
      <w:r w:rsidR="002F6959" w:rsidRPr="00EE43C6">
        <w:t>Table 6</w:t>
      </w:r>
      <w:r w:rsidR="002F6959" w:rsidRPr="00EE43C6">
        <w:noBreakHyphen/>
        <w:t>1</w:t>
      </w:r>
      <w:r w:rsidR="002F6959" w:rsidRPr="00EE43C6">
        <w:rPr>
          <w:rFonts w:cs="Wingdings"/>
          <w:szCs w:val="18"/>
        </w:rPr>
        <w:fldChar w:fldCharType="end"/>
      </w:r>
      <w:r w:rsidR="002F6959" w:rsidRPr="00EE43C6">
        <w:rPr>
          <w:rFonts w:cs="Wingdings"/>
          <w:szCs w:val="18"/>
        </w:rPr>
        <w:t>)</w:t>
      </w:r>
      <w:r w:rsidR="00FA3137" w:rsidRPr="00EE43C6">
        <w:rPr>
          <w:rFonts w:cs="Wingdings"/>
          <w:szCs w:val="18"/>
        </w:rPr>
        <w:t>.</w:t>
      </w:r>
    </w:p>
    <w:p w14:paraId="57EC40E4" w14:textId="3EA2CD72" w:rsidR="00941E57" w:rsidRPr="00EE43C6" w:rsidRDefault="005A5B13" w:rsidP="00C46214">
      <w:pPr>
        <w:pStyle w:val="Caption"/>
        <w:rPr>
          <w:rFonts w:cs="Wingdings"/>
          <w:noProof w:val="0"/>
          <w:szCs w:val="18"/>
        </w:rPr>
      </w:pPr>
      <w:bookmarkStart w:id="462" w:name="_Ref129615508"/>
      <w:bookmarkStart w:id="463" w:name="_Toc141445510"/>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w:t>
      </w:r>
      <w:r w:rsidR="006D2DE8">
        <w:rPr>
          <w:noProof w:val="0"/>
        </w:rPr>
        <w:fldChar w:fldCharType="end"/>
      </w:r>
      <w:bookmarkEnd w:id="462"/>
      <w:r w:rsidRPr="00EE43C6">
        <w:rPr>
          <w:noProof w:val="0"/>
        </w:rPr>
        <w:t xml:space="preserve">. </w:t>
      </w:r>
      <w:r w:rsidR="006F44C8" w:rsidRPr="00EE43C6">
        <w:rPr>
          <w:rFonts w:cs="Wingdings"/>
          <w:b w:val="0"/>
          <w:bCs w:val="0"/>
          <w:noProof w:val="0"/>
          <w:color w:val="auto"/>
          <w:szCs w:val="18"/>
        </w:rPr>
        <w:t xml:space="preserve">Emission Factors to be </w:t>
      </w:r>
      <w:r w:rsidRPr="00EE43C6">
        <w:rPr>
          <w:rFonts w:cs="Wingdings"/>
          <w:b w:val="0"/>
          <w:bCs w:val="0"/>
          <w:noProof w:val="0"/>
          <w:color w:val="auto"/>
          <w:szCs w:val="18"/>
        </w:rPr>
        <w:t>u</w:t>
      </w:r>
      <w:r w:rsidR="006F44C8" w:rsidRPr="00EE43C6">
        <w:rPr>
          <w:rFonts w:cs="Wingdings"/>
          <w:b w:val="0"/>
          <w:bCs w:val="0"/>
          <w:noProof w:val="0"/>
          <w:color w:val="auto"/>
          <w:szCs w:val="18"/>
        </w:rPr>
        <w:t>sed in Dust Emission Mass Flow</w:t>
      </w:r>
      <w:r w:rsidRPr="00EE43C6">
        <w:rPr>
          <w:rFonts w:cs="Wingdings"/>
          <w:b w:val="0"/>
          <w:bCs w:val="0"/>
          <w:noProof w:val="0"/>
          <w:color w:val="auto"/>
          <w:szCs w:val="18"/>
        </w:rPr>
        <w:t>rate</w:t>
      </w:r>
      <w:r w:rsidR="006F44C8" w:rsidRPr="00EE43C6">
        <w:rPr>
          <w:rFonts w:cs="Wingdings"/>
          <w:b w:val="0"/>
          <w:bCs w:val="0"/>
          <w:noProof w:val="0"/>
          <w:color w:val="auto"/>
          <w:szCs w:val="18"/>
        </w:rPr>
        <w:t xml:space="preserve"> Calculations</w:t>
      </w:r>
      <w:r w:rsidRPr="00EE43C6">
        <w:rPr>
          <w:rFonts w:cs="Wingdings"/>
          <w:b w:val="0"/>
          <w:bCs w:val="0"/>
          <w:noProof w:val="0"/>
          <w:color w:val="auto"/>
          <w:szCs w:val="18"/>
        </w:rPr>
        <w:t xml:space="preserve"> in the </w:t>
      </w:r>
      <w:r w:rsidR="00941E57" w:rsidRPr="00EE43C6">
        <w:rPr>
          <w:rFonts w:cs="Wingdings"/>
          <w:b w:val="0"/>
          <w:bCs w:val="0"/>
          <w:noProof w:val="0"/>
          <w:color w:val="auto"/>
          <w:szCs w:val="18"/>
        </w:rPr>
        <w:t>RoCIAP</w:t>
      </w:r>
      <w:bookmarkEnd w:id="463"/>
    </w:p>
    <w:tbl>
      <w:tblPr>
        <w:tblStyle w:val="TableGrid"/>
        <w:tblW w:w="5000" w:type="pct"/>
        <w:jc w:val="center"/>
        <w:tblLook w:val="04A0" w:firstRow="1" w:lastRow="0" w:firstColumn="1" w:lastColumn="0" w:noHBand="0" w:noVBand="1"/>
      </w:tblPr>
      <w:tblGrid>
        <w:gridCol w:w="3083"/>
        <w:gridCol w:w="1927"/>
        <w:gridCol w:w="1929"/>
        <w:gridCol w:w="2125"/>
      </w:tblGrid>
      <w:tr w:rsidR="00D84494" w:rsidRPr="00EE43C6" w14:paraId="42B3D655" w14:textId="77777777" w:rsidTr="001E0229">
        <w:trPr>
          <w:trHeight w:val="284"/>
          <w:jc w:val="center"/>
        </w:trPr>
        <w:tc>
          <w:tcPr>
            <w:tcW w:w="1701" w:type="pct"/>
            <w:shd w:val="clear" w:color="auto" w:fill="4F81BD"/>
            <w:vAlign w:val="center"/>
          </w:tcPr>
          <w:p w14:paraId="6BDFA950" w14:textId="366CFC24" w:rsidR="00D84494" w:rsidRPr="00EE43C6" w:rsidRDefault="00105CCD" w:rsidP="00506BCC">
            <w:pPr>
              <w:spacing w:before="0" w:after="0" w:line="240" w:lineRule="auto"/>
              <w:jc w:val="left"/>
              <w:rPr>
                <w:rFonts w:cs="Wingdings"/>
                <w:b/>
                <w:color w:val="FFFFFF" w:themeColor="background1"/>
                <w:sz w:val="18"/>
                <w:szCs w:val="18"/>
              </w:rPr>
            </w:pPr>
            <w:r w:rsidRPr="00EE43C6">
              <w:rPr>
                <w:rFonts w:cs="Wingdings"/>
                <w:b/>
                <w:color w:val="FFFFFF" w:themeColor="background1"/>
                <w:sz w:val="18"/>
                <w:szCs w:val="18"/>
              </w:rPr>
              <w:t>Operation</w:t>
            </w:r>
          </w:p>
        </w:tc>
        <w:tc>
          <w:tcPr>
            <w:tcW w:w="1063" w:type="pct"/>
            <w:shd w:val="clear" w:color="auto" w:fill="4F81BD"/>
            <w:vAlign w:val="center"/>
          </w:tcPr>
          <w:p w14:paraId="7E6F5885" w14:textId="6FD52381" w:rsidR="00D84494" w:rsidRPr="00EE43C6" w:rsidRDefault="001531C4" w:rsidP="00506BCC">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Uncontrolled</w:t>
            </w:r>
          </w:p>
        </w:tc>
        <w:tc>
          <w:tcPr>
            <w:tcW w:w="1064" w:type="pct"/>
            <w:shd w:val="clear" w:color="auto" w:fill="4F81BD"/>
            <w:vAlign w:val="center"/>
          </w:tcPr>
          <w:p w14:paraId="10A3ED44" w14:textId="71F7C7F7" w:rsidR="00D84494" w:rsidRPr="00EE43C6" w:rsidRDefault="001531C4" w:rsidP="00506BCC">
            <w:pPr>
              <w:spacing w:before="0" w:after="0" w:line="240" w:lineRule="auto"/>
              <w:jc w:val="center"/>
              <w:rPr>
                <w:rFonts w:cs="Wingdings"/>
                <w:b/>
                <w:color w:val="FFFFFF" w:themeColor="background1"/>
                <w:sz w:val="18"/>
                <w:szCs w:val="18"/>
              </w:rPr>
            </w:pPr>
            <w:r w:rsidRPr="00EE43C6">
              <w:rPr>
                <w:rFonts w:cs="Wingdings"/>
                <w:b/>
                <w:bCs/>
                <w:color w:val="FFFFFF" w:themeColor="background1"/>
                <w:sz w:val="18"/>
                <w:szCs w:val="18"/>
              </w:rPr>
              <w:t>Controlled</w:t>
            </w:r>
          </w:p>
        </w:tc>
        <w:tc>
          <w:tcPr>
            <w:tcW w:w="1172" w:type="pct"/>
            <w:shd w:val="clear" w:color="auto" w:fill="4F81BD"/>
            <w:vAlign w:val="center"/>
          </w:tcPr>
          <w:p w14:paraId="7BD2026C" w14:textId="0E7CDFC2" w:rsidR="00D84494" w:rsidRPr="00EE43C6" w:rsidRDefault="001531C4" w:rsidP="00506BCC">
            <w:pPr>
              <w:spacing w:before="0" w:after="0" w:line="240" w:lineRule="auto"/>
              <w:jc w:val="center"/>
              <w:rPr>
                <w:rFonts w:cs="Wingdings"/>
                <w:b/>
                <w:color w:val="FFFFFF" w:themeColor="background1"/>
                <w:sz w:val="18"/>
                <w:szCs w:val="18"/>
              </w:rPr>
            </w:pPr>
            <w:r w:rsidRPr="00EE43C6">
              <w:rPr>
                <w:rFonts w:cs="Wingdings"/>
                <w:b/>
                <w:bCs/>
                <w:color w:val="FFFFFF" w:themeColor="background1"/>
                <w:sz w:val="18"/>
                <w:szCs w:val="18"/>
              </w:rPr>
              <w:t>Unit</w:t>
            </w:r>
            <w:r w:rsidR="00E900C9" w:rsidRPr="00EE43C6">
              <w:rPr>
                <w:rFonts w:cs="Wingdings"/>
                <w:b/>
                <w:bCs/>
                <w:color w:val="FFFFFF" w:themeColor="background1"/>
                <w:sz w:val="18"/>
                <w:szCs w:val="18"/>
              </w:rPr>
              <w:t>s</w:t>
            </w:r>
          </w:p>
        </w:tc>
      </w:tr>
      <w:tr w:rsidR="001531C4" w:rsidRPr="00EE43C6" w14:paraId="399CAC8D" w14:textId="77777777" w:rsidTr="001E0229">
        <w:trPr>
          <w:trHeight w:val="284"/>
          <w:jc w:val="center"/>
        </w:trPr>
        <w:tc>
          <w:tcPr>
            <w:tcW w:w="1701" w:type="pct"/>
            <w:vAlign w:val="center"/>
          </w:tcPr>
          <w:p w14:paraId="08324057" w14:textId="21AFDECB" w:rsidR="001531C4" w:rsidRPr="00EE43C6" w:rsidRDefault="001531C4" w:rsidP="00506BCC">
            <w:pPr>
              <w:spacing w:before="0" w:after="0" w:line="240" w:lineRule="auto"/>
              <w:jc w:val="left"/>
              <w:rPr>
                <w:rFonts w:cs="Wingdings"/>
                <w:sz w:val="18"/>
                <w:szCs w:val="18"/>
              </w:rPr>
            </w:pPr>
            <w:r w:rsidRPr="00EE43C6">
              <w:rPr>
                <w:rFonts w:cs="Wingdings"/>
                <w:sz w:val="18"/>
                <w:szCs w:val="18"/>
              </w:rPr>
              <w:t>Stripping</w:t>
            </w:r>
          </w:p>
        </w:tc>
        <w:tc>
          <w:tcPr>
            <w:tcW w:w="1063" w:type="pct"/>
            <w:vAlign w:val="center"/>
          </w:tcPr>
          <w:p w14:paraId="0ADB0BB2" w14:textId="59012FAC" w:rsidR="001531C4" w:rsidRPr="00EE43C6" w:rsidRDefault="001531C4" w:rsidP="00506BCC">
            <w:pPr>
              <w:spacing w:before="0" w:after="0" w:line="240" w:lineRule="auto"/>
              <w:jc w:val="center"/>
              <w:rPr>
                <w:rFonts w:cs="Wingdings"/>
                <w:sz w:val="18"/>
                <w:szCs w:val="18"/>
              </w:rPr>
            </w:pPr>
            <w:r w:rsidRPr="00EE43C6">
              <w:rPr>
                <w:rFonts w:cs="Wingdings"/>
                <w:sz w:val="18"/>
                <w:szCs w:val="18"/>
              </w:rPr>
              <w:t>0.025</w:t>
            </w:r>
          </w:p>
        </w:tc>
        <w:tc>
          <w:tcPr>
            <w:tcW w:w="1064" w:type="pct"/>
            <w:vAlign w:val="center"/>
          </w:tcPr>
          <w:p w14:paraId="105C6716" w14:textId="36459B0D" w:rsidR="001531C4" w:rsidRPr="00EE43C6" w:rsidRDefault="001531C4" w:rsidP="00506BCC">
            <w:pPr>
              <w:spacing w:before="0" w:after="0" w:line="240" w:lineRule="auto"/>
              <w:jc w:val="center"/>
              <w:rPr>
                <w:rFonts w:cs="Wingdings"/>
                <w:sz w:val="18"/>
                <w:szCs w:val="18"/>
              </w:rPr>
            </w:pPr>
            <w:r w:rsidRPr="00EE43C6">
              <w:rPr>
                <w:rFonts w:cs="Wingdings"/>
                <w:sz w:val="18"/>
                <w:szCs w:val="18"/>
              </w:rPr>
              <w:t>0.0125</w:t>
            </w:r>
          </w:p>
        </w:tc>
        <w:tc>
          <w:tcPr>
            <w:tcW w:w="1172" w:type="pct"/>
            <w:vMerge w:val="restart"/>
            <w:vAlign w:val="center"/>
          </w:tcPr>
          <w:p w14:paraId="43EB6C0B" w14:textId="06C0D83A" w:rsidR="001531C4" w:rsidRPr="00EE43C6" w:rsidRDefault="001531C4" w:rsidP="00506BCC">
            <w:pPr>
              <w:spacing w:before="0" w:after="0" w:line="240" w:lineRule="auto"/>
              <w:jc w:val="center"/>
              <w:rPr>
                <w:rFonts w:cs="Wingdings"/>
                <w:sz w:val="18"/>
                <w:szCs w:val="18"/>
              </w:rPr>
            </w:pPr>
            <w:r w:rsidRPr="00EE43C6">
              <w:rPr>
                <w:rFonts w:cs="Wingdings"/>
                <w:sz w:val="18"/>
                <w:szCs w:val="18"/>
              </w:rPr>
              <w:t>kg/ton</w:t>
            </w:r>
            <w:r w:rsidR="00B959CB" w:rsidRPr="00EE43C6">
              <w:rPr>
                <w:rFonts w:cs="Wingdings"/>
                <w:sz w:val="18"/>
                <w:szCs w:val="18"/>
              </w:rPr>
              <w:t>ne</w:t>
            </w:r>
          </w:p>
        </w:tc>
      </w:tr>
      <w:tr w:rsidR="001531C4" w:rsidRPr="00EE43C6" w14:paraId="1D5DB136" w14:textId="77777777" w:rsidTr="001E0229">
        <w:trPr>
          <w:trHeight w:val="284"/>
          <w:jc w:val="center"/>
        </w:trPr>
        <w:tc>
          <w:tcPr>
            <w:tcW w:w="1701" w:type="pct"/>
            <w:vAlign w:val="center"/>
          </w:tcPr>
          <w:p w14:paraId="4A946CCC" w14:textId="069B454B" w:rsidR="001531C4" w:rsidRPr="00EE43C6" w:rsidRDefault="001531C4" w:rsidP="00506BCC">
            <w:pPr>
              <w:spacing w:before="0" w:after="0" w:line="240" w:lineRule="auto"/>
              <w:jc w:val="left"/>
              <w:rPr>
                <w:rFonts w:cs="Wingdings"/>
                <w:sz w:val="18"/>
                <w:szCs w:val="18"/>
              </w:rPr>
            </w:pPr>
            <w:r w:rsidRPr="00EE43C6">
              <w:rPr>
                <w:rFonts w:cs="Wingdings"/>
                <w:sz w:val="18"/>
                <w:szCs w:val="18"/>
              </w:rPr>
              <w:t>Loading</w:t>
            </w:r>
          </w:p>
        </w:tc>
        <w:tc>
          <w:tcPr>
            <w:tcW w:w="1063" w:type="pct"/>
            <w:vAlign w:val="center"/>
          </w:tcPr>
          <w:p w14:paraId="3B1EA434" w14:textId="2105622E" w:rsidR="001531C4" w:rsidRPr="00EE43C6" w:rsidRDefault="009803B9" w:rsidP="00506BCC">
            <w:pPr>
              <w:spacing w:before="0" w:after="0" w:line="240" w:lineRule="auto"/>
              <w:jc w:val="center"/>
              <w:rPr>
                <w:rFonts w:cs="Wingdings"/>
                <w:sz w:val="18"/>
                <w:szCs w:val="18"/>
              </w:rPr>
            </w:pPr>
            <w:r w:rsidRPr="00EE43C6">
              <w:rPr>
                <w:rFonts w:cs="Wingdings"/>
                <w:sz w:val="18"/>
                <w:szCs w:val="18"/>
              </w:rPr>
              <w:t>0.010</w:t>
            </w:r>
          </w:p>
        </w:tc>
        <w:tc>
          <w:tcPr>
            <w:tcW w:w="1064" w:type="pct"/>
            <w:vAlign w:val="center"/>
          </w:tcPr>
          <w:p w14:paraId="218E2D6B" w14:textId="747ADC34" w:rsidR="001531C4" w:rsidRPr="00EE43C6" w:rsidRDefault="009803B9" w:rsidP="00506BCC">
            <w:pPr>
              <w:spacing w:before="0" w:after="0" w:line="240" w:lineRule="auto"/>
              <w:jc w:val="center"/>
              <w:rPr>
                <w:rFonts w:cs="Wingdings"/>
                <w:sz w:val="18"/>
                <w:szCs w:val="18"/>
              </w:rPr>
            </w:pPr>
            <w:r w:rsidRPr="00EE43C6">
              <w:rPr>
                <w:rFonts w:cs="Wingdings"/>
                <w:sz w:val="18"/>
                <w:szCs w:val="18"/>
              </w:rPr>
              <w:t>0.005</w:t>
            </w:r>
          </w:p>
        </w:tc>
        <w:tc>
          <w:tcPr>
            <w:tcW w:w="1172" w:type="pct"/>
            <w:vMerge/>
            <w:vAlign w:val="center"/>
          </w:tcPr>
          <w:p w14:paraId="66712322" w14:textId="33DE83DD" w:rsidR="001531C4" w:rsidRPr="00EE43C6" w:rsidRDefault="001531C4" w:rsidP="00506BCC">
            <w:pPr>
              <w:spacing w:before="0" w:after="0" w:line="240" w:lineRule="auto"/>
              <w:jc w:val="center"/>
              <w:rPr>
                <w:rFonts w:cs="Wingdings"/>
                <w:sz w:val="18"/>
                <w:szCs w:val="18"/>
              </w:rPr>
            </w:pPr>
          </w:p>
        </w:tc>
      </w:tr>
      <w:tr w:rsidR="00E900C9" w:rsidRPr="00EE43C6" w14:paraId="085D8A5C" w14:textId="77777777" w:rsidTr="001E0229">
        <w:trPr>
          <w:trHeight w:val="284"/>
          <w:jc w:val="center"/>
        </w:trPr>
        <w:tc>
          <w:tcPr>
            <w:tcW w:w="1701" w:type="pct"/>
            <w:vAlign w:val="center"/>
          </w:tcPr>
          <w:p w14:paraId="2E6420A3" w14:textId="3CE9D6C6" w:rsidR="00E900C9" w:rsidRPr="00EE43C6" w:rsidRDefault="00E900C9" w:rsidP="00E900C9">
            <w:pPr>
              <w:spacing w:before="0" w:after="0" w:line="240" w:lineRule="auto"/>
              <w:jc w:val="left"/>
              <w:rPr>
                <w:rFonts w:cs="Wingdings"/>
                <w:sz w:val="18"/>
                <w:szCs w:val="18"/>
              </w:rPr>
            </w:pPr>
            <w:r w:rsidRPr="00EE43C6">
              <w:rPr>
                <w:rFonts w:cs="Wingdings"/>
                <w:sz w:val="18"/>
                <w:szCs w:val="18"/>
              </w:rPr>
              <w:t>Unloading</w:t>
            </w:r>
          </w:p>
        </w:tc>
        <w:tc>
          <w:tcPr>
            <w:tcW w:w="1063" w:type="pct"/>
            <w:vAlign w:val="center"/>
          </w:tcPr>
          <w:p w14:paraId="5244D3A6" w14:textId="4EDE4CA3" w:rsidR="00E900C9" w:rsidRPr="00EE43C6" w:rsidRDefault="00E900C9" w:rsidP="00E900C9">
            <w:pPr>
              <w:spacing w:before="0" w:after="0" w:line="240" w:lineRule="auto"/>
              <w:jc w:val="center"/>
              <w:rPr>
                <w:rFonts w:cs="Wingdings"/>
                <w:sz w:val="18"/>
                <w:szCs w:val="18"/>
              </w:rPr>
            </w:pPr>
            <w:r w:rsidRPr="00EE43C6">
              <w:rPr>
                <w:rFonts w:cs="Wingdings"/>
                <w:sz w:val="18"/>
                <w:szCs w:val="18"/>
              </w:rPr>
              <w:t>0.010</w:t>
            </w:r>
          </w:p>
        </w:tc>
        <w:tc>
          <w:tcPr>
            <w:tcW w:w="1064" w:type="pct"/>
            <w:vAlign w:val="center"/>
          </w:tcPr>
          <w:p w14:paraId="35785741" w14:textId="412EDF9B" w:rsidR="00E900C9" w:rsidRPr="00EE43C6" w:rsidRDefault="00E900C9" w:rsidP="00E900C9">
            <w:pPr>
              <w:spacing w:before="0" w:after="0" w:line="240" w:lineRule="auto"/>
              <w:jc w:val="center"/>
              <w:rPr>
                <w:rFonts w:cs="Wingdings"/>
                <w:sz w:val="18"/>
                <w:szCs w:val="18"/>
              </w:rPr>
            </w:pPr>
            <w:r w:rsidRPr="00EE43C6">
              <w:rPr>
                <w:rFonts w:cs="Wingdings"/>
                <w:sz w:val="18"/>
                <w:szCs w:val="18"/>
              </w:rPr>
              <w:t>0.005</w:t>
            </w:r>
          </w:p>
        </w:tc>
        <w:tc>
          <w:tcPr>
            <w:tcW w:w="1172" w:type="pct"/>
            <w:vMerge/>
            <w:vAlign w:val="center"/>
          </w:tcPr>
          <w:p w14:paraId="64B82B2F" w14:textId="35517C55" w:rsidR="00E900C9" w:rsidRPr="00EE43C6" w:rsidRDefault="00E900C9" w:rsidP="00E900C9">
            <w:pPr>
              <w:spacing w:before="0" w:after="0" w:line="240" w:lineRule="auto"/>
              <w:jc w:val="center"/>
              <w:rPr>
                <w:rFonts w:cs="Wingdings"/>
                <w:sz w:val="18"/>
                <w:szCs w:val="18"/>
              </w:rPr>
            </w:pPr>
          </w:p>
        </w:tc>
      </w:tr>
      <w:tr w:rsidR="00E900C9" w:rsidRPr="00EE43C6" w14:paraId="2E3B2656" w14:textId="77777777" w:rsidTr="001E0229">
        <w:trPr>
          <w:trHeight w:val="284"/>
          <w:jc w:val="center"/>
        </w:trPr>
        <w:tc>
          <w:tcPr>
            <w:tcW w:w="1701" w:type="pct"/>
            <w:vAlign w:val="center"/>
          </w:tcPr>
          <w:p w14:paraId="0791AE90" w14:textId="362D4F42" w:rsidR="00E900C9" w:rsidRPr="00EE43C6" w:rsidRDefault="00E900C9" w:rsidP="00E900C9">
            <w:pPr>
              <w:spacing w:before="0" w:after="0" w:line="240" w:lineRule="auto"/>
              <w:jc w:val="left"/>
              <w:rPr>
                <w:rFonts w:cs="Wingdings"/>
                <w:sz w:val="18"/>
                <w:szCs w:val="18"/>
              </w:rPr>
            </w:pPr>
            <w:r w:rsidRPr="00EE43C6">
              <w:rPr>
                <w:rFonts w:cs="Wingdings"/>
                <w:sz w:val="18"/>
                <w:szCs w:val="18"/>
              </w:rPr>
              <w:t>Transportation</w:t>
            </w:r>
            <w:r w:rsidR="00085715" w:rsidRPr="00EE43C6">
              <w:rPr>
                <w:rFonts w:cs="Wingdings"/>
                <w:sz w:val="18"/>
                <w:szCs w:val="18"/>
              </w:rPr>
              <w:t xml:space="preserve"> (round trip total distance)</w:t>
            </w:r>
          </w:p>
        </w:tc>
        <w:tc>
          <w:tcPr>
            <w:tcW w:w="1063" w:type="pct"/>
            <w:vAlign w:val="center"/>
          </w:tcPr>
          <w:p w14:paraId="7AE27432" w14:textId="2A278C0E" w:rsidR="00E900C9" w:rsidRPr="00EE43C6" w:rsidRDefault="00E900C9" w:rsidP="00E900C9">
            <w:pPr>
              <w:spacing w:before="0" w:after="0" w:line="240" w:lineRule="auto"/>
              <w:jc w:val="center"/>
              <w:rPr>
                <w:rFonts w:cs="Wingdings"/>
                <w:sz w:val="18"/>
                <w:szCs w:val="18"/>
              </w:rPr>
            </w:pPr>
            <w:r w:rsidRPr="00EE43C6">
              <w:rPr>
                <w:rFonts w:cs="Wingdings"/>
                <w:sz w:val="18"/>
                <w:szCs w:val="18"/>
              </w:rPr>
              <w:t>0.7</w:t>
            </w:r>
          </w:p>
        </w:tc>
        <w:tc>
          <w:tcPr>
            <w:tcW w:w="1064" w:type="pct"/>
            <w:vAlign w:val="center"/>
          </w:tcPr>
          <w:p w14:paraId="5C90909B" w14:textId="4882ACB1" w:rsidR="00E900C9" w:rsidRPr="00EE43C6" w:rsidRDefault="00E900C9" w:rsidP="00E900C9">
            <w:pPr>
              <w:spacing w:before="0" w:after="0" w:line="240" w:lineRule="auto"/>
              <w:jc w:val="center"/>
              <w:rPr>
                <w:rFonts w:cs="Wingdings"/>
                <w:sz w:val="18"/>
                <w:szCs w:val="18"/>
              </w:rPr>
            </w:pPr>
            <w:r w:rsidRPr="00EE43C6">
              <w:rPr>
                <w:rFonts w:cs="Wingdings"/>
                <w:sz w:val="18"/>
                <w:szCs w:val="18"/>
              </w:rPr>
              <w:t>0.35</w:t>
            </w:r>
          </w:p>
        </w:tc>
        <w:tc>
          <w:tcPr>
            <w:tcW w:w="1172" w:type="pct"/>
            <w:vAlign w:val="center"/>
          </w:tcPr>
          <w:p w14:paraId="3108809F" w14:textId="11A419BC" w:rsidR="00E900C9" w:rsidRPr="00EE43C6" w:rsidRDefault="00E900C9" w:rsidP="00E900C9">
            <w:pPr>
              <w:spacing w:before="0" w:after="0" w:line="240" w:lineRule="auto"/>
              <w:jc w:val="center"/>
              <w:rPr>
                <w:rFonts w:cs="Wingdings"/>
                <w:sz w:val="18"/>
                <w:szCs w:val="18"/>
              </w:rPr>
            </w:pPr>
            <w:r w:rsidRPr="00EE43C6">
              <w:rPr>
                <w:rFonts w:cs="Wingdings"/>
                <w:sz w:val="18"/>
                <w:szCs w:val="18"/>
              </w:rPr>
              <w:t>kg/km-trip</w:t>
            </w:r>
          </w:p>
        </w:tc>
      </w:tr>
      <w:tr w:rsidR="00E900C9" w:rsidRPr="00EE43C6" w14:paraId="1D265B5F" w14:textId="77777777" w:rsidTr="001E0229">
        <w:trPr>
          <w:trHeight w:val="284"/>
          <w:jc w:val="center"/>
        </w:trPr>
        <w:tc>
          <w:tcPr>
            <w:tcW w:w="1701" w:type="pct"/>
            <w:vAlign w:val="center"/>
          </w:tcPr>
          <w:p w14:paraId="3AAD2C24" w14:textId="4BF5A8A2" w:rsidR="00E900C9" w:rsidRPr="00EE43C6" w:rsidRDefault="00E900C9" w:rsidP="00E900C9">
            <w:pPr>
              <w:spacing w:before="0" w:after="0" w:line="240" w:lineRule="auto"/>
              <w:jc w:val="left"/>
              <w:rPr>
                <w:rFonts w:cs="Wingdings"/>
                <w:sz w:val="18"/>
                <w:szCs w:val="18"/>
              </w:rPr>
            </w:pPr>
            <w:r w:rsidRPr="00EE43C6">
              <w:rPr>
                <w:rFonts w:cs="Wingdings"/>
                <w:sz w:val="18"/>
                <w:szCs w:val="18"/>
              </w:rPr>
              <w:t>Laying</w:t>
            </w:r>
          </w:p>
        </w:tc>
        <w:tc>
          <w:tcPr>
            <w:tcW w:w="1063" w:type="pct"/>
            <w:vAlign w:val="center"/>
          </w:tcPr>
          <w:p w14:paraId="20832F88" w14:textId="2EAF4D26" w:rsidR="00E900C9" w:rsidRPr="00EE43C6" w:rsidRDefault="00E900C9" w:rsidP="00E900C9">
            <w:pPr>
              <w:spacing w:before="0" w:after="0" w:line="240" w:lineRule="auto"/>
              <w:jc w:val="center"/>
              <w:rPr>
                <w:rFonts w:cs="Wingdings"/>
                <w:sz w:val="18"/>
                <w:szCs w:val="18"/>
              </w:rPr>
            </w:pPr>
            <w:r w:rsidRPr="00EE43C6">
              <w:rPr>
                <w:rFonts w:cs="Wingdings"/>
                <w:sz w:val="18"/>
                <w:szCs w:val="18"/>
              </w:rPr>
              <w:t>5.8</w:t>
            </w:r>
          </w:p>
        </w:tc>
        <w:tc>
          <w:tcPr>
            <w:tcW w:w="1064" w:type="pct"/>
            <w:vAlign w:val="center"/>
          </w:tcPr>
          <w:p w14:paraId="63C32EB3" w14:textId="40646012" w:rsidR="00E900C9" w:rsidRPr="00EE43C6" w:rsidRDefault="00E900C9" w:rsidP="00E900C9">
            <w:pPr>
              <w:spacing w:before="0" w:after="0" w:line="240" w:lineRule="auto"/>
              <w:jc w:val="center"/>
              <w:rPr>
                <w:rFonts w:cs="Wingdings"/>
                <w:sz w:val="18"/>
                <w:szCs w:val="18"/>
              </w:rPr>
            </w:pPr>
            <w:r w:rsidRPr="00EE43C6">
              <w:rPr>
                <w:rFonts w:cs="Wingdings"/>
                <w:sz w:val="18"/>
                <w:szCs w:val="18"/>
              </w:rPr>
              <w:t>2.9</w:t>
            </w:r>
          </w:p>
        </w:tc>
        <w:tc>
          <w:tcPr>
            <w:tcW w:w="1172" w:type="pct"/>
            <w:vAlign w:val="center"/>
          </w:tcPr>
          <w:p w14:paraId="51E36F01" w14:textId="08B50AB1" w:rsidR="00E900C9" w:rsidRPr="00EE43C6" w:rsidRDefault="00E900C9" w:rsidP="00E900C9">
            <w:pPr>
              <w:spacing w:before="0" w:after="0" w:line="240" w:lineRule="auto"/>
              <w:jc w:val="center"/>
              <w:rPr>
                <w:rFonts w:cs="Wingdings"/>
                <w:sz w:val="18"/>
                <w:szCs w:val="18"/>
              </w:rPr>
            </w:pPr>
            <w:r w:rsidRPr="00EE43C6">
              <w:rPr>
                <w:rFonts w:cs="Wingdings"/>
                <w:sz w:val="18"/>
                <w:szCs w:val="18"/>
              </w:rPr>
              <w:t>kg/ha-day</w:t>
            </w:r>
          </w:p>
        </w:tc>
      </w:tr>
    </w:tbl>
    <w:p w14:paraId="33DC1365" w14:textId="1866C78B" w:rsidR="00417676" w:rsidRPr="00EE43C6" w:rsidRDefault="00417676" w:rsidP="001E0229">
      <w:pPr>
        <w:pStyle w:val="Caption"/>
        <w:spacing w:before="240" w:after="0" w:line="300" w:lineRule="auto"/>
        <w:jc w:val="both"/>
        <w:rPr>
          <w:rFonts w:cs="Wingdings"/>
          <w:b w:val="0"/>
          <w:bCs w:val="0"/>
          <w:noProof w:val="0"/>
          <w:color w:val="auto"/>
          <w:sz w:val="22"/>
          <w:szCs w:val="18"/>
          <w:lang w:eastAsia="zh-CN"/>
        </w:rPr>
      </w:pPr>
      <w:r w:rsidRPr="00EE43C6">
        <w:rPr>
          <w:rFonts w:cs="Wingdings"/>
          <w:b w:val="0"/>
          <w:bCs w:val="0"/>
          <w:noProof w:val="0"/>
          <w:color w:val="auto"/>
          <w:sz w:val="22"/>
          <w:szCs w:val="18"/>
          <w:lang w:eastAsia="zh-CN"/>
        </w:rPr>
        <w:t>The dust emission flow</w:t>
      </w:r>
      <w:r w:rsidR="00057A1C" w:rsidRPr="00EE43C6">
        <w:rPr>
          <w:rFonts w:cs="Wingdings"/>
          <w:b w:val="0"/>
          <w:bCs w:val="0"/>
          <w:noProof w:val="0"/>
          <w:color w:val="auto"/>
          <w:sz w:val="22"/>
          <w:szCs w:val="18"/>
          <w:lang w:eastAsia="zh-CN"/>
        </w:rPr>
        <w:t>rate</w:t>
      </w:r>
      <w:r w:rsidRPr="00EE43C6">
        <w:rPr>
          <w:rFonts w:cs="Wingdings"/>
          <w:b w:val="0"/>
          <w:bCs w:val="0"/>
          <w:noProof w:val="0"/>
          <w:color w:val="auto"/>
          <w:sz w:val="22"/>
          <w:szCs w:val="18"/>
          <w:lang w:eastAsia="zh-CN"/>
        </w:rPr>
        <w:t xml:space="preserve"> calculation that may occur during the land preparation </w:t>
      </w:r>
      <w:r w:rsidR="00C955B0" w:rsidRPr="00EE43C6">
        <w:rPr>
          <w:rFonts w:cs="Wingdings"/>
          <w:b w:val="0"/>
          <w:bCs w:val="0"/>
          <w:noProof w:val="0"/>
          <w:color w:val="auto"/>
          <w:sz w:val="22"/>
          <w:szCs w:val="18"/>
          <w:lang w:eastAsia="zh-CN"/>
        </w:rPr>
        <w:t xml:space="preserve">and topsoil </w:t>
      </w:r>
      <w:r w:rsidR="00DE345A" w:rsidRPr="00EE43C6">
        <w:rPr>
          <w:rFonts w:cs="Wingdings"/>
          <w:b w:val="0"/>
          <w:bCs w:val="0"/>
          <w:noProof w:val="0"/>
          <w:color w:val="auto"/>
          <w:sz w:val="22"/>
          <w:szCs w:val="18"/>
          <w:lang w:eastAsia="zh-CN"/>
        </w:rPr>
        <w:t xml:space="preserve">related </w:t>
      </w:r>
      <w:r w:rsidRPr="00EE43C6">
        <w:rPr>
          <w:rFonts w:cs="Wingdings"/>
          <w:b w:val="0"/>
          <w:bCs w:val="0"/>
          <w:noProof w:val="0"/>
          <w:color w:val="auto"/>
          <w:sz w:val="22"/>
          <w:szCs w:val="18"/>
          <w:lang w:eastAsia="zh-CN"/>
        </w:rPr>
        <w:t>activit</w:t>
      </w:r>
      <w:r w:rsidR="007127E5" w:rsidRPr="00EE43C6">
        <w:rPr>
          <w:rFonts w:cs="Wingdings"/>
          <w:b w:val="0"/>
          <w:bCs w:val="0"/>
          <w:noProof w:val="0"/>
          <w:color w:val="auto"/>
          <w:sz w:val="22"/>
          <w:szCs w:val="18"/>
          <w:lang w:eastAsia="zh-CN"/>
        </w:rPr>
        <w:t>ies</w:t>
      </w:r>
      <w:r w:rsidRPr="00EE43C6">
        <w:rPr>
          <w:rFonts w:cs="Wingdings"/>
          <w:b w:val="0"/>
          <w:bCs w:val="0"/>
          <w:noProof w:val="0"/>
          <w:color w:val="auto"/>
          <w:sz w:val="22"/>
          <w:szCs w:val="18"/>
          <w:lang w:eastAsia="zh-CN"/>
        </w:rPr>
        <w:t xml:space="preserve"> is given in</w:t>
      </w:r>
      <w:r w:rsidR="00B625EB" w:rsidRPr="00EE43C6">
        <w:rPr>
          <w:rFonts w:cs="Wingdings"/>
          <w:b w:val="0"/>
          <w:bCs w:val="0"/>
          <w:noProof w:val="0"/>
          <w:color w:val="auto"/>
          <w:sz w:val="22"/>
          <w:szCs w:val="18"/>
          <w:lang w:eastAsia="zh-CN"/>
        </w:rPr>
        <w:t xml:space="preserve"> </w:t>
      </w:r>
      <w:r w:rsidR="00B625EB" w:rsidRPr="00EE43C6">
        <w:rPr>
          <w:rFonts w:cs="Wingdings"/>
          <w:b w:val="0"/>
          <w:bCs w:val="0"/>
          <w:noProof w:val="0"/>
          <w:color w:val="auto"/>
          <w:sz w:val="22"/>
          <w:szCs w:val="18"/>
          <w:lang w:eastAsia="zh-CN"/>
        </w:rPr>
        <w:fldChar w:fldCharType="begin"/>
      </w:r>
      <w:r w:rsidR="00B625EB" w:rsidRPr="00EE43C6">
        <w:rPr>
          <w:rFonts w:cs="Wingdings"/>
          <w:b w:val="0"/>
          <w:bCs w:val="0"/>
          <w:noProof w:val="0"/>
          <w:color w:val="auto"/>
          <w:sz w:val="22"/>
          <w:szCs w:val="18"/>
          <w:lang w:eastAsia="zh-CN"/>
        </w:rPr>
        <w:instrText xml:space="preserve"> REF _Ref125712148 \h </w:instrText>
      </w:r>
      <w:r w:rsidR="00C46214" w:rsidRPr="00EE43C6">
        <w:rPr>
          <w:rFonts w:cs="Wingdings"/>
          <w:b w:val="0"/>
          <w:bCs w:val="0"/>
          <w:noProof w:val="0"/>
          <w:color w:val="auto"/>
          <w:sz w:val="22"/>
          <w:szCs w:val="18"/>
          <w:lang w:eastAsia="zh-CN"/>
        </w:rPr>
        <w:instrText xml:space="preserve"> \* MERGEFORMAT </w:instrText>
      </w:r>
      <w:r w:rsidR="00B625EB" w:rsidRPr="00EE43C6">
        <w:rPr>
          <w:rFonts w:cs="Wingdings"/>
          <w:b w:val="0"/>
          <w:bCs w:val="0"/>
          <w:noProof w:val="0"/>
          <w:color w:val="auto"/>
          <w:sz w:val="22"/>
          <w:szCs w:val="18"/>
          <w:lang w:eastAsia="zh-CN"/>
        </w:rPr>
      </w:r>
      <w:r w:rsidR="00B625EB" w:rsidRPr="00EE43C6">
        <w:rPr>
          <w:rFonts w:cs="Wingdings"/>
          <w:b w:val="0"/>
          <w:bCs w:val="0"/>
          <w:noProof w:val="0"/>
          <w:color w:val="auto"/>
          <w:sz w:val="22"/>
          <w:szCs w:val="18"/>
          <w:lang w:eastAsia="zh-CN"/>
        </w:rPr>
        <w:fldChar w:fldCharType="separate"/>
      </w:r>
      <w:r w:rsidR="00C46214" w:rsidRPr="00EE43C6">
        <w:rPr>
          <w:rFonts w:cs="Wingdings"/>
          <w:b w:val="0"/>
          <w:bCs w:val="0"/>
          <w:noProof w:val="0"/>
          <w:color w:val="auto"/>
          <w:sz w:val="22"/>
          <w:szCs w:val="18"/>
          <w:lang w:eastAsia="zh-CN"/>
        </w:rPr>
        <w:t>Table 6</w:t>
      </w:r>
      <w:r w:rsidR="00C46214" w:rsidRPr="00EE43C6">
        <w:rPr>
          <w:rFonts w:cs="Wingdings"/>
          <w:b w:val="0"/>
          <w:bCs w:val="0"/>
          <w:noProof w:val="0"/>
          <w:color w:val="auto"/>
          <w:sz w:val="22"/>
          <w:szCs w:val="18"/>
          <w:lang w:eastAsia="zh-CN"/>
        </w:rPr>
        <w:noBreakHyphen/>
        <w:t>2</w:t>
      </w:r>
      <w:r w:rsidR="00B625EB" w:rsidRPr="00EE43C6">
        <w:rPr>
          <w:rFonts w:cs="Wingdings"/>
          <w:b w:val="0"/>
          <w:bCs w:val="0"/>
          <w:noProof w:val="0"/>
          <w:color w:val="auto"/>
          <w:sz w:val="22"/>
          <w:szCs w:val="18"/>
          <w:lang w:eastAsia="zh-CN"/>
        </w:rPr>
        <w:fldChar w:fldCharType="end"/>
      </w:r>
      <w:r w:rsidRPr="00EE43C6">
        <w:rPr>
          <w:rFonts w:cs="Wingdings"/>
          <w:b w:val="0"/>
          <w:bCs w:val="0"/>
          <w:noProof w:val="0"/>
          <w:color w:val="auto"/>
          <w:sz w:val="22"/>
          <w:szCs w:val="18"/>
          <w:lang w:eastAsia="zh-CN"/>
        </w:rPr>
        <w:t>, the dust emission flow</w:t>
      </w:r>
      <w:r w:rsidR="008A49B8" w:rsidRPr="00EE43C6">
        <w:rPr>
          <w:rFonts w:cs="Wingdings"/>
          <w:b w:val="0"/>
          <w:bCs w:val="0"/>
          <w:noProof w:val="0"/>
          <w:color w:val="auto"/>
          <w:sz w:val="22"/>
          <w:szCs w:val="18"/>
          <w:lang w:eastAsia="zh-CN"/>
        </w:rPr>
        <w:t>rate</w:t>
      </w:r>
      <w:r w:rsidRPr="00EE43C6">
        <w:rPr>
          <w:rFonts w:cs="Wingdings"/>
          <w:b w:val="0"/>
          <w:bCs w:val="0"/>
          <w:noProof w:val="0"/>
          <w:color w:val="auto"/>
          <w:sz w:val="22"/>
          <w:szCs w:val="18"/>
          <w:lang w:eastAsia="zh-CN"/>
        </w:rPr>
        <w:t xml:space="preserve"> calculation that may </w:t>
      </w:r>
      <w:r w:rsidR="00E3687E" w:rsidRPr="00EE43C6">
        <w:rPr>
          <w:rFonts w:cs="Wingdings"/>
          <w:b w:val="0"/>
          <w:bCs w:val="0"/>
          <w:noProof w:val="0"/>
          <w:color w:val="auto"/>
          <w:sz w:val="22"/>
          <w:szCs w:val="18"/>
          <w:lang w:eastAsia="zh-CN"/>
        </w:rPr>
        <w:t>be generated</w:t>
      </w:r>
      <w:r w:rsidRPr="00EE43C6">
        <w:rPr>
          <w:rFonts w:cs="Wingdings"/>
          <w:b w:val="0"/>
          <w:bCs w:val="0"/>
          <w:noProof w:val="0"/>
          <w:color w:val="auto"/>
          <w:sz w:val="22"/>
          <w:szCs w:val="18"/>
          <w:lang w:eastAsia="zh-CN"/>
        </w:rPr>
        <w:t xml:space="preserve"> </w:t>
      </w:r>
      <w:r w:rsidR="001943DA" w:rsidRPr="00EE43C6">
        <w:rPr>
          <w:rFonts w:cs="Wingdings"/>
          <w:b w:val="0"/>
          <w:bCs w:val="0"/>
          <w:noProof w:val="0"/>
          <w:color w:val="auto"/>
          <w:sz w:val="22"/>
          <w:szCs w:val="18"/>
          <w:lang w:eastAsia="zh-CN"/>
        </w:rPr>
        <w:t>regarding</w:t>
      </w:r>
      <w:r w:rsidRPr="00EE43C6">
        <w:rPr>
          <w:rFonts w:cs="Wingdings"/>
          <w:b w:val="0"/>
          <w:bCs w:val="0"/>
          <w:noProof w:val="0"/>
          <w:color w:val="auto"/>
          <w:sz w:val="22"/>
          <w:szCs w:val="18"/>
          <w:lang w:eastAsia="zh-CN"/>
        </w:rPr>
        <w:t xml:space="preserve"> excavation material is given in</w:t>
      </w:r>
      <w:r w:rsidR="00B625EB" w:rsidRPr="00EE43C6">
        <w:rPr>
          <w:rFonts w:cs="Wingdings"/>
          <w:b w:val="0"/>
          <w:bCs w:val="0"/>
          <w:noProof w:val="0"/>
          <w:color w:val="auto"/>
          <w:sz w:val="22"/>
          <w:szCs w:val="18"/>
          <w:lang w:eastAsia="zh-CN"/>
        </w:rPr>
        <w:t xml:space="preserve"> </w:t>
      </w:r>
      <w:r w:rsidR="00B625EB" w:rsidRPr="00EE43C6">
        <w:rPr>
          <w:rFonts w:cs="Wingdings"/>
          <w:b w:val="0"/>
          <w:bCs w:val="0"/>
          <w:noProof w:val="0"/>
          <w:color w:val="auto"/>
          <w:sz w:val="22"/>
          <w:szCs w:val="18"/>
          <w:lang w:eastAsia="zh-CN"/>
        </w:rPr>
        <w:fldChar w:fldCharType="begin"/>
      </w:r>
      <w:r w:rsidR="00B625EB" w:rsidRPr="00EE43C6">
        <w:rPr>
          <w:rFonts w:cs="Wingdings"/>
          <w:b w:val="0"/>
          <w:bCs w:val="0"/>
          <w:noProof w:val="0"/>
          <w:color w:val="auto"/>
          <w:sz w:val="22"/>
          <w:szCs w:val="18"/>
          <w:lang w:eastAsia="zh-CN"/>
        </w:rPr>
        <w:instrText xml:space="preserve"> REF _Ref126336461 \h </w:instrText>
      </w:r>
      <w:r w:rsidR="00C46214" w:rsidRPr="00EE43C6">
        <w:rPr>
          <w:rFonts w:cs="Wingdings"/>
          <w:b w:val="0"/>
          <w:bCs w:val="0"/>
          <w:noProof w:val="0"/>
          <w:color w:val="auto"/>
          <w:sz w:val="22"/>
          <w:szCs w:val="18"/>
          <w:lang w:eastAsia="zh-CN"/>
        </w:rPr>
        <w:instrText xml:space="preserve"> \* MERGEFORMAT </w:instrText>
      </w:r>
      <w:r w:rsidR="00B625EB" w:rsidRPr="00EE43C6">
        <w:rPr>
          <w:rFonts w:cs="Wingdings"/>
          <w:b w:val="0"/>
          <w:bCs w:val="0"/>
          <w:noProof w:val="0"/>
          <w:color w:val="auto"/>
          <w:sz w:val="22"/>
          <w:szCs w:val="18"/>
          <w:lang w:eastAsia="zh-CN"/>
        </w:rPr>
      </w:r>
      <w:r w:rsidR="00B625EB" w:rsidRPr="00EE43C6">
        <w:rPr>
          <w:rFonts w:cs="Wingdings"/>
          <w:b w:val="0"/>
          <w:bCs w:val="0"/>
          <w:noProof w:val="0"/>
          <w:color w:val="auto"/>
          <w:sz w:val="22"/>
          <w:szCs w:val="18"/>
          <w:lang w:eastAsia="zh-CN"/>
        </w:rPr>
        <w:fldChar w:fldCharType="separate"/>
      </w:r>
      <w:r w:rsidR="00C46214" w:rsidRPr="00EE43C6">
        <w:rPr>
          <w:rFonts w:cs="Wingdings"/>
          <w:b w:val="0"/>
          <w:bCs w:val="0"/>
          <w:noProof w:val="0"/>
          <w:color w:val="auto"/>
          <w:sz w:val="22"/>
          <w:szCs w:val="18"/>
          <w:lang w:eastAsia="zh-CN"/>
        </w:rPr>
        <w:t>Table 6</w:t>
      </w:r>
      <w:r w:rsidR="00C46214" w:rsidRPr="00EE43C6">
        <w:rPr>
          <w:rFonts w:cs="Wingdings"/>
          <w:b w:val="0"/>
          <w:bCs w:val="0"/>
          <w:noProof w:val="0"/>
          <w:color w:val="auto"/>
          <w:sz w:val="22"/>
          <w:szCs w:val="18"/>
          <w:lang w:eastAsia="zh-CN"/>
        </w:rPr>
        <w:noBreakHyphen/>
        <w:t>3</w:t>
      </w:r>
      <w:r w:rsidR="00B625EB" w:rsidRPr="00EE43C6">
        <w:rPr>
          <w:rFonts w:cs="Wingdings"/>
          <w:b w:val="0"/>
          <w:bCs w:val="0"/>
          <w:noProof w:val="0"/>
          <w:color w:val="auto"/>
          <w:sz w:val="22"/>
          <w:szCs w:val="18"/>
          <w:lang w:eastAsia="zh-CN"/>
        </w:rPr>
        <w:fldChar w:fldCharType="end"/>
      </w:r>
      <w:r w:rsidRPr="00EE43C6">
        <w:rPr>
          <w:rFonts w:cs="Wingdings"/>
          <w:b w:val="0"/>
          <w:bCs w:val="0"/>
          <w:noProof w:val="0"/>
          <w:color w:val="auto"/>
          <w:sz w:val="22"/>
          <w:szCs w:val="18"/>
          <w:lang w:eastAsia="zh-CN"/>
        </w:rPr>
        <w:t xml:space="preserve">, and the total dust emission </w:t>
      </w:r>
      <w:r w:rsidR="007358C4" w:rsidRPr="00EE43C6">
        <w:rPr>
          <w:rFonts w:cs="Wingdings"/>
          <w:b w:val="0"/>
          <w:bCs w:val="0"/>
          <w:noProof w:val="0"/>
          <w:color w:val="auto"/>
          <w:sz w:val="22"/>
          <w:szCs w:val="18"/>
          <w:lang w:eastAsia="zh-CN"/>
        </w:rPr>
        <w:t xml:space="preserve">flowrate </w:t>
      </w:r>
      <w:r w:rsidRPr="00EE43C6">
        <w:rPr>
          <w:rFonts w:cs="Wingdings"/>
          <w:b w:val="0"/>
          <w:bCs w:val="0"/>
          <w:noProof w:val="0"/>
          <w:color w:val="auto"/>
          <w:sz w:val="22"/>
          <w:szCs w:val="18"/>
          <w:lang w:eastAsia="zh-CN"/>
        </w:rPr>
        <w:t xml:space="preserve">from the </w:t>
      </w:r>
      <w:r w:rsidR="00AC0498" w:rsidRPr="00EE43C6">
        <w:rPr>
          <w:rFonts w:cs="Wingdings"/>
          <w:b w:val="0"/>
          <w:bCs w:val="0"/>
          <w:noProof w:val="0"/>
          <w:color w:val="auto"/>
          <w:sz w:val="22"/>
          <w:szCs w:val="18"/>
          <w:lang w:eastAsia="zh-CN"/>
        </w:rPr>
        <w:t>P</w:t>
      </w:r>
      <w:r w:rsidRPr="00EE43C6">
        <w:rPr>
          <w:rFonts w:cs="Wingdings"/>
          <w:b w:val="0"/>
          <w:bCs w:val="0"/>
          <w:noProof w:val="0"/>
          <w:color w:val="auto"/>
          <w:sz w:val="22"/>
          <w:szCs w:val="18"/>
          <w:lang w:eastAsia="zh-CN"/>
        </w:rPr>
        <w:t>roject</w:t>
      </w:r>
      <w:r w:rsidR="000944AC" w:rsidRPr="00EE43C6">
        <w:rPr>
          <w:rFonts w:cs="Wingdings"/>
          <w:b w:val="0"/>
          <w:bCs w:val="0"/>
          <w:noProof w:val="0"/>
          <w:color w:val="auto"/>
          <w:sz w:val="22"/>
          <w:szCs w:val="18"/>
          <w:lang w:eastAsia="zh-CN"/>
        </w:rPr>
        <w:t>’s two phases</w:t>
      </w:r>
      <w:r w:rsidRPr="00EE43C6">
        <w:rPr>
          <w:rFonts w:cs="Wingdings"/>
          <w:b w:val="0"/>
          <w:bCs w:val="0"/>
          <w:noProof w:val="0"/>
          <w:color w:val="auto"/>
          <w:sz w:val="22"/>
          <w:szCs w:val="18"/>
          <w:lang w:eastAsia="zh-CN"/>
        </w:rPr>
        <w:t xml:space="preserve"> </w:t>
      </w:r>
      <w:r w:rsidR="00040BF3" w:rsidRPr="00EE43C6">
        <w:rPr>
          <w:rFonts w:cs="Wingdings"/>
          <w:b w:val="0"/>
          <w:bCs w:val="0"/>
          <w:noProof w:val="0"/>
          <w:color w:val="auto"/>
          <w:sz w:val="22"/>
          <w:szCs w:val="18"/>
          <w:lang w:eastAsia="zh-CN"/>
        </w:rPr>
        <w:t>(for topsoil and excavation activities)</w:t>
      </w:r>
      <w:r w:rsidRPr="00EE43C6">
        <w:rPr>
          <w:rFonts w:cs="Wingdings"/>
          <w:b w:val="0"/>
          <w:bCs w:val="0"/>
          <w:noProof w:val="0"/>
          <w:color w:val="auto"/>
          <w:sz w:val="22"/>
          <w:szCs w:val="18"/>
          <w:lang w:eastAsia="zh-CN"/>
        </w:rPr>
        <w:t xml:space="preserve"> is given in</w:t>
      </w:r>
      <w:r w:rsidR="00B625EB" w:rsidRPr="00EE43C6">
        <w:rPr>
          <w:rFonts w:cs="Wingdings"/>
          <w:b w:val="0"/>
          <w:bCs w:val="0"/>
          <w:noProof w:val="0"/>
          <w:color w:val="auto"/>
          <w:sz w:val="22"/>
          <w:szCs w:val="18"/>
          <w:lang w:eastAsia="zh-CN"/>
        </w:rPr>
        <w:t xml:space="preserve"> </w:t>
      </w:r>
      <w:r w:rsidR="001E0229">
        <w:rPr>
          <w:rFonts w:cs="Wingdings"/>
          <w:b w:val="0"/>
          <w:bCs w:val="0"/>
          <w:noProof w:val="0"/>
          <w:color w:val="auto"/>
          <w:sz w:val="22"/>
          <w:szCs w:val="18"/>
          <w:lang w:eastAsia="zh-CN"/>
        </w:rPr>
        <w:br/>
      </w:r>
      <w:r w:rsidR="00B625EB" w:rsidRPr="00EE43C6">
        <w:rPr>
          <w:rFonts w:cs="Wingdings"/>
          <w:b w:val="0"/>
          <w:bCs w:val="0"/>
          <w:noProof w:val="0"/>
          <w:color w:val="auto"/>
          <w:sz w:val="22"/>
          <w:szCs w:val="18"/>
          <w:lang w:eastAsia="zh-CN"/>
        </w:rPr>
        <w:fldChar w:fldCharType="begin"/>
      </w:r>
      <w:r w:rsidR="00B625EB" w:rsidRPr="00EE43C6">
        <w:rPr>
          <w:rFonts w:cs="Wingdings"/>
          <w:b w:val="0"/>
          <w:bCs w:val="0"/>
          <w:noProof w:val="0"/>
          <w:color w:val="auto"/>
          <w:sz w:val="22"/>
          <w:szCs w:val="18"/>
          <w:lang w:eastAsia="zh-CN"/>
        </w:rPr>
        <w:instrText xml:space="preserve"> REF _Ref125715358 \h </w:instrText>
      </w:r>
      <w:r w:rsidR="00C46214" w:rsidRPr="00EE43C6">
        <w:rPr>
          <w:rFonts w:cs="Wingdings"/>
          <w:b w:val="0"/>
          <w:bCs w:val="0"/>
          <w:noProof w:val="0"/>
          <w:color w:val="auto"/>
          <w:sz w:val="22"/>
          <w:szCs w:val="18"/>
          <w:lang w:eastAsia="zh-CN"/>
        </w:rPr>
        <w:instrText xml:space="preserve"> \* MERGEFORMAT </w:instrText>
      </w:r>
      <w:r w:rsidR="00B625EB" w:rsidRPr="00EE43C6">
        <w:rPr>
          <w:rFonts w:cs="Wingdings"/>
          <w:b w:val="0"/>
          <w:bCs w:val="0"/>
          <w:noProof w:val="0"/>
          <w:color w:val="auto"/>
          <w:sz w:val="22"/>
          <w:szCs w:val="18"/>
          <w:lang w:eastAsia="zh-CN"/>
        </w:rPr>
      </w:r>
      <w:r w:rsidR="00B625EB" w:rsidRPr="00EE43C6">
        <w:rPr>
          <w:rFonts w:cs="Wingdings"/>
          <w:b w:val="0"/>
          <w:bCs w:val="0"/>
          <w:noProof w:val="0"/>
          <w:color w:val="auto"/>
          <w:sz w:val="22"/>
          <w:szCs w:val="18"/>
          <w:lang w:eastAsia="zh-CN"/>
        </w:rPr>
        <w:fldChar w:fldCharType="separate"/>
      </w:r>
      <w:r w:rsidR="00C46214" w:rsidRPr="00EE43C6">
        <w:rPr>
          <w:rFonts w:cs="Wingdings"/>
          <w:b w:val="0"/>
          <w:bCs w:val="0"/>
          <w:noProof w:val="0"/>
          <w:color w:val="auto"/>
          <w:sz w:val="22"/>
          <w:szCs w:val="18"/>
          <w:lang w:eastAsia="zh-CN"/>
        </w:rPr>
        <w:t>Table 6</w:t>
      </w:r>
      <w:r w:rsidR="00C46214" w:rsidRPr="00EE43C6">
        <w:rPr>
          <w:rFonts w:cs="Wingdings"/>
          <w:b w:val="0"/>
          <w:bCs w:val="0"/>
          <w:noProof w:val="0"/>
          <w:color w:val="auto"/>
          <w:sz w:val="22"/>
          <w:szCs w:val="18"/>
          <w:lang w:eastAsia="zh-CN"/>
        </w:rPr>
        <w:noBreakHyphen/>
        <w:t>4</w:t>
      </w:r>
      <w:r w:rsidR="00B625EB" w:rsidRPr="00EE43C6">
        <w:rPr>
          <w:rFonts w:cs="Wingdings"/>
          <w:b w:val="0"/>
          <w:bCs w:val="0"/>
          <w:noProof w:val="0"/>
          <w:color w:val="auto"/>
          <w:sz w:val="22"/>
          <w:szCs w:val="18"/>
          <w:lang w:eastAsia="zh-CN"/>
        </w:rPr>
        <w:fldChar w:fldCharType="end"/>
      </w:r>
      <w:r w:rsidRPr="00EE43C6">
        <w:rPr>
          <w:rFonts w:cs="Wingdings"/>
          <w:b w:val="0"/>
          <w:bCs w:val="0"/>
          <w:noProof w:val="0"/>
          <w:color w:val="auto"/>
          <w:sz w:val="22"/>
          <w:szCs w:val="18"/>
          <w:lang w:eastAsia="zh-CN"/>
        </w:rPr>
        <w:t>.</w:t>
      </w:r>
    </w:p>
    <w:p w14:paraId="6E657799" w14:textId="4FF8DACA" w:rsidR="00BA4078" w:rsidRPr="00EE43C6" w:rsidRDefault="00D915DF" w:rsidP="001E0229">
      <w:pPr>
        <w:pStyle w:val="Caption"/>
        <w:spacing w:before="240"/>
        <w:rPr>
          <w:rFonts w:cs="Wingdings"/>
          <w:noProof w:val="0"/>
          <w:szCs w:val="18"/>
        </w:rPr>
      </w:pPr>
      <w:bookmarkStart w:id="464" w:name="_Ref125712148"/>
      <w:bookmarkStart w:id="465" w:name="_Toc141445511"/>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w:t>
      </w:r>
      <w:r w:rsidR="006D2DE8">
        <w:rPr>
          <w:noProof w:val="0"/>
        </w:rPr>
        <w:fldChar w:fldCharType="end"/>
      </w:r>
      <w:bookmarkEnd w:id="464"/>
      <w:r w:rsidRPr="00EE43C6">
        <w:rPr>
          <w:noProof w:val="0"/>
        </w:rPr>
        <w:t xml:space="preserve">. </w:t>
      </w:r>
      <w:r w:rsidR="00BA4078" w:rsidRPr="00EE43C6">
        <w:rPr>
          <w:rFonts w:cs="Wingdings"/>
          <w:b w:val="0"/>
          <w:noProof w:val="0"/>
          <w:color w:val="auto"/>
          <w:szCs w:val="18"/>
        </w:rPr>
        <w:t xml:space="preserve">Calculation of Dust Emission </w:t>
      </w:r>
      <w:r w:rsidRPr="00EE43C6">
        <w:rPr>
          <w:rFonts w:cs="Wingdings"/>
          <w:b w:val="0"/>
          <w:bCs w:val="0"/>
          <w:noProof w:val="0"/>
          <w:color w:val="auto"/>
          <w:szCs w:val="18"/>
        </w:rPr>
        <w:t>Flow</w:t>
      </w:r>
      <w:r w:rsidR="00057A1C" w:rsidRPr="00EE43C6">
        <w:rPr>
          <w:rFonts w:cs="Wingdings"/>
          <w:b w:val="0"/>
          <w:bCs w:val="0"/>
          <w:noProof w:val="0"/>
          <w:color w:val="auto"/>
          <w:szCs w:val="18"/>
        </w:rPr>
        <w:t>rate</w:t>
      </w:r>
      <w:r w:rsidR="00BA4078" w:rsidRPr="00EE43C6">
        <w:rPr>
          <w:rFonts w:cs="Wingdings"/>
          <w:b w:val="0"/>
          <w:noProof w:val="0"/>
          <w:color w:val="auto"/>
          <w:szCs w:val="18"/>
        </w:rPr>
        <w:t xml:space="preserve"> </w:t>
      </w:r>
      <w:r w:rsidR="0007449B" w:rsidRPr="00EE43C6">
        <w:rPr>
          <w:rFonts w:cs="Wingdings"/>
          <w:b w:val="0"/>
          <w:bCs w:val="0"/>
          <w:noProof w:val="0"/>
          <w:color w:val="auto"/>
          <w:szCs w:val="18"/>
        </w:rPr>
        <w:t>t</w:t>
      </w:r>
      <w:r w:rsidRPr="00EE43C6">
        <w:rPr>
          <w:rFonts w:cs="Wingdings"/>
          <w:b w:val="0"/>
          <w:bCs w:val="0"/>
          <w:noProof w:val="0"/>
          <w:color w:val="auto"/>
          <w:szCs w:val="18"/>
        </w:rPr>
        <w:t xml:space="preserve">hat </w:t>
      </w:r>
      <w:r w:rsidR="0007449B" w:rsidRPr="00EE43C6">
        <w:rPr>
          <w:rFonts w:cs="Wingdings"/>
          <w:b w:val="0"/>
          <w:bCs w:val="0"/>
          <w:noProof w:val="0"/>
          <w:color w:val="auto"/>
          <w:szCs w:val="18"/>
        </w:rPr>
        <w:t>m</w:t>
      </w:r>
      <w:r w:rsidRPr="00EE43C6">
        <w:rPr>
          <w:rFonts w:cs="Wingdings"/>
          <w:b w:val="0"/>
          <w:bCs w:val="0"/>
          <w:noProof w:val="0"/>
          <w:color w:val="auto"/>
          <w:szCs w:val="18"/>
        </w:rPr>
        <w:t>ay</w:t>
      </w:r>
      <w:r w:rsidR="00BA4078" w:rsidRPr="00EE43C6">
        <w:rPr>
          <w:rFonts w:cs="Wingdings"/>
          <w:b w:val="0"/>
          <w:noProof w:val="0"/>
          <w:color w:val="auto"/>
          <w:szCs w:val="18"/>
        </w:rPr>
        <w:t xml:space="preserve"> Occur </w:t>
      </w:r>
      <w:r w:rsidRPr="00EE43C6">
        <w:rPr>
          <w:rFonts w:cs="Wingdings"/>
          <w:b w:val="0"/>
          <w:bCs w:val="0"/>
          <w:noProof w:val="0"/>
          <w:color w:val="auto"/>
          <w:szCs w:val="18"/>
        </w:rPr>
        <w:t>Regarding</w:t>
      </w:r>
      <w:r w:rsidR="00BA4078" w:rsidRPr="00EE43C6">
        <w:rPr>
          <w:rFonts w:cs="Wingdings"/>
          <w:b w:val="0"/>
          <w:noProof w:val="0"/>
          <w:color w:val="auto"/>
          <w:szCs w:val="18"/>
        </w:rPr>
        <w:t xml:space="preserve"> Topsoil</w:t>
      </w:r>
      <w:bookmarkEnd w:id="465"/>
    </w:p>
    <w:tbl>
      <w:tblPr>
        <w:tblStyle w:val="TableGrid"/>
        <w:tblW w:w="0" w:type="auto"/>
        <w:jc w:val="center"/>
        <w:tblLook w:val="04A0" w:firstRow="1" w:lastRow="0" w:firstColumn="1" w:lastColumn="0" w:noHBand="0" w:noVBand="1"/>
      </w:tblPr>
      <w:tblGrid>
        <w:gridCol w:w="2122"/>
        <w:gridCol w:w="1502"/>
        <w:gridCol w:w="1812"/>
        <w:gridCol w:w="1812"/>
        <w:gridCol w:w="1812"/>
      </w:tblGrid>
      <w:tr w:rsidR="00D40BB1" w:rsidRPr="00EE43C6" w14:paraId="7912BCEE" w14:textId="77777777" w:rsidTr="00B625EB">
        <w:trPr>
          <w:trHeight w:val="284"/>
          <w:jc w:val="center"/>
        </w:trPr>
        <w:tc>
          <w:tcPr>
            <w:tcW w:w="5436" w:type="dxa"/>
            <w:gridSpan w:val="3"/>
            <w:vMerge w:val="restart"/>
            <w:shd w:val="clear" w:color="auto" w:fill="4F81BD"/>
            <w:vAlign w:val="center"/>
          </w:tcPr>
          <w:p w14:paraId="3C3ED32D" w14:textId="56196990" w:rsidR="00D40BB1" w:rsidRPr="00EE43C6" w:rsidRDefault="00AB7794" w:rsidP="00B625EB">
            <w:pPr>
              <w:spacing w:before="0" w:after="0" w:line="240" w:lineRule="auto"/>
              <w:jc w:val="center"/>
              <w:rPr>
                <w:rFonts w:cs="Arial"/>
                <w:b/>
                <w:color w:val="FFFFFF" w:themeColor="background1"/>
                <w:sz w:val="18"/>
                <w:szCs w:val="18"/>
              </w:rPr>
            </w:pPr>
            <w:r w:rsidRPr="00EE43C6">
              <w:rPr>
                <w:rFonts w:cs="Arial"/>
                <w:b/>
                <w:color w:val="FFFFFF" w:themeColor="background1"/>
                <w:sz w:val="18"/>
                <w:szCs w:val="18"/>
              </w:rPr>
              <w:t>Operation Time</w:t>
            </w:r>
          </w:p>
        </w:tc>
        <w:tc>
          <w:tcPr>
            <w:tcW w:w="3624" w:type="dxa"/>
            <w:gridSpan w:val="2"/>
            <w:shd w:val="clear" w:color="auto" w:fill="4F81BD"/>
            <w:vAlign w:val="center"/>
          </w:tcPr>
          <w:p w14:paraId="74EE67D8" w14:textId="65BA5C37" w:rsidR="00D40BB1" w:rsidRPr="00EE43C6" w:rsidRDefault="005C7E66" w:rsidP="00B625EB">
            <w:pPr>
              <w:spacing w:before="0" w:after="0" w:line="240" w:lineRule="auto"/>
              <w:jc w:val="center"/>
              <w:rPr>
                <w:rFonts w:cs="Arial"/>
                <w:b/>
                <w:color w:val="FFFFFF" w:themeColor="background1"/>
                <w:sz w:val="18"/>
                <w:szCs w:val="18"/>
              </w:rPr>
            </w:pPr>
            <w:r w:rsidRPr="00EE43C6">
              <w:rPr>
                <w:rFonts w:cs="Arial"/>
                <w:b/>
                <w:color w:val="FFFFFF" w:themeColor="background1"/>
                <w:sz w:val="18"/>
                <w:szCs w:val="18"/>
              </w:rPr>
              <w:t xml:space="preserve">Amount of </w:t>
            </w:r>
            <w:r w:rsidR="0079364E" w:rsidRPr="00EE43C6">
              <w:rPr>
                <w:rFonts w:cs="Arial"/>
                <w:b/>
                <w:color w:val="FFFFFF" w:themeColor="background1"/>
                <w:sz w:val="18"/>
                <w:szCs w:val="18"/>
              </w:rPr>
              <w:t>Production</w:t>
            </w:r>
            <w:r w:rsidR="00091E30" w:rsidRPr="00EE43C6">
              <w:rPr>
                <w:rFonts w:cs="Arial"/>
                <w:b/>
                <w:color w:val="FFFFFF" w:themeColor="background1"/>
                <w:sz w:val="18"/>
                <w:szCs w:val="18"/>
              </w:rPr>
              <w:t xml:space="preserve"> </w:t>
            </w:r>
          </w:p>
        </w:tc>
      </w:tr>
      <w:tr w:rsidR="00D40BB1" w:rsidRPr="00EE43C6" w14:paraId="480C9012" w14:textId="77777777" w:rsidTr="00B625EB">
        <w:trPr>
          <w:trHeight w:val="284"/>
          <w:tblHeader/>
          <w:jc w:val="center"/>
        </w:trPr>
        <w:tc>
          <w:tcPr>
            <w:tcW w:w="5436" w:type="dxa"/>
            <w:gridSpan w:val="3"/>
            <w:vMerge/>
            <w:shd w:val="clear" w:color="auto" w:fill="4F81BD"/>
            <w:vAlign w:val="center"/>
          </w:tcPr>
          <w:p w14:paraId="5584B94D" w14:textId="77777777" w:rsidR="00D40BB1" w:rsidRPr="00EE43C6" w:rsidRDefault="00D40BB1" w:rsidP="00B625EB">
            <w:pPr>
              <w:spacing w:before="0" w:after="0" w:line="240" w:lineRule="auto"/>
              <w:jc w:val="left"/>
              <w:rPr>
                <w:rFonts w:cs="Arial"/>
                <w:b/>
                <w:color w:val="FFFFFF" w:themeColor="background1"/>
                <w:sz w:val="18"/>
                <w:szCs w:val="18"/>
              </w:rPr>
            </w:pPr>
          </w:p>
        </w:tc>
        <w:tc>
          <w:tcPr>
            <w:tcW w:w="1812" w:type="dxa"/>
            <w:shd w:val="clear" w:color="auto" w:fill="4F81BD"/>
            <w:vAlign w:val="center"/>
          </w:tcPr>
          <w:p w14:paraId="5FC58F4B" w14:textId="4CFFEFEB" w:rsidR="00D40BB1" w:rsidRPr="00EE43C6" w:rsidRDefault="00672818" w:rsidP="00B625EB">
            <w:pPr>
              <w:spacing w:before="0" w:after="0" w:line="240" w:lineRule="auto"/>
              <w:jc w:val="center"/>
              <w:rPr>
                <w:rFonts w:cs="Arial"/>
                <w:b/>
                <w:color w:val="FFFFFF" w:themeColor="background1"/>
                <w:sz w:val="18"/>
                <w:szCs w:val="18"/>
              </w:rPr>
            </w:pPr>
            <w:r w:rsidRPr="00EE43C6">
              <w:rPr>
                <w:rFonts w:cs="Arial"/>
                <w:b/>
                <w:color w:val="FFFFFF" w:themeColor="background1"/>
                <w:sz w:val="18"/>
                <w:szCs w:val="18"/>
              </w:rPr>
              <w:t>Time</w:t>
            </w:r>
          </w:p>
        </w:tc>
        <w:tc>
          <w:tcPr>
            <w:tcW w:w="1812" w:type="dxa"/>
            <w:shd w:val="clear" w:color="auto" w:fill="4F81BD"/>
            <w:vAlign w:val="center"/>
          </w:tcPr>
          <w:p w14:paraId="391725A9" w14:textId="1E59DB45" w:rsidR="00D40BB1" w:rsidRPr="00EE43C6" w:rsidRDefault="00672818" w:rsidP="00B625EB">
            <w:pPr>
              <w:spacing w:before="0" w:after="0" w:line="240" w:lineRule="auto"/>
              <w:jc w:val="center"/>
              <w:rPr>
                <w:rFonts w:cs="Arial"/>
                <w:b/>
                <w:color w:val="FFFFFF" w:themeColor="background1"/>
                <w:sz w:val="18"/>
                <w:szCs w:val="18"/>
              </w:rPr>
            </w:pPr>
            <w:r w:rsidRPr="00EE43C6">
              <w:rPr>
                <w:rFonts w:cs="Arial"/>
                <w:b/>
                <w:color w:val="FFFFFF" w:themeColor="background1"/>
                <w:sz w:val="18"/>
                <w:szCs w:val="18"/>
              </w:rPr>
              <w:t>Ton</w:t>
            </w:r>
            <w:r w:rsidR="008C4B29" w:rsidRPr="00EE43C6">
              <w:rPr>
                <w:rFonts w:cs="Arial"/>
                <w:b/>
                <w:color w:val="FFFFFF" w:themeColor="background1"/>
                <w:sz w:val="18"/>
                <w:szCs w:val="18"/>
              </w:rPr>
              <w:t>ne</w:t>
            </w:r>
          </w:p>
        </w:tc>
      </w:tr>
      <w:tr w:rsidR="00672818" w:rsidRPr="00EE43C6" w14:paraId="360EDF5A" w14:textId="77777777" w:rsidTr="00B625EB">
        <w:trPr>
          <w:trHeight w:val="284"/>
          <w:jc w:val="center"/>
        </w:trPr>
        <w:tc>
          <w:tcPr>
            <w:tcW w:w="2122" w:type="dxa"/>
            <w:vAlign w:val="center"/>
          </w:tcPr>
          <w:p w14:paraId="278D5862" w14:textId="5136A270" w:rsidR="00672818" w:rsidRPr="00EE43C6" w:rsidRDefault="005C2913" w:rsidP="00B625EB">
            <w:pPr>
              <w:spacing w:before="0" w:after="0" w:line="240" w:lineRule="auto"/>
              <w:jc w:val="left"/>
              <w:rPr>
                <w:rFonts w:cs="Arial"/>
                <w:sz w:val="18"/>
                <w:szCs w:val="18"/>
              </w:rPr>
            </w:pPr>
            <w:r w:rsidRPr="00EE43C6">
              <w:rPr>
                <w:rFonts w:cs="Arial"/>
                <w:sz w:val="18"/>
                <w:szCs w:val="18"/>
              </w:rPr>
              <w:t>Excavation Period</w:t>
            </w:r>
          </w:p>
        </w:tc>
        <w:tc>
          <w:tcPr>
            <w:tcW w:w="1502" w:type="dxa"/>
            <w:vAlign w:val="center"/>
          </w:tcPr>
          <w:p w14:paraId="748463B1" w14:textId="4D085533" w:rsidR="00672818" w:rsidRPr="00EE43C6" w:rsidRDefault="009F1D39" w:rsidP="00B625EB">
            <w:pPr>
              <w:spacing w:before="0" w:after="0" w:line="240" w:lineRule="auto"/>
              <w:jc w:val="left"/>
              <w:rPr>
                <w:rFonts w:cs="Arial"/>
                <w:sz w:val="18"/>
                <w:szCs w:val="18"/>
              </w:rPr>
            </w:pPr>
            <w:r w:rsidRPr="00EE43C6">
              <w:rPr>
                <w:rFonts w:cs="Arial"/>
                <w:sz w:val="18"/>
                <w:szCs w:val="18"/>
              </w:rPr>
              <w:t>18</w:t>
            </w:r>
          </w:p>
        </w:tc>
        <w:tc>
          <w:tcPr>
            <w:tcW w:w="1812" w:type="dxa"/>
            <w:vAlign w:val="center"/>
          </w:tcPr>
          <w:p w14:paraId="15F17111" w14:textId="6DC49913" w:rsidR="00672818" w:rsidRPr="00EE43C6" w:rsidRDefault="009F1D39" w:rsidP="00B625EB">
            <w:pPr>
              <w:spacing w:before="0" w:after="0" w:line="240" w:lineRule="auto"/>
              <w:jc w:val="left"/>
              <w:rPr>
                <w:rFonts w:cs="Arial"/>
                <w:sz w:val="18"/>
                <w:szCs w:val="18"/>
              </w:rPr>
            </w:pPr>
            <w:r w:rsidRPr="00EE43C6">
              <w:rPr>
                <w:rFonts w:cs="Arial"/>
                <w:sz w:val="18"/>
                <w:szCs w:val="18"/>
              </w:rPr>
              <w:t>months</w:t>
            </w:r>
          </w:p>
        </w:tc>
        <w:tc>
          <w:tcPr>
            <w:tcW w:w="1812" w:type="dxa"/>
            <w:vAlign w:val="center"/>
          </w:tcPr>
          <w:p w14:paraId="6A8B6513" w14:textId="56C6AF85" w:rsidR="00672818" w:rsidRPr="00EE43C6" w:rsidRDefault="00EC6BDE" w:rsidP="00B625EB">
            <w:pPr>
              <w:spacing w:before="0" w:after="0" w:line="240" w:lineRule="auto"/>
              <w:jc w:val="left"/>
              <w:rPr>
                <w:rFonts w:cs="Arial"/>
                <w:sz w:val="18"/>
                <w:szCs w:val="18"/>
              </w:rPr>
            </w:pPr>
            <w:r w:rsidRPr="00EE43C6">
              <w:rPr>
                <w:rFonts w:cs="Arial"/>
                <w:sz w:val="18"/>
                <w:szCs w:val="18"/>
              </w:rPr>
              <w:t>Annually</w:t>
            </w:r>
          </w:p>
        </w:tc>
        <w:tc>
          <w:tcPr>
            <w:tcW w:w="1812" w:type="dxa"/>
            <w:vAlign w:val="center"/>
          </w:tcPr>
          <w:p w14:paraId="00B18A2F" w14:textId="3C0962B4" w:rsidR="00672818" w:rsidRPr="00EE43C6" w:rsidRDefault="00C32B35" w:rsidP="00B625EB">
            <w:pPr>
              <w:spacing w:before="0" w:after="0" w:line="240" w:lineRule="auto"/>
              <w:jc w:val="left"/>
              <w:rPr>
                <w:rFonts w:cs="Arial"/>
                <w:sz w:val="18"/>
                <w:szCs w:val="18"/>
              </w:rPr>
            </w:pPr>
            <w:r w:rsidRPr="00EE43C6">
              <w:rPr>
                <w:rFonts w:cs="Arial"/>
                <w:sz w:val="18"/>
                <w:szCs w:val="18"/>
              </w:rPr>
              <w:t>460,317</w:t>
            </w:r>
          </w:p>
        </w:tc>
      </w:tr>
      <w:tr w:rsidR="002B27AC" w:rsidRPr="00EE43C6" w14:paraId="2745C1A0" w14:textId="77777777" w:rsidTr="00B625EB">
        <w:trPr>
          <w:trHeight w:val="284"/>
          <w:jc w:val="center"/>
        </w:trPr>
        <w:tc>
          <w:tcPr>
            <w:tcW w:w="2122" w:type="dxa"/>
            <w:vAlign w:val="center"/>
          </w:tcPr>
          <w:p w14:paraId="4D75FD76" w14:textId="21E72E6E" w:rsidR="002B27AC" w:rsidRPr="00EE43C6" w:rsidRDefault="002B27AC" w:rsidP="00B625EB">
            <w:pPr>
              <w:spacing w:before="0" w:after="0" w:line="240" w:lineRule="auto"/>
              <w:jc w:val="left"/>
              <w:rPr>
                <w:rFonts w:cs="Arial"/>
                <w:sz w:val="18"/>
                <w:szCs w:val="18"/>
              </w:rPr>
            </w:pPr>
            <w:r w:rsidRPr="00EE43C6">
              <w:rPr>
                <w:rFonts w:cs="Arial"/>
                <w:sz w:val="18"/>
                <w:szCs w:val="18"/>
              </w:rPr>
              <w:t>Monthly</w:t>
            </w:r>
          </w:p>
        </w:tc>
        <w:tc>
          <w:tcPr>
            <w:tcW w:w="1502" w:type="dxa"/>
            <w:vAlign w:val="center"/>
          </w:tcPr>
          <w:p w14:paraId="42897155" w14:textId="07DF7396" w:rsidR="002B27AC" w:rsidRPr="00EE43C6" w:rsidRDefault="009F1D39" w:rsidP="00B625EB">
            <w:pPr>
              <w:spacing w:before="0" w:after="0" w:line="240" w:lineRule="auto"/>
              <w:jc w:val="left"/>
              <w:rPr>
                <w:rFonts w:cs="Arial"/>
                <w:sz w:val="18"/>
                <w:szCs w:val="18"/>
              </w:rPr>
            </w:pPr>
            <w:r w:rsidRPr="00EE43C6">
              <w:rPr>
                <w:rFonts w:cs="Arial"/>
                <w:sz w:val="18"/>
                <w:szCs w:val="18"/>
              </w:rPr>
              <w:t>30</w:t>
            </w:r>
          </w:p>
        </w:tc>
        <w:tc>
          <w:tcPr>
            <w:tcW w:w="1812" w:type="dxa"/>
            <w:vAlign w:val="center"/>
          </w:tcPr>
          <w:p w14:paraId="2DCD9F13" w14:textId="207DADBC" w:rsidR="002B27AC" w:rsidRPr="00EE43C6" w:rsidRDefault="009F1D39" w:rsidP="00B625EB">
            <w:pPr>
              <w:spacing w:before="0" w:after="0" w:line="240" w:lineRule="auto"/>
              <w:jc w:val="left"/>
              <w:rPr>
                <w:rFonts w:cs="Arial"/>
                <w:sz w:val="18"/>
                <w:szCs w:val="18"/>
              </w:rPr>
            </w:pPr>
            <w:r w:rsidRPr="00EE43C6">
              <w:rPr>
                <w:rFonts w:cs="Arial"/>
                <w:sz w:val="18"/>
                <w:szCs w:val="18"/>
              </w:rPr>
              <w:t>days</w:t>
            </w:r>
          </w:p>
        </w:tc>
        <w:tc>
          <w:tcPr>
            <w:tcW w:w="1812" w:type="dxa"/>
            <w:vAlign w:val="center"/>
          </w:tcPr>
          <w:p w14:paraId="445C6389" w14:textId="7585A167" w:rsidR="002B27AC" w:rsidRPr="00EE43C6" w:rsidRDefault="00EC6BDE" w:rsidP="00B625EB">
            <w:pPr>
              <w:spacing w:before="0" w:after="0" w:line="240" w:lineRule="auto"/>
              <w:jc w:val="left"/>
              <w:rPr>
                <w:rFonts w:cs="Arial"/>
                <w:sz w:val="18"/>
                <w:szCs w:val="18"/>
              </w:rPr>
            </w:pPr>
            <w:r w:rsidRPr="00EE43C6">
              <w:rPr>
                <w:rFonts w:cs="Arial"/>
                <w:sz w:val="18"/>
                <w:szCs w:val="18"/>
              </w:rPr>
              <w:t>Monthly</w:t>
            </w:r>
          </w:p>
        </w:tc>
        <w:tc>
          <w:tcPr>
            <w:tcW w:w="1812" w:type="dxa"/>
            <w:vAlign w:val="center"/>
          </w:tcPr>
          <w:p w14:paraId="27634B20" w14:textId="5FC49F36" w:rsidR="002B27AC" w:rsidRPr="00EE43C6" w:rsidRDefault="00A23F97" w:rsidP="00B625EB">
            <w:pPr>
              <w:spacing w:before="0" w:after="0" w:line="240" w:lineRule="auto"/>
              <w:jc w:val="left"/>
              <w:rPr>
                <w:rFonts w:cs="Arial"/>
                <w:sz w:val="18"/>
                <w:szCs w:val="18"/>
              </w:rPr>
            </w:pPr>
            <w:r w:rsidRPr="00EE43C6">
              <w:rPr>
                <w:rFonts w:cs="Arial"/>
                <w:sz w:val="18"/>
                <w:szCs w:val="18"/>
              </w:rPr>
              <w:t>25,573</w:t>
            </w:r>
          </w:p>
        </w:tc>
      </w:tr>
      <w:tr w:rsidR="002B27AC" w:rsidRPr="00EE43C6" w14:paraId="74A8AC4B" w14:textId="77777777" w:rsidTr="00B625EB">
        <w:trPr>
          <w:trHeight w:val="284"/>
          <w:jc w:val="center"/>
        </w:trPr>
        <w:tc>
          <w:tcPr>
            <w:tcW w:w="2122" w:type="dxa"/>
            <w:vAlign w:val="center"/>
          </w:tcPr>
          <w:p w14:paraId="4B4FD23C" w14:textId="33110667" w:rsidR="002B27AC" w:rsidRPr="00EE43C6" w:rsidRDefault="002B27AC" w:rsidP="00B625EB">
            <w:pPr>
              <w:spacing w:before="0" w:after="0" w:line="240" w:lineRule="auto"/>
              <w:jc w:val="left"/>
              <w:rPr>
                <w:rFonts w:cs="Arial"/>
                <w:sz w:val="18"/>
                <w:szCs w:val="18"/>
              </w:rPr>
            </w:pPr>
            <w:r w:rsidRPr="00EE43C6">
              <w:rPr>
                <w:rFonts w:cs="Arial"/>
                <w:sz w:val="18"/>
                <w:szCs w:val="18"/>
              </w:rPr>
              <w:t>Daily</w:t>
            </w:r>
          </w:p>
        </w:tc>
        <w:tc>
          <w:tcPr>
            <w:tcW w:w="1502" w:type="dxa"/>
            <w:vAlign w:val="center"/>
          </w:tcPr>
          <w:p w14:paraId="5041326B" w14:textId="2E8686F0" w:rsidR="002B27AC" w:rsidRPr="00EE43C6" w:rsidRDefault="009F1D39" w:rsidP="00B625EB">
            <w:pPr>
              <w:spacing w:before="0" w:after="0" w:line="240" w:lineRule="auto"/>
              <w:jc w:val="left"/>
              <w:rPr>
                <w:rFonts w:cs="Arial"/>
                <w:sz w:val="18"/>
                <w:szCs w:val="18"/>
              </w:rPr>
            </w:pPr>
            <w:r w:rsidRPr="00EE43C6">
              <w:rPr>
                <w:rFonts w:cs="Arial"/>
                <w:sz w:val="18"/>
                <w:szCs w:val="18"/>
              </w:rPr>
              <w:t>8</w:t>
            </w:r>
          </w:p>
        </w:tc>
        <w:tc>
          <w:tcPr>
            <w:tcW w:w="1812" w:type="dxa"/>
            <w:vAlign w:val="center"/>
          </w:tcPr>
          <w:p w14:paraId="70381EEA" w14:textId="44763E8D" w:rsidR="002B27AC" w:rsidRPr="00EE43C6" w:rsidRDefault="009F1D39" w:rsidP="00B625EB">
            <w:pPr>
              <w:spacing w:before="0" w:after="0" w:line="240" w:lineRule="auto"/>
              <w:jc w:val="left"/>
              <w:rPr>
                <w:rFonts w:cs="Arial"/>
                <w:sz w:val="18"/>
                <w:szCs w:val="18"/>
              </w:rPr>
            </w:pPr>
            <w:r w:rsidRPr="00EE43C6">
              <w:rPr>
                <w:rFonts w:cs="Arial"/>
                <w:sz w:val="18"/>
                <w:szCs w:val="18"/>
              </w:rPr>
              <w:t>hours</w:t>
            </w:r>
          </w:p>
        </w:tc>
        <w:tc>
          <w:tcPr>
            <w:tcW w:w="1812" w:type="dxa"/>
            <w:vAlign w:val="center"/>
          </w:tcPr>
          <w:p w14:paraId="3406F45D" w14:textId="11365CA9" w:rsidR="002B27AC" w:rsidRPr="00EE43C6" w:rsidRDefault="00414A32" w:rsidP="00B625EB">
            <w:pPr>
              <w:spacing w:before="0" w:after="0" w:line="240" w:lineRule="auto"/>
              <w:jc w:val="left"/>
              <w:rPr>
                <w:rFonts w:cs="Arial"/>
                <w:sz w:val="18"/>
                <w:szCs w:val="18"/>
              </w:rPr>
            </w:pPr>
            <w:r w:rsidRPr="00EE43C6">
              <w:rPr>
                <w:rFonts w:cs="Arial"/>
                <w:sz w:val="18"/>
                <w:szCs w:val="18"/>
              </w:rPr>
              <w:t>Daily</w:t>
            </w:r>
          </w:p>
        </w:tc>
        <w:tc>
          <w:tcPr>
            <w:tcW w:w="1812" w:type="dxa"/>
            <w:vAlign w:val="center"/>
          </w:tcPr>
          <w:p w14:paraId="09D96948" w14:textId="0FE99DA2" w:rsidR="002B27AC" w:rsidRPr="00EE43C6" w:rsidRDefault="00A23F97" w:rsidP="00B625EB">
            <w:pPr>
              <w:spacing w:before="0" w:after="0" w:line="240" w:lineRule="auto"/>
              <w:jc w:val="left"/>
              <w:rPr>
                <w:rFonts w:cs="Arial"/>
                <w:sz w:val="18"/>
                <w:szCs w:val="18"/>
              </w:rPr>
            </w:pPr>
            <w:r w:rsidRPr="00EE43C6">
              <w:rPr>
                <w:rFonts w:cs="Arial"/>
                <w:sz w:val="18"/>
                <w:szCs w:val="18"/>
              </w:rPr>
              <w:t>852</w:t>
            </w:r>
          </w:p>
        </w:tc>
      </w:tr>
      <w:tr w:rsidR="002C148A" w:rsidRPr="00EE43C6" w14:paraId="064EFCDB" w14:textId="77777777" w:rsidTr="00B625EB">
        <w:trPr>
          <w:trHeight w:val="284"/>
          <w:jc w:val="center"/>
        </w:trPr>
        <w:tc>
          <w:tcPr>
            <w:tcW w:w="2122" w:type="dxa"/>
            <w:tcBorders>
              <w:bottom w:val="single" w:sz="4" w:space="0" w:color="auto"/>
            </w:tcBorders>
            <w:vAlign w:val="center"/>
          </w:tcPr>
          <w:p w14:paraId="135F9B55" w14:textId="63CB3C7C" w:rsidR="002C148A" w:rsidRPr="00EE43C6" w:rsidRDefault="002C148A" w:rsidP="00B625EB">
            <w:pPr>
              <w:spacing w:before="0" w:after="0" w:line="240" w:lineRule="auto"/>
              <w:jc w:val="left"/>
              <w:rPr>
                <w:rFonts w:cs="Arial"/>
                <w:sz w:val="18"/>
                <w:szCs w:val="18"/>
              </w:rPr>
            </w:pPr>
            <w:r w:rsidRPr="00EE43C6">
              <w:rPr>
                <w:rFonts w:cs="Arial"/>
                <w:sz w:val="18"/>
                <w:szCs w:val="18"/>
              </w:rPr>
              <w:t>Shift</w:t>
            </w:r>
          </w:p>
        </w:tc>
        <w:tc>
          <w:tcPr>
            <w:tcW w:w="1502" w:type="dxa"/>
            <w:tcBorders>
              <w:bottom w:val="single" w:sz="4" w:space="0" w:color="auto"/>
            </w:tcBorders>
            <w:vAlign w:val="center"/>
          </w:tcPr>
          <w:p w14:paraId="55D6C8DF" w14:textId="074A79CC" w:rsidR="002C148A" w:rsidRPr="00EE43C6" w:rsidRDefault="009F1D39" w:rsidP="00B625EB">
            <w:pPr>
              <w:spacing w:before="0" w:after="0" w:line="240" w:lineRule="auto"/>
              <w:jc w:val="left"/>
              <w:rPr>
                <w:rFonts w:cs="Arial"/>
                <w:sz w:val="18"/>
                <w:szCs w:val="18"/>
              </w:rPr>
            </w:pPr>
            <w:r w:rsidRPr="00EE43C6">
              <w:rPr>
                <w:rFonts w:cs="Arial"/>
                <w:sz w:val="18"/>
                <w:szCs w:val="18"/>
              </w:rPr>
              <w:t>1</w:t>
            </w:r>
          </w:p>
        </w:tc>
        <w:tc>
          <w:tcPr>
            <w:tcW w:w="1812" w:type="dxa"/>
            <w:tcBorders>
              <w:bottom w:val="single" w:sz="4" w:space="0" w:color="auto"/>
            </w:tcBorders>
            <w:vAlign w:val="center"/>
          </w:tcPr>
          <w:p w14:paraId="2BE4E74F" w14:textId="77777777" w:rsidR="002C148A" w:rsidRPr="00EE43C6" w:rsidRDefault="002C148A" w:rsidP="00B625EB">
            <w:pPr>
              <w:spacing w:before="0" w:after="0" w:line="240" w:lineRule="auto"/>
              <w:jc w:val="left"/>
              <w:rPr>
                <w:rFonts w:cs="Arial"/>
                <w:sz w:val="18"/>
                <w:szCs w:val="18"/>
              </w:rPr>
            </w:pPr>
          </w:p>
        </w:tc>
        <w:tc>
          <w:tcPr>
            <w:tcW w:w="1812" w:type="dxa"/>
            <w:tcBorders>
              <w:bottom w:val="single" w:sz="4" w:space="0" w:color="auto"/>
            </w:tcBorders>
            <w:vAlign w:val="center"/>
          </w:tcPr>
          <w:p w14:paraId="078A8271" w14:textId="2AF46CA7" w:rsidR="002C148A" w:rsidRPr="00EE43C6" w:rsidRDefault="00414A32" w:rsidP="00B625EB">
            <w:pPr>
              <w:spacing w:before="0" w:after="0" w:line="240" w:lineRule="auto"/>
              <w:jc w:val="left"/>
              <w:rPr>
                <w:rFonts w:cs="Arial"/>
                <w:sz w:val="18"/>
                <w:szCs w:val="18"/>
              </w:rPr>
            </w:pPr>
            <w:r w:rsidRPr="00EE43C6">
              <w:rPr>
                <w:rFonts w:cs="Arial"/>
                <w:sz w:val="18"/>
                <w:szCs w:val="18"/>
              </w:rPr>
              <w:t>Hourly</w:t>
            </w:r>
          </w:p>
        </w:tc>
        <w:tc>
          <w:tcPr>
            <w:tcW w:w="1812" w:type="dxa"/>
            <w:tcBorders>
              <w:bottom w:val="single" w:sz="4" w:space="0" w:color="auto"/>
            </w:tcBorders>
            <w:vAlign w:val="center"/>
          </w:tcPr>
          <w:p w14:paraId="67BADA20" w14:textId="49BDF028" w:rsidR="002C148A" w:rsidRPr="00EE43C6" w:rsidRDefault="00A23F97" w:rsidP="00B625EB">
            <w:pPr>
              <w:spacing w:before="0" w:after="0" w:line="240" w:lineRule="auto"/>
              <w:jc w:val="left"/>
              <w:rPr>
                <w:rFonts w:cs="Arial"/>
                <w:sz w:val="18"/>
                <w:szCs w:val="18"/>
              </w:rPr>
            </w:pPr>
            <w:r w:rsidRPr="00EE43C6">
              <w:rPr>
                <w:rFonts w:cs="Arial"/>
                <w:sz w:val="18"/>
                <w:szCs w:val="18"/>
              </w:rPr>
              <w:t>107</w:t>
            </w:r>
          </w:p>
        </w:tc>
      </w:tr>
      <w:tr w:rsidR="00A23F97" w:rsidRPr="00EE43C6" w14:paraId="4803500D" w14:textId="77777777" w:rsidTr="00B625EB">
        <w:trPr>
          <w:trHeight w:val="284"/>
          <w:jc w:val="center"/>
        </w:trPr>
        <w:tc>
          <w:tcPr>
            <w:tcW w:w="9060" w:type="dxa"/>
            <w:gridSpan w:val="5"/>
            <w:shd w:val="clear" w:color="auto" w:fill="4F81BD"/>
            <w:vAlign w:val="center"/>
          </w:tcPr>
          <w:p w14:paraId="09421A9B" w14:textId="065F1632" w:rsidR="00A23F97" w:rsidRPr="00EE43C6" w:rsidRDefault="00162261" w:rsidP="00854BE8">
            <w:pPr>
              <w:pStyle w:val="ListParagraph"/>
              <w:numPr>
                <w:ilvl w:val="0"/>
                <w:numId w:val="31"/>
              </w:numPr>
              <w:spacing w:before="0" w:after="0" w:line="240" w:lineRule="auto"/>
              <w:contextualSpacing w:val="0"/>
              <w:jc w:val="left"/>
              <w:rPr>
                <w:b/>
                <w:noProof w:val="0"/>
                <w:color w:val="FFFFFF" w:themeColor="background1"/>
                <w:sz w:val="18"/>
                <w:szCs w:val="18"/>
              </w:rPr>
            </w:pPr>
            <w:r w:rsidRPr="00EE43C6">
              <w:rPr>
                <w:b/>
                <w:noProof w:val="0"/>
                <w:color w:val="FFFFFF" w:themeColor="background1"/>
                <w:sz w:val="18"/>
                <w:szCs w:val="18"/>
              </w:rPr>
              <w:t>Stripping</w:t>
            </w:r>
            <w:r w:rsidR="005C0FDA" w:rsidRPr="00EE43C6">
              <w:rPr>
                <w:b/>
                <w:noProof w:val="0"/>
                <w:color w:val="FFFFFF" w:themeColor="background1"/>
                <w:sz w:val="18"/>
                <w:szCs w:val="18"/>
              </w:rPr>
              <w:t xml:space="preserve"> of Topsoil</w:t>
            </w:r>
          </w:p>
        </w:tc>
      </w:tr>
      <w:tr w:rsidR="00CD1AF9" w:rsidRPr="00EE43C6" w14:paraId="1075D54C" w14:textId="77777777" w:rsidTr="00B625EB">
        <w:trPr>
          <w:trHeight w:val="284"/>
          <w:jc w:val="center"/>
        </w:trPr>
        <w:tc>
          <w:tcPr>
            <w:tcW w:w="9060" w:type="dxa"/>
            <w:gridSpan w:val="5"/>
            <w:vAlign w:val="center"/>
          </w:tcPr>
          <w:p w14:paraId="1472BAD2" w14:textId="51307E77" w:rsidR="00CD1AF9" w:rsidRPr="00EE43C6" w:rsidRDefault="00CD4D77" w:rsidP="00B625EB">
            <w:pPr>
              <w:spacing w:before="0" w:after="0" w:line="240" w:lineRule="auto"/>
              <w:jc w:val="left"/>
              <w:rPr>
                <w:rFonts w:cs="Arial"/>
                <w:sz w:val="18"/>
                <w:szCs w:val="18"/>
              </w:rPr>
            </w:pPr>
            <w:r w:rsidRPr="00EE43C6">
              <w:rPr>
                <w:rFonts w:cs="Arial"/>
                <w:sz w:val="18"/>
                <w:szCs w:val="18"/>
              </w:rPr>
              <w:t>Generation</w:t>
            </w:r>
            <w:r w:rsidR="00CD1AF9" w:rsidRPr="00EE43C6">
              <w:rPr>
                <w:rFonts w:cs="Arial"/>
                <w:sz w:val="18"/>
                <w:szCs w:val="18"/>
              </w:rPr>
              <w:t xml:space="preserve"> amount (ton</w:t>
            </w:r>
            <w:r w:rsidR="001932B8" w:rsidRPr="00EE43C6">
              <w:rPr>
                <w:rFonts w:cs="Arial"/>
                <w:sz w:val="18"/>
                <w:szCs w:val="18"/>
              </w:rPr>
              <w:t>ne</w:t>
            </w:r>
            <w:r w:rsidR="00CD1AF9" w:rsidRPr="00EE43C6">
              <w:rPr>
                <w:rFonts w:cs="Arial"/>
                <w:sz w:val="18"/>
                <w:szCs w:val="18"/>
              </w:rPr>
              <w:t>/hour) x Emission factor (kg/ton</w:t>
            </w:r>
            <w:r w:rsidR="00B959CB" w:rsidRPr="00EE43C6">
              <w:rPr>
                <w:rFonts w:cs="Arial"/>
                <w:sz w:val="18"/>
                <w:szCs w:val="18"/>
              </w:rPr>
              <w:t>ne</w:t>
            </w:r>
            <w:r w:rsidR="00CD1AF9" w:rsidRPr="00EE43C6">
              <w:rPr>
                <w:rFonts w:cs="Arial"/>
                <w:sz w:val="18"/>
                <w:szCs w:val="18"/>
              </w:rPr>
              <w:t>)</w:t>
            </w:r>
          </w:p>
        </w:tc>
      </w:tr>
      <w:tr w:rsidR="00273677" w:rsidRPr="00EE43C6" w14:paraId="7548CE99" w14:textId="77777777" w:rsidTr="00B625EB">
        <w:trPr>
          <w:trHeight w:val="284"/>
          <w:jc w:val="center"/>
        </w:trPr>
        <w:tc>
          <w:tcPr>
            <w:tcW w:w="3624" w:type="dxa"/>
            <w:gridSpan w:val="2"/>
            <w:vAlign w:val="center"/>
          </w:tcPr>
          <w:p w14:paraId="37C8134B" w14:textId="72CDDA27" w:rsidR="00273677" w:rsidRPr="00EE43C6" w:rsidRDefault="002A07C9" w:rsidP="00B625EB">
            <w:pPr>
              <w:spacing w:before="0" w:after="0" w:line="240" w:lineRule="auto"/>
              <w:jc w:val="left"/>
              <w:rPr>
                <w:rFonts w:cs="Arial"/>
                <w:sz w:val="18"/>
                <w:szCs w:val="18"/>
              </w:rPr>
            </w:pPr>
            <w:r w:rsidRPr="00EE43C6">
              <w:rPr>
                <w:rFonts w:cs="Arial"/>
                <w:sz w:val="18"/>
                <w:szCs w:val="18"/>
              </w:rPr>
              <w:t>1.a Uncontrolled</w:t>
            </w:r>
          </w:p>
        </w:tc>
        <w:tc>
          <w:tcPr>
            <w:tcW w:w="5436" w:type="dxa"/>
            <w:gridSpan w:val="3"/>
            <w:vAlign w:val="center"/>
          </w:tcPr>
          <w:p w14:paraId="5001EF5E" w14:textId="18EE52CC" w:rsidR="00273677" w:rsidRPr="00EE43C6" w:rsidRDefault="00764BFE" w:rsidP="00B625EB">
            <w:pPr>
              <w:spacing w:before="0" w:after="0" w:line="240" w:lineRule="auto"/>
              <w:jc w:val="left"/>
              <w:rPr>
                <w:rFonts w:cs="Arial"/>
                <w:sz w:val="18"/>
                <w:szCs w:val="18"/>
              </w:rPr>
            </w:pPr>
            <w:r w:rsidRPr="00EE43C6">
              <w:rPr>
                <w:rFonts w:cs="Arial"/>
                <w:sz w:val="18"/>
                <w:szCs w:val="18"/>
              </w:rPr>
              <w:t>107 ton</w:t>
            </w:r>
            <w:r w:rsidR="00AB4E28">
              <w:rPr>
                <w:rFonts w:cs="Arial"/>
                <w:sz w:val="18"/>
                <w:szCs w:val="18"/>
              </w:rPr>
              <w:t>ne</w:t>
            </w:r>
            <w:r w:rsidRPr="00EE43C6">
              <w:rPr>
                <w:rFonts w:cs="Arial"/>
                <w:sz w:val="18"/>
                <w:szCs w:val="18"/>
              </w:rPr>
              <w:t>s/hour x 0.025 kg/tonne = 2.</w:t>
            </w:r>
            <w:r w:rsidR="00883FBF" w:rsidRPr="00EE43C6">
              <w:rPr>
                <w:rFonts w:cs="Arial"/>
                <w:sz w:val="18"/>
                <w:szCs w:val="18"/>
              </w:rPr>
              <w:t>6</w:t>
            </w:r>
            <w:r w:rsidR="00883FBF">
              <w:rPr>
                <w:rFonts w:cs="Arial"/>
                <w:sz w:val="18"/>
                <w:szCs w:val="18"/>
              </w:rPr>
              <w:t>75</w:t>
            </w:r>
            <w:r w:rsidR="00883FBF" w:rsidRPr="00EE43C6">
              <w:rPr>
                <w:rFonts w:cs="Arial"/>
                <w:sz w:val="18"/>
                <w:szCs w:val="18"/>
              </w:rPr>
              <w:t xml:space="preserve"> </w:t>
            </w:r>
            <w:r w:rsidRPr="00EE43C6">
              <w:rPr>
                <w:rFonts w:cs="Arial"/>
                <w:sz w:val="18"/>
                <w:szCs w:val="18"/>
              </w:rPr>
              <w:t>kg/hour</w:t>
            </w:r>
          </w:p>
        </w:tc>
      </w:tr>
      <w:tr w:rsidR="00544789" w:rsidRPr="00EE43C6" w14:paraId="0372ABD7" w14:textId="77777777" w:rsidTr="00B625EB">
        <w:trPr>
          <w:trHeight w:val="284"/>
          <w:jc w:val="center"/>
        </w:trPr>
        <w:tc>
          <w:tcPr>
            <w:tcW w:w="3624" w:type="dxa"/>
            <w:gridSpan w:val="2"/>
            <w:tcBorders>
              <w:bottom w:val="single" w:sz="4" w:space="0" w:color="auto"/>
            </w:tcBorders>
            <w:vAlign w:val="center"/>
          </w:tcPr>
          <w:p w14:paraId="7BD745F3" w14:textId="777068F5" w:rsidR="00544789" w:rsidRPr="00EE43C6" w:rsidRDefault="00544789" w:rsidP="00B625EB">
            <w:pPr>
              <w:spacing w:before="0" w:after="0" w:line="240" w:lineRule="auto"/>
              <w:jc w:val="left"/>
              <w:rPr>
                <w:rFonts w:cs="Arial"/>
                <w:sz w:val="18"/>
                <w:szCs w:val="18"/>
              </w:rPr>
            </w:pPr>
            <w:r w:rsidRPr="00EE43C6">
              <w:rPr>
                <w:rFonts w:cs="Arial"/>
                <w:sz w:val="18"/>
                <w:szCs w:val="18"/>
              </w:rPr>
              <w:t>1.b Controlled</w:t>
            </w:r>
          </w:p>
        </w:tc>
        <w:tc>
          <w:tcPr>
            <w:tcW w:w="5436" w:type="dxa"/>
            <w:gridSpan w:val="3"/>
            <w:tcBorders>
              <w:bottom w:val="single" w:sz="4" w:space="0" w:color="auto"/>
            </w:tcBorders>
            <w:vAlign w:val="center"/>
          </w:tcPr>
          <w:p w14:paraId="33D1673F" w14:textId="09EB26AB" w:rsidR="00544789" w:rsidRPr="00EE43C6" w:rsidRDefault="00875231" w:rsidP="00B625EB">
            <w:pPr>
              <w:spacing w:before="0" w:after="0" w:line="240" w:lineRule="auto"/>
              <w:jc w:val="left"/>
              <w:rPr>
                <w:rFonts w:cs="Arial"/>
                <w:sz w:val="18"/>
                <w:szCs w:val="18"/>
              </w:rPr>
            </w:pPr>
            <w:r w:rsidRPr="00EE43C6">
              <w:rPr>
                <w:rFonts w:cs="Arial"/>
                <w:sz w:val="18"/>
                <w:szCs w:val="18"/>
              </w:rPr>
              <w:t>107 ton</w:t>
            </w:r>
            <w:r w:rsidR="00AB4E28">
              <w:rPr>
                <w:rFonts w:cs="Arial"/>
                <w:sz w:val="18"/>
                <w:szCs w:val="18"/>
              </w:rPr>
              <w:t>ne</w:t>
            </w:r>
            <w:r w:rsidRPr="00EE43C6">
              <w:rPr>
                <w:rFonts w:cs="Arial"/>
                <w:sz w:val="18"/>
                <w:szCs w:val="18"/>
              </w:rPr>
              <w:t>s/hour x 0.0125 kg/tonne = 1.</w:t>
            </w:r>
            <w:r w:rsidR="00883FBF" w:rsidRPr="00EE43C6">
              <w:rPr>
                <w:rFonts w:cs="Arial"/>
                <w:sz w:val="18"/>
                <w:szCs w:val="18"/>
              </w:rPr>
              <w:t>33</w:t>
            </w:r>
            <w:r w:rsidR="00883FBF">
              <w:rPr>
                <w:rFonts w:cs="Arial"/>
                <w:sz w:val="18"/>
                <w:szCs w:val="18"/>
              </w:rPr>
              <w:t>75</w:t>
            </w:r>
            <w:r w:rsidR="00883FBF" w:rsidRPr="00EE43C6">
              <w:rPr>
                <w:rFonts w:cs="Arial"/>
                <w:sz w:val="18"/>
                <w:szCs w:val="18"/>
              </w:rPr>
              <w:t xml:space="preserve"> </w:t>
            </w:r>
            <w:r w:rsidRPr="00EE43C6">
              <w:rPr>
                <w:rFonts w:cs="Arial"/>
                <w:sz w:val="18"/>
                <w:szCs w:val="18"/>
              </w:rPr>
              <w:t>kg/hour</w:t>
            </w:r>
          </w:p>
        </w:tc>
      </w:tr>
      <w:tr w:rsidR="002A07C9" w:rsidRPr="00EE43C6" w14:paraId="5F37E934" w14:textId="77777777" w:rsidTr="00B625EB">
        <w:trPr>
          <w:trHeight w:val="284"/>
          <w:jc w:val="center"/>
        </w:trPr>
        <w:tc>
          <w:tcPr>
            <w:tcW w:w="9060" w:type="dxa"/>
            <w:gridSpan w:val="5"/>
            <w:shd w:val="clear" w:color="auto" w:fill="4F81BD"/>
            <w:vAlign w:val="center"/>
          </w:tcPr>
          <w:p w14:paraId="058BCCAE" w14:textId="592DDE63" w:rsidR="002A07C9" w:rsidRPr="00EE43C6" w:rsidRDefault="0065510B" w:rsidP="00854BE8">
            <w:pPr>
              <w:pStyle w:val="ListParagraph"/>
              <w:numPr>
                <w:ilvl w:val="0"/>
                <w:numId w:val="31"/>
              </w:numPr>
              <w:spacing w:before="0" w:after="0" w:line="240" w:lineRule="auto"/>
              <w:contextualSpacing w:val="0"/>
              <w:jc w:val="left"/>
              <w:rPr>
                <w:b/>
                <w:noProof w:val="0"/>
                <w:color w:val="FFFFFF" w:themeColor="background1"/>
                <w:sz w:val="18"/>
                <w:szCs w:val="18"/>
              </w:rPr>
            </w:pPr>
            <w:r w:rsidRPr="00EE43C6">
              <w:rPr>
                <w:b/>
                <w:noProof w:val="0"/>
                <w:color w:val="FFFFFF" w:themeColor="background1"/>
                <w:sz w:val="18"/>
                <w:szCs w:val="18"/>
              </w:rPr>
              <w:t xml:space="preserve">Loading </w:t>
            </w:r>
            <w:r w:rsidR="005E221F" w:rsidRPr="00EE43C6">
              <w:rPr>
                <w:b/>
                <w:noProof w:val="0"/>
                <w:color w:val="FFFFFF" w:themeColor="background1"/>
                <w:sz w:val="18"/>
                <w:szCs w:val="18"/>
              </w:rPr>
              <w:t>of Topsoil</w:t>
            </w:r>
          </w:p>
        </w:tc>
      </w:tr>
      <w:tr w:rsidR="002A07C9" w:rsidRPr="00EE43C6" w14:paraId="5A8BC13F" w14:textId="77777777" w:rsidTr="00B625EB">
        <w:trPr>
          <w:trHeight w:val="284"/>
          <w:jc w:val="center"/>
        </w:trPr>
        <w:tc>
          <w:tcPr>
            <w:tcW w:w="9060" w:type="dxa"/>
            <w:gridSpan w:val="5"/>
            <w:vAlign w:val="center"/>
          </w:tcPr>
          <w:p w14:paraId="4F285D2F" w14:textId="7F8A2CFE" w:rsidR="002A07C9" w:rsidRPr="00EE43C6" w:rsidRDefault="00FF52B0" w:rsidP="00B625EB">
            <w:pPr>
              <w:spacing w:before="0" w:after="0" w:line="240" w:lineRule="auto"/>
              <w:jc w:val="left"/>
              <w:rPr>
                <w:rFonts w:cs="Arial"/>
                <w:sz w:val="18"/>
                <w:szCs w:val="18"/>
              </w:rPr>
            </w:pPr>
            <w:r w:rsidRPr="00EE43C6">
              <w:rPr>
                <w:rFonts w:cs="Arial"/>
                <w:sz w:val="18"/>
                <w:szCs w:val="18"/>
              </w:rPr>
              <w:t>Generation amount (ton</w:t>
            </w:r>
            <w:r w:rsidR="001932B8" w:rsidRPr="00EE43C6">
              <w:rPr>
                <w:rFonts w:cs="Arial"/>
                <w:sz w:val="18"/>
                <w:szCs w:val="18"/>
              </w:rPr>
              <w:t>ne</w:t>
            </w:r>
            <w:r w:rsidRPr="00EE43C6">
              <w:rPr>
                <w:rFonts w:cs="Arial"/>
                <w:sz w:val="18"/>
                <w:szCs w:val="18"/>
              </w:rPr>
              <w:t>/hour) x Emission factor (kg/ton</w:t>
            </w:r>
            <w:r w:rsidR="00B959CB" w:rsidRPr="00EE43C6">
              <w:rPr>
                <w:rFonts w:cs="Arial"/>
                <w:sz w:val="18"/>
                <w:szCs w:val="18"/>
              </w:rPr>
              <w:t>ne</w:t>
            </w:r>
            <w:r w:rsidRPr="00EE43C6">
              <w:rPr>
                <w:rFonts w:cs="Arial"/>
                <w:sz w:val="18"/>
                <w:szCs w:val="18"/>
              </w:rPr>
              <w:t>)</w:t>
            </w:r>
          </w:p>
        </w:tc>
      </w:tr>
      <w:tr w:rsidR="00FF52B0" w:rsidRPr="00EE43C6" w14:paraId="66D76292" w14:textId="77777777" w:rsidTr="00B625EB">
        <w:trPr>
          <w:trHeight w:val="284"/>
          <w:jc w:val="center"/>
        </w:trPr>
        <w:tc>
          <w:tcPr>
            <w:tcW w:w="3624" w:type="dxa"/>
            <w:gridSpan w:val="2"/>
            <w:vAlign w:val="center"/>
          </w:tcPr>
          <w:p w14:paraId="7D1DD386" w14:textId="3FD07F14" w:rsidR="00FF52B0" w:rsidRPr="00EE43C6" w:rsidRDefault="00A52B2F" w:rsidP="00B625EB">
            <w:pPr>
              <w:spacing w:before="0" w:after="0" w:line="240" w:lineRule="auto"/>
              <w:jc w:val="left"/>
              <w:rPr>
                <w:rFonts w:cs="Arial"/>
                <w:sz w:val="18"/>
                <w:szCs w:val="18"/>
              </w:rPr>
            </w:pPr>
            <w:r w:rsidRPr="00EE43C6">
              <w:rPr>
                <w:rFonts w:cs="Arial"/>
                <w:sz w:val="18"/>
                <w:szCs w:val="18"/>
              </w:rPr>
              <w:t>2.a Uncontrolled</w:t>
            </w:r>
          </w:p>
        </w:tc>
        <w:tc>
          <w:tcPr>
            <w:tcW w:w="5436" w:type="dxa"/>
            <w:gridSpan w:val="3"/>
            <w:vAlign w:val="center"/>
          </w:tcPr>
          <w:p w14:paraId="0203CCE0" w14:textId="628CD65D" w:rsidR="00FF52B0" w:rsidRPr="00EE43C6" w:rsidRDefault="00E64592" w:rsidP="00B625EB">
            <w:pPr>
              <w:spacing w:before="0" w:after="0" w:line="240" w:lineRule="auto"/>
              <w:jc w:val="left"/>
              <w:rPr>
                <w:rFonts w:cs="Arial"/>
                <w:sz w:val="18"/>
                <w:szCs w:val="18"/>
              </w:rPr>
            </w:pPr>
            <w:r w:rsidRPr="00EE43C6">
              <w:rPr>
                <w:rFonts w:cs="Arial"/>
                <w:sz w:val="18"/>
                <w:szCs w:val="18"/>
              </w:rPr>
              <w:t>107 ton</w:t>
            </w:r>
            <w:r w:rsidR="00AB4E28">
              <w:rPr>
                <w:rFonts w:cs="Arial"/>
                <w:sz w:val="18"/>
                <w:szCs w:val="18"/>
              </w:rPr>
              <w:t>ne</w:t>
            </w:r>
            <w:r w:rsidRPr="00EE43C6">
              <w:rPr>
                <w:rFonts w:cs="Arial"/>
                <w:sz w:val="18"/>
                <w:szCs w:val="18"/>
              </w:rPr>
              <w:t>s/hour x 0.010 kg/tonne = 1.0655 kg/hour</w:t>
            </w:r>
          </w:p>
        </w:tc>
      </w:tr>
      <w:tr w:rsidR="00A52B2F" w:rsidRPr="00EE43C6" w14:paraId="4FACEC74" w14:textId="77777777" w:rsidTr="00B625EB">
        <w:trPr>
          <w:trHeight w:val="284"/>
          <w:jc w:val="center"/>
        </w:trPr>
        <w:tc>
          <w:tcPr>
            <w:tcW w:w="3624" w:type="dxa"/>
            <w:gridSpan w:val="2"/>
            <w:tcBorders>
              <w:bottom w:val="single" w:sz="4" w:space="0" w:color="auto"/>
            </w:tcBorders>
            <w:vAlign w:val="center"/>
          </w:tcPr>
          <w:p w14:paraId="293EEB71" w14:textId="10B6898E" w:rsidR="00A52B2F" w:rsidRPr="00EE43C6" w:rsidRDefault="00A52B2F" w:rsidP="00B625EB">
            <w:pPr>
              <w:spacing w:before="0" w:after="0" w:line="240" w:lineRule="auto"/>
              <w:jc w:val="left"/>
              <w:rPr>
                <w:rFonts w:cs="Arial"/>
                <w:sz w:val="18"/>
                <w:szCs w:val="18"/>
              </w:rPr>
            </w:pPr>
            <w:r w:rsidRPr="00EE43C6">
              <w:rPr>
                <w:rFonts w:cs="Arial"/>
                <w:sz w:val="18"/>
                <w:szCs w:val="18"/>
              </w:rPr>
              <w:t>2.b Controlled</w:t>
            </w:r>
          </w:p>
        </w:tc>
        <w:tc>
          <w:tcPr>
            <w:tcW w:w="5436" w:type="dxa"/>
            <w:gridSpan w:val="3"/>
            <w:tcBorders>
              <w:bottom w:val="single" w:sz="4" w:space="0" w:color="auto"/>
            </w:tcBorders>
            <w:vAlign w:val="center"/>
          </w:tcPr>
          <w:p w14:paraId="28BF5858" w14:textId="0B8F4E1A" w:rsidR="00A52B2F" w:rsidRPr="00EE43C6" w:rsidRDefault="00D87C62" w:rsidP="00B625EB">
            <w:pPr>
              <w:spacing w:before="0" w:after="0" w:line="240" w:lineRule="auto"/>
              <w:jc w:val="left"/>
              <w:rPr>
                <w:rFonts w:cs="Arial"/>
                <w:sz w:val="18"/>
                <w:szCs w:val="18"/>
              </w:rPr>
            </w:pPr>
            <w:r w:rsidRPr="00EE43C6">
              <w:rPr>
                <w:rFonts w:cs="Arial"/>
                <w:sz w:val="18"/>
                <w:szCs w:val="18"/>
              </w:rPr>
              <w:t>107 ton</w:t>
            </w:r>
            <w:r w:rsidR="00AB4E28">
              <w:rPr>
                <w:rFonts w:cs="Arial"/>
                <w:sz w:val="18"/>
                <w:szCs w:val="18"/>
              </w:rPr>
              <w:t>ne</w:t>
            </w:r>
            <w:r w:rsidRPr="00EE43C6">
              <w:rPr>
                <w:rFonts w:cs="Arial"/>
                <w:sz w:val="18"/>
                <w:szCs w:val="18"/>
              </w:rPr>
              <w:t>s/hour x 0.005 kg/tonne = 0.5327 kg/hour</w:t>
            </w:r>
          </w:p>
        </w:tc>
      </w:tr>
      <w:tr w:rsidR="00A52B2F" w:rsidRPr="00EE43C6" w14:paraId="2C2AFED4" w14:textId="77777777" w:rsidTr="00B625EB">
        <w:trPr>
          <w:trHeight w:val="284"/>
          <w:jc w:val="center"/>
        </w:trPr>
        <w:tc>
          <w:tcPr>
            <w:tcW w:w="9060" w:type="dxa"/>
            <w:gridSpan w:val="5"/>
            <w:shd w:val="clear" w:color="auto" w:fill="4F81BD"/>
            <w:vAlign w:val="center"/>
          </w:tcPr>
          <w:p w14:paraId="31AF465C" w14:textId="3012C757" w:rsidR="00A52B2F" w:rsidRPr="00EE43C6" w:rsidRDefault="005703FD" w:rsidP="00854BE8">
            <w:pPr>
              <w:pStyle w:val="ListParagraph"/>
              <w:numPr>
                <w:ilvl w:val="0"/>
                <w:numId w:val="31"/>
              </w:numPr>
              <w:spacing w:before="0" w:after="0" w:line="240" w:lineRule="auto"/>
              <w:contextualSpacing w:val="0"/>
              <w:jc w:val="left"/>
              <w:rPr>
                <w:b/>
                <w:noProof w:val="0"/>
                <w:color w:val="FFFFFF" w:themeColor="background1"/>
                <w:sz w:val="18"/>
                <w:szCs w:val="18"/>
              </w:rPr>
            </w:pPr>
            <w:r w:rsidRPr="00EE43C6">
              <w:rPr>
                <w:b/>
                <w:noProof w:val="0"/>
                <w:color w:val="FFFFFF" w:themeColor="background1"/>
                <w:sz w:val="18"/>
                <w:szCs w:val="18"/>
              </w:rPr>
              <w:t>Transportation of Topsoil (852 ton</w:t>
            </w:r>
            <w:r w:rsidR="001932B8" w:rsidRPr="00EE43C6">
              <w:rPr>
                <w:b/>
                <w:noProof w:val="0"/>
                <w:color w:val="FFFFFF" w:themeColor="background1"/>
                <w:sz w:val="18"/>
                <w:szCs w:val="18"/>
              </w:rPr>
              <w:t>ne</w:t>
            </w:r>
            <w:r w:rsidRPr="00EE43C6">
              <w:rPr>
                <w:b/>
                <w:noProof w:val="0"/>
                <w:color w:val="FFFFFF" w:themeColor="background1"/>
                <w:sz w:val="18"/>
                <w:szCs w:val="18"/>
              </w:rPr>
              <w:t>s/day) (15 trucks of 40 ton</w:t>
            </w:r>
            <w:r w:rsidR="008C1231" w:rsidRPr="00EE43C6">
              <w:rPr>
                <w:b/>
                <w:noProof w:val="0"/>
                <w:color w:val="FFFFFF" w:themeColor="background1"/>
                <w:sz w:val="18"/>
                <w:szCs w:val="18"/>
              </w:rPr>
              <w:t>ne</w:t>
            </w:r>
            <w:r w:rsidRPr="00EE43C6">
              <w:rPr>
                <w:b/>
                <w:noProof w:val="0"/>
                <w:color w:val="FFFFFF" w:themeColor="background1"/>
                <w:sz w:val="18"/>
                <w:szCs w:val="18"/>
              </w:rPr>
              <w:t>s)</w:t>
            </w:r>
          </w:p>
        </w:tc>
      </w:tr>
      <w:tr w:rsidR="005703FD" w:rsidRPr="00EE43C6" w14:paraId="0F8BA52E" w14:textId="77777777" w:rsidTr="00B625EB">
        <w:trPr>
          <w:trHeight w:val="284"/>
          <w:jc w:val="center"/>
        </w:trPr>
        <w:tc>
          <w:tcPr>
            <w:tcW w:w="9060" w:type="dxa"/>
            <w:gridSpan w:val="5"/>
            <w:vAlign w:val="center"/>
          </w:tcPr>
          <w:p w14:paraId="58D8C85E" w14:textId="18C4C553" w:rsidR="005703FD" w:rsidRPr="00EE43C6" w:rsidRDefault="00836D5A" w:rsidP="00B625EB">
            <w:pPr>
              <w:spacing w:before="0" w:after="0" w:line="240" w:lineRule="auto"/>
              <w:jc w:val="left"/>
              <w:rPr>
                <w:rFonts w:cs="Arial"/>
                <w:sz w:val="18"/>
                <w:szCs w:val="18"/>
              </w:rPr>
            </w:pPr>
            <w:r w:rsidRPr="00EE43C6">
              <w:rPr>
                <w:rFonts w:cs="Arial"/>
                <w:sz w:val="18"/>
                <w:szCs w:val="18"/>
              </w:rPr>
              <w:t>Number of trips (trips/day) x Transport Distance (km) x Emission Factor (kg/km)</w:t>
            </w:r>
            <w:r w:rsidR="00CE31F1" w:rsidRPr="00EE43C6">
              <w:rPr>
                <w:rFonts w:cs="Arial"/>
                <w:sz w:val="18"/>
                <w:szCs w:val="18"/>
              </w:rPr>
              <w:t xml:space="preserve"> </w:t>
            </w:r>
            <w:r w:rsidRPr="00EE43C6">
              <w:rPr>
                <w:rFonts w:cs="Arial"/>
                <w:sz w:val="18"/>
                <w:szCs w:val="18"/>
              </w:rPr>
              <w:t>x day/hour</w:t>
            </w:r>
          </w:p>
        </w:tc>
      </w:tr>
      <w:tr w:rsidR="005703FD" w:rsidRPr="00EE43C6" w14:paraId="767993BF" w14:textId="77777777" w:rsidTr="00B625EB">
        <w:trPr>
          <w:trHeight w:val="284"/>
          <w:jc w:val="center"/>
        </w:trPr>
        <w:tc>
          <w:tcPr>
            <w:tcW w:w="3624" w:type="dxa"/>
            <w:gridSpan w:val="2"/>
            <w:vAlign w:val="center"/>
          </w:tcPr>
          <w:p w14:paraId="38E9E5D1" w14:textId="562B4B5E" w:rsidR="005703FD" w:rsidRPr="00EE43C6" w:rsidRDefault="00836D5A" w:rsidP="00B625EB">
            <w:pPr>
              <w:spacing w:before="0" w:after="0" w:line="240" w:lineRule="auto"/>
              <w:jc w:val="left"/>
              <w:rPr>
                <w:rFonts w:cs="Arial"/>
                <w:sz w:val="18"/>
                <w:szCs w:val="18"/>
              </w:rPr>
            </w:pPr>
            <w:r w:rsidRPr="00EE43C6">
              <w:rPr>
                <w:rFonts w:cs="Arial"/>
                <w:sz w:val="18"/>
                <w:szCs w:val="18"/>
              </w:rPr>
              <w:t>3.a Uncontrolled</w:t>
            </w:r>
          </w:p>
        </w:tc>
        <w:tc>
          <w:tcPr>
            <w:tcW w:w="5436" w:type="dxa"/>
            <w:gridSpan w:val="3"/>
            <w:vAlign w:val="center"/>
          </w:tcPr>
          <w:p w14:paraId="75025B68" w14:textId="0DBEBCFA" w:rsidR="005703FD" w:rsidRPr="00EE43C6" w:rsidRDefault="00774C36" w:rsidP="00B625EB">
            <w:pPr>
              <w:spacing w:before="0" w:after="0" w:line="240" w:lineRule="auto"/>
              <w:jc w:val="left"/>
              <w:rPr>
                <w:rFonts w:cs="Arial"/>
                <w:sz w:val="18"/>
                <w:szCs w:val="18"/>
              </w:rPr>
            </w:pPr>
            <w:r w:rsidRPr="00EE43C6">
              <w:rPr>
                <w:rFonts w:cs="Arial"/>
                <w:sz w:val="18"/>
                <w:szCs w:val="18"/>
              </w:rPr>
              <w:t>21 trips/day x 1.5 km/trip x 0.70 kg/km x 1day/8 h</w:t>
            </w:r>
            <w:r w:rsidR="0057286A" w:rsidRPr="00EE43C6">
              <w:rPr>
                <w:rFonts w:cs="Arial"/>
                <w:sz w:val="18"/>
                <w:szCs w:val="18"/>
              </w:rPr>
              <w:t>ou</w:t>
            </w:r>
            <w:r w:rsidRPr="00EE43C6">
              <w:rPr>
                <w:rFonts w:cs="Arial"/>
                <w:sz w:val="18"/>
                <w:szCs w:val="18"/>
              </w:rPr>
              <w:t>r</w:t>
            </w:r>
            <w:r w:rsidR="00843921" w:rsidRPr="00EE43C6">
              <w:rPr>
                <w:rFonts w:cs="Arial"/>
                <w:sz w:val="18"/>
                <w:szCs w:val="18"/>
              </w:rPr>
              <w:t>s</w:t>
            </w:r>
            <w:r w:rsidRPr="00EE43C6">
              <w:rPr>
                <w:rFonts w:cs="Arial"/>
                <w:sz w:val="18"/>
                <w:szCs w:val="18"/>
              </w:rPr>
              <w:t xml:space="preserve"> = 2.7562 kg/h</w:t>
            </w:r>
            <w:r w:rsidR="0057286A" w:rsidRPr="00EE43C6">
              <w:rPr>
                <w:rFonts w:cs="Arial"/>
                <w:sz w:val="18"/>
                <w:szCs w:val="18"/>
              </w:rPr>
              <w:t>ou</w:t>
            </w:r>
            <w:r w:rsidRPr="00EE43C6">
              <w:rPr>
                <w:rFonts w:cs="Arial"/>
                <w:sz w:val="18"/>
                <w:szCs w:val="18"/>
              </w:rPr>
              <w:t>r</w:t>
            </w:r>
          </w:p>
        </w:tc>
      </w:tr>
      <w:tr w:rsidR="00836D5A" w:rsidRPr="00EE43C6" w14:paraId="13DC8FF1" w14:textId="77777777" w:rsidTr="00B625EB">
        <w:trPr>
          <w:trHeight w:val="284"/>
          <w:jc w:val="center"/>
        </w:trPr>
        <w:tc>
          <w:tcPr>
            <w:tcW w:w="3624" w:type="dxa"/>
            <w:gridSpan w:val="2"/>
            <w:tcBorders>
              <w:bottom w:val="single" w:sz="4" w:space="0" w:color="auto"/>
            </w:tcBorders>
            <w:vAlign w:val="center"/>
          </w:tcPr>
          <w:p w14:paraId="4B834FF1" w14:textId="0698F42C" w:rsidR="00836D5A" w:rsidRPr="00EE43C6" w:rsidRDefault="00836D5A" w:rsidP="00B625EB">
            <w:pPr>
              <w:spacing w:before="0" w:after="0" w:line="240" w:lineRule="auto"/>
              <w:jc w:val="left"/>
              <w:rPr>
                <w:rFonts w:cs="Arial"/>
                <w:sz w:val="18"/>
                <w:szCs w:val="18"/>
              </w:rPr>
            </w:pPr>
            <w:r w:rsidRPr="00EE43C6">
              <w:rPr>
                <w:rFonts w:cs="Arial"/>
                <w:sz w:val="18"/>
                <w:szCs w:val="18"/>
              </w:rPr>
              <w:t>3.b Controlled</w:t>
            </w:r>
          </w:p>
        </w:tc>
        <w:tc>
          <w:tcPr>
            <w:tcW w:w="5436" w:type="dxa"/>
            <w:gridSpan w:val="3"/>
            <w:tcBorders>
              <w:bottom w:val="single" w:sz="4" w:space="0" w:color="auto"/>
            </w:tcBorders>
            <w:vAlign w:val="center"/>
          </w:tcPr>
          <w:p w14:paraId="5EA24FCF" w14:textId="58DC1281" w:rsidR="00836D5A" w:rsidRPr="00EE43C6" w:rsidRDefault="00827617" w:rsidP="00B625EB">
            <w:pPr>
              <w:spacing w:before="0" w:after="0" w:line="240" w:lineRule="auto"/>
              <w:jc w:val="left"/>
              <w:rPr>
                <w:rFonts w:cs="Arial"/>
                <w:sz w:val="18"/>
                <w:szCs w:val="18"/>
              </w:rPr>
            </w:pPr>
            <w:r w:rsidRPr="00EE43C6">
              <w:rPr>
                <w:rFonts w:cs="Arial"/>
                <w:sz w:val="18"/>
                <w:szCs w:val="18"/>
              </w:rPr>
              <w:t>21 trips/day x 1.5 km/trip x 0.35 kg/km x 1 day/8 hour</w:t>
            </w:r>
            <w:r w:rsidR="00843921" w:rsidRPr="00EE43C6">
              <w:rPr>
                <w:rFonts w:cs="Arial"/>
                <w:sz w:val="18"/>
                <w:szCs w:val="18"/>
              </w:rPr>
              <w:t>s</w:t>
            </w:r>
            <w:r w:rsidRPr="00EE43C6">
              <w:rPr>
                <w:rFonts w:cs="Arial"/>
                <w:sz w:val="18"/>
                <w:szCs w:val="18"/>
              </w:rPr>
              <w:t xml:space="preserve"> = 1.3781 kg/hour</w:t>
            </w:r>
          </w:p>
        </w:tc>
      </w:tr>
      <w:tr w:rsidR="00836D5A" w:rsidRPr="00EE43C6" w14:paraId="1F6FC80F" w14:textId="77777777" w:rsidTr="00B625EB">
        <w:trPr>
          <w:trHeight w:val="284"/>
          <w:jc w:val="center"/>
        </w:trPr>
        <w:tc>
          <w:tcPr>
            <w:tcW w:w="9060" w:type="dxa"/>
            <w:gridSpan w:val="5"/>
            <w:shd w:val="clear" w:color="auto" w:fill="4F81BD"/>
            <w:vAlign w:val="center"/>
          </w:tcPr>
          <w:p w14:paraId="547173AE" w14:textId="34EEECFF" w:rsidR="00836D5A" w:rsidRPr="00EE43C6" w:rsidRDefault="00F86154" w:rsidP="00854BE8">
            <w:pPr>
              <w:pStyle w:val="ListParagraph"/>
              <w:numPr>
                <w:ilvl w:val="0"/>
                <w:numId w:val="31"/>
              </w:numPr>
              <w:spacing w:before="0" w:after="0" w:line="240" w:lineRule="auto"/>
              <w:contextualSpacing w:val="0"/>
              <w:jc w:val="left"/>
              <w:rPr>
                <w:b/>
                <w:noProof w:val="0"/>
                <w:color w:val="FFFFFF" w:themeColor="background1"/>
                <w:sz w:val="18"/>
                <w:szCs w:val="18"/>
              </w:rPr>
            </w:pPr>
            <w:r w:rsidRPr="00EE43C6">
              <w:rPr>
                <w:b/>
                <w:noProof w:val="0"/>
                <w:color w:val="FFFFFF" w:themeColor="background1"/>
                <w:sz w:val="18"/>
                <w:szCs w:val="18"/>
              </w:rPr>
              <w:t>Unloading of Topsoil</w:t>
            </w:r>
          </w:p>
        </w:tc>
      </w:tr>
      <w:tr w:rsidR="008914AB" w:rsidRPr="00EE43C6" w14:paraId="40241FD1" w14:textId="77777777" w:rsidTr="00B625EB">
        <w:trPr>
          <w:trHeight w:val="284"/>
          <w:jc w:val="center"/>
        </w:trPr>
        <w:tc>
          <w:tcPr>
            <w:tcW w:w="9060" w:type="dxa"/>
            <w:gridSpan w:val="5"/>
            <w:vAlign w:val="center"/>
          </w:tcPr>
          <w:p w14:paraId="76F21532" w14:textId="5B2F7D4C" w:rsidR="008914AB" w:rsidRPr="00EE43C6" w:rsidRDefault="008914AB" w:rsidP="00B625EB">
            <w:pPr>
              <w:spacing w:before="0" w:after="0" w:line="240" w:lineRule="auto"/>
              <w:jc w:val="left"/>
              <w:rPr>
                <w:rFonts w:cs="Arial"/>
                <w:sz w:val="18"/>
                <w:szCs w:val="18"/>
              </w:rPr>
            </w:pPr>
            <w:r w:rsidRPr="00EE43C6">
              <w:rPr>
                <w:rFonts w:cs="Arial"/>
                <w:sz w:val="18"/>
                <w:szCs w:val="18"/>
              </w:rPr>
              <w:t>Generation amount (ton</w:t>
            </w:r>
            <w:r w:rsidR="008C1231" w:rsidRPr="00EE43C6">
              <w:rPr>
                <w:rFonts w:cs="Arial"/>
                <w:sz w:val="18"/>
                <w:szCs w:val="18"/>
              </w:rPr>
              <w:t>ne</w:t>
            </w:r>
            <w:r w:rsidRPr="00EE43C6">
              <w:rPr>
                <w:rFonts w:cs="Arial"/>
                <w:sz w:val="18"/>
                <w:szCs w:val="18"/>
              </w:rPr>
              <w:t>/hour) x Emission factor (kg/ton</w:t>
            </w:r>
            <w:r w:rsidR="00B959CB" w:rsidRPr="00EE43C6">
              <w:rPr>
                <w:rFonts w:cs="Arial"/>
                <w:sz w:val="18"/>
                <w:szCs w:val="18"/>
              </w:rPr>
              <w:t>ne</w:t>
            </w:r>
            <w:r w:rsidRPr="00EE43C6">
              <w:rPr>
                <w:rFonts w:cs="Arial"/>
                <w:sz w:val="18"/>
                <w:szCs w:val="18"/>
              </w:rPr>
              <w:t>)</w:t>
            </w:r>
          </w:p>
        </w:tc>
      </w:tr>
      <w:tr w:rsidR="00F86154" w:rsidRPr="00EE43C6" w14:paraId="5EC634C9" w14:textId="77777777" w:rsidTr="00B625EB">
        <w:trPr>
          <w:trHeight w:val="284"/>
          <w:jc w:val="center"/>
        </w:trPr>
        <w:tc>
          <w:tcPr>
            <w:tcW w:w="3624" w:type="dxa"/>
            <w:gridSpan w:val="2"/>
            <w:vAlign w:val="center"/>
          </w:tcPr>
          <w:p w14:paraId="7E87CB31" w14:textId="2629155E" w:rsidR="00F86154" w:rsidRPr="00EE43C6" w:rsidRDefault="008914AB" w:rsidP="00B625EB">
            <w:pPr>
              <w:spacing w:before="0" w:after="0" w:line="240" w:lineRule="auto"/>
              <w:jc w:val="left"/>
              <w:rPr>
                <w:rFonts w:cs="Arial"/>
                <w:sz w:val="18"/>
                <w:szCs w:val="18"/>
              </w:rPr>
            </w:pPr>
            <w:r w:rsidRPr="00EE43C6">
              <w:rPr>
                <w:rFonts w:cs="Arial"/>
                <w:sz w:val="18"/>
                <w:szCs w:val="18"/>
              </w:rPr>
              <w:t>4.a Uncontrolled</w:t>
            </w:r>
          </w:p>
        </w:tc>
        <w:tc>
          <w:tcPr>
            <w:tcW w:w="5436" w:type="dxa"/>
            <w:gridSpan w:val="3"/>
            <w:vAlign w:val="center"/>
          </w:tcPr>
          <w:p w14:paraId="3F489699" w14:textId="0DBAC5D2" w:rsidR="00F86154" w:rsidRPr="00EE43C6" w:rsidRDefault="00331B72" w:rsidP="00B625EB">
            <w:pPr>
              <w:spacing w:before="0" w:after="0" w:line="240" w:lineRule="auto"/>
              <w:jc w:val="left"/>
              <w:rPr>
                <w:rFonts w:cs="Arial"/>
                <w:sz w:val="18"/>
                <w:szCs w:val="18"/>
              </w:rPr>
            </w:pPr>
            <w:r w:rsidRPr="00EE43C6">
              <w:rPr>
                <w:rFonts w:cs="Arial"/>
                <w:sz w:val="18"/>
                <w:szCs w:val="18"/>
              </w:rPr>
              <w:t>107 ton</w:t>
            </w:r>
            <w:r w:rsidR="001932B8" w:rsidRPr="00EE43C6">
              <w:rPr>
                <w:rFonts w:cs="Arial"/>
                <w:sz w:val="18"/>
                <w:szCs w:val="18"/>
              </w:rPr>
              <w:t>ne</w:t>
            </w:r>
            <w:r w:rsidRPr="00EE43C6">
              <w:rPr>
                <w:rFonts w:cs="Arial"/>
                <w:sz w:val="18"/>
                <w:szCs w:val="18"/>
              </w:rPr>
              <w:t>s/hour x 0.010 kg/tonne = 1.0655 kg/hour</w:t>
            </w:r>
          </w:p>
        </w:tc>
      </w:tr>
      <w:tr w:rsidR="00F86154" w:rsidRPr="00EE43C6" w14:paraId="1BE62EA5" w14:textId="77777777" w:rsidTr="00B625EB">
        <w:trPr>
          <w:trHeight w:val="284"/>
          <w:jc w:val="center"/>
        </w:trPr>
        <w:tc>
          <w:tcPr>
            <w:tcW w:w="3624" w:type="dxa"/>
            <w:gridSpan w:val="2"/>
            <w:tcBorders>
              <w:bottom w:val="single" w:sz="4" w:space="0" w:color="auto"/>
            </w:tcBorders>
            <w:vAlign w:val="center"/>
          </w:tcPr>
          <w:p w14:paraId="3C588DC1" w14:textId="6732A2DC" w:rsidR="00F86154" w:rsidRPr="00EE43C6" w:rsidRDefault="008914AB" w:rsidP="00B625EB">
            <w:pPr>
              <w:spacing w:before="0" w:after="0" w:line="240" w:lineRule="auto"/>
              <w:jc w:val="left"/>
              <w:rPr>
                <w:rFonts w:cs="Arial"/>
                <w:sz w:val="18"/>
                <w:szCs w:val="18"/>
              </w:rPr>
            </w:pPr>
            <w:r w:rsidRPr="00EE43C6">
              <w:rPr>
                <w:rFonts w:cs="Arial"/>
                <w:sz w:val="18"/>
                <w:szCs w:val="18"/>
              </w:rPr>
              <w:t>4.b Controlled</w:t>
            </w:r>
          </w:p>
        </w:tc>
        <w:tc>
          <w:tcPr>
            <w:tcW w:w="5436" w:type="dxa"/>
            <w:gridSpan w:val="3"/>
            <w:tcBorders>
              <w:bottom w:val="single" w:sz="4" w:space="0" w:color="auto"/>
            </w:tcBorders>
            <w:vAlign w:val="center"/>
          </w:tcPr>
          <w:p w14:paraId="2286793F" w14:textId="2E756241" w:rsidR="00F86154" w:rsidRPr="00EE43C6" w:rsidRDefault="00E16095" w:rsidP="00B625EB">
            <w:pPr>
              <w:spacing w:before="0" w:after="0" w:line="240" w:lineRule="auto"/>
              <w:jc w:val="left"/>
              <w:rPr>
                <w:rFonts w:cs="Arial"/>
                <w:sz w:val="18"/>
                <w:szCs w:val="18"/>
              </w:rPr>
            </w:pPr>
            <w:r w:rsidRPr="00EE43C6">
              <w:rPr>
                <w:rFonts w:cs="Arial"/>
                <w:sz w:val="18"/>
                <w:szCs w:val="18"/>
              </w:rPr>
              <w:t>107 ton</w:t>
            </w:r>
            <w:r w:rsidR="001932B8" w:rsidRPr="00EE43C6">
              <w:rPr>
                <w:rFonts w:cs="Arial"/>
                <w:sz w:val="18"/>
                <w:szCs w:val="18"/>
              </w:rPr>
              <w:t>ne</w:t>
            </w:r>
            <w:r w:rsidRPr="00EE43C6">
              <w:rPr>
                <w:rFonts w:cs="Arial"/>
                <w:sz w:val="18"/>
                <w:szCs w:val="18"/>
              </w:rPr>
              <w:t>s/hour x 0.005 kg/tonne = 0.5327 kg/hour</w:t>
            </w:r>
          </w:p>
        </w:tc>
      </w:tr>
      <w:tr w:rsidR="00F86154" w:rsidRPr="00EE43C6" w14:paraId="2C95F7B6" w14:textId="77777777" w:rsidTr="00B625EB">
        <w:trPr>
          <w:trHeight w:val="284"/>
          <w:jc w:val="center"/>
        </w:trPr>
        <w:tc>
          <w:tcPr>
            <w:tcW w:w="9060" w:type="dxa"/>
            <w:gridSpan w:val="5"/>
            <w:shd w:val="clear" w:color="auto" w:fill="4F81BD"/>
            <w:vAlign w:val="center"/>
          </w:tcPr>
          <w:p w14:paraId="0DAFCE9C" w14:textId="57093BA2" w:rsidR="00F86154" w:rsidRPr="00EE43C6" w:rsidRDefault="006E5751" w:rsidP="00854BE8">
            <w:pPr>
              <w:pStyle w:val="ListParagraph"/>
              <w:numPr>
                <w:ilvl w:val="0"/>
                <w:numId w:val="31"/>
              </w:numPr>
              <w:spacing w:before="0" w:after="0" w:line="240" w:lineRule="auto"/>
              <w:contextualSpacing w:val="0"/>
              <w:jc w:val="left"/>
              <w:rPr>
                <w:b/>
                <w:noProof w:val="0"/>
                <w:color w:val="FFFFFF" w:themeColor="background1"/>
                <w:sz w:val="18"/>
                <w:szCs w:val="18"/>
              </w:rPr>
            </w:pPr>
            <w:r w:rsidRPr="00EE43C6">
              <w:rPr>
                <w:b/>
                <w:noProof w:val="0"/>
                <w:color w:val="FFFFFF" w:themeColor="background1"/>
                <w:sz w:val="18"/>
                <w:szCs w:val="18"/>
              </w:rPr>
              <w:t>Laying of Topsoil</w:t>
            </w:r>
          </w:p>
        </w:tc>
      </w:tr>
      <w:tr w:rsidR="008506ED" w:rsidRPr="00EE43C6" w14:paraId="2FE010FE" w14:textId="77777777" w:rsidTr="00B625EB">
        <w:trPr>
          <w:trHeight w:val="284"/>
          <w:jc w:val="center"/>
        </w:trPr>
        <w:tc>
          <w:tcPr>
            <w:tcW w:w="9060" w:type="dxa"/>
            <w:gridSpan w:val="5"/>
            <w:vAlign w:val="center"/>
          </w:tcPr>
          <w:p w14:paraId="0BE373D9" w14:textId="6C6F7273" w:rsidR="008506ED" w:rsidRPr="00EE43C6" w:rsidRDefault="008506ED" w:rsidP="00B625EB">
            <w:pPr>
              <w:spacing w:before="0" w:after="0" w:line="240" w:lineRule="auto"/>
              <w:jc w:val="left"/>
              <w:rPr>
                <w:rFonts w:cs="Arial"/>
                <w:sz w:val="18"/>
                <w:szCs w:val="18"/>
              </w:rPr>
            </w:pPr>
            <w:r w:rsidRPr="00EE43C6">
              <w:rPr>
                <w:rFonts w:cs="Arial"/>
                <w:sz w:val="18"/>
                <w:szCs w:val="18"/>
              </w:rPr>
              <w:t>Area (Ha) x Emission factor (kg/</w:t>
            </w:r>
            <w:r w:rsidR="00CE31F1" w:rsidRPr="00EE43C6">
              <w:rPr>
                <w:rFonts w:cs="Arial"/>
                <w:sz w:val="18"/>
                <w:szCs w:val="18"/>
              </w:rPr>
              <w:t>H</w:t>
            </w:r>
            <w:r w:rsidRPr="00EE43C6">
              <w:rPr>
                <w:rFonts w:cs="Arial"/>
                <w:sz w:val="18"/>
                <w:szCs w:val="18"/>
              </w:rPr>
              <w:t>a</w:t>
            </w:r>
            <w:r w:rsidR="00CE31F1" w:rsidRPr="00EE43C6">
              <w:rPr>
                <w:rFonts w:cs="Arial"/>
                <w:sz w:val="18"/>
                <w:szCs w:val="18"/>
              </w:rPr>
              <w:t>-</w:t>
            </w:r>
            <w:r w:rsidRPr="00EE43C6">
              <w:rPr>
                <w:rFonts w:cs="Arial"/>
                <w:sz w:val="18"/>
                <w:szCs w:val="18"/>
              </w:rPr>
              <w:t>day)</w:t>
            </w:r>
          </w:p>
        </w:tc>
      </w:tr>
      <w:tr w:rsidR="00F86154" w:rsidRPr="00EE43C6" w14:paraId="02DD98D3" w14:textId="77777777" w:rsidTr="00B625EB">
        <w:trPr>
          <w:trHeight w:val="284"/>
          <w:jc w:val="center"/>
        </w:trPr>
        <w:tc>
          <w:tcPr>
            <w:tcW w:w="3624" w:type="dxa"/>
            <w:gridSpan w:val="2"/>
            <w:vAlign w:val="center"/>
          </w:tcPr>
          <w:p w14:paraId="6C65296C" w14:textId="538C38AC" w:rsidR="00F86154" w:rsidRPr="00EE43C6" w:rsidRDefault="006E5751" w:rsidP="00B625EB">
            <w:pPr>
              <w:spacing w:before="0" w:after="0" w:line="240" w:lineRule="auto"/>
              <w:jc w:val="left"/>
              <w:rPr>
                <w:rFonts w:cs="Arial"/>
                <w:sz w:val="18"/>
                <w:szCs w:val="18"/>
              </w:rPr>
            </w:pPr>
            <w:r w:rsidRPr="00EE43C6">
              <w:rPr>
                <w:rFonts w:cs="Arial"/>
                <w:sz w:val="18"/>
                <w:szCs w:val="18"/>
              </w:rPr>
              <w:t>5.a Uncontrolled</w:t>
            </w:r>
          </w:p>
        </w:tc>
        <w:tc>
          <w:tcPr>
            <w:tcW w:w="5436" w:type="dxa"/>
            <w:gridSpan w:val="3"/>
            <w:vAlign w:val="center"/>
          </w:tcPr>
          <w:p w14:paraId="7120655D" w14:textId="084BAD6D" w:rsidR="00F86154" w:rsidRPr="00EE43C6" w:rsidRDefault="00B92B9E" w:rsidP="00B625EB">
            <w:pPr>
              <w:spacing w:before="0" w:after="0" w:line="240" w:lineRule="auto"/>
              <w:jc w:val="left"/>
              <w:rPr>
                <w:rFonts w:cs="Arial"/>
                <w:sz w:val="18"/>
                <w:szCs w:val="18"/>
              </w:rPr>
            </w:pPr>
            <w:r w:rsidRPr="00EE43C6">
              <w:rPr>
                <w:rFonts w:cs="Arial"/>
                <w:sz w:val="18"/>
                <w:szCs w:val="18"/>
              </w:rPr>
              <w:t>3 Ha/24 hours/day x 5.8 kg/Ha-day = 0.725 kg/hour</w:t>
            </w:r>
          </w:p>
        </w:tc>
      </w:tr>
      <w:tr w:rsidR="004F709F" w:rsidRPr="00EE43C6" w14:paraId="6F7E54B2" w14:textId="77777777" w:rsidTr="00B625EB">
        <w:trPr>
          <w:trHeight w:val="284"/>
          <w:jc w:val="center"/>
        </w:trPr>
        <w:tc>
          <w:tcPr>
            <w:tcW w:w="3624" w:type="dxa"/>
            <w:gridSpan w:val="2"/>
            <w:vAlign w:val="center"/>
          </w:tcPr>
          <w:p w14:paraId="54F40C54" w14:textId="1993A25D" w:rsidR="004F709F" w:rsidRPr="00EE43C6" w:rsidRDefault="006E5751" w:rsidP="00B625EB">
            <w:pPr>
              <w:spacing w:before="0" w:after="0" w:line="240" w:lineRule="auto"/>
              <w:jc w:val="left"/>
              <w:rPr>
                <w:rFonts w:cs="Arial"/>
                <w:sz w:val="18"/>
                <w:szCs w:val="18"/>
              </w:rPr>
            </w:pPr>
            <w:r w:rsidRPr="00EE43C6">
              <w:rPr>
                <w:rFonts w:cs="Arial"/>
                <w:sz w:val="18"/>
                <w:szCs w:val="18"/>
              </w:rPr>
              <w:t>5.b Controlled</w:t>
            </w:r>
          </w:p>
        </w:tc>
        <w:tc>
          <w:tcPr>
            <w:tcW w:w="5436" w:type="dxa"/>
            <w:gridSpan w:val="3"/>
            <w:vAlign w:val="center"/>
          </w:tcPr>
          <w:p w14:paraId="391B8306" w14:textId="32A5B515" w:rsidR="004F709F" w:rsidRPr="00EE43C6" w:rsidRDefault="00BB59F2" w:rsidP="00B625EB">
            <w:pPr>
              <w:spacing w:before="0" w:after="0" w:line="240" w:lineRule="auto"/>
              <w:jc w:val="left"/>
              <w:rPr>
                <w:rFonts w:cs="Arial"/>
                <w:sz w:val="18"/>
                <w:szCs w:val="18"/>
              </w:rPr>
            </w:pPr>
            <w:r w:rsidRPr="00EE43C6">
              <w:rPr>
                <w:rFonts w:cs="Arial"/>
                <w:sz w:val="18"/>
                <w:szCs w:val="18"/>
              </w:rPr>
              <w:t>3 Ha/24 hours/day x 2.9 kg/Ha-day = 0.3625 kg/hour</w:t>
            </w:r>
          </w:p>
        </w:tc>
      </w:tr>
    </w:tbl>
    <w:p w14:paraId="3D7D9942" w14:textId="56569D77" w:rsidR="00EF63B0" w:rsidRPr="00EE43C6" w:rsidRDefault="0007449B" w:rsidP="009A6D44">
      <w:pPr>
        <w:pStyle w:val="Caption"/>
        <w:spacing w:before="480"/>
        <w:rPr>
          <w:rFonts w:cs="Wingdings"/>
          <w:noProof w:val="0"/>
          <w:szCs w:val="18"/>
        </w:rPr>
      </w:pPr>
      <w:bookmarkStart w:id="466" w:name="_Ref125715350"/>
      <w:bookmarkStart w:id="467" w:name="_Ref126336461"/>
      <w:bookmarkStart w:id="468" w:name="_Toc141445512"/>
      <w:r w:rsidRPr="00EE43C6">
        <w:rPr>
          <w:noProof w:val="0"/>
        </w:rPr>
        <w:lastRenderedPageBreak/>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3</w:t>
      </w:r>
      <w:r w:rsidR="006D2DE8">
        <w:rPr>
          <w:noProof w:val="0"/>
        </w:rPr>
        <w:fldChar w:fldCharType="end"/>
      </w:r>
      <w:bookmarkEnd w:id="466"/>
      <w:bookmarkEnd w:id="467"/>
      <w:r w:rsidRPr="00EE43C6">
        <w:rPr>
          <w:noProof w:val="0"/>
        </w:rPr>
        <w:t xml:space="preserve">. </w:t>
      </w:r>
      <w:r w:rsidR="00D8635C" w:rsidRPr="00EE43C6">
        <w:rPr>
          <w:rFonts w:cs="Wingdings"/>
          <w:b w:val="0"/>
          <w:noProof w:val="0"/>
          <w:color w:val="auto"/>
          <w:szCs w:val="18"/>
        </w:rPr>
        <w:t xml:space="preserve">Calculation of </w:t>
      </w:r>
      <w:r w:rsidR="0043782A" w:rsidRPr="00EE43C6">
        <w:rPr>
          <w:rFonts w:cs="Wingdings"/>
          <w:b w:val="0"/>
          <w:noProof w:val="0"/>
          <w:color w:val="auto"/>
          <w:szCs w:val="18"/>
        </w:rPr>
        <w:t>Dust Emission Flow</w:t>
      </w:r>
      <w:r w:rsidR="00D8635C" w:rsidRPr="00EE43C6">
        <w:rPr>
          <w:rFonts w:cs="Wingdings"/>
          <w:b w:val="0"/>
          <w:noProof w:val="0"/>
          <w:color w:val="auto"/>
          <w:szCs w:val="18"/>
        </w:rPr>
        <w:t>rate</w:t>
      </w:r>
      <w:r w:rsidR="0043782A" w:rsidRPr="00EE43C6">
        <w:rPr>
          <w:rFonts w:cs="Wingdings"/>
          <w:b w:val="0"/>
          <w:noProof w:val="0"/>
          <w:color w:val="auto"/>
          <w:szCs w:val="18"/>
        </w:rPr>
        <w:t xml:space="preserve"> </w:t>
      </w:r>
      <w:r w:rsidRPr="00EE43C6">
        <w:rPr>
          <w:rFonts w:cs="Wingdings"/>
          <w:b w:val="0"/>
          <w:bCs w:val="0"/>
          <w:noProof w:val="0"/>
          <w:color w:val="auto"/>
          <w:szCs w:val="18"/>
        </w:rPr>
        <w:t>t</w:t>
      </w:r>
      <w:r w:rsidR="0043782A" w:rsidRPr="00EE43C6">
        <w:rPr>
          <w:rFonts w:cs="Wingdings"/>
          <w:b w:val="0"/>
          <w:bCs w:val="0"/>
          <w:noProof w:val="0"/>
          <w:color w:val="auto"/>
          <w:szCs w:val="18"/>
        </w:rPr>
        <w:t xml:space="preserve">hat </w:t>
      </w:r>
      <w:r w:rsidRPr="00EE43C6">
        <w:rPr>
          <w:rFonts w:cs="Wingdings"/>
          <w:b w:val="0"/>
          <w:bCs w:val="0"/>
          <w:noProof w:val="0"/>
          <w:color w:val="auto"/>
          <w:szCs w:val="18"/>
        </w:rPr>
        <w:t>m</w:t>
      </w:r>
      <w:r w:rsidR="0043782A" w:rsidRPr="00EE43C6">
        <w:rPr>
          <w:rFonts w:cs="Wingdings"/>
          <w:b w:val="0"/>
          <w:bCs w:val="0"/>
          <w:noProof w:val="0"/>
          <w:color w:val="auto"/>
          <w:szCs w:val="18"/>
        </w:rPr>
        <w:t>ay</w:t>
      </w:r>
      <w:r w:rsidR="0043782A" w:rsidRPr="00EE43C6">
        <w:rPr>
          <w:rFonts w:cs="Wingdings"/>
          <w:b w:val="0"/>
          <w:noProof w:val="0"/>
          <w:color w:val="auto"/>
          <w:szCs w:val="18"/>
        </w:rPr>
        <w:t xml:space="preserve"> Occur Regarding Excavation Material</w:t>
      </w:r>
      <w:bookmarkEnd w:id="468"/>
    </w:p>
    <w:tbl>
      <w:tblPr>
        <w:tblStyle w:val="TableGrid"/>
        <w:tblW w:w="5000" w:type="pct"/>
        <w:jc w:val="center"/>
        <w:tblLook w:val="04A0" w:firstRow="1" w:lastRow="0" w:firstColumn="1" w:lastColumn="0" w:noHBand="0" w:noVBand="1"/>
      </w:tblPr>
      <w:tblGrid>
        <w:gridCol w:w="2225"/>
        <w:gridCol w:w="595"/>
        <w:gridCol w:w="1900"/>
        <w:gridCol w:w="7"/>
        <w:gridCol w:w="1893"/>
        <w:gridCol w:w="8"/>
        <w:gridCol w:w="2436"/>
      </w:tblGrid>
      <w:tr w:rsidR="0007449B" w:rsidRPr="00EE43C6" w14:paraId="3FCB9A1B" w14:textId="77777777" w:rsidTr="00B625EB">
        <w:trPr>
          <w:trHeight w:val="284"/>
          <w:jc w:val="center"/>
        </w:trPr>
        <w:tc>
          <w:tcPr>
            <w:tcW w:w="2608" w:type="pct"/>
            <w:gridSpan w:val="4"/>
            <w:vMerge w:val="restart"/>
            <w:shd w:val="clear" w:color="auto" w:fill="4F81BD"/>
            <w:vAlign w:val="center"/>
          </w:tcPr>
          <w:p w14:paraId="3484483A" w14:textId="77777777" w:rsidR="0007449B" w:rsidRPr="00EE43C6" w:rsidRDefault="0007449B" w:rsidP="00B625EB">
            <w:pPr>
              <w:spacing w:before="0" w:after="0" w:line="240" w:lineRule="auto"/>
              <w:jc w:val="center"/>
              <w:rPr>
                <w:rFonts w:cs="Arial"/>
                <w:b/>
                <w:color w:val="FFFFFF" w:themeColor="background1"/>
                <w:sz w:val="18"/>
                <w:szCs w:val="18"/>
              </w:rPr>
            </w:pPr>
            <w:r w:rsidRPr="00EE43C6">
              <w:rPr>
                <w:rFonts w:cs="Arial"/>
                <w:b/>
                <w:color w:val="FFFFFF" w:themeColor="background1"/>
                <w:sz w:val="18"/>
                <w:szCs w:val="18"/>
              </w:rPr>
              <w:t>Operation Time</w:t>
            </w:r>
          </w:p>
        </w:tc>
        <w:tc>
          <w:tcPr>
            <w:tcW w:w="2392" w:type="pct"/>
            <w:gridSpan w:val="3"/>
            <w:shd w:val="clear" w:color="auto" w:fill="4F81BD"/>
            <w:vAlign w:val="center"/>
          </w:tcPr>
          <w:p w14:paraId="51D3A772" w14:textId="0DF92996" w:rsidR="0007449B" w:rsidRPr="00EE43C6" w:rsidRDefault="0007449B" w:rsidP="00B625EB">
            <w:pPr>
              <w:spacing w:before="0" w:after="0" w:line="240" w:lineRule="auto"/>
              <w:jc w:val="left"/>
              <w:rPr>
                <w:rFonts w:cs="Arial"/>
                <w:b/>
                <w:color w:val="FFFFFF" w:themeColor="background1"/>
                <w:sz w:val="18"/>
                <w:szCs w:val="18"/>
              </w:rPr>
            </w:pPr>
            <w:r w:rsidRPr="00EE43C6">
              <w:rPr>
                <w:rFonts w:cs="Arial"/>
                <w:b/>
                <w:color w:val="FFFFFF" w:themeColor="background1"/>
                <w:sz w:val="18"/>
                <w:szCs w:val="18"/>
              </w:rPr>
              <w:t xml:space="preserve">Amount of </w:t>
            </w:r>
            <w:r w:rsidR="0079364E" w:rsidRPr="00EE43C6">
              <w:rPr>
                <w:rFonts w:cs="Arial"/>
                <w:b/>
                <w:color w:val="FFFFFF" w:themeColor="background1"/>
                <w:sz w:val="18"/>
                <w:szCs w:val="18"/>
              </w:rPr>
              <w:t>Production</w:t>
            </w:r>
          </w:p>
        </w:tc>
      </w:tr>
      <w:tr w:rsidR="0007449B" w:rsidRPr="00EE43C6" w14:paraId="13FBC17E" w14:textId="77777777" w:rsidTr="00B625EB">
        <w:trPr>
          <w:trHeight w:val="284"/>
          <w:jc w:val="center"/>
        </w:trPr>
        <w:tc>
          <w:tcPr>
            <w:tcW w:w="2608" w:type="pct"/>
            <w:gridSpan w:val="4"/>
            <w:vMerge/>
            <w:shd w:val="clear" w:color="auto" w:fill="4F81BD"/>
            <w:vAlign w:val="center"/>
          </w:tcPr>
          <w:p w14:paraId="00E3C18C" w14:textId="77777777" w:rsidR="0007449B" w:rsidRPr="00EE43C6" w:rsidRDefault="0007449B" w:rsidP="00B625EB">
            <w:pPr>
              <w:spacing w:before="0" w:after="0" w:line="240" w:lineRule="auto"/>
              <w:jc w:val="left"/>
              <w:rPr>
                <w:rFonts w:cs="Arial"/>
                <w:b/>
                <w:color w:val="FFFFFF" w:themeColor="background1"/>
                <w:sz w:val="18"/>
                <w:szCs w:val="18"/>
              </w:rPr>
            </w:pPr>
          </w:p>
        </w:tc>
        <w:tc>
          <w:tcPr>
            <w:tcW w:w="1048" w:type="pct"/>
            <w:gridSpan w:val="2"/>
            <w:shd w:val="clear" w:color="auto" w:fill="4F81BD"/>
            <w:vAlign w:val="center"/>
          </w:tcPr>
          <w:p w14:paraId="3C84D321" w14:textId="77777777" w:rsidR="0007449B" w:rsidRPr="00EE43C6" w:rsidRDefault="0007449B" w:rsidP="00B625EB">
            <w:pPr>
              <w:spacing w:before="0" w:after="0" w:line="240" w:lineRule="auto"/>
              <w:jc w:val="left"/>
              <w:rPr>
                <w:rFonts w:cs="Arial"/>
                <w:b/>
                <w:color w:val="FFFFFF" w:themeColor="background1"/>
                <w:sz w:val="18"/>
                <w:szCs w:val="18"/>
              </w:rPr>
            </w:pPr>
            <w:r w:rsidRPr="00EE43C6">
              <w:rPr>
                <w:rFonts w:cs="Arial"/>
                <w:b/>
                <w:color w:val="FFFFFF" w:themeColor="background1"/>
                <w:sz w:val="18"/>
                <w:szCs w:val="18"/>
              </w:rPr>
              <w:t>Time</w:t>
            </w:r>
          </w:p>
        </w:tc>
        <w:tc>
          <w:tcPr>
            <w:tcW w:w="1343" w:type="pct"/>
            <w:shd w:val="clear" w:color="auto" w:fill="4F81BD"/>
            <w:vAlign w:val="center"/>
          </w:tcPr>
          <w:p w14:paraId="4EA46677" w14:textId="0B0FF9E8" w:rsidR="0007449B" w:rsidRPr="00EE43C6" w:rsidRDefault="0007449B" w:rsidP="00B625EB">
            <w:pPr>
              <w:spacing w:before="0" w:after="0" w:line="240" w:lineRule="auto"/>
              <w:jc w:val="left"/>
              <w:rPr>
                <w:rFonts w:cs="Arial"/>
                <w:b/>
                <w:color w:val="FFFFFF" w:themeColor="background1"/>
                <w:sz w:val="18"/>
                <w:szCs w:val="18"/>
              </w:rPr>
            </w:pPr>
            <w:r w:rsidRPr="00EE43C6">
              <w:rPr>
                <w:rFonts w:cs="Arial"/>
                <w:b/>
                <w:color w:val="FFFFFF" w:themeColor="background1"/>
                <w:sz w:val="18"/>
                <w:szCs w:val="18"/>
              </w:rPr>
              <w:t>Ton</w:t>
            </w:r>
            <w:r w:rsidR="008C4B29" w:rsidRPr="00EE43C6">
              <w:rPr>
                <w:rFonts w:cs="Arial"/>
                <w:b/>
                <w:color w:val="FFFFFF" w:themeColor="background1"/>
                <w:sz w:val="18"/>
                <w:szCs w:val="18"/>
              </w:rPr>
              <w:t>ne</w:t>
            </w:r>
          </w:p>
        </w:tc>
      </w:tr>
      <w:tr w:rsidR="0007449B" w:rsidRPr="00EE43C6" w14:paraId="1929681E" w14:textId="77777777" w:rsidTr="00B625EB">
        <w:trPr>
          <w:trHeight w:val="284"/>
          <w:jc w:val="center"/>
        </w:trPr>
        <w:tc>
          <w:tcPr>
            <w:tcW w:w="1228" w:type="pct"/>
            <w:vAlign w:val="center"/>
          </w:tcPr>
          <w:p w14:paraId="3C3AC595"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Excavation Period</w:t>
            </w:r>
          </w:p>
        </w:tc>
        <w:tc>
          <w:tcPr>
            <w:tcW w:w="328" w:type="pct"/>
            <w:vAlign w:val="center"/>
          </w:tcPr>
          <w:p w14:paraId="35BAB18F"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18</w:t>
            </w:r>
          </w:p>
        </w:tc>
        <w:tc>
          <w:tcPr>
            <w:tcW w:w="1048" w:type="pct"/>
            <w:vAlign w:val="center"/>
          </w:tcPr>
          <w:p w14:paraId="563A78EA"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months</w:t>
            </w:r>
          </w:p>
        </w:tc>
        <w:tc>
          <w:tcPr>
            <w:tcW w:w="1048" w:type="pct"/>
            <w:gridSpan w:val="2"/>
            <w:vAlign w:val="center"/>
          </w:tcPr>
          <w:p w14:paraId="1C3D8B2B"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Annually</w:t>
            </w:r>
          </w:p>
        </w:tc>
        <w:tc>
          <w:tcPr>
            <w:tcW w:w="1347" w:type="pct"/>
            <w:gridSpan w:val="2"/>
            <w:vAlign w:val="center"/>
          </w:tcPr>
          <w:p w14:paraId="0010A227" w14:textId="1693D26C" w:rsidR="0007449B" w:rsidRPr="00EE43C6" w:rsidRDefault="00B3308C" w:rsidP="00B625EB">
            <w:pPr>
              <w:spacing w:before="0" w:after="0" w:line="240" w:lineRule="auto"/>
              <w:jc w:val="left"/>
              <w:rPr>
                <w:rFonts w:cs="Arial"/>
                <w:sz w:val="18"/>
                <w:szCs w:val="18"/>
              </w:rPr>
            </w:pPr>
            <w:r w:rsidRPr="00EE43C6">
              <w:rPr>
                <w:rFonts w:cs="Arial"/>
                <w:sz w:val="18"/>
                <w:szCs w:val="18"/>
              </w:rPr>
              <w:t>11,538,601.39</w:t>
            </w:r>
          </w:p>
        </w:tc>
      </w:tr>
      <w:tr w:rsidR="0007449B" w:rsidRPr="00EE43C6" w14:paraId="1F94DD30" w14:textId="77777777" w:rsidTr="00B625EB">
        <w:trPr>
          <w:trHeight w:val="284"/>
          <w:jc w:val="center"/>
        </w:trPr>
        <w:tc>
          <w:tcPr>
            <w:tcW w:w="1228" w:type="pct"/>
            <w:vAlign w:val="center"/>
          </w:tcPr>
          <w:p w14:paraId="648C1858"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Monthly</w:t>
            </w:r>
          </w:p>
        </w:tc>
        <w:tc>
          <w:tcPr>
            <w:tcW w:w="328" w:type="pct"/>
            <w:vAlign w:val="center"/>
          </w:tcPr>
          <w:p w14:paraId="6D8EE078"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30</w:t>
            </w:r>
          </w:p>
        </w:tc>
        <w:tc>
          <w:tcPr>
            <w:tcW w:w="1048" w:type="pct"/>
            <w:vAlign w:val="center"/>
          </w:tcPr>
          <w:p w14:paraId="1D4656EE"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days</w:t>
            </w:r>
          </w:p>
        </w:tc>
        <w:tc>
          <w:tcPr>
            <w:tcW w:w="1048" w:type="pct"/>
            <w:gridSpan w:val="2"/>
            <w:vAlign w:val="center"/>
          </w:tcPr>
          <w:p w14:paraId="2E819B57"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Monthly</w:t>
            </w:r>
          </w:p>
        </w:tc>
        <w:tc>
          <w:tcPr>
            <w:tcW w:w="1347" w:type="pct"/>
            <w:gridSpan w:val="2"/>
            <w:vAlign w:val="center"/>
          </w:tcPr>
          <w:p w14:paraId="3D3118E5" w14:textId="196F1FAE" w:rsidR="0007449B" w:rsidRPr="00EE43C6" w:rsidRDefault="00ED72D1" w:rsidP="00B625EB">
            <w:pPr>
              <w:spacing w:before="0" w:after="0" w:line="240" w:lineRule="auto"/>
              <w:jc w:val="left"/>
              <w:rPr>
                <w:rFonts w:cs="Arial"/>
                <w:sz w:val="18"/>
                <w:szCs w:val="18"/>
              </w:rPr>
            </w:pPr>
            <w:r w:rsidRPr="00EE43C6">
              <w:rPr>
                <w:rFonts w:cs="Arial"/>
                <w:sz w:val="18"/>
                <w:szCs w:val="18"/>
              </w:rPr>
              <w:t>641,033</w:t>
            </w:r>
          </w:p>
        </w:tc>
      </w:tr>
      <w:tr w:rsidR="0007449B" w:rsidRPr="00EE43C6" w14:paraId="6935FBE8" w14:textId="77777777" w:rsidTr="00B625EB">
        <w:trPr>
          <w:trHeight w:val="284"/>
          <w:jc w:val="center"/>
        </w:trPr>
        <w:tc>
          <w:tcPr>
            <w:tcW w:w="1228" w:type="pct"/>
            <w:vAlign w:val="center"/>
          </w:tcPr>
          <w:p w14:paraId="2CF645AB"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Daily</w:t>
            </w:r>
          </w:p>
        </w:tc>
        <w:tc>
          <w:tcPr>
            <w:tcW w:w="328" w:type="pct"/>
            <w:vAlign w:val="center"/>
          </w:tcPr>
          <w:p w14:paraId="7EDB72AE"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8</w:t>
            </w:r>
          </w:p>
        </w:tc>
        <w:tc>
          <w:tcPr>
            <w:tcW w:w="1048" w:type="pct"/>
            <w:vAlign w:val="center"/>
          </w:tcPr>
          <w:p w14:paraId="43CB7AF1"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hours</w:t>
            </w:r>
          </w:p>
        </w:tc>
        <w:tc>
          <w:tcPr>
            <w:tcW w:w="1048" w:type="pct"/>
            <w:gridSpan w:val="2"/>
            <w:vAlign w:val="center"/>
          </w:tcPr>
          <w:p w14:paraId="70384198"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Daily</w:t>
            </w:r>
          </w:p>
        </w:tc>
        <w:tc>
          <w:tcPr>
            <w:tcW w:w="1347" w:type="pct"/>
            <w:gridSpan w:val="2"/>
            <w:vAlign w:val="center"/>
          </w:tcPr>
          <w:p w14:paraId="39396073" w14:textId="587E0709" w:rsidR="0007449B" w:rsidRPr="00EE43C6" w:rsidRDefault="00151C48" w:rsidP="00B625EB">
            <w:pPr>
              <w:spacing w:before="0" w:after="0" w:line="240" w:lineRule="auto"/>
              <w:jc w:val="left"/>
              <w:rPr>
                <w:rFonts w:cs="Arial"/>
                <w:sz w:val="18"/>
                <w:szCs w:val="18"/>
              </w:rPr>
            </w:pPr>
            <w:r w:rsidRPr="00EE43C6">
              <w:rPr>
                <w:rFonts w:cs="Arial"/>
                <w:sz w:val="18"/>
                <w:szCs w:val="18"/>
              </w:rPr>
              <w:t>21,367</w:t>
            </w:r>
          </w:p>
        </w:tc>
      </w:tr>
      <w:tr w:rsidR="0007449B" w:rsidRPr="00EE43C6" w14:paraId="2F905186" w14:textId="77777777" w:rsidTr="00B625EB">
        <w:trPr>
          <w:trHeight w:val="284"/>
          <w:jc w:val="center"/>
        </w:trPr>
        <w:tc>
          <w:tcPr>
            <w:tcW w:w="1228" w:type="pct"/>
            <w:tcBorders>
              <w:bottom w:val="single" w:sz="4" w:space="0" w:color="auto"/>
            </w:tcBorders>
            <w:vAlign w:val="center"/>
          </w:tcPr>
          <w:p w14:paraId="570DF535"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Shift</w:t>
            </w:r>
          </w:p>
        </w:tc>
        <w:tc>
          <w:tcPr>
            <w:tcW w:w="328" w:type="pct"/>
            <w:tcBorders>
              <w:bottom w:val="single" w:sz="4" w:space="0" w:color="auto"/>
            </w:tcBorders>
            <w:vAlign w:val="center"/>
          </w:tcPr>
          <w:p w14:paraId="4D84CABE"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1</w:t>
            </w:r>
          </w:p>
        </w:tc>
        <w:tc>
          <w:tcPr>
            <w:tcW w:w="1048" w:type="pct"/>
            <w:tcBorders>
              <w:bottom w:val="single" w:sz="4" w:space="0" w:color="auto"/>
            </w:tcBorders>
            <w:vAlign w:val="center"/>
          </w:tcPr>
          <w:p w14:paraId="7A62C8B7" w14:textId="77777777" w:rsidR="0007449B" w:rsidRPr="00EE43C6" w:rsidRDefault="0007449B" w:rsidP="00B625EB">
            <w:pPr>
              <w:spacing w:before="0" w:after="0" w:line="240" w:lineRule="auto"/>
              <w:jc w:val="left"/>
              <w:rPr>
                <w:rFonts w:cs="Arial"/>
                <w:sz w:val="18"/>
                <w:szCs w:val="18"/>
              </w:rPr>
            </w:pPr>
          </w:p>
        </w:tc>
        <w:tc>
          <w:tcPr>
            <w:tcW w:w="1048" w:type="pct"/>
            <w:gridSpan w:val="2"/>
            <w:tcBorders>
              <w:bottom w:val="single" w:sz="4" w:space="0" w:color="auto"/>
            </w:tcBorders>
            <w:vAlign w:val="center"/>
          </w:tcPr>
          <w:p w14:paraId="3ABB11B0"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Hourly</w:t>
            </w:r>
          </w:p>
        </w:tc>
        <w:tc>
          <w:tcPr>
            <w:tcW w:w="1347" w:type="pct"/>
            <w:gridSpan w:val="2"/>
            <w:tcBorders>
              <w:bottom w:val="single" w:sz="4" w:space="0" w:color="auto"/>
            </w:tcBorders>
            <w:vAlign w:val="center"/>
          </w:tcPr>
          <w:p w14:paraId="35A2547F" w14:textId="18F95C2C" w:rsidR="0007449B" w:rsidRPr="00EE43C6" w:rsidRDefault="00452540" w:rsidP="00B625EB">
            <w:pPr>
              <w:spacing w:before="0" w:after="0" w:line="240" w:lineRule="auto"/>
              <w:jc w:val="left"/>
              <w:rPr>
                <w:rFonts w:cs="Arial"/>
                <w:sz w:val="18"/>
                <w:szCs w:val="18"/>
              </w:rPr>
            </w:pPr>
            <w:r w:rsidRPr="00EE43C6">
              <w:rPr>
                <w:rFonts w:cs="Arial"/>
                <w:sz w:val="18"/>
                <w:szCs w:val="18"/>
              </w:rPr>
              <w:t>2,671</w:t>
            </w:r>
          </w:p>
        </w:tc>
      </w:tr>
      <w:tr w:rsidR="0007449B" w:rsidRPr="00EE43C6" w14:paraId="27ED4403" w14:textId="77777777" w:rsidTr="00B625EB">
        <w:trPr>
          <w:trHeight w:val="284"/>
          <w:jc w:val="center"/>
        </w:trPr>
        <w:tc>
          <w:tcPr>
            <w:tcW w:w="5000" w:type="pct"/>
            <w:gridSpan w:val="7"/>
            <w:shd w:val="clear" w:color="auto" w:fill="4F81BD"/>
            <w:vAlign w:val="center"/>
          </w:tcPr>
          <w:p w14:paraId="4E943CCC" w14:textId="4C0BFD47" w:rsidR="0007449B" w:rsidRPr="00EE43C6" w:rsidRDefault="00E379AE" w:rsidP="00854BE8">
            <w:pPr>
              <w:pStyle w:val="ListParagraph"/>
              <w:numPr>
                <w:ilvl w:val="0"/>
                <w:numId w:val="31"/>
              </w:numPr>
              <w:spacing w:before="0" w:after="0" w:line="240" w:lineRule="auto"/>
              <w:contextualSpacing w:val="0"/>
              <w:jc w:val="left"/>
              <w:rPr>
                <w:b/>
                <w:noProof w:val="0"/>
                <w:color w:val="FFFFFF" w:themeColor="background1"/>
                <w:sz w:val="18"/>
                <w:szCs w:val="18"/>
              </w:rPr>
            </w:pPr>
            <w:r w:rsidRPr="00EE43C6">
              <w:rPr>
                <w:b/>
                <w:noProof w:val="0"/>
                <w:color w:val="FFFFFF" w:themeColor="background1"/>
                <w:sz w:val="18"/>
                <w:szCs w:val="18"/>
              </w:rPr>
              <w:t>Removal of Excavation Material (2,671 tons/hour)</w:t>
            </w:r>
          </w:p>
        </w:tc>
      </w:tr>
      <w:tr w:rsidR="0007449B" w:rsidRPr="00EE43C6" w14:paraId="28F97A11" w14:textId="77777777" w:rsidTr="00B625EB">
        <w:trPr>
          <w:trHeight w:val="284"/>
          <w:jc w:val="center"/>
        </w:trPr>
        <w:tc>
          <w:tcPr>
            <w:tcW w:w="5000" w:type="pct"/>
            <w:gridSpan w:val="7"/>
            <w:vAlign w:val="center"/>
          </w:tcPr>
          <w:p w14:paraId="54570220" w14:textId="7BE83CBD" w:rsidR="0007449B" w:rsidRPr="00EE43C6" w:rsidRDefault="0007449B" w:rsidP="00B625EB">
            <w:pPr>
              <w:spacing w:before="0" w:after="0" w:line="240" w:lineRule="auto"/>
              <w:jc w:val="left"/>
              <w:rPr>
                <w:rFonts w:cs="Arial"/>
                <w:sz w:val="18"/>
                <w:szCs w:val="18"/>
              </w:rPr>
            </w:pPr>
            <w:r w:rsidRPr="00EE43C6">
              <w:rPr>
                <w:rFonts w:cs="Arial"/>
                <w:sz w:val="18"/>
                <w:szCs w:val="18"/>
              </w:rPr>
              <w:t>Generation amount (ton</w:t>
            </w:r>
            <w:r w:rsidR="00EA7FB8" w:rsidRPr="00EE43C6">
              <w:rPr>
                <w:rFonts w:cs="Arial"/>
                <w:sz w:val="18"/>
                <w:szCs w:val="18"/>
              </w:rPr>
              <w:t>ne</w:t>
            </w:r>
            <w:r w:rsidRPr="00EE43C6">
              <w:rPr>
                <w:rFonts w:cs="Arial"/>
                <w:sz w:val="18"/>
                <w:szCs w:val="18"/>
              </w:rPr>
              <w:t>/hour) x Emission factor (kg/ton</w:t>
            </w:r>
            <w:r w:rsidR="00184298" w:rsidRPr="00EE43C6">
              <w:rPr>
                <w:rFonts w:cs="Arial"/>
                <w:sz w:val="18"/>
                <w:szCs w:val="18"/>
              </w:rPr>
              <w:t>ne</w:t>
            </w:r>
            <w:r w:rsidRPr="00EE43C6">
              <w:rPr>
                <w:rFonts w:cs="Arial"/>
                <w:sz w:val="18"/>
                <w:szCs w:val="18"/>
              </w:rPr>
              <w:t>)</w:t>
            </w:r>
          </w:p>
        </w:tc>
      </w:tr>
      <w:tr w:rsidR="0007449B" w:rsidRPr="00EE43C6" w14:paraId="4B8948E8" w14:textId="77777777" w:rsidTr="00B625EB">
        <w:trPr>
          <w:trHeight w:val="284"/>
          <w:jc w:val="center"/>
        </w:trPr>
        <w:tc>
          <w:tcPr>
            <w:tcW w:w="1556" w:type="pct"/>
            <w:gridSpan w:val="2"/>
            <w:vAlign w:val="center"/>
          </w:tcPr>
          <w:p w14:paraId="05CC9BFF" w14:textId="4207893B" w:rsidR="0007449B" w:rsidRPr="00EE43C6" w:rsidRDefault="00962C3B" w:rsidP="00B625EB">
            <w:pPr>
              <w:spacing w:before="0" w:after="0" w:line="240" w:lineRule="auto"/>
              <w:jc w:val="left"/>
              <w:rPr>
                <w:rFonts w:cs="Arial"/>
                <w:sz w:val="18"/>
                <w:szCs w:val="18"/>
              </w:rPr>
            </w:pPr>
            <w:r w:rsidRPr="00EE43C6">
              <w:rPr>
                <w:rFonts w:cs="Arial"/>
                <w:sz w:val="18"/>
                <w:szCs w:val="18"/>
              </w:rPr>
              <w:t>6</w:t>
            </w:r>
            <w:r w:rsidR="0007449B" w:rsidRPr="00EE43C6">
              <w:rPr>
                <w:rFonts w:cs="Arial"/>
                <w:sz w:val="18"/>
                <w:szCs w:val="18"/>
              </w:rPr>
              <w:t>.a Uncontrolled</w:t>
            </w:r>
          </w:p>
        </w:tc>
        <w:tc>
          <w:tcPr>
            <w:tcW w:w="3444" w:type="pct"/>
            <w:gridSpan w:val="5"/>
            <w:vAlign w:val="center"/>
          </w:tcPr>
          <w:p w14:paraId="1589337F" w14:textId="2BAAED27" w:rsidR="0007449B" w:rsidRPr="00EE43C6" w:rsidRDefault="008711E2" w:rsidP="00B625EB">
            <w:pPr>
              <w:spacing w:before="0" w:after="0" w:line="240" w:lineRule="auto"/>
              <w:jc w:val="left"/>
              <w:rPr>
                <w:rFonts w:cs="Arial"/>
                <w:sz w:val="18"/>
                <w:szCs w:val="18"/>
              </w:rPr>
            </w:pPr>
            <w:r w:rsidRPr="00EE43C6">
              <w:rPr>
                <w:rFonts w:cs="Arial"/>
                <w:sz w:val="18"/>
                <w:szCs w:val="18"/>
              </w:rPr>
              <w:t>2,671</w:t>
            </w:r>
            <w:r w:rsidR="0007449B" w:rsidRPr="00EE43C6">
              <w:rPr>
                <w:rFonts w:cs="Arial"/>
                <w:sz w:val="18"/>
                <w:szCs w:val="18"/>
              </w:rPr>
              <w:t xml:space="preserve"> ton</w:t>
            </w:r>
            <w:r w:rsidR="001932B8" w:rsidRPr="00EE43C6">
              <w:rPr>
                <w:rFonts w:cs="Arial"/>
                <w:sz w:val="18"/>
                <w:szCs w:val="18"/>
              </w:rPr>
              <w:t>ne</w:t>
            </w:r>
            <w:r w:rsidR="0007449B" w:rsidRPr="00EE43C6">
              <w:rPr>
                <w:rFonts w:cs="Arial"/>
                <w:sz w:val="18"/>
                <w:szCs w:val="18"/>
              </w:rPr>
              <w:t xml:space="preserve">s/hour x 0.025 kg/tonne = </w:t>
            </w:r>
            <w:r w:rsidRPr="00EE43C6">
              <w:rPr>
                <w:rFonts w:cs="Arial"/>
                <w:sz w:val="18"/>
                <w:szCs w:val="18"/>
              </w:rPr>
              <w:t>66</w:t>
            </w:r>
            <w:r w:rsidR="00515F70" w:rsidRPr="00EE43C6">
              <w:rPr>
                <w:rFonts w:cs="Arial"/>
                <w:sz w:val="18"/>
                <w:szCs w:val="18"/>
              </w:rPr>
              <w:t>.</w:t>
            </w:r>
            <w:r w:rsidRPr="00EE43C6">
              <w:rPr>
                <w:rFonts w:cs="Arial"/>
                <w:sz w:val="18"/>
                <w:szCs w:val="18"/>
              </w:rPr>
              <w:t>775</w:t>
            </w:r>
            <w:r w:rsidR="0007449B" w:rsidRPr="00EE43C6">
              <w:rPr>
                <w:rFonts w:cs="Arial"/>
                <w:sz w:val="18"/>
                <w:szCs w:val="18"/>
              </w:rPr>
              <w:t xml:space="preserve"> kg/hour</w:t>
            </w:r>
          </w:p>
        </w:tc>
      </w:tr>
      <w:tr w:rsidR="0007449B" w:rsidRPr="00EE43C6" w14:paraId="645781C6" w14:textId="77777777" w:rsidTr="00B625EB">
        <w:trPr>
          <w:trHeight w:val="284"/>
          <w:jc w:val="center"/>
        </w:trPr>
        <w:tc>
          <w:tcPr>
            <w:tcW w:w="1556" w:type="pct"/>
            <w:gridSpan w:val="2"/>
            <w:tcBorders>
              <w:bottom w:val="single" w:sz="4" w:space="0" w:color="auto"/>
            </w:tcBorders>
            <w:vAlign w:val="center"/>
          </w:tcPr>
          <w:p w14:paraId="6CBEC7D7" w14:textId="485F97D6" w:rsidR="0007449B" w:rsidRPr="00EE43C6" w:rsidRDefault="00962C3B" w:rsidP="00B625EB">
            <w:pPr>
              <w:spacing w:before="0" w:after="0" w:line="240" w:lineRule="auto"/>
              <w:jc w:val="left"/>
              <w:rPr>
                <w:rFonts w:cs="Arial"/>
                <w:sz w:val="18"/>
                <w:szCs w:val="18"/>
              </w:rPr>
            </w:pPr>
            <w:r w:rsidRPr="00EE43C6">
              <w:rPr>
                <w:rFonts w:cs="Arial"/>
                <w:sz w:val="18"/>
                <w:szCs w:val="18"/>
              </w:rPr>
              <w:t>6</w:t>
            </w:r>
            <w:r w:rsidR="0007449B" w:rsidRPr="00EE43C6">
              <w:rPr>
                <w:rFonts w:cs="Arial"/>
                <w:sz w:val="18"/>
                <w:szCs w:val="18"/>
              </w:rPr>
              <w:t>.b Controlled</w:t>
            </w:r>
          </w:p>
        </w:tc>
        <w:tc>
          <w:tcPr>
            <w:tcW w:w="3444" w:type="pct"/>
            <w:gridSpan w:val="5"/>
            <w:tcBorders>
              <w:bottom w:val="single" w:sz="4" w:space="0" w:color="auto"/>
            </w:tcBorders>
            <w:vAlign w:val="center"/>
          </w:tcPr>
          <w:p w14:paraId="6E0581F5" w14:textId="5758C935" w:rsidR="0007449B" w:rsidRPr="00EE43C6" w:rsidRDefault="00F70340" w:rsidP="00B625EB">
            <w:pPr>
              <w:spacing w:before="0" w:after="0" w:line="240" w:lineRule="auto"/>
              <w:jc w:val="left"/>
              <w:rPr>
                <w:rFonts w:cs="Arial"/>
                <w:sz w:val="18"/>
                <w:szCs w:val="18"/>
              </w:rPr>
            </w:pPr>
            <w:r w:rsidRPr="00EE43C6">
              <w:rPr>
                <w:rFonts w:cs="Arial"/>
                <w:sz w:val="18"/>
                <w:szCs w:val="18"/>
              </w:rPr>
              <w:t>2,671</w:t>
            </w:r>
            <w:r w:rsidR="0007449B" w:rsidRPr="00EE43C6">
              <w:rPr>
                <w:rFonts w:cs="Arial"/>
                <w:sz w:val="18"/>
                <w:szCs w:val="18"/>
              </w:rPr>
              <w:t xml:space="preserve"> ton</w:t>
            </w:r>
            <w:r w:rsidR="001932B8" w:rsidRPr="00EE43C6">
              <w:rPr>
                <w:rFonts w:cs="Arial"/>
                <w:sz w:val="18"/>
                <w:szCs w:val="18"/>
              </w:rPr>
              <w:t>ne</w:t>
            </w:r>
            <w:r w:rsidR="0007449B" w:rsidRPr="00EE43C6">
              <w:rPr>
                <w:rFonts w:cs="Arial"/>
                <w:sz w:val="18"/>
                <w:szCs w:val="18"/>
              </w:rPr>
              <w:t xml:space="preserve">s/hour x 0.0125 kg/tonne = </w:t>
            </w:r>
            <w:r w:rsidR="001E1E38" w:rsidRPr="00EE43C6">
              <w:rPr>
                <w:rFonts w:cs="Arial"/>
                <w:sz w:val="18"/>
                <w:szCs w:val="18"/>
              </w:rPr>
              <w:t>33.38</w:t>
            </w:r>
            <w:r w:rsidR="0007449B" w:rsidRPr="00EE43C6">
              <w:rPr>
                <w:rFonts w:cs="Arial"/>
                <w:sz w:val="18"/>
                <w:szCs w:val="18"/>
              </w:rPr>
              <w:t xml:space="preserve"> kg/hour</w:t>
            </w:r>
          </w:p>
        </w:tc>
      </w:tr>
      <w:tr w:rsidR="0007449B" w:rsidRPr="00EE43C6" w14:paraId="6BE72A41" w14:textId="77777777" w:rsidTr="00B625EB">
        <w:trPr>
          <w:trHeight w:val="284"/>
          <w:jc w:val="center"/>
        </w:trPr>
        <w:tc>
          <w:tcPr>
            <w:tcW w:w="5000" w:type="pct"/>
            <w:gridSpan w:val="7"/>
            <w:shd w:val="clear" w:color="auto" w:fill="4F81BD"/>
            <w:vAlign w:val="center"/>
          </w:tcPr>
          <w:p w14:paraId="0C1A66D1" w14:textId="17D9A586" w:rsidR="0007449B" w:rsidRPr="00EE43C6" w:rsidRDefault="00B564AD" w:rsidP="00854BE8">
            <w:pPr>
              <w:pStyle w:val="ListParagraph"/>
              <w:numPr>
                <w:ilvl w:val="0"/>
                <w:numId w:val="31"/>
              </w:numPr>
              <w:spacing w:before="0" w:after="0" w:line="240" w:lineRule="auto"/>
              <w:contextualSpacing w:val="0"/>
              <w:jc w:val="left"/>
              <w:rPr>
                <w:b/>
                <w:noProof w:val="0"/>
                <w:color w:val="FFFFFF" w:themeColor="background1"/>
                <w:sz w:val="18"/>
                <w:szCs w:val="18"/>
              </w:rPr>
            </w:pPr>
            <w:r w:rsidRPr="00EE43C6">
              <w:rPr>
                <w:b/>
                <w:noProof w:val="0"/>
                <w:color w:val="FFFFFF" w:themeColor="background1"/>
                <w:sz w:val="18"/>
                <w:szCs w:val="18"/>
              </w:rPr>
              <w:t>Loading of Excavation Material (2,671 tons/hour)</w:t>
            </w:r>
          </w:p>
        </w:tc>
      </w:tr>
      <w:tr w:rsidR="0007449B" w:rsidRPr="00EE43C6" w14:paraId="0652FC7A" w14:textId="77777777" w:rsidTr="00B625EB">
        <w:trPr>
          <w:trHeight w:val="284"/>
          <w:jc w:val="center"/>
        </w:trPr>
        <w:tc>
          <w:tcPr>
            <w:tcW w:w="5000" w:type="pct"/>
            <w:gridSpan w:val="7"/>
            <w:vAlign w:val="center"/>
          </w:tcPr>
          <w:p w14:paraId="1E4CE0A6" w14:textId="0E548473" w:rsidR="0007449B" w:rsidRPr="00EE43C6" w:rsidRDefault="0007449B" w:rsidP="00B625EB">
            <w:pPr>
              <w:spacing w:before="0" w:after="0" w:line="240" w:lineRule="auto"/>
              <w:jc w:val="left"/>
              <w:rPr>
                <w:rFonts w:cs="Arial"/>
                <w:sz w:val="18"/>
                <w:szCs w:val="18"/>
              </w:rPr>
            </w:pPr>
            <w:r w:rsidRPr="00EE43C6">
              <w:rPr>
                <w:rFonts w:cs="Arial"/>
                <w:sz w:val="18"/>
                <w:szCs w:val="18"/>
              </w:rPr>
              <w:t>Generation amount (ton</w:t>
            </w:r>
            <w:r w:rsidR="00EA7FB8" w:rsidRPr="00EE43C6">
              <w:rPr>
                <w:rFonts w:cs="Arial"/>
                <w:sz w:val="18"/>
                <w:szCs w:val="18"/>
              </w:rPr>
              <w:t>ne</w:t>
            </w:r>
            <w:r w:rsidRPr="00EE43C6">
              <w:rPr>
                <w:rFonts w:cs="Arial"/>
                <w:sz w:val="18"/>
                <w:szCs w:val="18"/>
              </w:rPr>
              <w:t>/hour) x Emission factor (kg/ton</w:t>
            </w:r>
            <w:r w:rsidR="00184298" w:rsidRPr="00EE43C6">
              <w:rPr>
                <w:rFonts w:cs="Arial"/>
                <w:sz w:val="18"/>
                <w:szCs w:val="18"/>
              </w:rPr>
              <w:t>ne</w:t>
            </w:r>
            <w:r w:rsidRPr="00EE43C6">
              <w:rPr>
                <w:rFonts w:cs="Arial"/>
                <w:sz w:val="18"/>
                <w:szCs w:val="18"/>
              </w:rPr>
              <w:t>)</w:t>
            </w:r>
          </w:p>
        </w:tc>
      </w:tr>
      <w:tr w:rsidR="0007449B" w:rsidRPr="00EE43C6" w14:paraId="10AC9608" w14:textId="77777777" w:rsidTr="00B625EB">
        <w:trPr>
          <w:trHeight w:val="284"/>
          <w:jc w:val="center"/>
        </w:trPr>
        <w:tc>
          <w:tcPr>
            <w:tcW w:w="1556" w:type="pct"/>
            <w:gridSpan w:val="2"/>
            <w:vAlign w:val="center"/>
          </w:tcPr>
          <w:p w14:paraId="38AC8254" w14:textId="33523A24" w:rsidR="0007449B" w:rsidRPr="00EE43C6" w:rsidRDefault="00962C3B" w:rsidP="00B625EB">
            <w:pPr>
              <w:spacing w:before="0" w:after="0" w:line="240" w:lineRule="auto"/>
              <w:jc w:val="left"/>
              <w:rPr>
                <w:rFonts w:cs="Arial"/>
                <w:sz w:val="18"/>
                <w:szCs w:val="18"/>
              </w:rPr>
            </w:pPr>
            <w:r w:rsidRPr="00EE43C6">
              <w:rPr>
                <w:rFonts w:cs="Arial"/>
                <w:sz w:val="18"/>
                <w:szCs w:val="18"/>
              </w:rPr>
              <w:t>7</w:t>
            </w:r>
            <w:r w:rsidR="0007449B" w:rsidRPr="00EE43C6">
              <w:rPr>
                <w:rFonts w:cs="Arial"/>
                <w:sz w:val="18"/>
                <w:szCs w:val="18"/>
              </w:rPr>
              <w:t>.a Uncontrolled</w:t>
            </w:r>
          </w:p>
        </w:tc>
        <w:tc>
          <w:tcPr>
            <w:tcW w:w="3444" w:type="pct"/>
            <w:gridSpan w:val="5"/>
            <w:vAlign w:val="center"/>
          </w:tcPr>
          <w:p w14:paraId="4D109839" w14:textId="1EC199EA" w:rsidR="0007449B" w:rsidRPr="00EE43C6" w:rsidRDefault="00EB432E" w:rsidP="00B625EB">
            <w:pPr>
              <w:spacing w:before="0" w:after="0" w:line="240" w:lineRule="auto"/>
              <w:jc w:val="left"/>
              <w:rPr>
                <w:rFonts w:cs="Arial"/>
                <w:sz w:val="18"/>
                <w:szCs w:val="18"/>
              </w:rPr>
            </w:pPr>
            <w:r w:rsidRPr="00EE43C6">
              <w:rPr>
                <w:rFonts w:cs="Arial"/>
                <w:sz w:val="18"/>
                <w:szCs w:val="18"/>
              </w:rPr>
              <w:t>2,671</w:t>
            </w:r>
            <w:r w:rsidR="0007449B" w:rsidRPr="00EE43C6">
              <w:rPr>
                <w:rFonts w:cs="Arial"/>
                <w:sz w:val="18"/>
                <w:szCs w:val="18"/>
              </w:rPr>
              <w:t xml:space="preserve"> ton</w:t>
            </w:r>
            <w:r w:rsidR="001932B8" w:rsidRPr="00EE43C6">
              <w:rPr>
                <w:rFonts w:cs="Arial"/>
                <w:sz w:val="18"/>
                <w:szCs w:val="18"/>
              </w:rPr>
              <w:t>ne</w:t>
            </w:r>
            <w:r w:rsidR="0007449B" w:rsidRPr="00EE43C6">
              <w:rPr>
                <w:rFonts w:cs="Arial"/>
                <w:sz w:val="18"/>
                <w:szCs w:val="18"/>
              </w:rPr>
              <w:t xml:space="preserve">s/hour x 0.010 kg/tonne = </w:t>
            </w:r>
            <w:r w:rsidRPr="00EE43C6">
              <w:rPr>
                <w:rFonts w:cs="Arial"/>
                <w:sz w:val="18"/>
                <w:szCs w:val="18"/>
              </w:rPr>
              <w:t>26.71</w:t>
            </w:r>
            <w:r w:rsidR="0007449B" w:rsidRPr="00EE43C6">
              <w:rPr>
                <w:rFonts w:cs="Arial"/>
                <w:sz w:val="18"/>
                <w:szCs w:val="18"/>
              </w:rPr>
              <w:t xml:space="preserve"> kg/hour</w:t>
            </w:r>
          </w:p>
        </w:tc>
      </w:tr>
      <w:tr w:rsidR="0007449B" w:rsidRPr="00EE43C6" w14:paraId="7C4E68B1" w14:textId="77777777" w:rsidTr="00B625EB">
        <w:trPr>
          <w:trHeight w:val="284"/>
          <w:jc w:val="center"/>
        </w:trPr>
        <w:tc>
          <w:tcPr>
            <w:tcW w:w="1556" w:type="pct"/>
            <w:gridSpan w:val="2"/>
            <w:tcBorders>
              <w:bottom w:val="single" w:sz="4" w:space="0" w:color="auto"/>
            </w:tcBorders>
            <w:vAlign w:val="center"/>
          </w:tcPr>
          <w:p w14:paraId="480463C8" w14:textId="68192A93" w:rsidR="0007449B" w:rsidRPr="00EE43C6" w:rsidRDefault="00962C3B" w:rsidP="00B625EB">
            <w:pPr>
              <w:spacing w:before="0" w:after="0" w:line="240" w:lineRule="auto"/>
              <w:jc w:val="left"/>
              <w:rPr>
                <w:rFonts w:cs="Arial"/>
                <w:sz w:val="18"/>
                <w:szCs w:val="18"/>
              </w:rPr>
            </w:pPr>
            <w:r w:rsidRPr="00EE43C6">
              <w:rPr>
                <w:rFonts w:cs="Arial"/>
                <w:sz w:val="18"/>
                <w:szCs w:val="18"/>
              </w:rPr>
              <w:t>7</w:t>
            </w:r>
            <w:r w:rsidR="0007449B" w:rsidRPr="00EE43C6">
              <w:rPr>
                <w:rFonts w:cs="Arial"/>
                <w:sz w:val="18"/>
                <w:szCs w:val="18"/>
              </w:rPr>
              <w:t>.b Controlled</w:t>
            </w:r>
          </w:p>
        </w:tc>
        <w:tc>
          <w:tcPr>
            <w:tcW w:w="3444" w:type="pct"/>
            <w:gridSpan w:val="5"/>
            <w:tcBorders>
              <w:bottom w:val="single" w:sz="4" w:space="0" w:color="auto"/>
            </w:tcBorders>
            <w:vAlign w:val="center"/>
          </w:tcPr>
          <w:p w14:paraId="6B74D64E" w14:textId="042BE082" w:rsidR="0007449B" w:rsidRPr="00EE43C6" w:rsidRDefault="00CB5A5A" w:rsidP="00B625EB">
            <w:pPr>
              <w:spacing w:before="0" w:after="0" w:line="240" w:lineRule="auto"/>
              <w:jc w:val="left"/>
              <w:rPr>
                <w:rFonts w:cs="Arial"/>
                <w:sz w:val="18"/>
                <w:szCs w:val="18"/>
              </w:rPr>
            </w:pPr>
            <w:r w:rsidRPr="00EE43C6">
              <w:rPr>
                <w:rFonts w:cs="Arial"/>
                <w:sz w:val="18"/>
                <w:szCs w:val="18"/>
              </w:rPr>
              <w:t>2,671</w:t>
            </w:r>
            <w:r w:rsidR="0007449B" w:rsidRPr="00EE43C6">
              <w:rPr>
                <w:rFonts w:cs="Arial"/>
                <w:sz w:val="18"/>
                <w:szCs w:val="18"/>
              </w:rPr>
              <w:t xml:space="preserve"> ton</w:t>
            </w:r>
            <w:r w:rsidR="001932B8" w:rsidRPr="00EE43C6">
              <w:rPr>
                <w:rFonts w:cs="Arial"/>
                <w:sz w:val="18"/>
                <w:szCs w:val="18"/>
              </w:rPr>
              <w:t>ne</w:t>
            </w:r>
            <w:r w:rsidR="0007449B" w:rsidRPr="00EE43C6">
              <w:rPr>
                <w:rFonts w:cs="Arial"/>
                <w:sz w:val="18"/>
                <w:szCs w:val="18"/>
              </w:rPr>
              <w:t xml:space="preserve">s/hour x 0.005 kg/tonne = </w:t>
            </w:r>
            <w:r w:rsidRPr="00EE43C6">
              <w:rPr>
                <w:rFonts w:cs="Arial"/>
                <w:sz w:val="18"/>
                <w:szCs w:val="18"/>
              </w:rPr>
              <w:t>13</w:t>
            </w:r>
            <w:r w:rsidR="00515F70" w:rsidRPr="00EE43C6">
              <w:rPr>
                <w:rFonts w:cs="Arial"/>
                <w:sz w:val="18"/>
                <w:szCs w:val="18"/>
              </w:rPr>
              <w:t>.</w:t>
            </w:r>
            <w:r w:rsidRPr="00EE43C6">
              <w:rPr>
                <w:rFonts w:cs="Arial"/>
                <w:sz w:val="18"/>
                <w:szCs w:val="18"/>
              </w:rPr>
              <w:t>355</w:t>
            </w:r>
            <w:r w:rsidR="0007449B" w:rsidRPr="00EE43C6">
              <w:rPr>
                <w:rFonts w:cs="Arial"/>
                <w:sz w:val="18"/>
                <w:szCs w:val="18"/>
              </w:rPr>
              <w:t xml:space="preserve"> kg/hour</w:t>
            </w:r>
          </w:p>
        </w:tc>
      </w:tr>
      <w:tr w:rsidR="0007449B" w:rsidRPr="00EE43C6" w14:paraId="6889D5B2" w14:textId="77777777" w:rsidTr="00B625EB">
        <w:trPr>
          <w:trHeight w:val="284"/>
          <w:jc w:val="center"/>
        </w:trPr>
        <w:tc>
          <w:tcPr>
            <w:tcW w:w="5000" w:type="pct"/>
            <w:gridSpan w:val="7"/>
            <w:shd w:val="clear" w:color="auto" w:fill="4F81BD"/>
            <w:vAlign w:val="center"/>
          </w:tcPr>
          <w:p w14:paraId="67133FF7" w14:textId="4C60CE90" w:rsidR="0007449B" w:rsidRPr="00EE43C6" w:rsidRDefault="00AB1A02" w:rsidP="00854BE8">
            <w:pPr>
              <w:pStyle w:val="ListParagraph"/>
              <w:numPr>
                <w:ilvl w:val="0"/>
                <w:numId w:val="31"/>
              </w:numPr>
              <w:spacing w:before="0" w:after="0" w:line="240" w:lineRule="auto"/>
              <w:contextualSpacing w:val="0"/>
              <w:jc w:val="left"/>
              <w:rPr>
                <w:b/>
                <w:noProof w:val="0"/>
                <w:color w:val="FFFFFF" w:themeColor="background1"/>
                <w:sz w:val="18"/>
                <w:szCs w:val="18"/>
              </w:rPr>
            </w:pPr>
            <w:r w:rsidRPr="00EE43C6">
              <w:rPr>
                <w:b/>
                <w:noProof w:val="0"/>
                <w:color w:val="FFFFFF" w:themeColor="background1"/>
                <w:sz w:val="18"/>
                <w:szCs w:val="18"/>
              </w:rPr>
              <w:t>Transportation of Excavation Material to the Area to be Ba</w:t>
            </w:r>
            <w:r w:rsidR="002C4C9D" w:rsidRPr="00EE43C6">
              <w:rPr>
                <w:b/>
                <w:noProof w:val="0"/>
                <w:color w:val="FFFFFF" w:themeColor="background1"/>
                <w:sz w:val="18"/>
                <w:szCs w:val="18"/>
              </w:rPr>
              <w:t>ckf</w:t>
            </w:r>
            <w:r w:rsidRPr="00EE43C6">
              <w:rPr>
                <w:b/>
                <w:noProof w:val="0"/>
                <w:color w:val="FFFFFF" w:themeColor="background1"/>
                <w:sz w:val="18"/>
                <w:szCs w:val="18"/>
              </w:rPr>
              <w:t>illed (21</w:t>
            </w:r>
            <w:r w:rsidR="002C4C9D" w:rsidRPr="00EE43C6">
              <w:rPr>
                <w:b/>
                <w:noProof w:val="0"/>
                <w:color w:val="FFFFFF" w:themeColor="background1"/>
                <w:sz w:val="18"/>
                <w:szCs w:val="18"/>
              </w:rPr>
              <w:t>,</w:t>
            </w:r>
            <w:r w:rsidRPr="00EE43C6">
              <w:rPr>
                <w:b/>
                <w:noProof w:val="0"/>
                <w:color w:val="FFFFFF" w:themeColor="background1"/>
                <w:sz w:val="18"/>
                <w:szCs w:val="18"/>
              </w:rPr>
              <w:t>311 ton</w:t>
            </w:r>
            <w:r w:rsidR="001932B8" w:rsidRPr="00EE43C6">
              <w:rPr>
                <w:b/>
                <w:noProof w:val="0"/>
                <w:color w:val="FFFFFF" w:themeColor="background1"/>
                <w:sz w:val="18"/>
                <w:szCs w:val="18"/>
              </w:rPr>
              <w:t>ne</w:t>
            </w:r>
            <w:r w:rsidRPr="00EE43C6">
              <w:rPr>
                <w:b/>
                <w:noProof w:val="0"/>
                <w:color w:val="FFFFFF" w:themeColor="background1"/>
                <w:sz w:val="18"/>
                <w:szCs w:val="18"/>
              </w:rPr>
              <w:t>s/day)</w:t>
            </w:r>
          </w:p>
        </w:tc>
      </w:tr>
      <w:tr w:rsidR="0007449B" w:rsidRPr="00EE43C6" w14:paraId="1DA72EAD" w14:textId="77777777" w:rsidTr="00B625EB">
        <w:trPr>
          <w:trHeight w:val="284"/>
          <w:jc w:val="center"/>
        </w:trPr>
        <w:tc>
          <w:tcPr>
            <w:tcW w:w="5000" w:type="pct"/>
            <w:gridSpan w:val="7"/>
            <w:vAlign w:val="center"/>
          </w:tcPr>
          <w:p w14:paraId="0AD80E3F" w14:textId="77777777" w:rsidR="0007449B" w:rsidRPr="00EE43C6" w:rsidRDefault="0007449B" w:rsidP="00B625EB">
            <w:pPr>
              <w:spacing w:before="0" w:after="0" w:line="240" w:lineRule="auto"/>
              <w:jc w:val="left"/>
              <w:rPr>
                <w:rFonts w:cs="Arial"/>
                <w:sz w:val="18"/>
                <w:szCs w:val="18"/>
              </w:rPr>
            </w:pPr>
            <w:r w:rsidRPr="00EE43C6">
              <w:rPr>
                <w:rFonts w:cs="Arial"/>
                <w:sz w:val="18"/>
                <w:szCs w:val="18"/>
              </w:rPr>
              <w:t>Number of trips (trips/day) x Transport Distance (km) x Emission Factor (kg/km) x day/hour</w:t>
            </w:r>
          </w:p>
        </w:tc>
      </w:tr>
      <w:tr w:rsidR="0007449B" w:rsidRPr="00EE43C6" w14:paraId="043027CA" w14:textId="77777777" w:rsidTr="00B625EB">
        <w:trPr>
          <w:trHeight w:val="284"/>
          <w:jc w:val="center"/>
        </w:trPr>
        <w:tc>
          <w:tcPr>
            <w:tcW w:w="1556" w:type="pct"/>
            <w:gridSpan w:val="2"/>
            <w:vAlign w:val="center"/>
          </w:tcPr>
          <w:p w14:paraId="31B667A2" w14:textId="4AAF4A67" w:rsidR="0007449B" w:rsidRPr="00EE43C6" w:rsidRDefault="00962C3B" w:rsidP="00B625EB">
            <w:pPr>
              <w:spacing w:before="0" w:after="0" w:line="240" w:lineRule="auto"/>
              <w:jc w:val="left"/>
              <w:rPr>
                <w:rFonts w:cs="Arial"/>
                <w:sz w:val="18"/>
                <w:szCs w:val="18"/>
              </w:rPr>
            </w:pPr>
            <w:r w:rsidRPr="00EE43C6">
              <w:rPr>
                <w:rFonts w:cs="Arial"/>
                <w:sz w:val="18"/>
                <w:szCs w:val="18"/>
              </w:rPr>
              <w:t>8</w:t>
            </w:r>
            <w:r w:rsidR="0007449B" w:rsidRPr="00EE43C6">
              <w:rPr>
                <w:rFonts w:cs="Arial"/>
                <w:sz w:val="18"/>
                <w:szCs w:val="18"/>
              </w:rPr>
              <w:t>.a Uncontrolled</w:t>
            </w:r>
          </w:p>
        </w:tc>
        <w:tc>
          <w:tcPr>
            <w:tcW w:w="3444" w:type="pct"/>
            <w:gridSpan w:val="5"/>
            <w:vAlign w:val="center"/>
          </w:tcPr>
          <w:p w14:paraId="3DB281F3" w14:textId="43D837A8" w:rsidR="0007449B" w:rsidRPr="00EE43C6" w:rsidRDefault="009A1011" w:rsidP="00B625EB">
            <w:pPr>
              <w:spacing w:before="0" w:after="0" w:line="240" w:lineRule="auto"/>
              <w:jc w:val="left"/>
              <w:rPr>
                <w:rFonts w:cs="Arial"/>
                <w:sz w:val="18"/>
                <w:szCs w:val="18"/>
              </w:rPr>
            </w:pPr>
            <w:r w:rsidRPr="00EE43C6">
              <w:rPr>
                <w:rFonts w:cs="Arial"/>
                <w:sz w:val="18"/>
                <w:szCs w:val="18"/>
              </w:rPr>
              <w:t>35</w:t>
            </w:r>
            <w:r w:rsidR="0007449B" w:rsidRPr="00EE43C6">
              <w:rPr>
                <w:rFonts w:cs="Arial"/>
                <w:sz w:val="18"/>
                <w:szCs w:val="18"/>
              </w:rPr>
              <w:t xml:space="preserve"> trips/day x 1 km/trip x 0.70 kg/km x 1day/8 </w:t>
            </w:r>
            <w:r w:rsidRPr="00EE43C6">
              <w:rPr>
                <w:rFonts w:cs="Arial"/>
                <w:sz w:val="18"/>
                <w:szCs w:val="18"/>
              </w:rPr>
              <w:t>hour</w:t>
            </w:r>
            <w:r w:rsidR="00843921" w:rsidRPr="00EE43C6">
              <w:rPr>
                <w:rFonts w:cs="Arial"/>
                <w:sz w:val="18"/>
                <w:szCs w:val="18"/>
              </w:rPr>
              <w:t>s</w:t>
            </w:r>
            <w:r w:rsidR="0007449B" w:rsidRPr="00EE43C6">
              <w:rPr>
                <w:rFonts w:cs="Arial"/>
                <w:sz w:val="18"/>
                <w:szCs w:val="18"/>
              </w:rPr>
              <w:t xml:space="preserve"> = </w:t>
            </w:r>
            <w:r w:rsidRPr="00EE43C6">
              <w:rPr>
                <w:rFonts w:cs="Arial"/>
                <w:sz w:val="18"/>
                <w:szCs w:val="18"/>
              </w:rPr>
              <w:t>3.0625</w:t>
            </w:r>
            <w:r w:rsidR="0007449B" w:rsidRPr="00EE43C6">
              <w:rPr>
                <w:rFonts w:cs="Arial"/>
                <w:sz w:val="18"/>
                <w:szCs w:val="18"/>
              </w:rPr>
              <w:t xml:space="preserve"> kg/hour</w:t>
            </w:r>
          </w:p>
        </w:tc>
      </w:tr>
      <w:tr w:rsidR="0007449B" w:rsidRPr="00EE43C6" w14:paraId="5E3F333B" w14:textId="77777777" w:rsidTr="00B625EB">
        <w:trPr>
          <w:trHeight w:val="284"/>
          <w:jc w:val="center"/>
        </w:trPr>
        <w:tc>
          <w:tcPr>
            <w:tcW w:w="1556" w:type="pct"/>
            <w:gridSpan w:val="2"/>
            <w:tcBorders>
              <w:bottom w:val="single" w:sz="4" w:space="0" w:color="auto"/>
            </w:tcBorders>
            <w:vAlign w:val="center"/>
          </w:tcPr>
          <w:p w14:paraId="4673220F" w14:textId="68A4A999" w:rsidR="0007449B" w:rsidRPr="00EE43C6" w:rsidRDefault="00962C3B" w:rsidP="00B625EB">
            <w:pPr>
              <w:spacing w:before="0" w:after="0" w:line="240" w:lineRule="auto"/>
              <w:jc w:val="left"/>
              <w:rPr>
                <w:rFonts w:cs="Arial"/>
                <w:sz w:val="18"/>
                <w:szCs w:val="18"/>
              </w:rPr>
            </w:pPr>
            <w:r w:rsidRPr="00EE43C6">
              <w:rPr>
                <w:rFonts w:cs="Arial"/>
                <w:sz w:val="18"/>
                <w:szCs w:val="18"/>
              </w:rPr>
              <w:t>8</w:t>
            </w:r>
            <w:r w:rsidR="0007449B" w:rsidRPr="00EE43C6">
              <w:rPr>
                <w:rFonts w:cs="Arial"/>
                <w:sz w:val="18"/>
                <w:szCs w:val="18"/>
              </w:rPr>
              <w:t>.b Controlled</w:t>
            </w:r>
          </w:p>
        </w:tc>
        <w:tc>
          <w:tcPr>
            <w:tcW w:w="3444" w:type="pct"/>
            <w:gridSpan w:val="5"/>
            <w:tcBorders>
              <w:bottom w:val="single" w:sz="4" w:space="0" w:color="auto"/>
            </w:tcBorders>
            <w:vAlign w:val="center"/>
          </w:tcPr>
          <w:p w14:paraId="49EE83B2" w14:textId="4989BB03" w:rsidR="0007449B" w:rsidRPr="00EE43C6" w:rsidRDefault="005E3C45" w:rsidP="00B625EB">
            <w:pPr>
              <w:spacing w:before="0" w:after="0" w:line="240" w:lineRule="auto"/>
              <w:jc w:val="left"/>
              <w:rPr>
                <w:rFonts w:cs="Arial"/>
                <w:sz w:val="18"/>
                <w:szCs w:val="18"/>
              </w:rPr>
            </w:pPr>
            <w:r w:rsidRPr="00EE43C6">
              <w:rPr>
                <w:rFonts w:cs="Arial"/>
                <w:sz w:val="18"/>
                <w:szCs w:val="18"/>
              </w:rPr>
              <w:t>35</w:t>
            </w:r>
            <w:r w:rsidR="0007449B" w:rsidRPr="00EE43C6">
              <w:rPr>
                <w:rFonts w:cs="Arial"/>
                <w:sz w:val="18"/>
                <w:szCs w:val="18"/>
              </w:rPr>
              <w:t xml:space="preserve"> trips/day x 1 km/trip x 0.35 kg/km x 1 day/8 </w:t>
            </w:r>
            <w:r w:rsidRPr="00EE43C6">
              <w:rPr>
                <w:rFonts w:cs="Arial"/>
                <w:sz w:val="18"/>
                <w:szCs w:val="18"/>
              </w:rPr>
              <w:t>hour</w:t>
            </w:r>
            <w:r w:rsidR="00843921" w:rsidRPr="00EE43C6">
              <w:rPr>
                <w:rFonts w:cs="Arial"/>
                <w:sz w:val="18"/>
                <w:szCs w:val="18"/>
              </w:rPr>
              <w:t>s</w:t>
            </w:r>
            <w:r w:rsidR="0007449B" w:rsidRPr="00EE43C6">
              <w:rPr>
                <w:rFonts w:cs="Arial"/>
                <w:sz w:val="18"/>
                <w:szCs w:val="18"/>
              </w:rPr>
              <w:t xml:space="preserve"> = 1.</w:t>
            </w:r>
            <w:r w:rsidRPr="00EE43C6">
              <w:rPr>
                <w:rFonts w:cs="Arial"/>
                <w:sz w:val="18"/>
                <w:szCs w:val="18"/>
              </w:rPr>
              <w:t>5312</w:t>
            </w:r>
            <w:r w:rsidR="0007449B" w:rsidRPr="00EE43C6">
              <w:rPr>
                <w:rFonts w:cs="Arial"/>
                <w:sz w:val="18"/>
                <w:szCs w:val="18"/>
              </w:rPr>
              <w:t xml:space="preserve"> kg/hour</w:t>
            </w:r>
          </w:p>
        </w:tc>
      </w:tr>
      <w:tr w:rsidR="0007449B" w:rsidRPr="00EE43C6" w14:paraId="622DE873" w14:textId="77777777" w:rsidTr="00B625EB">
        <w:trPr>
          <w:trHeight w:val="284"/>
          <w:jc w:val="center"/>
        </w:trPr>
        <w:tc>
          <w:tcPr>
            <w:tcW w:w="5000" w:type="pct"/>
            <w:gridSpan w:val="7"/>
            <w:shd w:val="clear" w:color="auto" w:fill="4F81BD"/>
            <w:vAlign w:val="center"/>
          </w:tcPr>
          <w:p w14:paraId="399D4A08" w14:textId="2E22D755" w:rsidR="0007449B" w:rsidRPr="00EE43C6" w:rsidRDefault="00334C9B" w:rsidP="00854BE8">
            <w:pPr>
              <w:pStyle w:val="ListParagraph"/>
              <w:numPr>
                <w:ilvl w:val="0"/>
                <w:numId w:val="31"/>
              </w:numPr>
              <w:spacing w:before="0" w:after="0" w:line="240" w:lineRule="auto"/>
              <w:contextualSpacing w:val="0"/>
              <w:jc w:val="left"/>
              <w:rPr>
                <w:b/>
                <w:noProof w:val="0"/>
                <w:color w:val="FFFFFF" w:themeColor="background1"/>
                <w:sz w:val="18"/>
                <w:szCs w:val="18"/>
              </w:rPr>
            </w:pPr>
            <w:r w:rsidRPr="00EE43C6">
              <w:rPr>
                <w:b/>
                <w:noProof w:val="0"/>
                <w:color w:val="FFFFFF" w:themeColor="background1"/>
                <w:sz w:val="18"/>
                <w:szCs w:val="18"/>
              </w:rPr>
              <w:t>Transportation of Excavated Material to Licensed Storage Area (428 ton</w:t>
            </w:r>
            <w:r w:rsidR="001932B8" w:rsidRPr="00EE43C6">
              <w:rPr>
                <w:b/>
                <w:noProof w:val="0"/>
                <w:color w:val="FFFFFF" w:themeColor="background1"/>
                <w:sz w:val="18"/>
                <w:szCs w:val="18"/>
              </w:rPr>
              <w:t>ne</w:t>
            </w:r>
            <w:r w:rsidRPr="00EE43C6">
              <w:rPr>
                <w:b/>
                <w:noProof w:val="0"/>
                <w:color w:val="FFFFFF" w:themeColor="background1"/>
                <w:sz w:val="18"/>
                <w:szCs w:val="18"/>
              </w:rPr>
              <w:t>s/day)</w:t>
            </w:r>
          </w:p>
        </w:tc>
      </w:tr>
      <w:tr w:rsidR="0007449B" w:rsidRPr="00EE43C6" w14:paraId="018E4507" w14:textId="77777777" w:rsidTr="00B625EB">
        <w:trPr>
          <w:trHeight w:val="284"/>
          <w:jc w:val="center"/>
        </w:trPr>
        <w:tc>
          <w:tcPr>
            <w:tcW w:w="5000" w:type="pct"/>
            <w:gridSpan w:val="7"/>
            <w:vAlign w:val="center"/>
          </w:tcPr>
          <w:p w14:paraId="163B71ED" w14:textId="3F7B61B0" w:rsidR="0007449B" w:rsidRPr="00EE43C6" w:rsidRDefault="0062233F" w:rsidP="00B625EB">
            <w:pPr>
              <w:spacing w:before="0" w:after="0" w:line="240" w:lineRule="auto"/>
              <w:jc w:val="left"/>
              <w:rPr>
                <w:rFonts w:cs="Arial"/>
                <w:sz w:val="18"/>
                <w:szCs w:val="18"/>
              </w:rPr>
            </w:pPr>
            <w:r w:rsidRPr="00EE43C6">
              <w:rPr>
                <w:rFonts w:cs="Arial"/>
                <w:sz w:val="18"/>
                <w:szCs w:val="18"/>
              </w:rPr>
              <w:t>Number of trips (trips/day) x Transport Distance (km) x Emission Factor (kg/km) x day/hour</w:t>
            </w:r>
          </w:p>
        </w:tc>
      </w:tr>
      <w:tr w:rsidR="0007449B" w:rsidRPr="00EE43C6" w14:paraId="007A5728" w14:textId="77777777" w:rsidTr="00B625EB">
        <w:trPr>
          <w:trHeight w:val="284"/>
          <w:jc w:val="center"/>
        </w:trPr>
        <w:tc>
          <w:tcPr>
            <w:tcW w:w="1556" w:type="pct"/>
            <w:gridSpan w:val="2"/>
            <w:vAlign w:val="center"/>
          </w:tcPr>
          <w:p w14:paraId="49FACC4C" w14:textId="19F2E30B" w:rsidR="0007449B" w:rsidRPr="00EE43C6" w:rsidRDefault="00962C3B" w:rsidP="00B625EB">
            <w:pPr>
              <w:spacing w:before="0" w:after="0" w:line="240" w:lineRule="auto"/>
              <w:jc w:val="left"/>
              <w:rPr>
                <w:rFonts w:cs="Arial"/>
                <w:sz w:val="18"/>
                <w:szCs w:val="18"/>
              </w:rPr>
            </w:pPr>
            <w:r w:rsidRPr="00EE43C6">
              <w:rPr>
                <w:rFonts w:cs="Arial"/>
                <w:sz w:val="18"/>
                <w:szCs w:val="18"/>
              </w:rPr>
              <w:t>9</w:t>
            </w:r>
            <w:r w:rsidR="0007449B" w:rsidRPr="00EE43C6">
              <w:rPr>
                <w:rFonts w:cs="Arial"/>
                <w:sz w:val="18"/>
                <w:szCs w:val="18"/>
              </w:rPr>
              <w:t>.a Uncontrolled</w:t>
            </w:r>
          </w:p>
        </w:tc>
        <w:tc>
          <w:tcPr>
            <w:tcW w:w="3444" w:type="pct"/>
            <w:gridSpan w:val="5"/>
            <w:vAlign w:val="center"/>
          </w:tcPr>
          <w:p w14:paraId="357C66A3" w14:textId="71D539CD" w:rsidR="0007449B" w:rsidRPr="00EE43C6" w:rsidRDefault="00D23EEC" w:rsidP="00B625EB">
            <w:pPr>
              <w:spacing w:before="0" w:after="0" w:line="240" w:lineRule="auto"/>
              <w:jc w:val="left"/>
              <w:rPr>
                <w:rFonts w:cs="Arial"/>
                <w:sz w:val="18"/>
                <w:szCs w:val="18"/>
              </w:rPr>
            </w:pPr>
            <w:r w:rsidRPr="00EE43C6">
              <w:rPr>
                <w:rFonts w:cs="Arial"/>
                <w:sz w:val="18"/>
                <w:szCs w:val="18"/>
              </w:rPr>
              <w:t>11 trips/day x 1 km/trip x 0.70 kg/km x 1day/8 hour</w:t>
            </w:r>
            <w:r w:rsidR="00843921" w:rsidRPr="00EE43C6">
              <w:rPr>
                <w:rFonts w:cs="Arial"/>
                <w:sz w:val="18"/>
                <w:szCs w:val="18"/>
              </w:rPr>
              <w:t>s</w:t>
            </w:r>
            <w:r w:rsidRPr="00EE43C6">
              <w:rPr>
                <w:rFonts w:cs="Arial"/>
                <w:sz w:val="18"/>
                <w:szCs w:val="18"/>
              </w:rPr>
              <w:t xml:space="preserve"> = 0.9625 kg/hour</w:t>
            </w:r>
          </w:p>
        </w:tc>
      </w:tr>
      <w:tr w:rsidR="0007449B" w:rsidRPr="00EE43C6" w14:paraId="09E6A62B" w14:textId="77777777" w:rsidTr="00B625EB">
        <w:trPr>
          <w:trHeight w:val="284"/>
          <w:jc w:val="center"/>
        </w:trPr>
        <w:tc>
          <w:tcPr>
            <w:tcW w:w="1556" w:type="pct"/>
            <w:gridSpan w:val="2"/>
            <w:tcBorders>
              <w:bottom w:val="single" w:sz="4" w:space="0" w:color="auto"/>
            </w:tcBorders>
            <w:vAlign w:val="center"/>
          </w:tcPr>
          <w:p w14:paraId="706E4822" w14:textId="21BC2244" w:rsidR="0007449B" w:rsidRPr="00EE43C6" w:rsidRDefault="00962C3B" w:rsidP="00B625EB">
            <w:pPr>
              <w:spacing w:before="0" w:after="0" w:line="240" w:lineRule="auto"/>
              <w:jc w:val="left"/>
              <w:rPr>
                <w:rFonts w:cs="Arial"/>
                <w:sz w:val="18"/>
                <w:szCs w:val="18"/>
              </w:rPr>
            </w:pPr>
            <w:r w:rsidRPr="00EE43C6">
              <w:rPr>
                <w:rFonts w:cs="Arial"/>
                <w:sz w:val="18"/>
                <w:szCs w:val="18"/>
              </w:rPr>
              <w:t>9</w:t>
            </w:r>
            <w:r w:rsidR="0007449B" w:rsidRPr="00EE43C6">
              <w:rPr>
                <w:rFonts w:cs="Arial"/>
                <w:sz w:val="18"/>
                <w:szCs w:val="18"/>
              </w:rPr>
              <w:t>.b Controlled</w:t>
            </w:r>
          </w:p>
        </w:tc>
        <w:tc>
          <w:tcPr>
            <w:tcW w:w="3444" w:type="pct"/>
            <w:gridSpan w:val="5"/>
            <w:tcBorders>
              <w:bottom w:val="single" w:sz="4" w:space="0" w:color="auto"/>
            </w:tcBorders>
            <w:vAlign w:val="center"/>
          </w:tcPr>
          <w:p w14:paraId="51D23FCE" w14:textId="53E3CB1A" w:rsidR="0007449B" w:rsidRPr="00EE43C6" w:rsidRDefault="00463DED" w:rsidP="00B625EB">
            <w:pPr>
              <w:spacing w:before="0" w:after="0" w:line="240" w:lineRule="auto"/>
              <w:jc w:val="left"/>
              <w:rPr>
                <w:rFonts w:cs="Arial"/>
                <w:sz w:val="18"/>
                <w:szCs w:val="18"/>
              </w:rPr>
            </w:pPr>
            <w:r w:rsidRPr="00EE43C6">
              <w:rPr>
                <w:rFonts w:cs="Arial"/>
                <w:sz w:val="18"/>
                <w:szCs w:val="18"/>
              </w:rPr>
              <w:t>11 trips/day x 1 km/trip x 0.</w:t>
            </w:r>
            <w:r w:rsidR="006D50C7">
              <w:rPr>
                <w:rFonts w:cs="Arial"/>
                <w:sz w:val="18"/>
                <w:szCs w:val="18"/>
              </w:rPr>
              <w:t>35</w:t>
            </w:r>
            <w:r w:rsidRPr="00EE43C6">
              <w:rPr>
                <w:rFonts w:cs="Arial"/>
                <w:sz w:val="18"/>
                <w:szCs w:val="18"/>
              </w:rPr>
              <w:t xml:space="preserve"> kg/km x 1day/8 hour</w:t>
            </w:r>
            <w:r w:rsidR="00843921" w:rsidRPr="00EE43C6">
              <w:rPr>
                <w:rFonts w:cs="Arial"/>
                <w:sz w:val="18"/>
                <w:szCs w:val="18"/>
              </w:rPr>
              <w:t>s</w:t>
            </w:r>
            <w:r w:rsidRPr="00EE43C6">
              <w:rPr>
                <w:rFonts w:cs="Arial"/>
                <w:sz w:val="18"/>
                <w:szCs w:val="18"/>
              </w:rPr>
              <w:t xml:space="preserve"> = 0.4812 kg/hour</w:t>
            </w:r>
          </w:p>
        </w:tc>
      </w:tr>
      <w:tr w:rsidR="0007449B" w:rsidRPr="00EE43C6" w14:paraId="32686966" w14:textId="77777777" w:rsidTr="00B625EB">
        <w:trPr>
          <w:trHeight w:val="284"/>
          <w:jc w:val="center"/>
        </w:trPr>
        <w:tc>
          <w:tcPr>
            <w:tcW w:w="5000" w:type="pct"/>
            <w:gridSpan w:val="7"/>
            <w:shd w:val="clear" w:color="auto" w:fill="4F81BD"/>
            <w:vAlign w:val="center"/>
          </w:tcPr>
          <w:p w14:paraId="70817B69" w14:textId="252F655E" w:rsidR="0007449B" w:rsidRPr="00EE43C6" w:rsidRDefault="000C7F3B" w:rsidP="00854BE8">
            <w:pPr>
              <w:pStyle w:val="ListParagraph"/>
              <w:numPr>
                <w:ilvl w:val="0"/>
                <w:numId w:val="31"/>
              </w:numPr>
              <w:spacing w:before="0" w:after="0" w:line="240" w:lineRule="auto"/>
              <w:contextualSpacing w:val="0"/>
              <w:jc w:val="left"/>
              <w:rPr>
                <w:b/>
                <w:noProof w:val="0"/>
                <w:color w:val="FFFFFF" w:themeColor="background1"/>
                <w:sz w:val="18"/>
                <w:szCs w:val="18"/>
              </w:rPr>
            </w:pPr>
            <w:r w:rsidRPr="00EE43C6">
              <w:rPr>
                <w:b/>
                <w:noProof w:val="0"/>
                <w:color w:val="FFFFFF" w:themeColor="background1"/>
                <w:sz w:val="18"/>
                <w:szCs w:val="18"/>
              </w:rPr>
              <w:t>Unloading</w:t>
            </w:r>
            <w:r w:rsidR="0044014D" w:rsidRPr="00EE43C6">
              <w:rPr>
                <w:b/>
                <w:noProof w:val="0"/>
                <w:color w:val="FFFFFF" w:themeColor="background1"/>
                <w:sz w:val="18"/>
                <w:szCs w:val="18"/>
              </w:rPr>
              <w:t xml:space="preserve"> of Excavation Material to Backfill Area (2</w:t>
            </w:r>
            <w:r w:rsidR="00712BE1" w:rsidRPr="00EE43C6">
              <w:rPr>
                <w:b/>
                <w:noProof w:val="0"/>
                <w:color w:val="FFFFFF" w:themeColor="background1"/>
                <w:sz w:val="18"/>
                <w:szCs w:val="18"/>
              </w:rPr>
              <w:t>,</w:t>
            </w:r>
            <w:r w:rsidR="0044014D" w:rsidRPr="00EE43C6">
              <w:rPr>
                <w:b/>
                <w:noProof w:val="0"/>
                <w:color w:val="FFFFFF" w:themeColor="background1"/>
                <w:sz w:val="18"/>
                <w:szCs w:val="18"/>
              </w:rPr>
              <w:t>664 ton</w:t>
            </w:r>
            <w:r w:rsidR="001932B8" w:rsidRPr="00EE43C6">
              <w:rPr>
                <w:b/>
                <w:noProof w:val="0"/>
                <w:color w:val="FFFFFF" w:themeColor="background1"/>
                <w:sz w:val="18"/>
                <w:szCs w:val="18"/>
              </w:rPr>
              <w:t>ne</w:t>
            </w:r>
            <w:r w:rsidR="0044014D" w:rsidRPr="00EE43C6">
              <w:rPr>
                <w:b/>
                <w:noProof w:val="0"/>
                <w:color w:val="FFFFFF" w:themeColor="background1"/>
                <w:sz w:val="18"/>
                <w:szCs w:val="18"/>
              </w:rPr>
              <w:t>s/h</w:t>
            </w:r>
            <w:r w:rsidR="00AF09E4" w:rsidRPr="00EE43C6">
              <w:rPr>
                <w:b/>
                <w:noProof w:val="0"/>
                <w:color w:val="FFFFFF" w:themeColor="background1"/>
                <w:sz w:val="18"/>
                <w:szCs w:val="18"/>
              </w:rPr>
              <w:t>our</w:t>
            </w:r>
            <w:r w:rsidR="0044014D" w:rsidRPr="00EE43C6">
              <w:rPr>
                <w:b/>
                <w:noProof w:val="0"/>
                <w:color w:val="FFFFFF" w:themeColor="background1"/>
                <w:sz w:val="18"/>
                <w:szCs w:val="18"/>
              </w:rPr>
              <w:t>)</w:t>
            </w:r>
          </w:p>
        </w:tc>
      </w:tr>
      <w:tr w:rsidR="0007449B" w:rsidRPr="00EE43C6" w14:paraId="2254A978" w14:textId="77777777" w:rsidTr="00B625EB">
        <w:trPr>
          <w:trHeight w:val="284"/>
          <w:jc w:val="center"/>
        </w:trPr>
        <w:tc>
          <w:tcPr>
            <w:tcW w:w="5000" w:type="pct"/>
            <w:gridSpan w:val="7"/>
            <w:vAlign w:val="center"/>
          </w:tcPr>
          <w:p w14:paraId="6AA04A70" w14:textId="131C8C14" w:rsidR="0007449B" w:rsidRPr="00EE43C6" w:rsidRDefault="00E93C13" w:rsidP="00B625EB">
            <w:pPr>
              <w:spacing w:before="0" w:after="0" w:line="240" w:lineRule="auto"/>
              <w:jc w:val="left"/>
              <w:rPr>
                <w:rFonts w:cs="Arial"/>
                <w:sz w:val="18"/>
                <w:szCs w:val="18"/>
              </w:rPr>
            </w:pPr>
            <w:r w:rsidRPr="00EE43C6">
              <w:rPr>
                <w:rFonts w:cs="Arial"/>
                <w:sz w:val="18"/>
                <w:szCs w:val="18"/>
              </w:rPr>
              <w:t>Generation amount (ton</w:t>
            </w:r>
            <w:r w:rsidR="00EA7FB8" w:rsidRPr="00EE43C6">
              <w:rPr>
                <w:rFonts w:cs="Arial"/>
                <w:sz w:val="18"/>
                <w:szCs w:val="18"/>
              </w:rPr>
              <w:t>ne</w:t>
            </w:r>
            <w:r w:rsidRPr="00EE43C6">
              <w:rPr>
                <w:rFonts w:cs="Arial"/>
                <w:sz w:val="18"/>
                <w:szCs w:val="18"/>
              </w:rPr>
              <w:t>/hour</w:t>
            </w:r>
            <w:r w:rsidR="0007449B" w:rsidRPr="00EE43C6">
              <w:rPr>
                <w:rFonts w:cs="Arial"/>
                <w:sz w:val="18"/>
                <w:szCs w:val="18"/>
              </w:rPr>
              <w:t>) x Emission factor (kg/</w:t>
            </w:r>
            <w:r w:rsidRPr="00EE43C6">
              <w:rPr>
                <w:rFonts w:cs="Arial"/>
                <w:sz w:val="18"/>
                <w:szCs w:val="18"/>
              </w:rPr>
              <w:t>ton</w:t>
            </w:r>
            <w:r w:rsidR="00D72DFF" w:rsidRPr="00EE43C6">
              <w:rPr>
                <w:rFonts w:cs="Arial"/>
                <w:sz w:val="18"/>
                <w:szCs w:val="18"/>
              </w:rPr>
              <w:t>ne</w:t>
            </w:r>
            <w:r w:rsidR="0007449B" w:rsidRPr="00EE43C6">
              <w:rPr>
                <w:rFonts w:cs="Arial"/>
                <w:sz w:val="18"/>
                <w:szCs w:val="18"/>
              </w:rPr>
              <w:t>)</w:t>
            </w:r>
          </w:p>
        </w:tc>
      </w:tr>
      <w:tr w:rsidR="0007449B" w:rsidRPr="00EE43C6" w14:paraId="7298BE33" w14:textId="77777777" w:rsidTr="00B625EB">
        <w:trPr>
          <w:trHeight w:val="284"/>
          <w:jc w:val="center"/>
        </w:trPr>
        <w:tc>
          <w:tcPr>
            <w:tcW w:w="1556" w:type="pct"/>
            <w:gridSpan w:val="2"/>
            <w:vAlign w:val="center"/>
          </w:tcPr>
          <w:p w14:paraId="24F620F6" w14:textId="1D543DB0" w:rsidR="0007449B" w:rsidRPr="00EE43C6" w:rsidRDefault="00962C3B" w:rsidP="00B625EB">
            <w:pPr>
              <w:spacing w:before="0" w:after="0" w:line="240" w:lineRule="auto"/>
              <w:jc w:val="left"/>
              <w:rPr>
                <w:rFonts w:cs="Arial"/>
                <w:sz w:val="18"/>
                <w:szCs w:val="18"/>
              </w:rPr>
            </w:pPr>
            <w:r w:rsidRPr="00EE43C6">
              <w:rPr>
                <w:rFonts w:cs="Arial"/>
                <w:sz w:val="18"/>
                <w:szCs w:val="18"/>
              </w:rPr>
              <w:t>10</w:t>
            </w:r>
            <w:r w:rsidR="0007449B" w:rsidRPr="00EE43C6">
              <w:rPr>
                <w:rFonts w:cs="Arial"/>
                <w:sz w:val="18"/>
                <w:szCs w:val="18"/>
              </w:rPr>
              <w:t>.a Uncontrolled</w:t>
            </w:r>
          </w:p>
        </w:tc>
        <w:tc>
          <w:tcPr>
            <w:tcW w:w="3444" w:type="pct"/>
            <w:gridSpan w:val="5"/>
            <w:vAlign w:val="center"/>
          </w:tcPr>
          <w:p w14:paraId="115B31F8" w14:textId="7D27D443" w:rsidR="0007449B" w:rsidRPr="00EE43C6" w:rsidRDefault="008C590E" w:rsidP="00B625EB">
            <w:pPr>
              <w:spacing w:before="0" w:after="0" w:line="240" w:lineRule="auto"/>
              <w:jc w:val="left"/>
              <w:rPr>
                <w:rFonts w:cs="Arial"/>
                <w:sz w:val="18"/>
                <w:szCs w:val="18"/>
              </w:rPr>
            </w:pPr>
            <w:r w:rsidRPr="00EE43C6">
              <w:rPr>
                <w:rFonts w:cs="Arial"/>
                <w:sz w:val="18"/>
                <w:szCs w:val="18"/>
              </w:rPr>
              <w:t>2,664 ton</w:t>
            </w:r>
            <w:r w:rsidR="001932B8" w:rsidRPr="00EE43C6">
              <w:rPr>
                <w:rFonts w:cs="Arial"/>
                <w:sz w:val="18"/>
                <w:szCs w:val="18"/>
              </w:rPr>
              <w:t>ne</w:t>
            </w:r>
            <w:r w:rsidRPr="00EE43C6">
              <w:rPr>
                <w:rFonts w:cs="Arial"/>
                <w:sz w:val="18"/>
                <w:szCs w:val="18"/>
              </w:rPr>
              <w:t>s/hour x 0.010 kg/tonne = 26.64 kg/hour</w:t>
            </w:r>
          </w:p>
        </w:tc>
      </w:tr>
      <w:tr w:rsidR="0007449B" w:rsidRPr="00EE43C6" w14:paraId="26DAB594" w14:textId="77777777" w:rsidTr="00B625EB">
        <w:trPr>
          <w:trHeight w:val="284"/>
          <w:jc w:val="center"/>
        </w:trPr>
        <w:tc>
          <w:tcPr>
            <w:tcW w:w="1556" w:type="pct"/>
            <w:gridSpan w:val="2"/>
            <w:vAlign w:val="center"/>
          </w:tcPr>
          <w:p w14:paraId="68C592D3" w14:textId="6F4EE47D" w:rsidR="0007449B" w:rsidRPr="00EE43C6" w:rsidRDefault="00962C3B" w:rsidP="00B625EB">
            <w:pPr>
              <w:spacing w:before="0" w:after="0" w:line="240" w:lineRule="auto"/>
              <w:jc w:val="left"/>
              <w:rPr>
                <w:rFonts w:cs="Arial"/>
                <w:sz w:val="18"/>
                <w:szCs w:val="18"/>
              </w:rPr>
            </w:pPr>
            <w:r w:rsidRPr="00EE43C6">
              <w:rPr>
                <w:rFonts w:cs="Arial"/>
                <w:sz w:val="18"/>
                <w:szCs w:val="18"/>
              </w:rPr>
              <w:t>10</w:t>
            </w:r>
            <w:r w:rsidR="0007449B" w:rsidRPr="00EE43C6">
              <w:rPr>
                <w:rFonts w:cs="Arial"/>
                <w:sz w:val="18"/>
                <w:szCs w:val="18"/>
              </w:rPr>
              <w:t>.b Controlled</w:t>
            </w:r>
          </w:p>
        </w:tc>
        <w:tc>
          <w:tcPr>
            <w:tcW w:w="3444" w:type="pct"/>
            <w:gridSpan w:val="5"/>
            <w:vAlign w:val="center"/>
          </w:tcPr>
          <w:p w14:paraId="7E9EA2DB" w14:textId="7080A955" w:rsidR="0007449B" w:rsidRPr="00EE43C6" w:rsidRDefault="00F327AD" w:rsidP="00B625EB">
            <w:pPr>
              <w:spacing w:before="0" w:after="0" w:line="240" w:lineRule="auto"/>
              <w:jc w:val="left"/>
              <w:rPr>
                <w:rFonts w:cs="Arial"/>
                <w:sz w:val="18"/>
                <w:szCs w:val="18"/>
              </w:rPr>
            </w:pPr>
            <w:r w:rsidRPr="00EE43C6">
              <w:rPr>
                <w:rFonts w:cs="Arial"/>
                <w:sz w:val="18"/>
                <w:szCs w:val="18"/>
              </w:rPr>
              <w:t>2,664 ton</w:t>
            </w:r>
            <w:r w:rsidR="001932B8" w:rsidRPr="00EE43C6">
              <w:rPr>
                <w:rFonts w:cs="Arial"/>
                <w:sz w:val="18"/>
                <w:szCs w:val="18"/>
              </w:rPr>
              <w:t>ne</w:t>
            </w:r>
            <w:r w:rsidRPr="00EE43C6">
              <w:rPr>
                <w:rFonts w:cs="Arial"/>
                <w:sz w:val="18"/>
                <w:szCs w:val="18"/>
              </w:rPr>
              <w:t>s/hour x 0.005 kg/tonne = 13.32 kg/hour</w:t>
            </w:r>
          </w:p>
        </w:tc>
      </w:tr>
    </w:tbl>
    <w:p w14:paraId="76657995" w14:textId="571C1D04" w:rsidR="005120FA" w:rsidRPr="00EE43C6" w:rsidRDefault="004D527D" w:rsidP="009A6D44">
      <w:pPr>
        <w:pStyle w:val="Caption"/>
        <w:spacing w:before="480"/>
        <w:rPr>
          <w:rFonts w:cs="Wingdings"/>
          <w:noProof w:val="0"/>
          <w:szCs w:val="18"/>
        </w:rPr>
      </w:pPr>
      <w:bookmarkStart w:id="469" w:name="_Ref125715358"/>
      <w:bookmarkStart w:id="470" w:name="_Toc141445513"/>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4</w:t>
      </w:r>
      <w:r w:rsidR="006D2DE8">
        <w:rPr>
          <w:noProof w:val="0"/>
        </w:rPr>
        <w:fldChar w:fldCharType="end"/>
      </w:r>
      <w:bookmarkEnd w:id="469"/>
      <w:r w:rsidRPr="00EE43C6">
        <w:rPr>
          <w:noProof w:val="0"/>
        </w:rPr>
        <w:t xml:space="preserve">. </w:t>
      </w:r>
      <w:r w:rsidR="00FD2194" w:rsidRPr="00EE43C6">
        <w:rPr>
          <w:rFonts w:cs="Wingdings"/>
          <w:b w:val="0"/>
          <w:noProof w:val="0"/>
          <w:color w:val="auto"/>
          <w:szCs w:val="18"/>
        </w:rPr>
        <w:t xml:space="preserve">Total Dust Emission </w:t>
      </w:r>
      <w:r w:rsidR="00FD2194" w:rsidRPr="00EE43C6">
        <w:rPr>
          <w:rFonts w:cs="Wingdings"/>
          <w:b w:val="0"/>
          <w:bCs w:val="0"/>
          <w:noProof w:val="0"/>
          <w:color w:val="auto"/>
          <w:szCs w:val="18"/>
        </w:rPr>
        <w:t>Flow</w:t>
      </w:r>
      <w:r w:rsidR="00BA2F5F" w:rsidRPr="00EE43C6">
        <w:rPr>
          <w:rFonts w:cs="Wingdings"/>
          <w:b w:val="0"/>
          <w:bCs w:val="0"/>
          <w:noProof w:val="0"/>
          <w:color w:val="auto"/>
          <w:szCs w:val="18"/>
        </w:rPr>
        <w:t>rate</w:t>
      </w:r>
      <w:r w:rsidR="00FD2194" w:rsidRPr="00EE43C6">
        <w:rPr>
          <w:rFonts w:cs="Wingdings"/>
          <w:b w:val="0"/>
          <w:noProof w:val="0"/>
          <w:color w:val="auto"/>
          <w:szCs w:val="18"/>
        </w:rPr>
        <w:t xml:space="preserve"> from the Project’s Two Phases</w:t>
      </w:r>
      <w:bookmarkEnd w:id="470"/>
    </w:p>
    <w:tbl>
      <w:tblPr>
        <w:tblStyle w:val="TableGrid"/>
        <w:tblW w:w="9067" w:type="dxa"/>
        <w:jc w:val="center"/>
        <w:tblLook w:val="04A0" w:firstRow="1" w:lastRow="0" w:firstColumn="1" w:lastColumn="0" w:noHBand="0" w:noVBand="1"/>
      </w:tblPr>
      <w:tblGrid>
        <w:gridCol w:w="558"/>
        <w:gridCol w:w="5914"/>
        <w:gridCol w:w="1326"/>
        <w:gridCol w:w="1269"/>
      </w:tblGrid>
      <w:tr w:rsidR="00FD2194" w:rsidRPr="00EE43C6" w14:paraId="1826BD4F" w14:textId="77777777" w:rsidTr="0003220B">
        <w:trPr>
          <w:trHeight w:val="284"/>
          <w:tblHeader/>
          <w:jc w:val="center"/>
        </w:trPr>
        <w:tc>
          <w:tcPr>
            <w:tcW w:w="562" w:type="dxa"/>
            <w:shd w:val="clear" w:color="auto" w:fill="4F81BD"/>
            <w:vAlign w:val="center"/>
          </w:tcPr>
          <w:p w14:paraId="6A07EF8E" w14:textId="6F920078" w:rsidR="00FD2194" w:rsidRPr="00EE43C6" w:rsidRDefault="000B275F" w:rsidP="00B625EB">
            <w:pPr>
              <w:spacing w:before="0" w:after="0" w:line="240" w:lineRule="auto"/>
              <w:jc w:val="left"/>
              <w:rPr>
                <w:rFonts w:cs="Arial"/>
                <w:b/>
                <w:color w:val="FFFFFF" w:themeColor="background1"/>
                <w:sz w:val="18"/>
                <w:szCs w:val="18"/>
              </w:rPr>
            </w:pPr>
            <w:r w:rsidRPr="00EE43C6">
              <w:rPr>
                <w:rFonts w:cs="Arial"/>
                <w:b/>
                <w:color w:val="FFFFFF" w:themeColor="background1"/>
                <w:sz w:val="18"/>
                <w:szCs w:val="18"/>
              </w:rPr>
              <w:t>No</w:t>
            </w:r>
          </w:p>
        </w:tc>
        <w:tc>
          <w:tcPr>
            <w:tcW w:w="6096" w:type="dxa"/>
            <w:shd w:val="clear" w:color="auto" w:fill="4F81BD"/>
            <w:vAlign w:val="center"/>
          </w:tcPr>
          <w:p w14:paraId="4D7E0775" w14:textId="3575E9E7" w:rsidR="00FD2194" w:rsidRPr="00EE43C6" w:rsidRDefault="00AD447D" w:rsidP="00B625EB">
            <w:pPr>
              <w:spacing w:before="0" w:after="0" w:line="240" w:lineRule="auto"/>
              <w:jc w:val="left"/>
              <w:rPr>
                <w:rFonts w:cs="Arial"/>
                <w:b/>
                <w:color w:val="FFFFFF" w:themeColor="background1"/>
                <w:sz w:val="18"/>
                <w:szCs w:val="18"/>
              </w:rPr>
            </w:pPr>
            <w:r w:rsidRPr="00EE43C6">
              <w:rPr>
                <w:rFonts w:cs="Arial"/>
                <w:b/>
                <w:color w:val="FFFFFF" w:themeColor="background1"/>
                <w:sz w:val="18"/>
                <w:szCs w:val="18"/>
              </w:rPr>
              <w:t>Operation</w:t>
            </w:r>
          </w:p>
        </w:tc>
        <w:tc>
          <w:tcPr>
            <w:tcW w:w="1134" w:type="dxa"/>
            <w:shd w:val="clear" w:color="auto" w:fill="4F81BD"/>
            <w:vAlign w:val="center"/>
          </w:tcPr>
          <w:p w14:paraId="76F0EA6B" w14:textId="70E69DF5" w:rsidR="00FD2194" w:rsidRPr="00EE43C6" w:rsidRDefault="00846642" w:rsidP="00B625EB">
            <w:pPr>
              <w:spacing w:before="0" w:after="0" w:line="240" w:lineRule="auto"/>
              <w:jc w:val="center"/>
              <w:rPr>
                <w:rFonts w:cs="Arial"/>
                <w:b/>
                <w:color w:val="FFFFFF" w:themeColor="background1"/>
                <w:sz w:val="18"/>
                <w:szCs w:val="18"/>
              </w:rPr>
            </w:pPr>
            <w:r w:rsidRPr="00EE43C6">
              <w:rPr>
                <w:rFonts w:cs="Arial"/>
                <w:b/>
                <w:color w:val="FFFFFF" w:themeColor="background1"/>
                <w:sz w:val="18"/>
                <w:szCs w:val="18"/>
              </w:rPr>
              <w:t>Uncontrolled (kg/hour)</w:t>
            </w:r>
          </w:p>
        </w:tc>
        <w:tc>
          <w:tcPr>
            <w:tcW w:w="1275" w:type="dxa"/>
            <w:shd w:val="clear" w:color="auto" w:fill="4F81BD"/>
            <w:vAlign w:val="center"/>
          </w:tcPr>
          <w:p w14:paraId="135DFFB0" w14:textId="1376A768" w:rsidR="00FD2194" w:rsidRPr="00EE43C6" w:rsidRDefault="00846642" w:rsidP="00B625EB">
            <w:pPr>
              <w:spacing w:before="0" w:after="0" w:line="240" w:lineRule="auto"/>
              <w:jc w:val="center"/>
              <w:rPr>
                <w:rFonts w:cs="Arial"/>
                <w:b/>
                <w:color w:val="FFFFFF" w:themeColor="background1"/>
                <w:sz w:val="18"/>
                <w:szCs w:val="18"/>
              </w:rPr>
            </w:pPr>
            <w:r w:rsidRPr="00EE43C6">
              <w:rPr>
                <w:rFonts w:cs="Arial"/>
                <w:b/>
                <w:color w:val="FFFFFF" w:themeColor="background1"/>
                <w:sz w:val="18"/>
                <w:szCs w:val="18"/>
              </w:rPr>
              <w:t>Controlled (kg/hour)</w:t>
            </w:r>
          </w:p>
        </w:tc>
      </w:tr>
      <w:tr w:rsidR="00832AD3" w:rsidRPr="00EE43C6" w14:paraId="5719B6DE" w14:textId="77777777" w:rsidTr="0003220B">
        <w:trPr>
          <w:trHeight w:val="284"/>
          <w:jc w:val="center"/>
        </w:trPr>
        <w:tc>
          <w:tcPr>
            <w:tcW w:w="562" w:type="dxa"/>
            <w:vAlign w:val="center"/>
          </w:tcPr>
          <w:p w14:paraId="0D03EB24" w14:textId="52D4015E" w:rsidR="00832AD3" w:rsidRPr="00EE43C6" w:rsidRDefault="00356D7B" w:rsidP="00B625EB">
            <w:pPr>
              <w:spacing w:before="0" w:after="0" w:line="240" w:lineRule="auto"/>
              <w:jc w:val="left"/>
              <w:rPr>
                <w:rFonts w:cs="Arial"/>
                <w:sz w:val="18"/>
                <w:szCs w:val="18"/>
              </w:rPr>
            </w:pPr>
            <w:bookmarkStart w:id="471" w:name="_Hlk127464357"/>
            <w:r w:rsidRPr="00EE43C6">
              <w:rPr>
                <w:rFonts w:cs="Arial"/>
                <w:sz w:val="18"/>
                <w:szCs w:val="18"/>
              </w:rPr>
              <w:t>1</w:t>
            </w:r>
          </w:p>
        </w:tc>
        <w:tc>
          <w:tcPr>
            <w:tcW w:w="6096" w:type="dxa"/>
            <w:vAlign w:val="center"/>
          </w:tcPr>
          <w:p w14:paraId="6A607F7E" w14:textId="0E5715E7" w:rsidR="00832AD3" w:rsidRPr="00EE43C6" w:rsidRDefault="0035779C" w:rsidP="00B625EB">
            <w:pPr>
              <w:spacing w:before="0" w:after="0" w:line="240" w:lineRule="auto"/>
              <w:jc w:val="left"/>
              <w:rPr>
                <w:rFonts w:cs="Arial"/>
                <w:sz w:val="18"/>
                <w:szCs w:val="18"/>
              </w:rPr>
            </w:pPr>
            <w:r w:rsidRPr="00EE43C6">
              <w:rPr>
                <w:rFonts w:cs="Arial"/>
                <w:sz w:val="18"/>
                <w:szCs w:val="18"/>
              </w:rPr>
              <w:t>Stripping of Topsoil</w:t>
            </w:r>
          </w:p>
        </w:tc>
        <w:tc>
          <w:tcPr>
            <w:tcW w:w="1134" w:type="dxa"/>
            <w:vAlign w:val="center"/>
          </w:tcPr>
          <w:p w14:paraId="1308068D" w14:textId="6C9207C1" w:rsidR="00832AD3" w:rsidRPr="00EE43C6" w:rsidRDefault="00D35946" w:rsidP="00B625EB">
            <w:pPr>
              <w:spacing w:before="0" w:after="0" w:line="240" w:lineRule="auto"/>
              <w:jc w:val="center"/>
              <w:rPr>
                <w:rFonts w:cs="Arial"/>
                <w:sz w:val="18"/>
                <w:szCs w:val="18"/>
              </w:rPr>
            </w:pPr>
            <w:r w:rsidRPr="00EE43C6">
              <w:rPr>
                <w:rFonts w:cs="Arial"/>
                <w:sz w:val="18"/>
                <w:szCs w:val="18"/>
              </w:rPr>
              <w:t>2.6</w:t>
            </w:r>
            <w:r w:rsidR="00325772">
              <w:rPr>
                <w:rFonts w:cs="Arial"/>
                <w:sz w:val="18"/>
                <w:szCs w:val="18"/>
              </w:rPr>
              <w:t>75</w:t>
            </w:r>
          </w:p>
        </w:tc>
        <w:tc>
          <w:tcPr>
            <w:tcW w:w="1275" w:type="dxa"/>
            <w:vAlign w:val="center"/>
          </w:tcPr>
          <w:p w14:paraId="35F019C7" w14:textId="39406722" w:rsidR="00832AD3" w:rsidRPr="00EE43C6" w:rsidRDefault="00D35946" w:rsidP="00B625EB">
            <w:pPr>
              <w:spacing w:before="0" w:after="0" w:line="240" w:lineRule="auto"/>
              <w:jc w:val="center"/>
              <w:rPr>
                <w:rFonts w:cs="Arial"/>
                <w:sz w:val="18"/>
                <w:szCs w:val="18"/>
              </w:rPr>
            </w:pPr>
            <w:r w:rsidRPr="00EE43C6">
              <w:rPr>
                <w:rFonts w:cs="Arial"/>
                <w:sz w:val="18"/>
                <w:szCs w:val="18"/>
              </w:rPr>
              <w:t>1.</w:t>
            </w:r>
            <w:r w:rsidR="00325772" w:rsidRPr="00EE43C6">
              <w:rPr>
                <w:rFonts w:cs="Arial"/>
                <w:sz w:val="18"/>
                <w:szCs w:val="18"/>
              </w:rPr>
              <w:t>33</w:t>
            </w:r>
            <w:r w:rsidR="00325772">
              <w:rPr>
                <w:rFonts w:cs="Arial"/>
                <w:sz w:val="18"/>
                <w:szCs w:val="18"/>
              </w:rPr>
              <w:t>75</w:t>
            </w:r>
          </w:p>
        </w:tc>
      </w:tr>
      <w:tr w:rsidR="00CF33A9" w:rsidRPr="00EE43C6" w14:paraId="00A4E1E6" w14:textId="77777777" w:rsidTr="0003220B">
        <w:trPr>
          <w:trHeight w:val="284"/>
          <w:jc w:val="center"/>
        </w:trPr>
        <w:tc>
          <w:tcPr>
            <w:tcW w:w="562" w:type="dxa"/>
            <w:vAlign w:val="center"/>
          </w:tcPr>
          <w:p w14:paraId="6CC3C89D" w14:textId="2A454665" w:rsidR="00CF33A9" w:rsidRPr="00EE43C6" w:rsidRDefault="00356D7B" w:rsidP="00B625EB">
            <w:pPr>
              <w:spacing w:before="0" w:after="0" w:line="240" w:lineRule="auto"/>
              <w:jc w:val="left"/>
              <w:rPr>
                <w:rFonts w:cs="Arial"/>
                <w:sz w:val="18"/>
                <w:szCs w:val="18"/>
              </w:rPr>
            </w:pPr>
            <w:r w:rsidRPr="00EE43C6">
              <w:rPr>
                <w:rFonts w:cs="Arial"/>
                <w:sz w:val="18"/>
                <w:szCs w:val="18"/>
              </w:rPr>
              <w:t>2</w:t>
            </w:r>
          </w:p>
        </w:tc>
        <w:tc>
          <w:tcPr>
            <w:tcW w:w="6096" w:type="dxa"/>
            <w:vAlign w:val="center"/>
          </w:tcPr>
          <w:p w14:paraId="2DF41CE2" w14:textId="7C329370" w:rsidR="00CF33A9" w:rsidRPr="00EE43C6" w:rsidRDefault="0035779C" w:rsidP="00B625EB">
            <w:pPr>
              <w:spacing w:before="0" w:after="0" w:line="240" w:lineRule="auto"/>
              <w:jc w:val="left"/>
              <w:rPr>
                <w:rFonts w:cs="Arial"/>
                <w:sz w:val="18"/>
                <w:szCs w:val="18"/>
              </w:rPr>
            </w:pPr>
            <w:r w:rsidRPr="00EE43C6">
              <w:rPr>
                <w:rFonts w:cs="Arial"/>
                <w:sz w:val="18"/>
                <w:szCs w:val="18"/>
              </w:rPr>
              <w:t>Loading of Topsoil</w:t>
            </w:r>
          </w:p>
        </w:tc>
        <w:tc>
          <w:tcPr>
            <w:tcW w:w="1134" w:type="dxa"/>
            <w:vAlign w:val="center"/>
          </w:tcPr>
          <w:p w14:paraId="0904C8AC" w14:textId="6AA187D7" w:rsidR="00CF33A9" w:rsidRPr="00EE43C6" w:rsidRDefault="00D35946" w:rsidP="00B625EB">
            <w:pPr>
              <w:spacing w:before="0" w:after="0" w:line="240" w:lineRule="auto"/>
              <w:jc w:val="center"/>
              <w:rPr>
                <w:rFonts w:cs="Arial"/>
                <w:sz w:val="18"/>
                <w:szCs w:val="18"/>
              </w:rPr>
            </w:pPr>
            <w:r w:rsidRPr="00EE43C6">
              <w:rPr>
                <w:rFonts w:cs="Arial"/>
                <w:sz w:val="18"/>
                <w:szCs w:val="18"/>
              </w:rPr>
              <w:t>1.0655</w:t>
            </w:r>
          </w:p>
        </w:tc>
        <w:tc>
          <w:tcPr>
            <w:tcW w:w="1275" w:type="dxa"/>
            <w:vAlign w:val="center"/>
          </w:tcPr>
          <w:p w14:paraId="1793154D" w14:textId="38737259" w:rsidR="00CF33A9" w:rsidRPr="00EE43C6" w:rsidRDefault="00D35946" w:rsidP="00B625EB">
            <w:pPr>
              <w:spacing w:before="0" w:after="0" w:line="240" w:lineRule="auto"/>
              <w:jc w:val="center"/>
              <w:rPr>
                <w:rFonts w:cs="Arial"/>
                <w:sz w:val="18"/>
                <w:szCs w:val="18"/>
              </w:rPr>
            </w:pPr>
            <w:r w:rsidRPr="00EE43C6">
              <w:rPr>
                <w:rFonts w:cs="Arial"/>
                <w:sz w:val="18"/>
                <w:szCs w:val="18"/>
              </w:rPr>
              <w:t>0.5327</w:t>
            </w:r>
          </w:p>
        </w:tc>
      </w:tr>
      <w:tr w:rsidR="00CF33A9" w:rsidRPr="00EE43C6" w14:paraId="500B0359" w14:textId="77777777" w:rsidTr="0003220B">
        <w:trPr>
          <w:trHeight w:val="284"/>
          <w:jc w:val="center"/>
        </w:trPr>
        <w:tc>
          <w:tcPr>
            <w:tcW w:w="562" w:type="dxa"/>
            <w:vAlign w:val="center"/>
          </w:tcPr>
          <w:p w14:paraId="5F1A549C" w14:textId="3EAA62F7" w:rsidR="00CF33A9" w:rsidRPr="00EE43C6" w:rsidRDefault="00356D7B" w:rsidP="00B625EB">
            <w:pPr>
              <w:spacing w:before="0" w:after="0" w:line="240" w:lineRule="auto"/>
              <w:jc w:val="left"/>
              <w:rPr>
                <w:rFonts w:cs="Arial"/>
                <w:sz w:val="18"/>
                <w:szCs w:val="18"/>
              </w:rPr>
            </w:pPr>
            <w:r w:rsidRPr="00EE43C6">
              <w:rPr>
                <w:rFonts w:cs="Arial"/>
                <w:sz w:val="18"/>
                <w:szCs w:val="18"/>
              </w:rPr>
              <w:t>3</w:t>
            </w:r>
          </w:p>
        </w:tc>
        <w:tc>
          <w:tcPr>
            <w:tcW w:w="6096" w:type="dxa"/>
            <w:vAlign w:val="center"/>
          </w:tcPr>
          <w:p w14:paraId="102CDEBC" w14:textId="065A6D5C" w:rsidR="00CF33A9" w:rsidRPr="00EE43C6" w:rsidRDefault="0035779C" w:rsidP="00B625EB">
            <w:pPr>
              <w:spacing w:before="0" w:after="0" w:line="240" w:lineRule="auto"/>
              <w:jc w:val="left"/>
              <w:rPr>
                <w:rFonts w:cs="Arial"/>
                <w:sz w:val="18"/>
                <w:szCs w:val="18"/>
              </w:rPr>
            </w:pPr>
            <w:r w:rsidRPr="00EE43C6">
              <w:rPr>
                <w:rFonts w:cs="Arial"/>
                <w:sz w:val="18"/>
                <w:szCs w:val="18"/>
              </w:rPr>
              <w:t>Transportation of Topsoil</w:t>
            </w:r>
          </w:p>
        </w:tc>
        <w:tc>
          <w:tcPr>
            <w:tcW w:w="1134" w:type="dxa"/>
            <w:vAlign w:val="center"/>
          </w:tcPr>
          <w:p w14:paraId="246981A7" w14:textId="71F881FE" w:rsidR="00CF33A9" w:rsidRPr="00EE43C6" w:rsidRDefault="00D35946" w:rsidP="00B625EB">
            <w:pPr>
              <w:spacing w:before="0" w:after="0" w:line="240" w:lineRule="auto"/>
              <w:jc w:val="center"/>
              <w:rPr>
                <w:rFonts w:cs="Arial"/>
                <w:sz w:val="18"/>
                <w:szCs w:val="18"/>
              </w:rPr>
            </w:pPr>
            <w:r w:rsidRPr="00EE43C6">
              <w:rPr>
                <w:rFonts w:cs="Arial"/>
                <w:sz w:val="18"/>
                <w:szCs w:val="18"/>
              </w:rPr>
              <w:t>2.7562</w:t>
            </w:r>
          </w:p>
        </w:tc>
        <w:tc>
          <w:tcPr>
            <w:tcW w:w="1275" w:type="dxa"/>
            <w:vAlign w:val="center"/>
          </w:tcPr>
          <w:p w14:paraId="7E9FB5B6" w14:textId="3F194486" w:rsidR="00CF33A9" w:rsidRPr="00EE43C6" w:rsidRDefault="00D35946" w:rsidP="00B625EB">
            <w:pPr>
              <w:spacing w:before="0" w:after="0" w:line="240" w:lineRule="auto"/>
              <w:jc w:val="center"/>
              <w:rPr>
                <w:rFonts w:cs="Arial"/>
                <w:sz w:val="18"/>
                <w:szCs w:val="18"/>
              </w:rPr>
            </w:pPr>
            <w:r w:rsidRPr="00EE43C6">
              <w:rPr>
                <w:rFonts w:cs="Arial"/>
                <w:sz w:val="18"/>
                <w:szCs w:val="18"/>
              </w:rPr>
              <w:t>1.3781</w:t>
            </w:r>
          </w:p>
        </w:tc>
      </w:tr>
      <w:tr w:rsidR="00CF33A9" w:rsidRPr="00EE43C6" w14:paraId="069023BE" w14:textId="77777777" w:rsidTr="0003220B">
        <w:trPr>
          <w:trHeight w:val="284"/>
          <w:jc w:val="center"/>
        </w:trPr>
        <w:tc>
          <w:tcPr>
            <w:tcW w:w="562" w:type="dxa"/>
            <w:vAlign w:val="center"/>
          </w:tcPr>
          <w:p w14:paraId="4BF4E054" w14:textId="29A36224" w:rsidR="00CF33A9" w:rsidRPr="00EE43C6" w:rsidRDefault="00356D7B" w:rsidP="00B625EB">
            <w:pPr>
              <w:spacing w:before="0" w:after="0" w:line="240" w:lineRule="auto"/>
              <w:jc w:val="left"/>
              <w:rPr>
                <w:rFonts w:cs="Arial"/>
                <w:sz w:val="18"/>
                <w:szCs w:val="18"/>
              </w:rPr>
            </w:pPr>
            <w:r w:rsidRPr="00EE43C6">
              <w:rPr>
                <w:rFonts w:cs="Arial"/>
                <w:sz w:val="18"/>
                <w:szCs w:val="18"/>
              </w:rPr>
              <w:t>4</w:t>
            </w:r>
          </w:p>
        </w:tc>
        <w:tc>
          <w:tcPr>
            <w:tcW w:w="6096" w:type="dxa"/>
            <w:vAlign w:val="center"/>
          </w:tcPr>
          <w:p w14:paraId="0C4EC9D7" w14:textId="116BB45C" w:rsidR="00CF33A9" w:rsidRPr="00EE43C6" w:rsidRDefault="0035779C" w:rsidP="00B625EB">
            <w:pPr>
              <w:spacing w:before="0" w:after="0" w:line="240" w:lineRule="auto"/>
              <w:jc w:val="left"/>
              <w:rPr>
                <w:rFonts w:cs="Arial"/>
                <w:sz w:val="18"/>
                <w:szCs w:val="18"/>
              </w:rPr>
            </w:pPr>
            <w:r w:rsidRPr="00EE43C6">
              <w:rPr>
                <w:rFonts w:cs="Arial"/>
                <w:sz w:val="18"/>
                <w:szCs w:val="18"/>
              </w:rPr>
              <w:t>Unloading of Topsoil</w:t>
            </w:r>
          </w:p>
        </w:tc>
        <w:tc>
          <w:tcPr>
            <w:tcW w:w="1134" w:type="dxa"/>
            <w:vAlign w:val="center"/>
          </w:tcPr>
          <w:p w14:paraId="45A1EFFB" w14:textId="48363153" w:rsidR="00CF33A9" w:rsidRPr="00EE43C6" w:rsidRDefault="00D35946" w:rsidP="00B625EB">
            <w:pPr>
              <w:spacing w:before="0" w:after="0" w:line="240" w:lineRule="auto"/>
              <w:jc w:val="center"/>
              <w:rPr>
                <w:rFonts w:cs="Arial"/>
                <w:sz w:val="18"/>
                <w:szCs w:val="18"/>
              </w:rPr>
            </w:pPr>
            <w:r w:rsidRPr="00EE43C6">
              <w:rPr>
                <w:rFonts w:cs="Arial"/>
                <w:sz w:val="18"/>
                <w:szCs w:val="18"/>
              </w:rPr>
              <w:t>1.0655</w:t>
            </w:r>
          </w:p>
        </w:tc>
        <w:tc>
          <w:tcPr>
            <w:tcW w:w="1275" w:type="dxa"/>
            <w:vAlign w:val="center"/>
          </w:tcPr>
          <w:p w14:paraId="708056D5" w14:textId="2A720166" w:rsidR="00CF33A9" w:rsidRPr="00EE43C6" w:rsidRDefault="00D35946" w:rsidP="00B625EB">
            <w:pPr>
              <w:spacing w:before="0" w:after="0" w:line="240" w:lineRule="auto"/>
              <w:jc w:val="center"/>
              <w:rPr>
                <w:rFonts w:cs="Arial"/>
                <w:sz w:val="18"/>
                <w:szCs w:val="18"/>
              </w:rPr>
            </w:pPr>
            <w:r w:rsidRPr="00EE43C6">
              <w:rPr>
                <w:rFonts w:cs="Arial"/>
                <w:sz w:val="18"/>
                <w:szCs w:val="18"/>
              </w:rPr>
              <w:t>0.5327</w:t>
            </w:r>
          </w:p>
        </w:tc>
      </w:tr>
      <w:tr w:rsidR="00832AD3" w:rsidRPr="00EE43C6" w14:paraId="2D26E8AB" w14:textId="77777777" w:rsidTr="0003220B">
        <w:trPr>
          <w:trHeight w:val="284"/>
          <w:jc w:val="center"/>
        </w:trPr>
        <w:tc>
          <w:tcPr>
            <w:tcW w:w="562" w:type="dxa"/>
            <w:vAlign w:val="center"/>
          </w:tcPr>
          <w:p w14:paraId="7BA4FE50" w14:textId="7BF8D2B2" w:rsidR="00832AD3" w:rsidRPr="00EE43C6" w:rsidRDefault="00356D7B" w:rsidP="00B625EB">
            <w:pPr>
              <w:spacing w:before="0" w:after="0" w:line="240" w:lineRule="auto"/>
              <w:jc w:val="left"/>
              <w:rPr>
                <w:rFonts w:cs="Arial"/>
                <w:sz w:val="18"/>
                <w:szCs w:val="18"/>
              </w:rPr>
            </w:pPr>
            <w:r w:rsidRPr="00EE43C6">
              <w:rPr>
                <w:rFonts w:cs="Arial"/>
                <w:sz w:val="18"/>
                <w:szCs w:val="18"/>
              </w:rPr>
              <w:t>5</w:t>
            </w:r>
          </w:p>
        </w:tc>
        <w:tc>
          <w:tcPr>
            <w:tcW w:w="6096" w:type="dxa"/>
            <w:vAlign w:val="center"/>
          </w:tcPr>
          <w:p w14:paraId="03BD3C27" w14:textId="7991A875" w:rsidR="00832AD3" w:rsidRPr="00EE43C6" w:rsidRDefault="0035779C" w:rsidP="00B625EB">
            <w:pPr>
              <w:spacing w:before="0" w:after="0" w:line="240" w:lineRule="auto"/>
              <w:jc w:val="left"/>
              <w:rPr>
                <w:rFonts w:cs="Arial"/>
                <w:sz w:val="18"/>
                <w:szCs w:val="18"/>
              </w:rPr>
            </w:pPr>
            <w:r w:rsidRPr="00EE43C6">
              <w:rPr>
                <w:rFonts w:cs="Arial"/>
                <w:sz w:val="18"/>
                <w:szCs w:val="18"/>
              </w:rPr>
              <w:t>Laying of Topsoil</w:t>
            </w:r>
          </w:p>
        </w:tc>
        <w:tc>
          <w:tcPr>
            <w:tcW w:w="1134" w:type="dxa"/>
            <w:vAlign w:val="center"/>
          </w:tcPr>
          <w:p w14:paraId="0DB945AA" w14:textId="4B58BA87" w:rsidR="00832AD3" w:rsidRPr="00EE43C6" w:rsidRDefault="00D35946" w:rsidP="00B625EB">
            <w:pPr>
              <w:spacing w:before="0" w:after="0" w:line="240" w:lineRule="auto"/>
              <w:jc w:val="center"/>
              <w:rPr>
                <w:rFonts w:cs="Arial"/>
                <w:sz w:val="18"/>
                <w:szCs w:val="18"/>
              </w:rPr>
            </w:pPr>
            <w:r w:rsidRPr="00EE43C6">
              <w:rPr>
                <w:rFonts w:cs="Arial"/>
                <w:sz w:val="18"/>
                <w:szCs w:val="18"/>
              </w:rPr>
              <w:t>0.725</w:t>
            </w:r>
          </w:p>
        </w:tc>
        <w:tc>
          <w:tcPr>
            <w:tcW w:w="1275" w:type="dxa"/>
            <w:vAlign w:val="center"/>
          </w:tcPr>
          <w:p w14:paraId="17B245A7" w14:textId="7E8514EF" w:rsidR="00832AD3" w:rsidRPr="00EE43C6" w:rsidRDefault="00CA70C3" w:rsidP="00B625EB">
            <w:pPr>
              <w:spacing w:before="0" w:after="0" w:line="240" w:lineRule="auto"/>
              <w:jc w:val="center"/>
              <w:rPr>
                <w:rFonts w:cs="Arial"/>
                <w:sz w:val="18"/>
                <w:szCs w:val="18"/>
              </w:rPr>
            </w:pPr>
            <w:r w:rsidRPr="00EE43C6">
              <w:rPr>
                <w:rFonts w:cs="Arial"/>
                <w:sz w:val="18"/>
                <w:szCs w:val="18"/>
              </w:rPr>
              <w:t>0.3625</w:t>
            </w:r>
          </w:p>
        </w:tc>
      </w:tr>
      <w:bookmarkEnd w:id="471"/>
      <w:tr w:rsidR="00832AD3" w:rsidRPr="00EE43C6" w14:paraId="64637212" w14:textId="77777777" w:rsidTr="00B625EB">
        <w:trPr>
          <w:trHeight w:val="284"/>
          <w:jc w:val="center"/>
        </w:trPr>
        <w:tc>
          <w:tcPr>
            <w:tcW w:w="6658" w:type="dxa"/>
            <w:gridSpan w:val="2"/>
            <w:vAlign w:val="center"/>
          </w:tcPr>
          <w:p w14:paraId="18EEEE65" w14:textId="5E95CB60" w:rsidR="00832AD3" w:rsidRPr="00EE43C6" w:rsidRDefault="00BB13AB" w:rsidP="00B625EB">
            <w:pPr>
              <w:spacing w:before="0" w:after="0" w:line="240" w:lineRule="auto"/>
              <w:jc w:val="right"/>
              <w:rPr>
                <w:rFonts w:cs="Arial"/>
                <w:b/>
                <w:sz w:val="18"/>
                <w:szCs w:val="18"/>
              </w:rPr>
            </w:pPr>
            <w:r w:rsidRPr="00EE43C6">
              <w:rPr>
                <w:rFonts w:cs="Arial"/>
                <w:b/>
                <w:sz w:val="18"/>
                <w:szCs w:val="18"/>
              </w:rPr>
              <w:t>TOTAL</w:t>
            </w:r>
          </w:p>
        </w:tc>
        <w:tc>
          <w:tcPr>
            <w:tcW w:w="1134" w:type="dxa"/>
            <w:vAlign w:val="center"/>
          </w:tcPr>
          <w:p w14:paraId="213C4BDF" w14:textId="70918FF5" w:rsidR="00832AD3" w:rsidRPr="00EE43C6" w:rsidRDefault="001523BD" w:rsidP="00B625EB">
            <w:pPr>
              <w:spacing w:before="0" w:after="0" w:line="240" w:lineRule="auto"/>
              <w:jc w:val="center"/>
              <w:rPr>
                <w:rFonts w:cs="Arial"/>
                <w:b/>
                <w:sz w:val="18"/>
                <w:szCs w:val="18"/>
              </w:rPr>
            </w:pPr>
            <w:r w:rsidRPr="00EE43C6">
              <w:rPr>
                <w:rFonts w:cs="Arial"/>
                <w:b/>
                <w:sz w:val="18"/>
                <w:szCs w:val="18"/>
              </w:rPr>
              <w:t>8</w:t>
            </w:r>
            <w:r w:rsidR="00040BF3" w:rsidRPr="00EE43C6">
              <w:rPr>
                <w:rFonts w:cs="Arial"/>
                <w:b/>
                <w:sz w:val="18"/>
                <w:szCs w:val="18"/>
              </w:rPr>
              <w:t>.</w:t>
            </w:r>
            <w:r w:rsidRPr="00EE43C6">
              <w:rPr>
                <w:rFonts w:cs="Arial"/>
                <w:b/>
                <w:sz w:val="18"/>
                <w:szCs w:val="18"/>
              </w:rPr>
              <w:t>2</w:t>
            </w:r>
            <w:r w:rsidR="00413216">
              <w:rPr>
                <w:rFonts w:cs="Arial"/>
                <w:b/>
                <w:sz w:val="18"/>
                <w:szCs w:val="18"/>
              </w:rPr>
              <w:t>87</w:t>
            </w:r>
          </w:p>
        </w:tc>
        <w:tc>
          <w:tcPr>
            <w:tcW w:w="1275" w:type="dxa"/>
            <w:vAlign w:val="center"/>
          </w:tcPr>
          <w:p w14:paraId="21375FD0" w14:textId="1B4C966D" w:rsidR="00832AD3" w:rsidRPr="00EE43C6" w:rsidRDefault="001523BD" w:rsidP="00B625EB">
            <w:pPr>
              <w:spacing w:before="0" w:after="0" w:line="240" w:lineRule="auto"/>
              <w:jc w:val="center"/>
              <w:rPr>
                <w:rFonts w:cs="Arial"/>
                <w:b/>
                <w:sz w:val="18"/>
                <w:szCs w:val="18"/>
              </w:rPr>
            </w:pPr>
            <w:r w:rsidRPr="00EE43C6">
              <w:rPr>
                <w:rFonts w:cs="Arial"/>
                <w:b/>
                <w:sz w:val="18"/>
                <w:szCs w:val="18"/>
              </w:rPr>
              <w:t>4</w:t>
            </w:r>
            <w:r w:rsidR="00040BF3" w:rsidRPr="00EE43C6">
              <w:rPr>
                <w:rFonts w:cs="Arial"/>
                <w:b/>
                <w:sz w:val="18"/>
                <w:szCs w:val="18"/>
              </w:rPr>
              <w:t>.</w:t>
            </w:r>
            <w:r w:rsidRPr="00EE43C6">
              <w:rPr>
                <w:rFonts w:cs="Arial"/>
                <w:b/>
                <w:sz w:val="18"/>
                <w:szCs w:val="18"/>
              </w:rPr>
              <w:t>1</w:t>
            </w:r>
            <w:r w:rsidR="008A48ED">
              <w:rPr>
                <w:rFonts w:cs="Arial"/>
                <w:b/>
                <w:sz w:val="18"/>
                <w:szCs w:val="18"/>
              </w:rPr>
              <w:t>44</w:t>
            </w:r>
          </w:p>
        </w:tc>
      </w:tr>
      <w:tr w:rsidR="00832AD3" w:rsidRPr="00EE43C6" w14:paraId="20D2C83B" w14:textId="77777777" w:rsidTr="00B625EB">
        <w:trPr>
          <w:trHeight w:val="284"/>
          <w:jc w:val="center"/>
        </w:trPr>
        <w:tc>
          <w:tcPr>
            <w:tcW w:w="562" w:type="dxa"/>
            <w:vAlign w:val="center"/>
          </w:tcPr>
          <w:p w14:paraId="6BFA583E" w14:textId="13B7EBC8" w:rsidR="00832AD3" w:rsidRPr="00EE43C6" w:rsidRDefault="00356D7B" w:rsidP="00B625EB">
            <w:pPr>
              <w:spacing w:before="0" w:after="0" w:line="240" w:lineRule="auto"/>
              <w:jc w:val="left"/>
              <w:rPr>
                <w:rFonts w:cs="Arial"/>
                <w:sz w:val="18"/>
                <w:szCs w:val="18"/>
              </w:rPr>
            </w:pPr>
            <w:r w:rsidRPr="00EE43C6">
              <w:rPr>
                <w:rFonts w:cs="Arial"/>
                <w:sz w:val="18"/>
                <w:szCs w:val="18"/>
              </w:rPr>
              <w:t>6</w:t>
            </w:r>
          </w:p>
        </w:tc>
        <w:tc>
          <w:tcPr>
            <w:tcW w:w="6096" w:type="dxa"/>
            <w:vAlign w:val="center"/>
          </w:tcPr>
          <w:p w14:paraId="7E182128" w14:textId="6D4E6174" w:rsidR="00832AD3" w:rsidRPr="00EE43C6" w:rsidRDefault="0035779C" w:rsidP="00B625EB">
            <w:pPr>
              <w:spacing w:before="0" w:after="0" w:line="240" w:lineRule="auto"/>
              <w:jc w:val="left"/>
              <w:rPr>
                <w:rFonts w:cs="Arial"/>
                <w:sz w:val="18"/>
                <w:szCs w:val="18"/>
              </w:rPr>
            </w:pPr>
            <w:r w:rsidRPr="00EE43C6">
              <w:rPr>
                <w:rFonts w:cs="Arial"/>
                <w:sz w:val="18"/>
                <w:szCs w:val="18"/>
              </w:rPr>
              <w:t>Removal of Excavation Material</w:t>
            </w:r>
          </w:p>
        </w:tc>
        <w:tc>
          <w:tcPr>
            <w:tcW w:w="1134" w:type="dxa"/>
            <w:vAlign w:val="center"/>
          </w:tcPr>
          <w:p w14:paraId="7EBCE540" w14:textId="1BABA87A" w:rsidR="00832AD3" w:rsidRPr="00EE43C6" w:rsidRDefault="005B3673" w:rsidP="00B625EB">
            <w:pPr>
              <w:spacing w:before="0" w:after="0" w:line="240" w:lineRule="auto"/>
              <w:jc w:val="center"/>
              <w:rPr>
                <w:rFonts w:cs="Arial"/>
                <w:sz w:val="18"/>
                <w:szCs w:val="18"/>
              </w:rPr>
            </w:pPr>
            <w:r w:rsidRPr="00EE43C6">
              <w:rPr>
                <w:rFonts w:cs="Arial"/>
                <w:sz w:val="18"/>
                <w:szCs w:val="18"/>
              </w:rPr>
              <w:t>66</w:t>
            </w:r>
            <w:r w:rsidR="00040BF3" w:rsidRPr="00EE43C6">
              <w:rPr>
                <w:rFonts w:cs="Arial"/>
                <w:sz w:val="18"/>
                <w:szCs w:val="18"/>
              </w:rPr>
              <w:t>.</w:t>
            </w:r>
            <w:r w:rsidRPr="00EE43C6">
              <w:rPr>
                <w:rFonts w:cs="Arial"/>
                <w:sz w:val="18"/>
                <w:szCs w:val="18"/>
              </w:rPr>
              <w:t>775</w:t>
            </w:r>
          </w:p>
        </w:tc>
        <w:tc>
          <w:tcPr>
            <w:tcW w:w="1275" w:type="dxa"/>
            <w:vAlign w:val="center"/>
          </w:tcPr>
          <w:p w14:paraId="2FB3D3D8" w14:textId="25A11E72" w:rsidR="00832AD3" w:rsidRPr="00EE43C6" w:rsidRDefault="005B3673" w:rsidP="00B625EB">
            <w:pPr>
              <w:spacing w:before="0" w:after="0" w:line="240" w:lineRule="auto"/>
              <w:jc w:val="center"/>
              <w:rPr>
                <w:rFonts w:cs="Arial"/>
                <w:sz w:val="18"/>
                <w:szCs w:val="18"/>
              </w:rPr>
            </w:pPr>
            <w:r w:rsidRPr="00EE43C6">
              <w:rPr>
                <w:rFonts w:cs="Arial"/>
                <w:sz w:val="18"/>
                <w:szCs w:val="18"/>
              </w:rPr>
              <w:t>33.38</w:t>
            </w:r>
          </w:p>
        </w:tc>
      </w:tr>
      <w:tr w:rsidR="00832AD3" w:rsidRPr="00EE43C6" w14:paraId="6ABECA83" w14:textId="77777777" w:rsidTr="00B625EB">
        <w:trPr>
          <w:trHeight w:val="284"/>
          <w:jc w:val="center"/>
        </w:trPr>
        <w:tc>
          <w:tcPr>
            <w:tcW w:w="562" w:type="dxa"/>
            <w:vAlign w:val="center"/>
          </w:tcPr>
          <w:p w14:paraId="38CDCE3C" w14:textId="11DD078A" w:rsidR="00832AD3" w:rsidRPr="00EE43C6" w:rsidRDefault="00356D7B" w:rsidP="00B625EB">
            <w:pPr>
              <w:spacing w:before="0" w:after="0" w:line="240" w:lineRule="auto"/>
              <w:jc w:val="left"/>
              <w:rPr>
                <w:rFonts w:cs="Arial"/>
                <w:sz w:val="18"/>
                <w:szCs w:val="18"/>
              </w:rPr>
            </w:pPr>
            <w:r w:rsidRPr="00EE43C6">
              <w:rPr>
                <w:rFonts w:cs="Arial"/>
                <w:sz w:val="18"/>
                <w:szCs w:val="18"/>
              </w:rPr>
              <w:t>7</w:t>
            </w:r>
          </w:p>
        </w:tc>
        <w:tc>
          <w:tcPr>
            <w:tcW w:w="6096" w:type="dxa"/>
            <w:vAlign w:val="center"/>
          </w:tcPr>
          <w:p w14:paraId="4A6DB487" w14:textId="7193F951" w:rsidR="00832AD3" w:rsidRPr="00EE43C6" w:rsidRDefault="0035779C" w:rsidP="00B625EB">
            <w:pPr>
              <w:spacing w:before="0" w:after="0" w:line="240" w:lineRule="auto"/>
              <w:jc w:val="left"/>
              <w:rPr>
                <w:rFonts w:cs="Arial"/>
                <w:sz w:val="18"/>
                <w:szCs w:val="18"/>
              </w:rPr>
            </w:pPr>
            <w:r w:rsidRPr="00EE43C6">
              <w:rPr>
                <w:rFonts w:cs="Arial"/>
                <w:sz w:val="18"/>
                <w:szCs w:val="18"/>
              </w:rPr>
              <w:t>Loading of Excavation Material</w:t>
            </w:r>
          </w:p>
        </w:tc>
        <w:tc>
          <w:tcPr>
            <w:tcW w:w="1134" w:type="dxa"/>
            <w:vAlign w:val="center"/>
          </w:tcPr>
          <w:p w14:paraId="6DB38BFC" w14:textId="063FBEB1" w:rsidR="00832AD3" w:rsidRPr="00EE43C6" w:rsidRDefault="005B3673" w:rsidP="00B625EB">
            <w:pPr>
              <w:spacing w:before="0" w:after="0" w:line="240" w:lineRule="auto"/>
              <w:jc w:val="center"/>
              <w:rPr>
                <w:rFonts w:cs="Arial"/>
                <w:sz w:val="18"/>
                <w:szCs w:val="18"/>
              </w:rPr>
            </w:pPr>
            <w:r w:rsidRPr="00EE43C6">
              <w:rPr>
                <w:rFonts w:cs="Arial"/>
                <w:sz w:val="18"/>
                <w:szCs w:val="18"/>
              </w:rPr>
              <w:t>26.71</w:t>
            </w:r>
          </w:p>
        </w:tc>
        <w:tc>
          <w:tcPr>
            <w:tcW w:w="1275" w:type="dxa"/>
            <w:vAlign w:val="center"/>
          </w:tcPr>
          <w:p w14:paraId="1C0E46CC" w14:textId="236B181B" w:rsidR="00832AD3" w:rsidRPr="00EE43C6" w:rsidRDefault="005B3673" w:rsidP="00B625EB">
            <w:pPr>
              <w:spacing w:before="0" w:after="0" w:line="240" w:lineRule="auto"/>
              <w:jc w:val="center"/>
              <w:rPr>
                <w:rFonts w:cs="Arial"/>
                <w:sz w:val="18"/>
                <w:szCs w:val="18"/>
              </w:rPr>
            </w:pPr>
            <w:r w:rsidRPr="00EE43C6">
              <w:rPr>
                <w:rFonts w:cs="Arial"/>
                <w:sz w:val="18"/>
                <w:szCs w:val="18"/>
              </w:rPr>
              <w:t>13</w:t>
            </w:r>
            <w:r w:rsidR="00040BF3" w:rsidRPr="00EE43C6">
              <w:rPr>
                <w:rFonts w:cs="Arial"/>
                <w:sz w:val="18"/>
                <w:szCs w:val="18"/>
              </w:rPr>
              <w:t>.</w:t>
            </w:r>
            <w:r w:rsidRPr="00EE43C6">
              <w:rPr>
                <w:rFonts w:cs="Arial"/>
                <w:sz w:val="18"/>
                <w:szCs w:val="18"/>
              </w:rPr>
              <w:t>355</w:t>
            </w:r>
          </w:p>
        </w:tc>
      </w:tr>
      <w:tr w:rsidR="00832AD3" w:rsidRPr="00EE43C6" w14:paraId="10F3F96D" w14:textId="77777777" w:rsidTr="0003220B">
        <w:trPr>
          <w:trHeight w:val="284"/>
          <w:jc w:val="center"/>
        </w:trPr>
        <w:tc>
          <w:tcPr>
            <w:tcW w:w="562" w:type="dxa"/>
            <w:vAlign w:val="center"/>
          </w:tcPr>
          <w:p w14:paraId="7B50AB25" w14:textId="7B09BEFC" w:rsidR="00832AD3" w:rsidRPr="00EE43C6" w:rsidRDefault="00E507B2" w:rsidP="00B625EB">
            <w:pPr>
              <w:spacing w:before="0" w:after="0" w:line="240" w:lineRule="auto"/>
              <w:jc w:val="left"/>
              <w:rPr>
                <w:rFonts w:cs="Arial"/>
                <w:sz w:val="18"/>
                <w:szCs w:val="18"/>
              </w:rPr>
            </w:pPr>
            <w:r w:rsidRPr="00EE43C6">
              <w:rPr>
                <w:rFonts w:cs="Arial"/>
                <w:sz w:val="18"/>
                <w:szCs w:val="18"/>
              </w:rPr>
              <w:t>8</w:t>
            </w:r>
          </w:p>
        </w:tc>
        <w:tc>
          <w:tcPr>
            <w:tcW w:w="6096" w:type="dxa"/>
            <w:vAlign w:val="center"/>
          </w:tcPr>
          <w:p w14:paraId="60C2B309" w14:textId="4213FCF7" w:rsidR="00832AD3" w:rsidRPr="00EE43C6" w:rsidRDefault="0035779C" w:rsidP="00B625EB">
            <w:pPr>
              <w:spacing w:before="0" w:after="0" w:line="240" w:lineRule="auto"/>
              <w:jc w:val="left"/>
              <w:rPr>
                <w:rFonts w:cs="Arial"/>
                <w:sz w:val="18"/>
                <w:szCs w:val="18"/>
              </w:rPr>
            </w:pPr>
            <w:r w:rsidRPr="00EE43C6">
              <w:rPr>
                <w:rFonts w:cs="Arial"/>
                <w:sz w:val="18"/>
                <w:szCs w:val="18"/>
              </w:rPr>
              <w:t>Transportation of Excavation Material to the Area to be Backfilled</w:t>
            </w:r>
          </w:p>
        </w:tc>
        <w:tc>
          <w:tcPr>
            <w:tcW w:w="1134" w:type="dxa"/>
            <w:vAlign w:val="center"/>
          </w:tcPr>
          <w:p w14:paraId="285B3F35" w14:textId="2BC69E37" w:rsidR="00832AD3" w:rsidRPr="00EE43C6" w:rsidRDefault="005B3673" w:rsidP="00B625EB">
            <w:pPr>
              <w:spacing w:before="0" w:after="0" w:line="240" w:lineRule="auto"/>
              <w:jc w:val="center"/>
              <w:rPr>
                <w:rFonts w:cs="Arial"/>
                <w:sz w:val="18"/>
                <w:szCs w:val="18"/>
              </w:rPr>
            </w:pPr>
            <w:r w:rsidRPr="00EE43C6">
              <w:rPr>
                <w:rFonts w:cs="Arial"/>
                <w:sz w:val="18"/>
                <w:szCs w:val="18"/>
              </w:rPr>
              <w:t>3.0625</w:t>
            </w:r>
          </w:p>
        </w:tc>
        <w:tc>
          <w:tcPr>
            <w:tcW w:w="1275" w:type="dxa"/>
            <w:vAlign w:val="center"/>
          </w:tcPr>
          <w:p w14:paraId="4F948D0D" w14:textId="737679E3" w:rsidR="00832AD3" w:rsidRPr="00EE43C6" w:rsidRDefault="005B3673" w:rsidP="00B625EB">
            <w:pPr>
              <w:spacing w:before="0" w:after="0" w:line="240" w:lineRule="auto"/>
              <w:jc w:val="center"/>
              <w:rPr>
                <w:rFonts w:cs="Arial"/>
                <w:sz w:val="18"/>
                <w:szCs w:val="18"/>
              </w:rPr>
            </w:pPr>
            <w:r w:rsidRPr="00EE43C6">
              <w:rPr>
                <w:rFonts w:cs="Arial"/>
                <w:sz w:val="18"/>
                <w:szCs w:val="18"/>
              </w:rPr>
              <w:t>1.5312</w:t>
            </w:r>
          </w:p>
        </w:tc>
      </w:tr>
      <w:tr w:rsidR="00832AD3" w:rsidRPr="00EE43C6" w14:paraId="65F8CB3E" w14:textId="77777777" w:rsidTr="0003220B">
        <w:trPr>
          <w:trHeight w:val="284"/>
          <w:jc w:val="center"/>
        </w:trPr>
        <w:tc>
          <w:tcPr>
            <w:tcW w:w="562" w:type="dxa"/>
            <w:vAlign w:val="center"/>
          </w:tcPr>
          <w:p w14:paraId="39D3F7F7" w14:textId="3FF0BA04" w:rsidR="00832AD3" w:rsidRPr="00EE43C6" w:rsidRDefault="00E507B2" w:rsidP="00B625EB">
            <w:pPr>
              <w:spacing w:before="0" w:after="0" w:line="240" w:lineRule="auto"/>
              <w:jc w:val="left"/>
              <w:rPr>
                <w:rFonts w:cs="Arial"/>
                <w:sz w:val="18"/>
                <w:szCs w:val="18"/>
              </w:rPr>
            </w:pPr>
            <w:r w:rsidRPr="00EE43C6">
              <w:rPr>
                <w:rFonts w:cs="Arial"/>
                <w:sz w:val="18"/>
                <w:szCs w:val="18"/>
              </w:rPr>
              <w:t>9</w:t>
            </w:r>
          </w:p>
        </w:tc>
        <w:tc>
          <w:tcPr>
            <w:tcW w:w="6096" w:type="dxa"/>
            <w:vAlign w:val="center"/>
          </w:tcPr>
          <w:p w14:paraId="13DC82B2" w14:textId="08A09FCF" w:rsidR="00832AD3" w:rsidRPr="00EE43C6" w:rsidRDefault="0035779C" w:rsidP="00B625EB">
            <w:pPr>
              <w:spacing w:before="0" w:after="0" w:line="240" w:lineRule="auto"/>
              <w:jc w:val="left"/>
              <w:rPr>
                <w:rFonts w:cs="Arial"/>
                <w:sz w:val="18"/>
                <w:szCs w:val="18"/>
              </w:rPr>
            </w:pPr>
            <w:r w:rsidRPr="00EE43C6">
              <w:rPr>
                <w:rFonts w:cs="Arial"/>
                <w:sz w:val="18"/>
                <w:szCs w:val="18"/>
              </w:rPr>
              <w:t>Transportation of Excavated Material to Licensed Storage Area</w:t>
            </w:r>
          </w:p>
        </w:tc>
        <w:tc>
          <w:tcPr>
            <w:tcW w:w="1134" w:type="dxa"/>
            <w:vAlign w:val="center"/>
          </w:tcPr>
          <w:p w14:paraId="0D8E907A" w14:textId="584A539D" w:rsidR="00832AD3" w:rsidRPr="00EE43C6" w:rsidRDefault="005B3673" w:rsidP="00B625EB">
            <w:pPr>
              <w:spacing w:before="0" w:after="0" w:line="240" w:lineRule="auto"/>
              <w:jc w:val="center"/>
              <w:rPr>
                <w:rFonts w:cs="Arial"/>
                <w:sz w:val="18"/>
                <w:szCs w:val="18"/>
              </w:rPr>
            </w:pPr>
            <w:r w:rsidRPr="00EE43C6">
              <w:rPr>
                <w:rFonts w:cs="Arial"/>
                <w:sz w:val="18"/>
                <w:szCs w:val="18"/>
              </w:rPr>
              <w:t>0.9625</w:t>
            </w:r>
          </w:p>
        </w:tc>
        <w:tc>
          <w:tcPr>
            <w:tcW w:w="1275" w:type="dxa"/>
            <w:vAlign w:val="center"/>
          </w:tcPr>
          <w:p w14:paraId="3149596F" w14:textId="7E38B7AC" w:rsidR="00832AD3" w:rsidRPr="00EE43C6" w:rsidRDefault="005B3673" w:rsidP="00B625EB">
            <w:pPr>
              <w:spacing w:before="0" w:after="0" w:line="240" w:lineRule="auto"/>
              <w:jc w:val="center"/>
              <w:rPr>
                <w:rFonts w:cs="Arial"/>
                <w:sz w:val="18"/>
                <w:szCs w:val="18"/>
              </w:rPr>
            </w:pPr>
            <w:r w:rsidRPr="00EE43C6">
              <w:rPr>
                <w:rFonts w:cs="Arial"/>
                <w:sz w:val="18"/>
                <w:szCs w:val="18"/>
              </w:rPr>
              <w:t>0.4812</w:t>
            </w:r>
          </w:p>
        </w:tc>
      </w:tr>
      <w:tr w:rsidR="00832AD3" w:rsidRPr="00EE43C6" w14:paraId="522A65E0" w14:textId="77777777" w:rsidTr="0003220B">
        <w:trPr>
          <w:trHeight w:val="284"/>
          <w:jc w:val="center"/>
        </w:trPr>
        <w:tc>
          <w:tcPr>
            <w:tcW w:w="562" w:type="dxa"/>
            <w:vAlign w:val="center"/>
          </w:tcPr>
          <w:p w14:paraId="75BE3B4F" w14:textId="1F55B775" w:rsidR="00832AD3" w:rsidRPr="00EE43C6" w:rsidRDefault="00E507B2" w:rsidP="00B625EB">
            <w:pPr>
              <w:spacing w:before="0" w:after="0" w:line="240" w:lineRule="auto"/>
              <w:jc w:val="left"/>
              <w:rPr>
                <w:rFonts w:cs="Arial"/>
                <w:sz w:val="18"/>
                <w:szCs w:val="18"/>
              </w:rPr>
            </w:pPr>
            <w:r w:rsidRPr="00EE43C6">
              <w:rPr>
                <w:rFonts w:cs="Arial"/>
                <w:sz w:val="18"/>
                <w:szCs w:val="18"/>
              </w:rPr>
              <w:t>10</w:t>
            </w:r>
          </w:p>
        </w:tc>
        <w:tc>
          <w:tcPr>
            <w:tcW w:w="6096" w:type="dxa"/>
            <w:vAlign w:val="center"/>
          </w:tcPr>
          <w:p w14:paraId="1DF63246" w14:textId="6C18B75C" w:rsidR="00832AD3" w:rsidRPr="00EE43C6" w:rsidRDefault="0035779C" w:rsidP="00B625EB">
            <w:pPr>
              <w:spacing w:before="0" w:after="0" w:line="240" w:lineRule="auto"/>
              <w:jc w:val="left"/>
              <w:rPr>
                <w:rFonts w:cs="Arial"/>
                <w:sz w:val="18"/>
                <w:szCs w:val="18"/>
              </w:rPr>
            </w:pPr>
            <w:r w:rsidRPr="00EE43C6">
              <w:rPr>
                <w:rFonts w:cs="Arial"/>
                <w:sz w:val="18"/>
                <w:szCs w:val="18"/>
              </w:rPr>
              <w:t>Unloading of Excavation Material to Backfill Area</w:t>
            </w:r>
          </w:p>
        </w:tc>
        <w:tc>
          <w:tcPr>
            <w:tcW w:w="1134" w:type="dxa"/>
            <w:vAlign w:val="center"/>
          </w:tcPr>
          <w:p w14:paraId="08F3628D" w14:textId="38D71634" w:rsidR="00832AD3" w:rsidRPr="00EE43C6" w:rsidRDefault="005B3673" w:rsidP="00B625EB">
            <w:pPr>
              <w:spacing w:before="0" w:after="0" w:line="240" w:lineRule="auto"/>
              <w:jc w:val="center"/>
              <w:rPr>
                <w:rFonts w:cs="Arial"/>
                <w:sz w:val="18"/>
                <w:szCs w:val="18"/>
              </w:rPr>
            </w:pPr>
            <w:r w:rsidRPr="00EE43C6">
              <w:rPr>
                <w:rFonts w:cs="Arial"/>
                <w:sz w:val="18"/>
                <w:szCs w:val="18"/>
              </w:rPr>
              <w:t>26.64</w:t>
            </w:r>
          </w:p>
        </w:tc>
        <w:tc>
          <w:tcPr>
            <w:tcW w:w="1275" w:type="dxa"/>
            <w:vAlign w:val="center"/>
          </w:tcPr>
          <w:p w14:paraId="7C187AC2" w14:textId="58C849F9" w:rsidR="00832AD3" w:rsidRPr="00EE43C6" w:rsidRDefault="005B3673" w:rsidP="00B625EB">
            <w:pPr>
              <w:spacing w:before="0" w:after="0" w:line="240" w:lineRule="auto"/>
              <w:jc w:val="center"/>
              <w:rPr>
                <w:rFonts w:cs="Arial"/>
                <w:sz w:val="18"/>
                <w:szCs w:val="18"/>
              </w:rPr>
            </w:pPr>
            <w:r w:rsidRPr="00EE43C6">
              <w:rPr>
                <w:rFonts w:cs="Arial"/>
                <w:sz w:val="18"/>
                <w:szCs w:val="18"/>
              </w:rPr>
              <w:t>13.32</w:t>
            </w:r>
          </w:p>
        </w:tc>
      </w:tr>
      <w:tr w:rsidR="00832AD3" w:rsidRPr="00EE43C6" w14:paraId="3400CA0C" w14:textId="77777777" w:rsidTr="0003220B">
        <w:trPr>
          <w:trHeight w:val="284"/>
          <w:jc w:val="center"/>
        </w:trPr>
        <w:tc>
          <w:tcPr>
            <w:tcW w:w="6658" w:type="dxa"/>
            <w:gridSpan w:val="2"/>
            <w:vAlign w:val="center"/>
          </w:tcPr>
          <w:p w14:paraId="0AFF9892" w14:textId="531ED3DE" w:rsidR="00832AD3" w:rsidRPr="00EE43C6" w:rsidRDefault="00BB13AB" w:rsidP="00B625EB">
            <w:pPr>
              <w:spacing w:before="0" w:after="0" w:line="240" w:lineRule="auto"/>
              <w:jc w:val="right"/>
              <w:rPr>
                <w:rFonts w:cs="Arial"/>
                <w:b/>
                <w:sz w:val="18"/>
                <w:szCs w:val="18"/>
              </w:rPr>
            </w:pPr>
            <w:r w:rsidRPr="00EE43C6">
              <w:rPr>
                <w:rFonts w:cs="Arial"/>
                <w:b/>
                <w:sz w:val="18"/>
                <w:szCs w:val="18"/>
              </w:rPr>
              <w:t>TOTAL</w:t>
            </w:r>
          </w:p>
        </w:tc>
        <w:tc>
          <w:tcPr>
            <w:tcW w:w="1134" w:type="dxa"/>
            <w:vAlign w:val="center"/>
          </w:tcPr>
          <w:p w14:paraId="0A8CCB78" w14:textId="5E8877BB" w:rsidR="00832AD3" w:rsidRPr="00EE43C6" w:rsidRDefault="002F66D0" w:rsidP="00B625EB">
            <w:pPr>
              <w:spacing w:before="0" w:after="0" w:line="240" w:lineRule="auto"/>
              <w:jc w:val="center"/>
              <w:rPr>
                <w:rFonts w:cs="Arial"/>
                <w:b/>
                <w:sz w:val="18"/>
                <w:szCs w:val="18"/>
              </w:rPr>
            </w:pPr>
            <w:r w:rsidRPr="00EE43C6">
              <w:rPr>
                <w:rFonts w:cs="Arial"/>
                <w:b/>
                <w:sz w:val="18"/>
                <w:szCs w:val="18"/>
              </w:rPr>
              <w:t>124</w:t>
            </w:r>
            <w:r w:rsidR="009A59C6" w:rsidRPr="00EE43C6">
              <w:rPr>
                <w:rFonts w:cs="Arial"/>
                <w:b/>
                <w:sz w:val="18"/>
                <w:szCs w:val="18"/>
              </w:rPr>
              <w:t>.</w:t>
            </w:r>
            <w:r w:rsidRPr="00EE43C6">
              <w:rPr>
                <w:rFonts w:cs="Arial"/>
                <w:b/>
                <w:sz w:val="18"/>
                <w:szCs w:val="18"/>
              </w:rPr>
              <w:t>15</w:t>
            </w:r>
          </w:p>
        </w:tc>
        <w:tc>
          <w:tcPr>
            <w:tcW w:w="1275" w:type="dxa"/>
            <w:vAlign w:val="center"/>
          </w:tcPr>
          <w:p w14:paraId="5666776F" w14:textId="6433A724" w:rsidR="00832AD3" w:rsidRPr="00EE43C6" w:rsidRDefault="002F66D0" w:rsidP="00B625EB">
            <w:pPr>
              <w:spacing w:before="0" w:after="0" w:line="240" w:lineRule="auto"/>
              <w:jc w:val="center"/>
              <w:rPr>
                <w:rFonts w:cs="Arial"/>
                <w:b/>
                <w:sz w:val="18"/>
                <w:szCs w:val="18"/>
              </w:rPr>
            </w:pPr>
            <w:r w:rsidRPr="00EE43C6">
              <w:rPr>
                <w:rFonts w:cs="Arial"/>
                <w:b/>
                <w:sz w:val="18"/>
                <w:szCs w:val="18"/>
              </w:rPr>
              <w:t>62</w:t>
            </w:r>
            <w:r w:rsidR="009A59C6" w:rsidRPr="00EE43C6">
              <w:rPr>
                <w:rFonts w:cs="Arial"/>
                <w:b/>
                <w:sz w:val="18"/>
                <w:szCs w:val="18"/>
              </w:rPr>
              <w:t>.</w:t>
            </w:r>
            <w:r w:rsidRPr="00EE43C6">
              <w:rPr>
                <w:rFonts w:cs="Arial"/>
                <w:b/>
                <w:sz w:val="18"/>
                <w:szCs w:val="18"/>
              </w:rPr>
              <w:t>0</w:t>
            </w:r>
            <w:r w:rsidR="00FF678C">
              <w:rPr>
                <w:rFonts w:cs="Arial"/>
                <w:b/>
                <w:sz w:val="18"/>
                <w:szCs w:val="18"/>
              </w:rPr>
              <w:t>67</w:t>
            </w:r>
          </w:p>
        </w:tc>
      </w:tr>
      <w:tr w:rsidR="00832AD3" w:rsidRPr="00EE43C6" w14:paraId="6976A6BC" w14:textId="77777777" w:rsidTr="00B625EB">
        <w:trPr>
          <w:trHeight w:val="284"/>
          <w:jc w:val="center"/>
        </w:trPr>
        <w:tc>
          <w:tcPr>
            <w:tcW w:w="6658" w:type="dxa"/>
            <w:gridSpan w:val="2"/>
            <w:vAlign w:val="center"/>
          </w:tcPr>
          <w:p w14:paraId="19C217AE" w14:textId="33E792AA" w:rsidR="00832AD3" w:rsidRPr="00EE43C6" w:rsidRDefault="00054028" w:rsidP="00B625EB">
            <w:pPr>
              <w:spacing w:before="0" w:after="0" w:line="240" w:lineRule="auto"/>
              <w:jc w:val="right"/>
              <w:rPr>
                <w:rFonts w:cs="Arial"/>
                <w:b/>
                <w:sz w:val="18"/>
                <w:szCs w:val="18"/>
              </w:rPr>
            </w:pPr>
            <w:r w:rsidRPr="00EE43C6">
              <w:rPr>
                <w:rFonts w:cs="Arial"/>
                <w:b/>
                <w:sz w:val="18"/>
                <w:szCs w:val="18"/>
              </w:rPr>
              <w:t>GENERAL TOTAL</w:t>
            </w:r>
          </w:p>
        </w:tc>
        <w:tc>
          <w:tcPr>
            <w:tcW w:w="1134" w:type="dxa"/>
            <w:vAlign w:val="center"/>
          </w:tcPr>
          <w:p w14:paraId="461326B5" w14:textId="2C9FFE39" w:rsidR="00832AD3" w:rsidRPr="00EE43C6" w:rsidRDefault="0030434A" w:rsidP="00B625EB">
            <w:pPr>
              <w:spacing w:before="0" w:after="0" w:line="240" w:lineRule="auto"/>
              <w:jc w:val="center"/>
              <w:rPr>
                <w:rFonts w:cs="Arial"/>
                <w:b/>
                <w:sz w:val="18"/>
                <w:szCs w:val="18"/>
              </w:rPr>
            </w:pPr>
            <w:r w:rsidRPr="00EE43C6">
              <w:rPr>
                <w:rFonts w:cs="Arial"/>
                <w:b/>
                <w:sz w:val="18"/>
                <w:szCs w:val="18"/>
              </w:rPr>
              <w:t>132</w:t>
            </w:r>
            <w:r w:rsidR="009A59C6" w:rsidRPr="00EE43C6">
              <w:rPr>
                <w:rFonts w:cs="Arial"/>
                <w:b/>
                <w:sz w:val="18"/>
                <w:szCs w:val="18"/>
              </w:rPr>
              <w:t>.</w:t>
            </w:r>
            <w:r w:rsidRPr="00EE43C6">
              <w:rPr>
                <w:rFonts w:cs="Arial"/>
                <w:b/>
                <w:sz w:val="18"/>
                <w:szCs w:val="18"/>
              </w:rPr>
              <w:t>4</w:t>
            </w:r>
            <w:r w:rsidR="00584532">
              <w:rPr>
                <w:rFonts w:cs="Arial"/>
                <w:b/>
                <w:sz w:val="18"/>
                <w:szCs w:val="18"/>
              </w:rPr>
              <w:t>37</w:t>
            </w:r>
          </w:p>
        </w:tc>
        <w:tc>
          <w:tcPr>
            <w:tcW w:w="1275" w:type="dxa"/>
            <w:vAlign w:val="center"/>
          </w:tcPr>
          <w:p w14:paraId="67C0C5F1" w14:textId="10E8AB00" w:rsidR="00832AD3" w:rsidRPr="00EE43C6" w:rsidRDefault="0030434A" w:rsidP="00B625EB">
            <w:pPr>
              <w:spacing w:before="0" w:after="0" w:line="240" w:lineRule="auto"/>
              <w:jc w:val="center"/>
              <w:rPr>
                <w:rFonts w:cs="Arial"/>
                <w:b/>
                <w:sz w:val="18"/>
                <w:szCs w:val="18"/>
              </w:rPr>
            </w:pPr>
            <w:r w:rsidRPr="00EE43C6">
              <w:rPr>
                <w:rFonts w:cs="Arial"/>
                <w:b/>
                <w:sz w:val="18"/>
                <w:szCs w:val="18"/>
              </w:rPr>
              <w:t>66</w:t>
            </w:r>
            <w:r w:rsidR="009A59C6" w:rsidRPr="00EE43C6">
              <w:rPr>
                <w:rFonts w:cs="Arial"/>
                <w:b/>
                <w:sz w:val="18"/>
                <w:szCs w:val="18"/>
              </w:rPr>
              <w:t>.</w:t>
            </w:r>
            <w:r w:rsidRPr="00EE43C6">
              <w:rPr>
                <w:rFonts w:cs="Arial"/>
                <w:b/>
                <w:sz w:val="18"/>
                <w:szCs w:val="18"/>
              </w:rPr>
              <w:t>21</w:t>
            </w:r>
            <w:r w:rsidR="00C55EC7">
              <w:rPr>
                <w:rFonts w:cs="Arial"/>
                <w:b/>
                <w:sz w:val="18"/>
                <w:szCs w:val="18"/>
              </w:rPr>
              <w:t>1</w:t>
            </w:r>
          </w:p>
        </w:tc>
      </w:tr>
    </w:tbl>
    <w:p w14:paraId="55E65797" w14:textId="77777777" w:rsidR="001E0229" w:rsidRDefault="001E0229" w:rsidP="009A6D44">
      <w:pPr>
        <w:spacing w:before="480"/>
        <w:rPr>
          <w:rFonts w:cs="Wingdings"/>
          <w:szCs w:val="18"/>
          <w:u w:val="single"/>
        </w:rPr>
      </w:pPr>
    </w:p>
    <w:p w14:paraId="55638415" w14:textId="00BB1566" w:rsidR="00495F4D" w:rsidRPr="00EE43C6" w:rsidRDefault="00FA69D8" w:rsidP="009A6D44">
      <w:pPr>
        <w:spacing w:before="480"/>
        <w:rPr>
          <w:rFonts w:cs="Wingdings"/>
          <w:szCs w:val="18"/>
          <w:u w:val="single"/>
        </w:rPr>
      </w:pPr>
      <w:r w:rsidRPr="00EE43C6">
        <w:rPr>
          <w:rFonts w:cs="Wingdings"/>
          <w:szCs w:val="18"/>
          <w:u w:val="single"/>
        </w:rPr>
        <w:lastRenderedPageBreak/>
        <w:t>Mass Flowrates from Cumulative Impacts</w:t>
      </w:r>
    </w:p>
    <w:p w14:paraId="2CB5DF30" w14:textId="21795BCE" w:rsidR="00605356" w:rsidRPr="00EE43C6" w:rsidRDefault="0044660A" w:rsidP="00B625EB">
      <w:pPr>
        <w:rPr>
          <w:rFonts w:cs="Wingdings"/>
          <w:szCs w:val="18"/>
        </w:rPr>
      </w:pPr>
      <w:r w:rsidRPr="00EE43C6">
        <w:rPr>
          <w:rFonts w:cs="Wingdings"/>
          <w:szCs w:val="18"/>
        </w:rPr>
        <w:t xml:space="preserve">It is planned that dust emission will occur due to material quarries, the heating of the settlement </w:t>
      </w:r>
      <w:r w:rsidR="00B62A6B" w:rsidRPr="00EE43C6">
        <w:rPr>
          <w:rFonts w:cs="Wingdings"/>
          <w:szCs w:val="18"/>
        </w:rPr>
        <w:t>areas</w:t>
      </w:r>
      <w:r w:rsidRPr="00EE43C6">
        <w:rPr>
          <w:rFonts w:cs="Wingdings"/>
          <w:szCs w:val="18"/>
        </w:rPr>
        <w:t xml:space="preserve"> located near the </w:t>
      </w:r>
      <w:r w:rsidR="00B62A6B" w:rsidRPr="00EE43C6">
        <w:rPr>
          <w:rFonts w:cs="Wingdings"/>
          <w:szCs w:val="18"/>
        </w:rPr>
        <w:t>P</w:t>
      </w:r>
      <w:r w:rsidRPr="00EE43C6">
        <w:rPr>
          <w:rFonts w:cs="Wingdings"/>
          <w:szCs w:val="18"/>
        </w:rPr>
        <w:t xml:space="preserve">roject </w:t>
      </w:r>
      <w:r w:rsidR="00B62A6B" w:rsidRPr="00EE43C6">
        <w:rPr>
          <w:rFonts w:cs="Wingdings"/>
          <w:szCs w:val="18"/>
        </w:rPr>
        <w:t>A</w:t>
      </w:r>
      <w:r w:rsidRPr="00EE43C6">
        <w:rPr>
          <w:rFonts w:cs="Wingdings"/>
          <w:szCs w:val="18"/>
        </w:rPr>
        <w:t>rea and the highway.</w:t>
      </w:r>
    </w:p>
    <w:p w14:paraId="66124E65" w14:textId="5959EE9F" w:rsidR="0044660A" w:rsidRPr="00EE43C6" w:rsidRDefault="001C41C4" w:rsidP="00B625EB">
      <w:pPr>
        <w:rPr>
          <w:rFonts w:cs="Wingdings"/>
          <w:szCs w:val="18"/>
        </w:rPr>
      </w:pPr>
      <w:r w:rsidRPr="00EE43C6">
        <w:rPr>
          <w:rFonts w:cs="Wingdings"/>
          <w:szCs w:val="18"/>
        </w:rPr>
        <w:t xml:space="preserve">In this context, there is the </w:t>
      </w:r>
      <w:r w:rsidR="00CD0967" w:rsidRPr="00EE43C6">
        <w:rPr>
          <w:rFonts w:cs="Wingdings"/>
          <w:szCs w:val="18"/>
        </w:rPr>
        <w:t>quarry mining silica sand</w:t>
      </w:r>
      <w:r w:rsidRPr="00EE43C6">
        <w:rPr>
          <w:rFonts w:cs="Wingdings"/>
          <w:szCs w:val="18"/>
        </w:rPr>
        <w:t xml:space="preserve"> </w:t>
      </w:r>
      <w:r w:rsidR="006D131B" w:rsidRPr="00EE43C6">
        <w:rPr>
          <w:rFonts w:cs="Wingdings"/>
          <w:szCs w:val="18"/>
        </w:rPr>
        <w:t xml:space="preserve">named Silis Madencilik </w:t>
      </w:r>
      <w:r w:rsidR="00C938D3" w:rsidRPr="00EE43C6">
        <w:rPr>
          <w:rFonts w:cs="Wingdings"/>
          <w:szCs w:val="18"/>
        </w:rPr>
        <w:t xml:space="preserve">near to the Project Area. </w:t>
      </w:r>
      <w:r w:rsidR="00133CC1" w:rsidRPr="00EE43C6">
        <w:rPr>
          <w:rFonts w:cs="Wingdings"/>
          <w:szCs w:val="18"/>
        </w:rPr>
        <w:t xml:space="preserve">According to the information received from </w:t>
      </w:r>
      <w:r w:rsidR="006D131B" w:rsidRPr="00EE43C6">
        <w:rPr>
          <w:rFonts w:cs="Wingdings"/>
          <w:szCs w:val="18"/>
        </w:rPr>
        <w:t>the concerned quarry</w:t>
      </w:r>
      <w:r w:rsidR="00133CC1" w:rsidRPr="00EE43C6">
        <w:rPr>
          <w:rFonts w:cs="Wingdings"/>
          <w:szCs w:val="18"/>
        </w:rPr>
        <w:t xml:space="preserve"> authorities; </w:t>
      </w:r>
      <w:r w:rsidR="000C5978" w:rsidRPr="00EE43C6">
        <w:rPr>
          <w:rFonts w:cs="Wingdings"/>
          <w:szCs w:val="18"/>
        </w:rPr>
        <w:t>it</w:t>
      </w:r>
      <w:r w:rsidR="00133CC1" w:rsidRPr="00EE43C6">
        <w:rPr>
          <w:rFonts w:cs="Wingdings"/>
          <w:szCs w:val="18"/>
        </w:rPr>
        <w:t xml:space="preserve"> did not produce </w:t>
      </w:r>
      <w:r w:rsidR="00C53D04" w:rsidRPr="00EE43C6">
        <w:rPr>
          <w:rFonts w:cs="Wingdings"/>
          <w:szCs w:val="18"/>
        </w:rPr>
        <w:t xml:space="preserve">silica sand </w:t>
      </w:r>
      <w:r w:rsidR="00133CC1" w:rsidRPr="00EE43C6">
        <w:rPr>
          <w:rFonts w:cs="Wingdings"/>
          <w:szCs w:val="18"/>
        </w:rPr>
        <w:t xml:space="preserve">in 2019 and 2020. The last year of </w:t>
      </w:r>
      <w:r w:rsidR="00522EA5" w:rsidRPr="00EE43C6">
        <w:rPr>
          <w:rFonts w:cs="Wingdings"/>
          <w:szCs w:val="18"/>
        </w:rPr>
        <w:t xml:space="preserve">its </w:t>
      </w:r>
      <w:r w:rsidR="00133CC1" w:rsidRPr="00EE43C6">
        <w:rPr>
          <w:rFonts w:cs="Wingdings"/>
          <w:szCs w:val="18"/>
        </w:rPr>
        <w:t>production is 2018 and the reported amount is 400 ton</w:t>
      </w:r>
      <w:r w:rsidR="001932B8" w:rsidRPr="00EE43C6">
        <w:rPr>
          <w:rFonts w:cs="Wingdings"/>
          <w:szCs w:val="18"/>
        </w:rPr>
        <w:t>ne</w:t>
      </w:r>
      <w:r w:rsidR="00133CC1" w:rsidRPr="00EE43C6">
        <w:rPr>
          <w:rFonts w:cs="Wingdings"/>
          <w:szCs w:val="18"/>
        </w:rPr>
        <w:t>s/year</w:t>
      </w:r>
      <w:r w:rsidR="00AC7AAD" w:rsidRPr="00EE43C6">
        <w:rPr>
          <w:rFonts w:cs="Wingdings"/>
          <w:szCs w:val="18"/>
        </w:rPr>
        <w:t xml:space="preserve"> silica sand</w:t>
      </w:r>
      <w:r w:rsidR="0012525C" w:rsidRPr="00EE43C6">
        <w:rPr>
          <w:rFonts w:cs="Wingdings"/>
          <w:szCs w:val="18"/>
        </w:rPr>
        <w:t>s</w:t>
      </w:r>
      <w:r w:rsidR="00133CC1" w:rsidRPr="00EE43C6">
        <w:rPr>
          <w:rFonts w:cs="Wingdings"/>
          <w:szCs w:val="18"/>
        </w:rPr>
        <w:t xml:space="preserve">. Accordingly, dust emission calculations are given in </w:t>
      </w:r>
      <w:r w:rsidR="009062F1" w:rsidRPr="00EE43C6">
        <w:rPr>
          <w:rFonts w:cs="Wingdings"/>
          <w:szCs w:val="18"/>
        </w:rPr>
        <w:fldChar w:fldCharType="begin"/>
      </w:r>
      <w:r w:rsidR="009062F1" w:rsidRPr="00EE43C6">
        <w:rPr>
          <w:rFonts w:cs="Wingdings"/>
          <w:szCs w:val="18"/>
        </w:rPr>
        <w:instrText xml:space="preserve"> REF _Ref125717129 \h </w:instrText>
      </w:r>
      <w:r w:rsidR="009062F1" w:rsidRPr="00EE43C6">
        <w:rPr>
          <w:rFonts w:cs="Wingdings"/>
          <w:szCs w:val="18"/>
        </w:rPr>
      </w:r>
      <w:r w:rsidR="009062F1" w:rsidRPr="00EE43C6">
        <w:rPr>
          <w:rFonts w:cs="Wingdings"/>
          <w:szCs w:val="18"/>
        </w:rPr>
        <w:fldChar w:fldCharType="separate"/>
      </w:r>
      <w:r w:rsidR="00C568FA" w:rsidRPr="00EE43C6">
        <w:t>Table 6</w:t>
      </w:r>
      <w:r w:rsidR="00C568FA" w:rsidRPr="00EE43C6">
        <w:noBreakHyphen/>
        <w:t>5</w:t>
      </w:r>
      <w:r w:rsidR="009062F1" w:rsidRPr="00EE43C6">
        <w:rPr>
          <w:rFonts w:cs="Wingdings"/>
          <w:szCs w:val="18"/>
        </w:rPr>
        <w:fldChar w:fldCharType="end"/>
      </w:r>
      <w:r w:rsidR="00133CC1" w:rsidRPr="00EE43C6">
        <w:rPr>
          <w:rFonts w:cs="Wingdings"/>
          <w:szCs w:val="18"/>
        </w:rPr>
        <w:t>.</w:t>
      </w:r>
    </w:p>
    <w:p w14:paraId="2CDCB932" w14:textId="46E2C4A0" w:rsidR="006840A8" w:rsidRPr="00EE43C6" w:rsidRDefault="009062F1" w:rsidP="009A6D44">
      <w:pPr>
        <w:pStyle w:val="Caption"/>
        <w:spacing w:before="480"/>
        <w:rPr>
          <w:rFonts w:cs="Wingdings"/>
          <w:noProof w:val="0"/>
          <w:szCs w:val="18"/>
        </w:rPr>
      </w:pPr>
      <w:bookmarkStart w:id="472" w:name="_Ref125717129"/>
      <w:bookmarkStart w:id="473" w:name="_Toc141445514"/>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5</w:t>
      </w:r>
      <w:r w:rsidR="006D2DE8">
        <w:rPr>
          <w:noProof w:val="0"/>
        </w:rPr>
        <w:fldChar w:fldCharType="end"/>
      </w:r>
      <w:bookmarkEnd w:id="472"/>
      <w:r w:rsidRPr="00EE43C6">
        <w:rPr>
          <w:noProof w:val="0"/>
        </w:rPr>
        <w:t xml:space="preserve">. </w:t>
      </w:r>
      <w:r w:rsidR="00A84457" w:rsidRPr="00EE43C6">
        <w:rPr>
          <w:rFonts w:cs="Wingdings"/>
          <w:b w:val="0"/>
          <w:noProof w:val="0"/>
          <w:color w:val="auto"/>
          <w:szCs w:val="18"/>
        </w:rPr>
        <w:t>Dust Emission Flow</w:t>
      </w:r>
      <w:r w:rsidR="00E06089" w:rsidRPr="00EE43C6">
        <w:rPr>
          <w:rFonts w:cs="Wingdings"/>
          <w:b w:val="0"/>
          <w:noProof w:val="0"/>
          <w:color w:val="auto"/>
          <w:szCs w:val="18"/>
        </w:rPr>
        <w:t>rate</w:t>
      </w:r>
      <w:r w:rsidR="00A84457" w:rsidRPr="00EE43C6">
        <w:rPr>
          <w:rFonts w:cs="Wingdings"/>
          <w:b w:val="0"/>
          <w:noProof w:val="0"/>
          <w:color w:val="auto"/>
          <w:szCs w:val="18"/>
        </w:rPr>
        <w:t xml:space="preserve"> Calculation </w:t>
      </w:r>
      <w:r w:rsidR="00955A02" w:rsidRPr="00EE43C6">
        <w:rPr>
          <w:rFonts w:cs="Wingdings"/>
          <w:b w:val="0"/>
          <w:noProof w:val="0"/>
          <w:color w:val="auto"/>
          <w:szCs w:val="18"/>
        </w:rPr>
        <w:t>Generated</w:t>
      </w:r>
      <w:r w:rsidR="00A84457" w:rsidRPr="00EE43C6">
        <w:rPr>
          <w:rFonts w:cs="Wingdings"/>
          <w:b w:val="0"/>
          <w:noProof w:val="0"/>
          <w:color w:val="auto"/>
          <w:szCs w:val="18"/>
        </w:rPr>
        <w:t xml:space="preserve"> During Silica Sand</w:t>
      </w:r>
      <w:r w:rsidR="00955A02" w:rsidRPr="00EE43C6">
        <w:rPr>
          <w:rFonts w:cs="Wingdings"/>
          <w:b w:val="0"/>
          <w:noProof w:val="0"/>
          <w:color w:val="auto"/>
          <w:szCs w:val="18"/>
        </w:rPr>
        <w:t xml:space="preserve"> Mining</w:t>
      </w:r>
      <w:bookmarkEnd w:id="473"/>
    </w:p>
    <w:tbl>
      <w:tblPr>
        <w:tblStyle w:val="TableGrid"/>
        <w:tblW w:w="0" w:type="auto"/>
        <w:jc w:val="center"/>
        <w:tblLook w:val="04A0" w:firstRow="1" w:lastRow="0" w:firstColumn="1" w:lastColumn="0" w:noHBand="0" w:noVBand="1"/>
      </w:tblPr>
      <w:tblGrid>
        <w:gridCol w:w="2122"/>
        <w:gridCol w:w="1502"/>
        <w:gridCol w:w="1812"/>
        <w:gridCol w:w="1812"/>
        <w:gridCol w:w="1812"/>
      </w:tblGrid>
      <w:tr w:rsidR="009B6DBD" w:rsidRPr="00EE43C6" w14:paraId="3114F861" w14:textId="77777777" w:rsidTr="00B625EB">
        <w:trPr>
          <w:trHeight w:val="284"/>
          <w:jc w:val="center"/>
        </w:trPr>
        <w:tc>
          <w:tcPr>
            <w:tcW w:w="5436" w:type="dxa"/>
            <w:gridSpan w:val="3"/>
            <w:vMerge w:val="restart"/>
            <w:shd w:val="clear" w:color="auto" w:fill="4F81BD"/>
            <w:vAlign w:val="center"/>
          </w:tcPr>
          <w:p w14:paraId="02B725C5" w14:textId="77777777" w:rsidR="009B6DBD" w:rsidRPr="00EE43C6" w:rsidRDefault="009B6DBD" w:rsidP="00B625EB">
            <w:pPr>
              <w:spacing w:before="0" w:after="0" w:line="240" w:lineRule="auto"/>
              <w:jc w:val="center"/>
              <w:rPr>
                <w:rFonts w:cs="Arial"/>
                <w:b/>
                <w:color w:val="FFFFFF" w:themeColor="background1"/>
                <w:sz w:val="18"/>
                <w:szCs w:val="18"/>
              </w:rPr>
            </w:pPr>
            <w:r w:rsidRPr="00EE43C6">
              <w:rPr>
                <w:rFonts w:cs="Arial"/>
                <w:b/>
                <w:color w:val="FFFFFF" w:themeColor="background1"/>
                <w:sz w:val="18"/>
                <w:szCs w:val="18"/>
              </w:rPr>
              <w:t>Operation Time</w:t>
            </w:r>
          </w:p>
        </w:tc>
        <w:tc>
          <w:tcPr>
            <w:tcW w:w="3624" w:type="dxa"/>
            <w:gridSpan w:val="2"/>
            <w:shd w:val="clear" w:color="auto" w:fill="4F81BD"/>
            <w:vAlign w:val="center"/>
          </w:tcPr>
          <w:p w14:paraId="4730AACB" w14:textId="79A7A540" w:rsidR="009B6DBD" w:rsidRPr="00EE43C6" w:rsidRDefault="009B6DBD" w:rsidP="00B625EB">
            <w:pPr>
              <w:spacing w:before="0" w:after="0" w:line="240" w:lineRule="auto"/>
              <w:jc w:val="left"/>
              <w:rPr>
                <w:rFonts w:cs="Arial"/>
                <w:b/>
                <w:color w:val="FFFFFF" w:themeColor="background1"/>
                <w:sz w:val="18"/>
                <w:szCs w:val="18"/>
              </w:rPr>
            </w:pPr>
            <w:r w:rsidRPr="00EE43C6">
              <w:rPr>
                <w:rFonts w:cs="Arial"/>
                <w:b/>
                <w:color w:val="FFFFFF" w:themeColor="background1"/>
                <w:sz w:val="18"/>
                <w:szCs w:val="18"/>
              </w:rPr>
              <w:t xml:space="preserve">Amount of </w:t>
            </w:r>
            <w:r w:rsidR="00036C6A" w:rsidRPr="00EE43C6">
              <w:rPr>
                <w:rFonts w:cs="Arial"/>
                <w:b/>
                <w:color w:val="FFFFFF" w:themeColor="background1"/>
                <w:sz w:val="18"/>
                <w:szCs w:val="18"/>
              </w:rPr>
              <w:t>Production</w:t>
            </w:r>
          </w:p>
        </w:tc>
      </w:tr>
      <w:tr w:rsidR="009B6DBD" w:rsidRPr="00EE43C6" w14:paraId="29464081" w14:textId="77777777" w:rsidTr="00B625EB">
        <w:trPr>
          <w:trHeight w:val="284"/>
          <w:jc w:val="center"/>
        </w:trPr>
        <w:tc>
          <w:tcPr>
            <w:tcW w:w="5436" w:type="dxa"/>
            <w:gridSpan w:val="3"/>
            <w:vMerge/>
            <w:shd w:val="clear" w:color="auto" w:fill="4F81BD"/>
            <w:vAlign w:val="center"/>
          </w:tcPr>
          <w:p w14:paraId="0C89686C" w14:textId="77777777" w:rsidR="009B6DBD" w:rsidRPr="00EE43C6" w:rsidRDefault="009B6DBD" w:rsidP="00B625EB">
            <w:pPr>
              <w:spacing w:before="0" w:after="0" w:line="240" w:lineRule="auto"/>
              <w:jc w:val="left"/>
              <w:rPr>
                <w:rFonts w:cs="Arial"/>
                <w:b/>
                <w:color w:val="FFFFFF" w:themeColor="background1"/>
                <w:sz w:val="18"/>
                <w:szCs w:val="18"/>
              </w:rPr>
            </w:pPr>
          </w:p>
        </w:tc>
        <w:tc>
          <w:tcPr>
            <w:tcW w:w="1812" w:type="dxa"/>
            <w:shd w:val="clear" w:color="auto" w:fill="4F81BD"/>
            <w:vAlign w:val="center"/>
          </w:tcPr>
          <w:p w14:paraId="0E77C025" w14:textId="77777777" w:rsidR="009B6DBD" w:rsidRPr="00EE43C6" w:rsidRDefault="009B6DBD" w:rsidP="00B625EB">
            <w:pPr>
              <w:spacing w:before="0" w:after="0" w:line="240" w:lineRule="auto"/>
              <w:jc w:val="left"/>
              <w:rPr>
                <w:rFonts w:cs="Arial"/>
                <w:b/>
                <w:color w:val="FFFFFF" w:themeColor="background1"/>
                <w:sz w:val="18"/>
                <w:szCs w:val="18"/>
              </w:rPr>
            </w:pPr>
            <w:r w:rsidRPr="00EE43C6">
              <w:rPr>
                <w:rFonts w:cs="Arial"/>
                <w:b/>
                <w:color w:val="FFFFFF" w:themeColor="background1"/>
                <w:sz w:val="18"/>
                <w:szCs w:val="18"/>
              </w:rPr>
              <w:t>Time</w:t>
            </w:r>
          </w:p>
        </w:tc>
        <w:tc>
          <w:tcPr>
            <w:tcW w:w="1812" w:type="dxa"/>
            <w:shd w:val="clear" w:color="auto" w:fill="4F81BD"/>
            <w:vAlign w:val="center"/>
          </w:tcPr>
          <w:p w14:paraId="2312F4CE" w14:textId="29B95DF2" w:rsidR="009B6DBD" w:rsidRPr="00EE43C6" w:rsidRDefault="009B6DBD" w:rsidP="00B625EB">
            <w:pPr>
              <w:spacing w:before="0" w:after="0" w:line="240" w:lineRule="auto"/>
              <w:jc w:val="left"/>
              <w:rPr>
                <w:rFonts w:cs="Arial"/>
                <w:b/>
                <w:color w:val="FFFFFF" w:themeColor="background1"/>
                <w:sz w:val="18"/>
                <w:szCs w:val="18"/>
              </w:rPr>
            </w:pPr>
            <w:r w:rsidRPr="00EE43C6">
              <w:rPr>
                <w:rFonts w:cs="Arial"/>
                <w:b/>
                <w:color w:val="FFFFFF" w:themeColor="background1"/>
                <w:sz w:val="18"/>
                <w:szCs w:val="18"/>
              </w:rPr>
              <w:t>Ton</w:t>
            </w:r>
            <w:r w:rsidR="008C4B29" w:rsidRPr="00EE43C6">
              <w:rPr>
                <w:rFonts w:cs="Arial"/>
                <w:b/>
                <w:color w:val="FFFFFF" w:themeColor="background1"/>
                <w:sz w:val="18"/>
                <w:szCs w:val="18"/>
              </w:rPr>
              <w:t>ne</w:t>
            </w:r>
          </w:p>
        </w:tc>
      </w:tr>
      <w:tr w:rsidR="009B6DBD" w:rsidRPr="00EE43C6" w14:paraId="1A656B11" w14:textId="77777777" w:rsidTr="00B625EB">
        <w:trPr>
          <w:trHeight w:val="284"/>
          <w:jc w:val="center"/>
        </w:trPr>
        <w:tc>
          <w:tcPr>
            <w:tcW w:w="2122" w:type="dxa"/>
            <w:vAlign w:val="center"/>
          </w:tcPr>
          <w:p w14:paraId="07255B26"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Excavation Period</w:t>
            </w:r>
          </w:p>
        </w:tc>
        <w:tc>
          <w:tcPr>
            <w:tcW w:w="1502" w:type="dxa"/>
            <w:vAlign w:val="center"/>
          </w:tcPr>
          <w:p w14:paraId="3F2682D1" w14:textId="78B519E9" w:rsidR="009B6DBD" w:rsidRPr="00EE43C6" w:rsidRDefault="009B6DBD" w:rsidP="00B625EB">
            <w:pPr>
              <w:spacing w:before="0" w:after="0" w:line="240" w:lineRule="auto"/>
              <w:jc w:val="left"/>
              <w:rPr>
                <w:rFonts w:cs="Arial"/>
                <w:sz w:val="18"/>
                <w:szCs w:val="18"/>
              </w:rPr>
            </w:pPr>
            <w:r w:rsidRPr="00EE43C6">
              <w:rPr>
                <w:rFonts w:cs="Arial"/>
                <w:sz w:val="18"/>
                <w:szCs w:val="18"/>
              </w:rPr>
              <w:t>1</w:t>
            </w:r>
            <w:r w:rsidR="009062F1" w:rsidRPr="00EE43C6">
              <w:rPr>
                <w:rFonts w:cs="Arial"/>
                <w:sz w:val="18"/>
                <w:szCs w:val="18"/>
              </w:rPr>
              <w:t>2</w:t>
            </w:r>
          </w:p>
        </w:tc>
        <w:tc>
          <w:tcPr>
            <w:tcW w:w="1812" w:type="dxa"/>
            <w:vAlign w:val="center"/>
          </w:tcPr>
          <w:p w14:paraId="437566BD"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months</w:t>
            </w:r>
          </w:p>
        </w:tc>
        <w:tc>
          <w:tcPr>
            <w:tcW w:w="1812" w:type="dxa"/>
            <w:vAlign w:val="center"/>
          </w:tcPr>
          <w:p w14:paraId="09F34033"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Annually</w:t>
            </w:r>
          </w:p>
        </w:tc>
        <w:tc>
          <w:tcPr>
            <w:tcW w:w="1812" w:type="dxa"/>
            <w:vAlign w:val="center"/>
          </w:tcPr>
          <w:p w14:paraId="53F28858" w14:textId="600CBF7B" w:rsidR="009B6DBD" w:rsidRPr="00EE43C6" w:rsidRDefault="00ED1351" w:rsidP="00B625EB">
            <w:pPr>
              <w:spacing w:before="0" w:after="0" w:line="240" w:lineRule="auto"/>
              <w:jc w:val="left"/>
              <w:rPr>
                <w:rFonts w:cs="Arial"/>
                <w:sz w:val="18"/>
                <w:szCs w:val="18"/>
              </w:rPr>
            </w:pPr>
            <w:r w:rsidRPr="00EE43C6">
              <w:rPr>
                <w:rFonts w:cs="Arial"/>
                <w:sz w:val="18"/>
                <w:szCs w:val="18"/>
              </w:rPr>
              <w:t>400</w:t>
            </w:r>
          </w:p>
        </w:tc>
      </w:tr>
      <w:tr w:rsidR="009B6DBD" w:rsidRPr="00EE43C6" w14:paraId="7B75A76D" w14:textId="77777777" w:rsidTr="00B625EB">
        <w:trPr>
          <w:trHeight w:val="284"/>
          <w:jc w:val="center"/>
        </w:trPr>
        <w:tc>
          <w:tcPr>
            <w:tcW w:w="2122" w:type="dxa"/>
            <w:vAlign w:val="center"/>
          </w:tcPr>
          <w:p w14:paraId="3FC92F83"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Monthly</w:t>
            </w:r>
          </w:p>
        </w:tc>
        <w:tc>
          <w:tcPr>
            <w:tcW w:w="1502" w:type="dxa"/>
            <w:vAlign w:val="center"/>
          </w:tcPr>
          <w:p w14:paraId="2430813E"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30</w:t>
            </w:r>
          </w:p>
        </w:tc>
        <w:tc>
          <w:tcPr>
            <w:tcW w:w="1812" w:type="dxa"/>
            <w:vAlign w:val="center"/>
          </w:tcPr>
          <w:p w14:paraId="73DAFA64"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days</w:t>
            </w:r>
          </w:p>
        </w:tc>
        <w:tc>
          <w:tcPr>
            <w:tcW w:w="1812" w:type="dxa"/>
            <w:vAlign w:val="center"/>
          </w:tcPr>
          <w:p w14:paraId="32C4CA7C"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Monthly</w:t>
            </w:r>
          </w:p>
        </w:tc>
        <w:tc>
          <w:tcPr>
            <w:tcW w:w="1812" w:type="dxa"/>
            <w:vAlign w:val="center"/>
          </w:tcPr>
          <w:p w14:paraId="4298D023" w14:textId="74F118FC" w:rsidR="009B6DBD" w:rsidRPr="00EE43C6" w:rsidRDefault="00ED1351" w:rsidP="00B625EB">
            <w:pPr>
              <w:spacing w:before="0" w:after="0" w:line="240" w:lineRule="auto"/>
              <w:jc w:val="left"/>
              <w:rPr>
                <w:rFonts w:cs="Arial"/>
                <w:sz w:val="18"/>
                <w:szCs w:val="18"/>
              </w:rPr>
            </w:pPr>
            <w:r w:rsidRPr="00EE43C6">
              <w:rPr>
                <w:rFonts w:cs="Arial"/>
                <w:sz w:val="18"/>
                <w:szCs w:val="18"/>
              </w:rPr>
              <w:t>33.33</w:t>
            </w:r>
          </w:p>
        </w:tc>
      </w:tr>
      <w:tr w:rsidR="009B6DBD" w:rsidRPr="00EE43C6" w14:paraId="60BFC371" w14:textId="77777777" w:rsidTr="00B625EB">
        <w:trPr>
          <w:trHeight w:val="284"/>
          <w:jc w:val="center"/>
        </w:trPr>
        <w:tc>
          <w:tcPr>
            <w:tcW w:w="2122" w:type="dxa"/>
            <w:vAlign w:val="center"/>
          </w:tcPr>
          <w:p w14:paraId="6BA50332"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Daily</w:t>
            </w:r>
          </w:p>
        </w:tc>
        <w:tc>
          <w:tcPr>
            <w:tcW w:w="1502" w:type="dxa"/>
            <w:vAlign w:val="center"/>
          </w:tcPr>
          <w:p w14:paraId="34788615"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8</w:t>
            </w:r>
          </w:p>
        </w:tc>
        <w:tc>
          <w:tcPr>
            <w:tcW w:w="1812" w:type="dxa"/>
            <w:vAlign w:val="center"/>
          </w:tcPr>
          <w:p w14:paraId="0EBCA348"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hours</w:t>
            </w:r>
          </w:p>
        </w:tc>
        <w:tc>
          <w:tcPr>
            <w:tcW w:w="1812" w:type="dxa"/>
            <w:vAlign w:val="center"/>
          </w:tcPr>
          <w:p w14:paraId="75D0B7DA"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Daily</w:t>
            </w:r>
          </w:p>
        </w:tc>
        <w:tc>
          <w:tcPr>
            <w:tcW w:w="1812" w:type="dxa"/>
            <w:vAlign w:val="center"/>
          </w:tcPr>
          <w:p w14:paraId="632A16F6" w14:textId="115B145D" w:rsidR="009B6DBD" w:rsidRPr="00EE43C6" w:rsidRDefault="00312537" w:rsidP="00B625EB">
            <w:pPr>
              <w:spacing w:before="0" w:after="0" w:line="240" w:lineRule="auto"/>
              <w:jc w:val="left"/>
              <w:rPr>
                <w:rFonts w:cs="Arial"/>
                <w:sz w:val="18"/>
                <w:szCs w:val="18"/>
              </w:rPr>
            </w:pPr>
            <w:r w:rsidRPr="00EE43C6">
              <w:rPr>
                <w:rFonts w:cs="Arial"/>
                <w:sz w:val="18"/>
                <w:szCs w:val="18"/>
              </w:rPr>
              <w:t>1.11</w:t>
            </w:r>
          </w:p>
        </w:tc>
      </w:tr>
      <w:tr w:rsidR="009B6DBD" w:rsidRPr="00EE43C6" w14:paraId="1BB667C5" w14:textId="77777777" w:rsidTr="00B625EB">
        <w:trPr>
          <w:trHeight w:val="284"/>
          <w:jc w:val="center"/>
        </w:trPr>
        <w:tc>
          <w:tcPr>
            <w:tcW w:w="2122" w:type="dxa"/>
            <w:tcBorders>
              <w:bottom w:val="single" w:sz="4" w:space="0" w:color="auto"/>
            </w:tcBorders>
            <w:vAlign w:val="center"/>
          </w:tcPr>
          <w:p w14:paraId="37B9AB5B"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Shift</w:t>
            </w:r>
          </w:p>
        </w:tc>
        <w:tc>
          <w:tcPr>
            <w:tcW w:w="1502" w:type="dxa"/>
            <w:tcBorders>
              <w:bottom w:val="single" w:sz="4" w:space="0" w:color="auto"/>
            </w:tcBorders>
            <w:vAlign w:val="center"/>
          </w:tcPr>
          <w:p w14:paraId="68EF8BB6"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1</w:t>
            </w:r>
          </w:p>
        </w:tc>
        <w:tc>
          <w:tcPr>
            <w:tcW w:w="1812" w:type="dxa"/>
            <w:tcBorders>
              <w:bottom w:val="single" w:sz="4" w:space="0" w:color="auto"/>
            </w:tcBorders>
            <w:vAlign w:val="center"/>
          </w:tcPr>
          <w:p w14:paraId="48CFB429" w14:textId="77777777" w:rsidR="009B6DBD" w:rsidRPr="00EE43C6" w:rsidRDefault="009B6DBD" w:rsidP="00B625EB">
            <w:pPr>
              <w:spacing w:before="0" w:after="0" w:line="240" w:lineRule="auto"/>
              <w:jc w:val="left"/>
              <w:rPr>
                <w:rFonts w:cs="Arial"/>
                <w:sz w:val="18"/>
                <w:szCs w:val="18"/>
              </w:rPr>
            </w:pPr>
          </w:p>
        </w:tc>
        <w:tc>
          <w:tcPr>
            <w:tcW w:w="1812" w:type="dxa"/>
            <w:tcBorders>
              <w:bottom w:val="single" w:sz="4" w:space="0" w:color="auto"/>
            </w:tcBorders>
            <w:vAlign w:val="center"/>
          </w:tcPr>
          <w:p w14:paraId="633F6A13"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Hourly</w:t>
            </w:r>
          </w:p>
        </w:tc>
        <w:tc>
          <w:tcPr>
            <w:tcW w:w="1812" w:type="dxa"/>
            <w:tcBorders>
              <w:bottom w:val="single" w:sz="4" w:space="0" w:color="auto"/>
            </w:tcBorders>
            <w:vAlign w:val="center"/>
          </w:tcPr>
          <w:p w14:paraId="12D54B4C" w14:textId="5E8FBC48" w:rsidR="009B6DBD" w:rsidRPr="00EE43C6" w:rsidRDefault="00312537" w:rsidP="00B625EB">
            <w:pPr>
              <w:spacing w:before="0" w:after="0" w:line="240" w:lineRule="auto"/>
              <w:jc w:val="left"/>
              <w:rPr>
                <w:rFonts w:cs="Arial"/>
                <w:sz w:val="18"/>
                <w:szCs w:val="18"/>
              </w:rPr>
            </w:pPr>
            <w:r w:rsidRPr="00EE43C6">
              <w:rPr>
                <w:rFonts w:cs="Arial"/>
                <w:sz w:val="18"/>
                <w:szCs w:val="18"/>
              </w:rPr>
              <w:t>0.139</w:t>
            </w:r>
          </w:p>
        </w:tc>
      </w:tr>
      <w:tr w:rsidR="009B6DBD" w:rsidRPr="00EE43C6" w14:paraId="06E00059" w14:textId="77777777" w:rsidTr="00B625EB">
        <w:trPr>
          <w:trHeight w:val="284"/>
          <w:jc w:val="center"/>
        </w:trPr>
        <w:tc>
          <w:tcPr>
            <w:tcW w:w="9060" w:type="dxa"/>
            <w:gridSpan w:val="5"/>
            <w:shd w:val="clear" w:color="auto" w:fill="4F81BD"/>
            <w:vAlign w:val="center"/>
          </w:tcPr>
          <w:p w14:paraId="3FB7BD25" w14:textId="79F6980C" w:rsidR="009B6DBD" w:rsidRPr="00EE43C6" w:rsidRDefault="009B3D02" w:rsidP="00854BE8">
            <w:pPr>
              <w:pStyle w:val="ListParagraph"/>
              <w:numPr>
                <w:ilvl w:val="0"/>
                <w:numId w:val="32"/>
              </w:numPr>
              <w:spacing w:before="0" w:after="0" w:line="240" w:lineRule="auto"/>
              <w:contextualSpacing w:val="0"/>
              <w:jc w:val="left"/>
              <w:rPr>
                <w:b/>
                <w:bCs/>
                <w:noProof w:val="0"/>
                <w:color w:val="FFFFFF" w:themeColor="background1"/>
                <w:sz w:val="18"/>
                <w:szCs w:val="18"/>
              </w:rPr>
            </w:pPr>
            <w:r w:rsidRPr="00EE43C6">
              <w:rPr>
                <w:b/>
                <w:bCs/>
                <w:noProof w:val="0"/>
                <w:color w:val="FFFFFF" w:themeColor="background1"/>
                <w:sz w:val="18"/>
                <w:szCs w:val="18"/>
              </w:rPr>
              <w:t>Removal of Silica Sand</w:t>
            </w:r>
          </w:p>
        </w:tc>
      </w:tr>
      <w:tr w:rsidR="009B6DBD" w:rsidRPr="00EE43C6" w14:paraId="16D9FBBF" w14:textId="77777777" w:rsidTr="00B625EB">
        <w:trPr>
          <w:trHeight w:val="284"/>
          <w:jc w:val="center"/>
        </w:trPr>
        <w:tc>
          <w:tcPr>
            <w:tcW w:w="9060" w:type="dxa"/>
            <w:gridSpan w:val="5"/>
            <w:vAlign w:val="center"/>
          </w:tcPr>
          <w:p w14:paraId="5A7A09E2" w14:textId="6076D23F" w:rsidR="009B6DBD" w:rsidRPr="00EE43C6" w:rsidRDefault="009B6DBD" w:rsidP="00B625EB">
            <w:pPr>
              <w:spacing w:before="0" w:after="0" w:line="240" w:lineRule="auto"/>
              <w:jc w:val="left"/>
              <w:rPr>
                <w:rFonts w:cs="Arial"/>
                <w:sz w:val="18"/>
                <w:szCs w:val="18"/>
              </w:rPr>
            </w:pPr>
            <w:r w:rsidRPr="00EE43C6">
              <w:rPr>
                <w:rFonts w:cs="Arial"/>
                <w:sz w:val="18"/>
                <w:szCs w:val="18"/>
              </w:rPr>
              <w:t>Generation amount (ton</w:t>
            </w:r>
            <w:r w:rsidR="00EA7FB8" w:rsidRPr="00EE43C6">
              <w:rPr>
                <w:rFonts w:cs="Arial"/>
                <w:sz w:val="18"/>
                <w:szCs w:val="18"/>
              </w:rPr>
              <w:t>ne</w:t>
            </w:r>
            <w:r w:rsidRPr="00EE43C6">
              <w:rPr>
                <w:rFonts w:cs="Arial"/>
                <w:sz w:val="18"/>
                <w:szCs w:val="18"/>
              </w:rPr>
              <w:t>/hour) x Emission factor (kg/ton</w:t>
            </w:r>
            <w:r w:rsidR="00D72DFF" w:rsidRPr="00EE43C6">
              <w:rPr>
                <w:rFonts w:cs="Arial"/>
                <w:sz w:val="18"/>
                <w:szCs w:val="18"/>
              </w:rPr>
              <w:t>ne</w:t>
            </w:r>
            <w:r w:rsidRPr="00EE43C6">
              <w:rPr>
                <w:rFonts w:cs="Arial"/>
                <w:sz w:val="18"/>
                <w:szCs w:val="18"/>
              </w:rPr>
              <w:t>)</w:t>
            </w:r>
          </w:p>
        </w:tc>
      </w:tr>
      <w:tr w:rsidR="009B6DBD" w:rsidRPr="00EE43C6" w14:paraId="27E97111" w14:textId="77777777" w:rsidTr="00B625EB">
        <w:trPr>
          <w:trHeight w:val="284"/>
          <w:jc w:val="center"/>
        </w:trPr>
        <w:tc>
          <w:tcPr>
            <w:tcW w:w="3624" w:type="dxa"/>
            <w:gridSpan w:val="2"/>
            <w:vAlign w:val="center"/>
          </w:tcPr>
          <w:p w14:paraId="439B7D4B"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1.a Uncontrolled</w:t>
            </w:r>
          </w:p>
        </w:tc>
        <w:tc>
          <w:tcPr>
            <w:tcW w:w="5436" w:type="dxa"/>
            <w:gridSpan w:val="3"/>
            <w:vAlign w:val="center"/>
          </w:tcPr>
          <w:p w14:paraId="3F2274D9" w14:textId="049E0CD7" w:rsidR="009B6DBD" w:rsidRPr="00EE43C6" w:rsidRDefault="00422832" w:rsidP="00B625EB">
            <w:pPr>
              <w:spacing w:before="0" w:after="0" w:line="240" w:lineRule="auto"/>
              <w:jc w:val="left"/>
              <w:rPr>
                <w:rFonts w:cs="Arial"/>
                <w:sz w:val="18"/>
                <w:szCs w:val="18"/>
              </w:rPr>
            </w:pPr>
            <w:r w:rsidRPr="00EE43C6">
              <w:rPr>
                <w:rFonts w:cs="Arial"/>
                <w:sz w:val="18"/>
                <w:szCs w:val="18"/>
              </w:rPr>
              <w:t>0.139</w:t>
            </w:r>
            <w:r w:rsidR="009B6DBD" w:rsidRPr="00EE43C6">
              <w:rPr>
                <w:rFonts w:cs="Arial"/>
                <w:sz w:val="18"/>
                <w:szCs w:val="18"/>
              </w:rPr>
              <w:t xml:space="preserve"> ton</w:t>
            </w:r>
            <w:r w:rsidR="00DB18E6">
              <w:rPr>
                <w:rFonts w:cs="Arial"/>
                <w:sz w:val="18"/>
                <w:szCs w:val="18"/>
              </w:rPr>
              <w:t>ne</w:t>
            </w:r>
            <w:r w:rsidR="009B6DBD" w:rsidRPr="00EE43C6">
              <w:rPr>
                <w:rFonts w:cs="Arial"/>
                <w:sz w:val="18"/>
                <w:szCs w:val="18"/>
              </w:rPr>
              <w:t xml:space="preserve">/hour x 0.025 kg/tonne = </w:t>
            </w:r>
            <w:r w:rsidRPr="00EE43C6">
              <w:rPr>
                <w:rFonts w:cs="Arial"/>
                <w:sz w:val="18"/>
                <w:szCs w:val="18"/>
              </w:rPr>
              <w:t>0.00034</w:t>
            </w:r>
            <w:r w:rsidR="009B6DBD" w:rsidRPr="00EE43C6">
              <w:rPr>
                <w:rFonts w:cs="Arial"/>
                <w:sz w:val="18"/>
                <w:szCs w:val="18"/>
              </w:rPr>
              <w:t xml:space="preserve"> kg/hour</w:t>
            </w:r>
          </w:p>
        </w:tc>
      </w:tr>
      <w:tr w:rsidR="009B6DBD" w:rsidRPr="00EE43C6" w14:paraId="4889894F" w14:textId="77777777" w:rsidTr="00B625EB">
        <w:trPr>
          <w:trHeight w:val="284"/>
          <w:jc w:val="center"/>
        </w:trPr>
        <w:tc>
          <w:tcPr>
            <w:tcW w:w="3624" w:type="dxa"/>
            <w:gridSpan w:val="2"/>
            <w:tcBorders>
              <w:bottom w:val="single" w:sz="4" w:space="0" w:color="auto"/>
            </w:tcBorders>
            <w:vAlign w:val="center"/>
          </w:tcPr>
          <w:p w14:paraId="41A3508C"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1.b Controlled</w:t>
            </w:r>
          </w:p>
        </w:tc>
        <w:tc>
          <w:tcPr>
            <w:tcW w:w="5436" w:type="dxa"/>
            <w:gridSpan w:val="3"/>
            <w:tcBorders>
              <w:bottom w:val="single" w:sz="4" w:space="0" w:color="auto"/>
            </w:tcBorders>
            <w:vAlign w:val="center"/>
          </w:tcPr>
          <w:p w14:paraId="3155ED9E" w14:textId="3E5F37FF" w:rsidR="009B6DBD" w:rsidRPr="00EE43C6" w:rsidRDefault="001F3D9F" w:rsidP="00B625EB">
            <w:pPr>
              <w:spacing w:before="0" w:after="0" w:line="240" w:lineRule="auto"/>
              <w:jc w:val="left"/>
              <w:rPr>
                <w:rFonts w:cs="Arial"/>
                <w:sz w:val="18"/>
                <w:szCs w:val="18"/>
              </w:rPr>
            </w:pPr>
            <w:r w:rsidRPr="00EE43C6">
              <w:rPr>
                <w:rFonts w:cs="Arial"/>
                <w:sz w:val="18"/>
                <w:szCs w:val="18"/>
              </w:rPr>
              <w:t>0.139</w:t>
            </w:r>
            <w:r w:rsidR="009B6DBD" w:rsidRPr="00EE43C6">
              <w:rPr>
                <w:rFonts w:cs="Arial"/>
                <w:sz w:val="18"/>
                <w:szCs w:val="18"/>
              </w:rPr>
              <w:t xml:space="preserve"> ton</w:t>
            </w:r>
            <w:r w:rsidR="00DB18E6">
              <w:rPr>
                <w:rFonts w:cs="Arial"/>
                <w:sz w:val="18"/>
                <w:szCs w:val="18"/>
              </w:rPr>
              <w:t>ne</w:t>
            </w:r>
            <w:r w:rsidR="009B6DBD" w:rsidRPr="00EE43C6">
              <w:rPr>
                <w:rFonts w:cs="Arial"/>
                <w:sz w:val="18"/>
                <w:szCs w:val="18"/>
              </w:rPr>
              <w:t xml:space="preserve">/hour x 0.0125 kg/tonne = </w:t>
            </w:r>
            <w:r w:rsidRPr="00EE43C6">
              <w:rPr>
                <w:rFonts w:cs="Arial"/>
                <w:sz w:val="18"/>
                <w:szCs w:val="18"/>
              </w:rPr>
              <w:t>0.000017</w:t>
            </w:r>
            <w:r w:rsidR="009B6DBD" w:rsidRPr="00EE43C6">
              <w:rPr>
                <w:rFonts w:cs="Arial"/>
                <w:sz w:val="18"/>
                <w:szCs w:val="18"/>
              </w:rPr>
              <w:t xml:space="preserve"> kg/hour</w:t>
            </w:r>
          </w:p>
        </w:tc>
      </w:tr>
      <w:tr w:rsidR="009B6DBD" w:rsidRPr="00EE43C6" w14:paraId="5388D339" w14:textId="77777777" w:rsidTr="00B625EB">
        <w:trPr>
          <w:trHeight w:val="284"/>
          <w:jc w:val="center"/>
        </w:trPr>
        <w:tc>
          <w:tcPr>
            <w:tcW w:w="9060" w:type="dxa"/>
            <w:gridSpan w:val="5"/>
            <w:shd w:val="clear" w:color="auto" w:fill="4F81BD"/>
            <w:vAlign w:val="center"/>
          </w:tcPr>
          <w:p w14:paraId="5F657D67" w14:textId="154E79FF" w:rsidR="009B6DBD" w:rsidRPr="00EE43C6" w:rsidRDefault="009B6DBD" w:rsidP="00854BE8">
            <w:pPr>
              <w:pStyle w:val="ListParagraph"/>
              <w:numPr>
                <w:ilvl w:val="0"/>
                <w:numId w:val="32"/>
              </w:numPr>
              <w:spacing w:before="0" w:after="0" w:line="240" w:lineRule="auto"/>
              <w:contextualSpacing w:val="0"/>
              <w:jc w:val="left"/>
              <w:rPr>
                <w:b/>
                <w:bCs/>
                <w:noProof w:val="0"/>
                <w:color w:val="FFFFFF" w:themeColor="background1"/>
                <w:sz w:val="18"/>
                <w:szCs w:val="18"/>
              </w:rPr>
            </w:pPr>
            <w:r w:rsidRPr="00EE43C6">
              <w:rPr>
                <w:b/>
                <w:bCs/>
                <w:noProof w:val="0"/>
                <w:color w:val="FFFFFF" w:themeColor="background1"/>
                <w:sz w:val="18"/>
                <w:szCs w:val="18"/>
              </w:rPr>
              <w:t xml:space="preserve">Loading of </w:t>
            </w:r>
            <w:r w:rsidR="003144BC" w:rsidRPr="00EE43C6">
              <w:rPr>
                <w:b/>
                <w:bCs/>
                <w:noProof w:val="0"/>
                <w:color w:val="FFFFFF" w:themeColor="background1"/>
                <w:sz w:val="18"/>
                <w:szCs w:val="18"/>
              </w:rPr>
              <w:t>Silica Sand</w:t>
            </w:r>
          </w:p>
        </w:tc>
      </w:tr>
      <w:tr w:rsidR="009B6DBD" w:rsidRPr="00EE43C6" w14:paraId="2A073C96" w14:textId="77777777" w:rsidTr="00B625EB">
        <w:trPr>
          <w:trHeight w:val="284"/>
          <w:jc w:val="center"/>
        </w:trPr>
        <w:tc>
          <w:tcPr>
            <w:tcW w:w="9060" w:type="dxa"/>
            <w:gridSpan w:val="5"/>
            <w:vAlign w:val="center"/>
          </w:tcPr>
          <w:p w14:paraId="431C26BF" w14:textId="6CEC280E" w:rsidR="009B6DBD" w:rsidRPr="00EE43C6" w:rsidRDefault="009B6DBD" w:rsidP="00B625EB">
            <w:pPr>
              <w:spacing w:before="0" w:after="0" w:line="240" w:lineRule="auto"/>
              <w:jc w:val="left"/>
              <w:rPr>
                <w:rFonts w:cs="Arial"/>
                <w:sz w:val="18"/>
                <w:szCs w:val="18"/>
              </w:rPr>
            </w:pPr>
            <w:r w:rsidRPr="00EE43C6">
              <w:rPr>
                <w:rFonts w:cs="Arial"/>
                <w:sz w:val="18"/>
                <w:szCs w:val="18"/>
              </w:rPr>
              <w:t>Generation amount (ton</w:t>
            </w:r>
            <w:r w:rsidR="00EA7FB8" w:rsidRPr="00EE43C6">
              <w:rPr>
                <w:rFonts w:cs="Arial"/>
                <w:sz w:val="18"/>
                <w:szCs w:val="18"/>
              </w:rPr>
              <w:t>ne</w:t>
            </w:r>
            <w:r w:rsidRPr="00EE43C6">
              <w:rPr>
                <w:rFonts w:cs="Arial"/>
                <w:sz w:val="18"/>
                <w:szCs w:val="18"/>
              </w:rPr>
              <w:t>/hour) x Emission factor (kg/ton</w:t>
            </w:r>
            <w:r w:rsidR="00D72DFF" w:rsidRPr="00EE43C6">
              <w:rPr>
                <w:rFonts w:cs="Arial"/>
                <w:sz w:val="18"/>
                <w:szCs w:val="18"/>
              </w:rPr>
              <w:t>ne</w:t>
            </w:r>
            <w:r w:rsidRPr="00EE43C6">
              <w:rPr>
                <w:rFonts w:cs="Arial"/>
                <w:sz w:val="18"/>
                <w:szCs w:val="18"/>
              </w:rPr>
              <w:t>)</w:t>
            </w:r>
          </w:p>
        </w:tc>
      </w:tr>
      <w:tr w:rsidR="009B6DBD" w:rsidRPr="00EE43C6" w14:paraId="70707303" w14:textId="77777777" w:rsidTr="00B625EB">
        <w:trPr>
          <w:trHeight w:val="284"/>
          <w:jc w:val="center"/>
        </w:trPr>
        <w:tc>
          <w:tcPr>
            <w:tcW w:w="3624" w:type="dxa"/>
            <w:gridSpan w:val="2"/>
            <w:vAlign w:val="center"/>
          </w:tcPr>
          <w:p w14:paraId="72AC201B"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2.a Uncontrolled</w:t>
            </w:r>
          </w:p>
        </w:tc>
        <w:tc>
          <w:tcPr>
            <w:tcW w:w="5436" w:type="dxa"/>
            <w:gridSpan w:val="3"/>
            <w:vAlign w:val="center"/>
          </w:tcPr>
          <w:p w14:paraId="50588EF0" w14:textId="6E6932A8" w:rsidR="009B6DBD" w:rsidRPr="00EE43C6" w:rsidRDefault="00A46405" w:rsidP="00B625EB">
            <w:pPr>
              <w:spacing w:before="0" w:after="0" w:line="240" w:lineRule="auto"/>
              <w:jc w:val="left"/>
              <w:rPr>
                <w:rFonts w:cs="Arial"/>
                <w:sz w:val="18"/>
                <w:szCs w:val="18"/>
              </w:rPr>
            </w:pPr>
            <w:r w:rsidRPr="00EE43C6">
              <w:rPr>
                <w:rFonts w:cs="Arial"/>
                <w:sz w:val="18"/>
                <w:szCs w:val="18"/>
              </w:rPr>
              <w:t>0.139</w:t>
            </w:r>
            <w:r w:rsidR="009B6DBD" w:rsidRPr="00EE43C6">
              <w:rPr>
                <w:rFonts w:cs="Arial"/>
                <w:sz w:val="18"/>
                <w:szCs w:val="18"/>
              </w:rPr>
              <w:t xml:space="preserve"> ton</w:t>
            </w:r>
            <w:r w:rsidR="001932B8" w:rsidRPr="00EE43C6">
              <w:rPr>
                <w:rFonts w:cs="Arial"/>
                <w:sz w:val="18"/>
                <w:szCs w:val="18"/>
              </w:rPr>
              <w:t>ne</w:t>
            </w:r>
            <w:r w:rsidR="009B6DBD" w:rsidRPr="00EE43C6">
              <w:rPr>
                <w:rFonts w:cs="Arial"/>
                <w:sz w:val="18"/>
                <w:szCs w:val="18"/>
              </w:rPr>
              <w:t xml:space="preserve">/hour x 0.010 kg/tonne = </w:t>
            </w:r>
            <w:r w:rsidRPr="00EE43C6">
              <w:rPr>
                <w:rFonts w:cs="Arial"/>
                <w:sz w:val="18"/>
                <w:szCs w:val="18"/>
              </w:rPr>
              <w:t>0.00013</w:t>
            </w:r>
            <w:r w:rsidR="009B6DBD" w:rsidRPr="00EE43C6">
              <w:rPr>
                <w:rFonts w:cs="Arial"/>
                <w:sz w:val="18"/>
                <w:szCs w:val="18"/>
              </w:rPr>
              <w:t xml:space="preserve"> kg/hour</w:t>
            </w:r>
          </w:p>
        </w:tc>
      </w:tr>
      <w:tr w:rsidR="009B6DBD" w:rsidRPr="00EE43C6" w14:paraId="275996EC" w14:textId="77777777" w:rsidTr="00B625EB">
        <w:trPr>
          <w:trHeight w:val="284"/>
          <w:jc w:val="center"/>
        </w:trPr>
        <w:tc>
          <w:tcPr>
            <w:tcW w:w="3624" w:type="dxa"/>
            <w:gridSpan w:val="2"/>
            <w:tcBorders>
              <w:bottom w:val="single" w:sz="4" w:space="0" w:color="auto"/>
            </w:tcBorders>
            <w:vAlign w:val="center"/>
          </w:tcPr>
          <w:p w14:paraId="24F93486"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2.b Controlled</w:t>
            </w:r>
          </w:p>
        </w:tc>
        <w:tc>
          <w:tcPr>
            <w:tcW w:w="5436" w:type="dxa"/>
            <w:gridSpan w:val="3"/>
            <w:tcBorders>
              <w:bottom w:val="single" w:sz="4" w:space="0" w:color="auto"/>
            </w:tcBorders>
            <w:vAlign w:val="center"/>
          </w:tcPr>
          <w:p w14:paraId="0760CB08" w14:textId="65F40BB3" w:rsidR="009B6DBD" w:rsidRPr="00EE43C6" w:rsidRDefault="00F24F01" w:rsidP="00B625EB">
            <w:pPr>
              <w:spacing w:before="0" w:after="0" w:line="240" w:lineRule="auto"/>
              <w:jc w:val="left"/>
              <w:rPr>
                <w:rFonts w:cs="Arial"/>
                <w:sz w:val="18"/>
                <w:szCs w:val="18"/>
              </w:rPr>
            </w:pPr>
            <w:r w:rsidRPr="00EE43C6">
              <w:rPr>
                <w:rFonts w:cs="Arial"/>
                <w:sz w:val="18"/>
                <w:szCs w:val="18"/>
              </w:rPr>
              <w:t>0.139</w:t>
            </w:r>
            <w:r w:rsidR="009B6DBD" w:rsidRPr="00EE43C6">
              <w:rPr>
                <w:rFonts w:cs="Arial"/>
                <w:sz w:val="18"/>
                <w:szCs w:val="18"/>
              </w:rPr>
              <w:t xml:space="preserve"> ton</w:t>
            </w:r>
            <w:r w:rsidR="001932B8" w:rsidRPr="00EE43C6">
              <w:rPr>
                <w:rFonts w:cs="Arial"/>
                <w:sz w:val="18"/>
                <w:szCs w:val="18"/>
              </w:rPr>
              <w:t>ne</w:t>
            </w:r>
            <w:r w:rsidR="009B6DBD" w:rsidRPr="00EE43C6">
              <w:rPr>
                <w:rFonts w:cs="Arial"/>
                <w:sz w:val="18"/>
                <w:szCs w:val="18"/>
              </w:rPr>
              <w:t>/hour x 0.005 kg/tonne = 0.</w:t>
            </w:r>
            <w:r w:rsidRPr="00EE43C6">
              <w:rPr>
                <w:rFonts w:cs="Arial"/>
                <w:sz w:val="18"/>
                <w:szCs w:val="18"/>
              </w:rPr>
              <w:t>0006</w:t>
            </w:r>
            <w:r w:rsidR="00A677C1">
              <w:rPr>
                <w:rFonts w:cs="Arial"/>
                <w:sz w:val="18"/>
                <w:szCs w:val="18"/>
              </w:rPr>
              <w:t>9</w:t>
            </w:r>
            <w:r w:rsidRPr="00EE43C6">
              <w:rPr>
                <w:rFonts w:cs="Arial"/>
                <w:sz w:val="18"/>
                <w:szCs w:val="18"/>
              </w:rPr>
              <w:t>5</w:t>
            </w:r>
            <w:r w:rsidR="009B6DBD" w:rsidRPr="00EE43C6">
              <w:rPr>
                <w:rFonts w:cs="Arial"/>
                <w:sz w:val="18"/>
                <w:szCs w:val="18"/>
              </w:rPr>
              <w:t xml:space="preserve"> kg/hour</w:t>
            </w:r>
          </w:p>
        </w:tc>
      </w:tr>
      <w:tr w:rsidR="009B6DBD" w:rsidRPr="00EE43C6" w14:paraId="1558EBED" w14:textId="77777777" w:rsidTr="00B625EB">
        <w:trPr>
          <w:trHeight w:val="284"/>
          <w:jc w:val="center"/>
        </w:trPr>
        <w:tc>
          <w:tcPr>
            <w:tcW w:w="9060" w:type="dxa"/>
            <w:gridSpan w:val="5"/>
            <w:shd w:val="clear" w:color="auto" w:fill="4F81BD"/>
            <w:vAlign w:val="center"/>
          </w:tcPr>
          <w:p w14:paraId="32FFAB3C" w14:textId="2C628333" w:rsidR="009B6DBD" w:rsidRPr="00EE43C6" w:rsidRDefault="0078064A" w:rsidP="00854BE8">
            <w:pPr>
              <w:pStyle w:val="ListParagraph"/>
              <w:numPr>
                <w:ilvl w:val="0"/>
                <w:numId w:val="32"/>
              </w:numPr>
              <w:spacing w:before="0" w:after="0" w:line="240" w:lineRule="auto"/>
              <w:contextualSpacing w:val="0"/>
              <w:jc w:val="left"/>
              <w:rPr>
                <w:b/>
                <w:bCs/>
                <w:noProof w:val="0"/>
                <w:color w:val="FFFFFF" w:themeColor="background1"/>
                <w:sz w:val="18"/>
                <w:szCs w:val="18"/>
              </w:rPr>
            </w:pPr>
            <w:r w:rsidRPr="00EE43C6">
              <w:rPr>
                <w:b/>
                <w:bCs/>
                <w:noProof w:val="0"/>
                <w:color w:val="FFFFFF" w:themeColor="background1"/>
                <w:sz w:val="18"/>
                <w:szCs w:val="18"/>
              </w:rPr>
              <w:t xml:space="preserve">Unloading </w:t>
            </w:r>
            <w:r w:rsidR="009B6DBD" w:rsidRPr="00EE43C6">
              <w:rPr>
                <w:b/>
                <w:bCs/>
                <w:noProof w:val="0"/>
                <w:color w:val="FFFFFF" w:themeColor="background1"/>
                <w:sz w:val="18"/>
                <w:szCs w:val="18"/>
              </w:rPr>
              <w:t xml:space="preserve">of </w:t>
            </w:r>
            <w:r w:rsidRPr="00EE43C6">
              <w:rPr>
                <w:b/>
                <w:bCs/>
                <w:noProof w:val="0"/>
                <w:color w:val="FFFFFF" w:themeColor="background1"/>
                <w:sz w:val="18"/>
                <w:szCs w:val="18"/>
              </w:rPr>
              <w:t>Silica Sand</w:t>
            </w:r>
            <w:r w:rsidR="002B78D9" w:rsidRPr="00EE43C6">
              <w:rPr>
                <w:b/>
                <w:bCs/>
                <w:noProof w:val="0"/>
                <w:color w:val="FFFFFF" w:themeColor="background1"/>
                <w:sz w:val="18"/>
                <w:szCs w:val="18"/>
              </w:rPr>
              <w:t xml:space="preserve"> (</w:t>
            </w:r>
            <w:r w:rsidR="00976384" w:rsidRPr="00EE43C6">
              <w:rPr>
                <w:b/>
                <w:bCs/>
                <w:noProof w:val="0"/>
                <w:color w:val="FFFFFF" w:themeColor="background1"/>
                <w:sz w:val="18"/>
                <w:szCs w:val="18"/>
              </w:rPr>
              <w:t>0.139</w:t>
            </w:r>
            <w:r w:rsidR="002B78D9" w:rsidRPr="00EE43C6">
              <w:rPr>
                <w:b/>
                <w:bCs/>
                <w:noProof w:val="0"/>
                <w:color w:val="FFFFFF" w:themeColor="background1"/>
                <w:sz w:val="18"/>
                <w:szCs w:val="18"/>
              </w:rPr>
              <w:t xml:space="preserve"> ton</w:t>
            </w:r>
            <w:r w:rsidR="003D459F" w:rsidRPr="00EE43C6">
              <w:rPr>
                <w:b/>
                <w:bCs/>
                <w:noProof w:val="0"/>
                <w:color w:val="FFFFFF" w:themeColor="background1"/>
                <w:sz w:val="18"/>
                <w:szCs w:val="18"/>
              </w:rPr>
              <w:t>s</w:t>
            </w:r>
            <w:r w:rsidR="002B78D9" w:rsidRPr="00EE43C6">
              <w:rPr>
                <w:b/>
                <w:bCs/>
                <w:noProof w:val="0"/>
                <w:color w:val="FFFFFF" w:themeColor="background1"/>
                <w:sz w:val="18"/>
                <w:szCs w:val="18"/>
              </w:rPr>
              <w:t>/hour)</w:t>
            </w:r>
          </w:p>
        </w:tc>
      </w:tr>
      <w:tr w:rsidR="009B6DBD" w:rsidRPr="00EE43C6" w14:paraId="600C637D" w14:textId="77777777" w:rsidTr="00B625EB">
        <w:trPr>
          <w:trHeight w:val="284"/>
          <w:jc w:val="center"/>
        </w:trPr>
        <w:tc>
          <w:tcPr>
            <w:tcW w:w="9060" w:type="dxa"/>
            <w:gridSpan w:val="5"/>
            <w:vAlign w:val="center"/>
          </w:tcPr>
          <w:p w14:paraId="0F5F8F62" w14:textId="2775C724" w:rsidR="009B6DBD" w:rsidRPr="00EE43C6" w:rsidRDefault="00B2289B" w:rsidP="00B625EB">
            <w:pPr>
              <w:spacing w:before="0" w:after="0" w:line="240" w:lineRule="auto"/>
              <w:jc w:val="left"/>
              <w:rPr>
                <w:rFonts w:cs="Arial"/>
                <w:sz w:val="18"/>
                <w:szCs w:val="18"/>
              </w:rPr>
            </w:pPr>
            <w:r w:rsidRPr="00EE43C6">
              <w:rPr>
                <w:rFonts w:cs="Arial"/>
                <w:sz w:val="18"/>
                <w:szCs w:val="18"/>
              </w:rPr>
              <w:t>Generation amount (ton</w:t>
            </w:r>
            <w:r w:rsidR="00EA7FB8" w:rsidRPr="00EE43C6">
              <w:rPr>
                <w:rFonts w:cs="Arial"/>
                <w:sz w:val="18"/>
                <w:szCs w:val="18"/>
              </w:rPr>
              <w:t>ne</w:t>
            </w:r>
            <w:r w:rsidRPr="00EE43C6">
              <w:rPr>
                <w:rFonts w:cs="Arial"/>
                <w:sz w:val="18"/>
                <w:szCs w:val="18"/>
              </w:rPr>
              <w:t>/hour) x Emission factor (kg/ton</w:t>
            </w:r>
            <w:r w:rsidR="00D72DFF" w:rsidRPr="00EE43C6">
              <w:rPr>
                <w:rFonts w:cs="Arial"/>
                <w:sz w:val="18"/>
                <w:szCs w:val="18"/>
              </w:rPr>
              <w:t>ne</w:t>
            </w:r>
            <w:r w:rsidRPr="00EE43C6">
              <w:rPr>
                <w:rFonts w:cs="Arial"/>
                <w:sz w:val="18"/>
                <w:szCs w:val="18"/>
              </w:rPr>
              <w:t>)</w:t>
            </w:r>
          </w:p>
        </w:tc>
      </w:tr>
      <w:tr w:rsidR="009B6DBD" w:rsidRPr="00EE43C6" w14:paraId="0A829E4A" w14:textId="77777777" w:rsidTr="00B625EB">
        <w:trPr>
          <w:trHeight w:val="284"/>
          <w:jc w:val="center"/>
        </w:trPr>
        <w:tc>
          <w:tcPr>
            <w:tcW w:w="3624" w:type="dxa"/>
            <w:gridSpan w:val="2"/>
            <w:vAlign w:val="center"/>
          </w:tcPr>
          <w:p w14:paraId="565197C9"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3.a Uncontrolled</w:t>
            </w:r>
          </w:p>
        </w:tc>
        <w:tc>
          <w:tcPr>
            <w:tcW w:w="5436" w:type="dxa"/>
            <w:gridSpan w:val="3"/>
            <w:vAlign w:val="center"/>
          </w:tcPr>
          <w:p w14:paraId="1338F102" w14:textId="642DBE9E" w:rsidR="009B6DBD" w:rsidRPr="00EE43C6" w:rsidRDefault="00A31BB1" w:rsidP="00B625EB">
            <w:pPr>
              <w:spacing w:before="0" w:after="0" w:line="240" w:lineRule="auto"/>
              <w:jc w:val="left"/>
              <w:rPr>
                <w:rFonts w:cs="Arial"/>
                <w:sz w:val="18"/>
                <w:szCs w:val="18"/>
              </w:rPr>
            </w:pPr>
            <w:r w:rsidRPr="00EE43C6">
              <w:rPr>
                <w:rFonts w:cs="Arial"/>
                <w:sz w:val="18"/>
                <w:szCs w:val="18"/>
              </w:rPr>
              <w:t>0.139 ton</w:t>
            </w:r>
            <w:r w:rsidR="001932B8" w:rsidRPr="00EE43C6">
              <w:rPr>
                <w:rFonts w:cs="Arial"/>
                <w:sz w:val="18"/>
                <w:szCs w:val="18"/>
              </w:rPr>
              <w:t>ne</w:t>
            </w:r>
            <w:r w:rsidRPr="00EE43C6">
              <w:rPr>
                <w:rFonts w:cs="Arial"/>
                <w:sz w:val="18"/>
                <w:szCs w:val="18"/>
              </w:rPr>
              <w:t>/hour x 0.010 kg/tonne = 0.00013 kg/hour</w:t>
            </w:r>
          </w:p>
        </w:tc>
      </w:tr>
      <w:tr w:rsidR="009B6DBD" w:rsidRPr="00EE43C6" w14:paraId="4ADE0BD9" w14:textId="77777777" w:rsidTr="00B625EB">
        <w:trPr>
          <w:trHeight w:val="284"/>
          <w:jc w:val="center"/>
        </w:trPr>
        <w:tc>
          <w:tcPr>
            <w:tcW w:w="3624" w:type="dxa"/>
            <w:gridSpan w:val="2"/>
            <w:tcBorders>
              <w:bottom w:val="single" w:sz="4" w:space="0" w:color="auto"/>
            </w:tcBorders>
            <w:vAlign w:val="center"/>
          </w:tcPr>
          <w:p w14:paraId="4FFF3813"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3.b Controlled</w:t>
            </w:r>
          </w:p>
        </w:tc>
        <w:tc>
          <w:tcPr>
            <w:tcW w:w="5436" w:type="dxa"/>
            <w:gridSpan w:val="3"/>
            <w:tcBorders>
              <w:bottom w:val="single" w:sz="4" w:space="0" w:color="auto"/>
            </w:tcBorders>
            <w:vAlign w:val="center"/>
          </w:tcPr>
          <w:p w14:paraId="0D171DC7" w14:textId="5E71B89A" w:rsidR="009B6DBD" w:rsidRPr="00EE43C6" w:rsidRDefault="00C03B2F" w:rsidP="00B625EB">
            <w:pPr>
              <w:spacing w:before="0" w:after="0" w:line="240" w:lineRule="auto"/>
              <w:jc w:val="left"/>
              <w:rPr>
                <w:rFonts w:cs="Arial"/>
                <w:sz w:val="18"/>
                <w:szCs w:val="18"/>
              </w:rPr>
            </w:pPr>
            <w:r w:rsidRPr="00EE43C6">
              <w:rPr>
                <w:rFonts w:cs="Arial"/>
                <w:sz w:val="18"/>
                <w:szCs w:val="18"/>
              </w:rPr>
              <w:t>0.139 ton</w:t>
            </w:r>
            <w:r w:rsidR="001932B8" w:rsidRPr="00EE43C6">
              <w:rPr>
                <w:rFonts w:cs="Arial"/>
                <w:sz w:val="18"/>
                <w:szCs w:val="18"/>
              </w:rPr>
              <w:t>ne</w:t>
            </w:r>
            <w:r w:rsidRPr="00EE43C6">
              <w:rPr>
                <w:rFonts w:cs="Arial"/>
                <w:sz w:val="18"/>
                <w:szCs w:val="18"/>
              </w:rPr>
              <w:t>/hour x 0.005 kg/tonne = 0.</w:t>
            </w:r>
            <w:r w:rsidR="00A677C1" w:rsidRPr="00EE43C6">
              <w:rPr>
                <w:rFonts w:cs="Arial"/>
                <w:sz w:val="18"/>
                <w:szCs w:val="18"/>
              </w:rPr>
              <w:t>000</w:t>
            </w:r>
            <w:r w:rsidR="00A677C1">
              <w:rPr>
                <w:rFonts w:cs="Arial"/>
                <w:sz w:val="18"/>
                <w:szCs w:val="18"/>
              </w:rPr>
              <w:t>695</w:t>
            </w:r>
            <w:r w:rsidR="00A677C1" w:rsidRPr="00EE43C6">
              <w:rPr>
                <w:rFonts w:cs="Arial"/>
                <w:sz w:val="18"/>
                <w:szCs w:val="18"/>
              </w:rPr>
              <w:t xml:space="preserve"> </w:t>
            </w:r>
            <w:r w:rsidRPr="00EE43C6">
              <w:rPr>
                <w:rFonts w:cs="Arial"/>
                <w:sz w:val="18"/>
                <w:szCs w:val="18"/>
              </w:rPr>
              <w:t>kg/hour</w:t>
            </w:r>
          </w:p>
        </w:tc>
      </w:tr>
      <w:tr w:rsidR="009B6DBD" w:rsidRPr="00EE43C6" w14:paraId="205674D1" w14:textId="77777777" w:rsidTr="00B625EB">
        <w:trPr>
          <w:trHeight w:val="284"/>
          <w:jc w:val="center"/>
        </w:trPr>
        <w:tc>
          <w:tcPr>
            <w:tcW w:w="9060" w:type="dxa"/>
            <w:gridSpan w:val="5"/>
            <w:shd w:val="clear" w:color="auto" w:fill="4F81BD"/>
            <w:vAlign w:val="center"/>
          </w:tcPr>
          <w:p w14:paraId="43795248" w14:textId="6E31A6AC" w:rsidR="009B6DBD" w:rsidRPr="00EE43C6" w:rsidRDefault="00546B7A" w:rsidP="00854BE8">
            <w:pPr>
              <w:pStyle w:val="ListParagraph"/>
              <w:numPr>
                <w:ilvl w:val="0"/>
                <w:numId w:val="32"/>
              </w:numPr>
              <w:spacing w:before="0" w:after="0" w:line="240" w:lineRule="auto"/>
              <w:contextualSpacing w:val="0"/>
              <w:jc w:val="left"/>
              <w:rPr>
                <w:b/>
                <w:bCs/>
                <w:noProof w:val="0"/>
                <w:color w:val="FFFFFF" w:themeColor="background1"/>
                <w:sz w:val="18"/>
                <w:szCs w:val="18"/>
              </w:rPr>
            </w:pPr>
            <w:r w:rsidRPr="00EE43C6">
              <w:rPr>
                <w:b/>
                <w:bCs/>
                <w:noProof w:val="0"/>
                <w:color w:val="FFFFFF" w:themeColor="background1"/>
                <w:sz w:val="18"/>
                <w:szCs w:val="18"/>
              </w:rPr>
              <w:t>Tran</w:t>
            </w:r>
            <w:r w:rsidR="004747C7" w:rsidRPr="00EE43C6">
              <w:rPr>
                <w:b/>
                <w:bCs/>
                <w:noProof w:val="0"/>
                <w:color w:val="FFFFFF" w:themeColor="background1"/>
                <w:sz w:val="18"/>
                <w:szCs w:val="18"/>
              </w:rPr>
              <w:t>sportation</w:t>
            </w:r>
            <w:r w:rsidR="009B6DBD" w:rsidRPr="00EE43C6">
              <w:rPr>
                <w:b/>
                <w:bCs/>
                <w:noProof w:val="0"/>
                <w:color w:val="FFFFFF" w:themeColor="background1"/>
                <w:sz w:val="18"/>
                <w:szCs w:val="18"/>
              </w:rPr>
              <w:t xml:space="preserve"> of </w:t>
            </w:r>
            <w:r w:rsidRPr="00EE43C6">
              <w:rPr>
                <w:b/>
                <w:bCs/>
                <w:noProof w:val="0"/>
                <w:color w:val="FFFFFF" w:themeColor="background1"/>
                <w:sz w:val="18"/>
                <w:szCs w:val="18"/>
              </w:rPr>
              <w:t>Silica Sand</w:t>
            </w:r>
          </w:p>
        </w:tc>
      </w:tr>
      <w:tr w:rsidR="009B6DBD" w:rsidRPr="00EE43C6" w14:paraId="482ED124" w14:textId="77777777" w:rsidTr="00B625EB">
        <w:trPr>
          <w:trHeight w:val="284"/>
          <w:jc w:val="center"/>
        </w:trPr>
        <w:tc>
          <w:tcPr>
            <w:tcW w:w="9060" w:type="dxa"/>
            <w:gridSpan w:val="5"/>
            <w:vAlign w:val="center"/>
          </w:tcPr>
          <w:p w14:paraId="2FCC358B" w14:textId="2B672304" w:rsidR="009B6DBD" w:rsidRPr="00EE43C6" w:rsidRDefault="00B2289B" w:rsidP="00B625EB">
            <w:pPr>
              <w:spacing w:before="0" w:after="0" w:line="240" w:lineRule="auto"/>
              <w:jc w:val="left"/>
              <w:rPr>
                <w:rFonts w:cs="Arial"/>
                <w:sz w:val="18"/>
                <w:szCs w:val="18"/>
              </w:rPr>
            </w:pPr>
            <w:r w:rsidRPr="00EE43C6">
              <w:rPr>
                <w:rFonts w:cs="Arial"/>
                <w:sz w:val="18"/>
                <w:szCs w:val="18"/>
              </w:rPr>
              <w:t>Number of trips (trips/day) x Transport Distance (km) x Emission Factor (kg/km) x day/hour</w:t>
            </w:r>
          </w:p>
        </w:tc>
      </w:tr>
      <w:tr w:rsidR="009B6DBD" w:rsidRPr="00EE43C6" w14:paraId="04D2D692" w14:textId="77777777" w:rsidTr="00B625EB">
        <w:trPr>
          <w:trHeight w:val="284"/>
          <w:jc w:val="center"/>
        </w:trPr>
        <w:tc>
          <w:tcPr>
            <w:tcW w:w="3624" w:type="dxa"/>
            <w:gridSpan w:val="2"/>
            <w:vAlign w:val="center"/>
          </w:tcPr>
          <w:p w14:paraId="471A1C08"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4.a Uncontrolled</w:t>
            </w:r>
          </w:p>
        </w:tc>
        <w:tc>
          <w:tcPr>
            <w:tcW w:w="5436" w:type="dxa"/>
            <w:gridSpan w:val="3"/>
            <w:vAlign w:val="center"/>
          </w:tcPr>
          <w:p w14:paraId="4FB24376" w14:textId="6019A9F2" w:rsidR="009B6DBD" w:rsidRPr="00EE43C6" w:rsidRDefault="0076436E" w:rsidP="00B625EB">
            <w:pPr>
              <w:spacing w:before="0" w:after="0" w:line="240" w:lineRule="auto"/>
              <w:jc w:val="left"/>
              <w:rPr>
                <w:rFonts w:cs="Arial"/>
                <w:sz w:val="18"/>
                <w:szCs w:val="18"/>
              </w:rPr>
            </w:pPr>
            <w:r w:rsidRPr="00EE43C6">
              <w:rPr>
                <w:rFonts w:cs="Arial"/>
                <w:sz w:val="18"/>
                <w:szCs w:val="18"/>
              </w:rPr>
              <w:t>1 trip/day x 1 km/trip x 0.70 kg/km x 1</w:t>
            </w:r>
            <w:r w:rsidR="00C916AA" w:rsidRPr="00EE43C6">
              <w:rPr>
                <w:rFonts w:cs="Arial"/>
                <w:sz w:val="18"/>
                <w:szCs w:val="18"/>
              </w:rPr>
              <w:t xml:space="preserve"> </w:t>
            </w:r>
            <w:r w:rsidRPr="00EE43C6">
              <w:rPr>
                <w:rFonts w:cs="Arial"/>
                <w:sz w:val="18"/>
                <w:szCs w:val="18"/>
              </w:rPr>
              <w:t>day/8 hour</w:t>
            </w:r>
            <w:r w:rsidR="00803F95" w:rsidRPr="00EE43C6">
              <w:rPr>
                <w:rFonts w:cs="Arial"/>
                <w:sz w:val="18"/>
                <w:szCs w:val="18"/>
              </w:rPr>
              <w:t>s</w:t>
            </w:r>
            <w:r w:rsidRPr="00EE43C6">
              <w:rPr>
                <w:rFonts w:cs="Arial"/>
                <w:sz w:val="18"/>
                <w:szCs w:val="18"/>
              </w:rPr>
              <w:t xml:space="preserve"> = 0.0875 kg/hour</w:t>
            </w:r>
          </w:p>
        </w:tc>
      </w:tr>
      <w:tr w:rsidR="009B6DBD" w:rsidRPr="00EE43C6" w14:paraId="78E1C965" w14:textId="77777777" w:rsidTr="00B625EB">
        <w:trPr>
          <w:trHeight w:val="284"/>
          <w:jc w:val="center"/>
        </w:trPr>
        <w:tc>
          <w:tcPr>
            <w:tcW w:w="3624" w:type="dxa"/>
            <w:gridSpan w:val="2"/>
            <w:tcBorders>
              <w:bottom w:val="single" w:sz="4" w:space="0" w:color="auto"/>
            </w:tcBorders>
            <w:vAlign w:val="center"/>
          </w:tcPr>
          <w:p w14:paraId="277E4435" w14:textId="77777777" w:rsidR="009B6DBD" w:rsidRPr="00EE43C6" w:rsidRDefault="009B6DBD" w:rsidP="00B625EB">
            <w:pPr>
              <w:spacing w:before="0" w:after="0" w:line="240" w:lineRule="auto"/>
              <w:jc w:val="left"/>
              <w:rPr>
                <w:rFonts w:cs="Arial"/>
                <w:sz w:val="18"/>
                <w:szCs w:val="18"/>
              </w:rPr>
            </w:pPr>
            <w:r w:rsidRPr="00EE43C6">
              <w:rPr>
                <w:rFonts w:cs="Arial"/>
                <w:sz w:val="18"/>
                <w:szCs w:val="18"/>
              </w:rPr>
              <w:t>4.b Controlled</w:t>
            </w:r>
          </w:p>
        </w:tc>
        <w:tc>
          <w:tcPr>
            <w:tcW w:w="5436" w:type="dxa"/>
            <w:gridSpan w:val="3"/>
            <w:tcBorders>
              <w:bottom w:val="single" w:sz="4" w:space="0" w:color="auto"/>
            </w:tcBorders>
            <w:vAlign w:val="center"/>
          </w:tcPr>
          <w:p w14:paraId="320B5C54" w14:textId="1728C50C" w:rsidR="009B6DBD" w:rsidRPr="00EE43C6" w:rsidRDefault="00803F95" w:rsidP="00B625EB">
            <w:pPr>
              <w:spacing w:before="0" w:after="0" w:line="240" w:lineRule="auto"/>
              <w:jc w:val="left"/>
              <w:rPr>
                <w:rFonts w:cs="Arial"/>
                <w:sz w:val="18"/>
                <w:szCs w:val="18"/>
              </w:rPr>
            </w:pPr>
            <w:r w:rsidRPr="00EE43C6">
              <w:rPr>
                <w:rFonts w:cs="Arial"/>
                <w:sz w:val="18"/>
                <w:szCs w:val="18"/>
              </w:rPr>
              <w:t>1 trip/day x 1 km/trip x 0.35 kg/km x 1 day/8 hours = 0.04375 kg/hour</w:t>
            </w:r>
          </w:p>
        </w:tc>
      </w:tr>
    </w:tbl>
    <w:p w14:paraId="0C071F04" w14:textId="6CDF2CEC" w:rsidR="001A3C66" w:rsidRPr="00EE43C6" w:rsidRDefault="009F70BA" w:rsidP="004C2AF8">
      <w:pPr>
        <w:pStyle w:val="Caption"/>
        <w:spacing w:before="240"/>
        <w:jc w:val="both"/>
        <w:rPr>
          <w:rFonts w:cs="Wingdings"/>
          <w:b w:val="0"/>
          <w:bCs w:val="0"/>
          <w:noProof w:val="0"/>
          <w:color w:val="auto"/>
          <w:sz w:val="22"/>
          <w:szCs w:val="18"/>
          <w:lang w:eastAsia="zh-CN"/>
        </w:rPr>
      </w:pPr>
      <w:r w:rsidRPr="00EE43C6">
        <w:rPr>
          <w:rFonts w:cs="Wingdings"/>
          <w:b w:val="0"/>
          <w:bCs w:val="0"/>
          <w:noProof w:val="0"/>
          <w:color w:val="auto"/>
          <w:sz w:val="22"/>
          <w:szCs w:val="18"/>
          <w:lang w:eastAsia="zh-CN"/>
        </w:rPr>
        <w:t xml:space="preserve">Thus, </w:t>
      </w:r>
      <w:r w:rsidR="001A3C66" w:rsidRPr="00EE43C6">
        <w:rPr>
          <w:rFonts w:cs="Wingdings"/>
          <w:b w:val="0"/>
          <w:bCs w:val="0"/>
          <w:noProof w:val="0"/>
          <w:color w:val="auto"/>
          <w:sz w:val="22"/>
          <w:szCs w:val="18"/>
          <w:lang w:eastAsia="zh-CN"/>
        </w:rPr>
        <w:t xml:space="preserve">the total dust emission flowrate from the </w:t>
      </w:r>
      <w:r w:rsidRPr="00EE43C6">
        <w:rPr>
          <w:rFonts w:cs="Wingdings"/>
          <w:b w:val="0"/>
          <w:bCs w:val="0"/>
          <w:noProof w:val="0"/>
          <w:color w:val="auto"/>
          <w:sz w:val="22"/>
          <w:szCs w:val="18"/>
          <w:lang w:eastAsia="zh-CN"/>
        </w:rPr>
        <w:t>Silica Sand Mining</w:t>
      </w:r>
      <w:r w:rsidR="001A3C66" w:rsidRPr="00EE43C6">
        <w:rPr>
          <w:rFonts w:cs="Wingdings"/>
          <w:b w:val="0"/>
          <w:bCs w:val="0"/>
          <w:noProof w:val="0"/>
          <w:color w:val="auto"/>
          <w:sz w:val="22"/>
          <w:szCs w:val="18"/>
          <w:lang w:eastAsia="zh-CN"/>
        </w:rPr>
        <w:t xml:space="preserve"> is </w:t>
      </w:r>
      <w:r w:rsidR="00596E14" w:rsidRPr="00EE43C6">
        <w:rPr>
          <w:rFonts w:cs="Wingdings"/>
          <w:b w:val="0"/>
          <w:bCs w:val="0"/>
          <w:noProof w:val="0"/>
          <w:color w:val="auto"/>
          <w:sz w:val="22"/>
          <w:szCs w:val="18"/>
          <w:lang w:eastAsia="zh-CN"/>
        </w:rPr>
        <w:t>calculated</w:t>
      </w:r>
      <w:r w:rsidR="001A3C66" w:rsidRPr="00EE43C6">
        <w:rPr>
          <w:rFonts w:cs="Wingdings"/>
          <w:b w:val="0"/>
          <w:bCs w:val="0"/>
          <w:noProof w:val="0"/>
          <w:color w:val="auto"/>
          <w:sz w:val="22"/>
          <w:szCs w:val="18"/>
          <w:lang w:eastAsia="zh-CN"/>
        </w:rPr>
        <w:t xml:space="preserve"> in</w:t>
      </w:r>
      <w:r w:rsidRPr="00EE43C6">
        <w:rPr>
          <w:rFonts w:cs="Wingdings"/>
          <w:b w:val="0"/>
          <w:bCs w:val="0"/>
          <w:noProof w:val="0"/>
          <w:color w:val="auto"/>
          <w:sz w:val="22"/>
          <w:szCs w:val="18"/>
          <w:lang w:eastAsia="zh-CN"/>
        </w:rPr>
        <w:t xml:space="preserve"> </w:t>
      </w:r>
      <w:r w:rsidRPr="00EE43C6">
        <w:rPr>
          <w:rFonts w:cs="Wingdings"/>
          <w:b w:val="0"/>
          <w:bCs w:val="0"/>
          <w:noProof w:val="0"/>
          <w:color w:val="auto"/>
          <w:sz w:val="22"/>
          <w:szCs w:val="18"/>
          <w:lang w:eastAsia="zh-CN"/>
        </w:rPr>
        <w:fldChar w:fldCharType="begin"/>
      </w:r>
      <w:r w:rsidRPr="00EE43C6">
        <w:rPr>
          <w:rFonts w:cs="Wingdings"/>
          <w:b w:val="0"/>
          <w:bCs w:val="0"/>
          <w:noProof w:val="0"/>
          <w:color w:val="auto"/>
          <w:sz w:val="22"/>
          <w:szCs w:val="18"/>
          <w:lang w:eastAsia="zh-CN"/>
        </w:rPr>
        <w:instrText xml:space="preserve"> REF _Ref125718855 \h  \* MERGEFORMAT </w:instrText>
      </w:r>
      <w:r w:rsidRPr="00EE43C6">
        <w:rPr>
          <w:rFonts w:cs="Wingdings"/>
          <w:b w:val="0"/>
          <w:bCs w:val="0"/>
          <w:noProof w:val="0"/>
          <w:color w:val="auto"/>
          <w:sz w:val="22"/>
          <w:szCs w:val="18"/>
          <w:lang w:eastAsia="zh-CN"/>
        </w:rPr>
      </w:r>
      <w:r w:rsidRPr="00EE43C6">
        <w:rPr>
          <w:rFonts w:cs="Wingdings"/>
          <w:b w:val="0"/>
          <w:bCs w:val="0"/>
          <w:noProof w:val="0"/>
          <w:color w:val="auto"/>
          <w:sz w:val="22"/>
          <w:szCs w:val="18"/>
          <w:lang w:eastAsia="zh-CN"/>
        </w:rPr>
        <w:fldChar w:fldCharType="separate"/>
      </w:r>
      <w:r w:rsidR="00E737E2" w:rsidRPr="00EE43C6">
        <w:rPr>
          <w:rFonts w:cs="Wingdings"/>
          <w:b w:val="0"/>
          <w:bCs w:val="0"/>
          <w:noProof w:val="0"/>
          <w:color w:val="auto"/>
          <w:sz w:val="22"/>
          <w:szCs w:val="18"/>
          <w:lang w:eastAsia="zh-CN"/>
        </w:rPr>
        <w:t>Table 6</w:t>
      </w:r>
      <w:r w:rsidR="00E737E2" w:rsidRPr="00EE43C6">
        <w:rPr>
          <w:rFonts w:cs="Wingdings"/>
          <w:b w:val="0"/>
          <w:bCs w:val="0"/>
          <w:noProof w:val="0"/>
          <w:color w:val="auto"/>
          <w:sz w:val="22"/>
          <w:szCs w:val="18"/>
          <w:lang w:eastAsia="zh-CN"/>
        </w:rPr>
        <w:noBreakHyphen/>
        <w:t>6</w:t>
      </w:r>
      <w:r w:rsidRPr="00EE43C6">
        <w:rPr>
          <w:rFonts w:cs="Wingdings"/>
          <w:b w:val="0"/>
          <w:bCs w:val="0"/>
          <w:noProof w:val="0"/>
          <w:color w:val="auto"/>
          <w:sz w:val="22"/>
          <w:szCs w:val="18"/>
          <w:lang w:eastAsia="zh-CN"/>
        </w:rPr>
        <w:fldChar w:fldCharType="end"/>
      </w:r>
      <w:r w:rsidRPr="00EE43C6">
        <w:rPr>
          <w:rFonts w:cs="Wingdings"/>
          <w:b w:val="0"/>
          <w:bCs w:val="0"/>
          <w:noProof w:val="0"/>
          <w:color w:val="auto"/>
          <w:sz w:val="22"/>
          <w:szCs w:val="18"/>
          <w:lang w:eastAsia="zh-CN"/>
        </w:rPr>
        <w:t>.</w:t>
      </w:r>
    </w:p>
    <w:p w14:paraId="2B747043" w14:textId="2EAECB2F" w:rsidR="006840A8" w:rsidRPr="00EE43C6" w:rsidRDefault="008D4962" w:rsidP="008D4962">
      <w:pPr>
        <w:pStyle w:val="Caption"/>
        <w:spacing w:before="240"/>
        <w:rPr>
          <w:rFonts w:cs="Wingdings"/>
          <w:noProof w:val="0"/>
          <w:szCs w:val="18"/>
        </w:rPr>
      </w:pPr>
      <w:bookmarkStart w:id="474" w:name="_Ref125718855"/>
      <w:bookmarkStart w:id="475" w:name="_Toc141445515"/>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6</w:t>
      </w:r>
      <w:r w:rsidR="006D2DE8">
        <w:rPr>
          <w:noProof w:val="0"/>
        </w:rPr>
        <w:fldChar w:fldCharType="end"/>
      </w:r>
      <w:bookmarkEnd w:id="474"/>
      <w:r w:rsidRPr="00EE43C6">
        <w:rPr>
          <w:noProof w:val="0"/>
        </w:rPr>
        <w:t xml:space="preserve">. </w:t>
      </w:r>
      <w:r w:rsidR="00300E45" w:rsidRPr="00EE43C6">
        <w:rPr>
          <w:rFonts w:cs="Wingdings"/>
          <w:b w:val="0"/>
          <w:bCs w:val="0"/>
          <w:noProof w:val="0"/>
          <w:color w:val="auto"/>
          <w:szCs w:val="18"/>
        </w:rPr>
        <w:t>Total Dust Emission Flowrate from</w:t>
      </w:r>
      <w:r w:rsidR="00A44BC0" w:rsidRPr="00EE43C6">
        <w:rPr>
          <w:rFonts w:cs="Wingdings"/>
          <w:b w:val="0"/>
          <w:bCs w:val="0"/>
          <w:noProof w:val="0"/>
          <w:color w:val="auto"/>
          <w:szCs w:val="18"/>
        </w:rPr>
        <w:t xml:space="preserve"> Silica Sand Mining</w:t>
      </w:r>
      <w:bookmarkEnd w:id="475"/>
    </w:p>
    <w:tbl>
      <w:tblPr>
        <w:tblStyle w:val="TableGrid"/>
        <w:tblW w:w="9067" w:type="dxa"/>
        <w:jc w:val="center"/>
        <w:tblLook w:val="04A0" w:firstRow="1" w:lastRow="0" w:firstColumn="1" w:lastColumn="0" w:noHBand="0" w:noVBand="1"/>
      </w:tblPr>
      <w:tblGrid>
        <w:gridCol w:w="558"/>
        <w:gridCol w:w="5914"/>
        <w:gridCol w:w="1326"/>
        <w:gridCol w:w="1269"/>
      </w:tblGrid>
      <w:tr w:rsidR="00FD796E" w:rsidRPr="00EE43C6" w14:paraId="37053828" w14:textId="77777777" w:rsidTr="00B625EB">
        <w:trPr>
          <w:trHeight w:val="284"/>
          <w:tblHeader/>
          <w:jc w:val="center"/>
        </w:trPr>
        <w:tc>
          <w:tcPr>
            <w:tcW w:w="558" w:type="dxa"/>
            <w:shd w:val="clear" w:color="auto" w:fill="4F81BD"/>
            <w:vAlign w:val="center"/>
          </w:tcPr>
          <w:p w14:paraId="4CF27D28" w14:textId="77777777" w:rsidR="00FD796E" w:rsidRPr="00EE43C6" w:rsidRDefault="00FD796E" w:rsidP="00B625EB">
            <w:pPr>
              <w:spacing w:before="0" w:after="0" w:line="240" w:lineRule="auto"/>
              <w:jc w:val="center"/>
              <w:rPr>
                <w:rFonts w:cs="Arial"/>
                <w:b/>
                <w:bCs/>
                <w:color w:val="FFFFFF" w:themeColor="background1"/>
                <w:sz w:val="18"/>
                <w:szCs w:val="18"/>
              </w:rPr>
            </w:pPr>
            <w:r w:rsidRPr="00EE43C6">
              <w:rPr>
                <w:rFonts w:cs="Arial"/>
                <w:b/>
                <w:bCs/>
                <w:color w:val="FFFFFF" w:themeColor="background1"/>
                <w:sz w:val="18"/>
                <w:szCs w:val="18"/>
              </w:rPr>
              <w:t>No</w:t>
            </w:r>
          </w:p>
        </w:tc>
        <w:tc>
          <w:tcPr>
            <w:tcW w:w="5914" w:type="dxa"/>
            <w:shd w:val="clear" w:color="auto" w:fill="4F81BD"/>
            <w:vAlign w:val="center"/>
          </w:tcPr>
          <w:p w14:paraId="0DB83A8E" w14:textId="77777777" w:rsidR="00FD796E" w:rsidRPr="00EE43C6" w:rsidRDefault="00FD796E" w:rsidP="00B625EB">
            <w:pPr>
              <w:spacing w:before="0" w:after="0" w:line="240" w:lineRule="auto"/>
              <w:jc w:val="left"/>
              <w:rPr>
                <w:rFonts w:cs="Arial"/>
                <w:b/>
                <w:bCs/>
                <w:color w:val="FFFFFF" w:themeColor="background1"/>
                <w:sz w:val="18"/>
                <w:szCs w:val="18"/>
              </w:rPr>
            </w:pPr>
            <w:r w:rsidRPr="00EE43C6">
              <w:rPr>
                <w:rFonts w:cs="Arial"/>
                <w:b/>
                <w:bCs/>
                <w:color w:val="FFFFFF" w:themeColor="background1"/>
                <w:sz w:val="18"/>
                <w:szCs w:val="18"/>
              </w:rPr>
              <w:t>Operation</w:t>
            </w:r>
          </w:p>
        </w:tc>
        <w:tc>
          <w:tcPr>
            <w:tcW w:w="1326" w:type="dxa"/>
            <w:shd w:val="clear" w:color="auto" w:fill="4F81BD"/>
            <w:vAlign w:val="center"/>
          </w:tcPr>
          <w:p w14:paraId="6FAB16F3" w14:textId="77777777" w:rsidR="00FD796E" w:rsidRPr="00EE43C6" w:rsidRDefault="00FD796E" w:rsidP="00B625EB">
            <w:pPr>
              <w:spacing w:before="0" w:after="0" w:line="240" w:lineRule="auto"/>
              <w:jc w:val="center"/>
              <w:rPr>
                <w:rFonts w:cs="Arial"/>
                <w:b/>
                <w:bCs/>
                <w:color w:val="FFFFFF" w:themeColor="background1"/>
                <w:sz w:val="18"/>
                <w:szCs w:val="18"/>
              </w:rPr>
            </w:pPr>
            <w:r w:rsidRPr="00EE43C6">
              <w:rPr>
                <w:rFonts w:cs="Arial"/>
                <w:b/>
                <w:bCs/>
                <w:color w:val="FFFFFF" w:themeColor="background1"/>
                <w:sz w:val="18"/>
                <w:szCs w:val="18"/>
              </w:rPr>
              <w:t>Uncontrolled (kg/hour)</w:t>
            </w:r>
          </w:p>
        </w:tc>
        <w:tc>
          <w:tcPr>
            <w:tcW w:w="1269" w:type="dxa"/>
            <w:shd w:val="clear" w:color="auto" w:fill="4F81BD"/>
            <w:vAlign w:val="center"/>
          </w:tcPr>
          <w:p w14:paraId="119C5F6B" w14:textId="77777777" w:rsidR="00FD796E" w:rsidRPr="00EE43C6" w:rsidRDefault="00FD796E" w:rsidP="00B625EB">
            <w:pPr>
              <w:spacing w:before="0" w:after="0" w:line="240" w:lineRule="auto"/>
              <w:jc w:val="center"/>
              <w:rPr>
                <w:rFonts w:cs="Arial"/>
                <w:b/>
                <w:bCs/>
                <w:color w:val="FFFFFF" w:themeColor="background1"/>
                <w:sz w:val="18"/>
                <w:szCs w:val="18"/>
              </w:rPr>
            </w:pPr>
            <w:r w:rsidRPr="00EE43C6">
              <w:rPr>
                <w:rFonts w:cs="Arial"/>
                <w:b/>
                <w:bCs/>
                <w:color w:val="FFFFFF" w:themeColor="background1"/>
                <w:sz w:val="18"/>
                <w:szCs w:val="18"/>
              </w:rPr>
              <w:t>Controlled (kg/hour)</w:t>
            </w:r>
          </w:p>
        </w:tc>
      </w:tr>
      <w:tr w:rsidR="00FD796E" w:rsidRPr="00EE43C6" w14:paraId="28E1DF62" w14:textId="77777777" w:rsidTr="00B625EB">
        <w:trPr>
          <w:trHeight w:val="284"/>
          <w:jc w:val="center"/>
        </w:trPr>
        <w:tc>
          <w:tcPr>
            <w:tcW w:w="558" w:type="dxa"/>
            <w:vAlign w:val="center"/>
          </w:tcPr>
          <w:p w14:paraId="5E48176B" w14:textId="77777777" w:rsidR="00FD796E" w:rsidRPr="00EE43C6" w:rsidRDefault="00FD796E" w:rsidP="00B625EB">
            <w:pPr>
              <w:spacing w:before="0" w:after="0" w:line="240" w:lineRule="auto"/>
              <w:jc w:val="center"/>
              <w:rPr>
                <w:rFonts w:cs="Arial"/>
                <w:sz w:val="18"/>
                <w:szCs w:val="18"/>
              </w:rPr>
            </w:pPr>
            <w:r w:rsidRPr="00EE43C6">
              <w:rPr>
                <w:rFonts w:cs="Arial"/>
                <w:sz w:val="18"/>
                <w:szCs w:val="18"/>
              </w:rPr>
              <w:t>1</w:t>
            </w:r>
          </w:p>
        </w:tc>
        <w:tc>
          <w:tcPr>
            <w:tcW w:w="5914" w:type="dxa"/>
            <w:vAlign w:val="center"/>
          </w:tcPr>
          <w:p w14:paraId="0EB74941" w14:textId="3E2584C8" w:rsidR="00FD796E" w:rsidRPr="00EE43C6" w:rsidRDefault="00B142E8" w:rsidP="00B625EB">
            <w:pPr>
              <w:spacing w:before="0" w:after="0" w:line="240" w:lineRule="auto"/>
              <w:jc w:val="left"/>
              <w:rPr>
                <w:rFonts w:cs="Arial"/>
                <w:sz w:val="18"/>
                <w:szCs w:val="18"/>
              </w:rPr>
            </w:pPr>
            <w:r w:rsidRPr="00EE43C6">
              <w:rPr>
                <w:rFonts w:cs="Arial"/>
                <w:sz w:val="18"/>
                <w:szCs w:val="18"/>
              </w:rPr>
              <w:t>Removal of Silica Sand</w:t>
            </w:r>
          </w:p>
        </w:tc>
        <w:tc>
          <w:tcPr>
            <w:tcW w:w="1326" w:type="dxa"/>
            <w:vAlign w:val="center"/>
          </w:tcPr>
          <w:p w14:paraId="2881ECE0" w14:textId="6C7595E4" w:rsidR="00FD796E" w:rsidRPr="00EE43C6" w:rsidRDefault="004747C7" w:rsidP="00B625EB">
            <w:pPr>
              <w:spacing w:before="0" w:after="0" w:line="240" w:lineRule="auto"/>
              <w:jc w:val="center"/>
              <w:rPr>
                <w:rFonts w:cs="Arial"/>
                <w:sz w:val="18"/>
                <w:szCs w:val="18"/>
              </w:rPr>
            </w:pPr>
            <w:r w:rsidRPr="00EE43C6">
              <w:rPr>
                <w:rFonts w:cs="Arial"/>
                <w:sz w:val="18"/>
                <w:szCs w:val="18"/>
              </w:rPr>
              <w:t>0.00034</w:t>
            </w:r>
          </w:p>
        </w:tc>
        <w:tc>
          <w:tcPr>
            <w:tcW w:w="1269" w:type="dxa"/>
            <w:vAlign w:val="center"/>
          </w:tcPr>
          <w:p w14:paraId="1B6911F0" w14:textId="6B85B060" w:rsidR="00FD796E" w:rsidRPr="00EE43C6" w:rsidRDefault="004747C7" w:rsidP="00B625EB">
            <w:pPr>
              <w:spacing w:before="0" w:after="0" w:line="240" w:lineRule="auto"/>
              <w:jc w:val="center"/>
              <w:rPr>
                <w:rFonts w:cs="Arial"/>
                <w:sz w:val="18"/>
                <w:szCs w:val="18"/>
              </w:rPr>
            </w:pPr>
            <w:r w:rsidRPr="00EE43C6">
              <w:rPr>
                <w:rFonts w:cs="Arial"/>
                <w:sz w:val="18"/>
                <w:szCs w:val="18"/>
              </w:rPr>
              <w:t>0.000017</w:t>
            </w:r>
          </w:p>
        </w:tc>
      </w:tr>
      <w:tr w:rsidR="00FD796E" w:rsidRPr="00EE43C6" w14:paraId="718260C0" w14:textId="77777777" w:rsidTr="00B625EB">
        <w:trPr>
          <w:trHeight w:val="284"/>
          <w:jc w:val="center"/>
        </w:trPr>
        <w:tc>
          <w:tcPr>
            <w:tcW w:w="558" w:type="dxa"/>
            <w:vAlign w:val="center"/>
          </w:tcPr>
          <w:p w14:paraId="7C43791B" w14:textId="77777777" w:rsidR="00FD796E" w:rsidRPr="00EE43C6" w:rsidRDefault="00FD796E" w:rsidP="00B625EB">
            <w:pPr>
              <w:spacing w:before="0" w:after="0" w:line="240" w:lineRule="auto"/>
              <w:jc w:val="center"/>
              <w:rPr>
                <w:rFonts w:cs="Arial"/>
                <w:sz w:val="18"/>
                <w:szCs w:val="18"/>
              </w:rPr>
            </w:pPr>
            <w:r w:rsidRPr="00EE43C6">
              <w:rPr>
                <w:rFonts w:cs="Arial"/>
                <w:sz w:val="18"/>
                <w:szCs w:val="18"/>
              </w:rPr>
              <w:t>2</w:t>
            </w:r>
          </w:p>
        </w:tc>
        <w:tc>
          <w:tcPr>
            <w:tcW w:w="5914" w:type="dxa"/>
            <w:vAlign w:val="center"/>
          </w:tcPr>
          <w:p w14:paraId="4389FE17" w14:textId="59F20D01" w:rsidR="00FD796E" w:rsidRPr="00EE43C6" w:rsidRDefault="00FD796E" w:rsidP="00B625EB">
            <w:pPr>
              <w:spacing w:before="0" w:after="0" w:line="240" w:lineRule="auto"/>
              <w:jc w:val="left"/>
              <w:rPr>
                <w:rFonts w:cs="Arial"/>
                <w:sz w:val="18"/>
                <w:szCs w:val="18"/>
              </w:rPr>
            </w:pPr>
            <w:r w:rsidRPr="00EE43C6">
              <w:rPr>
                <w:rFonts w:cs="Arial"/>
                <w:sz w:val="18"/>
                <w:szCs w:val="18"/>
              </w:rPr>
              <w:t xml:space="preserve">Loading of </w:t>
            </w:r>
            <w:r w:rsidR="004747C7" w:rsidRPr="00EE43C6">
              <w:rPr>
                <w:rFonts w:cs="Arial"/>
                <w:sz w:val="18"/>
                <w:szCs w:val="18"/>
              </w:rPr>
              <w:t>Silica Sand</w:t>
            </w:r>
          </w:p>
        </w:tc>
        <w:tc>
          <w:tcPr>
            <w:tcW w:w="1326" w:type="dxa"/>
            <w:vAlign w:val="center"/>
          </w:tcPr>
          <w:p w14:paraId="1FE586CF" w14:textId="493C4DA0" w:rsidR="00FD796E" w:rsidRPr="00EE43C6" w:rsidRDefault="004747C7" w:rsidP="00B625EB">
            <w:pPr>
              <w:spacing w:before="0" w:after="0" w:line="240" w:lineRule="auto"/>
              <w:jc w:val="center"/>
              <w:rPr>
                <w:rFonts w:cs="Arial"/>
                <w:sz w:val="18"/>
                <w:szCs w:val="18"/>
              </w:rPr>
            </w:pPr>
            <w:r w:rsidRPr="00EE43C6">
              <w:rPr>
                <w:rFonts w:cs="Arial"/>
                <w:sz w:val="18"/>
                <w:szCs w:val="18"/>
              </w:rPr>
              <w:t>0.00013</w:t>
            </w:r>
          </w:p>
        </w:tc>
        <w:tc>
          <w:tcPr>
            <w:tcW w:w="1269" w:type="dxa"/>
            <w:vAlign w:val="center"/>
          </w:tcPr>
          <w:p w14:paraId="43716D7E" w14:textId="02B59D8C" w:rsidR="00FD796E" w:rsidRPr="00EE43C6" w:rsidRDefault="004747C7" w:rsidP="00B625EB">
            <w:pPr>
              <w:spacing w:before="0" w:after="0" w:line="240" w:lineRule="auto"/>
              <w:jc w:val="center"/>
              <w:rPr>
                <w:rFonts w:cs="Arial"/>
                <w:sz w:val="18"/>
                <w:szCs w:val="18"/>
              </w:rPr>
            </w:pPr>
            <w:r w:rsidRPr="00EE43C6">
              <w:rPr>
                <w:rFonts w:cs="Arial"/>
                <w:sz w:val="18"/>
                <w:szCs w:val="18"/>
              </w:rPr>
              <w:t>0.0006</w:t>
            </w:r>
            <w:r w:rsidR="0010705E">
              <w:rPr>
                <w:rFonts w:cs="Arial"/>
                <w:sz w:val="18"/>
                <w:szCs w:val="18"/>
              </w:rPr>
              <w:t>9</w:t>
            </w:r>
            <w:r w:rsidRPr="00EE43C6">
              <w:rPr>
                <w:rFonts w:cs="Arial"/>
                <w:sz w:val="18"/>
                <w:szCs w:val="18"/>
              </w:rPr>
              <w:t>5</w:t>
            </w:r>
          </w:p>
        </w:tc>
      </w:tr>
      <w:tr w:rsidR="00FD796E" w:rsidRPr="00EE43C6" w14:paraId="5993ED32" w14:textId="77777777" w:rsidTr="00B625EB">
        <w:trPr>
          <w:trHeight w:val="284"/>
          <w:jc w:val="center"/>
        </w:trPr>
        <w:tc>
          <w:tcPr>
            <w:tcW w:w="558" w:type="dxa"/>
            <w:vAlign w:val="center"/>
          </w:tcPr>
          <w:p w14:paraId="31C687C2" w14:textId="77777777" w:rsidR="00FD796E" w:rsidRPr="00EE43C6" w:rsidRDefault="00FD796E" w:rsidP="00B625EB">
            <w:pPr>
              <w:spacing w:before="0" w:after="0" w:line="240" w:lineRule="auto"/>
              <w:jc w:val="center"/>
              <w:rPr>
                <w:rFonts w:cs="Arial"/>
                <w:sz w:val="18"/>
                <w:szCs w:val="18"/>
              </w:rPr>
            </w:pPr>
            <w:r w:rsidRPr="00EE43C6">
              <w:rPr>
                <w:rFonts w:cs="Arial"/>
                <w:sz w:val="18"/>
                <w:szCs w:val="18"/>
              </w:rPr>
              <w:t>3</w:t>
            </w:r>
          </w:p>
        </w:tc>
        <w:tc>
          <w:tcPr>
            <w:tcW w:w="5914" w:type="dxa"/>
            <w:vAlign w:val="center"/>
          </w:tcPr>
          <w:p w14:paraId="2852E76F" w14:textId="0FF87FB1" w:rsidR="00FD796E" w:rsidRPr="00EE43C6" w:rsidRDefault="004747C7" w:rsidP="00B625EB">
            <w:pPr>
              <w:spacing w:before="0" w:after="0" w:line="240" w:lineRule="auto"/>
              <w:jc w:val="left"/>
              <w:rPr>
                <w:rFonts w:cs="Arial"/>
                <w:sz w:val="18"/>
                <w:szCs w:val="18"/>
              </w:rPr>
            </w:pPr>
            <w:r w:rsidRPr="00EE43C6">
              <w:rPr>
                <w:rFonts w:cs="Arial"/>
                <w:sz w:val="18"/>
                <w:szCs w:val="18"/>
              </w:rPr>
              <w:t>Unloading of Silica Sand</w:t>
            </w:r>
          </w:p>
        </w:tc>
        <w:tc>
          <w:tcPr>
            <w:tcW w:w="1326" w:type="dxa"/>
            <w:vAlign w:val="center"/>
          </w:tcPr>
          <w:p w14:paraId="0F854B85" w14:textId="70C6FCBF" w:rsidR="00FD796E" w:rsidRPr="00EE43C6" w:rsidRDefault="004747C7" w:rsidP="00B625EB">
            <w:pPr>
              <w:spacing w:before="0" w:after="0" w:line="240" w:lineRule="auto"/>
              <w:jc w:val="center"/>
              <w:rPr>
                <w:rFonts w:cs="Arial"/>
                <w:sz w:val="18"/>
                <w:szCs w:val="18"/>
              </w:rPr>
            </w:pPr>
            <w:r w:rsidRPr="00EE43C6">
              <w:rPr>
                <w:rFonts w:cs="Arial"/>
                <w:sz w:val="18"/>
                <w:szCs w:val="18"/>
              </w:rPr>
              <w:t>0.00013</w:t>
            </w:r>
          </w:p>
        </w:tc>
        <w:tc>
          <w:tcPr>
            <w:tcW w:w="1269" w:type="dxa"/>
            <w:vAlign w:val="center"/>
          </w:tcPr>
          <w:p w14:paraId="07AED7A8" w14:textId="0C69C4AD" w:rsidR="00FD796E" w:rsidRPr="00EE43C6" w:rsidRDefault="004747C7" w:rsidP="00B625EB">
            <w:pPr>
              <w:spacing w:before="0" w:after="0" w:line="240" w:lineRule="auto"/>
              <w:jc w:val="center"/>
              <w:rPr>
                <w:rFonts w:cs="Arial"/>
                <w:sz w:val="18"/>
                <w:szCs w:val="18"/>
              </w:rPr>
            </w:pPr>
            <w:r w:rsidRPr="00EE43C6">
              <w:rPr>
                <w:rFonts w:cs="Arial"/>
                <w:sz w:val="18"/>
                <w:szCs w:val="18"/>
              </w:rPr>
              <w:t>0.0006</w:t>
            </w:r>
            <w:r w:rsidR="0010705E">
              <w:rPr>
                <w:rFonts w:cs="Arial"/>
                <w:sz w:val="18"/>
                <w:szCs w:val="18"/>
              </w:rPr>
              <w:t>95</w:t>
            </w:r>
          </w:p>
        </w:tc>
      </w:tr>
      <w:tr w:rsidR="00FD796E" w:rsidRPr="00EE43C6" w14:paraId="681F5939" w14:textId="77777777" w:rsidTr="00B625EB">
        <w:trPr>
          <w:trHeight w:val="284"/>
          <w:jc w:val="center"/>
        </w:trPr>
        <w:tc>
          <w:tcPr>
            <w:tcW w:w="558" w:type="dxa"/>
            <w:vAlign w:val="center"/>
          </w:tcPr>
          <w:p w14:paraId="1AFF749A" w14:textId="77777777" w:rsidR="00FD796E" w:rsidRPr="00EE43C6" w:rsidRDefault="00FD796E" w:rsidP="00B625EB">
            <w:pPr>
              <w:spacing w:before="0" w:after="0" w:line="240" w:lineRule="auto"/>
              <w:jc w:val="center"/>
              <w:rPr>
                <w:rFonts w:cs="Arial"/>
                <w:sz w:val="18"/>
                <w:szCs w:val="18"/>
              </w:rPr>
            </w:pPr>
            <w:r w:rsidRPr="00EE43C6">
              <w:rPr>
                <w:rFonts w:cs="Arial"/>
                <w:sz w:val="18"/>
                <w:szCs w:val="18"/>
              </w:rPr>
              <w:t>4</w:t>
            </w:r>
          </w:p>
        </w:tc>
        <w:tc>
          <w:tcPr>
            <w:tcW w:w="5914" w:type="dxa"/>
            <w:vAlign w:val="center"/>
          </w:tcPr>
          <w:p w14:paraId="5528FED4" w14:textId="0698ED20" w:rsidR="00FD796E" w:rsidRPr="00EE43C6" w:rsidRDefault="004747C7" w:rsidP="00B625EB">
            <w:pPr>
              <w:spacing w:before="0" w:after="0" w:line="240" w:lineRule="auto"/>
              <w:jc w:val="left"/>
              <w:rPr>
                <w:rFonts w:cs="Arial"/>
                <w:sz w:val="18"/>
                <w:szCs w:val="18"/>
              </w:rPr>
            </w:pPr>
            <w:r w:rsidRPr="00EE43C6">
              <w:rPr>
                <w:rFonts w:cs="Arial"/>
                <w:sz w:val="18"/>
                <w:szCs w:val="18"/>
              </w:rPr>
              <w:t>Transportation of Silica Sand</w:t>
            </w:r>
          </w:p>
        </w:tc>
        <w:tc>
          <w:tcPr>
            <w:tcW w:w="1326" w:type="dxa"/>
            <w:vAlign w:val="center"/>
          </w:tcPr>
          <w:p w14:paraId="20C4DE6A" w14:textId="4A0B6FA6" w:rsidR="00FD796E" w:rsidRPr="00EE43C6" w:rsidRDefault="004747C7" w:rsidP="00B625EB">
            <w:pPr>
              <w:spacing w:before="0" w:after="0" w:line="240" w:lineRule="auto"/>
              <w:jc w:val="center"/>
              <w:rPr>
                <w:rFonts w:cs="Arial"/>
                <w:sz w:val="18"/>
                <w:szCs w:val="18"/>
              </w:rPr>
            </w:pPr>
            <w:r w:rsidRPr="00EE43C6">
              <w:rPr>
                <w:rFonts w:cs="Arial"/>
                <w:sz w:val="18"/>
                <w:szCs w:val="18"/>
              </w:rPr>
              <w:t>0.0875</w:t>
            </w:r>
          </w:p>
        </w:tc>
        <w:tc>
          <w:tcPr>
            <w:tcW w:w="1269" w:type="dxa"/>
            <w:vAlign w:val="center"/>
          </w:tcPr>
          <w:p w14:paraId="3B95425A" w14:textId="4C21939D" w:rsidR="00FD796E" w:rsidRPr="00EE43C6" w:rsidRDefault="00FD796E" w:rsidP="00B625EB">
            <w:pPr>
              <w:spacing w:before="0" w:after="0" w:line="240" w:lineRule="auto"/>
              <w:jc w:val="center"/>
              <w:rPr>
                <w:rFonts w:cs="Arial"/>
                <w:sz w:val="18"/>
                <w:szCs w:val="18"/>
              </w:rPr>
            </w:pPr>
            <w:r w:rsidRPr="00EE43C6">
              <w:rPr>
                <w:rFonts w:cs="Arial"/>
                <w:sz w:val="18"/>
                <w:szCs w:val="18"/>
              </w:rPr>
              <w:t>0.</w:t>
            </w:r>
            <w:r w:rsidR="004747C7" w:rsidRPr="00EE43C6">
              <w:rPr>
                <w:rFonts w:cs="Arial"/>
                <w:sz w:val="18"/>
                <w:szCs w:val="18"/>
              </w:rPr>
              <w:t>04375</w:t>
            </w:r>
          </w:p>
        </w:tc>
      </w:tr>
      <w:tr w:rsidR="00FD796E" w:rsidRPr="00EE43C6" w14:paraId="3A75A6B8" w14:textId="77777777" w:rsidTr="00B625EB">
        <w:trPr>
          <w:trHeight w:val="284"/>
          <w:jc w:val="center"/>
        </w:trPr>
        <w:tc>
          <w:tcPr>
            <w:tcW w:w="6472" w:type="dxa"/>
            <w:gridSpan w:val="2"/>
            <w:vAlign w:val="center"/>
          </w:tcPr>
          <w:p w14:paraId="10E5478B" w14:textId="77777777" w:rsidR="00FD796E" w:rsidRPr="00EE43C6" w:rsidRDefault="00FD796E" w:rsidP="00B625EB">
            <w:pPr>
              <w:spacing w:before="0" w:after="0" w:line="240" w:lineRule="auto"/>
              <w:jc w:val="right"/>
              <w:rPr>
                <w:rFonts w:cs="Arial"/>
                <w:b/>
                <w:bCs/>
                <w:sz w:val="18"/>
                <w:szCs w:val="18"/>
              </w:rPr>
            </w:pPr>
            <w:r w:rsidRPr="00EE43C6">
              <w:rPr>
                <w:rFonts w:cs="Arial"/>
                <w:b/>
                <w:bCs/>
                <w:sz w:val="18"/>
                <w:szCs w:val="18"/>
              </w:rPr>
              <w:t>TOTAL</w:t>
            </w:r>
          </w:p>
        </w:tc>
        <w:tc>
          <w:tcPr>
            <w:tcW w:w="1326" w:type="dxa"/>
            <w:vAlign w:val="center"/>
          </w:tcPr>
          <w:p w14:paraId="46F66AB9" w14:textId="4F7B7F4D" w:rsidR="00FD796E" w:rsidRPr="00EE43C6" w:rsidRDefault="004747C7" w:rsidP="00B625EB">
            <w:pPr>
              <w:spacing w:before="0" w:after="0" w:line="240" w:lineRule="auto"/>
              <w:jc w:val="center"/>
              <w:rPr>
                <w:rFonts w:cs="Arial"/>
                <w:b/>
                <w:bCs/>
                <w:sz w:val="18"/>
                <w:szCs w:val="18"/>
              </w:rPr>
            </w:pPr>
            <w:r w:rsidRPr="00EE43C6">
              <w:rPr>
                <w:rFonts w:cs="Arial"/>
                <w:b/>
                <w:bCs/>
                <w:sz w:val="18"/>
                <w:szCs w:val="18"/>
              </w:rPr>
              <w:t>0</w:t>
            </w:r>
            <w:r w:rsidR="00C101BC" w:rsidRPr="00EE43C6">
              <w:rPr>
                <w:rFonts w:cs="Arial"/>
                <w:b/>
                <w:bCs/>
                <w:sz w:val="18"/>
                <w:szCs w:val="18"/>
              </w:rPr>
              <w:t>.</w:t>
            </w:r>
            <w:r w:rsidRPr="00EE43C6">
              <w:rPr>
                <w:rFonts w:cs="Arial"/>
                <w:b/>
                <w:bCs/>
                <w:sz w:val="18"/>
                <w:szCs w:val="18"/>
              </w:rPr>
              <w:t>0881</w:t>
            </w:r>
          </w:p>
        </w:tc>
        <w:tc>
          <w:tcPr>
            <w:tcW w:w="1269" w:type="dxa"/>
            <w:vAlign w:val="center"/>
          </w:tcPr>
          <w:p w14:paraId="76692321" w14:textId="454FB4EE" w:rsidR="00FD796E" w:rsidRPr="00EE43C6" w:rsidRDefault="004747C7" w:rsidP="00B625EB">
            <w:pPr>
              <w:spacing w:before="0" w:after="0" w:line="240" w:lineRule="auto"/>
              <w:jc w:val="center"/>
              <w:rPr>
                <w:rFonts w:cs="Arial"/>
                <w:b/>
                <w:bCs/>
                <w:sz w:val="18"/>
                <w:szCs w:val="18"/>
              </w:rPr>
            </w:pPr>
            <w:r w:rsidRPr="00EE43C6">
              <w:rPr>
                <w:rFonts w:cs="Arial"/>
                <w:b/>
                <w:bCs/>
                <w:sz w:val="18"/>
                <w:szCs w:val="18"/>
              </w:rPr>
              <w:t>0</w:t>
            </w:r>
            <w:r w:rsidR="00C101BC" w:rsidRPr="00EE43C6">
              <w:rPr>
                <w:rFonts w:cs="Arial"/>
                <w:b/>
                <w:bCs/>
                <w:sz w:val="18"/>
                <w:szCs w:val="18"/>
              </w:rPr>
              <w:t>.</w:t>
            </w:r>
            <w:r w:rsidRPr="00EE43C6">
              <w:rPr>
                <w:rFonts w:cs="Arial"/>
                <w:b/>
                <w:bCs/>
                <w:sz w:val="18"/>
                <w:szCs w:val="18"/>
              </w:rPr>
              <w:t>04</w:t>
            </w:r>
            <w:r w:rsidR="00523952">
              <w:rPr>
                <w:rFonts w:cs="Arial"/>
                <w:b/>
                <w:bCs/>
                <w:sz w:val="18"/>
                <w:szCs w:val="18"/>
              </w:rPr>
              <w:t>5</w:t>
            </w:r>
            <w:r w:rsidR="00FA18A4">
              <w:rPr>
                <w:rFonts w:cs="Arial"/>
                <w:b/>
                <w:bCs/>
                <w:sz w:val="18"/>
                <w:szCs w:val="18"/>
              </w:rPr>
              <w:t>157</w:t>
            </w:r>
          </w:p>
        </w:tc>
      </w:tr>
    </w:tbl>
    <w:p w14:paraId="29F71488" w14:textId="733FEDCA" w:rsidR="00FD796E" w:rsidRPr="00EE43C6" w:rsidRDefault="00577439" w:rsidP="00B625EB">
      <w:pPr>
        <w:rPr>
          <w:rFonts w:cs="Wingdings"/>
          <w:szCs w:val="18"/>
        </w:rPr>
      </w:pPr>
      <w:r w:rsidRPr="00EE43C6">
        <w:rPr>
          <w:rFonts w:cs="Wingdings"/>
          <w:szCs w:val="18"/>
        </w:rPr>
        <w:lastRenderedPageBreak/>
        <w:t>On the other hand,</w:t>
      </w:r>
      <w:r w:rsidR="00030354" w:rsidRPr="00EE43C6">
        <w:rPr>
          <w:rFonts w:cs="Wingdings"/>
          <w:szCs w:val="18"/>
        </w:rPr>
        <w:t xml:space="preserve"> </w:t>
      </w:r>
      <w:r w:rsidR="0004066C" w:rsidRPr="00EE43C6">
        <w:rPr>
          <w:rFonts w:cs="Wingdings"/>
          <w:szCs w:val="18"/>
        </w:rPr>
        <w:t>t</w:t>
      </w:r>
      <w:r w:rsidR="00DB48BE" w:rsidRPr="00EE43C6">
        <w:rPr>
          <w:rFonts w:cs="Wingdings"/>
          <w:szCs w:val="18"/>
        </w:rPr>
        <w:t xml:space="preserve">here is </w:t>
      </w:r>
      <w:r w:rsidR="0004066C" w:rsidRPr="00EE43C6">
        <w:rPr>
          <w:rFonts w:cs="Wingdings"/>
          <w:szCs w:val="18"/>
        </w:rPr>
        <w:t>the</w:t>
      </w:r>
      <w:r w:rsidR="00DB48BE" w:rsidRPr="00EE43C6">
        <w:rPr>
          <w:rFonts w:cs="Wingdings"/>
          <w:szCs w:val="18"/>
        </w:rPr>
        <w:t xml:space="preserve"> limestone quarry </w:t>
      </w:r>
      <w:r w:rsidR="00D727D9" w:rsidRPr="00EE43C6">
        <w:rPr>
          <w:rFonts w:cs="Wingdings"/>
          <w:szCs w:val="18"/>
        </w:rPr>
        <w:t xml:space="preserve">operated by Canoğulları Madencilik Nakliye İnşaat A.Ş. </w:t>
      </w:r>
      <w:r w:rsidR="00DB48BE" w:rsidRPr="00EE43C6">
        <w:rPr>
          <w:rFonts w:cs="Wingdings"/>
          <w:szCs w:val="18"/>
        </w:rPr>
        <w:t xml:space="preserve">near the </w:t>
      </w:r>
      <w:r w:rsidR="0004066C" w:rsidRPr="00EE43C6">
        <w:rPr>
          <w:rFonts w:cs="Wingdings"/>
          <w:szCs w:val="18"/>
        </w:rPr>
        <w:t>P</w:t>
      </w:r>
      <w:r w:rsidR="00DB48BE" w:rsidRPr="00EE43C6">
        <w:rPr>
          <w:rFonts w:cs="Wingdings"/>
          <w:szCs w:val="18"/>
        </w:rPr>
        <w:t xml:space="preserve">roject </w:t>
      </w:r>
      <w:r w:rsidR="0004066C" w:rsidRPr="00EE43C6">
        <w:rPr>
          <w:rFonts w:cs="Wingdings"/>
          <w:szCs w:val="18"/>
        </w:rPr>
        <w:t>A</w:t>
      </w:r>
      <w:r w:rsidR="00DB48BE" w:rsidRPr="00EE43C6">
        <w:rPr>
          <w:rFonts w:cs="Wingdings"/>
          <w:szCs w:val="18"/>
        </w:rPr>
        <w:t>rea.</w:t>
      </w:r>
      <w:r w:rsidRPr="00EE43C6">
        <w:rPr>
          <w:rFonts w:cs="Wingdings"/>
          <w:szCs w:val="18"/>
        </w:rPr>
        <w:t xml:space="preserve"> </w:t>
      </w:r>
      <w:r w:rsidR="006B516E" w:rsidRPr="00EE43C6">
        <w:rPr>
          <w:rFonts w:cs="Wingdings"/>
          <w:szCs w:val="18"/>
        </w:rPr>
        <w:t xml:space="preserve">Dust emission </w:t>
      </w:r>
      <w:r w:rsidR="00A52623" w:rsidRPr="00EE43C6">
        <w:rPr>
          <w:rFonts w:cs="Wingdings"/>
          <w:szCs w:val="18"/>
        </w:rPr>
        <w:t xml:space="preserve">flowrate </w:t>
      </w:r>
      <w:r w:rsidR="006B516E" w:rsidRPr="00EE43C6">
        <w:rPr>
          <w:rFonts w:cs="Wingdings"/>
          <w:szCs w:val="18"/>
        </w:rPr>
        <w:t>amount was calculated as 14.76 kg/hour</w:t>
      </w:r>
      <w:r w:rsidR="002C73B2" w:rsidRPr="00EE43C6">
        <w:rPr>
          <w:rFonts w:cs="Wingdings"/>
          <w:szCs w:val="18"/>
        </w:rPr>
        <w:t xml:space="preserve"> in</w:t>
      </w:r>
      <w:r w:rsidR="00A52623" w:rsidRPr="00EE43C6">
        <w:rPr>
          <w:rFonts w:cs="Wingdings"/>
          <w:szCs w:val="18"/>
        </w:rPr>
        <w:t xml:space="preserve"> </w:t>
      </w:r>
      <w:r w:rsidR="002D354E" w:rsidRPr="00EE43C6">
        <w:rPr>
          <w:rFonts w:cs="Wingdings"/>
          <w:szCs w:val="18"/>
        </w:rPr>
        <w:t xml:space="preserve">the </w:t>
      </w:r>
      <w:r w:rsidR="00F31377" w:rsidRPr="00EE43C6">
        <w:rPr>
          <w:rFonts w:cs="Wingdings"/>
          <w:szCs w:val="18"/>
        </w:rPr>
        <w:t>Project I</w:t>
      </w:r>
      <w:r w:rsidR="009A75A3" w:rsidRPr="00EE43C6">
        <w:rPr>
          <w:rFonts w:cs="Wingdings"/>
          <w:szCs w:val="18"/>
        </w:rPr>
        <w:t>dentification</w:t>
      </w:r>
      <w:r w:rsidR="00F31377" w:rsidRPr="00EE43C6">
        <w:rPr>
          <w:rFonts w:cs="Wingdings"/>
          <w:szCs w:val="18"/>
        </w:rPr>
        <w:t xml:space="preserve"> </w:t>
      </w:r>
      <w:r w:rsidR="009A75A3" w:rsidRPr="00EE43C6">
        <w:rPr>
          <w:rFonts w:cs="Wingdings"/>
          <w:szCs w:val="18"/>
        </w:rPr>
        <w:t>Document</w:t>
      </w:r>
      <w:r w:rsidR="00F31377" w:rsidRPr="00EE43C6">
        <w:rPr>
          <w:rFonts w:cs="Wingdings"/>
          <w:szCs w:val="18"/>
        </w:rPr>
        <w:t xml:space="preserve"> of the 1</w:t>
      </w:r>
      <w:r w:rsidR="00F31377" w:rsidRPr="00EE43C6">
        <w:rPr>
          <w:rFonts w:cs="Wingdings"/>
          <w:szCs w:val="18"/>
          <w:vertAlign w:val="superscript"/>
        </w:rPr>
        <w:t>st</w:t>
      </w:r>
      <w:r w:rsidR="00F31377" w:rsidRPr="00EE43C6">
        <w:rPr>
          <w:rFonts w:cs="Wingdings"/>
          <w:szCs w:val="18"/>
        </w:rPr>
        <w:t xml:space="preserve"> Capacity Increase Project of the </w:t>
      </w:r>
      <w:r w:rsidR="00E6068E" w:rsidRPr="00EE43C6">
        <w:rPr>
          <w:rFonts w:cs="Wingdings"/>
          <w:szCs w:val="18"/>
        </w:rPr>
        <w:t>concerned</w:t>
      </w:r>
      <w:r w:rsidR="004517EF" w:rsidRPr="00EE43C6">
        <w:rPr>
          <w:rFonts w:cs="Wingdings"/>
          <w:szCs w:val="18"/>
        </w:rPr>
        <w:t xml:space="preserve"> </w:t>
      </w:r>
      <w:r w:rsidR="00E6068E" w:rsidRPr="00EE43C6">
        <w:rPr>
          <w:rFonts w:cs="Wingdings"/>
          <w:szCs w:val="18"/>
        </w:rPr>
        <w:t>q</w:t>
      </w:r>
      <w:r w:rsidR="004517EF" w:rsidRPr="00EE43C6">
        <w:rPr>
          <w:rFonts w:cs="Wingdings"/>
          <w:szCs w:val="18"/>
        </w:rPr>
        <w:t>uarry</w:t>
      </w:r>
      <w:r w:rsidR="00D727D9" w:rsidRPr="00EE43C6">
        <w:rPr>
          <w:rFonts w:cs="Wingdings"/>
          <w:szCs w:val="18"/>
        </w:rPr>
        <w:t>.</w:t>
      </w:r>
    </w:p>
    <w:p w14:paraId="5DE4A7BE" w14:textId="43035C05" w:rsidR="00187872" w:rsidRPr="00EE43C6" w:rsidRDefault="00914740" w:rsidP="00B625EB">
      <w:pPr>
        <w:rPr>
          <w:rFonts w:cs="Wingdings"/>
          <w:szCs w:val="18"/>
        </w:rPr>
      </w:pPr>
      <w:r w:rsidRPr="00EE43C6">
        <w:rPr>
          <w:rFonts w:cs="Wingdings"/>
          <w:szCs w:val="18"/>
        </w:rPr>
        <w:t>In addition to this, d</w:t>
      </w:r>
      <w:r w:rsidR="00D10D29" w:rsidRPr="00EE43C6">
        <w:rPr>
          <w:rFonts w:cs="Wingdings"/>
          <w:szCs w:val="18"/>
        </w:rPr>
        <w:t xml:space="preserve">ust emission </w:t>
      </w:r>
      <w:r w:rsidR="008D352B" w:rsidRPr="00EE43C6">
        <w:rPr>
          <w:rFonts w:cs="Wingdings"/>
          <w:szCs w:val="18"/>
        </w:rPr>
        <w:t xml:space="preserve">mass flowrate </w:t>
      </w:r>
      <w:r w:rsidR="001502A0" w:rsidRPr="00EE43C6">
        <w:rPr>
          <w:rFonts w:cs="Wingdings"/>
          <w:szCs w:val="18"/>
        </w:rPr>
        <w:t>calculations due to</w:t>
      </w:r>
      <w:r w:rsidR="00D10D29" w:rsidRPr="00EE43C6">
        <w:rPr>
          <w:rFonts w:cs="Wingdings"/>
          <w:szCs w:val="18"/>
        </w:rPr>
        <w:t xml:space="preserve"> the heating of the settlements </w:t>
      </w:r>
      <w:r w:rsidR="001502A0" w:rsidRPr="00EE43C6">
        <w:rPr>
          <w:rFonts w:cs="Wingdings"/>
          <w:szCs w:val="18"/>
        </w:rPr>
        <w:t xml:space="preserve">in the area </w:t>
      </w:r>
      <w:r w:rsidR="00D10D29" w:rsidRPr="00EE43C6">
        <w:rPr>
          <w:rFonts w:cs="Wingdings"/>
          <w:szCs w:val="18"/>
        </w:rPr>
        <w:t xml:space="preserve">within </w:t>
      </w:r>
      <w:r w:rsidR="001502A0" w:rsidRPr="00EE43C6">
        <w:rPr>
          <w:rFonts w:cs="Wingdings"/>
          <w:szCs w:val="18"/>
        </w:rPr>
        <w:t xml:space="preserve">a </w:t>
      </w:r>
      <w:r w:rsidR="00D10D29" w:rsidRPr="00EE43C6">
        <w:rPr>
          <w:rFonts w:cs="Wingdings"/>
          <w:szCs w:val="18"/>
        </w:rPr>
        <w:t xml:space="preserve">radius </w:t>
      </w:r>
      <w:r w:rsidR="001502A0" w:rsidRPr="00EE43C6">
        <w:rPr>
          <w:rFonts w:cs="Wingdings"/>
          <w:szCs w:val="18"/>
        </w:rPr>
        <w:t xml:space="preserve">of 2 km </w:t>
      </w:r>
      <w:r w:rsidR="00D10D29" w:rsidRPr="00EE43C6">
        <w:rPr>
          <w:rFonts w:cs="Wingdings"/>
          <w:szCs w:val="18"/>
        </w:rPr>
        <w:t xml:space="preserve">drawn from the center of the </w:t>
      </w:r>
      <w:r w:rsidR="00DE292F" w:rsidRPr="00EE43C6">
        <w:rPr>
          <w:rFonts w:cs="Wingdings"/>
          <w:szCs w:val="18"/>
        </w:rPr>
        <w:t>P</w:t>
      </w:r>
      <w:r w:rsidR="001502A0" w:rsidRPr="00EE43C6">
        <w:rPr>
          <w:rFonts w:cs="Wingdings"/>
          <w:szCs w:val="18"/>
        </w:rPr>
        <w:t xml:space="preserve">roject </w:t>
      </w:r>
      <w:r w:rsidR="00DE292F" w:rsidRPr="00EE43C6">
        <w:rPr>
          <w:rFonts w:cs="Wingdings"/>
          <w:szCs w:val="18"/>
        </w:rPr>
        <w:t>A</w:t>
      </w:r>
      <w:r w:rsidR="001502A0" w:rsidRPr="00EE43C6">
        <w:rPr>
          <w:rFonts w:cs="Wingdings"/>
          <w:szCs w:val="18"/>
        </w:rPr>
        <w:t>rea</w:t>
      </w:r>
      <w:r w:rsidR="00D10D29" w:rsidRPr="00EE43C6">
        <w:rPr>
          <w:rFonts w:cs="Wingdings"/>
          <w:szCs w:val="18"/>
        </w:rPr>
        <w:t xml:space="preserve"> are given in </w:t>
      </w:r>
      <w:r w:rsidR="00B826D4" w:rsidRPr="00EE43C6">
        <w:rPr>
          <w:rFonts w:cs="Wingdings"/>
          <w:szCs w:val="18"/>
        </w:rPr>
        <w:fldChar w:fldCharType="begin"/>
      </w:r>
      <w:r w:rsidR="00B826D4" w:rsidRPr="00EE43C6">
        <w:rPr>
          <w:rFonts w:cs="Wingdings"/>
          <w:szCs w:val="18"/>
        </w:rPr>
        <w:instrText xml:space="preserve"> REF _Ref125722843 \h </w:instrText>
      </w:r>
      <w:r w:rsidR="00B826D4" w:rsidRPr="00EE43C6">
        <w:rPr>
          <w:rFonts w:cs="Wingdings"/>
          <w:szCs w:val="18"/>
        </w:rPr>
      </w:r>
      <w:r w:rsidR="00B826D4" w:rsidRPr="00EE43C6">
        <w:rPr>
          <w:rFonts w:cs="Wingdings"/>
          <w:szCs w:val="18"/>
        </w:rPr>
        <w:fldChar w:fldCharType="separate"/>
      </w:r>
      <w:r w:rsidR="00C568FA" w:rsidRPr="00EE43C6">
        <w:t>Table 6</w:t>
      </w:r>
      <w:r w:rsidR="00C568FA" w:rsidRPr="00EE43C6">
        <w:noBreakHyphen/>
        <w:t>7</w:t>
      </w:r>
      <w:r w:rsidR="00B826D4" w:rsidRPr="00EE43C6">
        <w:rPr>
          <w:rFonts w:cs="Wingdings"/>
          <w:szCs w:val="18"/>
        </w:rPr>
        <w:fldChar w:fldCharType="end"/>
      </w:r>
      <w:r w:rsidR="00D10D29" w:rsidRPr="00EE43C6">
        <w:rPr>
          <w:rFonts w:cs="Wingdings"/>
          <w:szCs w:val="18"/>
        </w:rPr>
        <w:t xml:space="preserve"> and the number of households is accepted as 4 people</w:t>
      </w:r>
      <w:r w:rsidR="001502A0" w:rsidRPr="00EE43C6">
        <w:rPr>
          <w:rFonts w:cs="Wingdings"/>
          <w:szCs w:val="18"/>
        </w:rPr>
        <w:t>.</w:t>
      </w:r>
    </w:p>
    <w:p w14:paraId="0876506B" w14:textId="4ACC0955" w:rsidR="00161D13" w:rsidRPr="00EE43C6" w:rsidRDefault="00161D13" w:rsidP="00B625EB">
      <w:pPr>
        <w:rPr>
          <w:rFonts w:cs="Wingdings"/>
          <w:szCs w:val="18"/>
        </w:rPr>
      </w:pPr>
      <w:r w:rsidRPr="00EE43C6">
        <w:rPr>
          <w:rFonts w:cs="Wingdings"/>
          <w:szCs w:val="18"/>
        </w:rPr>
        <w:t>It is assumed that coal is used in households for heating and 1 ton</w:t>
      </w:r>
      <w:r w:rsidR="001932B8" w:rsidRPr="00EE43C6">
        <w:rPr>
          <w:rFonts w:cs="Wingdings"/>
          <w:szCs w:val="18"/>
        </w:rPr>
        <w:t>ne</w:t>
      </w:r>
      <w:r w:rsidRPr="00EE43C6">
        <w:rPr>
          <w:rFonts w:cs="Wingdings"/>
          <w:szCs w:val="18"/>
        </w:rPr>
        <w:t xml:space="preserve"> of coal is used for one winter period in each household</w:t>
      </w:r>
      <w:r w:rsidR="00B7776C" w:rsidRPr="00EE43C6">
        <w:rPr>
          <w:rFonts w:cs="Wingdings"/>
          <w:szCs w:val="18"/>
        </w:rPr>
        <w:t xml:space="preserve"> and ca</w:t>
      </w:r>
      <w:r w:rsidR="006969FC" w:rsidRPr="00EE43C6">
        <w:rPr>
          <w:rFonts w:cs="Wingdings"/>
          <w:szCs w:val="18"/>
        </w:rPr>
        <w:t xml:space="preserve">lculated by using </w:t>
      </w:r>
      <w:r w:rsidR="00B2388E" w:rsidRPr="00EE43C6">
        <w:rPr>
          <w:rFonts w:cs="Wingdings"/>
          <w:szCs w:val="18"/>
        </w:rPr>
        <w:t xml:space="preserve">the Table 3-3 Tier 1 emission factors </w:t>
      </w:r>
      <w:r w:rsidR="006C5A55" w:rsidRPr="00EE43C6">
        <w:rPr>
          <w:rFonts w:cs="Wingdings"/>
          <w:szCs w:val="18"/>
        </w:rPr>
        <w:t xml:space="preserve">in </w:t>
      </w:r>
      <w:r w:rsidR="003E17A1" w:rsidRPr="00EE43C6">
        <w:rPr>
          <w:rFonts w:cs="Wingdings"/>
          <w:szCs w:val="18"/>
        </w:rPr>
        <w:t>Small</w:t>
      </w:r>
      <w:r w:rsidRPr="00EE43C6">
        <w:rPr>
          <w:rFonts w:cs="Wingdings"/>
          <w:szCs w:val="18"/>
        </w:rPr>
        <w:t xml:space="preserve"> Combustion</w:t>
      </w:r>
      <w:r w:rsidR="002E6742" w:rsidRPr="00EE43C6">
        <w:rPr>
          <w:rFonts w:cs="Wingdings"/>
          <w:szCs w:val="18"/>
        </w:rPr>
        <w:t xml:space="preserve"> </w:t>
      </w:r>
      <w:r w:rsidR="00553089" w:rsidRPr="00EE43C6">
        <w:rPr>
          <w:rFonts w:cs="Wingdings"/>
          <w:szCs w:val="18"/>
        </w:rPr>
        <w:t>(1.A.4)</w:t>
      </w:r>
      <w:r w:rsidR="002E6742" w:rsidRPr="00EE43C6">
        <w:rPr>
          <w:rFonts w:cs="Wingdings"/>
          <w:szCs w:val="18"/>
        </w:rPr>
        <w:t xml:space="preserve"> </w:t>
      </w:r>
      <w:r w:rsidR="00576C14" w:rsidRPr="00EE43C6">
        <w:rPr>
          <w:rFonts w:cs="Wingdings"/>
          <w:szCs w:val="18"/>
        </w:rPr>
        <w:t>section</w:t>
      </w:r>
      <w:r w:rsidR="000E1F9C" w:rsidRPr="00EE43C6">
        <w:rPr>
          <w:rFonts w:cs="Wingdings"/>
          <w:szCs w:val="18"/>
        </w:rPr>
        <w:t xml:space="preserve"> </w:t>
      </w:r>
      <w:r w:rsidR="006C5A55" w:rsidRPr="00EE43C6">
        <w:rPr>
          <w:rFonts w:cs="Wingdings"/>
          <w:szCs w:val="18"/>
        </w:rPr>
        <w:t>of</w:t>
      </w:r>
      <w:r w:rsidR="00392AAF" w:rsidRPr="00EE43C6">
        <w:rPr>
          <w:rFonts w:cs="Wingdings"/>
          <w:szCs w:val="18"/>
        </w:rPr>
        <w:t xml:space="preserve"> </w:t>
      </w:r>
      <w:r w:rsidR="007C3FAF" w:rsidRPr="00EE43C6">
        <w:rPr>
          <w:rFonts w:cs="Wingdings"/>
          <w:szCs w:val="18"/>
        </w:rPr>
        <w:t xml:space="preserve">the </w:t>
      </w:r>
      <w:r w:rsidR="00D9004F" w:rsidRPr="00EE43C6">
        <w:rPr>
          <w:rFonts w:cs="Wingdings"/>
          <w:szCs w:val="18"/>
        </w:rPr>
        <w:t>European Monitoring and Evaluation Programme (</w:t>
      </w:r>
      <w:r w:rsidRPr="00EE43C6">
        <w:rPr>
          <w:rFonts w:cs="Wingdings"/>
          <w:szCs w:val="18"/>
        </w:rPr>
        <w:t>EMEP</w:t>
      </w:r>
      <w:r w:rsidR="004C298B" w:rsidRPr="00EE43C6">
        <w:rPr>
          <w:rFonts w:cs="Wingdings"/>
          <w:szCs w:val="18"/>
        </w:rPr>
        <w:t>)/</w:t>
      </w:r>
      <w:r w:rsidR="00D9004F" w:rsidRPr="00EE43C6">
        <w:rPr>
          <w:rFonts w:cs="Wingdings"/>
          <w:szCs w:val="18"/>
        </w:rPr>
        <w:t>European Environment Agency (</w:t>
      </w:r>
      <w:r w:rsidRPr="00EE43C6">
        <w:rPr>
          <w:rFonts w:cs="Wingdings"/>
          <w:szCs w:val="18"/>
        </w:rPr>
        <w:t>EEA</w:t>
      </w:r>
      <w:r w:rsidR="00D9004F" w:rsidRPr="00EE43C6">
        <w:rPr>
          <w:rFonts w:cs="Wingdings"/>
          <w:szCs w:val="18"/>
        </w:rPr>
        <w:t>)</w:t>
      </w:r>
      <w:r w:rsidRPr="00EE43C6">
        <w:rPr>
          <w:rFonts w:cs="Wingdings"/>
          <w:szCs w:val="18"/>
        </w:rPr>
        <w:t xml:space="preserve"> </w:t>
      </w:r>
      <w:r w:rsidR="002F0B0A" w:rsidRPr="00EE43C6">
        <w:rPr>
          <w:rFonts w:cs="Wingdings"/>
          <w:szCs w:val="18"/>
        </w:rPr>
        <w:t xml:space="preserve">Emission Inventory </w:t>
      </w:r>
      <w:r w:rsidRPr="00EE43C6">
        <w:rPr>
          <w:rFonts w:cs="Wingdings"/>
          <w:szCs w:val="18"/>
        </w:rPr>
        <w:t xml:space="preserve">Guidebook 2013. </w:t>
      </w:r>
      <w:r w:rsidR="00466F11" w:rsidRPr="00EE43C6">
        <w:rPr>
          <w:rFonts w:cs="Wingdings"/>
          <w:szCs w:val="18"/>
        </w:rPr>
        <w:t>According to EMEP</w:t>
      </w:r>
      <w:r w:rsidR="004C298B" w:rsidRPr="00EE43C6">
        <w:rPr>
          <w:rFonts w:cs="Wingdings"/>
          <w:szCs w:val="18"/>
        </w:rPr>
        <w:t>/</w:t>
      </w:r>
      <w:r w:rsidR="00466F11" w:rsidRPr="00EE43C6">
        <w:rPr>
          <w:rFonts w:cs="Wingdings"/>
          <w:szCs w:val="18"/>
        </w:rPr>
        <w:t>EEA data, the PM</w:t>
      </w:r>
      <w:r w:rsidR="00226401" w:rsidRPr="00EE43C6">
        <w:rPr>
          <w:rFonts w:cs="Wingdings"/>
          <w:szCs w:val="18"/>
          <w:vertAlign w:val="subscript"/>
        </w:rPr>
        <w:t>10</w:t>
      </w:r>
      <w:r w:rsidR="00466F11" w:rsidRPr="00EE43C6">
        <w:rPr>
          <w:rFonts w:cs="Wingdings"/>
          <w:szCs w:val="18"/>
        </w:rPr>
        <w:t xml:space="preserve"> emission factor due to coal </w:t>
      </w:r>
      <w:r w:rsidR="007E3D11" w:rsidRPr="00EE43C6">
        <w:rPr>
          <w:rFonts w:cs="Wingdings"/>
          <w:szCs w:val="18"/>
        </w:rPr>
        <w:t>burning</w:t>
      </w:r>
      <w:r w:rsidR="00466F11" w:rsidRPr="00EE43C6">
        <w:rPr>
          <w:rFonts w:cs="Wingdings"/>
          <w:szCs w:val="18"/>
        </w:rPr>
        <w:t xml:space="preserve"> is 404 g/GJ. Accordingly, the annual dust emission for each settlement was calculated as follows. (</w:t>
      </w:r>
      <w:r w:rsidR="004B0343" w:rsidRPr="00EE43C6">
        <w:rPr>
          <w:rFonts w:cs="Wingdings"/>
          <w:szCs w:val="18"/>
        </w:rPr>
        <w:t xml:space="preserve">In the </w:t>
      </w:r>
      <w:r w:rsidR="00466F11" w:rsidRPr="00EE43C6">
        <w:rPr>
          <w:rFonts w:cs="Wingdings"/>
          <w:szCs w:val="18"/>
        </w:rPr>
        <w:t xml:space="preserve">calculations, the calorific value of </w:t>
      </w:r>
      <w:r w:rsidR="004B0343" w:rsidRPr="00EE43C6">
        <w:rPr>
          <w:rFonts w:cs="Wingdings"/>
          <w:szCs w:val="18"/>
        </w:rPr>
        <w:t xml:space="preserve">the </w:t>
      </w:r>
      <w:r w:rsidR="00466F11" w:rsidRPr="00EE43C6">
        <w:rPr>
          <w:rFonts w:cs="Wingdings"/>
          <w:szCs w:val="18"/>
        </w:rPr>
        <w:t xml:space="preserve">coal is </w:t>
      </w:r>
      <w:r w:rsidR="004B0343" w:rsidRPr="00EE43C6">
        <w:rPr>
          <w:rFonts w:cs="Wingdings"/>
          <w:szCs w:val="18"/>
        </w:rPr>
        <w:t>6,000</w:t>
      </w:r>
      <w:r w:rsidR="00466F11" w:rsidRPr="00EE43C6">
        <w:rPr>
          <w:rFonts w:cs="Wingdings"/>
          <w:szCs w:val="18"/>
        </w:rPr>
        <w:t xml:space="preserve"> kcal/kg, </w:t>
      </w:r>
      <w:r w:rsidR="004B0343" w:rsidRPr="00EE43C6">
        <w:rPr>
          <w:rFonts w:cs="Wingdings"/>
          <w:szCs w:val="18"/>
        </w:rPr>
        <w:t>and</w:t>
      </w:r>
      <w:r w:rsidR="00466F11" w:rsidRPr="00EE43C6">
        <w:rPr>
          <w:rFonts w:cs="Wingdings"/>
          <w:szCs w:val="18"/>
        </w:rPr>
        <w:t xml:space="preserve"> coal is used for heating purposes for 5 months of the year)</w:t>
      </w:r>
      <w:r w:rsidR="004B0343" w:rsidRPr="00EE43C6">
        <w:rPr>
          <w:rFonts w:cs="Wingdings"/>
          <w:szCs w:val="18"/>
        </w:rPr>
        <w:t>.</w:t>
      </w:r>
    </w:p>
    <w:p w14:paraId="01A6F502" w14:textId="6570FE7F" w:rsidR="00F21F76" w:rsidRPr="00EE43C6" w:rsidRDefault="00F21F76" w:rsidP="00B625EB">
      <w:pPr>
        <w:rPr>
          <w:rFonts w:cs="Wingdings"/>
          <w:szCs w:val="18"/>
        </w:rPr>
      </w:pPr>
      <w:r w:rsidRPr="00EE43C6">
        <w:rPr>
          <w:rFonts w:cs="Wingdings"/>
          <w:szCs w:val="18"/>
        </w:rPr>
        <w:t xml:space="preserve">For 1 </w:t>
      </w:r>
      <w:r w:rsidR="00715A39" w:rsidRPr="00EE43C6">
        <w:rPr>
          <w:rFonts w:cs="Wingdings"/>
          <w:szCs w:val="18"/>
        </w:rPr>
        <w:t>House</w:t>
      </w:r>
      <w:r w:rsidRPr="00EE43C6">
        <w:rPr>
          <w:rFonts w:cs="Wingdings"/>
          <w:szCs w:val="18"/>
        </w:rPr>
        <w:t xml:space="preserve"> = 1 household *1</w:t>
      </w:r>
      <w:r w:rsidR="00715A39" w:rsidRPr="00EE43C6">
        <w:rPr>
          <w:rFonts w:cs="Wingdings"/>
          <w:szCs w:val="18"/>
        </w:rPr>
        <w:t>,</w:t>
      </w:r>
      <w:r w:rsidRPr="00EE43C6">
        <w:rPr>
          <w:rFonts w:cs="Wingdings"/>
          <w:szCs w:val="18"/>
        </w:rPr>
        <w:t>000 kg/year</w:t>
      </w:r>
      <w:r w:rsidR="00715A39" w:rsidRPr="00EE43C6">
        <w:rPr>
          <w:rFonts w:cs="Wingdings"/>
          <w:szCs w:val="18"/>
        </w:rPr>
        <w:t>-</w:t>
      </w:r>
      <w:r w:rsidRPr="00EE43C6">
        <w:rPr>
          <w:rFonts w:cs="Wingdings"/>
          <w:szCs w:val="18"/>
        </w:rPr>
        <w:t>house * 6</w:t>
      </w:r>
      <w:r w:rsidR="00715A39" w:rsidRPr="00EE43C6">
        <w:rPr>
          <w:rFonts w:cs="Wingdings"/>
          <w:szCs w:val="18"/>
        </w:rPr>
        <w:t>,</w:t>
      </w:r>
      <w:r w:rsidRPr="00EE43C6">
        <w:rPr>
          <w:rFonts w:cs="Wingdings"/>
          <w:szCs w:val="18"/>
        </w:rPr>
        <w:t>000 kcal/kg * 404 g/GJ / * 1 GJ/ 238</w:t>
      </w:r>
      <w:r w:rsidR="00F9494A" w:rsidRPr="00EE43C6">
        <w:rPr>
          <w:rFonts w:cs="Wingdings"/>
          <w:szCs w:val="18"/>
        </w:rPr>
        <w:t>,</w:t>
      </w:r>
      <w:r w:rsidRPr="00EE43C6">
        <w:rPr>
          <w:rFonts w:cs="Wingdings"/>
          <w:szCs w:val="18"/>
        </w:rPr>
        <w:t>902.95 Kcal * 1 year/150 days *1 day/24 hours * 1 kg/1</w:t>
      </w:r>
      <w:r w:rsidR="00F9494A" w:rsidRPr="00EE43C6">
        <w:rPr>
          <w:rFonts w:cs="Wingdings"/>
          <w:szCs w:val="18"/>
        </w:rPr>
        <w:t>,</w:t>
      </w:r>
      <w:r w:rsidRPr="00EE43C6">
        <w:rPr>
          <w:rFonts w:cs="Wingdings"/>
          <w:szCs w:val="18"/>
        </w:rPr>
        <w:t>000 g = 0</w:t>
      </w:r>
      <w:r w:rsidR="00F9494A" w:rsidRPr="00EE43C6">
        <w:rPr>
          <w:rFonts w:cs="Wingdings"/>
          <w:szCs w:val="18"/>
        </w:rPr>
        <w:t>.</w:t>
      </w:r>
      <w:r w:rsidRPr="00EE43C6">
        <w:rPr>
          <w:rFonts w:cs="Wingdings"/>
          <w:szCs w:val="18"/>
        </w:rPr>
        <w:t>002818 kg/hour</w:t>
      </w:r>
    </w:p>
    <w:p w14:paraId="491AE827" w14:textId="5B4F673C" w:rsidR="00D10D29" w:rsidRPr="00EE43C6" w:rsidRDefault="002C099A" w:rsidP="002C099A">
      <w:pPr>
        <w:pStyle w:val="Caption"/>
        <w:rPr>
          <w:rFonts w:cs="Wingdings"/>
          <w:noProof w:val="0"/>
          <w:szCs w:val="18"/>
        </w:rPr>
      </w:pPr>
      <w:bookmarkStart w:id="476" w:name="_Ref125722843"/>
      <w:bookmarkStart w:id="477" w:name="_Toc141445516"/>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1E0229">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1E0229">
        <w:t>7</w:t>
      </w:r>
      <w:r w:rsidR="006D2DE8">
        <w:rPr>
          <w:noProof w:val="0"/>
        </w:rPr>
        <w:fldChar w:fldCharType="end"/>
      </w:r>
      <w:bookmarkEnd w:id="476"/>
      <w:r w:rsidRPr="00EE43C6">
        <w:rPr>
          <w:noProof w:val="0"/>
        </w:rPr>
        <w:t xml:space="preserve">. </w:t>
      </w:r>
      <w:r w:rsidR="00607A8F" w:rsidRPr="00EE43C6">
        <w:rPr>
          <w:rFonts w:cs="Wingdings"/>
          <w:b w:val="0"/>
          <w:noProof w:val="0"/>
          <w:color w:val="auto"/>
          <w:szCs w:val="18"/>
        </w:rPr>
        <w:t>Heating-Related Dust Emission Mass Flow</w:t>
      </w:r>
      <w:r w:rsidR="008D352B" w:rsidRPr="00EE43C6">
        <w:rPr>
          <w:rFonts w:cs="Wingdings"/>
          <w:b w:val="0"/>
          <w:noProof w:val="0"/>
          <w:color w:val="auto"/>
          <w:szCs w:val="18"/>
        </w:rPr>
        <w:t>r</w:t>
      </w:r>
      <w:r w:rsidR="00607A8F" w:rsidRPr="00EE43C6">
        <w:rPr>
          <w:rFonts w:cs="Wingdings"/>
          <w:b w:val="0"/>
          <w:noProof w:val="0"/>
          <w:color w:val="auto"/>
          <w:szCs w:val="18"/>
        </w:rPr>
        <w:t>ates</w:t>
      </w:r>
      <w:bookmarkEnd w:id="477"/>
    </w:p>
    <w:tbl>
      <w:tblPr>
        <w:tblStyle w:val="TableGrid"/>
        <w:tblW w:w="0" w:type="auto"/>
        <w:tblLook w:val="04A0" w:firstRow="1" w:lastRow="0" w:firstColumn="1" w:lastColumn="0" w:noHBand="0" w:noVBand="1"/>
      </w:tblPr>
      <w:tblGrid>
        <w:gridCol w:w="2265"/>
        <w:gridCol w:w="2265"/>
        <w:gridCol w:w="2265"/>
        <w:gridCol w:w="2265"/>
      </w:tblGrid>
      <w:tr w:rsidR="00474259" w:rsidRPr="00EE43C6" w14:paraId="139FDD1B" w14:textId="77777777" w:rsidTr="00B625EB">
        <w:trPr>
          <w:trHeight w:val="284"/>
        </w:trPr>
        <w:tc>
          <w:tcPr>
            <w:tcW w:w="2265" w:type="dxa"/>
            <w:shd w:val="clear" w:color="auto" w:fill="4F81BD"/>
            <w:vAlign w:val="center"/>
          </w:tcPr>
          <w:p w14:paraId="1DC719CD" w14:textId="526F2382" w:rsidR="00474259" w:rsidRPr="00EE43C6" w:rsidRDefault="007758B2" w:rsidP="00B625EB">
            <w:pPr>
              <w:spacing w:before="0" w:after="0" w:line="240" w:lineRule="auto"/>
              <w:jc w:val="left"/>
              <w:rPr>
                <w:rFonts w:cs="Wingdings"/>
                <w:b/>
                <w:color w:val="FFFFFF" w:themeColor="background1"/>
                <w:sz w:val="18"/>
                <w:szCs w:val="18"/>
              </w:rPr>
            </w:pPr>
            <w:r w:rsidRPr="00EE43C6">
              <w:rPr>
                <w:rFonts w:cs="Wingdings"/>
                <w:b/>
                <w:color w:val="FFFFFF" w:themeColor="background1"/>
                <w:sz w:val="18"/>
                <w:szCs w:val="18"/>
              </w:rPr>
              <w:t>Settlement</w:t>
            </w:r>
          </w:p>
        </w:tc>
        <w:tc>
          <w:tcPr>
            <w:tcW w:w="2265" w:type="dxa"/>
            <w:shd w:val="clear" w:color="auto" w:fill="4F81BD"/>
            <w:vAlign w:val="center"/>
          </w:tcPr>
          <w:p w14:paraId="7A359A6C" w14:textId="347E3B7C" w:rsidR="00474259" w:rsidRPr="00EE43C6" w:rsidRDefault="00A633C5"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TurkStat 2020</w:t>
            </w:r>
            <w:r w:rsidR="00AD2839" w:rsidRPr="00EE43C6">
              <w:rPr>
                <w:rFonts w:cs="Wingdings"/>
                <w:b/>
                <w:color w:val="FFFFFF" w:themeColor="background1"/>
                <w:sz w:val="18"/>
                <w:szCs w:val="18"/>
              </w:rPr>
              <w:t xml:space="preserve"> Population (people)</w:t>
            </w:r>
          </w:p>
        </w:tc>
        <w:tc>
          <w:tcPr>
            <w:tcW w:w="2265" w:type="dxa"/>
            <w:shd w:val="clear" w:color="auto" w:fill="4F81BD"/>
            <w:vAlign w:val="center"/>
          </w:tcPr>
          <w:p w14:paraId="75720FFA" w14:textId="3085887E" w:rsidR="00474259" w:rsidRPr="00EE43C6" w:rsidRDefault="002463D9" w:rsidP="00B625EB">
            <w:pPr>
              <w:spacing w:before="0" w:after="0" w:line="240" w:lineRule="auto"/>
              <w:jc w:val="center"/>
              <w:rPr>
                <w:rFonts w:cs="Wingdings"/>
                <w:b/>
                <w:color w:val="FFFFFF" w:themeColor="background1"/>
                <w:sz w:val="18"/>
                <w:szCs w:val="18"/>
              </w:rPr>
            </w:pPr>
            <w:r w:rsidRPr="00EE43C6">
              <w:rPr>
                <w:rFonts w:cs="Wingdings"/>
                <w:b/>
                <w:bCs/>
                <w:color w:val="FFFFFF" w:themeColor="background1"/>
                <w:sz w:val="18"/>
                <w:szCs w:val="18"/>
              </w:rPr>
              <w:t>N</w:t>
            </w:r>
            <w:r w:rsidR="00AB05A8" w:rsidRPr="00EE43C6">
              <w:rPr>
                <w:rFonts w:cs="Wingdings"/>
                <w:b/>
                <w:bCs/>
                <w:color w:val="FFFFFF" w:themeColor="background1"/>
                <w:sz w:val="18"/>
                <w:szCs w:val="18"/>
              </w:rPr>
              <w:t>umber</w:t>
            </w:r>
            <w:r w:rsidR="00AB05A8" w:rsidRPr="00EE43C6">
              <w:rPr>
                <w:rFonts w:cs="Wingdings"/>
                <w:b/>
                <w:color w:val="FFFFFF" w:themeColor="background1"/>
                <w:sz w:val="18"/>
                <w:szCs w:val="18"/>
              </w:rPr>
              <w:t xml:space="preserve"> of </w:t>
            </w:r>
            <w:r w:rsidRPr="00EE43C6">
              <w:rPr>
                <w:rFonts w:cs="Wingdings"/>
                <w:b/>
                <w:bCs/>
                <w:color w:val="FFFFFF" w:themeColor="background1"/>
                <w:sz w:val="18"/>
                <w:szCs w:val="18"/>
              </w:rPr>
              <w:t>H</w:t>
            </w:r>
            <w:r w:rsidR="00AB05A8" w:rsidRPr="00EE43C6">
              <w:rPr>
                <w:rFonts w:cs="Wingdings"/>
                <w:b/>
                <w:bCs/>
                <w:color w:val="FFFFFF" w:themeColor="background1"/>
                <w:sz w:val="18"/>
                <w:szCs w:val="18"/>
              </w:rPr>
              <w:t>ouseholds</w:t>
            </w:r>
            <w:r w:rsidR="00AB05A8" w:rsidRPr="00EE43C6">
              <w:rPr>
                <w:rFonts w:cs="Wingdings"/>
                <w:b/>
                <w:color w:val="FFFFFF" w:themeColor="background1"/>
                <w:sz w:val="18"/>
                <w:szCs w:val="18"/>
              </w:rPr>
              <w:t xml:space="preserve"> (number)</w:t>
            </w:r>
          </w:p>
        </w:tc>
        <w:tc>
          <w:tcPr>
            <w:tcW w:w="2265" w:type="dxa"/>
            <w:shd w:val="clear" w:color="auto" w:fill="4F81BD"/>
            <w:vAlign w:val="center"/>
          </w:tcPr>
          <w:p w14:paraId="33DBD5A5" w14:textId="66BBA798" w:rsidR="00474259" w:rsidRPr="00EE43C6" w:rsidRDefault="002463D9" w:rsidP="00B625EB">
            <w:pPr>
              <w:spacing w:before="0" w:after="0" w:line="240" w:lineRule="auto"/>
              <w:jc w:val="center"/>
              <w:rPr>
                <w:rFonts w:cs="Wingdings"/>
                <w:b/>
                <w:color w:val="FFFFFF" w:themeColor="background1"/>
                <w:sz w:val="18"/>
                <w:szCs w:val="18"/>
              </w:rPr>
            </w:pPr>
            <w:r w:rsidRPr="00EE43C6">
              <w:rPr>
                <w:rFonts w:cs="Wingdings"/>
                <w:b/>
                <w:bCs/>
                <w:color w:val="FFFFFF" w:themeColor="background1"/>
                <w:sz w:val="18"/>
                <w:szCs w:val="18"/>
              </w:rPr>
              <w:t>Emission Mass Flowrate (kg/hour)</w:t>
            </w:r>
          </w:p>
        </w:tc>
      </w:tr>
      <w:tr w:rsidR="00474259" w:rsidRPr="00EE43C6" w14:paraId="3830459E" w14:textId="77777777" w:rsidTr="00B625EB">
        <w:trPr>
          <w:trHeight w:val="284"/>
        </w:trPr>
        <w:tc>
          <w:tcPr>
            <w:tcW w:w="2265" w:type="dxa"/>
            <w:vAlign w:val="center"/>
          </w:tcPr>
          <w:p w14:paraId="76F21731" w14:textId="4A75D82A" w:rsidR="00474259" w:rsidRPr="00EE43C6" w:rsidRDefault="00333651" w:rsidP="00B625EB">
            <w:pPr>
              <w:spacing w:before="0" w:after="0" w:line="240" w:lineRule="auto"/>
              <w:jc w:val="left"/>
              <w:rPr>
                <w:rFonts w:cs="Wingdings"/>
                <w:sz w:val="18"/>
                <w:szCs w:val="18"/>
              </w:rPr>
            </w:pPr>
            <w:r w:rsidRPr="00EE43C6">
              <w:rPr>
                <w:rFonts w:cs="Wingdings"/>
                <w:sz w:val="18"/>
                <w:szCs w:val="18"/>
              </w:rPr>
              <w:t>Gürlü Neighbourhood</w:t>
            </w:r>
          </w:p>
        </w:tc>
        <w:tc>
          <w:tcPr>
            <w:tcW w:w="2265" w:type="dxa"/>
            <w:vAlign w:val="center"/>
          </w:tcPr>
          <w:p w14:paraId="4070B075" w14:textId="0736F181" w:rsidR="00474259" w:rsidRPr="00EE43C6" w:rsidRDefault="003723DE" w:rsidP="00B625EB">
            <w:pPr>
              <w:spacing w:before="0" w:after="0" w:line="240" w:lineRule="auto"/>
              <w:jc w:val="center"/>
              <w:rPr>
                <w:rFonts w:cs="Wingdings"/>
                <w:sz w:val="18"/>
                <w:szCs w:val="18"/>
              </w:rPr>
            </w:pPr>
            <w:r w:rsidRPr="00EE43C6">
              <w:rPr>
                <w:rFonts w:cs="Wingdings"/>
                <w:sz w:val="18"/>
                <w:szCs w:val="18"/>
              </w:rPr>
              <w:t>80</w:t>
            </w:r>
          </w:p>
        </w:tc>
        <w:tc>
          <w:tcPr>
            <w:tcW w:w="2265" w:type="dxa"/>
            <w:vAlign w:val="center"/>
          </w:tcPr>
          <w:p w14:paraId="3E2E4382" w14:textId="3490D096" w:rsidR="00474259" w:rsidRPr="00EE43C6" w:rsidRDefault="003723DE" w:rsidP="00B625EB">
            <w:pPr>
              <w:spacing w:before="0" w:after="0" w:line="240" w:lineRule="auto"/>
              <w:jc w:val="center"/>
              <w:rPr>
                <w:rFonts w:cs="Wingdings"/>
                <w:sz w:val="18"/>
                <w:szCs w:val="18"/>
              </w:rPr>
            </w:pPr>
            <w:r w:rsidRPr="00EE43C6">
              <w:rPr>
                <w:rFonts w:cs="Wingdings"/>
                <w:sz w:val="18"/>
                <w:szCs w:val="18"/>
              </w:rPr>
              <w:t>20</w:t>
            </w:r>
          </w:p>
        </w:tc>
        <w:tc>
          <w:tcPr>
            <w:tcW w:w="2265" w:type="dxa"/>
            <w:vAlign w:val="center"/>
          </w:tcPr>
          <w:p w14:paraId="0FE0A540" w14:textId="2B1ED422" w:rsidR="00474259" w:rsidRPr="00EE43C6" w:rsidRDefault="00C22231" w:rsidP="00B625EB">
            <w:pPr>
              <w:spacing w:before="0" w:after="0" w:line="240" w:lineRule="auto"/>
              <w:jc w:val="center"/>
              <w:rPr>
                <w:rFonts w:cs="Wingdings"/>
                <w:sz w:val="18"/>
                <w:szCs w:val="18"/>
              </w:rPr>
            </w:pPr>
            <w:r w:rsidRPr="00EE43C6">
              <w:rPr>
                <w:rFonts w:cs="Wingdings"/>
                <w:sz w:val="18"/>
                <w:szCs w:val="18"/>
              </w:rPr>
              <w:t>0.0564</w:t>
            </w:r>
          </w:p>
        </w:tc>
      </w:tr>
      <w:tr w:rsidR="00474259" w:rsidRPr="00EE43C6" w14:paraId="750657D9" w14:textId="77777777" w:rsidTr="00B625EB">
        <w:trPr>
          <w:trHeight w:val="284"/>
        </w:trPr>
        <w:tc>
          <w:tcPr>
            <w:tcW w:w="2265" w:type="dxa"/>
            <w:vAlign w:val="center"/>
          </w:tcPr>
          <w:p w14:paraId="2EEB8F2C" w14:textId="0B689DFA" w:rsidR="00474259" w:rsidRPr="00EE43C6" w:rsidRDefault="00333651" w:rsidP="00B625EB">
            <w:pPr>
              <w:spacing w:before="0" w:after="0" w:line="240" w:lineRule="auto"/>
              <w:jc w:val="left"/>
              <w:rPr>
                <w:rFonts w:cs="Wingdings"/>
                <w:sz w:val="18"/>
                <w:szCs w:val="18"/>
              </w:rPr>
            </w:pPr>
            <w:r w:rsidRPr="00EE43C6">
              <w:rPr>
                <w:rFonts w:cs="Wingdings"/>
                <w:sz w:val="18"/>
                <w:szCs w:val="18"/>
              </w:rPr>
              <w:t>Sağlıklı Neighbourhood</w:t>
            </w:r>
          </w:p>
        </w:tc>
        <w:tc>
          <w:tcPr>
            <w:tcW w:w="2265" w:type="dxa"/>
            <w:vAlign w:val="center"/>
          </w:tcPr>
          <w:p w14:paraId="1DE05D7C" w14:textId="17FC0660" w:rsidR="00474259" w:rsidRPr="00EE43C6" w:rsidRDefault="003723DE" w:rsidP="00B625EB">
            <w:pPr>
              <w:spacing w:before="0" w:after="0" w:line="240" w:lineRule="auto"/>
              <w:jc w:val="center"/>
              <w:rPr>
                <w:rFonts w:cs="Wingdings"/>
                <w:sz w:val="18"/>
                <w:szCs w:val="18"/>
              </w:rPr>
            </w:pPr>
            <w:r w:rsidRPr="00EE43C6">
              <w:rPr>
                <w:rFonts w:cs="Wingdings"/>
                <w:sz w:val="18"/>
                <w:szCs w:val="18"/>
              </w:rPr>
              <w:t>1,283</w:t>
            </w:r>
          </w:p>
        </w:tc>
        <w:tc>
          <w:tcPr>
            <w:tcW w:w="2265" w:type="dxa"/>
            <w:vAlign w:val="center"/>
          </w:tcPr>
          <w:p w14:paraId="436F1100" w14:textId="139B39F2" w:rsidR="00474259" w:rsidRPr="00EE43C6" w:rsidRDefault="003723DE" w:rsidP="00B625EB">
            <w:pPr>
              <w:spacing w:before="0" w:after="0" w:line="240" w:lineRule="auto"/>
              <w:jc w:val="center"/>
              <w:rPr>
                <w:rFonts w:cs="Wingdings"/>
                <w:sz w:val="18"/>
                <w:szCs w:val="18"/>
              </w:rPr>
            </w:pPr>
            <w:r w:rsidRPr="00EE43C6">
              <w:rPr>
                <w:rFonts w:cs="Wingdings"/>
                <w:sz w:val="18"/>
                <w:szCs w:val="18"/>
              </w:rPr>
              <w:t>321</w:t>
            </w:r>
          </w:p>
        </w:tc>
        <w:tc>
          <w:tcPr>
            <w:tcW w:w="2265" w:type="dxa"/>
            <w:vAlign w:val="center"/>
          </w:tcPr>
          <w:p w14:paraId="16EBF442" w14:textId="58BCEE3F" w:rsidR="00474259" w:rsidRPr="00EE43C6" w:rsidRDefault="00C22231" w:rsidP="00B625EB">
            <w:pPr>
              <w:spacing w:before="0" w:after="0" w:line="240" w:lineRule="auto"/>
              <w:jc w:val="center"/>
              <w:rPr>
                <w:rFonts w:cs="Wingdings"/>
                <w:sz w:val="18"/>
                <w:szCs w:val="18"/>
              </w:rPr>
            </w:pPr>
            <w:r w:rsidRPr="00EE43C6">
              <w:rPr>
                <w:rFonts w:cs="Wingdings"/>
                <w:sz w:val="18"/>
                <w:szCs w:val="18"/>
              </w:rPr>
              <w:t>0.9046</w:t>
            </w:r>
          </w:p>
        </w:tc>
      </w:tr>
      <w:tr w:rsidR="00474259" w:rsidRPr="00EE43C6" w14:paraId="57538D23" w14:textId="77777777" w:rsidTr="00B625EB">
        <w:trPr>
          <w:trHeight w:val="284"/>
        </w:trPr>
        <w:tc>
          <w:tcPr>
            <w:tcW w:w="2265" w:type="dxa"/>
            <w:vAlign w:val="center"/>
          </w:tcPr>
          <w:p w14:paraId="0F6511CD" w14:textId="6A5DDE0C" w:rsidR="00474259" w:rsidRPr="00EE43C6" w:rsidRDefault="00333651" w:rsidP="00B625EB">
            <w:pPr>
              <w:spacing w:before="0" w:after="0" w:line="240" w:lineRule="auto"/>
              <w:jc w:val="left"/>
              <w:rPr>
                <w:rFonts w:cs="Wingdings"/>
                <w:sz w:val="18"/>
                <w:szCs w:val="18"/>
              </w:rPr>
            </w:pPr>
            <w:r w:rsidRPr="00EE43C6">
              <w:rPr>
                <w:rFonts w:cs="Wingdings"/>
                <w:sz w:val="18"/>
                <w:szCs w:val="18"/>
              </w:rPr>
              <w:t>Kurbanlı Neighbourhood</w:t>
            </w:r>
          </w:p>
        </w:tc>
        <w:tc>
          <w:tcPr>
            <w:tcW w:w="2265" w:type="dxa"/>
            <w:vAlign w:val="center"/>
          </w:tcPr>
          <w:p w14:paraId="3368A397" w14:textId="1A5E6A5C" w:rsidR="00474259" w:rsidRPr="00EE43C6" w:rsidRDefault="003723DE" w:rsidP="00B625EB">
            <w:pPr>
              <w:spacing w:before="0" w:after="0" w:line="240" w:lineRule="auto"/>
              <w:jc w:val="center"/>
              <w:rPr>
                <w:rFonts w:cs="Wingdings"/>
                <w:sz w:val="18"/>
                <w:szCs w:val="18"/>
              </w:rPr>
            </w:pPr>
            <w:r w:rsidRPr="00EE43C6">
              <w:rPr>
                <w:rFonts w:cs="Wingdings"/>
                <w:sz w:val="18"/>
                <w:szCs w:val="18"/>
              </w:rPr>
              <w:t>152</w:t>
            </w:r>
          </w:p>
        </w:tc>
        <w:tc>
          <w:tcPr>
            <w:tcW w:w="2265" w:type="dxa"/>
            <w:vAlign w:val="center"/>
          </w:tcPr>
          <w:p w14:paraId="5058A196" w14:textId="458CE99D" w:rsidR="00474259" w:rsidRPr="00EE43C6" w:rsidRDefault="003723DE" w:rsidP="00B625EB">
            <w:pPr>
              <w:spacing w:before="0" w:after="0" w:line="240" w:lineRule="auto"/>
              <w:jc w:val="center"/>
              <w:rPr>
                <w:rFonts w:cs="Wingdings"/>
                <w:sz w:val="18"/>
                <w:szCs w:val="18"/>
              </w:rPr>
            </w:pPr>
            <w:r w:rsidRPr="00EE43C6">
              <w:rPr>
                <w:rFonts w:cs="Wingdings"/>
                <w:sz w:val="18"/>
                <w:szCs w:val="18"/>
              </w:rPr>
              <w:t>38</w:t>
            </w:r>
          </w:p>
        </w:tc>
        <w:tc>
          <w:tcPr>
            <w:tcW w:w="2265" w:type="dxa"/>
            <w:vAlign w:val="center"/>
          </w:tcPr>
          <w:p w14:paraId="733BC723" w14:textId="0291CA04" w:rsidR="00474259" w:rsidRPr="00EE43C6" w:rsidRDefault="00C22231" w:rsidP="00B625EB">
            <w:pPr>
              <w:spacing w:before="0" w:after="0" w:line="240" w:lineRule="auto"/>
              <w:jc w:val="center"/>
              <w:rPr>
                <w:rFonts w:cs="Wingdings"/>
                <w:sz w:val="18"/>
                <w:szCs w:val="18"/>
              </w:rPr>
            </w:pPr>
            <w:r w:rsidRPr="00EE43C6">
              <w:rPr>
                <w:rFonts w:cs="Wingdings"/>
                <w:sz w:val="18"/>
                <w:szCs w:val="18"/>
              </w:rPr>
              <w:t>0.1071</w:t>
            </w:r>
          </w:p>
        </w:tc>
      </w:tr>
      <w:tr w:rsidR="00474259" w:rsidRPr="00EE43C6" w14:paraId="2E242348" w14:textId="77777777" w:rsidTr="00B625EB">
        <w:trPr>
          <w:trHeight w:val="284"/>
        </w:trPr>
        <w:tc>
          <w:tcPr>
            <w:tcW w:w="2265" w:type="dxa"/>
            <w:vAlign w:val="center"/>
          </w:tcPr>
          <w:p w14:paraId="3B5A68A2" w14:textId="4AD07AEC" w:rsidR="00474259" w:rsidRPr="00EE43C6" w:rsidRDefault="00333651" w:rsidP="00B625EB">
            <w:pPr>
              <w:spacing w:before="0" w:after="0" w:line="240" w:lineRule="auto"/>
              <w:jc w:val="left"/>
              <w:rPr>
                <w:rFonts w:cs="Wingdings"/>
                <w:sz w:val="18"/>
                <w:szCs w:val="18"/>
              </w:rPr>
            </w:pPr>
            <w:r w:rsidRPr="00EE43C6">
              <w:rPr>
                <w:rFonts w:cs="Wingdings"/>
                <w:sz w:val="18"/>
                <w:szCs w:val="18"/>
              </w:rPr>
              <w:t>Eskişehir Neighbourhood</w:t>
            </w:r>
          </w:p>
        </w:tc>
        <w:tc>
          <w:tcPr>
            <w:tcW w:w="2265" w:type="dxa"/>
            <w:vAlign w:val="center"/>
          </w:tcPr>
          <w:p w14:paraId="166CDE6E" w14:textId="627F1BB5" w:rsidR="00474259" w:rsidRPr="00EE43C6" w:rsidRDefault="003723DE" w:rsidP="00B625EB">
            <w:pPr>
              <w:spacing w:before="0" w:after="0" w:line="240" w:lineRule="auto"/>
              <w:jc w:val="center"/>
              <w:rPr>
                <w:rFonts w:cs="Wingdings"/>
                <w:sz w:val="18"/>
                <w:szCs w:val="18"/>
              </w:rPr>
            </w:pPr>
            <w:r w:rsidRPr="00EE43C6">
              <w:rPr>
                <w:rFonts w:cs="Wingdings"/>
                <w:sz w:val="18"/>
                <w:szCs w:val="18"/>
              </w:rPr>
              <w:t>94</w:t>
            </w:r>
          </w:p>
        </w:tc>
        <w:tc>
          <w:tcPr>
            <w:tcW w:w="2265" w:type="dxa"/>
            <w:vAlign w:val="center"/>
          </w:tcPr>
          <w:p w14:paraId="699DD1B0" w14:textId="47215E8D" w:rsidR="00474259" w:rsidRPr="00EE43C6" w:rsidRDefault="003723DE" w:rsidP="00B625EB">
            <w:pPr>
              <w:spacing w:before="0" w:after="0" w:line="240" w:lineRule="auto"/>
              <w:jc w:val="center"/>
              <w:rPr>
                <w:rFonts w:cs="Wingdings"/>
                <w:sz w:val="18"/>
                <w:szCs w:val="18"/>
              </w:rPr>
            </w:pPr>
            <w:r w:rsidRPr="00EE43C6">
              <w:rPr>
                <w:rFonts w:cs="Wingdings"/>
                <w:sz w:val="18"/>
                <w:szCs w:val="18"/>
              </w:rPr>
              <w:t>24</w:t>
            </w:r>
          </w:p>
        </w:tc>
        <w:tc>
          <w:tcPr>
            <w:tcW w:w="2265" w:type="dxa"/>
            <w:vAlign w:val="center"/>
          </w:tcPr>
          <w:p w14:paraId="668241D3" w14:textId="59BE88F8" w:rsidR="00474259" w:rsidRPr="00EE43C6" w:rsidRDefault="00C22231" w:rsidP="00B625EB">
            <w:pPr>
              <w:spacing w:before="0" w:after="0" w:line="240" w:lineRule="auto"/>
              <w:jc w:val="center"/>
              <w:rPr>
                <w:rFonts w:cs="Wingdings"/>
                <w:sz w:val="18"/>
                <w:szCs w:val="18"/>
              </w:rPr>
            </w:pPr>
            <w:r w:rsidRPr="00EE43C6">
              <w:rPr>
                <w:rFonts w:cs="Wingdings"/>
                <w:sz w:val="18"/>
                <w:szCs w:val="18"/>
              </w:rPr>
              <w:t>0.0676</w:t>
            </w:r>
          </w:p>
        </w:tc>
      </w:tr>
      <w:tr w:rsidR="00474259" w:rsidRPr="00EE43C6" w14:paraId="53F4F18D" w14:textId="77777777" w:rsidTr="00B625EB">
        <w:trPr>
          <w:trHeight w:val="284"/>
        </w:trPr>
        <w:tc>
          <w:tcPr>
            <w:tcW w:w="6795" w:type="dxa"/>
            <w:gridSpan w:val="3"/>
            <w:vAlign w:val="center"/>
          </w:tcPr>
          <w:p w14:paraId="25BE13AC" w14:textId="70DDE9A4" w:rsidR="00474259" w:rsidRPr="00EE43C6" w:rsidRDefault="0034791A" w:rsidP="00B625EB">
            <w:pPr>
              <w:spacing w:before="0" w:after="0" w:line="240" w:lineRule="auto"/>
              <w:jc w:val="right"/>
              <w:rPr>
                <w:rFonts w:cs="Wingdings"/>
                <w:b/>
                <w:sz w:val="18"/>
                <w:szCs w:val="18"/>
              </w:rPr>
            </w:pPr>
            <w:r w:rsidRPr="00EE43C6">
              <w:rPr>
                <w:rFonts w:cs="Wingdings"/>
                <w:b/>
                <w:bCs/>
                <w:sz w:val="18"/>
                <w:szCs w:val="18"/>
              </w:rPr>
              <w:t>TOTAL</w:t>
            </w:r>
          </w:p>
        </w:tc>
        <w:tc>
          <w:tcPr>
            <w:tcW w:w="2265" w:type="dxa"/>
            <w:vAlign w:val="center"/>
          </w:tcPr>
          <w:p w14:paraId="0805720C" w14:textId="711F20B7" w:rsidR="00474259" w:rsidRPr="00EE43C6" w:rsidRDefault="00C22231" w:rsidP="00B625EB">
            <w:pPr>
              <w:spacing w:before="0" w:after="0" w:line="240" w:lineRule="auto"/>
              <w:jc w:val="center"/>
              <w:rPr>
                <w:rFonts w:cs="Wingdings"/>
                <w:b/>
                <w:sz w:val="18"/>
                <w:szCs w:val="18"/>
              </w:rPr>
            </w:pPr>
            <w:r w:rsidRPr="00EE43C6">
              <w:rPr>
                <w:rFonts w:cs="Wingdings"/>
                <w:b/>
                <w:bCs/>
                <w:sz w:val="18"/>
                <w:szCs w:val="18"/>
              </w:rPr>
              <w:t>1.1357</w:t>
            </w:r>
          </w:p>
        </w:tc>
      </w:tr>
    </w:tbl>
    <w:p w14:paraId="59248516" w14:textId="04B14CCF" w:rsidR="008D352B" w:rsidRPr="00EE43C6" w:rsidRDefault="00F202CC" w:rsidP="00B625EB">
      <w:pPr>
        <w:rPr>
          <w:rFonts w:cs="Wingdings"/>
          <w:szCs w:val="18"/>
        </w:rPr>
      </w:pPr>
      <w:r w:rsidRPr="00EE43C6">
        <w:rPr>
          <w:rFonts w:cs="Wingdings"/>
          <w:szCs w:val="18"/>
        </w:rPr>
        <w:t xml:space="preserve">As for the road-related </w:t>
      </w:r>
      <w:r w:rsidR="00F916AA" w:rsidRPr="00EE43C6">
        <w:rPr>
          <w:rFonts w:cs="Wingdings"/>
          <w:szCs w:val="18"/>
        </w:rPr>
        <w:t xml:space="preserve">cumulative environmental </w:t>
      </w:r>
      <w:r w:rsidRPr="00EE43C6">
        <w:rPr>
          <w:rFonts w:cs="Wingdings"/>
          <w:szCs w:val="18"/>
        </w:rPr>
        <w:t xml:space="preserve">impacts, according to the 2020 state highways traffic volume map published by the General Directorate of Highways, the annual average daily number of vehicles on the Ankara-Aksaray </w:t>
      </w:r>
      <w:r w:rsidR="00CF6FFD" w:rsidRPr="00EE43C6">
        <w:rPr>
          <w:rFonts w:cs="Wingdings"/>
          <w:szCs w:val="18"/>
        </w:rPr>
        <w:t>Road</w:t>
      </w:r>
      <w:r w:rsidRPr="00EE43C6">
        <w:rPr>
          <w:rFonts w:cs="Wingdings"/>
          <w:szCs w:val="18"/>
        </w:rPr>
        <w:t xml:space="preserve"> (D750) passing through the west of the </w:t>
      </w:r>
      <w:r w:rsidR="0056294A" w:rsidRPr="00EE43C6">
        <w:rPr>
          <w:rFonts w:cs="Wingdings"/>
          <w:szCs w:val="18"/>
        </w:rPr>
        <w:t>P</w:t>
      </w:r>
      <w:r w:rsidRPr="00EE43C6">
        <w:rPr>
          <w:rFonts w:cs="Wingdings"/>
          <w:szCs w:val="18"/>
        </w:rPr>
        <w:t xml:space="preserve">roject </w:t>
      </w:r>
      <w:r w:rsidR="0056294A" w:rsidRPr="00EE43C6">
        <w:rPr>
          <w:rFonts w:cs="Wingdings"/>
          <w:szCs w:val="18"/>
        </w:rPr>
        <w:t>A</w:t>
      </w:r>
      <w:r w:rsidRPr="00EE43C6">
        <w:rPr>
          <w:rFonts w:cs="Wingdings"/>
          <w:szCs w:val="18"/>
        </w:rPr>
        <w:t xml:space="preserve">rea is 3,673 vehicles. Of these vehicles, 2,377 are automobiles, 419 are medium-load commercial vehicles, 14 are buses, 362 are trucks and 501 are </w:t>
      </w:r>
      <w:r w:rsidR="0065658C" w:rsidRPr="00EE43C6">
        <w:rPr>
          <w:rFonts w:cs="Wingdings"/>
          <w:szCs w:val="18"/>
        </w:rPr>
        <w:t>tow</w:t>
      </w:r>
      <w:r w:rsidRPr="00EE43C6">
        <w:rPr>
          <w:rFonts w:cs="Wingdings"/>
          <w:szCs w:val="18"/>
        </w:rPr>
        <w:t xml:space="preserve"> trucks.</w:t>
      </w:r>
    </w:p>
    <w:p w14:paraId="6329928F" w14:textId="6FD0D5EA" w:rsidR="006C1B95" w:rsidRPr="00EE43C6" w:rsidRDefault="006C1B95" w:rsidP="00B625EB">
      <w:pPr>
        <w:rPr>
          <w:rFonts w:cs="Wingdings"/>
          <w:szCs w:val="18"/>
        </w:rPr>
      </w:pPr>
      <w:r w:rsidRPr="00EE43C6">
        <w:rPr>
          <w:rFonts w:cs="Wingdings"/>
          <w:szCs w:val="18"/>
        </w:rPr>
        <w:t xml:space="preserve">According to the 2020 state highway traffic volume map published by the General Directorate of Highways, the annual average daily number of vehicles on the highway from the Tarsus-Ankara Highway (E90, O-21) passing through the east of the </w:t>
      </w:r>
      <w:r w:rsidR="00B7694B" w:rsidRPr="00EE43C6">
        <w:rPr>
          <w:rFonts w:cs="Wingdings"/>
          <w:szCs w:val="18"/>
        </w:rPr>
        <w:t>P</w:t>
      </w:r>
      <w:r w:rsidRPr="00EE43C6">
        <w:rPr>
          <w:rFonts w:cs="Wingdings"/>
          <w:szCs w:val="18"/>
        </w:rPr>
        <w:t xml:space="preserve">roject </w:t>
      </w:r>
      <w:r w:rsidR="00B7694B" w:rsidRPr="00EE43C6">
        <w:rPr>
          <w:rFonts w:cs="Wingdings"/>
          <w:szCs w:val="18"/>
        </w:rPr>
        <w:t>A</w:t>
      </w:r>
      <w:r w:rsidRPr="00EE43C6">
        <w:rPr>
          <w:rFonts w:cs="Wingdings"/>
          <w:szCs w:val="18"/>
        </w:rPr>
        <w:t>rea is 22,830 vehicles. 12,890 of these vehicles are light vehicles and 9,940 are heavy vehicles.</w:t>
      </w:r>
    </w:p>
    <w:p w14:paraId="6ED4FD3B" w14:textId="3FC4B579" w:rsidR="0050333D" w:rsidRPr="00EE43C6" w:rsidRDefault="00D90C5C" w:rsidP="00B625EB">
      <w:pPr>
        <w:rPr>
          <w:rFonts w:cs="Wingdings"/>
          <w:szCs w:val="18"/>
        </w:rPr>
      </w:pPr>
      <w:r w:rsidRPr="00EE43C6">
        <w:rPr>
          <w:rFonts w:cs="Wingdings"/>
          <w:szCs w:val="18"/>
        </w:rPr>
        <w:t>In the calculation of PM</w:t>
      </w:r>
      <w:r w:rsidRPr="00EE43C6">
        <w:rPr>
          <w:rFonts w:cs="Wingdings"/>
          <w:szCs w:val="18"/>
          <w:vertAlign w:val="subscript"/>
        </w:rPr>
        <w:t>10</w:t>
      </w:r>
      <w:r w:rsidRPr="00EE43C6">
        <w:rPr>
          <w:rFonts w:cs="Wingdings"/>
          <w:szCs w:val="18"/>
        </w:rPr>
        <w:t xml:space="preserve"> emissions from vehicles, air emissions in grams per vehicle and km, EMEP/EEA Air Pollutant Emission Inventory Guide</w:t>
      </w:r>
      <w:r w:rsidR="00056B54" w:rsidRPr="00EE43C6">
        <w:rPr>
          <w:rFonts w:cs="Wingdings"/>
          <w:szCs w:val="18"/>
        </w:rPr>
        <w:t xml:space="preserve"> </w:t>
      </w:r>
      <w:r w:rsidR="00354474" w:rsidRPr="00EE43C6">
        <w:rPr>
          <w:rFonts w:cs="Wingdings"/>
          <w:szCs w:val="18"/>
        </w:rPr>
        <w:t xml:space="preserve">(EMEP/EEA 2016 update Jul. 2018) </w:t>
      </w:r>
      <w:r w:rsidR="00056B54" w:rsidRPr="00EE43C6">
        <w:rPr>
          <w:rFonts w:cs="Wingdings"/>
          <w:szCs w:val="18"/>
        </w:rPr>
        <w:t>published by the European Environment Agency</w:t>
      </w:r>
      <w:r w:rsidRPr="00EE43C6">
        <w:rPr>
          <w:rFonts w:cs="Wingdings"/>
          <w:szCs w:val="18"/>
        </w:rPr>
        <w:t xml:space="preserve">, Section 1.A.3.b Road Transport emission factors </w:t>
      </w:r>
      <w:r w:rsidR="00DF6A24" w:rsidRPr="00EE43C6">
        <w:rPr>
          <w:rFonts w:cs="Wingdings"/>
          <w:szCs w:val="18"/>
        </w:rPr>
        <w:t>were used</w:t>
      </w:r>
      <w:r w:rsidRPr="00EE43C6">
        <w:rPr>
          <w:rFonts w:cs="Wingdings"/>
          <w:szCs w:val="18"/>
        </w:rPr>
        <w:t>.</w:t>
      </w:r>
    </w:p>
    <w:p w14:paraId="6A2026FB" w14:textId="004CA807" w:rsidR="00062C6D" w:rsidRPr="00EE43C6" w:rsidRDefault="00C86992" w:rsidP="00B625EB">
      <w:pPr>
        <w:rPr>
          <w:rFonts w:cs="Wingdings"/>
          <w:szCs w:val="18"/>
        </w:rPr>
      </w:pPr>
      <w:r w:rsidRPr="00EE43C6">
        <w:rPr>
          <w:rFonts w:cs="Wingdings"/>
          <w:szCs w:val="18"/>
        </w:rPr>
        <w:lastRenderedPageBreak/>
        <w:t xml:space="preserve">According to TurkStat 2021 Distribution of Registered Cars by Fuel Type, 24.9% of the vehicles are gasoline, 38.1% diesel, 36.3% LPG, 0.4% hybrid and 0.3% unknown. However, when determining the emission factor, the worst case was </w:t>
      </w:r>
      <w:r w:rsidR="00933B0C" w:rsidRPr="00EE43C6">
        <w:rPr>
          <w:rFonts w:cs="Wingdings"/>
          <w:szCs w:val="18"/>
        </w:rPr>
        <w:t>considered</w:t>
      </w:r>
      <w:r w:rsidRPr="00EE43C6">
        <w:rPr>
          <w:rFonts w:cs="Wingdings"/>
          <w:szCs w:val="18"/>
        </w:rPr>
        <w:t xml:space="preserve"> and the diesel vehicle and conventional driven vehicle class with the largest emission factor were selected.</w:t>
      </w:r>
    </w:p>
    <w:p w14:paraId="239F3231" w14:textId="7EA6FAED" w:rsidR="00933B0C" w:rsidRPr="00EE43C6" w:rsidRDefault="006A7BAE" w:rsidP="00B625EB">
      <w:pPr>
        <w:rPr>
          <w:rFonts w:cs="Wingdings"/>
          <w:szCs w:val="18"/>
        </w:rPr>
      </w:pPr>
      <w:r w:rsidRPr="00EE43C6">
        <w:rPr>
          <w:rFonts w:cs="Wingdings"/>
          <w:szCs w:val="18"/>
        </w:rPr>
        <w:t xml:space="preserve">The </w:t>
      </w:r>
      <w:r w:rsidR="00764CA4" w:rsidRPr="00EE43C6">
        <w:rPr>
          <w:rFonts w:cs="Wingdings"/>
          <w:szCs w:val="18"/>
        </w:rPr>
        <w:t xml:space="preserve">impact </w:t>
      </w:r>
      <w:r w:rsidRPr="00EE43C6">
        <w:rPr>
          <w:rFonts w:cs="Wingdings"/>
          <w:szCs w:val="18"/>
        </w:rPr>
        <w:t>area includes 4.2 km of Ankara-Aksaray Road and 1.6 km of Tarsus-Ankara Highway.</w:t>
      </w:r>
    </w:p>
    <w:p w14:paraId="1B8851CA" w14:textId="1E8144C0" w:rsidR="006A7BAE" w:rsidRPr="00EE43C6" w:rsidRDefault="00B369EA" w:rsidP="001E0229">
      <w:pPr>
        <w:spacing w:after="0"/>
        <w:rPr>
          <w:rFonts w:cs="Wingdings"/>
          <w:szCs w:val="18"/>
        </w:rPr>
      </w:pPr>
      <w:r w:rsidRPr="00EE43C6">
        <w:rPr>
          <w:rFonts w:cs="Wingdings"/>
          <w:szCs w:val="18"/>
        </w:rPr>
        <w:t xml:space="preserve">Mass flowrates calculated according to the emission factors given in the </w:t>
      </w:r>
      <w:r w:rsidR="008A55ED" w:rsidRPr="00EE43C6">
        <w:rPr>
          <w:rFonts w:cs="Wingdings"/>
          <w:szCs w:val="18"/>
        </w:rPr>
        <w:t>EMEP/EEA Air Pollutant Emission Inventory Guide</w:t>
      </w:r>
      <w:r w:rsidRPr="00EE43C6">
        <w:rPr>
          <w:rFonts w:cs="Wingdings"/>
          <w:szCs w:val="18"/>
        </w:rPr>
        <w:t xml:space="preserve"> are given in </w:t>
      </w:r>
      <w:r w:rsidR="00EB703F" w:rsidRPr="00EE43C6">
        <w:rPr>
          <w:rFonts w:cs="Wingdings"/>
          <w:szCs w:val="18"/>
        </w:rPr>
        <w:fldChar w:fldCharType="begin"/>
      </w:r>
      <w:r w:rsidR="00EB703F" w:rsidRPr="00EE43C6">
        <w:rPr>
          <w:rFonts w:cs="Wingdings"/>
          <w:szCs w:val="18"/>
        </w:rPr>
        <w:instrText xml:space="preserve"> REF _Ref125729107 \h </w:instrText>
      </w:r>
      <w:r w:rsidR="00EB703F" w:rsidRPr="00EE43C6">
        <w:rPr>
          <w:rFonts w:cs="Wingdings"/>
          <w:szCs w:val="18"/>
        </w:rPr>
      </w:r>
      <w:r w:rsidR="00EB703F" w:rsidRPr="00EE43C6">
        <w:rPr>
          <w:rFonts w:cs="Wingdings"/>
          <w:szCs w:val="18"/>
        </w:rPr>
        <w:fldChar w:fldCharType="separate"/>
      </w:r>
      <w:r w:rsidR="0068744F" w:rsidRPr="00EE43C6">
        <w:t>Table 6</w:t>
      </w:r>
      <w:r w:rsidR="0068744F" w:rsidRPr="00EE43C6">
        <w:noBreakHyphen/>
        <w:t>8</w:t>
      </w:r>
      <w:r w:rsidR="00EB703F" w:rsidRPr="00EE43C6">
        <w:rPr>
          <w:rFonts w:cs="Wingdings"/>
          <w:szCs w:val="18"/>
        </w:rPr>
        <w:fldChar w:fldCharType="end"/>
      </w:r>
      <w:r w:rsidR="00EB703F" w:rsidRPr="00EE43C6">
        <w:rPr>
          <w:rFonts w:cs="Wingdings"/>
          <w:szCs w:val="18"/>
        </w:rPr>
        <w:t xml:space="preserve"> and </w:t>
      </w:r>
      <w:r w:rsidR="00EB703F" w:rsidRPr="00EE43C6">
        <w:rPr>
          <w:rFonts w:cs="Wingdings"/>
          <w:szCs w:val="18"/>
        </w:rPr>
        <w:fldChar w:fldCharType="begin"/>
      </w:r>
      <w:r w:rsidR="00EB703F" w:rsidRPr="00EE43C6">
        <w:rPr>
          <w:rFonts w:cs="Wingdings"/>
          <w:szCs w:val="18"/>
        </w:rPr>
        <w:instrText xml:space="preserve"> REF _Ref125729113 \h </w:instrText>
      </w:r>
      <w:r w:rsidR="00EB703F" w:rsidRPr="00EE43C6">
        <w:rPr>
          <w:rFonts w:cs="Wingdings"/>
          <w:szCs w:val="18"/>
        </w:rPr>
      </w:r>
      <w:r w:rsidR="00EB703F" w:rsidRPr="00EE43C6">
        <w:rPr>
          <w:rFonts w:cs="Wingdings"/>
          <w:szCs w:val="18"/>
        </w:rPr>
        <w:fldChar w:fldCharType="separate"/>
      </w:r>
      <w:r w:rsidR="0068744F" w:rsidRPr="00EE43C6">
        <w:t>Table 6</w:t>
      </w:r>
      <w:r w:rsidR="0068744F" w:rsidRPr="00EE43C6">
        <w:noBreakHyphen/>
        <w:t>9</w:t>
      </w:r>
      <w:r w:rsidR="00EB703F" w:rsidRPr="00EE43C6">
        <w:rPr>
          <w:rFonts w:cs="Wingdings"/>
          <w:szCs w:val="18"/>
        </w:rPr>
        <w:fldChar w:fldCharType="end"/>
      </w:r>
      <w:r w:rsidRPr="00EE43C6">
        <w:rPr>
          <w:rFonts w:cs="Wingdings"/>
          <w:szCs w:val="18"/>
        </w:rPr>
        <w:t>.</w:t>
      </w:r>
      <w:r w:rsidR="002E27F8" w:rsidRPr="00EE43C6">
        <w:rPr>
          <w:rFonts w:cs="Wingdings"/>
          <w:szCs w:val="18"/>
        </w:rPr>
        <w:t xml:space="preserve"> In this context, the calculation has been made cumulatively due to the quarries very close to the Project Area, which cause permanently continuous intense dust emission. In addition, the main road traffic passing through the Project Area will also have a high impact. Considering these high impacts, dust emission mass flowrate calculation has been made.</w:t>
      </w:r>
    </w:p>
    <w:p w14:paraId="563441E7" w14:textId="1A636732" w:rsidR="00C96A36" w:rsidRPr="00EE43C6" w:rsidRDefault="00EB703F" w:rsidP="001E0229">
      <w:pPr>
        <w:pStyle w:val="Caption"/>
        <w:spacing w:before="240"/>
        <w:rPr>
          <w:rFonts w:cs="Wingdings"/>
          <w:noProof w:val="0"/>
          <w:szCs w:val="18"/>
        </w:rPr>
      </w:pPr>
      <w:bookmarkStart w:id="478" w:name="_Ref125729107"/>
      <w:bookmarkStart w:id="479" w:name="_Toc141445517"/>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8</w:t>
      </w:r>
      <w:r w:rsidR="006D2DE8">
        <w:rPr>
          <w:noProof w:val="0"/>
        </w:rPr>
        <w:fldChar w:fldCharType="end"/>
      </w:r>
      <w:bookmarkEnd w:id="478"/>
      <w:r w:rsidRPr="00EE43C6">
        <w:rPr>
          <w:noProof w:val="0"/>
        </w:rPr>
        <w:t xml:space="preserve">. </w:t>
      </w:r>
      <w:r w:rsidR="00473C89" w:rsidRPr="00EE43C6">
        <w:rPr>
          <w:rFonts w:cs="Wingdings"/>
          <w:b w:val="0"/>
          <w:noProof w:val="0"/>
          <w:color w:val="auto"/>
          <w:szCs w:val="18"/>
        </w:rPr>
        <w:t>Emission Factors and Dust Emission Mass Flowrates of Vehicles on Ankara-Aksaray Road</w:t>
      </w:r>
      <w:bookmarkEnd w:id="479"/>
    </w:p>
    <w:tbl>
      <w:tblPr>
        <w:tblStyle w:val="TableGrid"/>
        <w:tblW w:w="0" w:type="auto"/>
        <w:tblLook w:val="04A0" w:firstRow="1" w:lastRow="0" w:firstColumn="1" w:lastColumn="0" w:noHBand="0" w:noVBand="1"/>
      </w:tblPr>
      <w:tblGrid>
        <w:gridCol w:w="1812"/>
        <w:gridCol w:w="1812"/>
        <w:gridCol w:w="1812"/>
        <w:gridCol w:w="1812"/>
        <w:gridCol w:w="1812"/>
      </w:tblGrid>
      <w:tr w:rsidR="008A7433" w:rsidRPr="00EE43C6" w14:paraId="23764928" w14:textId="77777777" w:rsidTr="00B625EB">
        <w:trPr>
          <w:trHeight w:val="284"/>
        </w:trPr>
        <w:tc>
          <w:tcPr>
            <w:tcW w:w="1812" w:type="dxa"/>
            <w:shd w:val="clear" w:color="auto" w:fill="4F81BD"/>
            <w:vAlign w:val="center"/>
          </w:tcPr>
          <w:p w14:paraId="6A0241A6" w14:textId="4D6CCBC7" w:rsidR="008A7433" w:rsidRPr="00EE43C6" w:rsidRDefault="00D801C3"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Vehicle</w:t>
            </w:r>
          </w:p>
        </w:tc>
        <w:tc>
          <w:tcPr>
            <w:tcW w:w="1812" w:type="dxa"/>
            <w:shd w:val="clear" w:color="auto" w:fill="4F81BD"/>
            <w:vAlign w:val="center"/>
          </w:tcPr>
          <w:p w14:paraId="739D7B2E" w14:textId="3CA735FE" w:rsidR="008A7433" w:rsidRPr="00EE43C6" w:rsidRDefault="00BB4897"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Number of Vehicles (day)</w:t>
            </w:r>
          </w:p>
        </w:tc>
        <w:tc>
          <w:tcPr>
            <w:tcW w:w="1812" w:type="dxa"/>
            <w:shd w:val="clear" w:color="auto" w:fill="4F81BD"/>
            <w:vAlign w:val="center"/>
          </w:tcPr>
          <w:p w14:paraId="7B8B99E7" w14:textId="65D8DA20" w:rsidR="008A7433" w:rsidRPr="00EE43C6" w:rsidRDefault="00496A64"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Emission Factor (g/km)</w:t>
            </w:r>
          </w:p>
        </w:tc>
        <w:tc>
          <w:tcPr>
            <w:tcW w:w="1812" w:type="dxa"/>
            <w:shd w:val="clear" w:color="auto" w:fill="4F81BD"/>
            <w:vAlign w:val="center"/>
          </w:tcPr>
          <w:p w14:paraId="359C3F69" w14:textId="702EB098" w:rsidR="008A7433" w:rsidRPr="00EE43C6" w:rsidRDefault="00606787"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 xml:space="preserve">Remaining </w:t>
            </w:r>
            <w:r w:rsidR="00680A61" w:rsidRPr="00EE43C6">
              <w:rPr>
                <w:rFonts w:cs="Wingdings"/>
                <w:b/>
                <w:bCs/>
                <w:color w:val="FFFFFF" w:themeColor="background1"/>
                <w:sz w:val="18"/>
                <w:szCs w:val="18"/>
              </w:rPr>
              <w:t xml:space="preserve">Road </w:t>
            </w:r>
            <w:r w:rsidR="0094440E" w:rsidRPr="00EE43C6">
              <w:rPr>
                <w:rFonts w:cs="Wingdings"/>
                <w:b/>
                <w:color w:val="FFFFFF" w:themeColor="background1"/>
                <w:sz w:val="18"/>
                <w:szCs w:val="18"/>
              </w:rPr>
              <w:t>within the Area</w:t>
            </w:r>
            <w:r w:rsidR="00D659C0" w:rsidRPr="00EE43C6">
              <w:rPr>
                <w:rFonts w:cs="Wingdings"/>
                <w:b/>
                <w:color w:val="FFFFFF" w:themeColor="background1"/>
                <w:sz w:val="18"/>
                <w:szCs w:val="18"/>
              </w:rPr>
              <w:t xml:space="preserve"> of Influence</w:t>
            </w:r>
            <w:r w:rsidR="0094440E" w:rsidRPr="00EE43C6">
              <w:rPr>
                <w:rFonts w:cs="Wingdings"/>
                <w:b/>
                <w:color w:val="FFFFFF" w:themeColor="background1"/>
                <w:sz w:val="18"/>
                <w:szCs w:val="18"/>
              </w:rPr>
              <w:t xml:space="preserve"> (km)</w:t>
            </w:r>
          </w:p>
        </w:tc>
        <w:tc>
          <w:tcPr>
            <w:tcW w:w="1812" w:type="dxa"/>
            <w:shd w:val="clear" w:color="auto" w:fill="4F81BD"/>
            <w:vAlign w:val="center"/>
          </w:tcPr>
          <w:p w14:paraId="463968CD" w14:textId="4A01087F" w:rsidR="008A7433" w:rsidRPr="00EE43C6" w:rsidRDefault="006E21AD"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Mass Flowrate</w:t>
            </w:r>
            <w:r w:rsidR="009134F5" w:rsidRPr="00EE43C6">
              <w:rPr>
                <w:rFonts w:cs="Wingdings"/>
                <w:b/>
                <w:color w:val="FFFFFF" w:themeColor="background1"/>
                <w:sz w:val="18"/>
                <w:szCs w:val="18"/>
              </w:rPr>
              <w:t xml:space="preserve"> (kg/hour)</w:t>
            </w:r>
          </w:p>
        </w:tc>
      </w:tr>
      <w:tr w:rsidR="008A7433" w:rsidRPr="00EE43C6" w14:paraId="5DC2F6B0" w14:textId="77777777" w:rsidTr="00B625EB">
        <w:trPr>
          <w:trHeight w:val="284"/>
        </w:trPr>
        <w:tc>
          <w:tcPr>
            <w:tcW w:w="1812" w:type="dxa"/>
          </w:tcPr>
          <w:p w14:paraId="0BE13E5A" w14:textId="72A6E65B" w:rsidR="008A7433" w:rsidRPr="00EE43C6" w:rsidRDefault="00964FCA" w:rsidP="00B625EB">
            <w:pPr>
              <w:spacing w:before="0" w:after="0" w:line="240" w:lineRule="auto"/>
              <w:rPr>
                <w:rFonts w:cs="Wingdings"/>
                <w:sz w:val="18"/>
                <w:szCs w:val="18"/>
              </w:rPr>
            </w:pPr>
            <w:r w:rsidRPr="00EE43C6">
              <w:rPr>
                <w:rFonts w:cs="Wingdings"/>
                <w:sz w:val="18"/>
                <w:szCs w:val="18"/>
              </w:rPr>
              <w:t>Automobile</w:t>
            </w:r>
          </w:p>
        </w:tc>
        <w:tc>
          <w:tcPr>
            <w:tcW w:w="1812" w:type="dxa"/>
          </w:tcPr>
          <w:p w14:paraId="5B21CCB9" w14:textId="0C8CE906" w:rsidR="008A7433" w:rsidRPr="00EE43C6" w:rsidRDefault="00BF34B7" w:rsidP="00B625EB">
            <w:pPr>
              <w:spacing w:before="0" w:after="0" w:line="240" w:lineRule="auto"/>
              <w:jc w:val="center"/>
              <w:rPr>
                <w:rFonts w:cs="Wingdings"/>
                <w:sz w:val="18"/>
                <w:szCs w:val="18"/>
              </w:rPr>
            </w:pPr>
            <w:r w:rsidRPr="00EE43C6">
              <w:rPr>
                <w:rFonts w:cs="Wingdings"/>
                <w:sz w:val="18"/>
                <w:szCs w:val="18"/>
              </w:rPr>
              <w:t>2,377</w:t>
            </w:r>
          </w:p>
        </w:tc>
        <w:tc>
          <w:tcPr>
            <w:tcW w:w="1812" w:type="dxa"/>
          </w:tcPr>
          <w:p w14:paraId="3AB7C0BB" w14:textId="7C7FADF7" w:rsidR="008A7433" w:rsidRPr="00EE43C6" w:rsidRDefault="00270D5B" w:rsidP="00B625EB">
            <w:pPr>
              <w:spacing w:before="0" w:after="0" w:line="240" w:lineRule="auto"/>
              <w:jc w:val="center"/>
              <w:rPr>
                <w:rFonts w:cs="Wingdings"/>
                <w:sz w:val="18"/>
                <w:szCs w:val="18"/>
              </w:rPr>
            </w:pPr>
            <w:r w:rsidRPr="00EE43C6">
              <w:rPr>
                <w:rFonts w:cs="Wingdings"/>
                <w:sz w:val="18"/>
                <w:szCs w:val="18"/>
              </w:rPr>
              <w:t>0.2209</w:t>
            </w:r>
          </w:p>
        </w:tc>
        <w:tc>
          <w:tcPr>
            <w:tcW w:w="1812" w:type="dxa"/>
          </w:tcPr>
          <w:p w14:paraId="36699283" w14:textId="09B7386A" w:rsidR="008A7433" w:rsidRPr="00EE43C6" w:rsidRDefault="00270D5B" w:rsidP="00B625EB">
            <w:pPr>
              <w:spacing w:before="0" w:after="0" w:line="240" w:lineRule="auto"/>
              <w:jc w:val="center"/>
              <w:rPr>
                <w:rFonts w:cs="Wingdings"/>
                <w:sz w:val="18"/>
                <w:szCs w:val="18"/>
              </w:rPr>
            </w:pPr>
            <w:r w:rsidRPr="00EE43C6">
              <w:rPr>
                <w:rFonts w:cs="Wingdings"/>
                <w:sz w:val="18"/>
                <w:szCs w:val="18"/>
              </w:rPr>
              <w:t>4.2</w:t>
            </w:r>
          </w:p>
        </w:tc>
        <w:tc>
          <w:tcPr>
            <w:tcW w:w="1812" w:type="dxa"/>
          </w:tcPr>
          <w:p w14:paraId="0B26777F" w14:textId="5E9EA96F" w:rsidR="008A7433" w:rsidRPr="00EE43C6" w:rsidRDefault="00270D5B" w:rsidP="00B625EB">
            <w:pPr>
              <w:spacing w:before="0" w:after="0" w:line="240" w:lineRule="auto"/>
              <w:jc w:val="center"/>
              <w:rPr>
                <w:rFonts w:cs="Wingdings"/>
                <w:sz w:val="18"/>
                <w:szCs w:val="18"/>
              </w:rPr>
            </w:pPr>
            <w:r w:rsidRPr="00EE43C6">
              <w:rPr>
                <w:rFonts w:cs="Wingdings"/>
                <w:sz w:val="18"/>
                <w:szCs w:val="18"/>
              </w:rPr>
              <w:t>0.</w:t>
            </w:r>
            <w:r w:rsidR="008A34B9" w:rsidRPr="00EE43C6">
              <w:rPr>
                <w:rFonts w:cs="Wingdings"/>
                <w:sz w:val="18"/>
                <w:szCs w:val="18"/>
              </w:rPr>
              <w:t>0</w:t>
            </w:r>
            <w:r w:rsidRPr="00EE43C6">
              <w:rPr>
                <w:rFonts w:cs="Wingdings"/>
                <w:sz w:val="18"/>
                <w:szCs w:val="18"/>
              </w:rPr>
              <w:t>919</w:t>
            </w:r>
          </w:p>
        </w:tc>
      </w:tr>
      <w:tr w:rsidR="008A7433" w:rsidRPr="00EE43C6" w14:paraId="72E26DCE" w14:textId="77777777" w:rsidTr="00B625EB">
        <w:trPr>
          <w:trHeight w:val="284"/>
        </w:trPr>
        <w:tc>
          <w:tcPr>
            <w:tcW w:w="1812" w:type="dxa"/>
          </w:tcPr>
          <w:p w14:paraId="1B7E9695" w14:textId="7A818D52" w:rsidR="008A7433" w:rsidRPr="00EE43C6" w:rsidRDefault="00964FCA" w:rsidP="00B625EB">
            <w:pPr>
              <w:spacing w:before="0" w:after="0" w:line="240" w:lineRule="auto"/>
              <w:rPr>
                <w:rFonts w:cs="Wingdings"/>
                <w:sz w:val="18"/>
                <w:szCs w:val="18"/>
              </w:rPr>
            </w:pPr>
            <w:r w:rsidRPr="00EE43C6">
              <w:rPr>
                <w:rFonts w:cs="Wingdings"/>
                <w:sz w:val="18"/>
                <w:szCs w:val="18"/>
              </w:rPr>
              <w:t>Medium-</w:t>
            </w:r>
            <w:r w:rsidR="00B23BCA" w:rsidRPr="00EE43C6">
              <w:rPr>
                <w:rFonts w:cs="Wingdings"/>
                <w:sz w:val="18"/>
                <w:szCs w:val="18"/>
              </w:rPr>
              <w:t>L</w:t>
            </w:r>
            <w:r w:rsidRPr="00EE43C6">
              <w:rPr>
                <w:rFonts w:cs="Wingdings"/>
                <w:sz w:val="18"/>
                <w:szCs w:val="18"/>
              </w:rPr>
              <w:t xml:space="preserve">oad </w:t>
            </w:r>
            <w:r w:rsidR="00B23BCA" w:rsidRPr="00EE43C6">
              <w:rPr>
                <w:rFonts w:cs="Wingdings"/>
                <w:sz w:val="18"/>
                <w:szCs w:val="18"/>
              </w:rPr>
              <w:t>C</w:t>
            </w:r>
            <w:r w:rsidRPr="00EE43C6">
              <w:rPr>
                <w:rFonts w:cs="Wingdings"/>
                <w:sz w:val="18"/>
                <w:szCs w:val="18"/>
              </w:rPr>
              <w:t xml:space="preserve">ommercial </w:t>
            </w:r>
            <w:r w:rsidR="00B23BCA" w:rsidRPr="00EE43C6">
              <w:rPr>
                <w:rFonts w:cs="Wingdings"/>
                <w:sz w:val="18"/>
                <w:szCs w:val="18"/>
              </w:rPr>
              <w:t>V</w:t>
            </w:r>
            <w:r w:rsidRPr="00EE43C6">
              <w:rPr>
                <w:rFonts w:cs="Wingdings"/>
                <w:sz w:val="18"/>
                <w:szCs w:val="18"/>
              </w:rPr>
              <w:t>ehicle</w:t>
            </w:r>
          </w:p>
        </w:tc>
        <w:tc>
          <w:tcPr>
            <w:tcW w:w="1812" w:type="dxa"/>
          </w:tcPr>
          <w:p w14:paraId="62638108" w14:textId="05AD2889" w:rsidR="008A7433" w:rsidRPr="00EE43C6" w:rsidRDefault="00BF34B7" w:rsidP="00B625EB">
            <w:pPr>
              <w:spacing w:before="0" w:after="0" w:line="240" w:lineRule="auto"/>
              <w:jc w:val="center"/>
              <w:rPr>
                <w:rFonts w:cs="Wingdings"/>
                <w:sz w:val="18"/>
                <w:szCs w:val="18"/>
              </w:rPr>
            </w:pPr>
            <w:r w:rsidRPr="00EE43C6">
              <w:rPr>
                <w:rFonts w:cs="Wingdings"/>
                <w:sz w:val="18"/>
                <w:szCs w:val="18"/>
              </w:rPr>
              <w:t>419</w:t>
            </w:r>
          </w:p>
        </w:tc>
        <w:tc>
          <w:tcPr>
            <w:tcW w:w="1812" w:type="dxa"/>
          </w:tcPr>
          <w:p w14:paraId="1E5A04DF" w14:textId="3F94B49A" w:rsidR="008A7433" w:rsidRPr="00EE43C6" w:rsidRDefault="00270D5B" w:rsidP="00B625EB">
            <w:pPr>
              <w:spacing w:before="0" w:after="0" w:line="240" w:lineRule="auto"/>
              <w:jc w:val="center"/>
              <w:rPr>
                <w:rFonts w:cs="Wingdings"/>
                <w:sz w:val="18"/>
                <w:szCs w:val="18"/>
              </w:rPr>
            </w:pPr>
            <w:r w:rsidRPr="00EE43C6">
              <w:rPr>
                <w:rFonts w:cs="Wingdings"/>
                <w:sz w:val="18"/>
                <w:szCs w:val="18"/>
              </w:rPr>
              <w:t>0.356</w:t>
            </w:r>
          </w:p>
        </w:tc>
        <w:tc>
          <w:tcPr>
            <w:tcW w:w="1812" w:type="dxa"/>
          </w:tcPr>
          <w:p w14:paraId="7E79A73D" w14:textId="7DD0FE3D" w:rsidR="008A7433" w:rsidRPr="00EE43C6" w:rsidRDefault="00270D5B" w:rsidP="00B625EB">
            <w:pPr>
              <w:spacing w:before="0" w:after="0" w:line="240" w:lineRule="auto"/>
              <w:jc w:val="center"/>
              <w:rPr>
                <w:rFonts w:cs="Wingdings"/>
                <w:sz w:val="18"/>
                <w:szCs w:val="18"/>
              </w:rPr>
            </w:pPr>
            <w:r w:rsidRPr="00EE43C6">
              <w:rPr>
                <w:rFonts w:cs="Wingdings"/>
                <w:sz w:val="18"/>
                <w:szCs w:val="18"/>
              </w:rPr>
              <w:t>4.2</w:t>
            </w:r>
          </w:p>
        </w:tc>
        <w:tc>
          <w:tcPr>
            <w:tcW w:w="1812" w:type="dxa"/>
          </w:tcPr>
          <w:p w14:paraId="1C11D343" w14:textId="02E2C741" w:rsidR="008A7433" w:rsidRPr="00EE43C6" w:rsidRDefault="008A34B9" w:rsidP="00B625EB">
            <w:pPr>
              <w:spacing w:before="0" w:after="0" w:line="240" w:lineRule="auto"/>
              <w:jc w:val="center"/>
              <w:rPr>
                <w:rFonts w:cs="Wingdings"/>
                <w:sz w:val="18"/>
                <w:szCs w:val="18"/>
              </w:rPr>
            </w:pPr>
            <w:r w:rsidRPr="00EE43C6">
              <w:rPr>
                <w:rFonts w:cs="Wingdings"/>
                <w:sz w:val="18"/>
                <w:szCs w:val="18"/>
              </w:rPr>
              <w:t>0.0261</w:t>
            </w:r>
          </w:p>
        </w:tc>
      </w:tr>
      <w:tr w:rsidR="008A7433" w:rsidRPr="00EE43C6" w14:paraId="04B5C223" w14:textId="77777777" w:rsidTr="00B625EB">
        <w:trPr>
          <w:trHeight w:val="284"/>
        </w:trPr>
        <w:tc>
          <w:tcPr>
            <w:tcW w:w="1812" w:type="dxa"/>
          </w:tcPr>
          <w:p w14:paraId="739B6813" w14:textId="54EFA94E" w:rsidR="008A7433" w:rsidRPr="00EE43C6" w:rsidRDefault="00964FCA" w:rsidP="00B625EB">
            <w:pPr>
              <w:spacing w:before="0" w:after="0" w:line="240" w:lineRule="auto"/>
              <w:rPr>
                <w:rFonts w:cs="Wingdings"/>
                <w:sz w:val="18"/>
                <w:szCs w:val="18"/>
              </w:rPr>
            </w:pPr>
            <w:r w:rsidRPr="00EE43C6">
              <w:rPr>
                <w:rFonts w:cs="Wingdings"/>
                <w:sz w:val="18"/>
                <w:szCs w:val="18"/>
              </w:rPr>
              <w:t>Bus</w:t>
            </w:r>
          </w:p>
        </w:tc>
        <w:tc>
          <w:tcPr>
            <w:tcW w:w="1812" w:type="dxa"/>
          </w:tcPr>
          <w:p w14:paraId="2BF4A501" w14:textId="05C397F4" w:rsidR="008A7433" w:rsidRPr="00EE43C6" w:rsidRDefault="00BF34B7" w:rsidP="00B625EB">
            <w:pPr>
              <w:spacing w:before="0" w:after="0" w:line="240" w:lineRule="auto"/>
              <w:jc w:val="center"/>
              <w:rPr>
                <w:rFonts w:cs="Wingdings"/>
                <w:sz w:val="18"/>
                <w:szCs w:val="18"/>
              </w:rPr>
            </w:pPr>
            <w:r w:rsidRPr="00EE43C6">
              <w:rPr>
                <w:rFonts w:cs="Wingdings"/>
                <w:sz w:val="18"/>
                <w:szCs w:val="18"/>
              </w:rPr>
              <w:t>14</w:t>
            </w:r>
          </w:p>
        </w:tc>
        <w:tc>
          <w:tcPr>
            <w:tcW w:w="1812" w:type="dxa"/>
          </w:tcPr>
          <w:p w14:paraId="636AD3D4" w14:textId="35E284DF" w:rsidR="008A7433" w:rsidRPr="00EE43C6" w:rsidRDefault="00270D5B" w:rsidP="00B625EB">
            <w:pPr>
              <w:spacing w:before="0" w:after="0" w:line="240" w:lineRule="auto"/>
              <w:jc w:val="center"/>
              <w:rPr>
                <w:rFonts w:cs="Wingdings"/>
                <w:sz w:val="18"/>
                <w:szCs w:val="18"/>
              </w:rPr>
            </w:pPr>
            <w:r w:rsidRPr="00EE43C6">
              <w:rPr>
                <w:rFonts w:cs="Wingdings"/>
                <w:sz w:val="18"/>
                <w:szCs w:val="18"/>
              </w:rPr>
              <w:t>0.909</w:t>
            </w:r>
          </w:p>
        </w:tc>
        <w:tc>
          <w:tcPr>
            <w:tcW w:w="1812" w:type="dxa"/>
          </w:tcPr>
          <w:p w14:paraId="144D5C43" w14:textId="1655C04D" w:rsidR="008A7433" w:rsidRPr="00EE43C6" w:rsidRDefault="00270D5B" w:rsidP="00B625EB">
            <w:pPr>
              <w:spacing w:before="0" w:after="0" w:line="240" w:lineRule="auto"/>
              <w:jc w:val="center"/>
              <w:rPr>
                <w:rFonts w:cs="Wingdings"/>
                <w:sz w:val="18"/>
                <w:szCs w:val="18"/>
              </w:rPr>
            </w:pPr>
            <w:r w:rsidRPr="00EE43C6">
              <w:rPr>
                <w:rFonts w:cs="Wingdings"/>
                <w:sz w:val="18"/>
                <w:szCs w:val="18"/>
              </w:rPr>
              <w:t>4.2</w:t>
            </w:r>
          </w:p>
        </w:tc>
        <w:tc>
          <w:tcPr>
            <w:tcW w:w="1812" w:type="dxa"/>
          </w:tcPr>
          <w:p w14:paraId="76D92D8F" w14:textId="3C2F1851" w:rsidR="008A7433" w:rsidRPr="00EE43C6" w:rsidRDefault="008A34B9" w:rsidP="00B625EB">
            <w:pPr>
              <w:spacing w:before="0" w:after="0" w:line="240" w:lineRule="auto"/>
              <w:jc w:val="center"/>
              <w:rPr>
                <w:rFonts w:cs="Wingdings"/>
                <w:sz w:val="18"/>
                <w:szCs w:val="18"/>
              </w:rPr>
            </w:pPr>
            <w:r w:rsidRPr="00EE43C6">
              <w:rPr>
                <w:rFonts w:cs="Wingdings"/>
                <w:sz w:val="18"/>
                <w:szCs w:val="18"/>
              </w:rPr>
              <w:t>0.0022</w:t>
            </w:r>
          </w:p>
        </w:tc>
      </w:tr>
      <w:tr w:rsidR="008A7433" w:rsidRPr="00EE43C6" w14:paraId="2837E0B5" w14:textId="77777777" w:rsidTr="00B625EB">
        <w:trPr>
          <w:trHeight w:val="284"/>
        </w:trPr>
        <w:tc>
          <w:tcPr>
            <w:tcW w:w="1812" w:type="dxa"/>
          </w:tcPr>
          <w:p w14:paraId="4BE55D81" w14:textId="74DAE62A" w:rsidR="008A7433" w:rsidRPr="00EE43C6" w:rsidRDefault="00B23BCA" w:rsidP="00B625EB">
            <w:pPr>
              <w:spacing w:before="0" w:after="0" w:line="240" w:lineRule="auto"/>
              <w:rPr>
                <w:rFonts w:cs="Wingdings"/>
                <w:sz w:val="18"/>
                <w:szCs w:val="18"/>
              </w:rPr>
            </w:pPr>
            <w:r w:rsidRPr="00EE43C6">
              <w:rPr>
                <w:rFonts w:cs="Wingdings"/>
                <w:sz w:val="18"/>
                <w:szCs w:val="18"/>
              </w:rPr>
              <w:t>Truck</w:t>
            </w:r>
          </w:p>
        </w:tc>
        <w:tc>
          <w:tcPr>
            <w:tcW w:w="1812" w:type="dxa"/>
          </w:tcPr>
          <w:p w14:paraId="3940FED2" w14:textId="19B45A6C" w:rsidR="008A7433" w:rsidRPr="00EE43C6" w:rsidRDefault="00BF34B7" w:rsidP="00B625EB">
            <w:pPr>
              <w:spacing w:before="0" w:after="0" w:line="240" w:lineRule="auto"/>
              <w:jc w:val="center"/>
              <w:rPr>
                <w:rFonts w:cs="Wingdings"/>
                <w:sz w:val="18"/>
                <w:szCs w:val="18"/>
              </w:rPr>
            </w:pPr>
            <w:r w:rsidRPr="00EE43C6">
              <w:rPr>
                <w:rFonts w:cs="Wingdings"/>
                <w:sz w:val="18"/>
                <w:szCs w:val="18"/>
              </w:rPr>
              <w:t>362</w:t>
            </w:r>
          </w:p>
        </w:tc>
        <w:tc>
          <w:tcPr>
            <w:tcW w:w="1812" w:type="dxa"/>
          </w:tcPr>
          <w:p w14:paraId="0D7C99C8" w14:textId="1DB87A3A" w:rsidR="008A7433" w:rsidRPr="00EE43C6" w:rsidRDefault="00270D5B" w:rsidP="00B625EB">
            <w:pPr>
              <w:spacing w:before="0" w:after="0" w:line="240" w:lineRule="auto"/>
              <w:jc w:val="center"/>
              <w:rPr>
                <w:rFonts w:cs="Wingdings"/>
                <w:sz w:val="18"/>
                <w:szCs w:val="18"/>
              </w:rPr>
            </w:pPr>
            <w:r w:rsidRPr="00EE43C6">
              <w:rPr>
                <w:rFonts w:cs="Wingdings"/>
                <w:sz w:val="18"/>
                <w:szCs w:val="18"/>
              </w:rPr>
              <w:t>0.418</w:t>
            </w:r>
          </w:p>
        </w:tc>
        <w:tc>
          <w:tcPr>
            <w:tcW w:w="1812" w:type="dxa"/>
          </w:tcPr>
          <w:p w14:paraId="002438D2" w14:textId="59B95BF4" w:rsidR="008A7433" w:rsidRPr="00EE43C6" w:rsidRDefault="00270D5B" w:rsidP="00B625EB">
            <w:pPr>
              <w:spacing w:before="0" w:after="0" w:line="240" w:lineRule="auto"/>
              <w:jc w:val="center"/>
              <w:rPr>
                <w:rFonts w:cs="Wingdings"/>
                <w:sz w:val="18"/>
                <w:szCs w:val="18"/>
              </w:rPr>
            </w:pPr>
            <w:r w:rsidRPr="00EE43C6">
              <w:rPr>
                <w:rFonts w:cs="Wingdings"/>
                <w:sz w:val="18"/>
                <w:szCs w:val="18"/>
              </w:rPr>
              <w:t>4.2</w:t>
            </w:r>
          </w:p>
        </w:tc>
        <w:tc>
          <w:tcPr>
            <w:tcW w:w="1812" w:type="dxa"/>
          </w:tcPr>
          <w:p w14:paraId="08A47562" w14:textId="5DDA2F60" w:rsidR="008A7433" w:rsidRPr="00EE43C6" w:rsidRDefault="008A34B9" w:rsidP="00B625EB">
            <w:pPr>
              <w:spacing w:before="0" w:after="0" w:line="240" w:lineRule="auto"/>
              <w:jc w:val="center"/>
              <w:rPr>
                <w:rFonts w:cs="Wingdings"/>
                <w:sz w:val="18"/>
                <w:szCs w:val="18"/>
              </w:rPr>
            </w:pPr>
            <w:r w:rsidRPr="00EE43C6">
              <w:rPr>
                <w:rFonts w:cs="Wingdings"/>
                <w:sz w:val="18"/>
                <w:szCs w:val="18"/>
              </w:rPr>
              <w:t>0.0265</w:t>
            </w:r>
          </w:p>
        </w:tc>
      </w:tr>
      <w:tr w:rsidR="008A7433" w:rsidRPr="00EE43C6" w14:paraId="5A1E0F54" w14:textId="77777777" w:rsidTr="00B625EB">
        <w:trPr>
          <w:trHeight w:val="284"/>
        </w:trPr>
        <w:tc>
          <w:tcPr>
            <w:tcW w:w="1812" w:type="dxa"/>
          </w:tcPr>
          <w:p w14:paraId="02B45923" w14:textId="7EA9D786" w:rsidR="008A7433" w:rsidRPr="00EE43C6" w:rsidRDefault="00B23BCA" w:rsidP="00B625EB">
            <w:pPr>
              <w:spacing w:before="0" w:after="0" w:line="240" w:lineRule="auto"/>
              <w:rPr>
                <w:rFonts w:cs="Wingdings"/>
                <w:sz w:val="18"/>
                <w:szCs w:val="18"/>
              </w:rPr>
            </w:pPr>
            <w:r w:rsidRPr="00EE43C6">
              <w:rPr>
                <w:rFonts w:cs="Wingdings"/>
                <w:sz w:val="18"/>
                <w:szCs w:val="18"/>
              </w:rPr>
              <w:t>Tow Truck</w:t>
            </w:r>
          </w:p>
        </w:tc>
        <w:tc>
          <w:tcPr>
            <w:tcW w:w="1812" w:type="dxa"/>
          </w:tcPr>
          <w:p w14:paraId="5BCC52B1" w14:textId="37B4E5A5" w:rsidR="008A7433" w:rsidRPr="00EE43C6" w:rsidRDefault="00BF34B7" w:rsidP="00B625EB">
            <w:pPr>
              <w:spacing w:before="0" w:after="0" w:line="240" w:lineRule="auto"/>
              <w:jc w:val="center"/>
              <w:rPr>
                <w:rFonts w:cs="Wingdings"/>
                <w:sz w:val="18"/>
                <w:szCs w:val="18"/>
              </w:rPr>
            </w:pPr>
            <w:r w:rsidRPr="00EE43C6">
              <w:rPr>
                <w:rFonts w:cs="Wingdings"/>
                <w:sz w:val="18"/>
                <w:szCs w:val="18"/>
              </w:rPr>
              <w:t>501</w:t>
            </w:r>
          </w:p>
        </w:tc>
        <w:tc>
          <w:tcPr>
            <w:tcW w:w="1812" w:type="dxa"/>
          </w:tcPr>
          <w:p w14:paraId="488D30A0" w14:textId="3307AE7C" w:rsidR="008A7433" w:rsidRPr="00EE43C6" w:rsidRDefault="00270D5B" w:rsidP="00B625EB">
            <w:pPr>
              <w:spacing w:before="0" w:after="0" w:line="240" w:lineRule="auto"/>
              <w:jc w:val="center"/>
              <w:rPr>
                <w:rFonts w:cs="Wingdings"/>
                <w:sz w:val="18"/>
                <w:szCs w:val="18"/>
              </w:rPr>
            </w:pPr>
            <w:r w:rsidRPr="00EE43C6">
              <w:rPr>
                <w:rFonts w:cs="Wingdings"/>
                <w:sz w:val="18"/>
                <w:szCs w:val="18"/>
              </w:rPr>
              <w:t>0.491</w:t>
            </w:r>
          </w:p>
        </w:tc>
        <w:tc>
          <w:tcPr>
            <w:tcW w:w="1812" w:type="dxa"/>
          </w:tcPr>
          <w:p w14:paraId="6B8F3487" w14:textId="27DDC332" w:rsidR="008A7433" w:rsidRPr="00EE43C6" w:rsidRDefault="00270D5B" w:rsidP="00B625EB">
            <w:pPr>
              <w:spacing w:before="0" w:after="0" w:line="240" w:lineRule="auto"/>
              <w:jc w:val="center"/>
              <w:rPr>
                <w:rFonts w:cs="Wingdings"/>
                <w:sz w:val="18"/>
                <w:szCs w:val="18"/>
              </w:rPr>
            </w:pPr>
            <w:r w:rsidRPr="00EE43C6">
              <w:rPr>
                <w:rFonts w:cs="Wingdings"/>
                <w:sz w:val="18"/>
                <w:szCs w:val="18"/>
              </w:rPr>
              <w:t>4.2</w:t>
            </w:r>
          </w:p>
        </w:tc>
        <w:tc>
          <w:tcPr>
            <w:tcW w:w="1812" w:type="dxa"/>
          </w:tcPr>
          <w:p w14:paraId="6FDF070A" w14:textId="4E6BBBA0" w:rsidR="008A7433" w:rsidRPr="00EE43C6" w:rsidRDefault="008A34B9" w:rsidP="00B625EB">
            <w:pPr>
              <w:spacing w:before="0" w:after="0" w:line="240" w:lineRule="auto"/>
              <w:jc w:val="center"/>
              <w:rPr>
                <w:rFonts w:cs="Wingdings"/>
                <w:sz w:val="18"/>
                <w:szCs w:val="18"/>
              </w:rPr>
            </w:pPr>
            <w:r w:rsidRPr="00EE43C6">
              <w:rPr>
                <w:rFonts w:cs="Wingdings"/>
                <w:sz w:val="18"/>
                <w:szCs w:val="18"/>
              </w:rPr>
              <w:t>0.0430</w:t>
            </w:r>
          </w:p>
        </w:tc>
      </w:tr>
      <w:tr w:rsidR="008A7433" w:rsidRPr="00EE43C6" w14:paraId="2C014352" w14:textId="77777777" w:rsidTr="00B625EB">
        <w:trPr>
          <w:trHeight w:val="284"/>
        </w:trPr>
        <w:tc>
          <w:tcPr>
            <w:tcW w:w="1812" w:type="dxa"/>
          </w:tcPr>
          <w:p w14:paraId="4E3EFDBB" w14:textId="2DF33BA4" w:rsidR="008A7433" w:rsidRPr="00EE43C6" w:rsidRDefault="009D7889" w:rsidP="00B625EB">
            <w:pPr>
              <w:spacing w:before="0" w:after="0" w:line="240" w:lineRule="auto"/>
              <w:jc w:val="right"/>
              <w:rPr>
                <w:rFonts w:cs="Wingdings"/>
                <w:b/>
                <w:sz w:val="18"/>
                <w:szCs w:val="18"/>
              </w:rPr>
            </w:pPr>
            <w:r w:rsidRPr="00EE43C6">
              <w:rPr>
                <w:rFonts w:cs="Wingdings"/>
                <w:b/>
                <w:bCs/>
                <w:sz w:val="18"/>
                <w:szCs w:val="18"/>
              </w:rPr>
              <w:t>TOTAL</w:t>
            </w:r>
          </w:p>
        </w:tc>
        <w:tc>
          <w:tcPr>
            <w:tcW w:w="1812" w:type="dxa"/>
          </w:tcPr>
          <w:p w14:paraId="6198BE35" w14:textId="444BB60B" w:rsidR="008A7433" w:rsidRPr="00EE43C6" w:rsidRDefault="000415CB" w:rsidP="00B625EB">
            <w:pPr>
              <w:spacing w:before="0" w:after="0" w:line="240" w:lineRule="auto"/>
              <w:jc w:val="center"/>
              <w:rPr>
                <w:rFonts w:cs="Wingdings"/>
                <w:b/>
                <w:sz w:val="18"/>
                <w:szCs w:val="18"/>
              </w:rPr>
            </w:pPr>
            <w:r w:rsidRPr="00EE43C6">
              <w:rPr>
                <w:rFonts w:cs="Wingdings"/>
                <w:b/>
                <w:sz w:val="18"/>
                <w:szCs w:val="18"/>
              </w:rPr>
              <w:t>3,673</w:t>
            </w:r>
          </w:p>
        </w:tc>
        <w:tc>
          <w:tcPr>
            <w:tcW w:w="1812" w:type="dxa"/>
          </w:tcPr>
          <w:p w14:paraId="3BC5D7D6" w14:textId="77777777" w:rsidR="008A7433" w:rsidRPr="00EE43C6" w:rsidRDefault="008A7433" w:rsidP="00B625EB">
            <w:pPr>
              <w:spacing w:before="0" w:after="0" w:line="240" w:lineRule="auto"/>
              <w:jc w:val="center"/>
              <w:rPr>
                <w:rFonts w:cs="Wingdings"/>
                <w:b/>
                <w:sz w:val="18"/>
                <w:szCs w:val="18"/>
              </w:rPr>
            </w:pPr>
          </w:p>
        </w:tc>
        <w:tc>
          <w:tcPr>
            <w:tcW w:w="1812" w:type="dxa"/>
          </w:tcPr>
          <w:p w14:paraId="2FF60BC1" w14:textId="77777777" w:rsidR="008A7433" w:rsidRPr="00EE43C6" w:rsidRDefault="008A7433" w:rsidP="00B625EB">
            <w:pPr>
              <w:spacing w:before="0" w:after="0" w:line="240" w:lineRule="auto"/>
              <w:jc w:val="center"/>
              <w:rPr>
                <w:rFonts w:cs="Wingdings"/>
                <w:b/>
                <w:sz w:val="18"/>
                <w:szCs w:val="18"/>
              </w:rPr>
            </w:pPr>
          </w:p>
        </w:tc>
        <w:tc>
          <w:tcPr>
            <w:tcW w:w="1812" w:type="dxa"/>
          </w:tcPr>
          <w:p w14:paraId="0D2DAAE1" w14:textId="07550568" w:rsidR="008A7433" w:rsidRPr="00EE43C6" w:rsidRDefault="009D7889" w:rsidP="00B625EB">
            <w:pPr>
              <w:spacing w:before="0" w:after="0" w:line="240" w:lineRule="auto"/>
              <w:jc w:val="center"/>
              <w:rPr>
                <w:rFonts w:cs="Wingdings"/>
                <w:b/>
                <w:sz w:val="18"/>
                <w:szCs w:val="18"/>
              </w:rPr>
            </w:pPr>
            <w:r w:rsidRPr="00EE43C6">
              <w:rPr>
                <w:rFonts w:cs="Wingdings"/>
                <w:b/>
                <w:bCs/>
                <w:sz w:val="18"/>
                <w:szCs w:val="18"/>
              </w:rPr>
              <w:t>0.1897</w:t>
            </w:r>
          </w:p>
        </w:tc>
      </w:tr>
    </w:tbl>
    <w:p w14:paraId="3D487D41" w14:textId="35590CCC" w:rsidR="00EC67D6" w:rsidRPr="00EE43C6" w:rsidRDefault="00EB703F" w:rsidP="007E0468">
      <w:pPr>
        <w:pStyle w:val="Caption"/>
        <w:spacing w:before="480"/>
        <w:rPr>
          <w:rFonts w:cs="Wingdings"/>
          <w:noProof w:val="0"/>
          <w:szCs w:val="18"/>
        </w:rPr>
      </w:pPr>
      <w:bookmarkStart w:id="480" w:name="_Ref125729113"/>
      <w:bookmarkStart w:id="481" w:name="_Toc141445518"/>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9</w:t>
      </w:r>
      <w:r w:rsidR="006D2DE8">
        <w:rPr>
          <w:noProof w:val="0"/>
        </w:rPr>
        <w:fldChar w:fldCharType="end"/>
      </w:r>
      <w:bookmarkEnd w:id="480"/>
      <w:r w:rsidRPr="00EE43C6">
        <w:rPr>
          <w:noProof w:val="0"/>
        </w:rPr>
        <w:t xml:space="preserve">. </w:t>
      </w:r>
      <w:r w:rsidR="00EC67D6" w:rsidRPr="00EE43C6">
        <w:rPr>
          <w:rFonts w:cs="Wingdings"/>
          <w:b w:val="0"/>
          <w:noProof w:val="0"/>
          <w:color w:val="auto"/>
          <w:szCs w:val="18"/>
        </w:rPr>
        <w:t>Emission Factors and Dust Emission Mass Flowrates of Vehicles on the Tarsus-Ankara Highway</w:t>
      </w:r>
      <w:bookmarkEnd w:id="481"/>
    </w:p>
    <w:tbl>
      <w:tblPr>
        <w:tblStyle w:val="TableGrid"/>
        <w:tblW w:w="0" w:type="auto"/>
        <w:tblLook w:val="04A0" w:firstRow="1" w:lastRow="0" w:firstColumn="1" w:lastColumn="0" w:noHBand="0" w:noVBand="1"/>
      </w:tblPr>
      <w:tblGrid>
        <w:gridCol w:w="1812"/>
        <w:gridCol w:w="1812"/>
        <w:gridCol w:w="1812"/>
        <w:gridCol w:w="1812"/>
        <w:gridCol w:w="1812"/>
      </w:tblGrid>
      <w:tr w:rsidR="00ED333F" w:rsidRPr="00EE43C6" w14:paraId="3CD8E902" w14:textId="77777777">
        <w:tc>
          <w:tcPr>
            <w:tcW w:w="1812" w:type="dxa"/>
            <w:shd w:val="clear" w:color="auto" w:fill="4F81BD"/>
            <w:vAlign w:val="center"/>
          </w:tcPr>
          <w:p w14:paraId="41581369" w14:textId="77777777" w:rsidR="00ED333F" w:rsidRPr="00EE43C6" w:rsidRDefault="00ED333F" w:rsidP="00B625EB">
            <w:pPr>
              <w:spacing w:before="0" w:after="60" w:line="240" w:lineRule="auto"/>
              <w:jc w:val="center"/>
              <w:rPr>
                <w:rFonts w:cs="Wingdings"/>
                <w:b/>
                <w:bCs/>
                <w:color w:val="FFFFFF" w:themeColor="background1"/>
                <w:sz w:val="18"/>
                <w:szCs w:val="18"/>
              </w:rPr>
            </w:pPr>
            <w:r w:rsidRPr="00EE43C6">
              <w:rPr>
                <w:rFonts w:cs="Wingdings"/>
                <w:b/>
                <w:bCs/>
                <w:color w:val="FFFFFF" w:themeColor="background1"/>
                <w:sz w:val="18"/>
                <w:szCs w:val="18"/>
              </w:rPr>
              <w:t>Vehicle</w:t>
            </w:r>
          </w:p>
        </w:tc>
        <w:tc>
          <w:tcPr>
            <w:tcW w:w="1812" w:type="dxa"/>
            <w:shd w:val="clear" w:color="auto" w:fill="4F81BD"/>
            <w:vAlign w:val="center"/>
          </w:tcPr>
          <w:p w14:paraId="6AED7603" w14:textId="77777777" w:rsidR="00ED333F" w:rsidRPr="00EE43C6" w:rsidRDefault="00ED333F" w:rsidP="00B625EB">
            <w:pPr>
              <w:spacing w:before="0" w:after="60" w:line="240" w:lineRule="auto"/>
              <w:jc w:val="center"/>
              <w:rPr>
                <w:rFonts w:cs="Wingdings"/>
                <w:b/>
                <w:bCs/>
                <w:color w:val="FFFFFF" w:themeColor="background1"/>
                <w:sz w:val="18"/>
                <w:szCs w:val="18"/>
              </w:rPr>
            </w:pPr>
            <w:r w:rsidRPr="00EE43C6">
              <w:rPr>
                <w:rFonts w:cs="Wingdings"/>
                <w:b/>
                <w:bCs/>
                <w:color w:val="FFFFFF" w:themeColor="background1"/>
                <w:sz w:val="18"/>
                <w:szCs w:val="18"/>
              </w:rPr>
              <w:t>Number of Vehicles (day)</w:t>
            </w:r>
          </w:p>
        </w:tc>
        <w:tc>
          <w:tcPr>
            <w:tcW w:w="1812" w:type="dxa"/>
            <w:shd w:val="clear" w:color="auto" w:fill="4F81BD"/>
            <w:vAlign w:val="center"/>
          </w:tcPr>
          <w:p w14:paraId="32D54D3F" w14:textId="77777777" w:rsidR="00ED333F" w:rsidRPr="00EE43C6" w:rsidRDefault="00ED333F" w:rsidP="00B625EB">
            <w:pPr>
              <w:spacing w:before="0" w:after="60" w:line="240" w:lineRule="auto"/>
              <w:jc w:val="center"/>
              <w:rPr>
                <w:rFonts w:cs="Wingdings"/>
                <w:b/>
                <w:bCs/>
                <w:color w:val="FFFFFF" w:themeColor="background1"/>
                <w:sz w:val="18"/>
                <w:szCs w:val="18"/>
              </w:rPr>
            </w:pPr>
            <w:r w:rsidRPr="00EE43C6">
              <w:rPr>
                <w:rFonts w:cs="Wingdings"/>
                <w:b/>
                <w:bCs/>
                <w:color w:val="FFFFFF" w:themeColor="background1"/>
                <w:sz w:val="18"/>
                <w:szCs w:val="18"/>
              </w:rPr>
              <w:t>Emission Factor (g/km)</w:t>
            </w:r>
          </w:p>
        </w:tc>
        <w:tc>
          <w:tcPr>
            <w:tcW w:w="1812" w:type="dxa"/>
            <w:shd w:val="clear" w:color="auto" w:fill="4F81BD"/>
            <w:vAlign w:val="center"/>
          </w:tcPr>
          <w:p w14:paraId="3C0142FA" w14:textId="339D5465" w:rsidR="00ED333F" w:rsidRPr="00EE43C6" w:rsidRDefault="00946721" w:rsidP="00B625EB">
            <w:pPr>
              <w:spacing w:before="0" w:after="60" w:line="240" w:lineRule="auto"/>
              <w:jc w:val="center"/>
              <w:rPr>
                <w:rFonts w:cs="Wingdings"/>
                <w:b/>
                <w:bCs/>
                <w:color w:val="FFFFFF" w:themeColor="background1"/>
                <w:sz w:val="18"/>
                <w:szCs w:val="18"/>
              </w:rPr>
            </w:pPr>
            <w:r w:rsidRPr="00EE43C6">
              <w:rPr>
                <w:rFonts w:cs="Wingdings"/>
                <w:b/>
                <w:bCs/>
                <w:color w:val="FFFFFF" w:themeColor="background1"/>
                <w:sz w:val="18"/>
                <w:szCs w:val="18"/>
              </w:rPr>
              <w:t xml:space="preserve">Remaining </w:t>
            </w:r>
            <w:r w:rsidR="00ED333F" w:rsidRPr="00EE43C6">
              <w:rPr>
                <w:rFonts w:cs="Wingdings"/>
                <w:b/>
                <w:bCs/>
                <w:color w:val="FFFFFF" w:themeColor="background1"/>
                <w:sz w:val="18"/>
                <w:szCs w:val="18"/>
              </w:rPr>
              <w:t>Highway within the Area of Influence (km)</w:t>
            </w:r>
          </w:p>
        </w:tc>
        <w:tc>
          <w:tcPr>
            <w:tcW w:w="1812" w:type="dxa"/>
            <w:shd w:val="clear" w:color="auto" w:fill="4F81BD"/>
            <w:vAlign w:val="center"/>
          </w:tcPr>
          <w:p w14:paraId="1773498A" w14:textId="77777777" w:rsidR="00ED333F" w:rsidRPr="00EE43C6" w:rsidRDefault="00ED333F" w:rsidP="00B625EB">
            <w:pPr>
              <w:spacing w:before="0" w:after="60" w:line="240" w:lineRule="auto"/>
              <w:jc w:val="center"/>
              <w:rPr>
                <w:rFonts w:cs="Wingdings"/>
                <w:b/>
                <w:bCs/>
                <w:color w:val="FFFFFF" w:themeColor="background1"/>
                <w:sz w:val="18"/>
                <w:szCs w:val="18"/>
              </w:rPr>
            </w:pPr>
            <w:r w:rsidRPr="00EE43C6">
              <w:rPr>
                <w:rFonts w:cs="Wingdings"/>
                <w:b/>
                <w:bCs/>
                <w:color w:val="FFFFFF" w:themeColor="background1"/>
                <w:sz w:val="18"/>
                <w:szCs w:val="18"/>
              </w:rPr>
              <w:t>Mass Flowrate (kg/hour)</w:t>
            </w:r>
          </w:p>
        </w:tc>
      </w:tr>
      <w:tr w:rsidR="00320313" w:rsidRPr="00EE43C6" w14:paraId="6606CBB0" w14:textId="77777777">
        <w:tc>
          <w:tcPr>
            <w:tcW w:w="1812" w:type="dxa"/>
          </w:tcPr>
          <w:p w14:paraId="4FC2F9AC" w14:textId="34944715" w:rsidR="00320313" w:rsidRPr="00EE43C6" w:rsidRDefault="00C530C4" w:rsidP="00B625EB">
            <w:pPr>
              <w:spacing w:before="0" w:after="60" w:line="240" w:lineRule="auto"/>
              <w:jc w:val="center"/>
              <w:rPr>
                <w:rFonts w:cs="Wingdings"/>
                <w:sz w:val="18"/>
                <w:szCs w:val="18"/>
              </w:rPr>
            </w:pPr>
            <w:r w:rsidRPr="00EE43C6">
              <w:rPr>
                <w:rFonts w:cs="Wingdings"/>
                <w:sz w:val="18"/>
                <w:szCs w:val="18"/>
              </w:rPr>
              <w:t>Automobile</w:t>
            </w:r>
          </w:p>
        </w:tc>
        <w:tc>
          <w:tcPr>
            <w:tcW w:w="1812" w:type="dxa"/>
          </w:tcPr>
          <w:p w14:paraId="05F11EEB" w14:textId="4237088A" w:rsidR="00320313" w:rsidRPr="00EE43C6" w:rsidRDefault="00C530C4" w:rsidP="00B625EB">
            <w:pPr>
              <w:spacing w:before="0" w:after="60" w:line="240" w:lineRule="auto"/>
              <w:jc w:val="center"/>
              <w:rPr>
                <w:rFonts w:cs="Wingdings"/>
                <w:sz w:val="18"/>
                <w:szCs w:val="18"/>
              </w:rPr>
            </w:pPr>
            <w:r w:rsidRPr="00EE43C6">
              <w:rPr>
                <w:rFonts w:cs="Wingdings"/>
                <w:sz w:val="18"/>
                <w:szCs w:val="18"/>
              </w:rPr>
              <w:t>12,890</w:t>
            </w:r>
          </w:p>
        </w:tc>
        <w:tc>
          <w:tcPr>
            <w:tcW w:w="1812" w:type="dxa"/>
          </w:tcPr>
          <w:p w14:paraId="0E3BD246" w14:textId="7E24C754" w:rsidR="00320313" w:rsidRPr="00EE43C6" w:rsidRDefault="00511B78" w:rsidP="00B625EB">
            <w:pPr>
              <w:spacing w:before="0" w:after="60" w:line="240" w:lineRule="auto"/>
              <w:jc w:val="center"/>
              <w:rPr>
                <w:rFonts w:cs="Wingdings"/>
                <w:sz w:val="18"/>
                <w:szCs w:val="18"/>
              </w:rPr>
            </w:pPr>
            <w:r w:rsidRPr="00EE43C6">
              <w:rPr>
                <w:rFonts w:cs="Wingdings"/>
                <w:sz w:val="18"/>
                <w:szCs w:val="18"/>
              </w:rPr>
              <w:t>0.2209</w:t>
            </w:r>
          </w:p>
        </w:tc>
        <w:tc>
          <w:tcPr>
            <w:tcW w:w="1812" w:type="dxa"/>
          </w:tcPr>
          <w:p w14:paraId="27FE840C" w14:textId="4F6B3EB8" w:rsidR="00320313" w:rsidRPr="00EE43C6" w:rsidRDefault="00511B78" w:rsidP="00B625EB">
            <w:pPr>
              <w:spacing w:before="0" w:after="60" w:line="240" w:lineRule="auto"/>
              <w:jc w:val="center"/>
              <w:rPr>
                <w:rFonts w:cs="Wingdings"/>
                <w:sz w:val="18"/>
                <w:szCs w:val="18"/>
              </w:rPr>
            </w:pPr>
            <w:r w:rsidRPr="00EE43C6">
              <w:rPr>
                <w:rFonts w:cs="Wingdings"/>
                <w:sz w:val="18"/>
                <w:szCs w:val="18"/>
              </w:rPr>
              <w:t>1.6</w:t>
            </w:r>
          </w:p>
        </w:tc>
        <w:tc>
          <w:tcPr>
            <w:tcW w:w="1812" w:type="dxa"/>
          </w:tcPr>
          <w:p w14:paraId="6A1C982C" w14:textId="57E9B4A0" w:rsidR="00320313" w:rsidRPr="00EE43C6" w:rsidRDefault="00D64030" w:rsidP="00B625EB">
            <w:pPr>
              <w:spacing w:before="0" w:after="60" w:line="240" w:lineRule="auto"/>
              <w:jc w:val="center"/>
              <w:rPr>
                <w:rFonts w:cs="Wingdings"/>
                <w:sz w:val="18"/>
                <w:szCs w:val="18"/>
              </w:rPr>
            </w:pPr>
            <w:r w:rsidRPr="00EE43C6">
              <w:rPr>
                <w:rFonts w:cs="Wingdings"/>
                <w:sz w:val="18"/>
                <w:szCs w:val="18"/>
              </w:rPr>
              <w:t>0.1898</w:t>
            </w:r>
          </w:p>
        </w:tc>
      </w:tr>
      <w:tr w:rsidR="00320313" w:rsidRPr="00EE43C6" w14:paraId="3BB753AB" w14:textId="77777777">
        <w:tc>
          <w:tcPr>
            <w:tcW w:w="1812" w:type="dxa"/>
          </w:tcPr>
          <w:p w14:paraId="2DC11ADF" w14:textId="6F733E9C" w:rsidR="00320313" w:rsidRPr="00EE43C6" w:rsidRDefault="00C530C4" w:rsidP="00B625EB">
            <w:pPr>
              <w:spacing w:before="0" w:after="60" w:line="240" w:lineRule="auto"/>
              <w:jc w:val="center"/>
              <w:rPr>
                <w:rFonts w:cs="Wingdings"/>
                <w:sz w:val="18"/>
                <w:szCs w:val="18"/>
              </w:rPr>
            </w:pPr>
            <w:r w:rsidRPr="00EE43C6">
              <w:rPr>
                <w:rFonts w:cs="Wingdings"/>
                <w:sz w:val="18"/>
                <w:szCs w:val="18"/>
              </w:rPr>
              <w:t>Tow Truck</w:t>
            </w:r>
          </w:p>
        </w:tc>
        <w:tc>
          <w:tcPr>
            <w:tcW w:w="1812" w:type="dxa"/>
          </w:tcPr>
          <w:p w14:paraId="6430A11F" w14:textId="2A3BC03E" w:rsidR="00320313" w:rsidRPr="00EE43C6" w:rsidRDefault="00C530C4" w:rsidP="00B625EB">
            <w:pPr>
              <w:spacing w:before="0" w:after="60" w:line="240" w:lineRule="auto"/>
              <w:jc w:val="center"/>
              <w:rPr>
                <w:rFonts w:cs="Wingdings"/>
                <w:sz w:val="18"/>
                <w:szCs w:val="18"/>
              </w:rPr>
            </w:pPr>
            <w:r w:rsidRPr="00EE43C6">
              <w:rPr>
                <w:rFonts w:cs="Wingdings"/>
                <w:sz w:val="18"/>
                <w:szCs w:val="18"/>
              </w:rPr>
              <w:t>9,940</w:t>
            </w:r>
          </w:p>
        </w:tc>
        <w:tc>
          <w:tcPr>
            <w:tcW w:w="1812" w:type="dxa"/>
          </w:tcPr>
          <w:p w14:paraId="38A2005F" w14:textId="5E761A45" w:rsidR="00320313" w:rsidRPr="00EE43C6" w:rsidRDefault="00511B78" w:rsidP="00B625EB">
            <w:pPr>
              <w:spacing w:before="0" w:after="60" w:line="240" w:lineRule="auto"/>
              <w:jc w:val="center"/>
              <w:rPr>
                <w:rFonts w:cs="Wingdings"/>
                <w:sz w:val="18"/>
                <w:szCs w:val="18"/>
              </w:rPr>
            </w:pPr>
            <w:r w:rsidRPr="00EE43C6">
              <w:rPr>
                <w:rFonts w:cs="Wingdings"/>
                <w:sz w:val="18"/>
                <w:szCs w:val="18"/>
              </w:rPr>
              <w:t>0.491</w:t>
            </w:r>
          </w:p>
        </w:tc>
        <w:tc>
          <w:tcPr>
            <w:tcW w:w="1812" w:type="dxa"/>
          </w:tcPr>
          <w:p w14:paraId="39F51BBF" w14:textId="34C2A15F" w:rsidR="00320313" w:rsidRPr="00EE43C6" w:rsidRDefault="00511B78" w:rsidP="00B625EB">
            <w:pPr>
              <w:spacing w:before="0" w:after="60" w:line="240" w:lineRule="auto"/>
              <w:jc w:val="center"/>
              <w:rPr>
                <w:rFonts w:cs="Wingdings"/>
                <w:sz w:val="18"/>
                <w:szCs w:val="18"/>
              </w:rPr>
            </w:pPr>
            <w:r w:rsidRPr="00EE43C6">
              <w:rPr>
                <w:rFonts w:cs="Wingdings"/>
                <w:sz w:val="18"/>
                <w:szCs w:val="18"/>
              </w:rPr>
              <w:t>1.6</w:t>
            </w:r>
          </w:p>
        </w:tc>
        <w:tc>
          <w:tcPr>
            <w:tcW w:w="1812" w:type="dxa"/>
          </w:tcPr>
          <w:p w14:paraId="0B36430F" w14:textId="1E12486C" w:rsidR="00320313" w:rsidRPr="00EE43C6" w:rsidRDefault="00D12FF3" w:rsidP="00B625EB">
            <w:pPr>
              <w:spacing w:before="0" w:after="60" w:line="240" w:lineRule="auto"/>
              <w:jc w:val="center"/>
              <w:rPr>
                <w:rFonts w:cs="Wingdings"/>
                <w:sz w:val="18"/>
                <w:szCs w:val="18"/>
              </w:rPr>
            </w:pPr>
            <w:r w:rsidRPr="00EE43C6">
              <w:rPr>
                <w:rFonts w:cs="Wingdings"/>
                <w:sz w:val="18"/>
                <w:szCs w:val="18"/>
              </w:rPr>
              <w:t>0.3254</w:t>
            </w:r>
          </w:p>
        </w:tc>
      </w:tr>
      <w:tr w:rsidR="00320313" w:rsidRPr="00EE43C6" w14:paraId="6FE560E7" w14:textId="77777777">
        <w:tc>
          <w:tcPr>
            <w:tcW w:w="1812" w:type="dxa"/>
          </w:tcPr>
          <w:p w14:paraId="031189F6" w14:textId="5F98D7A0" w:rsidR="00320313" w:rsidRPr="00EE43C6" w:rsidRDefault="00C530C4" w:rsidP="00B625EB">
            <w:pPr>
              <w:spacing w:before="0" w:after="60" w:line="240" w:lineRule="auto"/>
              <w:jc w:val="center"/>
              <w:rPr>
                <w:rFonts w:cs="Wingdings"/>
                <w:b/>
                <w:sz w:val="18"/>
                <w:szCs w:val="18"/>
              </w:rPr>
            </w:pPr>
            <w:r w:rsidRPr="00EE43C6">
              <w:rPr>
                <w:rFonts w:cs="Wingdings"/>
                <w:b/>
                <w:bCs/>
                <w:sz w:val="18"/>
                <w:szCs w:val="18"/>
              </w:rPr>
              <w:t>TOTAL</w:t>
            </w:r>
          </w:p>
        </w:tc>
        <w:tc>
          <w:tcPr>
            <w:tcW w:w="1812" w:type="dxa"/>
          </w:tcPr>
          <w:p w14:paraId="52E656BE" w14:textId="2A056559" w:rsidR="00320313" w:rsidRPr="00EE43C6" w:rsidRDefault="00C530C4" w:rsidP="00B625EB">
            <w:pPr>
              <w:spacing w:before="0" w:after="60" w:line="240" w:lineRule="auto"/>
              <w:jc w:val="center"/>
              <w:rPr>
                <w:rFonts w:cs="Wingdings"/>
                <w:b/>
                <w:sz w:val="18"/>
                <w:szCs w:val="18"/>
              </w:rPr>
            </w:pPr>
            <w:r w:rsidRPr="00EE43C6">
              <w:rPr>
                <w:rFonts w:cs="Wingdings"/>
                <w:b/>
                <w:sz w:val="18"/>
                <w:szCs w:val="18"/>
              </w:rPr>
              <w:t>22,830</w:t>
            </w:r>
          </w:p>
        </w:tc>
        <w:tc>
          <w:tcPr>
            <w:tcW w:w="1812" w:type="dxa"/>
          </w:tcPr>
          <w:p w14:paraId="699A8F97" w14:textId="77777777" w:rsidR="00320313" w:rsidRPr="00EE43C6" w:rsidRDefault="00320313" w:rsidP="00B625EB">
            <w:pPr>
              <w:spacing w:before="0" w:after="60" w:line="240" w:lineRule="auto"/>
              <w:jc w:val="center"/>
              <w:rPr>
                <w:rFonts w:cs="Wingdings"/>
                <w:b/>
                <w:sz w:val="18"/>
                <w:szCs w:val="18"/>
              </w:rPr>
            </w:pPr>
          </w:p>
        </w:tc>
        <w:tc>
          <w:tcPr>
            <w:tcW w:w="1812" w:type="dxa"/>
          </w:tcPr>
          <w:p w14:paraId="69837928" w14:textId="77777777" w:rsidR="00320313" w:rsidRPr="00EE43C6" w:rsidRDefault="00320313" w:rsidP="00B625EB">
            <w:pPr>
              <w:spacing w:before="0" w:after="60" w:line="240" w:lineRule="auto"/>
              <w:jc w:val="center"/>
              <w:rPr>
                <w:rFonts w:cs="Wingdings"/>
                <w:b/>
                <w:sz w:val="18"/>
                <w:szCs w:val="18"/>
              </w:rPr>
            </w:pPr>
          </w:p>
        </w:tc>
        <w:tc>
          <w:tcPr>
            <w:tcW w:w="1812" w:type="dxa"/>
          </w:tcPr>
          <w:p w14:paraId="73CBE38C" w14:textId="14C0DB9E" w:rsidR="00320313" w:rsidRPr="00EE43C6" w:rsidRDefault="00D12FF3" w:rsidP="00B625EB">
            <w:pPr>
              <w:spacing w:before="0" w:after="60" w:line="240" w:lineRule="auto"/>
              <w:jc w:val="center"/>
              <w:rPr>
                <w:rFonts w:cs="Wingdings"/>
                <w:b/>
                <w:sz w:val="18"/>
                <w:szCs w:val="18"/>
              </w:rPr>
            </w:pPr>
            <w:r w:rsidRPr="00EE43C6">
              <w:rPr>
                <w:rFonts w:cs="Wingdings"/>
                <w:b/>
                <w:sz w:val="18"/>
                <w:szCs w:val="18"/>
              </w:rPr>
              <w:t>0.5152</w:t>
            </w:r>
          </w:p>
        </w:tc>
      </w:tr>
    </w:tbl>
    <w:p w14:paraId="7C7C8338" w14:textId="1AD4A615" w:rsidR="00320313" w:rsidRPr="00EE43C6" w:rsidRDefault="00CE5DD8" w:rsidP="00591B1C">
      <w:pPr>
        <w:spacing w:before="360"/>
        <w:rPr>
          <w:rFonts w:cs="Wingdings"/>
          <w:szCs w:val="18"/>
        </w:rPr>
      </w:pPr>
      <w:r w:rsidRPr="00EE43C6">
        <w:rPr>
          <w:rFonts w:cs="Wingdings"/>
          <w:szCs w:val="18"/>
        </w:rPr>
        <w:t xml:space="preserve">The mass flowrates of the pollutant emissions calculated above are shown in </w:t>
      </w:r>
      <w:r w:rsidR="009A3864" w:rsidRPr="00EE43C6">
        <w:rPr>
          <w:rFonts w:cs="Wingdings"/>
          <w:szCs w:val="18"/>
        </w:rPr>
        <w:fldChar w:fldCharType="begin"/>
      </w:r>
      <w:r w:rsidR="009A3864" w:rsidRPr="00EE43C6">
        <w:rPr>
          <w:rFonts w:cs="Wingdings"/>
          <w:szCs w:val="18"/>
        </w:rPr>
        <w:instrText xml:space="preserve"> REF _Ref125731464 \h </w:instrText>
      </w:r>
      <w:r w:rsidR="00F70363" w:rsidRPr="00EE43C6">
        <w:rPr>
          <w:rFonts w:cs="Wingdings"/>
          <w:szCs w:val="18"/>
          <w:highlight w:val="green"/>
        </w:rPr>
        <w:instrText xml:space="preserve"> \* MERGEFORMAT </w:instrText>
      </w:r>
      <w:r w:rsidR="009A3864" w:rsidRPr="00EE43C6">
        <w:rPr>
          <w:rFonts w:cs="Wingdings"/>
          <w:szCs w:val="18"/>
        </w:rPr>
      </w:r>
      <w:r w:rsidR="009A3864" w:rsidRPr="00EE43C6">
        <w:rPr>
          <w:rFonts w:cs="Wingdings"/>
          <w:szCs w:val="18"/>
        </w:rPr>
        <w:fldChar w:fldCharType="separate"/>
      </w:r>
      <w:r w:rsidR="0068744F" w:rsidRPr="00EE43C6">
        <w:t>Table 6</w:t>
      </w:r>
      <w:r w:rsidR="0068744F" w:rsidRPr="00EE43C6">
        <w:noBreakHyphen/>
        <w:t>10</w:t>
      </w:r>
      <w:r w:rsidR="009A3864" w:rsidRPr="00EE43C6">
        <w:rPr>
          <w:rFonts w:cs="Wingdings"/>
          <w:szCs w:val="18"/>
        </w:rPr>
        <w:fldChar w:fldCharType="end"/>
      </w:r>
      <w:r w:rsidRPr="00EE43C6">
        <w:rPr>
          <w:rFonts w:cs="Wingdings"/>
          <w:szCs w:val="18"/>
        </w:rPr>
        <w:t xml:space="preserve"> collectively.</w:t>
      </w:r>
    </w:p>
    <w:p w14:paraId="02E8D1A0" w14:textId="348F69D7" w:rsidR="00CE5DD8" w:rsidRPr="00EE43C6" w:rsidRDefault="009A3864" w:rsidP="009A3864">
      <w:pPr>
        <w:pStyle w:val="Caption"/>
        <w:rPr>
          <w:rFonts w:cs="Wingdings"/>
          <w:noProof w:val="0"/>
          <w:szCs w:val="18"/>
        </w:rPr>
      </w:pPr>
      <w:bookmarkStart w:id="482" w:name="_Ref125731464"/>
      <w:bookmarkStart w:id="483" w:name="_Toc141445519"/>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10</w:t>
      </w:r>
      <w:r w:rsidR="006D2DE8">
        <w:rPr>
          <w:noProof w:val="0"/>
        </w:rPr>
        <w:fldChar w:fldCharType="end"/>
      </w:r>
      <w:bookmarkEnd w:id="482"/>
      <w:r w:rsidRPr="00EE43C6">
        <w:rPr>
          <w:noProof w:val="0"/>
        </w:rPr>
        <w:t xml:space="preserve">. </w:t>
      </w:r>
      <w:r w:rsidR="000D4822" w:rsidRPr="00EE43C6">
        <w:rPr>
          <w:rFonts w:cs="Wingdings"/>
          <w:b w:val="0"/>
          <w:noProof w:val="0"/>
          <w:color w:val="auto"/>
          <w:szCs w:val="18"/>
        </w:rPr>
        <w:t>Total Dust Emission Mass Flowrates</w:t>
      </w:r>
      <w:bookmarkEnd w:id="483"/>
    </w:p>
    <w:tbl>
      <w:tblPr>
        <w:tblStyle w:val="TableGrid"/>
        <w:tblW w:w="0" w:type="auto"/>
        <w:jc w:val="center"/>
        <w:tblLook w:val="04A0" w:firstRow="1" w:lastRow="0" w:firstColumn="1" w:lastColumn="0" w:noHBand="0" w:noVBand="1"/>
      </w:tblPr>
      <w:tblGrid>
        <w:gridCol w:w="1645"/>
        <w:gridCol w:w="483"/>
        <w:gridCol w:w="4219"/>
        <w:gridCol w:w="1450"/>
        <w:gridCol w:w="1263"/>
      </w:tblGrid>
      <w:tr w:rsidR="003F6E16" w:rsidRPr="00EE43C6" w14:paraId="3727A80F" w14:textId="77777777" w:rsidTr="00B625EB">
        <w:trPr>
          <w:tblHeader/>
          <w:jc w:val="center"/>
        </w:trPr>
        <w:tc>
          <w:tcPr>
            <w:tcW w:w="1645" w:type="dxa"/>
            <w:shd w:val="clear" w:color="auto" w:fill="4F81BD"/>
            <w:vAlign w:val="center"/>
          </w:tcPr>
          <w:p w14:paraId="64DE688C" w14:textId="6EB682BC" w:rsidR="003F6E16" w:rsidRPr="00EE43C6" w:rsidRDefault="003F6E16" w:rsidP="00B625EB">
            <w:pPr>
              <w:spacing w:before="0" w:after="60" w:line="240" w:lineRule="auto"/>
              <w:jc w:val="center"/>
              <w:rPr>
                <w:rFonts w:cs="Wingdings"/>
                <w:b/>
                <w:color w:val="FFFFFF" w:themeColor="background1"/>
                <w:sz w:val="18"/>
                <w:szCs w:val="18"/>
              </w:rPr>
            </w:pPr>
            <w:r w:rsidRPr="00EE43C6">
              <w:rPr>
                <w:rFonts w:cs="Wingdings"/>
                <w:b/>
                <w:color w:val="FFFFFF" w:themeColor="background1"/>
                <w:sz w:val="18"/>
                <w:szCs w:val="18"/>
              </w:rPr>
              <w:t>Source</w:t>
            </w:r>
          </w:p>
        </w:tc>
        <w:tc>
          <w:tcPr>
            <w:tcW w:w="483" w:type="dxa"/>
            <w:shd w:val="clear" w:color="auto" w:fill="4F81BD"/>
            <w:vAlign w:val="center"/>
          </w:tcPr>
          <w:p w14:paraId="435DA1A5" w14:textId="6C0451B6" w:rsidR="003F6E16" w:rsidRPr="00EE43C6" w:rsidRDefault="003F6E16" w:rsidP="00B625EB">
            <w:pPr>
              <w:spacing w:before="0" w:after="60" w:line="240" w:lineRule="auto"/>
              <w:jc w:val="center"/>
              <w:rPr>
                <w:rFonts w:cs="Wingdings"/>
                <w:b/>
                <w:color w:val="FFFFFF" w:themeColor="background1"/>
                <w:sz w:val="18"/>
                <w:szCs w:val="18"/>
              </w:rPr>
            </w:pPr>
            <w:r w:rsidRPr="00EE43C6">
              <w:rPr>
                <w:rFonts w:cs="Wingdings"/>
                <w:b/>
                <w:color w:val="FFFFFF" w:themeColor="background1"/>
                <w:sz w:val="18"/>
                <w:szCs w:val="18"/>
              </w:rPr>
              <w:t>No</w:t>
            </w:r>
          </w:p>
        </w:tc>
        <w:tc>
          <w:tcPr>
            <w:tcW w:w="4219" w:type="dxa"/>
            <w:shd w:val="clear" w:color="auto" w:fill="4F81BD"/>
            <w:vAlign w:val="center"/>
          </w:tcPr>
          <w:p w14:paraId="7A0F0829" w14:textId="3EA70A9F" w:rsidR="003F6E16" w:rsidRPr="00EE43C6" w:rsidRDefault="003F6E16" w:rsidP="00B625EB">
            <w:pPr>
              <w:spacing w:before="0" w:after="60" w:line="240" w:lineRule="auto"/>
              <w:jc w:val="left"/>
              <w:rPr>
                <w:rFonts w:cs="Wingdings"/>
                <w:b/>
                <w:color w:val="FFFFFF" w:themeColor="background1"/>
                <w:sz w:val="18"/>
                <w:szCs w:val="18"/>
              </w:rPr>
            </w:pPr>
            <w:r w:rsidRPr="00EE43C6">
              <w:rPr>
                <w:rFonts w:cs="Wingdings"/>
                <w:b/>
                <w:color w:val="FFFFFF" w:themeColor="background1"/>
                <w:sz w:val="18"/>
                <w:szCs w:val="18"/>
              </w:rPr>
              <w:t>Operation</w:t>
            </w:r>
          </w:p>
        </w:tc>
        <w:tc>
          <w:tcPr>
            <w:tcW w:w="1450" w:type="dxa"/>
            <w:shd w:val="clear" w:color="auto" w:fill="4F81BD"/>
            <w:vAlign w:val="center"/>
          </w:tcPr>
          <w:p w14:paraId="2DB90934" w14:textId="6C74754F" w:rsidR="003F6E16" w:rsidRPr="00EE43C6" w:rsidRDefault="003F6E16" w:rsidP="00B625EB">
            <w:pPr>
              <w:spacing w:before="0" w:after="60" w:line="240" w:lineRule="auto"/>
              <w:jc w:val="center"/>
              <w:rPr>
                <w:rFonts w:cs="Wingdings"/>
                <w:b/>
                <w:color w:val="FFFFFF" w:themeColor="background1"/>
                <w:sz w:val="18"/>
                <w:szCs w:val="18"/>
              </w:rPr>
            </w:pPr>
            <w:r w:rsidRPr="00EE43C6">
              <w:rPr>
                <w:rFonts w:cs="Wingdings"/>
                <w:b/>
                <w:color w:val="FFFFFF" w:themeColor="background1"/>
                <w:sz w:val="18"/>
                <w:szCs w:val="18"/>
              </w:rPr>
              <w:t>Uncontrolled (kg/hour)</w:t>
            </w:r>
          </w:p>
        </w:tc>
        <w:tc>
          <w:tcPr>
            <w:tcW w:w="1263" w:type="dxa"/>
            <w:shd w:val="clear" w:color="auto" w:fill="4F81BD"/>
            <w:vAlign w:val="center"/>
          </w:tcPr>
          <w:p w14:paraId="2EA2D08E" w14:textId="52648B4E" w:rsidR="003F6E16" w:rsidRPr="00EE43C6" w:rsidRDefault="003F6E16" w:rsidP="00B625EB">
            <w:pPr>
              <w:spacing w:before="0" w:after="60" w:line="240" w:lineRule="auto"/>
              <w:jc w:val="center"/>
              <w:rPr>
                <w:rFonts w:cs="Wingdings"/>
                <w:b/>
                <w:color w:val="FFFFFF" w:themeColor="background1"/>
                <w:sz w:val="18"/>
                <w:szCs w:val="18"/>
              </w:rPr>
            </w:pPr>
            <w:r w:rsidRPr="00EE43C6">
              <w:rPr>
                <w:rFonts w:cs="Wingdings"/>
                <w:b/>
                <w:color w:val="FFFFFF" w:themeColor="background1"/>
                <w:sz w:val="18"/>
                <w:szCs w:val="18"/>
              </w:rPr>
              <w:t>Controlled (kg/hour)</w:t>
            </w:r>
          </w:p>
        </w:tc>
      </w:tr>
      <w:tr w:rsidR="003F6E16" w:rsidRPr="00EE43C6" w14:paraId="3F5B18A9" w14:textId="77777777" w:rsidTr="00B625EB">
        <w:trPr>
          <w:jc w:val="center"/>
        </w:trPr>
        <w:tc>
          <w:tcPr>
            <w:tcW w:w="1645" w:type="dxa"/>
            <w:vMerge w:val="restart"/>
            <w:vAlign w:val="center"/>
          </w:tcPr>
          <w:p w14:paraId="07672470" w14:textId="047C463D" w:rsidR="003F6E16" w:rsidRPr="00EE43C6" w:rsidRDefault="00756E3C" w:rsidP="00B625EB">
            <w:pPr>
              <w:spacing w:before="0" w:after="60" w:line="240" w:lineRule="auto"/>
              <w:jc w:val="center"/>
              <w:rPr>
                <w:rFonts w:cs="Wingdings"/>
                <w:sz w:val="18"/>
                <w:szCs w:val="18"/>
              </w:rPr>
            </w:pPr>
            <w:r w:rsidRPr="00EE43C6">
              <w:rPr>
                <w:rFonts w:cs="Wingdings"/>
                <w:sz w:val="18"/>
                <w:szCs w:val="18"/>
              </w:rPr>
              <w:t>Topsoil and Excavation</w:t>
            </w:r>
            <w:r w:rsidR="00F87BEC" w:rsidRPr="00EE43C6">
              <w:rPr>
                <w:rFonts w:cs="Wingdings"/>
                <w:sz w:val="18"/>
                <w:szCs w:val="18"/>
              </w:rPr>
              <w:t xml:space="preserve"> </w:t>
            </w:r>
            <w:r w:rsidRPr="00EE43C6">
              <w:rPr>
                <w:rFonts w:cs="Wingdings"/>
                <w:sz w:val="18"/>
                <w:szCs w:val="18"/>
              </w:rPr>
              <w:t>Operations</w:t>
            </w:r>
          </w:p>
        </w:tc>
        <w:tc>
          <w:tcPr>
            <w:tcW w:w="483" w:type="dxa"/>
            <w:vAlign w:val="center"/>
          </w:tcPr>
          <w:p w14:paraId="1AEDA020" w14:textId="32DB26A1" w:rsidR="003F6E16" w:rsidRPr="00EE43C6" w:rsidRDefault="00756E3C" w:rsidP="00B625EB">
            <w:pPr>
              <w:spacing w:before="0" w:after="60" w:line="240" w:lineRule="auto"/>
              <w:jc w:val="center"/>
              <w:rPr>
                <w:rFonts w:cs="Wingdings"/>
                <w:sz w:val="18"/>
                <w:szCs w:val="18"/>
              </w:rPr>
            </w:pPr>
            <w:r w:rsidRPr="00EE43C6">
              <w:rPr>
                <w:rFonts w:cs="Wingdings"/>
                <w:sz w:val="18"/>
                <w:szCs w:val="18"/>
              </w:rPr>
              <w:t>1</w:t>
            </w:r>
          </w:p>
        </w:tc>
        <w:tc>
          <w:tcPr>
            <w:tcW w:w="4219" w:type="dxa"/>
            <w:vAlign w:val="center"/>
          </w:tcPr>
          <w:p w14:paraId="2924B163" w14:textId="788FEEBA" w:rsidR="003F6E16" w:rsidRPr="00EE43C6" w:rsidRDefault="00F87BEC" w:rsidP="00B625EB">
            <w:pPr>
              <w:spacing w:before="0" w:after="60" w:line="240" w:lineRule="auto"/>
              <w:jc w:val="left"/>
              <w:rPr>
                <w:rFonts w:cs="Wingdings"/>
                <w:sz w:val="18"/>
                <w:szCs w:val="18"/>
              </w:rPr>
            </w:pPr>
            <w:r w:rsidRPr="00EE43C6">
              <w:rPr>
                <w:rFonts w:cs="Arial"/>
                <w:sz w:val="18"/>
                <w:szCs w:val="18"/>
              </w:rPr>
              <w:t>Stripping of Topsoil</w:t>
            </w:r>
          </w:p>
        </w:tc>
        <w:tc>
          <w:tcPr>
            <w:tcW w:w="1450" w:type="dxa"/>
            <w:vAlign w:val="center"/>
          </w:tcPr>
          <w:p w14:paraId="7FB5DA8F" w14:textId="7CDC293B" w:rsidR="003F6E16" w:rsidRPr="00EE43C6" w:rsidRDefault="007A2517" w:rsidP="00B625EB">
            <w:pPr>
              <w:spacing w:before="0" w:after="60" w:line="240" w:lineRule="auto"/>
              <w:jc w:val="center"/>
              <w:rPr>
                <w:rFonts w:cs="Wingdings"/>
                <w:sz w:val="18"/>
                <w:szCs w:val="18"/>
              </w:rPr>
            </w:pPr>
            <w:r w:rsidRPr="00EE43C6">
              <w:rPr>
                <w:rFonts w:cs="Arial"/>
                <w:sz w:val="18"/>
                <w:szCs w:val="18"/>
              </w:rPr>
              <w:t>2.6</w:t>
            </w:r>
            <w:r w:rsidR="00B0324A">
              <w:rPr>
                <w:rFonts w:cs="Arial"/>
                <w:sz w:val="18"/>
                <w:szCs w:val="18"/>
              </w:rPr>
              <w:t>75</w:t>
            </w:r>
          </w:p>
        </w:tc>
        <w:tc>
          <w:tcPr>
            <w:tcW w:w="1263" w:type="dxa"/>
            <w:vAlign w:val="center"/>
          </w:tcPr>
          <w:p w14:paraId="7E8E979B" w14:textId="2526AB41" w:rsidR="003F6E16" w:rsidRPr="00EE43C6" w:rsidRDefault="007A2517" w:rsidP="00B625EB">
            <w:pPr>
              <w:spacing w:before="0" w:after="60" w:line="240" w:lineRule="auto"/>
              <w:jc w:val="center"/>
              <w:rPr>
                <w:rFonts w:cs="Wingdings"/>
                <w:sz w:val="18"/>
                <w:szCs w:val="18"/>
              </w:rPr>
            </w:pPr>
            <w:r w:rsidRPr="00EE43C6">
              <w:rPr>
                <w:rFonts w:cs="Arial"/>
                <w:sz w:val="18"/>
                <w:szCs w:val="18"/>
              </w:rPr>
              <w:t>1.33</w:t>
            </w:r>
            <w:r w:rsidR="00B0324A">
              <w:rPr>
                <w:rFonts w:cs="Arial"/>
                <w:sz w:val="18"/>
                <w:szCs w:val="18"/>
              </w:rPr>
              <w:t>75</w:t>
            </w:r>
          </w:p>
        </w:tc>
      </w:tr>
      <w:tr w:rsidR="003F6E16" w:rsidRPr="00EE43C6" w14:paraId="680F5B6E" w14:textId="77777777" w:rsidTr="00B625EB">
        <w:trPr>
          <w:jc w:val="center"/>
        </w:trPr>
        <w:tc>
          <w:tcPr>
            <w:tcW w:w="1645" w:type="dxa"/>
            <w:vMerge/>
            <w:vAlign w:val="center"/>
          </w:tcPr>
          <w:p w14:paraId="24CDCEE8"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06876703" w14:textId="1C65AB1C" w:rsidR="003F6E16" w:rsidRPr="00EE43C6" w:rsidRDefault="00756E3C" w:rsidP="00B625EB">
            <w:pPr>
              <w:spacing w:before="0" w:after="60" w:line="240" w:lineRule="auto"/>
              <w:jc w:val="center"/>
              <w:rPr>
                <w:rFonts w:cs="Wingdings"/>
                <w:sz w:val="18"/>
                <w:szCs w:val="18"/>
              </w:rPr>
            </w:pPr>
            <w:r w:rsidRPr="00EE43C6">
              <w:rPr>
                <w:rFonts w:cs="Wingdings"/>
                <w:sz w:val="18"/>
                <w:szCs w:val="18"/>
              </w:rPr>
              <w:t>2</w:t>
            </w:r>
          </w:p>
        </w:tc>
        <w:tc>
          <w:tcPr>
            <w:tcW w:w="4219" w:type="dxa"/>
            <w:vAlign w:val="center"/>
          </w:tcPr>
          <w:p w14:paraId="13879192" w14:textId="44C645BD" w:rsidR="003F6E16" w:rsidRPr="00EE43C6" w:rsidRDefault="00F87BEC" w:rsidP="00B625EB">
            <w:pPr>
              <w:spacing w:before="0" w:after="60" w:line="240" w:lineRule="auto"/>
              <w:jc w:val="left"/>
              <w:rPr>
                <w:rFonts w:cs="Wingdings"/>
                <w:sz w:val="18"/>
                <w:szCs w:val="18"/>
              </w:rPr>
            </w:pPr>
            <w:r w:rsidRPr="00EE43C6">
              <w:rPr>
                <w:rFonts w:cs="Arial"/>
                <w:sz w:val="18"/>
                <w:szCs w:val="18"/>
              </w:rPr>
              <w:t>Loading of Topsoil</w:t>
            </w:r>
          </w:p>
        </w:tc>
        <w:tc>
          <w:tcPr>
            <w:tcW w:w="1450" w:type="dxa"/>
            <w:vAlign w:val="center"/>
          </w:tcPr>
          <w:p w14:paraId="52E83959" w14:textId="61DE45BE" w:rsidR="003F6E16" w:rsidRPr="00EE43C6" w:rsidRDefault="007A2517" w:rsidP="00B625EB">
            <w:pPr>
              <w:spacing w:before="0" w:after="60" w:line="240" w:lineRule="auto"/>
              <w:jc w:val="center"/>
              <w:rPr>
                <w:rFonts w:cs="Wingdings"/>
                <w:sz w:val="18"/>
                <w:szCs w:val="18"/>
              </w:rPr>
            </w:pPr>
            <w:r w:rsidRPr="00EE43C6">
              <w:rPr>
                <w:rFonts w:cs="Arial"/>
                <w:sz w:val="18"/>
                <w:szCs w:val="18"/>
              </w:rPr>
              <w:t>1.0655</w:t>
            </w:r>
          </w:p>
        </w:tc>
        <w:tc>
          <w:tcPr>
            <w:tcW w:w="1263" w:type="dxa"/>
            <w:vAlign w:val="center"/>
          </w:tcPr>
          <w:p w14:paraId="31ECE4B9" w14:textId="27267699" w:rsidR="003F6E16" w:rsidRPr="00EE43C6" w:rsidRDefault="007A2517" w:rsidP="00B625EB">
            <w:pPr>
              <w:spacing w:before="0" w:after="60" w:line="240" w:lineRule="auto"/>
              <w:jc w:val="center"/>
              <w:rPr>
                <w:rFonts w:cs="Wingdings"/>
                <w:sz w:val="18"/>
                <w:szCs w:val="18"/>
              </w:rPr>
            </w:pPr>
            <w:r w:rsidRPr="00EE43C6">
              <w:rPr>
                <w:rFonts w:cs="Arial"/>
                <w:sz w:val="18"/>
                <w:szCs w:val="18"/>
              </w:rPr>
              <w:t>0.5327</w:t>
            </w:r>
          </w:p>
        </w:tc>
      </w:tr>
      <w:tr w:rsidR="003F6E16" w:rsidRPr="00EE43C6" w14:paraId="6CB98079" w14:textId="77777777" w:rsidTr="00B625EB">
        <w:trPr>
          <w:jc w:val="center"/>
        </w:trPr>
        <w:tc>
          <w:tcPr>
            <w:tcW w:w="1645" w:type="dxa"/>
            <w:vMerge/>
            <w:vAlign w:val="center"/>
          </w:tcPr>
          <w:p w14:paraId="30337D14"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4252343E" w14:textId="036202A1" w:rsidR="003F6E16" w:rsidRPr="00EE43C6" w:rsidRDefault="00756E3C" w:rsidP="00B625EB">
            <w:pPr>
              <w:spacing w:before="0" w:after="60" w:line="240" w:lineRule="auto"/>
              <w:jc w:val="center"/>
              <w:rPr>
                <w:rFonts w:cs="Wingdings"/>
                <w:sz w:val="18"/>
                <w:szCs w:val="18"/>
              </w:rPr>
            </w:pPr>
            <w:r w:rsidRPr="00EE43C6">
              <w:rPr>
                <w:rFonts w:cs="Wingdings"/>
                <w:sz w:val="18"/>
                <w:szCs w:val="18"/>
              </w:rPr>
              <w:t>3</w:t>
            </w:r>
          </w:p>
        </w:tc>
        <w:tc>
          <w:tcPr>
            <w:tcW w:w="4219" w:type="dxa"/>
            <w:vAlign w:val="center"/>
          </w:tcPr>
          <w:p w14:paraId="66AB0F67" w14:textId="056E3A5B" w:rsidR="003F6E16" w:rsidRPr="00EE43C6" w:rsidRDefault="00F87BEC" w:rsidP="00B625EB">
            <w:pPr>
              <w:spacing w:before="0" w:after="60" w:line="240" w:lineRule="auto"/>
              <w:jc w:val="left"/>
              <w:rPr>
                <w:rFonts w:cs="Wingdings"/>
                <w:sz w:val="18"/>
                <w:szCs w:val="18"/>
              </w:rPr>
            </w:pPr>
            <w:r w:rsidRPr="00EE43C6">
              <w:rPr>
                <w:rFonts w:cs="Arial"/>
                <w:sz w:val="18"/>
                <w:szCs w:val="18"/>
              </w:rPr>
              <w:t>Transportation of Topsoil</w:t>
            </w:r>
          </w:p>
        </w:tc>
        <w:tc>
          <w:tcPr>
            <w:tcW w:w="1450" w:type="dxa"/>
            <w:vAlign w:val="center"/>
          </w:tcPr>
          <w:p w14:paraId="4B7ADD4D" w14:textId="09A086A1" w:rsidR="003F6E16" w:rsidRPr="00EE43C6" w:rsidRDefault="007A2517" w:rsidP="00B625EB">
            <w:pPr>
              <w:spacing w:before="0" w:after="60" w:line="240" w:lineRule="auto"/>
              <w:jc w:val="center"/>
              <w:rPr>
                <w:rFonts w:cs="Wingdings"/>
                <w:sz w:val="18"/>
                <w:szCs w:val="18"/>
              </w:rPr>
            </w:pPr>
            <w:r w:rsidRPr="00EE43C6">
              <w:rPr>
                <w:rFonts w:cs="Arial"/>
                <w:sz w:val="18"/>
                <w:szCs w:val="18"/>
              </w:rPr>
              <w:t>2.7562</w:t>
            </w:r>
          </w:p>
        </w:tc>
        <w:tc>
          <w:tcPr>
            <w:tcW w:w="1263" w:type="dxa"/>
            <w:vAlign w:val="center"/>
          </w:tcPr>
          <w:p w14:paraId="4388A89E" w14:textId="6E59870F" w:rsidR="003F6E16" w:rsidRPr="00EE43C6" w:rsidRDefault="007A2517" w:rsidP="00B625EB">
            <w:pPr>
              <w:spacing w:before="0" w:after="60" w:line="240" w:lineRule="auto"/>
              <w:jc w:val="center"/>
              <w:rPr>
                <w:rFonts w:cs="Wingdings"/>
                <w:sz w:val="18"/>
                <w:szCs w:val="18"/>
              </w:rPr>
            </w:pPr>
            <w:r w:rsidRPr="00EE43C6">
              <w:rPr>
                <w:rFonts w:cs="Arial"/>
                <w:sz w:val="18"/>
                <w:szCs w:val="18"/>
              </w:rPr>
              <w:t>1.3781</w:t>
            </w:r>
          </w:p>
        </w:tc>
      </w:tr>
      <w:tr w:rsidR="003F6E16" w:rsidRPr="00EE43C6" w14:paraId="64AD8E24" w14:textId="77777777" w:rsidTr="00B625EB">
        <w:trPr>
          <w:jc w:val="center"/>
        </w:trPr>
        <w:tc>
          <w:tcPr>
            <w:tcW w:w="1645" w:type="dxa"/>
            <w:vMerge/>
            <w:vAlign w:val="center"/>
          </w:tcPr>
          <w:p w14:paraId="2382A250"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65999061" w14:textId="620B8977" w:rsidR="003F6E16" w:rsidRPr="00EE43C6" w:rsidRDefault="00756E3C" w:rsidP="00B625EB">
            <w:pPr>
              <w:spacing w:before="0" w:after="60" w:line="240" w:lineRule="auto"/>
              <w:jc w:val="center"/>
              <w:rPr>
                <w:rFonts w:cs="Wingdings"/>
                <w:sz w:val="18"/>
                <w:szCs w:val="18"/>
              </w:rPr>
            </w:pPr>
            <w:r w:rsidRPr="00EE43C6">
              <w:rPr>
                <w:rFonts w:cs="Wingdings"/>
                <w:sz w:val="18"/>
                <w:szCs w:val="18"/>
              </w:rPr>
              <w:t>4</w:t>
            </w:r>
          </w:p>
        </w:tc>
        <w:tc>
          <w:tcPr>
            <w:tcW w:w="4219" w:type="dxa"/>
            <w:vAlign w:val="center"/>
          </w:tcPr>
          <w:p w14:paraId="4F44D7B7" w14:textId="70C16E9A" w:rsidR="003F6E16" w:rsidRPr="00EE43C6" w:rsidRDefault="00F87BEC" w:rsidP="00B625EB">
            <w:pPr>
              <w:spacing w:before="0" w:after="60" w:line="240" w:lineRule="auto"/>
              <w:jc w:val="left"/>
              <w:rPr>
                <w:rFonts w:cs="Wingdings"/>
                <w:sz w:val="18"/>
                <w:szCs w:val="18"/>
              </w:rPr>
            </w:pPr>
            <w:r w:rsidRPr="00EE43C6">
              <w:rPr>
                <w:rFonts w:cs="Arial"/>
                <w:sz w:val="18"/>
                <w:szCs w:val="18"/>
              </w:rPr>
              <w:t>Unloading of Topsoil</w:t>
            </w:r>
          </w:p>
        </w:tc>
        <w:tc>
          <w:tcPr>
            <w:tcW w:w="1450" w:type="dxa"/>
            <w:vAlign w:val="center"/>
          </w:tcPr>
          <w:p w14:paraId="1F1478B3" w14:textId="7B9F299B" w:rsidR="003F6E16" w:rsidRPr="00EE43C6" w:rsidRDefault="007A2517" w:rsidP="00B625EB">
            <w:pPr>
              <w:spacing w:before="0" w:after="60" w:line="240" w:lineRule="auto"/>
              <w:jc w:val="center"/>
              <w:rPr>
                <w:rFonts w:cs="Wingdings"/>
                <w:sz w:val="18"/>
                <w:szCs w:val="18"/>
              </w:rPr>
            </w:pPr>
            <w:r w:rsidRPr="00EE43C6">
              <w:rPr>
                <w:rFonts w:cs="Arial"/>
                <w:sz w:val="18"/>
                <w:szCs w:val="18"/>
              </w:rPr>
              <w:t>1.0655</w:t>
            </w:r>
          </w:p>
        </w:tc>
        <w:tc>
          <w:tcPr>
            <w:tcW w:w="1263" w:type="dxa"/>
            <w:vAlign w:val="center"/>
          </w:tcPr>
          <w:p w14:paraId="6F67301C" w14:textId="240C1386" w:rsidR="003F6E16" w:rsidRPr="00EE43C6" w:rsidRDefault="007A2517" w:rsidP="00B625EB">
            <w:pPr>
              <w:spacing w:before="0" w:after="60" w:line="240" w:lineRule="auto"/>
              <w:jc w:val="center"/>
              <w:rPr>
                <w:rFonts w:cs="Wingdings"/>
                <w:sz w:val="18"/>
                <w:szCs w:val="18"/>
              </w:rPr>
            </w:pPr>
            <w:r w:rsidRPr="00EE43C6">
              <w:rPr>
                <w:rFonts w:cs="Arial"/>
                <w:sz w:val="18"/>
                <w:szCs w:val="18"/>
              </w:rPr>
              <w:t>0.5327</w:t>
            </w:r>
          </w:p>
        </w:tc>
      </w:tr>
      <w:tr w:rsidR="003F6E16" w:rsidRPr="00EE43C6" w14:paraId="69197CD2" w14:textId="77777777" w:rsidTr="00B625EB">
        <w:trPr>
          <w:jc w:val="center"/>
        </w:trPr>
        <w:tc>
          <w:tcPr>
            <w:tcW w:w="1645" w:type="dxa"/>
            <w:vMerge/>
            <w:vAlign w:val="center"/>
          </w:tcPr>
          <w:p w14:paraId="7132F189"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4A691BA4" w14:textId="6FA59629" w:rsidR="003F6E16" w:rsidRPr="00EE43C6" w:rsidRDefault="00756E3C" w:rsidP="00B625EB">
            <w:pPr>
              <w:spacing w:before="0" w:after="60" w:line="240" w:lineRule="auto"/>
              <w:jc w:val="center"/>
              <w:rPr>
                <w:rFonts w:cs="Wingdings"/>
                <w:sz w:val="18"/>
                <w:szCs w:val="18"/>
              </w:rPr>
            </w:pPr>
            <w:r w:rsidRPr="00EE43C6">
              <w:rPr>
                <w:rFonts w:cs="Wingdings"/>
                <w:sz w:val="18"/>
                <w:szCs w:val="18"/>
              </w:rPr>
              <w:t>5</w:t>
            </w:r>
          </w:p>
        </w:tc>
        <w:tc>
          <w:tcPr>
            <w:tcW w:w="4219" w:type="dxa"/>
            <w:vAlign w:val="center"/>
          </w:tcPr>
          <w:p w14:paraId="3D563A9F" w14:textId="47BCF6F7" w:rsidR="003F6E16" w:rsidRPr="00EE43C6" w:rsidRDefault="00F87BEC" w:rsidP="00B625EB">
            <w:pPr>
              <w:spacing w:before="0" w:after="60" w:line="240" w:lineRule="auto"/>
              <w:jc w:val="left"/>
              <w:rPr>
                <w:rFonts w:cs="Wingdings"/>
                <w:sz w:val="18"/>
                <w:szCs w:val="18"/>
              </w:rPr>
            </w:pPr>
            <w:r w:rsidRPr="00EE43C6">
              <w:rPr>
                <w:rFonts w:cs="Arial"/>
                <w:sz w:val="18"/>
                <w:szCs w:val="18"/>
              </w:rPr>
              <w:t>Laying of Topsoil</w:t>
            </w:r>
          </w:p>
        </w:tc>
        <w:tc>
          <w:tcPr>
            <w:tcW w:w="1450" w:type="dxa"/>
            <w:vAlign w:val="center"/>
          </w:tcPr>
          <w:p w14:paraId="3013A9A6" w14:textId="7E55CB06" w:rsidR="003F6E16" w:rsidRPr="00EE43C6" w:rsidRDefault="007A2517" w:rsidP="00B625EB">
            <w:pPr>
              <w:spacing w:before="0" w:after="60" w:line="240" w:lineRule="auto"/>
              <w:jc w:val="center"/>
              <w:rPr>
                <w:rFonts w:cs="Wingdings"/>
                <w:sz w:val="18"/>
                <w:szCs w:val="18"/>
              </w:rPr>
            </w:pPr>
            <w:r w:rsidRPr="00EE43C6">
              <w:rPr>
                <w:rFonts w:cs="Arial"/>
                <w:sz w:val="18"/>
                <w:szCs w:val="18"/>
              </w:rPr>
              <w:t>0.725</w:t>
            </w:r>
          </w:p>
        </w:tc>
        <w:tc>
          <w:tcPr>
            <w:tcW w:w="1263" w:type="dxa"/>
            <w:vAlign w:val="center"/>
          </w:tcPr>
          <w:p w14:paraId="7D600E82" w14:textId="3C5AB318" w:rsidR="003F6E16" w:rsidRPr="00EE43C6" w:rsidRDefault="007A2517" w:rsidP="00B625EB">
            <w:pPr>
              <w:spacing w:before="0" w:after="60" w:line="240" w:lineRule="auto"/>
              <w:jc w:val="center"/>
              <w:rPr>
                <w:rFonts w:cs="Wingdings"/>
                <w:sz w:val="18"/>
                <w:szCs w:val="18"/>
              </w:rPr>
            </w:pPr>
            <w:r w:rsidRPr="00EE43C6">
              <w:rPr>
                <w:rFonts w:cs="Arial"/>
                <w:sz w:val="18"/>
                <w:szCs w:val="18"/>
              </w:rPr>
              <w:t>0.3625</w:t>
            </w:r>
          </w:p>
        </w:tc>
      </w:tr>
      <w:tr w:rsidR="003F6E16" w:rsidRPr="00EE43C6" w14:paraId="229D9B68" w14:textId="77777777" w:rsidTr="00B625EB">
        <w:trPr>
          <w:jc w:val="center"/>
        </w:trPr>
        <w:tc>
          <w:tcPr>
            <w:tcW w:w="1645" w:type="dxa"/>
            <w:vMerge/>
            <w:vAlign w:val="center"/>
          </w:tcPr>
          <w:p w14:paraId="11D67E33"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6CB4324E" w14:textId="3E7E8D5E" w:rsidR="003F6E16" w:rsidRPr="00EE43C6" w:rsidRDefault="00756E3C" w:rsidP="00B625EB">
            <w:pPr>
              <w:spacing w:before="0" w:after="60" w:line="240" w:lineRule="auto"/>
              <w:jc w:val="center"/>
              <w:rPr>
                <w:rFonts w:cs="Wingdings"/>
                <w:sz w:val="18"/>
                <w:szCs w:val="18"/>
              </w:rPr>
            </w:pPr>
            <w:r w:rsidRPr="00EE43C6">
              <w:rPr>
                <w:rFonts w:cs="Wingdings"/>
                <w:sz w:val="18"/>
                <w:szCs w:val="18"/>
              </w:rPr>
              <w:t>6</w:t>
            </w:r>
          </w:p>
        </w:tc>
        <w:tc>
          <w:tcPr>
            <w:tcW w:w="4219" w:type="dxa"/>
            <w:vAlign w:val="center"/>
          </w:tcPr>
          <w:p w14:paraId="57FADAFD" w14:textId="17B5265D" w:rsidR="003F6E16" w:rsidRPr="00EE43C6" w:rsidRDefault="00F87BEC" w:rsidP="00B625EB">
            <w:pPr>
              <w:spacing w:before="0" w:after="60" w:line="240" w:lineRule="auto"/>
              <w:jc w:val="left"/>
              <w:rPr>
                <w:rFonts w:cs="Wingdings"/>
                <w:sz w:val="18"/>
                <w:szCs w:val="18"/>
              </w:rPr>
            </w:pPr>
            <w:r w:rsidRPr="00EE43C6">
              <w:rPr>
                <w:rFonts w:cs="Arial"/>
                <w:sz w:val="18"/>
                <w:szCs w:val="18"/>
              </w:rPr>
              <w:t>Removal of Excavation Material</w:t>
            </w:r>
          </w:p>
        </w:tc>
        <w:tc>
          <w:tcPr>
            <w:tcW w:w="1450" w:type="dxa"/>
            <w:vAlign w:val="center"/>
          </w:tcPr>
          <w:p w14:paraId="4DAFF11A" w14:textId="4CF3E697" w:rsidR="003F6E16" w:rsidRPr="00EE43C6" w:rsidRDefault="007A2517" w:rsidP="00B625EB">
            <w:pPr>
              <w:spacing w:before="0" w:after="60" w:line="240" w:lineRule="auto"/>
              <w:jc w:val="center"/>
              <w:rPr>
                <w:rFonts w:cs="Wingdings"/>
                <w:sz w:val="18"/>
                <w:szCs w:val="18"/>
              </w:rPr>
            </w:pPr>
            <w:r w:rsidRPr="00EE43C6">
              <w:rPr>
                <w:rFonts w:cs="Arial"/>
                <w:sz w:val="18"/>
                <w:szCs w:val="18"/>
              </w:rPr>
              <w:t>66</w:t>
            </w:r>
            <w:r w:rsidR="002B5BB6" w:rsidRPr="00EE43C6">
              <w:rPr>
                <w:rFonts w:cs="Arial"/>
                <w:sz w:val="18"/>
                <w:szCs w:val="18"/>
              </w:rPr>
              <w:t>.</w:t>
            </w:r>
            <w:r w:rsidRPr="00EE43C6">
              <w:rPr>
                <w:rFonts w:cs="Arial"/>
                <w:sz w:val="18"/>
                <w:szCs w:val="18"/>
              </w:rPr>
              <w:t>775</w:t>
            </w:r>
          </w:p>
        </w:tc>
        <w:tc>
          <w:tcPr>
            <w:tcW w:w="1263" w:type="dxa"/>
            <w:vAlign w:val="center"/>
          </w:tcPr>
          <w:p w14:paraId="71C16070" w14:textId="3971EE78" w:rsidR="003F6E16" w:rsidRPr="00EE43C6" w:rsidRDefault="007A2517" w:rsidP="00B625EB">
            <w:pPr>
              <w:spacing w:before="0" w:after="60" w:line="240" w:lineRule="auto"/>
              <w:jc w:val="center"/>
              <w:rPr>
                <w:rFonts w:cs="Wingdings"/>
                <w:sz w:val="18"/>
                <w:szCs w:val="18"/>
              </w:rPr>
            </w:pPr>
            <w:r w:rsidRPr="00EE43C6">
              <w:rPr>
                <w:rFonts w:cs="Arial"/>
                <w:sz w:val="18"/>
                <w:szCs w:val="18"/>
              </w:rPr>
              <w:t>33.38</w:t>
            </w:r>
          </w:p>
        </w:tc>
      </w:tr>
      <w:tr w:rsidR="003F6E16" w:rsidRPr="00EE43C6" w14:paraId="52B4ED9D" w14:textId="77777777" w:rsidTr="00B625EB">
        <w:trPr>
          <w:jc w:val="center"/>
        </w:trPr>
        <w:tc>
          <w:tcPr>
            <w:tcW w:w="1645" w:type="dxa"/>
            <w:vMerge/>
            <w:vAlign w:val="center"/>
          </w:tcPr>
          <w:p w14:paraId="135F9BDB"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55EAE771" w14:textId="18022D56" w:rsidR="003F6E16" w:rsidRPr="00EE43C6" w:rsidRDefault="00756E3C" w:rsidP="00B625EB">
            <w:pPr>
              <w:spacing w:before="0" w:after="60" w:line="240" w:lineRule="auto"/>
              <w:jc w:val="center"/>
              <w:rPr>
                <w:rFonts w:cs="Wingdings"/>
                <w:sz w:val="18"/>
                <w:szCs w:val="18"/>
              </w:rPr>
            </w:pPr>
            <w:r w:rsidRPr="00EE43C6">
              <w:rPr>
                <w:rFonts w:cs="Wingdings"/>
                <w:sz w:val="18"/>
                <w:szCs w:val="18"/>
              </w:rPr>
              <w:t>7</w:t>
            </w:r>
          </w:p>
        </w:tc>
        <w:tc>
          <w:tcPr>
            <w:tcW w:w="4219" w:type="dxa"/>
            <w:vAlign w:val="center"/>
          </w:tcPr>
          <w:p w14:paraId="2FBDAD73" w14:textId="1B8D7BFA" w:rsidR="003F6E16" w:rsidRPr="00EE43C6" w:rsidRDefault="00F87BEC" w:rsidP="00B625EB">
            <w:pPr>
              <w:spacing w:before="0" w:after="60" w:line="240" w:lineRule="auto"/>
              <w:jc w:val="left"/>
              <w:rPr>
                <w:rFonts w:cs="Wingdings"/>
                <w:sz w:val="18"/>
                <w:szCs w:val="18"/>
              </w:rPr>
            </w:pPr>
            <w:r w:rsidRPr="00EE43C6">
              <w:rPr>
                <w:rFonts w:cs="Arial"/>
                <w:sz w:val="18"/>
                <w:szCs w:val="18"/>
              </w:rPr>
              <w:t>Loading of Excavation Material</w:t>
            </w:r>
          </w:p>
        </w:tc>
        <w:tc>
          <w:tcPr>
            <w:tcW w:w="1450" w:type="dxa"/>
            <w:vAlign w:val="center"/>
          </w:tcPr>
          <w:p w14:paraId="1AB3CEA0" w14:textId="62D654CC" w:rsidR="003F6E16" w:rsidRPr="00EE43C6" w:rsidRDefault="007A2517" w:rsidP="00B625EB">
            <w:pPr>
              <w:spacing w:before="0" w:after="60" w:line="240" w:lineRule="auto"/>
              <w:jc w:val="center"/>
              <w:rPr>
                <w:rFonts w:cs="Wingdings"/>
                <w:sz w:val="18"/>
                <w:szCs w:val="18"/>
              </w:rPr>
            </w:pPr>
            <w:r w:rsidRPr="00EE43C6">
              <w:rPr>
                <w:rFonts w:cs="Arial"/>
                <w:sz w:val="18"/>
                <w:szCs w:val="18"/>
              </w:rPr>
              <w:t>26.71</w:t>
            </w:r>
          </w:p>
        </w:tc>
        <w:tc>
          <w:tcPr>
            <w:tcW w:w="1263" w:type="dxa"/>
            <w:vAlign w:val="center"/>
          </w:tcPr>
          <w:p w14:paraId="7F0A8C4A" w14:textId="43E1FD01" w:rsidR="003F6E16" w:rsidRPr="00EE43C6" w:rsidRDefault="007A2517" w:rsidP="00B625EB">
            <w:pPr>
              <w:spacing w:before="0" w:after="60" w:line="240" w:lineRule="auto"/>
              <w:jc w:val="center"/>
              <w:rPr>
                <w:rFonts w:cs="Wingdings"/>
                <w:sz w:val="18"/>
                <w:szCs w:val="18"/>
              </w:rPr>
            </w:pPr>
            <w:r w:rsidRPr="00EE43C6">
              <w:rPr>
                <w:rFonts w:cs="Arial"/>
                <w:sz w:val="18"/>
                <w:szCs w:val="18"/>
              </w:rPr>
              <w:t>13</w:t>
            </w:r>
            <w:r w:rsidR="002B5BB6" w:rsidRPr="00EE43C6">
              <w:rPr>
                <w:rFonts w:cs="Arial"/>
                <w:sz w:val="18"/>
                <w:szCs w:val="18"/>
              </w:rPr>
              <w:t>.</w:t>
            </w:r>
            <w:r w:rsidRPr="00EE43C6">
              <w:rPr>
                <w:rFonts w:cs="Arial"/>
                <w:sz w:val="18"/>
                <w:szCs w:val="18"/>
              </w:rPr>
              <w:t>355</w:t>
            </w:r>
          </w:p>
        </w:tc>
      </w:tr>
      <w:tr w:rsidR="003F6E16" w:rsidRPr="00EE43C6" w14:paraId="7AC07C85" w14:textId="77777777" w:rsidTr="00B625EB">
        <w:trPr>
          <w:jc w:val="center"/>
        </w:trPr>
        <w:tc>
          <w:tcPr>
            <w:tcW w:w="1645" w:type="dxa"/>
            <w:vMerge/>
            <w:vAlign w:val="center"/>
          </w:tcPr>
          <w:p w14:paraId="33FD46D6"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169355C3" w14:textId="2691FC15" w:rsidR="003F6E16" w:rsidRPr="00EE43C6" w:rsidRDefault="00756E3C" w:rsidP="00B625EB">
            <w:pPr>
              <w:spacing w:before="0" w:after="60" w:line="240" w:lineRule="auto"/>
              <w:jc w:val="center"/>
              <w:rPr>
                <w:rFonts w:cs="Wingdings"/>
                <w:sz w:val="18"/>
                <w:szCs w:val="18"/>
              </w:rPr>
            </w:pPr>
            <w:r w:rsidRPr="00EE43C6">
              <w:rPr>
                <w:rFonts w:cs="Wingdings"/>
                <w:sz w:val="18"/>
                <w:szCs w:val="18"/>
              </w:rPr>
              <w:t>8</w:t>
            </w:r>
          </w:p>
        </w:tc>
        <w:tc>
          <w:tcPr>
            <w:tcW w:w="4219" w:type="dxa"/>
            <w:vAlign w:val="center"/>
          </w:tcPr>
          <w:p w14:paraId="2D4DE166" w14:textId="1DD9F685" w:rsidR="003F6E16" w:rsidRPr="00EE43C6" w:rsidRDefault="00F87BEC" w:rsidP="00B625EB">
            <w:pPr>
              <w:spacing w:before="0" w:after="60" w:line="240" w:lineRule="auto"/>
              <w:jc w:val="left"/>
              <w:rPr>
                <w:rFonts w:cs="Wingdings"/>
                <w:sz w:val="18"/>
                <w:szCs w:val="18"/>
              </w:rPr>
            </w:pPr>
            <w:r w:rsidRPr="00EE43C6">
              <w:rPr>
                <w:rFonts w:cs="Arial"/>
                <w:sz w:val="18"/>
                <w:szCs w:val="18"/>
              </w:rPr>
              <w:t>Transportation of Excavation Material to the Area to be Backfilled</w:t>
            </w:r>
          </w:p>
        </w:tc>
        <w:tc>
          <w:tcPr>
            <w:tcW w:w="1450" w:type="dxa"/>
            <w:vAlign w:val="center"/>
          </w:tcPr>
          <w:p w14:paraId="1FCCCB71" w14:textId="70F96E5B" w:rsidR="003F6E16" w:rsidRPr="00EE43C6" w:rsidRDefault="007A2517" w:rsidP="00B625EB">
            <w:pPr>
              <w:spacing w:before="0" w:after="60" w:line="240" w:lineRule="auto"/>
              <w:jc w:val="center"/>
              <w:rPr>
                <w:rFonts w:cs="Wingdings"/>
                <w:sz w:val="18"/>
                <w:szCs w:val="18"/>
              </w:rPr>
            </w:pPr>
            <w:r w:rsidRPr="00EE43C6">
              <w:rPr>
                <w:rFonts w:cs="Arial"/>
                <w:sz w:val="18"/>
                <w:szCs w:val="18"/>
              </w:rPr>
              <w:t>3.0625</w:t>
            </w:r>
          </w:p>
        </w:tc>
        <w:tc>
          <w:tcPr>
            <w:tcW w:w="1263" w:type="dxa"/>
            <w:vAlign w:val="center"/>
          </w:tcPr>
          <w:p w14:paraId="0EA5692C" w14:textId="2C0B961E" w:rsidR="003F6E16" w:rsidRPr="00EE43C6" w:rsidRDefault="007A2517" w:rsidP="00B625EB">
            <w:pPr>
              <w:spacing w:before="0" w:after="60" w:line="240" w:lineRule="auto"/>
              <w:jc w:val="center"/>
              <w:rPr>
                <w:rFonts w:cs="Wingdings"/>
                <w:sz w:val="18"/>
                <w:szCs w:val="18"/>
              </w:rPr>
            </w:pPr>
            <w:r w:rsidRPr="00EE43C6">
              <w:rPr>
                <w:rFonts w:cs="Arial"/>
                <w:sz w:val="18"/>
                <w:szCs w:val="18"/>
              </w:rPr>
              <w:t>1.5312</w:t>
            </w:r>
          </w:p>
        </w:tc>
      </w:tr>
      <w:tr w:rsidR="003F6E16" w:rsidRPr="00EE43C6" w14:paraId="4DC666C6" w14:textId="77777777" w:rsidTr="00B625EB">
        <w:trPr>
          <w:jc w:val="center"/>
        </w:trPr>
        <w:tc>
          <w:tcPr>
            <w:tcW w:w="1645" w:type="dxa"/>
            <w:vMerge/>
            <w:vAlign w:val="center"/>
          </w:tcPr>
          <w:p w14:paraId="23A82B0D"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05884786" w14:textId="4980822D" w:rsidR="003F6E16" w:rsidRPr="00EE43C6" w:rsidRDefault="00756E3C" w:rsidP="00B625EB">
            <w:pPr>
              <w:spacing w:before="0" w:after="60" w:line="240" w:lineRule="auto"/>
              <w:jc w:val="center"/>
              <w:rPr>
                <w:rFonts w:cs="Wingdings"/>
                <w:sz w:val="18"/>
                <w:szCs w:val="18"/>
              </w:rPr>
            </w:pPr>
            <w:r w:rsidRPr="00EE43C6">
              <w:rPr>
                <w:rFonts w:cs="Wingdings"/>
                <w:sz w:val="18"/>
                <w:szCs w:val="18"/>
              </w:rPr>
              <w:t>9</w:t>
            </w:r>
          </w:p>
        </w:tc>
        <w:tc>
          <w:tcPr>
            <w:tcW w:w="4219" w:type="dxa"/>
            <w:vAlign w:val="center"/>
          </w:tcPr>
          <w:p w14:paraId="582CA330" w14:textId="4DD317D8" w:rsidR="003F6E16" w:rsidRPr="00EE43C6" w:rsidRDefault="00F87BEC" w:rsidP="00B625EB">
            <w:pPr>
              <w:spacing w:before="0" w:after="60" w:line="240" w:lineRule="auto"/>
              <w:jc w:val="left"/>
              <w:rPr>
                <w:rFonts w:cs="Wingdings"/>
                <w:sz w:val="18"/>
                <w:szCs w:val="18"/>
              </w:rPr>
            </w:pPr>
            <w:r w:rsidRPr="00EE43C6">
              <w:rPr>
                <w:rFonts w:cs="Arial"/>
                <w:sz w:val="18"/>
                <w:szCs w:val="18"/>
              </w:rPr>
              <w:t>Transportation of Excavated Material to Licensed Storage Area</w:t>
            </w:r>
          </w:p>
        </w:tc>
        <w:tc>
          <w:tcPr>
            <w:tcW w:w="1450" w:type="dxa"/>
            <w:vAlign w:val="center"/>
          </w:tcPr>
          <w:p w14:paraId="437D5B87" w14:textId="538AB684" w:rsidR="003F6E16" w:rsidRPr="00EE43C6" w:rsidRDefault="007A2517" w:rsidP="00B625EB">
            <w:pPr>
              <w:spacing w:before="0" w:after="60" w:line="240" w:lineRule="auto"/>
              <w:jc w:val="center"/>
              <w:rPr>
                <w:rFonts w:cs="Wingdings"/>
                <w:sz w:val="18"/>
                <w:szCs w:val="18"/>
              </w:rPr>
            </w:pPr>
            <w:r w:rsidRPr="00EE43C6">
              <w:rPr>
                <w:rFonts w:cs="Arial"/>
                <w:sz w:val="18"/>
                <w:szCs w:val="18"/>
              </w:rPr>
              <w:t>0.9625</w:t>
            </w:r>
          </w:p>
        </w:tc>
        <w:tc>
          <w:tcPr>
            <w:tcW w:w="1263" w:type="dxa"/>
            <w:vAlign w:val="center"/>
          </w:tcPr>
          <w:p w14:paraId="3B2D23E2" w14:textId="0B88D9F2" w:rsidR="003F6E16" w:rsidRPr="00EE43C6" w:rsidRDefault="007A2517" w:rsidP="00B625EB">
            <w:pPr>
              <w:spacing w:before="0" w:after="60" w:line="240" w:lineRule="auto"/>
              <w:jc w:val="center"/>
              <w:rPr>
                <w:rFonts w:cs="Wingdings"/>
                <w:sz w:val="18"/>
                <w:szCs w:val="18"/>
              </w:rPr>
            </w:pPr>
            <w:r w:rsidRPr="00EE43C6">
              <w:rPr>
                <w:rFonts w:cs="Arial"/>
                <w:sz w:val="18"/>
                <w:szCs w:val="18"/>
              </w:rPr>
              <w:t>0.4812</w:t>
            </w:r>
          </w:p>
        </w:tc>
      </w:tr>
      <w:tr w:rsidR="003F6E16" w:rsidRPr="00EE43C6" w14:paraId="6D95C5D1" w14:textId="77777777" w:rsidTr="00B625EB">
        <w:trPr>
          <w:jc w:val="center"/>
        </w:trPr>
        <w:tc>
          <w:tcPr>
            <w:tcW w:w="1645" w:type="dxa"/>
            <w:vMerge/>
            <w:vAlign w:val="center"/>
          </w:tcPr>
          <w:p w14:paraId="6F8C359C"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70F1A29F" w14:textId="6F265BA6" w:rsidR="003F6E16" w:rsidRPr="00EE43C6" w:rsidRDefault="00756E3C" w:rsidP="00B625EB">
            <w:pPr>
              <w:spacing w:before="0" w:after="60" w:line="240" w:lineRule="auto"/>
              <w:jc w:val="center"/>
              <w:rPr>
                <w:rFonts w:cs="Wingdings"/>
                <w:sz w:val="18"/>
                <w:szCs w:val="18"/>
              </w:rPr>
            </w:pPr>
            <w:r w:rsidRPr="00EE43C6">
              <w:rPr>
                <w:rFonts w:cs="Wingdings"/>
                <w:sz w:val="18"/>
                <w:szCs w:val="18"/>
              </w:rPr>
              <w:t>10</w:t>
            </w:r>
          </w:p>
        </w:tc>
        <w:tc>
          <w:tcPr>
            <w:tcW w:w="4219" w:type="dxa"/>
            <w:vAlign w:val="center"/>
          </w:tcPr>
          <w:p w14:paraId="00F89ED5" w14:textId="364696E8" w:rsidR="003F6E16" w:rsidRPr="00EE43C6" w:rsidRDefault="00F87BEC" w:rsidP="00B625EB">
            <w:pPr>
              <w:spacing w:before="0" w:after="60" w:line="240" w:lineRule="auto"/>
              <w:jc w:val="left"/>
              <w:rPr>
                <w:rFonts w:cs="Wingdings"/>
                <w:sz w:val="18"/>
                <w:szCs w:val="18"/>
              </w:rPr>
            </w:pPr>
            <w:r w:rsidRPr="00EE43C6">
              <w:rPr>
                <w:rFonts w:cs="Arial"/>
                <w:sz w:val="18"/>
                <w:szCs w:val="18"/>
              </w:rPr>
              <w:t>Unloading of Excavation Material to Backfill Area</w:t>
            </w:r>
          </w:p>
        </w:tc>
        <w:tc>
          <w:tcPr>
            <w:tcW w:w="1450" w:type="dxa"/>
            <w:vAlign w:val="center"/>
          </w:tcPr>
          <w:p w14:paraId="5CF2089A" w14:textId="1C1DD349" w:rsidR="003F6E16" w:rsidRPr="00EE43C6" w:rsidRDefault="007A2517" w:rsidP="00B625EB">
            <w:pPr>
              <w:spacing w:before="0" w:after="60" w:line="240" w:lineRule="auto"/>
              <w:jc w:val="center"/>
              <w:rPr>
                <w:rFonts w:cs="Wingdings"/>
                <w:sz w:val="18"/>
                <w:szCs w:val="18"/>
              </w:rPr>
            </w:pPr>
            <w:r w:rsidRPr="00EE43C6">
              <w:rPr>
                <w:rFonts w:cs="Arial"/>
                <w:sz w:val="18"/>
                <w:szCs w:val="18"/>
              </w:rPr>
              <w:t>26.64</w:t>
            </w:r>
          </w:p>
        </w:tc>
        <w:tc>
          <w:tcPr>
            <w:tcW w:w="1263" w:type="dxa"/>
            <w:vAlign w:val="center"/>
          </w:tcPr>
          <w:p w14:paraId="4C40D0C4" w14:textId="3F3F5E1A" w:rsidR="003F6E16" w:rsidRPr="00EE43C6" w:rsidRDefault="007A2517" w:rsidP="00B625EB">
            <w:pPr>
              <w:spacing w:before="0" w:after="60" w:line="240" w:lineRule="auto"/>
              <w:jc w:val="center"/>
              <w:rPr>
                <w:rFonts w:cs="Wingdings"/>
                <w:sz w:val="18"/>
                <w:szCs w:val="18"/>
              </w:rPr>
            </w:pPr>
            <w:r w:rsidRPr="00EE43C6">
              <w:rPr>
                <w:rFonts w:cs="Arial"/>
                <w:sz w:val="18"/>
                <w:szCs w:val="18"/>
              </w:rPr>
              <w:t>13.32</w:t>
            </w:r>
          </w:p>
        </w:tc>
      </w:tr>
      <w:tr w:rsidR="003F6E16" w:rsidRPr="00EE43C6" w14:paraId="6507143A" w14:textId="77777777" w:rsidTr="00B625EB">
        <w:trPr>
          <w:jc w:val="center"/>
        </w:trPr>
        <w:tc>
          <w:tcPr>
            <w:tcW w:w="1645" w:type="dxa"/>
            <w:vMerge w:val="restart"/>
            <w:vAlign w:val="center"/>
          </w:tcPr>
          <w:p w14:paraId="73A9A022" w14:textId="7CB0337F" w:rsidR="003F6E16" w:rsidRPr="00EE43C6" w:rsidRDefault="000177C0" w:rsidP="00B625EB">
            <w:pPr>
              <w:spacing w:before="0" w:after="60" w:line="240" w:lineRule="auto"/>
              <w:jc w:val="center"/>
              <w:rPr>
                <w:rFonts w:cs="Wingdings"/>
                <w:sz w:val="18"/>
                <w:szCs w:val="18"/>
              </w:rPr>
            </w:pPr>
            <w:r w:rsidRPr="00EE43C6">
              <w:rPr>
                <w:rFonts w:cs="Wingdings"/>
                <w:sz w:val="18"/>
                <w:szCs w:val="18"/>
              </w:rPr>
              <w:t>Sili</w:t>
            </w:r>
            <w:r w:rsidR="007273F9" w:rsidRPr="00EE43C6">
              <w:rPr>
                <w:rFonts w:cs="Wingdings"/>
                <w:sz w:val="18"/>
                <w:szCs w:val="18"/>
              </w:rPr>
              <w:t xml:space="preserve">ca Sand </w:t>
            </w:r>
            <w:r w:rsidR="00C1053E" w:rsidRPr="00EE43C6">
              <w:rPr>
                <w:rFonts w:cs="Wingdings"/>
                <w:sz w:val="18"/>
                <w:szCs w:val="18"/>
              </w:rPr>
              <w:t>Quarry</w:t>
            </w:r>
          </w:p>
        </w:tc>
        <w:tc>
          <w:tcPr>
            <w:tcW w:w="483" w:type="dxa"/>
            <w:vAlign w:val="center"/>
          </w:tcPr>
          <w:p w14:paraId="4D7120E0" w14:textId="6DC5AE11" w:rsidR="003F6E16" w:rsidRPr="00EE43C6" w:rsidRDefault="000177C0" w:rsidP="00B625EB">
            <w:pPr>
              <w:spacing w:before="0" w:after="60" w:line="240" w:lineRule="auto"/>
              <w:jc w:val="center"/>
              <w:rPr>
                <w:rFonts w:cs="Wingdings"/>
                <w:sz w:val="18"/>
                <w:szCs w:val="18"/>
              </w:rPr>
            </w:pPr>
            <w:r w:rsidRPr="00EE43C6">
              <w:rPr>
                <w:rFonts w:cs="Wingdings"/>
                <w:sz w:val="18"/>
                <w:szCs w:val="18"/>
              </w:rPr>
              <w:t>11</w:t>
            </w:r>
          </w:p>
        </w:tc>
        <w:tc>
          <w:tcPr>
            <w:tcW w:w="4219" w:type="dxa"/>
            <w:vAlign w:val="center"/>
          </w:tcPr>
          <w:p w14:paraId="08071A34" w14:textId="13F80532" w:rsidR="003F6E16" w:rsidRPr="00EE43C6" w:rsidRDefault="000449C3" w:rsidP="00B625EB">
            <w:pPr>
              <w:spacing w:before="0" w:after="60" w:line="240" w:lineRule="auto"/>
              <w:jc w:val="left"/>
              <w:rPr>
                <w:rFonts w:cs="Wingdings"/>
                <w:sz w:val="18"/>
                <w:szCs w:val="18"/>
              </w:rPr>
            </w:pPr>
            <w:r w:rsidRPr="00EE43C6">
              <w:rPr>
                <w:rFonts w:cs="Arial"/>
                <w:sz w:val="18"/>
                <w:szCs w:val="18"/>
              </w:rPr>
              <w:t>Removal of Silica Sand</w:t>
            </w:r>
          </w:p>
        </w:tc>
        <w:tc>
          <w:tcPr>
            <w:tcW w:w="1450" w:type="dxa"/>
            <w:vAlign w:val="center"/>
          </w:tcPr>
          <w:p w14:paraId="1384F4CA" w14:textId="323E6738" w:rsidR="003F6E16" w:rsidRPr="00EE43C6" w:rsidRDefault="000449C3" w:rsidP="00B625EB">
            <w:pPr>
              <w:spacing w:before="0" w:after="60" w:line="240" w:lineRule="auto"/>
              <w:jc w:val="center"/>
              <w:rPr>
                <w:rFonts w:cs="Wingdings"/>
                <w:sz w:val="18"/>
                <w:szCs w:val="18"/>
              </w:rPr>
            </w:pPr>
            <w:r w:rsidRPr="00EE43C6">
              <w:rPr>
                <w:rFonts w:cs="Arial"/>
                <w:sz w:val="18"/>
                <w:szCs w:val="18"/>
              </w:rPr>
              <w:t>0.00034</w:t>
            </w:r>
          </w:p>
        </w:tc>
        <w:tc>
          <w:tcPr>
            <w:tcW w:w="1263" w:type="dxa"/>
            <w:vAlign w:val="center"/>
          </w:tcPr>
          <w:p w14:paraId="6EAFB030" w14:textId="1F0A9E8C" w:rsidR="003F6E16" w:rsidRPr="00EE43C6" w:rsidRDefault="000449C3" w:rsidP="00B625EB">
            <w:pPr>
              <w:spacing w:before="0" w:after="60" w:line="240" w:lineRule="auto"/>
              <w:jc w:val="center"/>
              <w:rPr>
                <w:rFonts w:cs="Wingdings"/>
                <w:sz w:val="18"/>
                <w:szCs w:val="18"/>
              </w:rPr>
            </w:pPr>
            <w:r w:rsidRPr="00EE43C6">
              <w:rPr>
                <w:rFonts w:cs="Arial"/>
                <w:sz w:val="18"/>
                <w:szCs w:val="18"/>
              </w:rPr>
              <w:t>0.000017</w:t>
            </w:r>
          </w:p>
        </w:tc>
      </w:tr>
      <w:tr w:rsidR="003F6E16" w:rsidRPr="00EE43C6" w14:paraId="0C1F0804" w14:textId="77777777" w:rsidTr="00B625EB">
        <w:trPr>
          <w:jc w:val="center"/>
        </w:trPr>
        <w:tc>
          <w:tcPr>
            <w:tcW w:w="1645" w:type="dxa"/>
            <w:vMerge/>
            <w:vAlign w:val="center"/>
          </w:tcPr>
          <w:p w14:paraId="5FBCB9FB"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6637B1CA" w14:textId="32E14D3A" w:rsidR="003F6E16" w:rsidRPr="00EE43C6" w:rsidRDefault="000177C0" w:rsidP="00B625EB">
            <w:pPr>
              <w:spacing w:before="0" w:after="60" w:line="240" w:lineRule="auto"/>
              <w:jc w:val="center"/>
              <w:rPr>
                <w:rFonts w:cs="Wingdings"/>
                <w:sz w:val="18"/>
                <w:szCs w:val="18"/>
              </w:rPr>
            </w:pPr>
            <w:r w:rsidRPr="00EE43C6">
              <w:rPr>
                <w:rFonts w:cs="Wingdings"/>
                <w:sz w:val="18"/>
                <w:szCs w:val="18"/>
              </w:rPr>
              <w:t>12</w:t>
            </w:r>
          </w:p>
        </w:tc>
        <w:tc>
          <w:tcPr>
            <w:tcW w:w="4219" w:type="dxa"/>
            <w:vAlign w:val="center"/>
          </w:tcPr>
          <w:p w14:paraId="01AC89E6" w14:textId="2CEC1333" w:rsidR="003F6E16" w:rsidRPr="00EE43C6" w:rsidRDefault="000449C3" w:rsidP="00B625EB">
            <w:pPr>
              <w:spacing w:before="0" w:after="60" w:line="240" w:lineRule="auto"/>
              <w:jc w:val="left"/>
              <w:rPr>
                <w:rFonts w:cs="Wingdings"/>
                <w:sz w:val="18"/>
                <w:szCs w:val="18"/>
              </w:rPr>
            </w:pPr>
            <w:r w:rsidRPr="00EE43C6">
              <w:rPr>
                <w:rFonts w:cs="Arial"/>
                <w:sz w:val="18"/>
                <w:szCs w:val="18"/>
              </w:rPr>
              <w:t>Loading of Silica Sand</w:t>
            </w:r>
          </w:p>
        </w:tc>
        <w:tc>
          <w:tcPr>
            <w:tcW w:w="1450" w:type="dxa"/>
            <w:vAlign w:val="center"/>
          </w:tcPr>
          <w:p w14:paraId="5332E52A" w14:textId="7571141B" w:rsidR="003F6E16" w:rsidRPr="00EE43C6" w:rsidRDefault="000449C3" w:rsidP="00B625EB">
            <w:pPr>
              <w:spacing w:before="0" w:after="60" w:line="240" w:lineRule="auto"/>
              <w:jc w:val="center"/>
              <w:rPr>
                <w:rFonts w:cs="Wingdings"/>
                <w:sz w:val="18"/>
                <w:szCs w:val="18"/>
              </w:rPr>
            </w:pPr>
            <w:r w:rsidRPr="00EE43C6">
              <w:rPr>
                <w:rFonts w:cs="Arial"/>
                <w:sz w:val="18"/>
                <w:szCs w:val="18"/>
              </w:rPr>
              <w:t>0.00013</w:t>
            </w:r>
          </w:p>
        </w:tc>
        <w:tc>
          <w:tcPr>
            <w:tcW w:w="1263" w:type="dxa"/>
            <w:vAlign w:val="center"/>
          </w:tcPr>
          <w:p w14:paraId="628E6755" w14:textId="5784A8F7" w:rsidR="003F6E16" w:rsidRPr="00EE43C6" w:rsidRDefault="000449C3" w:rsidP="00B625EB">
            <w:pPr>
              <w:spacing w:before="0" w:after="60" w:line="240" w:lineRule="auto"/>
              <w:jc w:val="center"/>
              <w:rPr>
                <w:rFonts w:cs="Wingdings"/>
                <w:sz w:val="18"/>
                <w:szCs w:val="18"/>
              </w:rPr>
            </w:pPr>
            <w:r w:rsidRPr="00EE43C6">
              <w:rPr>
                <w:rFonts w:cs="Arial"/>
                <w:sz w:val="18"/>
                <w:szCs w:val="18"/>
              </w:rPr>
              <w:t>0.0006</w:t>
            </w:r>
            <w:r w:rsidR="00A30D4A">
              <w:rPr>
                <w:rFonts w:cs="Arial"/>
                <w:sz w:val="18"/>
                <w:szCs w:val="18"/>
              </w:rPr>
              <w:t>9</w:t>
            </w:r>
            <w:r w:rsidRPr="00EE43C6">
              <w:rPr>
                <w:rFonts w:cs="Arial"/>
                <w:sz w:val="18"/>
                <w:szCs w:val="18"/>
              </w:rPr>
              <w:t>5</w:t>
            </w:r>
          </w:p>
        </w:tc>
      </w:tr>
      <w:tr w:rsidR="003F6E16" w:rsidRPr="00EE43C6" w14:paraId="0F87DA72" w14:textId="77777777" w:rsidTr="00B625EB">
        <w:trPr>
          <w:jc w:val="center"/>
        </w:trPr>
        <w:tc>
          <w:tcPr>
            <w:tcW w:w="1645" w:type="dxa"/>
            <w:vMerge/>
            <w:vAlign w:val="center"/>
          </w:tcPr>
          <w:p w14:paraId="69CC0BCE"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53EDC28A" w14:textId="5EA8058D" w:rsidR="003F6E16" w:rsidRPr="00EE43C6" w:rsidRDefault="000177C0" w:rsidP="00B625EB">
            <w:pPr>
              <w:spacing w:before="0" w:after="60" w:line="240" w:lineRule="auto"/>
              <w:jc w:val="center"/>
              <w:rPr>
                <w:rFonts w:cs="Wingdings"/>
                <w:sz w:val="18"/>
                <w:szCs w:val="18"/>
              </w:rPr>
            </w:pPr>
            <w:r w:rsidRPr="00EE43C6">
              <w:rPr>
                <w:rFonts w:cs="Wingdings"/>
                <w:sz w:val="18"/>
                <w:szCs w:val="18"/>
              </w:rPr>
              <w:t>13</w:t>
            </w:r>
          </w:p>
        </w:tc>
        <w:tc>
          <w:tcPr>
            <w:tcW w:w="4219" w:type="dxa"/>
            <w:vAlign w:val="center"/>
          </w:tcPr>
          <w:p w14:paraId="634D06C4" w14:textId="77A962AA" w:rsidR="003F6E16" w:rsidRPr="00EE43C6" w:rsidRDefault="000449C3" w:rsidP="00B625EB">
            <w:pPr>
              <w:spacing w:before="0" w:after="60" w:line="240" w:lineRule="auto"/>
              <w:jc w:val="left"/>
              <w:rPr>
                <w:rFonts w:cs="Wingdings"/>
                <w:sz w:val="18"/>
                <w:szCs w:val="18"/>
              </w:rPr>
            </w:pPr>
            <w:r w:rsidRPr="00EE43C6">
              <w:rPr>
                <w:rFonts w:cs="Arial"/>
                <w:sz w:val="18"/>
                <w:szCs w:val="18"/>
              </w:rPr>
              <w:t>Unloading of Silica Sand</w:t>
            </w:r>
          </w:p>
        </w:tc>
        <w:tc>
          <w:tcPr>
            <w:tcW w:w="1450" w:type="dxa"/>
            <w:vAlign w:val="center"/>
          </w:tcPr>
          <w:p w14:paraId="1D0976DB" w14:textId="16F7C4CE" w:rsidR="003F6E16" w:rsidRPr="00EE43C6" w:rsidRDefault="000449C3" w:rsidP="00B625EB">
            <w:pPr>
              <w:spacing w:before="0" w:after="60" w:line="240" w:lineRule="auto"/>
              <w:jc w:val="center"/>
              <w:rPr>
                <w:rFonts w:cs="Wingdings"/>
                <w:sz w:val="18"/>
                <w:szCs w:val="18"/>
              </w:rPr>
            </w:pPr>
            <w:r w:rsidRPr="00EE43C6">
              <w:rPr>
                <w:rFonts w:cs="Arial"/>
                <w:sz w:val="18"/>
                <w:szCs w:val="18"/>
              </w:rPr>
              <w:t>0.00013</w:t>
            </w:r>
          </w:p>
        </w:tc>
        <w:tc>
          <w:tcPr>
            <w:tcW w:w="1263" w:type="dxa"/>
            <w:vAlign w:val="center"/>
          </w:tcPr>
          <w:p w14:paraId="0F216762" w14:textId="1752E918" w:rsidR="003F6E16" w:rsidRPr="00EE43C6" w:rsidRDefault="000449C3" w:rsidP="00B625EB">
            <w:pPr>
              <w:spacing w:before="0" w:after="60" w:line="240" w:lineRule="auto"/>
              <w:jc w:val="center"/>
              <w:rPr>
                <w:rFonts w:cs="Wingdings"/>
                <w:sz w:val="18"/>
                <w:szCs w:val="18"/>
              </w:rPr>
            </w:pPr>
            <w:r w:rsidRPr="00EE43C6">
              <w:rPr>
                <w:rFonts w:cs="Arial"/>
                <w:sz w:val="18"/>
                <w:szCs w:val="18"/>
              </w:rPr>
              <w:t>0.0006</w:t>
            </w:r>
            <w:r w:rsidR="00A30D4A">
              <w:rPr>
                <w:rFonts w:cs="Arial"/>
                <w:sz w:val="18"/>
                <w:szCs w:val="18"/>
              </w:rPr>
              <w:t>95</w:t>
            </w:r>
          </w:p>
        </w:tc>
      </w:tr>
      <w:tr w:rsidR="003F6E16" w:rsidRPr="00EE43C6" w14:paraId="19640688" w14:textId="77777777" w:rsidTr="00B625EB">
        <w:trPr>
          <w:jc w:val="center"/>
        </w:trPr>
        <w:tc>
          <w:tcPr>
            <w:tcW w:w="1645" w:type="dxa"/>
            <w:vMerge/>
            <w:vAlign w:val="center"/>
          </w:tcPr>
          <w:p w14:paraId="39EC3146"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352B131C" w14:textId="1B0CAA90" w:rsidR="003F6E16" w:rsidRPr="00EE43C6" w:rsidRDefault="000177C0" w:rsidP="00B625EB">
            <w:pPr>
              <w:spacing w:before="0" w:after="60" w:line="240" w:lineRule="auto"/>
              <w:jc w:val="center"/>
              <w:rPr>
                <w:rFonts w:cs="Wingdings"/>
                <w:sz w:val="18"/>
                <w:szCs w:val="18"/>
              </w:rPr>
            </w:pPr>
            <w:r w:rsidRPr="00EE43C6">
              <w:rPr>
                <w:rFonts w:cs="Wingdings"/>
                <w:sz w:val="18"/>
                <w:szCs w:val="18"/>
              </w:rPr>
              <w:t>14</w:t>
            </w:r>
          </w:p>
        </w:tc>
        <w:tc>
          <w:tcPr>
            <w:tcW w:w="4219" w:type="dxa"/>
            <w:vAlign w:val="center"/>
          </w:tcPr>
          <w:p w14:paraId="5088FA5A" w14:textId="383B1D7A" w:rsidR="003F6E16" w:rsidRPr="00EE43C6" w:rsidRDefault="000449C3" w:rsidP="00B625EB">
            <w:pPr>
              <w:spacing w:before="0" w:after="60" w:line="240" w:lineRule="auto"/>
              <w:jc w:val="left"/>
              <w:rPr>
                <w:rFonts w:cs="Wingdings"/>
                <w:sz w:val="18"/>
                <w:szCs w:val="18"/>
              </w:rPr>
            </w:pPr>
            <w:r w:rsidRPr="00EE43C6">
              <w:rPr>
                <w:rFonts w:cs="Arial"/>
                <w:sz w:val="18"/>
                <w:szCs w:val="18"/>
              </w:rPr>
              <w:t>Transportation of Silica Sand</w:t>
            </w:r>
          </w:p>
        </w:tc>
        <w:tc>
          <w:tcPr>
            <w:tcW w:w="1450" w:type="dxa"/>
            <w:vAlign w:val="center"/>
          </w:tcPr>
          <w:p w14:paraId="31F93F17" w14:textId="20F866B2" w:rsidR="003F6E16" w:rsidRPr="00EE43C6" w:rsidRDefault="000449C3" w:rsidP="00B625EB">
            <w:pPr>
              <w:spacing w:before="0" w:after="60" w:line="240" w:lineRule="auto"/>
              <w:jc w:val="center"/>
              <w:rPr>
                <w:rFonts w:cs="Wingdings"/>
                <w:sz w:val="18"/>
                <w:szCs w:val="18"/>
              </w:rPr>
            </w:pPr>
            <w:r w:rsidRPr="00EE43C6">
              <w:rPr>
                <w:rFonts w:cs="Arial"/>
                <w:sz w:val="18"/>
                <w:szCs w:val="18"/>
              </w:rPr>
              <w:t>0.0875</w:t>
            </w:r>
          </w:p>
        </w:tc>
        <w:tc>
          <w:tcPr>
            <w:tcW w:w="1263" w:type="dxa"/>
            <w:vAlign w:val="center"/>
          </w:tcPr>
          <w:p w14:paraId="41F61A84" w14:textId="7488781A" w:rsidR="003F6E16" w:rsidRPr="00EE43C6" w:rsidRDefault="000449C3" w:rsidP="00B625EB">
            <w:pPr>
              <w:spacing w:before="0" w:after="60" w:line="240" w:lineRule="auto"/>
              <w:jc w:val="center"/>
              <w:rPr>
                <w:rFonts w:cs="Wingdings"/>
                <w:sz w:val="18"/>
                <w:szCs w:val="18"/>
              </w:rPr>
            </w:pPr>
            <w:r w:rsidRPr="00EE43C6">
              <w:rPr>
                <w:rFonts w:cs="Arial"/>
                <w:sz w:val="18"/>
                <w:szCs w:val="18"/>
              </w:rPr>
              <w:t>0.04375</w:t>
            </w:r>
          </w:p>
        </w:tc>
      </w:tr>
      <w:tr w:rsidR="003F6E16" w:rsidRPr="00EE43C6" w14:paraId="12435EDF" w14:textId="77777777" w:rsidTr="00B625EB">
        <w:trPr>
          <w:jc w:val="center"/>
        </w:trPr>
        <w:tc>
          <w:tcPr>
            <w:tcW w:w="1645" w:type="dxa"/>
            <w:vAlign w:val="center"/>
          </w:tcPr>
          <w:p w14:paraId="65AA54D4" w14:textId="1DB30368" w:rsidR="003F6E16" w:rsidRPr="00EE43C6" w:rsidRDefault="004B517C" w:rsidP="00B625EB">
            <w:pPr>
              <w:spacing w:before="0" w:after="60" w:line="240" w:lineRule="auto"/>
              <w:jc w:val="center"/>
              <w:rPr>
                <w:rFonts w:cs="Wingdings"/>
                <w:sz w:val="18"/>
                <w:szCs w:val="18"/>
              </w:rPr>
            </w:pPr>
            <w:r w:rsidRPr="00EE43C6">
              <w:rPr>
                <w:rFonts w:cs="Wingdings"/>
                <w:sz w:val="18"/>
                <w:szCs w:val="18"/>
              </w:rPr>
              <w:t xml:space="preserve">Limestone </w:t>
            </w:r>
            <w:r w:rsidR="00C1053E" w:rsidRPr="00EE43C6">
              <w:rPr>
                <w:rFonts w:cs="Wingdings"/>
                <w:sz w:val="18"/>
                <w:szCs w:val="18"/>
              </w:rPr>
              <w:t>Quarry</w:t>
            </w:r>
          </w:p>
        </w:tc>
        <w:tc>
          <w:tcPr>
            <w:tcW w:w="483" w:type="dxa"/>
            <w:vAlign w:val="center"/>
          </w:tcPr>
          <w:p w14:paraId="52852AA5" w14:textId="21DF26C3" w:rsidR="003F6E16" w:rsidRPr="00EE43C6" w:rsidRDefault="000177C0" w:rsidP="00B625EB">
            <w:pPr>
              <w:spacing w:before="0" w:after="60" w:line="240" w:lineRule="auto"/>
              <w:jc w:val="center"/>
              <w:rPr>
                <w:rFonts w:cs="Wingdings"/>
                <w:sz w:val="18"/>
                <w:szCs w:val="18"/>
              </w:rPr>
            </w:pPr>
            <w:r w:rsidRPr="00EE43C6">
              <w:rPr>
                <w:rFonts w:cs="Wingdings"/>
                <w:sz w:val="18"/>
                <w:szCs w:val="18"/>
              </w:rPr>
              <w:t>15</w:t>
            </w:r>
          </w:p>
        </w:tc>
        <w:tc>
          <w:tcPr>
            <w:tcW w:w="4219" w:type="dxa"/>
            <w:vAlign w:val="center"/>
          </w:tcPr>
          <w:p w14:paraId="59C1EFC7" w14:textId="5DD5C1BC" w:rsidR="003F6E16" w:rsidRPr="00EE43C6" w:rsidRDefault="00C1053E" w:rsidP="00B625EB">
            <w:pPr>
              <w:spacing w:before="0" w:after="60" w:line="240" w:lineRule="auto"/>
              <w:jc w:val="left"/>
              <w:rPr>
                <w:rFonts w:cs="Wingdings"/>
                <w:sz w:val="18"/>
                <w:szCs w:val="18"/>
              </w:rPr>
            </w:pPr>
            <w:r w:rsidRPr="00EE43C6">
              <w:rPr>
                <w:rFonts w:cs="Wingdings"/>
                <w:sz w:val="18"/>
                <w:szCs w:val="18"/>
              </w:rPr>
              <w:t>Limestone Mining</w:t>
            </w:r>
          </w:p>
        </w:tc>
        <w:tc>
          <w:tcPr>
            <w:tcW w:w="1450" w:type="dxa"/>
            <w:vAlign w:val="center"/>
          </w:tcPr>
          <w:p w14:paraId="00189E75" w14:textId="77777777" w:rsidR="003F6E16" w:rsidRPr="00EE43C6" w:rsidRDefault="003F6E16" w:rsidP="00B625EB">
            <w:pPr>
              <w:spacing w:before="0" w:after="60" w:line="240" w:lineRule="auto"/>
              <w:jc w:val="center"/>
              <w:rPr>
                <w:rFonts w:cs="Wingdings"/>
                <w:sz w:val="18"/>
                <w:szCs w:val="18"/>
              </w:rPr>
            </w:pPr>
          </w:p>
        </w:tc>
        <w:tc>
          <w:tcPr>
            <w:tcW w:w="1263" w:type="dxa"/>
            <w:vAlign w:val="center"/>
          </w:tcPr>
          <w:p w14:paraId="4B8396F7" w14:textId="0D7AD204" w:rsidR="003F6E16" w:rsidRPr="00EE43C6" w:rsidRDefault="005717FD" w:rsidP="00B625EB">
            <w:pPr>
              <w:spacing w:before="0" w:after="60" w:line="240" w:lineRule="auto"/>
              <w:jc w:val="center"/>
              <w:rPr>
                <w:rFonts w:cs="Wingdings"/>
                <w:sz w:val="18"/>
                <w:szCs w:val="18"/>
              </w:rPr>
            </w:pPr>
            <w:r w:rsidRPr="00EE43C6">
              <w:rPr>
                <w:rFonts w:cs="Wingdings"/>
                <w:sz w:val="18"/>
                <w:szCs w:val="18"/>
              </w:rPr>
              <w:t>14.76</w:t>
            </w:r>
          </w:p>
        </w:tc>
      </w:tr>
      <w:tr w:rsidR="003F6E16" w:rsidRPr="00EE43C6" w14:paraId="0CEB1C1D" w14:textId="77777777" w:rsidTr="00B625EB">
        <w:trPr>
          <w:jc w:val="center"/>
        </w:trPr>
        <w:tc>
          <w:tcPr>
            <w:tcW w:w="1645" w:type="dxa"/>
            <w:vMerge w:val="restart"/>
            <w:vAlign w:val="center"/>
          </w:tcPr>
          <w:p w14:paraId="30F4CEAC" w14:textId="6673F402" w:rsidR="003F6E16" w:rsidRPr="00EE43C6" w:rsidRDefault="004B517C" w:rsidP="00B625EB">
            <w:pPr>
              <w:spacing w:before="0" w:after="60" w:line="240" w:lineRule="auto"/>
              <w:jc w:val="center"/>
              <w:rPr>
                <w:rFonts w:cs="Wingdings"/>
                <w:sz w:val="18"/>
                <w:szCs w:val="18"/>
              </w:rPr>
            </w:pPr>
            <w:r w:rsidRPr="00EE43C6">
              <w:rPr>
                <w:rFonts w:cs="Wingdings"/>
                <w:sz w:val="18"/>
                <w:szCs w:val="18"/>
              </w:rPr>
              <w:t>Heating</w:t>
            </w:r>
          </w:p>
        </w:tc>
        <w:tc>
          <w:tcPr>
            <w:tcW w:w="483" w:type="dxa"/>
            <w:vAlign w:val="center"/>
          </w:tcPr>
          <w:p w14:paraId="3AA96B16" w14:textId="0CED187B" w:rsidR="003F6E16" w:rsidRPr="00EE43C6" w:rsidRDefault="007273F9" w:rsidP="00B625EB">
            <w:pPr>
              <w:spacing w:before="0" w:after="60" w:line="240" w:lineRule="auto"/>
              <w:jc w:val="center"/>
              <w:rPr>
                <w:rFonts w:cs="Wingdings"/>
                <w:sz w:val="18"/>
                <w:szCs w:val="18"/>
              </w:rPr>
            </w:pPr>
            <w:r w:rsidRPr="00EE43C6">
              <w:rPr>
                <w:rFonts w:cs="Wingdings"/>
                <w:sz w:val="18"/>
                <w:szCs w:val="18"/>
              </w:rPr>
              <w:t>16</w:t>
            </w:r>
          </w:p>
        </w:tc>
        <w:tc>
          <w:tcPr>
            <w:tcW w:w="4219" w:type="dxa"/>
            <w:vAlign w:val="center"/>
          </w:tcPr>
          <w:p w14:paraId="107DF33A" w14:textId="7A438149" w:rsidR="003F6E16" w:rsidRPr="00EE43C6" w:rsidRDefault="009A3864" w:rsidP="00B625EB">
            <w:pPr>
              <w:spacing w:before="0" w:after="60" w:line="240" w:lineRule="auto"/>
              <w:jc w:val="left"/>
              <w:rPr>
                <w:rFonts w:cs="Wingdings"/>
                <w:sz w:val="18"/>
                <w:szCs w:val="18"/>
              </w:rPr>
            </w:pPr>
            <w:r w:rsidRPr="00EE43C6">
              <w:rPr>
                <w:rFonts w:cs="Wingdings"/>
                <w:sz w:val="18"/>
                <w:szCs w:val="18"/>
              </w:rPr>
              <w:t xml:space="preserve">Coal Burning in </w:t>
            </w:r>
            <w:r w:rsidR="00C1053E" w:rsidRPr="00EE43C6">
              <w:rPr>
                <w:rFonts w:cs="Wingdings"/>
                <w:sz w:val="18"/>
                <w:szCs w:val="18"/>
              </w:rPr>
              <w:t>Gürlü Neighbourhood</w:t>
            </w:r>
          </w:p>
        </w:tc>
        <w:tc>
          <w:tcPr>
            <w:tcW w:w="1450" w:type="dxa"/>
            <w:vAlign w:val="center"/>
          </w:tcPr>
          <w:p w14:paraId="4AE8AF71" w14:textId="77777777" w:rsidR="003F6E16" w:rsidRPr="00EE43C6" w:rsidRDefault="003F6E16" w:rsidP="00B625EB">
            <w:pPr>
              <w:spacing w:before="0" w:after="60" w:line="240" w:lineRule="auto"/>
              <w:jc w:val="center"/>
              <w:rPr>
                <w:rFonts w:cs="Wingdings"/>
                <w:sz w:val="18"/>
                <w:szCs w:val="18"/>
              </w:rPr>
            </w:pPr>
          </w:p>
        </w:tc>
        <w:tc>
          <w:tcPr>
            <w:tcW w:w="1263" w:type="dxa"/>
            <w:vAlign w:val="center"/>
          </w:tcPr>
          <w:p w14:paraId="5B9F64CE" w14:textId="30EBE1E8" w:rsidR="003F6E16" w:rsidRPr="00EE43C6" w:rsidRDefault="00FB50DD" w:rsidP="00B625EB">
            <w:pPr>
              <w:spacing w:before="0" w:after="60" w:line="240" w:lineRule="auto"/>
              <w:jc w:val="center"/>
              <w:rPr>
                <w:rFonts w:cs="Wingdings"/>
                <w:sz w:val="18"/>
                <w:szCs w:val="18"/>
              </w:rPr>
            </w:pPr>
            <w:r w:rsidRPr="00EE43C6">
              <w:rPr>
                <w:rFonts w:cs="Wingdings"/>
                <w:sz w:val="18"/>
                <w:szCs w:val="18"/>
              </w:rPr>
              <w:t>0.0564</w:t>
            </w:r>
          </w:p>
        </w:tc>
      </w:tr>
      <w:tr w:rsidR="003F6E16" w:rsidRPr="00EE43C6" w14:paraId="37885FD5" w14:textId="77777777" w:rsidTr="00B625EB">
        <w:trPr>
          <w:jc w:val="center"/>
        </w:trPr>
        <w:tc>
          <w:tcPr>
            <w:tcW w:w="1645" w:type="dxa"/>
            <w:vMerge/>
            <w:vAlign w:val="center"/>
          </w:tcPr>
          <w:p w14:paraId="7A28970D"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0237CC21" w14:textId="2D32D9CC" w:rsidR="003F6E16" w:rsidRPr="00EE43C6" w:rsidRDefault="004B517C" w:rsidP="00B625EB">
            <w:pPr>
              <w:spacing w:before="0" w:after="60" w:line="240" w:lineRule="auto"/>
              <w:jc w:val="center"/>
              <w:rPr>
                <w:rFonts w:cs="Wingdings"/>
                <w:sz w:val="18"/>
                <w:szCs w:val="18"/>
              </w:rPr>
            </w:pPr>
            <w:r w:rsidRPr="00EE43C6">
              <w:rPr>
                <w:rFonts w:cs="Wingdings"/>
                <w:sz w:val="18"/>
                <w:szCs w:val="18"/>
              </w:rPr>
              <w:t>17</w:t>
            </w:r>
          </w:p>
        </w:tc>
        <w:tc>
          <w:tcPr>
            <w:tcW w:w="4219" w:type="dxa"/>
            <w:vAlign w:val="center"/>
          </w:tcPr>
          <w:p w14:paraId="319ED1F3" w14:textId="13AF8FDB" w:rsidR="003F6E16" w:rsidRPr="00EE43C6" w:rsidRDefault="009A3864" w:rsidP="00B625EB">
            <w:pPr>
              <w:spacing w:before="0" w:after="60" w:line="240" w:lineRule="auto"/>
              <w:jc w:val="left"/>
              <w:rPr>
                <w:rFonts w:cs="Wingdings"/>
                <w:sz w:val="18"/>
                <w:szCs w:val="18"/>
              </w:rPr>
            </w:pPr>
            <w:r w:rsidRPr="00EE43C6">
              <w:rPr>
                <w:rFonts w:cs="Wingdings"/>
                <w:sz w:val="18"/>
                <w:szCs w:val="18"/>
              </w:rPr>
              <w:t xml:space="preserve">Coal Burning in </w:t>
            </w:r>
            <w:r w:rsidR="00C1053E" w:rsidRPr="00EE43C6">
              <w:rPr>
                <w:rFonts w:cs="Wingdings"/>
                <w:sz w:val="18"/>
                <w:szCs w:val="18"/>
              </w:rPr>
              <w:t>Sağlıklı Neighbourhood</w:t>
            </w:r>
          </w:p>
        </w:tc>
        <w:tc>
          <w:tcPr>
            <w:tcW w:w="1450" w:type="dxa"/>
            <w:vAlign w:val="center"/>
          </w:tcPr>
          <w:p w14:paraId="34E92774" w14:textId="77777777" w:rsidR="003F6E16" w:rsidRPr="00EE43C6" w:rsidRDefault="003F6E16" w:rsidP="00B625EB">
            <w:pPr>
              <w:spacing w:before="0" w:after="60" w:line="240" w:lineRule="auto"/>
              <w:jc w:val="center"/>
              <w:rPr>
                <w:rFonts w:cs="Wingdings"/>
                <w:sz w:val="18"/>
                <w:szCs w:val="18"/>
              </w:rPr>
            </w:pPr>
          </w:p>
        </w:tc>
        <w:tc>
          <w:tcPr>
            <w:tcW w:w="1263" w:type="dxa"/>
            <w:vAlign w:val="center"/>
          </w:tcPr>
          <w:p w14:paraId="6F9B6541" w14:textId="644653ED" w:rsidR="003F6E16" w:rsidRPr="00EE43C6" w:rsidRDefault="00FB50DD" w:rsidP="00B625EB">
            <w:pPr>
              <w:spacing w:before="0" w:after="60" w:line="240" w:lineRule="auto"/>
              <w:jc w:val="center"/>
              <w:rPr>
                <w:rFonts w:cs="Wingdings"/>
                <w:sz w:val="18"/>
                <w:szCs w:val="18"/>
              </w:rPr>
            </w:pPr>
            <w:r w:rsidRPr="00EE43C6">
              <w:rPr>
                <w:rFonts w:cs="Wingdings"/>
                <w:sz w:val="18"/>
                <w:szCs w:val="18"/>
              </w:rPr>
              <w:t>0.9046</w:t>
            </w:r>
          </w:p>
        </w:tc>
      </w:tr>
      <w:tr w:rsidR="003F6E16" w:rsidRPr="00EE43C6" w14:paraId="3AAACE05" w14:textId="77777777" w:rsidTr="00B625EB">
        <w:trPr>
          <w:jc w:val="center"/>
        </w:trPr>
        <w:tc>
          <w:tcPr>
            <w:tcW w:w="1645" w:type="dxa"/>
            <w:vMerge/>
            <w:vAlign w:val="center"/>
          </w:tcPr>
          <w:p w14:paraId="49103520"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0DD2F89A" w14:textId="572BDC48" w:rsidR="003F6E16" w:rsidRPr="00EE43C6" w:rsidRDefault="004B517C" w:rsidP="00B625EB">
            <w:pPr>
              <w:spacing w:before="0" w:after="60" w:line="240" w:lineRule="auto"/>
              <w:jc w:val="center"/>
              <w:rPr>
                <w:rFonts w:cs="Wingdings"/>
                <w:sz w:val="18"/>
                <w:szCs w:val="18"/>
              </w:rPr>
            </w:pPr>
            <w:r w:rsidRPr="00EE43C6">
              <w:rPr>
                <w:rFonts w:cs="Wingdings"/>
                <w:sz w:val="18"/>
                <w:szCs w:val="18"/>
              </w:rPr>
              <w:t>18</w:t>
            </w:r>
          </w:p>
        </w:tc>
        <w:tc>
          <w:tcPr>
            <w:tcW w:w="4219" w:type="dxa"/>
            <w:vAlign w:val="center"/>
          </w:tcPr>
          <w:p w14:paraId="7197D59A" w14:textId="3438727B" w:rsidR="003F6E16" w:rsidRPr="00EE43C6" w:rsidRDefault="009A3864" w:rsidP="00B625EB">
            <w:pPr>
              <w:spacing w:before="0" w:after="60" w:line="240" w:lineRule="auto"/>
              <w:jc w:val="left"/>
              <w:rPr>
                <w:rFonts w:cs="Wingdings"/>
                <w:sz w:val="18"/>
                <w:szCs w:val="18"/>
              </w:rPr>
            </w:pPr>
            <w:r w:rsidRPr="00EE43C6">
              <w:rPr>
                <w:rFonts w:cs="Wingdings"/>
                <w:sz w:val="18"/>
                <w:szCs w:val="18"/>
              </w:rPr>
              <w:t xml:space="preserve">Coal Burning in </w:t>
            </w:r>
            <w:r w:rsidR="00C1053E" w:rsidRPr="00EE43C6">
              <w:rPr>
                <w:rFonts w:cs="Wingdings"/>
                <w:sz w:val="18"/>
                <w:szCs w:val="18"/>
              </w:rPr>
              <w:t>Kurbanlı Neighbourhood</w:t>
            </w:r>
          </w:p>
        </w:tc>
        <w:tc>
          <w:tcPr>
            <w:tcW w:w="1450" w:type="dxa"/>
            <w:vAlign w:val="center"/>
          </w:tcPr>
          <w:p w14:paraId="68EA74D9" w14:textId="77777777" w:rsidR="003F6E16" w:rsidRPr="00EE43C6" w:rsidRDefault="003F6E16" w:rsidP="00B625EB">
            <w:pPr>
              <w:spacing w:before="0" w:after="60" w:line="240" w:lineRule="auto"/>
              <w:jc w:val="center"/>
              <w:rPr>
                <w:rFonts w:cs="Wingdings"/>
                <w:sz w:val="18"/>
                <w:szCs w:val="18"/>
              </w:rPr>
            </w:pPr>
          </w:p>
        </w:tc>
        <w:tc>
          <w:tcPr>
            <w:tcW w:w="1263" w:type="dxa"/>
            <w:vAlign w:val="center"/>
          </w:tcPr>
          <w:p w14:paraId="05918513" w14:textId="790E9258" w:rsidR="003F6E16" w:rsidRPr="00EE43C6" w:rsidRDefault="00FB50DD" w:rsidP="00B625EB">
            <w:pPr>
              <w:spacing w:before="0" w:after="60" w:line="240" w:lineRule="auto"/>
              <w:jc w:val="center"/>
              <w:rPr>
                <w:rFonts w:cs="Wingdings"/>
                <w:sz w:val="18"/>
                <w:szCs w:val="18"/>
              </w:rPr>
            </w:pPr>
            <w:r w:rsidRPr="00EE43C6">
              <w:rPr>
                <w:rFonts w:cs="Wingdings"/>
                <w:sz w:val="18"/>
                <w:szCs w:val="18"/>
              </w:rPr>
              <w:t>0.1071</w:t>
            </w:r>
          </w:p>
        </w:tc>
      </w:tr>
      <w:tr w:rsidR="003F6E16" w:rsidRPr="00EE43C6" w14:paraId="184C33B9" w14:textId="77777777" w:rsidTr="00B625EB">
        <w:trPr>
          <w:jc w:val="center"/>
        </w:trPr>
        <w:tc>
          <w:tcPr>
            <w:tcW w:w="1645" w:type="dxa"/>
            <w:vMerge/>
            <w:vAlign w:val="center"/>
          </w:tcPr>
          <w:p w14:paraId="0BEAE068"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4CAF9FBE" w14:textId="6AF105A7" w:rsidR="003F6E16" w:rsidRPr="00EE43C6" w:rsidRDefault="004B517C" w:rsidP="00B625EB">
            <w:pPr>
              <w:spacing w:before="0" w:after="60" w:line="240" w:lineRule="auto"/>
              <w:jc w:val="center"/>
              <w:rPr>
                <w:rFonts w:cs="Wingdings"/>
                <w:sz w:val="18"/>
                <w:szCs w:val="18"/>
              </w:rPr>
            </w:pPr>
            <w:r w:rsidRPr="00EE43C6">
              <w:rPr>
                <w:rFonts w:cs="Wingdings"/>
                <w:sz w:val="18"/>
                <w:szCs w:val="18"/>
              </w:rPr>
              <w:t>19</w:t>
            </w:r>
          </w:p>
        </w:tc>
        <w:tc>
          <w:tcPr>
            <w:tcW w:w="4219" w:type="dxa"/>
            <w:vAlign w:val="center"/>
          </w:tcPr>
          <w:p w14:paraId="08900B14" w14:textId="5B1CCB4E" w:rsidR="003F6E16" w:rsidRPr="00EE43C6" w:rsidRDefault="009A3864" w:rsidP="00B625EB">
            <w:pPr>
              <w:spacing w:before="0" w:after="60" w:line="240" w:lineRule="auto"/>
              <w:jc w:val="left"/>
              <w:rPr>
                <w:rFonts w:cs="Wingdings"/>
                <w:sz w:val="18"/>
                <w:szCs w:val="18"/>
              </w:rPr>
            </w:pPr>
            <w:r w:rsidRPr="00EE43C6">
              <w:rPr>
                <w:rFonts w:cs="Wingdings"/>
                <w:sz w:val="18"/>
                <w:szCs w:val="18"/>
              </w:rPr>
              <w:t xml:space="preserve">Coal Burning in </w:t>
            </w:r>
            <w:r w:rsidR="00C1053E" w:rsidRPr="00EE43C6">
              <w:rPr>
                <w:rFonts w:cs="Wingdings"/>
                <w:sz w:val="18"/>
                <w:szCs w:val="18"/>
              </w:rPr>
              <w:t>Eskişehir Neighbourhood</w:t>
            </w:r>
          </w:p>
        </w:tc>
        <w:tc>
          <w:tcPr>
            <w:tcW w:w="1450" w:type="dxa"/>
            <w:vAlign w:val="center"/>
          </w:tcPr>
          <w:p w14:paraId="1905A395" w14:textId="77777777" w:rsidR="003F6E16" w:rsidRPr="00EE43C6" w:rsidRDefault="003F6E16" w:rsidP="00B625EB">
            <w:pPr>
              <w:spacing w:before="0" w:after="60" w:line="240" w:lineRule="auto"/>
              <w:jc w:val="center"/>
              <w:rPr>
                <w:rFonts w:cs="Wingdings"/>
                <w:sz w:val="18"/>
                <w:szCs w:val="18"/>
              </w:rPr>
            </w:pPr>
          </w:p>
        </w:tc>
        <w:tc>
          <w:tcPr>
            <w:tcW w:w="1263" w:type="dxa"/>
            <w:vAlign w:val="center"/>
          </w:tcPr>
          <w:p w14:paraId="08615024" w14:textId="3F1145B6" w:rsidR="003F6E16" w:rsidRPr="00EE43C6" w:rsidRDefault="00FB50DD" w:rsidP="00B625EB">
            <w:pPr>
              <w:spacing w:before="0" w:after="60" w:line="240" w:lineRule="auto"/>
              <w:jc w:val="center"/>
              <w:rPr>
                <w:rFonts w:cs="Wingdings"/>
                <w:sz w:val="18"/>
                <w:szCs w:val="18"/>
              </w:rPr>
            </w:pPr>
            <w:r w:rsidRPr="00EE43C6">
              <w:rPr>
                <w:rFonts w:cs="Wingdings"/>
                <w:sz w:val="18"/>
                <w:szCs w:val="18"/>
              </w:rPr>
              <w:t>0.0676</w:t>
            </w:r>
          </w:p>
        </w:tc>
      </w:tr>
      <w:tr w:rsidR="003F6E16" w:rsidRPr="00EE43C6" w14:paraId="49387F13" w14:textId="77777777" w:rsidTr="00B625EB">
        <w:trPr>
          <w:jc w:val="center"/>
        </w:trPr>
        <w:tc>
          <w:tcPr>
            <w:tcW w:w="1645" w:type="dxa"/>
            <w:vMerge w:val="restart"/>
            <w:vAlign w:val="center"/>
          </w:tcPr>
          <w:p w14:paraId="152DA2B6" w14:textId="76454F3B" w:rsidR="003F6E16" w:rsidRPr="00EE43C6" w:rsidRDefault="000449C3" w:rsidP="00B625EB">
            <w:pPr>
              <w:spacing w:before="0" w:after="60" w:line="240" w:lineRule="auto"/>
              <w:jc w:val="center"/>
              <w:rPr>
                <w:rFonts w:cs="Wingdings"/>
                <w:sz w:val="18"/>
                <w:szCs w:val="18"/>
              </w:rPr>
            </w:pPr>
            <w:r w:rsidRPr="00EE43C6">
              <w:rPr>
                <w:rFonts w:cs="Wingdings"/>
                <w:sz w:val="18"/>
                <w:szCs w:val="18"/>
              </w:rPr>
              <w:t>Road and Highway</w:t>
            </w:r>
          </w:p>
        </w:tc>
        <w:tc>
          <w:tcPr>
            <w:tcW w:w="483" w:type="dxa"/>
            <w:vAlign w:val="center"/>
          </w:tcPr>
          <w:p w14:paraId="12C7D64B" w14:textId="297A23F7" w:rsidR="003F6E16" w:rsidRPr="00EE43C6" w:rsidRDefault="000449C3" w:rsidP="00B625EB">
            <w:pPr>
              <w:spacing w:before="0" w:after="60" w:line="240" w:lineRule="auto"/>
              <w:jc w:val="center"/>
              <w:rPr>
                <w:rFonts w:cs="Wingdings"/>
                <w:sz w:val="18"/>
                <w:szCs w:val="18"/>
              </w:rPr>
            </w:pPr>
            <w:r w:rsidRPr="00EE43C6">
              <w:rPr>
                <w:rFonts w:cs="Wingdings"/>
                <w:sz w:val="18"/>
                <w:szCs w:val="18"/>
              </w:rPr>
              <w:t>20</w:t>
            </w:r>
          </w:p>
        </w:tc>
        <w:tc>
          <w:tcPr>
            <w:tcW w:w="4219" w:type="dxa"/>
            <w:vAlign w:val="center"/>
          </w:tcPr>
          <w:p w14:paraId="1774BB3D" w14:textId="6955A97F" w:rsidR="003F6E16" w:rsidRPr="00EE43C6" w:rsidRDefault="007D6C49" w:rsidP="00B625EB">
            <w:pPr>
              <w:spacing w:before="0" w:after="60" w:line="240" w:lineRule="auto"/>
              <w:jc w:val="left"/>
              <w:rPr>
                <w:rFonts w:cs="Wingdings"/>
                <w:sz w:val="18"/>
                <w:szCs w:val="18"/>
              </w:rPr>
            </w:pPr>
            <w:r w:rsidRPr="00EE43C6">
              <w:rPr>
                <w:rFonts w:cs="Wingdings"/>
                <w:sz w:val="18"/>
                <w:szCs w:val="18"/>
              </w:rPr>
              <w:t>Ankara-Aksaray Road (D750)</w:t>
            </w:r>
          </w:p>
        </w:tc>
        <w:tc>
          <w:tcPr>
            <w:tcW w:w="1450" w:type="dxa"/>
            <w:vAlign w:val="center"/>
          </w:tcPr>
          <w:p w14:paraId="743FCB47" w14:textId="77777777" w:rsidR="003F6E16" w:rsidRPr="00EE43C6" w:rsidRDefault="003F6E16" w:rsidP="00B625EB">
            <w:pPr>
              <w:spacing w:before="0" w:after="60" w:line="240" w:lineRule="auto"/>
              <w:jc w:val="center"/>
              <w:rPr>
                <w:rFonts w:cs="Wingdings"/>
                <w:sz w:val="18"/>
                <w:szCs w:val="18"/>
              </w:rPr>
            </w:pPr>
          </w:p>
        </w:tc>
        <w:tc>
          <w:tcPr>
            <w:tcW w:w="1263" w:type="dxa"/>
            <w:vAlign w:val="center"/>
          </w:tcPr>
          <w:p w14:paraId="4E6664DE" w14:textId="367A59C7" w:rsidR="003F6E16" w:rsidRPr="00EE43C6" w:rsidRDefault="00093599" w:rsidP="00B625EB">
            <w:pPr>
              <w:spacing w:before="0" w:after="60" w:line="240" w:lineRule="auto"/>
              <w:jc w:val="center"/>
              <w:rPr>
                <w:rFonts w:cs="Wingdings"/>
                <w:sz w:val="18"/>
                <w:szCs w:val="18"/>
              </w:rPr>
            </w:pPr>
            <w:r w:rsidRPr="00EE43C6">
              <w:rPr>
                <w:rFonts w:cs="Wingdings"/>
                <w:sz w:val="18"/>
                <w:szCs w:val="18"/>
              </w:rPr>
              <w:t>0.1897</w:t>
            </w:r>
          </w:p>
        </w:tc>
      </w:tr>
      <w:tr w:rsidR="003F6E16" w:rsidRPr="00EE43C6" w14:paraId="72DF3AB9" w14:textId="77777777" w:rsidTr="00B625EB">
        <w:trPr>
          <w:jc w:val="center"/>
        </w:trPr>
        <w:tc>
          <w:tcPr>
            <w:tcW w:w="1645" w:type="dxa"/>
            <w:vMerge/>
            <w:vAlign w:val="center"/>
          </w:tcPr>
          <w:p w14:paraId="2F0AE3EE" w14:textId="77777777" w:rsidR="003F6E16" w:rsidRPr="00EE43C6" w:rsidRDefault="003F6E16" w:rsidP="00B625EB">
            <w:pPr>
              <w:spacing w:before="0" w:after="60" w:line="240" w:lineRule="auto"/>
              <w:jc w:val="center"/>
              <w:rPr>
                <w:rFonts w:cs="Wingdings"/>
                <w:sz w:val="18"/>
                <w:szCs w:val="18"/>
              </w:rPr>
            </w:pPr>
          </w:p>
        </w:tc>
        <w:tc>
          <w:tcPr>
            <w:tcW w:w="483" w:type="dxa"/>
            <w:vAlign w:val="center"/>
          </w:tcPr>
          <w:p w14:paraId="4FD6FC59" w14:textId="24610C04" w:rsidR="003F6E16" w:rsidRPr="00EE43C6" w:rsidRDefault="000449C3" w:rsidP="00B625EB">
            <w:pPr>
              <w:spacing w:before="0" w:after="60" w:line="240" w:lineRule="auto"/>
              <w:jc w:val="center"/>
              <w:rPr>
                <w:rFonts w:cs="Wingdings"/>
                <w:sz w:val="18"/>
                <w:szCs w:val="18"/>
              </w:rPr>
            </w:pPr>
            <w:r w:rsidRPr="00EE43C6">
              <w:rPr>
                <w:rFonts w:cs="Wingdings"/>
                <w:sz w:val="18"/>
                <w:szCs w:val="18"/>
              </w:rPr>
              <w:t>21</w:t>
            </w:r>
          </w:p>
        </w:tc>
        <w:tc>
          <w:tcPr>
            <w:tcW w:w="4219" w:type="dxa"/>
            <w:vAlign w:val="center"/>
          </w:tcPr>
          <w:p w14:paraId="059BC8D6" w14:textId="0F7A1D6E" w:rsidR="003F6E16" w:rsidRPr="00EE43C6" w:rsidRDefault="00093599" w:rsidP="00B625EB">
            <w:pPr>
              <w:spacing w:before="0" w:after="60" w:line="240" w:lineRule="auto"/>
              <w:jc w:val="left"/>
              <w:rPr>
                <w:rFonts w:cs="Wingdings"/>
                <w:sz w:val="18"/>
                <w:szCs w:val="18"/>
              </w:rPr>
            </w:pPr>
            <w:r w:rsidRPr="00EE43C6">
              <w:rPr>
                <w:rFonts w:cs="Wingdings"/>
                <w:sz w:val="18"/>
                <w:szCs w:val="18"/>
              </w:rPr>
              <w:t>Tarsus-Ankara Highway (E90, O-21)</w:t>
            </w:r>
          </w:p>
        </w:tc>
        <w:tc>
          <w:tcPr>
            <w:tcW w:w="1450" w:type="dxa"/>
            <w:vAlign w:val="center"/>
          </w:tcPr>
          <w:p w14:paraId="44747FCD" w14:textId="77777777" w:rsidR="003F6E16" w:rsidRPr="00EE43C6" w:rsidRDefault="003F6E16" w:rsidP="00B625EB">
            <w:pPr>
              <w:spacing w:before="0" w:after="60" w:line="240" w:lineRule="auto"/>
              <w:jc w:val="center"/>
              <w:rPr>
                <w:rFonts w:cs="Wingdings"/>
                <w:sz w:val="18"/>
                <w:szCs w:val="18"/>
              </w:rPr>
            </w:pPr>
          </w:p>
        </w:tc>
        <w:tc>
          <w:tcPr>
            <w:tcW w:w="1263" w:type="dxa"/>
            <w:vAlign w:val="center"/>
          </w:tcPr>
          <w:p w14:paraId="4457AEF1" w14:textId="4F20086C" w:rsidR="003F6E16" w:rsidRPr="00EE43C6" w:rsidRDefault="00093599" w:rsidP="00B625EB">
            <w:pPr>
              <w:spacing w:before="0" w:after="60" w:line="240" w:lineRule="auto"/>
              <w:jc w:val="center"/>
              <w:rPr>
                <w:rFonts w:cs="Wingdings"/>
                <w:sz w:val="18"/>
                <w:szCs w:val="18"/>
              </w:rPr>
            </w:pPr>
            <w:r w:rsidRPr="00EE43C6">
              <w:rPr>
                <w:rFonts w:cs="Wingdings"/>
                <w:sz w:val="18"/>
                <w:szCs w:val="18"/>
              </w:rPr>
              <w:t>0.5152</w:t>
            </w:r>
          </w:p>
        </w:tc>
      </w:tr>
      <w:tr w:rsidR="003F6E16" w:rsidRPr="00EE43C6" w14:paraId="4608144C" w14:textId="77777777" w:rsidTr="00A17C6F">
        <w:trPr>
          <w:jc w:val="center"/>
        </w:trPr>
        <w:tc>
          <w:tcPr>
            <w:tcW w:w="6347" w:type="dxa"/>
            <w:gridSpan w:val="3"/>
            <w:vAlign w:val="center"/>
          </w:tcPr>
          <w:p w14:paraId="46BF3CDA" w14:textId="0B7C9BD2" w:rsidR="003F6E16" w:rsidRPr="00EE43C6" w:rsidRDefault="000449C3" w:rsidP="00B625EB">
            <w:pPr>
              <w:spacing w:before="0" w:after="60" w:line="240" w:lineRule="auto"/>
              <w:jc w:val="center"/>
              <w:rPr>
                <w:rFonts w:cs="Wingdings"/>
                <w:b/>
                <w:sz w:val="18"/>
                <w:szCs w:val="18"/>
              </w:rPr>
            </w:pPr>
            <w:r w:rsidRPr="00EE43C6">
              <w:rPr>
                <w:rFonts w:cs="Wingdings"/>
                <w:b/>
                <w:sz w:val="18"/>
                <w:szCs w:val="18"/>
              </w:rPr>
              <w:t>GENERAL TOTAL</w:t>
            </w:r>
          </w:p>
        </w:tc>
        <w:tc>
          <w:tcPr>
            <w:tcW w:w="1450" w:type="dxa"/>
            <w:vAlign w:val="center"/>
          </w:tcPr>
          <w:p w14:paraId="318E4892" w14:textId="62C4FDA1" w:rsidR="003F6E16" w:rsidRPr="00EE43C6" w:rsidRDefault="00B52F51" w:rsidP="00B625EB">
            <w:pPr>
              <w:spacing w:before="0" w:after="60" w:line="240" w:lineRule="auto"/>
              <w:jc w:val="center"/>
              <w:rPr>
                <w:rFonts w:cs="Wingdings"/>
                <w:b/>
                <w:sz w:val="18"/>
                <w:szCs w:val="18"/>
              </w:rPr>
            </w:pPr>
            <w:r w:rsidRPr="00EE43C6">
              <w:rPr>
                <w:rFonts w:cs="Wingdings"/>
                <w:b/>
                <w:sz w:val="18"/>
                <w:szCs w:val="18"/>
              </w:rPr>
              <w:t>132.5</w:t>
            </w:r>
            <w:r w:rsidR="00757E25">
              <w:rPr>
                <w:rFonts w:cs="Wingdings"/>
                <w:b/>
                <w:sz w:val="18"/>
                <w:szCs w:val="18"/>
              </w:rPr>
              <w:t>253</w:t>
            </w:r>
          </w:p>
        </w:tc>
        <w:tc>
          <w:tcPr>
            <w:tcW w:w="1263" w:type="dxa"/>
            <w:vAlign w:val="center"/>
          </w:tcPr>
          <w:p w14:paraId="3A82C68E" w14:textId="3A43075E" w:rsidR="003F6E16" w:rsidRPr="00EE43C6" w:rsidRDefault="00B52F51" w:rsidP="00B625EB">
            <w:pPr>
              <w:spacing w:before="0" w:after="60" w:line="240" w:lineRule="auto"/>
              <w:jc w:val="center"/>
              <w:rPr>
                <w:rFonts w:cs="Wingdings"/>
                <w:b/>
                <w:sz w:val="18"/>
                <w:szCs w:val="18"/>
              </w:rPr>
            </w:pPr>
            <w:r w:rsidRPr="00EE43C6">
              <w:rPr>
                <w:rFonts w:cs="Wingdings"/>
                <w:b/>
                <w:sz w:val="18"/>
                <w:szCs w:val="18"/>
              </w:rPr>
              <w:t>82.8</w:t>
            </w:r>
            <w:r w:rsidR="00A10F83">
              <w:rPr>
                <w:rFonts w:cs="Wingdings"/>
                <w:b/>
                <w:sz w:val="18"/>
                <w:szCs w:val="18"/>
              </w:rPr>
              <w:t>5</w:t>
            </w:r>
            <w:r w:rsidR="007E0023">
              <w:rPr>
                <w:rFonts w:cs="Wingdings"/>
                <w:b/>
                <w:sz w:val="18"/>
                <w:szCs w:val="18"/>
              </w:rPr>
              <w:t>67</w:t>
            </w:r>
          </w:p>
        </w:tc>
      </w:tr>
    </w:tbl>
    <w:p w14:paraId="0E042968" w14:textId="387E80FC" w:rsidR="00A17C6F" w:rsidRPr="00EE43C6" w:rsidRDefault="00940A00" w:rsidP="00B625EB">
      <w:pPr>
        <w:rPr>
          <w:rFonts w:cs="Wingdings"/>
          <w:szCs w:val="18"/>
        </w:rPr>
      </w:pPr>
      <w:r w:rsidRPr="00EE43C6">
        <w:rPr>
          <w:rFonts w:cs="Wingdings"/>
          <w:szCs w:val="18"/>
        </w:rPr>
        <w:t xml:space="preserve">Controlled dust emissions from all emission sources are given in </w:t>
      </w:r>
      <w:r w:rsidRPr="00EE43C6">
        <w:rPr>
          <w:rFonts w:cs="Wingdings"/>
          <w:szCs w:val="18"/>
        </w:rPr>
        <w:fldChar w:fldCharType="begin"/>
      </w:r>
      <w:r w:rsidRPr="00EE43C6">
        <w:rPr>
          <w:rFonts w:cs="Wingdings"/>
          <w:szCs w:val="18"/>
        </w:rPr>
        <w:instrText xml:space="preserve"> REF _Ref125731464 \h </w:instrText>
      </w:r>
      <w:r w:rsidRPr="00EE43C6">
        <w:rPr>
          <w:rFonts w:cs="Wingdings"/>
          <w:szCs w:val="18"/>
        </w:rPr>
      </w:r>
      <w:r w:rsidRPr="00EE43C6">
        <w:rPr>
          <w:rFonts w:cs="Wingdings"/>
          <w:szCs w:val="18"/>
        </w:rPr>
        <w:fldChar w:fldCharType="separate"/>
      </w:r>
      <w:r w:rsidR="00CE3B94" w:rsidRPr="00EE43C6">
        <w:t>Table 6</w:t>
      </w:r>
      <w:r w:rsidR="00CE3B94" w:rsidRPr="00EE43C6">
        <w:noBreakHyphen/>
        <w:t>9</w:t>
      </w:r>
      <w:r w:rsidRPr="00EE43C6">
        <w:rPr>
          <w:rFonts w:cs="Wingdings"/>
          <w:szCs w:val="18"/>
        </w:rPr>
        <w:fldChar w:fldCharType="end"/>
      </w:r>
      <w:r w:rsidR="00F96261" w:rsidRPr="00EE43C6">
        <w:rPr>
          <w:rFonts w:cs="Wingdings"/>
          <w:szCs w:val="18"/>
        </w:rPr>
        <w:t>. The concerned</w:t>
      </w:r>
      <w:r w:rsidRPr="00EE43C6">
        <w:rPr>
          <w:rFonts w:cs="Wingdings"/>
          <w:szCs w:val="18"/>
        </w:rPr>
        <w:t xml:space="preserve"> value (82,8</w:t>
      </w:r>
      <w:r w:rsidR="007F1C16">
        <w:rPr>
          <w:rFonts w:cs="Wingdings"/>
          <w:szCs w:val="18"/>
        </w:rPr>
        <w:t>5</w:t>
      </w:r>
      <w:r w:rsidR="00DC6DC7">
        <w:rPr>
          <w:rFonts w:cs="Wingdings"/>
          <w:szCs w:val="18"/>
        </w:rPr>
        <w:t>67</w:t>
      </w:r>
      <w:r w:rsidRPr="00EE43C6">
        <w:rPr>
          <w:rFonts w:cs="Wingdings"/>
          <w:szCs w:val="18"/>
        </w:rPr>
        <w:t xml:space="preserve"> kg/hour) is </w:t>
      </w:r>
      <w:r w:rsidR="00F96261" w:rsidRPr="00EE43C6">
        <w:rPr>
          <w:rFonts w:cs="Wingdings"/>
          <w:szCs w:val="18"/>
        </w:rPr>
        <w:t xml:space="preserve">more than 1 kg/hour, which is the limit value outside the chimney </w:t>
      </w:r>
      <w:r w:rsidR="002400EE" w:rsidRPr="00EE43C6">
        <w:rPr>
          <w:rFonts w:cs="Wingdings"/>
          <w:szCs w:val="18"/>
        </w:rPr>
        <w:t>specified</w:t>
      </w:r>
      <w:r w:rsidR="00F96261" w:rsidRPr="00EE43C6">
        <w:rPr>
          <w:rFonts w:cs="Wingdings"/>
          <w:szCs w:val="18"/>
        </w:rPr>
        <w:t xml:space="preserve"> within the scope of Annex-2 of the </w:t>
      </w:r>
      <w:r w:rsidR="00DC7EDA" w:rsidRPr="00EE43C6">
        <w:rPr>
          <w:rFonts w:cs="Wingdings"/>
          <w:szCs w:val="18"/>
        </w:rPr>
        <w:t>RoCIAP</w:t>
      </w:r>
      <w:r w:rsidRPr="00EE43C6">
        <w:rPr>
          <w:rFonts w:cs="Wingdings"/>
          <w:szCs w:val="18"/>
        </w:rPr>
        <w:t>.</w:t>
      </w:r>
      <w:r w:rsidR="00F96261" w:rsidRPr="00EE43C6">
        <w:rPr>
          <w:rFonts w:cs="Wingdings"/>
          <w:szCs w:val="18"/>
        </w:rPr>
        <w:t xml:space="preserve"> Therefore, air quality distribution </w:t>
      </w:r>
      <w:r w:rsidR="002400EE" w:rsidRPr="00EE43C6">
        <w:rPr>
          <w:rFonts w:cs="Wingdings"/>
          <w:szCs w:val="18"/>
        </w:rPr>
        <w:t>modelling</w:t>
      </w:r>
      <w:r w:rsidR="00F96261" w:rsidRPr="00EE43C6">
        <w:rPr>
          <w:rFonts w:cs="Wingdings"/>
          <w:szCs w:val="18"/>
        </w:rPr>
        <w:t xml:space="preserve"> for dust emissions </w:t>
      </w:r>
      <w:r w:rsidR="000755EF" w:rsidRPr="00EE43C6">
        <w:rPr>
          <w:rFonts w:cs="Wingdings"/>
          <w:szCs w:val="18"/>
        </w:rPr>
        <w:t>is required to</w:t>
      </w:r>
      <w:r w:rsidR="00F96261" w:rsidRPr="00EE43C6">
        <w:rPr>
          <w:rFonts w:cs="Wingdings"/>
          <w:szCs w:val="18"/>
        </w:rPr>
        <w:t xml:space="preserve"> be carried out and contribution values to air pollution should be calculated.</w:t>
      </w:r>
      <w:r w:rsidR="007443C6" w:rsidRPr="00EE43C6">
        <w:rPr>
          <w:rFonts w:cs="Wingdings"/>
          <w:szCs w:val="18"/>
        </w:rPr>
        <w:t xml:space="preserve"> </w:t>
      </w:r>
      <w:r w:rsidR="00A12469" w:rsidRPr="00EE43C6">
        <w:rPr>
          <w:rFonts w:cs="Wingdings"/>
          <w:szCs w:val="18"/>
        </w:rPr>
        <w:t>Hence, c</w:t>
      </w:r>
      <w:r w:rsidR="00A17C6F" w:rsidRPr="00EE43C6">
        <w:rPr>
          <w:rFonts w:cs="Wingdings"/>
          <w:szCs w:val="18"/>
        </w:rPr>
        <w:t xml:space="preserve">ontribution values to air pollution were calculated for the following scenarios within the scope of the air quality distribution </w:t>
      </w:r>
      <w:r w:rsidR="00167E40" w:rsidRPr="00EE43C6">
        <w:rPr>
          <w:rFonts w:cs="Wingdings"/>
          <w:szCs w:val="18"/>
        </w:rPr>
        <w:t>modelling</w:t>
      </w:r>
      <w:r w:rsidR="00A17C6F" w:rsidRPr="00EE43C6">
        <w:rPr>
          <w:rFonts w:cs="Wingdings"/>
          <w:szCs w:val="18"/>
        </w:rPr>
        <w:t xml:space="preserve"> study.</w:t>
      </w:r>
      <w:sdt>
        <w:sdtPr>
          <w:rPr>
            <w:rFonts w:cs="Wingdings"/>
            <w:szCs w:val="18"/>
          </w:rPr>
          <w:id w:val="1637221864"/>
          <w:citation/>
        </w:sdtPr>
        <w:sdtEndPr/>
        <w:sdtContent>
          <w:r w:rsidR="008E1111" w:rsidRPr="00EE43C6">
            <w:rPr>
              <w:rFonts w:cs="Wingdings"/>
              <w:szCs w:val="18"/>
            </w:rPr>
            <w:fldChar w:fldCharType="begin"/>
          </w:r>
          <w:r w:rsidR="006716F4" w:rsidRPr="00EE43C6">
            <w:rPr>
              <w:rFonts w:cs="Wingdings"/>
              <w:szCs w:val="18"/>
            </w:rPr>
            <w:instrText xml:space="preserve">CITATION Bur22 \l 1055 </w:instrText>
          </w:r>
          <w:r w:rsidR="008E1111" w:rsidRPr="00EE43C6">
            <w:rPr>
              <w:rFonts w:cs="Wingdings"/>
              <w:szCs w:val="18"/>
            </w:rPr>
            <w:fldChar w:fldCharType="separate"/>
          </w:r>
          <w:r w:rsidR="006716F4" w:rsidRPr="00EE43C6">
            <w:rPr>
              <w:rFonts w:cs="Wingdings"/>
              <w:szCs w:val="18"/>
            </w:rPr>
            <w:t xml:space="preserve"> (Burced Engineering Service Co.Ltd.,The EIA Report of the OIZ, 2022)</w:t>
          </w:r>
          <w:r w:rsidR="008E1111" w:rsidRPr="00EE43C6">
            <w:rPr>
              <w:rFonts w:cs="Wingdings"/>
              <w:szCs w:val="18"/>
            </w:rPr>
            <w:fldChar w:fldCharType="end"/>
          </w:r>
        </w:sdtContent>
      </w:sdt>
    </w:p>
    <w:p w14:paraId="50B53407" w14:textId="0FABC785" w:rsidR="00A17C6F" w:rsidRPr="00EE43C6" w:rsidRDefault="00A17C6F" w:rsidP="00B625EB">
      <w:pPr>
        <w:rPr>
          <w:rFonts w:cs="Wingdings"/>
          <w:szCs w:val="18"/>
        </w:rPr>
      </w:pPr>
      <w:r w:rsidRPr="00EE43C6">
        <w:rPr>
          <w:rFonts w:cs="Wingdings"/>
          <w:szCs w:val="18"/>
        </w:rPr>
        <w:t xml:space="preserve">Scenario 1: Project </w:t>
      </w:r>
      <w:r w:rsidR="00C80547" w:rsidRPr="00EE43C6">
        <w:rPr>
          <w:rFonts w:cs="Wingdings"/>
          <w:szCs w:val="18"/>
        </w:rPr>
        <w:t>Related</w:t>
      </w:r>
      <w:r w:rsidRPr="00EE43C6">
        <w:rPr>
          <w:rFonts w:cs="Wingdings"/>
          <w:szCs w:val="18"/>
        </w:rPr>
        <w:t xml:space="preserve"> Dust </w:t>
      </w:r>
      <w:r w:rsidR="00C80547" w:rsidRPr="00EE43C6">
        <w:rPr>
          <w:rFonts w:cs="Wingdings"/>
          <w:szCs w:val="18"/>
        </w:rPr>
        <w:t>Emission</w:t>
      </w:r>
      <w:r w:rsidRPr="00EE43C6">
        <w:rPr>
          <w:rFonts w:cs="Wingdings"/>
          <w:szCs w:val="18"/>
        </w:rPr>
        <w:t xml:space="preserve"> Operations</w:t>
      </w:r>
    </w:p>
    <w:p w14:paraId="40B014DA" w14:textId="6A6CAA75" w:rsidR="00D5009E" w:rsidRPr="00EE43C6" w:rsidRDefault="00A17C6F" w:rsidP="00B625EB">
      <w:pPr>
        <w:rPr>
          <w:rFonts w:cs="Wingdings"/>
          <w:szCs w:val="18"/>
        </w:rPr>
      </w:pPr>
      <w:r w:rsidRPr="00EE43C6">
        <w:rPr>
          <w:rFonts w:cs="Wingdings"/>
          <w:szCs w:val="18"/>
        </w:rPr>
        <w:t xml:space="preserve">Scenario 2: Cumulative (Emissions from the Project, </w:t>
      </w:r>
      <w:r w:rsidR="00C80547" w:rsidRPr="00EE43C6">
        <w:rPr>
          <w:rFonts w:cs="Wingdings"/>
          <w:szCs w:val="18"/>
        </w:rPr>
        <w:t>Road</w:t>
      </w:r>
      <w:r w:rsidRPr="00EE43C6">
        <w:rPr>
          <w:rFonts w:cs="Wingdings"/>
          <w:szCs w:val="18"/>
        </w:rPr>
        <w:t xml:space="preserve">, </w:t>
      </w:r>
      <w:r w:rsidR="00A66513" w:rsidRPr="00EE43C6">
        <w:rPr>
          <w:rFonts w:cs="Wingdings"/>
          <w:szCs w:val="18"/>
        </w:rPr>
        <w:t>Highway,</w:t>
      </w:r>
      <w:r w:rsidRPr="00EE43C6">
        <w:rPr>
          <w:rFonts w:cs="Wingdings"/>
          <w:szCs w:val="18"/>
        </w:rPr>
        <w:t xml:space="preserve"> and Heating) Dust </w:t>
      </w:r>
      <w:r w:rsidR="00C80547" w:rsidRPr="00EE43C6">
        <w:rPr>
          <w:rFonts w:cs="Wingdings"/>
          <w:szCs w:val="18"/>
        </w:rPr>
        <w:t>Emission</w:t>
      </w:r>
      <w:r w:rsidRPr="00EE43C6">
        <w:rPr>
          <w:rFonts w:cs="Wingdings"/>
          <w:szCs w:val="18"/>
        </w:rPr>
        <w:t xml:space="preserve"> Operations</w:t>
      </w:r>
    </w:p>
    <w:p w14:paraId="1A6E1575" w14:textId="42CADAA2" w:rsidR="008B092B" w:rsidRPr="00EE43C6" w:rsidRDefault="00B54BE6" w:rsidP="00B625EB">
      <w:pPr>
        <w:rPr>
          <w:rFonts w:cs="Wingdings"/>
          <w:szCs w:val="18"/>
        </w:rPr>
      </w:pPr>
      <w:r w:rsidRPr="00EE43C6">
        <w:rPr>
          <w:rFonts w:cs="Wingdings"/>
          <w:szCs w:val="18"/>
        </w:rPr>
        <w:t xml:space="preserve">As a result of the </w:t>
      </w:r>
      <w:r w:rsidR="00F57843" w:rsidRPr="00EE43C6">
        <w:rPr>
          <w:rFonts w:cs="Wingdings"/>
          <w:szCs w:val="18"/>
        </w:rPr>
        <w:t xml:space="preserve">concerned </w:t>
      </w:r>
      <w:r w:rsidRPr="00EE43C6">
        <w:rPr>
          <w:rFonts w:cs="Wingdings"/>
          <w:szCs w:val="18"/>
        </w:rPr>
        <w:t xml:space="preserve">modelling study, </w:t>
      </w:r>
      <w:r w:rsidR="0094234B" w:rsidRPr="00EE43C6">
        <w:rPr>
          <w:rFonts w:cs="Wingdings"/>
          <w:szCs w:val="18"/>
        </w:rPr>
        <w:t xml:space="preserve">it was observed that </w:t>
      </w:r>
      <w:r w:rsidR="005E7E3A" w:rsidRPr="00EE43C6">
        <w:rPr>
          <w:rFonts w:cs="Wingdings"/>
          <w:szCs w:val="18"/>
        </w:rPr>
        <w:t xml:space="preserve">calculated emissions </w:t>
      </w:r>
      <w:r w:rsidR="00C20907" w:rsidRPr="00EE43C6">
        <w:rPr>
          <w:rFonts w:cs="Wingdings"/>
          <w:szCs w:val="18"/>
        </w:rPr>
        <w:t>are belo</w:t>
      </w:r>
      <w:r w:rsidR="0096603A" w:rsidRPr="00EE43C6">
        <w:rPr>
          <w:rFonts w:cs="Wingdings"/>
          <w:szCs w:val="18"/>
        </w:rPr>
        <w:t xml:space="preserve">w the </w:t>
      </w:r>
      <w:r w:rsidRPr="00EE43C6">
        <w:rPr>
          <w:rFonts w:cs="Wingdings"/>
          <w:szCs w:val="18"/>
        </w:rPr>
        <w:t xml:space="preserve">limit values </w:t>
      </w:r>
      <w:r w:rsidR="00532D95" w:rsidRPr="00EE43C6">
        <w:rPr>
          <w:rFonts w:cs="Wingdings"/>
          <w:szCs w:val="18"/>
        </w:rPr>
        <w:t xml:space="preserve">specified </w:t>
      </w:r>
      <w:r w:rsidRPr="00EE43C6">
        <w:rPr>
          <w:rFonts w:cs="Wingdings"/>
          <w:szCs w:val="18"/>
        </w:rPr>
        <w:t>in all scenarios for settling dust and PM</w:t>
      </w:r>
      <w:r w:rsidRPr="00EE43C6">
        <w:rPr>
          <w:rFonts w:cs="Wingdings"/>
          <w:szCs w:val="18"/>
          <w:vertAlign w:val="subscript"/>
        </w:rPr>
        <w:t>10</w:t>
      </w:r>
      <w:r w:rsidRPr="00EE43C6">
        <w:rPr>
          <w:rFonts w:cs="Wingdings"/>
          <w:szCs w:val="18"/>
        </w:rPr>
        <w:t xml:space="preserve"> emissions in </w:t>
      </w:r>
      <w:r w:rsidR="003B4424" w:rsidRPr="00EE43C6">
        <w:rPr>
          <w:rFonts w:cs="Wingdings"/>
          <w:szCs w:val="18"/>
        </w:rPr>
        <w:t xml:space="preserve">the </w:t>
      </w:r>
      <w:r w:rsidR="00DC7EDA" w:rsidRPr="00EE43C6">
        <w:rPr>
          <w:rFonts w:cs="Wingdings"/>
          <w:szCs w:val="18"/>
        </w:rPr>
        <w:t>RoCIAP</w:t>
      </w:r>
      <w:r w:rsidRPr="00EE43C6">
        <w:rPr>
          <w:rFonts w:cs="Wingdings"/>
          <w:szCs w:val="18"/>
        </w:rPr>
        <w:t>.</w:t>
      </w:r>
      <w:r w:rsidR="00BE3FE9" w:rsidRPr="00EE43C6">
        <w:rPr>
          <w:rFonts w:cs="Wingdings"/>
          <w:szCs w:val="18"/>
        </w:rPr>
        <w:t xml:space="preserve"> On the other hand, </w:t>
      </w:r>
      <w:r w:rsidR="0060017E" w:rsidRPr="00EE43C6">
        <w:rPr>
          <w:rFonts w:cs="Wingdings"/>
          <w:szCs w:val="18"/>
        </w:rPr>
        <w:t xml:space="preserve">in terms of </w:t>
      </w:r>
      <w:r w:rsidR="00E53D3A" w:rsidRPr="00EE43C6">
        <w:rPr>
          <w:rFonts w:cs="Wingdings"/>
          <w:szCs w:val="18"/>
        </w:rPr>
        <w:t xml:space="preserve">international </w:t>
      </w:r>
      <w:r w:rsidR="0060017E" w:rsidRPr="00EE43C6">
        <w:rPr>
          <w:rFonts w:cs="Wingdings"/>
          <w:szCs w:val="18"/>
        </w:rPr>
        <w:t xml:space="preserve">requirement, </w:t>
      </w:r>
      <w:r w:rsidR="007D53B3" w:rsidRPr="00EE43C6">
        <w:rPr>
          <w:rFonts w:cs="Wingdings"/>
          <w:szCs w:val="18"/>
        </w:rPr>
        <w:t xml:space="preserve">it is seen that </w:t>
      </w:r>
      <w:r w:rsidR="008E5315" w:rsidRPr="00EE43C6">
        <w:rPr>
          <w:rFonts w:cs="Wingdings"/>
          <w:szCs w:val="18"/>
        </w:rPr>
        <w:t>PM</w:t>
      </w:r>
      <w:r w:rsidR="008E5315" w:rsidRPr="00EE43C6">
        <w:rPr>
          <w:rFonts w:cs="Wingdings"/>
          <w:szCs w:val="18"/>
          <w:vertAlign w:val="subscript"/>
        </w:rPr>
        <w:t>10</w:t>
      </w:r>
      <w:r w:rsidR="00E53D3A" w:rsidRPr="00EE43C6">
        <w:rPr>
          <w:rFonts w:cs="Wingdings"/>
          <w:szCs w:val="18"/>
        </w:rPr>
        <w:t xml:space="preserve"> limit value</w:t>
      </w:r>
      <w:r w:rsidR="002274C6" w:rsidRPr="00EE43C6">
        <w:rPr>
          <w:rFonts w:cs="Wingdings"/>
          <w:szCs w:val="18"/>
        </w:rPr>
        <w:t>s</w:t>
      </w:r>
      <w:r w:rsidR="00E53D3A" w:rsidRPr="00EE43C6">
        <w:rPr>
          <w:rFonts w:cs="Wingdings"/>
          <w:szCs w:val="18"/>
        </w:rPr>
        <w:t xml:space="preserve"> </w:t>
      </w:r>
      <w:r w:rsidR="0060067D" w:rsidRPr="00EE43C6">
        <w:rPr>
          <w:rFonts w:cs="Wingdings"/>
          <w:szCs w:val="18"/>
        </w:rPr>
        <w:t xml:space="preserve">that </w:t>
      </w:r>
      <w:r w:rsidR="002274C6" w:rsidRPr="00EE43C6">
        <w:rPr>
          <w:rFonts w:cs="Wingdings"/>
          <w:szCs w:val="18"/>
        </w:rPr>
        <w:t>are</w:t>
      </w:r>
      <w:r w:rsidR="00E53D3A" w:rsidRPr="00EE43C6">
        <w:rPr>
          <w:rFonts w:cs="Wingdings"/>
          <w:szCs w:val="18"/>
        </w:rPr>
        <w:t xml:space="preserve"> </w:t>
      </w:r>
      <w:r w:rsidR="00B175FD" w:rsidRPr="00EE43C6">
        <w:rPr>
          <w:rFonts w:cs="Wingdings"/>
          <w:szCs w:val="18"/>
        </w:rPr>
        <w:t xml:space="preserve">defined in </w:t>
      </w:r>
      <w:r w:rsidR="00E53D3A" w:rsidRPr="00EE43C6">
        <w:rPr>
          <w:rFonts w:cs="Wingdings"/>
          <w:szCs w:val="18"/>
        </w:rPr>
        <w:t xml:space="preserve">Table 1.1.1: WHO Ambient Air Quality Guidelines in </w:t>
      </w:r>
      <w:r w:rsidR="002838E3" w:rsidRPr="00EE43C6">
        <w:rPr>
          <w:rFonts w:cs="Wingdings"/>
          <w:szCs w:val="18"/>
        </w:rPr>
        <w:t xml:space="preserve">IFC EHS Guidelines </w:t>
      </w:r>
      <w:r w:rsidR="0060067D" w:rsidRPr="00EE43C6">
        <w:rPr>
          <w:rFonts w:cs="Wingdings"/>
          <w:szCs w:val="18"/>
        </w:rPr>
        <w:t xml:space="preserve">are exceeded </w:t>
      </w:r>
      <w:r w:rsidR="00E86B48">
        <w:rPr>
          <w:rFonts w:cs="Wingdings"/>
          <w:szCs w:val="18"/>
        </w:rPr>
        <w:t xml:space="preserve">for </w:t>
      </w:r>
      <w:r w:rsidR="000D7C7B" w:rsidRPr="00EE43C6">
        <w:rPr>
          <w:rFonts w:cs="Wingdings"/>
          <w:szCs w:val="18"/>
        </w:rPr>
        <w:t>both scenarios.</w:t>
      </w:r>
      <w:r w:rsidR="00381051" w:rsidRPr="00EE43C6">
        <w:rPr>
          <w:rFonts w:cs="Wingdings"/>
          <w:szCs w:val="18"/>
        </w:rPr>
        <w:t xml:space="preserve"> The</w:t>
      </w:r>
      <w:r w:rsidR="00210C7B" w:rsidRPr="00EE43C6">
        <w:rPr>
          <w:rFonts w:cs="Wingdings"/>
          <w:szCs w:val="18"/>
        </w:rPr>
        <w:t xml:space="preserve">se </w:t>
      </w:r>
      <w:r w:rsidR="009670A7" w:rsidRPr="00EE43C6">
        <w:rPr>
          <w:rFonts w:cs="Wingdings"/>
          <w:szCs w:val="18"/>
        </w:rPr>
        <w:t xml:space="preserve">national and international </w:t>
      </w:r>
      <w:r w:rsidR="000725D3" w:rsidRPr="00EE43C6">
        <w:rPr>
          <w:rFonts w:cs="Wingdings"/>
          <w:szCs w:val="18"/>
        </w:rPr>
        <w:t>a</w:t>
      </w:r>
      <w:r w:rsidR="009670A7" w:rsidRPr="00EE43C6">
        <w:rPr>
          <w:rFonts w:cs="Wingdings"/>
          <w:szCs w:val="18"/>
        </w:rPr>
        <w:t xml:space="preserve">ir </w:t>
      </w:r>
      <w:r w:rsidR="000725D3" w:rsidRPr="00EE43C6">
        <w:rPr>
          <w:rFonts w:cs="Wingdings"/>
          <w:szCs w:val="18"/>
        </w:rPr>
        <w:t>q</w:t>
      </w:r>
      <w:r w:rsidR="009670A7" w:rsidRPr="00EE43C6">
        <w:rPr>
          <w:rFonts w:cs="Wingdings"/>
          <w:szCs w:val="18"/>
        </w:rPr>
        <w:t xml:space="preserve">uality </w:t>
      </w:r>
      <w:r w:rsidR="000725D3" w:rsidRPr="00EE43C6">
        <w:rPr>
          <w:rFonts w:cs="Wingdings"/>
          <w:szCs w:val="18"/>
        </w:rPr>
        <w:t>l</w:t>
      </w:r>
      <w:r w:rsidR="009670A7" w:rsidRPr="00EE43C6">
        <w:rPr>
          <w:rFonts w:cs="Wingdings"/>
          <w:szCs w:val="18"/>
        </w:rPr>
        <w:t xml:space="preserve">imit </w:t>
      </w:r>
      <w:r w:rsidR="000725D3" w:rsidRPr="00EE43C6">
        <w:rPr>
          <w:rFonts w:cs="Wingdings"/>
          <w:szCs w:val="18"/>
        </w:rPr>
        <w:t>v</w:t>
      </w:r>
      <w:r w:rsidR="009670A7" w:rsidRPr="00EE43C6">
        <w:rPr>
          <w:rFonts w:cs="Wingdings"/>
          <w:szCs w:val="18"/>
        </w:rPr>
        <w:t xml:space="preserve">alues and </w:t>
      </w:r>
      <w:r w:rsidR="000725D3" w:rsidRPr="00EE43C6">
        <w:rPr>
          <w:rFonts w:cs="Wingdings"/>
          <w:szCs w:val="18"/>
        </w:rPr>
        <w:t>c</w:t>
      </w:r>
      <w:r w:rsidR="009670A7" w:rsidRPr="00EE43C6">
        <w:rPr>
          <w:rFonts w:cs="Wingdings"/>
          <w:szCs w:val="18"/>
        </w:rPr>
        <w:t xml:space="preserve">alculated </w:t>
      </w:r>
      <w:r w:rsidR="000725D3" w:rsidRPr="00EE43C6">
        <w:rPr>
          <w:rFonts w:cs="Wingdings"/>
          <w:szCs w:val="18"/>
        </w:rPr>
        <w:t>e</w:t>
      </w:r>
      <w:r w:rsidR="009670A7" w:rsidRPr="00EE43C6">
        <w:rPr>
          <w:rFonts w:cs="Wingdings"/>
          <w:szCs w:val="18"/>
        </w:rPr>
        <w:t xml:space="preserve">mission </w:t>
      </w:r>
      <w:r w:rsidR="000725D3" w:rsidRPr="00EE43C6">
        <w:rPr>
          <w:rFonts w:cs="Wingdings"/>
          <w:szCs w:val="18"/>
        </w:rPr>
        <w:t>v</w:t>
      </w:r>
      <w:r w:rsidR="009670A7" w:rsidRPr="00EE43C6">
        <w:rPr>
          <w:rFonts w:cs="Wingdings"/>
          <w:szCs w:val="18"/>
        </w:rPr>
        <w:t>alues</w:t>
      </w:r>
      <w:r w:rsidR="000725D3" w:rsidRPr="00EE43C6">
        <w:rPr>
          <w:rFonts w:cs="Wingdings"/>
          <w:szCs w:val="18"/>
        </w:rPr>
        <w:t xml:space="preserve"> are presented in </w:t>
      </w:r>
      <w:r w:rsidR="000725D3" w:rsidRPr="00EE43C6">
        <w:rPr>
          <w:rFonts w:cs="Wingdings"/>
          <w:szCs w:val="18"/>
        </w:rPr>
        <w:fldChar w:fldCharType="begin"/>
      </w:r>
      <w:r w:rsidR="000725D3" w:rsidRPr="00EE43C6">
        <w:rPr>
          <w:rFonts w:cs="Wingdings"/>
          <w:szCs w:val="18"/>
        </w:rPr>
        <w:instrText xml:space="preserve"> REF _Ref126242986 \h </w:instrText>
      </w:r>
      <w:r w:rsidR="000725D3" w:rsidRPr="00EE43C6">
        <w:rPr>
          <w:rFonts w:cs="Wingdings"/>
          <w:szCs w:val="18"/>
        </w:rPr>
      </w:r>
      <w:r w:rsidR="000725D3" w:rsidRPr="00EE43C6">
        <w:rPr>
          <w:rFonts w:cs="Wingdings"/>
          <w:szCs w:val="18"/>
        </w:rPr>
        <w:fldChar w:fldCharType="separate"/>
      </w:r>
      <w:r w:rsidR="000460D0" w:rsidRPr="00EE43C6">
        <w:t>Table 6</w:t>
      </w:r>
      <w:r w:rsidR="000460D0" w:rsidRPr="00EE43C6">
        <w:noBreakHyphen/>
        <w:t>11</w:t>
      </w:r>
      <w:r w:rsidR="000725D3" w:rsidRPr="00EE43C6">
        <w:rPr>
          <w:rFonts w:cs="Wingdings"/>
          <w:szCs w:val="18"/>
        </w:rPr>
        <w:fldChar w:fldCharType="end"/>
      </w:r>
      <w:r w:rsidR="000725D3" w:rsidRPr="00EE43C6">
        <w:rPr>
          <w:rFonts w:cs="Wingdings"/>
          <w:szCs w:val="18"/>
        </w:rPr>
        <w:t>.</w:t>
      </w:r>
    </w:p>
    <w:p w14:paraId="7090AB54" w14:textId="6C07BE4F" w:rsidR="000D7C7B" w:rsidRPr="00EE43C6" w:rsidRDefault="00835786" w:rsidP="00835786">
      <w:pPr>
        <w:pStyle w:val="Caption"/>
        <w:rPr>
          <w:rFonts w:cs="Wingdings"/>
          <w:noProof w:val="0"/>
          <w:szCs w:val="18"/>
        </w:rPr>
      </w:pPr>
      <w:bookmarkStart w:id="484" w:name="_Ref126242986"/>
      <w:bookmarkStart w:id="485" w:name="_Toc141445520"/>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11</w:t>
      </w:r>
      <w:r w:rsidR="006D2DE8">
        <w:rPr>
          <w:noProof w:val="0"/>
        </w:rPr>
        <w:fldChar w:fldCharType="end"/>
      </w:r>
      <w:bookmarkEnd w:id="484"/>
      <w:r w:rsidRPr="00EE43C6">
        <w:rPr>
          <w:noProof w:val="0"/>
        </w:rPr>
        <w:t xml:space="preserve">. </w:t>
      </w:r>
      <w:r w:rsidR="000D7C7B" w:rsidRPr="00EE43C6">
        <w:rPr>
          <w:rFonts w:cs="Wingdings"/>
          <w:b w:val="0"/>
          <w:bCs w:val="0"/>
          <w:noProof w:val="0"/>
          <w:color w:val="auto"/>
          <w:szCs w:val="18"/>
        </w:rPr>
        <w:t xml:space="preserve">National and International </w:t>
      </w:r>
      <w:r w:rsidRPr="00EE43C6">
        <w:rPr>
          <w:rFonts w:cs="Wingdings"/>
          <w:b w:val="0"/>
          <w:bCs w:val="0"/>
          <w:noProof w:val="0"/>
          <w:color w:val="auto"/>
          <w:szCs w:val="18"/>
        </w:rPr>
        <w:t>Air Quality</w:t>
      </w:r>
      <w:r w:rsidR="000D7C7B" w:rsidRPr="00EE43C6">
        <w:rPr>
          <w:rFonts w:cs="Wingdings"/>
          <w:b w:val="0"/>
          <w:bCs w:val="0"/>
          <w:noProof w:val="0"/>
          <w:color w:val="auto"/>
          <w:szCs w:val="18"/>
        </w:rPr>
        <w:t xml:space="preserve"> </w:t>
      </w:r>
      <w:r w:rsidRPr="00EE43C6">
        <w:rPr>
          <w:rFonts w:cs="Wingdings"/>
          <w:b w:val="0"/>
          <w:bCs w:val="0"/>
          <w:noProof w:val="0"/>
          <w:color w:val="auto"/>
          <w:szCs w:val="18"/>
        </w:rPr>
        <w:t>L</w:t>
      </w:r>
      <w:r w:rsidR="000D7C7B" w:rsidRPr="00EE43C6">
        <w:rPr>
          <w:rFonts w:cs="Wingdings"/>
          <w:b w:val="0"/>
          <w:bCs w:val="0"/>
          <w:noProof w:val="0"/>
          <w:color w:val="auto"/>
          <w:szCs w:val="18"/>
        </w:rPr>
        <w:t xml:space="preserve">imit </w:t>
      </w:r>
      <w:r w:rsidRPr="00EE43C6">
        <w:rPr>
          <w:rFonts w:cs="Wingdings"/>
          <w:b w:val="0"/>
          <w:bCs w:val="0"/>
          <w:noProof w:val="0"/>
          <w:color w:val="auto"/>
          <w:szCs w:val="18"/>
        </w:rPr>
        <w:t>V</w:t>
      </w:r>
      <w:r w:rsidR="000D7C7B" w:rsidRPr="00EE43C6">
        <w:rPr>
          <w:rFonts w:cs="Wingdings"/>
          <w:b w:val="0"/>
          <w:bCs w:val="0"/>
          <w:noProof w:val="0"/>
          <w:color w:val="auto"/>
          <w:szCs w:val="18"/>
        </w:rPr>
        <w:t xml:space="preserve">alues </w:t>
      </w:r>
      <w:r w:rsidR="00056021" w:rsidRPr="00EE43C6">
        <w:rPr>
          <w:rFonts w:cs="Wingdings"/>
          <w:b w:val="0"/>
          <w:bCs w:val="0"/>
          <w:noProof w:val="0"/>
          <w:color w:val="auto"/>
          <w:szCs w:val="18"/>
        </w:rPr>
        <w:t xml:space="preserve">and </w:t>
      </w:r>
      <w:r w:rsidRPr="00EE43C6">
        <w:rPr>
          <w:rFonts w:cs="Wingdings"/>
          <w:b w:val="0"/>
          <w:bCs w:val="0"/>
          <w:noProof w:val="0"/>
          <w:color w:val="auto"/>
          <w:szCs w:val="18"/>
        </w:rPr>
        <w:t>C</w:t>
      </w:r>
      <w:r w:rsidR="00056021" w:rsidRPr="00EE43C6">
        <w:rPr>
          <w:rFonts w:cs="Wingdings"/>
          <w:b w:val="0"/>
          <w:bCs w:val="0"/>
          <w:noProof w:val="0"/>
          <w:color w:val="auto"/>
          <w:szCs w:val="18"/>
        </w:rPr>
        <w:t xml:space="preserve">alculated </w:t>
      </w:r>
      <w:r w:rsidRPr="00EE43C6">
        <w:rPr>
          <w:rFonts w:cs="Wingdings"/>
          <w:b w:val="0"/>
          <w:bCs w:val="0"/>
          <w:noProof w:val="0"/>
          <w:color w:val="auto"/>
          <w:szCs w:val="18"/>
        </w:rPr>
        <w:t>Emission Values</w:t>
      </w:r>
      <w:bookmarkEnd w:id="485"/>
    </w:p>
    <w:tbl>
      <w:tblPr>
        <w:tblStyle w:val="TableGrid"/>
        <w:tblW w:w="5000" w:type="pct"/>
        <w:tblLook w:val="04A0" w:firstRow="1" w:lastRow="0" w:firstColumn="1" w:lastColumn="0" w:noHBand="0" w:noVBand="1"/>
      </w:tblPr>
      <w:tblGrid>
        <w:gridCol w:w="1274"/>
        <w:gridCol w:w="1941"/>
        <w:gridCol w:w="1034"/>
        <w:gridCol w:w="1332"/>
        <w:gridCol w:w="1676"/>
        <w:gridCol w:w="1807"/>
      </w:tblGrid>
      <w:tr w:rsidR="00260DD5" w:rsidRPr="00EE43C6" w14:paraId="26159B3D" w14:textId="6D4F6475" w:rsidTr="001E0229">
        <w:trPr>
          <w:trHeight w:val="284"/>
          <w:tblHeader/>
        </w:trPr>
        <w:tc>
          <w:tcPr>
            <w:tcW w:w="706" w:type="pct"/>
            <w:shd w:val="clear" w:color="auto" w:fill="4E81BD"/>
            <w:vAlign w:val="center"/>
          </w:tcPr>
          <w:p w14:paraId="6B5D5CFC" w14:textId="085E16DE" w:rsidR="00205AAE" w:rsidRPr="00EE43C6" w:rsidRDefault="00AC0A62" w:rsidP="00B625EB">
            <w:pPr>
              <w:spacing w:before="0" w:after="0" w:line="240" w:lineRule="auto"/>
              <w:jc w:val="center"/>
              <w:rPr>
                <w:rFonts w:cs="Wingdings"/>
                <w:b/>
                <w:bCs/>
                <w:color w:val="FFFFFF" w:themeColor="background1"/>
                <w:sz w:val="18"/>
                <w:szCs w:val="16"/>
              </w:rPr>
            </w:pPr>
            <w:r w:rsidRPr="00EE43C6">
              <w:rPr>
                <w:rFonts w:cs="Wingdings"/>
                <w:b/>
                <w:bCs/>
                <w:color w:val="FFFFFF" w:themeColor="background1"/>
                <w:sz w:val="18"/>
                <w:szCs w:val="16"/>
              </w:rPr>
              <w:t>Parameter</w:t>
            </w:r>
          </w:p>
        </w:tc>
        <w:tc>
          <w:tcPr>
            <w:tcW w:w="1074" w:type="pct"/>
            <w:shd w:val="clear" w:color="auto" w:fill="4E81BD"/>
            <w:vAlign w:val="center"/>
          </w:tcPr>
          <w:p w14:paraId="77C5301F" w14:textId="421988C2" w:rsidR="00205AAE" w:rsidRPr="00EE43C6" w:rsidRDefault="00205AAE" w:rsidP="00B625EB">
            <w:pPr>
              <w:spacing w:before="0" w:after="0" w:line="240" w:lineRule="auto"/>
              <w:jc w:val="center"/>
              <w:rPr>
                <w:rFonts w:cs="Wingdings"/>
                <w:b/>
                <w:bCs/>
                <w:color w:val="FFFFFF" w:themeColor="background1"/>
                <w:sz w:val="18"/>
                <w:szCs w:val="16"/>
              </w:rPr>
            </w:pPr>
            <w:r w:rsidRPr="00EE43C6">
              <w:rPr>
                <w:rFonts w:cs="Wingdings"/>
                <w:b/>
                <w:bCs/>
                <w:color w:val="FFFFFF" w:themeColor="background1"/>
                <w:sz w:val="18"/>
                <w:szCs w:val="16"/>
              </w:rPr>
              <w:t>Duration</w:t>
            </w:r>
          </w:p>
        </w:tc>
        <w:tc>
          <w:tcPr>
            <w:tcW w:w="553" w:type="pct"/>
            <w:shd w:val="clear" w:color="auto" w:fill="4E81BD"/>
            <w:vAlign w:val="center"/>
          </w:tcPr>
          <w:p w14:paraId="62D409C6" w14:textId="659DC5DC" w:rsidR="00205AAE" w:rsidRPr="00EE43C6" w:rsidRDefault="00205AAE" w:rsidP="00B625EB">
            <w:pPr>
              <w:spacing w:before="0" w:after="0" w:line="240" w:lineRule="auto"/>
              <w:jc w:val="center"/>
              <w:rPr>
                <w:rFonts w:cs="Wingdings"/>
                <w:b/>
                <w:bCs/>
                <w:color w:val="FFFFFF" w:themeColor="background1"/>
                <w:sz w:val="18"/>
                <w:szCs w:val="16"/>
              </w:rPr>
            </w:pPr>
            <w:r w:rsidRPr="00EE43C6">
              <w:rPr>
                <w:rFonts w:cs="Wingdings"/>
                <w:b/>
                <w:bCs/>
                <w:color w:val="FFFFFF" w:themeColor="background1"/>
                <w:sz w:val="18"/>
                <w:szCs w:val="16"/>
              </w:rPr>
              <w:t>Unit</w:t>
            </w:r>
          </w:p>
        </w:tc>
        <w:tc>
          <w:tcPr>
            <w:tcW w:w="738" w:type="pct"/>
            <w:shd w:val="clear" w:color="auto" w:fill="4E81BD"/>
            <w:vAlign w:val="center"/>
          </w:tcPr>
          <w:p w14:paraId="7B87DC26" w14:textId="050B4AD6" w:rsidR="00260DD5" w:rsidRPr="00EE43C6" w:rsidRDefault="00CB6B1B" w:rsidP="00B625EB">
            <w:pPr>
              <w:spacing w:before="0" w:after="0" w:line="240" w:lineRule="auto"/>
              <w:jc w:val="center"/>
              <w:rPr>
                <w:rFonts w:cs="Wingdings"/>
                <w:b/>
                <w:bCs/>
                <w:color w:val="FFFFFF" w:themeColor="background1"/>
                <w:sz w:val="18"/>
                <w:szCs w:val="16"/>
              </w:rPr>
            </w:pPr>
            <w:r w:rsidRPr="00EE43C6">
              <w:rPr>
                <w:rFonts w:cs="Wingdings"/>
                <w:b/>
                <w:bCs/>
                <w:color w:val="FFFFFF" w:themeColor="background1"/>
                <w:sz w:val="18"/>
                <w:szCs w:val="16"/>
              </w:rPr>
              <w:t>Air Quality</w:t>
            </w:r>
            <w:r w:rsidR="00D62068" w:rsidRPr="00EE43C6">
              <w:rPr>
                <w:rFonts w:cs="Wingdings"/>
                <w:b/>
                <w:bCs/>
                <w:color w:val="FFFFFF" w:themeColor="background1"/>
                <w:sz w:val="18"/>
                <w:szCs w:val="16"/>
              </w:rPr>
              <w:t xml:space="preserve"> </w:t>
            </w:r>
            <w:r w:rsidR="00205AAE" w:rsidRPr="00EE43C6">
              <w:rPr>
                <w:rFonts w:cs="Wingdings"/>
                <w:b/>
                <w:bCs/>
                <w:color w:val="FFFFFF" w:themeColor="background1"/>
                <w:sz w:val="18"/>
                <w:szCs w:val="16"/>
              </w:rPr>
              <w:t>Limit Values</w:t>
            </w:r>
            <w:r w:rsidR="00260DD5" w:rsidRPr="00EE43C6">
              <w:rPr>
                <w:rFonts w:cs="Wingdings"/>
                <w:b/>
                <w:bCs/>
                <w:color w:val="FFFFFF" w:themeColor="background1"/>
                <w:sz w:val="18"/>
                <w:szCs w:val="16"/>
              </w:rPr>
              <w:t xml:space="preserve"> in the RoCIAP </w:t>
            </w:r>
          </w:p>
        </w:tc>
        <w:tc>
          <w:tcPr>
            <w:tcW w:w="928" w:type="pct"/>
            <w:shd w:val="clear" w:color="auto" w:fill="4E81BD"/>
            <w:vAlign w:val="center"/>
          </w:tcPr>
          <w:p w14:paraId="13710BD7" w14:textId="77777777" w:rsidR="00260DD5" w:rsidRPr="00EE43C6" w:rsidRDefault="00260DD5" w:rsidP="00B625EB">
            <w:pPr>
              <w:spacing w:before="0" w:after="0" w:line="240" w:lineRule="auto"/>
              <w:jc w:val="center"/>
              <w:rPr>
                <w:rFonts w:cs="Wingdings"/>
                <w:b/>
                <w:bCs/>
                <w:color w:val="FFFFFF" w:themeColor="background1"/>
                <w:sz w:val="18"/>
                <w:szCs w:val="16"/>
              </w:rPr>
            </w:pPr>
            <w:r w:rsidRPr="00EE43C6">
              <w:rPr>
                <w:rFonts w:cs="Wingdings"/>
                <w:b/>
                <w:bCs/>
                <w:color w:val="FFFFFF" w:themeColor="background1"/>
                <w:sz w:val="18"/>
                <w:szCs w:val="16"/>
              </w:rPr>
              <w:t>Air Quality Lim</w:t>
            </w:r>
            <w:r w:rsidR="00D62068" w:rsidRPr="00EE43C6">
              <w:rPr>
                <w:rFonts w:cs="Wingdings"/>
                <w:b/>
                <w:bCs/>
                <w:color w:val="FFFFFF" w:themeColor="background1"/>
                <w:sz w:val="18"/>
                <w:szCs w:val="16"/>
              </w:rPr>
              <w:t>it Values</w:t>
            </w:r>
            <w:r w:rsidRPr="00EE43C6">
              <w:rPr>
                <w:rFonts w:cs="Wingdings"/>
                <w:b/>
                <w:bCs/>
                <w:color w:val="FFFFFF" w:themeColor="background1"/>
                <w:sz w:val="18"/>
                <w:szCs w:val="16"/>
              </w:rPr>
              <w:t xml:space="preserve"> in the</w:t>
            </w:r>
          </w:p>
          <w:p w14:paraId="23DF79A4" w14:textId="5602D8A1" w:rsidR="00205AAE" w:rsidRPr="00EE43C6" w:rsidRDefault="00260DD5" w:rsidP="00B625EB">
            <w:pPr>
              <w:spacing w:before="0" w:after="0" w:line="240" w:lineRule="auto"/>
              <w:jc w:val="center"/>
              <w:rPr>
                <w:rFonts w:cs="Wingdings"/>
                <w:b/>
                <w:bCs/>
                <w:color w:val="FFFFFF" w:themeColor="background1"/>
                <w:sz w:val="18"/>
                <w:szCs w:val="16"/>
              </w:rPr>
            </w:pPr>
            <w:r w:rsidRPr="00EE43C6">
              <w:rPr>
                <w:rFonts w:cs="Wingdings"/>
                <w:b/>
                <w:bCs/>
                <w:color w:val="FFFFFF" w:themeColor="background1"/>
                <w:sz w:val="18"/>
                <w:szCs w:val="16"/>
              </w:rPr>
              <w:t>IFC EHS Guidelines’</w:t>
            </w:r>
          </w:p>
        </w:tc>
        <w:tc>
          <w:tcPr>
            <w:tcW w:w="1000" w:type="pct"/>
            <w:shd w:val="clear" w:color="auto" w:fill="4E81BD"/>
          </w:tcPr>
          <w:p w14:paraId="19CDDEA8" w14:textId="3F7577DD" w:rsidR="00205AAE" w:rsidRPr="00EE43C6" w:rsidRDefault="00205AAE" w:rsidP="00B625EB">
            <w:pPr>
              <w:spacing w:before="0" w:after="0" w:line="240" w:lineRule="auto"/>
              <w:jc w:val="center"/>
              <w:rPr>
                <w:rFonts w:cs="Wingdings"/>
                <w:b/>
                <w:bCs/>
                <w:color w:val="FFFFFF" w:themeColor="background1"/>
                <w:sz w:val="18"/>
                <w:szCs w:val="16"/>
              </w:rPr>
            </w:pPr>
            <w:r w:rsidRPr="00EE43C6">
              <w:rPr>
                <w:rFonts w:cs="Wingdings"/>
                <w:b/>
                <w:bCs/>
                <w:color w:val="FFFFFF" w:themeColor="background1"/>
                <w:sz w:val="18"/>
                <w:szCs w:val="16"/>
              </w:rPr>
              <w:t xml:space="preserve">Calculated </w:t>
            </w:r>
            <w:r w:rsidR="00D62068" w:rsidRPr="00EE43C6">
              <w:rPr>
                <w:rFonts w:cs="Wingdings"/>
                <w:b/>
                <w:bCs/>
                <w:color w:val="FFFFFF" w:themeColor="background1"/>
                <w:sz w:val="18"/>
                <w:szCs w:val="16"/>
              </w:rPr>
              <w:t xml:space="preserve">Emission </w:t>
            </w:r>
            <w:r w:rsidRPr="00EE43C6">
              <w:rPr>
                <w:rFonts w:cs="Wingdings"/>
                <w:b/>
                <w:bCs/>
                <w:color w:val="FFFFFF" w:themeColor="background1"/>
                <w:sz w:val="18"/>
                <w:szCs w:val="16"/>
              </w:rPr>
              <w:t>Values in Modelling Study</w:t>
            </w:r>
          </w:p>
        </w:tc>
      </w:tr>
      <w:tr w:rsidR="00205AAE" w:rsidRPr="00EE43C6" w14:paraId="7D3EB80D" w14:textId="6C966949" w:rsidTr="001E0229">
        <w:tc>
          <w:tcPr>
            <w:tcW w:w="706" w:type="pct"/>
            <w:vMerge w:val="restart"/>
            <w:vAlign w:val="center"/>
          </w:tcPr>
          <w:p w14:paraId="25F12956" w14:textId="422A3ACE" w:rsidR="00205AAE" w:rsidRPr="00EE43C6" w:rsidRDefault="00205AAE" w:rsidP="00B625EB">
            <w:pPr>
              <w:spacing w:before="0" w:after="0" w:line="240" w:lineRule="auto"/>
              <w:jc w:val="left"/>
              <w:rPr>
                <w:rFonts w:cs="Wingdings"/>
                <w:sz w:val="18"/>
                <w:szCs w:val="16"/>
              </w:rPr>
            </w:pPr>
            <w:r w:rsidRPr="00EE43C6">
              <w:rPr>
                <w:rFonts w:cs="Wingdings"/>
                <w:sz w:val="18"/>
                <w:szCs w:val="16"/>
              </w:rPr>
              <w:t>PM</w:t>
            </w:r>
            <w:r w:rsidRPr="00EE43C6">
              <w:rPr>
                <w:rFonts w:cs="Wingdings"/>
                <w:sz w:val="18"/>
                <w:szCs w:val="16"/>
                <w:vertAlign w:val="subscript"/>
              </w:rPr>
              <w:t>10</w:t>
            </w:r>
          </w:p>
        </w:tc>
        <w:tc>
          <w:tcPr>
            <w:tcW w:w="1074" w:type="pct"/>
            <w:vAlign w:val="center"/>
          </w:tcPr>
          <w:p w14:paraId="2FCB883B" w14:textId="33012A65" w:rsidR="00205AAE" w:rsidRPr="00EE43C6" w:rsidRDefault="00205AAE" w:rsidP="00B625EB">
            <w:pPr>
              <w:spacing w:before="0" w:after="0" w:line="240" w:lineRule="auto"/>
              <w:jc w:val="center"/>
              <w:rPr>
                <w:rFonts w:cs="Wingdings"/>
                <w:sz w:val="18"/>
                <w:szCs w:val="16"/>
              </w:rPr>
            </w:pPr>
            <w:r w:rsidRPr="00EE43C6">
              <w:rPr>
                <w:rFonts w:cs="Wingdings"/>
                <w:sz w:val="18"/>
                <w:szCs w:val="16"/>
              </w:rPr>
              <w:t>24 hours</w:t>
            </w:r>
          </w:p>
        </w:tc>
        <w:tc>
          <w:tcPr>
            <w:tcW w:w="553" w:type="pct"/>
            <w:vMerge w:val="restart"/>
            <w:vAlign w:val="center"/>
          </w:tcPr>
          <w:p w14:paraId="2E361DEB" w14:textId="143734D8" w:rsidR="00205AAE" w:rsidRPr="00EE43C6" w:rsidRDefault="00205AAE" w:rsidP="00B625EB">
            <w:pPr>
              <w:spacing w:before="0" w:after="0" w:line="240" w:lineRule="auto"/>
              <w:jc w:val="center"/>
              <w:rPr>
                <w:rFonts w:cs="Wingdings"/>
                <w:sz w:val="18"/>
                <w:szCs w:val="16"/>
              </w:rPr>
            </w:pPr>
            <w:r w:rsidRPr="00EE43C6">
              <w:rPr>
                <w:rFonts w:cs="Wingdings"/>
                <w:sz w:val="18"/>
                <w:szCs w:val="16"/>
              </w:rPr>
              <w:t>µg/m</w:t>
            </w:r>
            <w:r w:rsidRPr="00EE43C6">
              <w:rPr>
                <w:rFonts w:cs="Wingdings"/>
                <w:sz w:val="18"/>
                <w:szCs w:val="16"/>
                <w:vertAlign w:val="superscript"/>
              </w:rPr>
              <w:t>3</w:t>
            </w:r>
          </w:p>
        </w:tc>
        <w:tc>
          <w:tcPr>
            <w:tcW w:w="738" w:type="pct"/>
            <w:vAlign w:val="center"/>
          </w:tcPr>
          <w:p w14:paraId="6D269C15" w14:textId="7972064C" w:rsidR="00F06B0A" w:rsidRPr="00EE43C6" w:rsidRDefault="00205AAE" w:rsidP="00B625EB">
            <w:pPr>
              <w:spacing w:before="0" w:after="0" w:line="240" w:lineRule="auto"/>
              <w:jc w:val="center"/>
              <w:rPr>
                <w:rFonts w:cs="Wingdings"/>
                <w:sz w:val="18"/>
                <w:szCs w:val="16"/>
                <w:vertAlign w:val="superscript"/>
              </w:rPr>
            </w:pPr>
            <w:r w:rsidRPr="00EE43C6">
              <w:rPr>
                <w:rFonts w:cs="Wingdings"/>
                <w:sz w:val="18"/>
                <w:szCs w:val="16"/>
              </w:rPr>
              <w:t>50</w:t>
            </w:r>
            <w:r w:rsidR="00DE0AF3" w:rsidRPr="00EE43C6">
              <w:rPr>
                <w:rFonts w:cs="Wingdings"/>
                <w:sz w:val="18"/>
                <w:szCs w:val="16"/>
                <w:vertAlign w:val="superscript"/>
              </w:rPr>
              <w:t>1</w:t>
            </w:r>
          </w:p>
        </w:tc>
        <w:tc>
          <w:tcPr>
            <w:tcW w:w="928" w:type="pct"/>
            <w:vAlign w:val="center"/>
          </w:tcPr>
          <w:p w14:paraId="38822A9B" w14:textId="6C6540E6" w:rsidR="00205AAE" w:rsidRPr="00EE43C6" w:rsidRDefault="005474D4" w:rsidP="00B625EB">
            <w:pPr>
              <w:spacing w:before="0" w:after="0" w:line="240" w:lineRule="auto"/>
              <w:jc w:val="center"/>
              <w:rPr>
                <w:rFonts w:cs="Wingdings"/>
                <w:sz w:val="18"/>
                <w:szCs w:val="16"/>
                <w:vertAlign w:val="superscript"/>
              </w:rPr>
            </w:pPr>
            <w:r w:rsidRPr="00EE43C6">
              <w:rPr>
                <w:rFonts w:cs="Wingdings"/>
                <w:sz w:val="18"/>
                <w:szCs w:val="16"/>
              </w:rPr>
              <w:t>50</w:t>
            </w:r>
            <w:r w:rsidR="00DE0AF3" w:rsidRPr="00EE43C6">
              <w:rPr>
                <w:rFonts w:cs="Wingdings"/>
                <w:sz w:val="18"/>
                <w:szCs w:val="16"/>
                <w:vertAlign w:val="superscript"/>
              </w:rPr>
              <w:t>2</w:t>
            </w:r>
          </w:p>
        </w:tc>
        <w:tc>
          <w:tcPr>
            <w:tcW w:w="1000" w:type="pct"/>
          </w:tcPr>
          <w:p w14:paraId="0468FB34" w14:textId="1B3417CF" w:rsidR="00205AAE" w:rsidRPr="00EE43C6" w:rsidRDefault="00205AAE" w:rsidP="00B625EB">
            <w:pPr>
              <w:spacing w:before="0" w:after="0" w:line="240" w:lineRule="auto"/>
              <w:jc w:val="center"/>
              <w:rPr>
                <w:rFonts w:cs="Wingdings"/>
                <w:sz w:val="18"/>
                <w:szCs w:val="16"/>
              </w:rPr>
            </w:pPr>
            <w:r w:rsidRPr="00EE43C6">
              <w:rPr>
                <w:rFonts w:cs="Wingdings"/>
                <w:sz w:val="18"/>
                <w:szCs w:val="16"/>
                <w:u w:val="single"/>
              </w:rPr>
              <w:t>Scenario 1</w:t>
            </w:r>
            <w:r w:rsidRPr="00EE43C6">
              <w:rPr>
                <w:rFonts w:cs="Wingdings"/>
                <w:sz w:val="18"/>
                <w:szCs w:val="16"/>
              </w:rPr>
              <w:t>: 192</w:t>
            </w:r>
          </w:p>
          <w:p w14:paraId="294538EE" w14:textId="77777777" w:rsidR="00205AAE" w:rsidRPr="00EE43C6" w:rsidRDefault="00205AAE" w:rsidP="00B625EB">
            <w:pPr>
              <w:spacing w:before="0" w:after="0" w:line="240" w:lineRule="auto"/>
              <w:jc w:val="center"/>
              <w:rPr>
                <w:rFonts w:cs="Wingdings"/>
                <w:sz w:val="18"/>
                <w:szCs w:val="16"/>
              </w:rPr>
            </w:pPr>
            <w:r w:rsidRPr="00EE43C6">
              <w:rPr>
                <w:rFonts w:cs="Wingdings"/>
                <w:sz w:val="18"/>
                <w:szCs w:val="16"/>
              </w:rPr>
              <w:t>exceeded 29 times</w:t>
            </w:r>
          </w:p>
          <w:p w14:paraId="52AFC16A" w14:textId="5FA5BD6E" w:rsidR="00205AAE" w:rsidRPr="00EE43C6" w:rsidRDefault="00205AAE" w:rsidP="00B625EB">
            <w:pPr>
              <w:spacing w:before="0" w:after="0" w:line="240" w:lineRule="auto"/>
              <w:jc w:val="center"/>
              <w:rPr>
                <w:rFonts w:cs="Wingdings"/>
                <w:sz w:val="18"/>
                <w:szCs w:val="16"/>
              </w:rPr>
            </w:pPr>
            <w:r w:rsidRPr="00EE43C6">
              <w:rPr>
                <w:rFonts w:cs="Wingdings"/>
                <w:sz w:val="18"/>
                <w:szCs w:val="16"/>
                <w:u w:val="single"/>
              </w:rPr>
              <w:t>Scenario 2:</w:t>
            </w:r>
            <w:r w:rsidRPr="00EE43C6">
              <w:rPr>
                <w:rFonts w:cs="Wingdings"/>
                <w:sz w:val="18"/>
                <w:szCs w:val="16"/>
              </w:rPr>
              <w:t xml:space="preserve"> 193</w:t>
            </w:r>
          </w:p>
          <w:p w14:paraId="6151F99F" w14:textId="00E92752" w:rsidR="00205AAE" w:rsidRPr="00EE43C6" w:rsidRDefault="00205AAE" w:rsidP="00B625EB">
            <w:pPr>
              <w:spacing w:before="0" w:after="0" w:line="240" w:lineRule="auto"/>
              <w:jc w:val="center"/>
              <w:rPr>
                <w:rFonts w:cs="Wingdings"/>
                <w:sz w:val="18"/>
                <w:szCs w:val="16"/>
              </w:rPr>
            </w:pPr>
            <w:r w:rsidRPr="00EE43C6">
              <w:rPr>
                <w:rFonts w:cs="Wingdings"/>
                <w:sz w:val="18"/>
                <w:szCs w:val="16"/>
              </w:rPr>
              <w:t>exceeded 29 times</w:t>
            </w:r>
          </w:p>
        </w:tc>
      </w:tr>
      <w:tr w:rsidR="00205AAE" w:rsidRPr="00EE43C6" w14:paraId="66E5E2F3" w14:textId="1C71B42E" w:rsidTr="001E0229">
        <w:tc>
          <w:tcPr>
            <w:tcW w:w="706" w:type="pct"/>
            <w:vMerge/>
            <w:vAlign w:val="center"/>
          </w:tcPr>
          <w:p w14:paraId="6A27D69D" w14:textId="77777777" w:rsidR="00205AAE" w:rsidRPr="00EE43C6" w:rsidRDefault="00205AAE" w:rsidP="00B625EB">
            <w:pPr>
              <w:spacing w:before="0" w:after="0" w:line="240" w:lineRule="auto"/>
              <w:jc w:val="left"/>
              <w:rPr>
                <w:rFonts w:cs="Wingdings"/>
                <w:sz w:val="18"/>
                <w:szCs w:val="16"/>
              </w:rPr>
            </w:pPr>
          </w:p>
        </w:tc>
        <w:tc>
          <w:tcPr>
            <w:tcW w:w="1074" w:type="pct"/>
            <w:vAlign w:val="center"/>
          </w:tcPr>
          <w:p w14:paraId="156123AC" w14:textId="6F354106" w:rsidR="00205AAE" w:rsidRPr="00EE43C6" w:rsidRDefault="00205AAE" w:rsidP="00B625EB">
            <w:pPr>
              <w:spacing w:before="0" w:after="0" w:line="240" w:lineRule="auto"/>
              <w:jc w:val="center"/>
              <w:rPr>
                <w:rFonts w:cs="Wingdings"/>
                <w:sz w:val="18"/>
                <w:szCs w:val="16"/>
              </w:rPr>
            </w:pPr>
            <w:r w:rsidRPr="00EE43C6">
              <w:rPr>
                <w:rFonts w:cs="Wingdings"/>
                <w:sz w:val="18"/>
                <w:szCs w:val="16"/>
              </w:rPr>
              <w:t>Annual</w:t>
            </w:r>
          </w:p>
        </w:tc>
        <w:tc>
          <w:tcPr>
            <w:tcW w:w="553" w:type="pct"/>
            <w:vMerge/>
            <w:vAlign w:val="center"/>
          </w:tcPr>
          <w:p w14:paraId="4AA240C5" w14:textId="77777777" w:rsidR="00205AAE" w:rsidRPr="00EE43C6" w:rsidRDefault="00205AAE" w:rsidP="00B625EB">
            <w:pPr>
              <w:spacing w:before="0" w:after="0" w:line="240" w:lineRule="auto"/>
              <w:jc w:val="center"/>
              <w:rPr>
                <w:rFonts w:cs="Wingdings"/>
                <w:sz w:val="18"/>
                <w:szCs w:val="16"/>
              </w:rPr>
            </w:pPr>
          </w:p>
        </w:tc>
        <w:tc>
          <w:tcPr>
            <w:tcW w:w="738" w:type="pct"/>
            <w:vAlign w:val="center"/>
          </w:tcPr>
          <w:p w14:paraId="4D9BA3C0" w14:textId="06BC7E3D" w:rsidR="00205AAE" w:rsidRPr="00EE43C6" w:rsidRDefault="00205AAE" w:rsidP="00B625EB">
            <w:pPr>
              <w:spacing w:before="0" w:after="0" w:line="240" w:lineRule="auto"/>
              <w:jc w:val="center"/>
              <w:rPr>
                <w:rFonts w:cs="Wingdings"/>
                <w:sz w:val="18"/>
                <w:szCs w:val="16"/>
              </w:rPr>
            </w:pPr>
            <w:r w:rsidRPr="00EE43C6">
              <w:rPr>
                <w:rFonts w:cs="Wingdings"/>
                <w:sz w:val="18"/>
                <w:szCs w:val="16"/>
              </w:rPr>
              <w:t>40</w:t>
            </w:r>
          </w:p>
        </w:tc>
        <w:tc>
          <w:tcPr>
            <w:tcW w:w="928" w:type="pct"/>
            <w:vAlign w:val="center"/>
          </w:tcPr>
          <w:p w14:paraId="08D548B9" w14:textId="36D343C0" w:rsidR="00205AAE" w:rsidRPr="00EE43C6" w:rsidRDefault="005474D4" w:rsidP="00B625EB">
            <w:pPr>
              <w:spacing w:before="0" w:after="0" w:line="240" w:lineRule="auto"/>
              <w:jc w:val="center"/>
              <w:rPr>
                <w:rFonts w:cs="Wingdings"/>
                <w:sz w:val="18"/>
                <w:szCs w:val="16"/>
              </w:rPr>
            </w:pPr>
            <w:r w:rsidRPr="00EE43C6">
              <w:rPr>
                <w:rFonts w:cs="Wingdings"/>
                <w:sz w:val="18"/>
                <w:szCs w:val="16"/>
              </w:rPr>
              <w:t>20</w:t>
            </w:r>
          </w:p>
        </w:tc>
        <w:tc>
          <w:tcPr>
            <w:tcW w:w="1000" w:type="pct"/>
          </w:tcPr>
          <w:p w14:paraId="689D5737" w14:textId="54E5A419" w:rsidR="00205AAE" w:rsidRPr="00EE43C6" w:rsidRDefault="00205AAE" w:rsidP="00B625EB">
            <w:pPr>
              <w:spacing w:before="0" w:after="0" w:line="240" w:lineRule="auto"/>
              <w:jc w:val="center"/>
              <w:rPr>
                <w:rFonts w:cs="Wingdings"/>
                <w:sz w:val="18"/>
                <w:szCs w:val="16"/>
                <w:u w:val="single"/>
              </w:rPr>
            </w:pPr>
            <w:r w:rsidRPr="00EE43C6">
              <w:rPr>
                <w:rFonts w:cs="Wingdings"/>
                <w:sz w:val="18"/>
                <w:szCs w:val="16"/>
                <w:u w:val="single"/>
              </w:rPr>
              <w:t>Scenario 1:</w:t>
            </w:r>
            <w:r w:rsidRPr="00EE43C6">
              <w:rPr>
                <w:rFonts w:cs="Wingdings"/>
                <w:sz w:val="18"/>
                <w:szCs w:val="16"/>
              </w:rPr>
              <w:t xml:space="preserve"> 25</w:t>
            </w:r>
          </w:p>
          <w:p w14:paraId="5119FE5C" w14:textId="634137BD" w:rsidR="00205AAE" w:rsidRPr="00EE43C6" w:rsidRDefault="00205AAE" w:rsidP="00B625EB">
            <w:pPr>
              <w:spacing w:before="0" w:after="0" w:line="240" w:lineRule="auto"/>
              <w:jc w:val="center"/>
              <w:rPr>
                <w:rFonts w:cs="Wingdings"/>
                <w:sz w:val="18"/>
                <w:szCs w:val="16"/>
                <w:u w:val="single"/>
              </w:rPr>
            </w:pPr>
            <w:r w:rsidRPr="00EE43C6">
              <w:rPr>
                <w:rFonts w:cs="Wingdings"/>
                <w:sz w:val="18"/>
                <w:szCs w:val="16"/>
                <w:u w:val="single"/>
              </w:rPr>
              <w:t>Scenario 2:</w:t>
            </w:r>
            <w:r w:rsidRPr="00EE43C6">
              <w:rPr>
                <w:rFonts w:cs="Wingdings"/>
                <w:sz w:val="18"/>
                <w:szCs w:val="16"/>
              </w:rPr>
              <w:t xml:space="preserve"> 26</w:t>
            </w:r>
          </w:p>
        </w:tc>
      </w:tr>
      <w:tr w:rsidR="00205AAE" w:rsidRPr="00EE43C6" w14:paraId="4548824E" w14:textId="33E9BE92" w:rsidTr="001E0229">
        <w:tc>
          <w:tcPr>
            <w:tcW w:w="706" w:type="pct"/>
            <w:vMerge w:val="restart"/>
            <w:vAlign w:val="center"/>
          </w:tcPr>
          <w:p w14:paraId="1C407B31" w14:textId="5A02CBA5" w:rsidR="00205AAE" w:rsidRPr="00EE43C6" w:rsidRDefault="00205AAE" w:rsidP="00B625EB">
            <w:pPr>
              <w:spacing w:before="0" w:after="0" w:line="240" w:lineRule="auto"/>
              <w:jc w:val="left"/>
              <w:rPr>
                <w:rFonts w:cs="Wingdings"/>
                <w:sz w:val="18"/>
                <w:szCs w:val="16"/>
              </w:rPr>
            </w:pPr>
            <w:r w:rsidRPr="00EE43C6">
              <w:rPr>
                <w:rFonts w:cs="Wingdings"/>
                <w:sz w:val="18"/>
                <w:szCs w:val="16"/>
              </w:rPr>
              <w:t>Settling Dust</w:t>
            </w:r>
          </w:p>
        </w:tc>
        <w:tc>
          <w:tcPr>
            <w:tcW w:w="1074" w:type="pct"/>
            <w:vAlign w:val="center"/>
          </w:tcPr>
          <w:p w14:paraId="70C2C464" w14:textId="1766FC83" w:rsidR="00205AAE" w:rsidRPr="00EE43C6" w:rsidRDefault="00205AAE" w:rsidP="00B625EB">
            <w:pPr>
              <w:spacing w:before="0" w:after="0" w:line="240" w:lineRule="auto"/>
              <w:jc w:val="center"/>
              <w:rPr>
                <w:rFonts w:cs="Wingdings"/>
                <w:sz w:val="18"/>
                <w:szCs w:val="16"/>
              </w:rPr>
            </w:pPr>
            <w:r w:rsidRPr="00EE43C6">
              <w:rPr>
                <w:rFonts w:cs="Wingdings"/>
                <w:sz w:val="18"/>
                <w:szCs w:val="16"/>
              </w:rPr>
              <w:t>Short Term Limit Value</w:t>
            </w:r>
          </w:p>
        </w:tc>
        <w:tc>
          <w:tcPr>
            <w:tcW w:w="553" w:type="pct"/>
            <w:vMerge w:val="restart"/>
            <w:vAlign w:val="center"/>
          </w:tcPr>
          <w:p w14:paraId="7AF51601" w14:textId="6D6A9237" w:rsidR="00205AAE" w:rsidRPr="00EE43C6" w:rsidRDefault="00205AAE" w:rsidP="00B625EB">
            <w:pPr>
              <w:spacing w:before="0" w:after="0" w:line="240" w:lineRule="auto"/>
              <w:jc w:val="center"/>
              <w:rPr>
                <w:rFonts w:cs="Wingdings"/>
                <w:sz w:val="18"/>
                <w:szCs w:val="16"/>
              </w:rPr>
            </w:pPr>
            <w:r w:rsidRPr="00EE43C6">
              <w:rPr>
                <w:rFonts w:cs="Wingdings"/>
                <w:sz w:val="18"/>
                <w:szCs w:val="16"/>
              </w:rPr>
              <w:t>mg/m</w:t>
            </w:r>
            <w:r w:rsidRPr="00EE43C6">
              <w:rPr>
                <w:rFonts w:cs="Wingdings"/>
                <w:sz w:val="18"/>
                <w:szCs w:val="16"/>
                <w:vertAlign w:val="superscript"/>
              </w:rPr>
              <w:t>2</w:t>
            </w:r>
            <w:r w:rsidRPr="00EE43C6">
              <w:rPr>
                <w:rFonts w:cs="Wingdings"/>
                <w:sz w:val="18"/>
                <w:szCs w:val="16"/>
              </w:rPr>
              <w:t>gün</w:t>
            </w:r>
          </w:p>
        </w:tc>
        <w:tc>
          <w:tcPr>
            <w:tcW w:w="738" w:type="pct"/>
            <w:vAlign w:val="center"/>
          </w:tcPr>
          <w:p w14:paraId="275A10F0" w14:textId="338DF5B1" w:rsidR="00205AAE" w:rsidRPr="00EE43C6" w:rsidRDefault="00205AAE" w:rsidP="00B625EB">
            <w:pPr>
              <w:spacing w:before="0" w:after="0" w:line="240" w:lineRule="auto"/>
              <w:jc w:val="center"/>
              <w:rPr>
                <w:rFonts w:cs="Wingdings"/>
                <w:sz w:val="18"/>
                <w:szCs w:val="16"/>
              </w:rPr>
            </w:pPr>
            <w:r w:rsidRPr="00EE43C6">
              <w:rPr>
                <w:rFonts w:cs="Wingdings"/>
                <w:sz w:val="18"/>
                <w:szCs w:val="16"/>
              </w:rPr>
              <w:t>390</w:t>
            </w:r>
          </w:p>
        </w:tc>
        <w:tc>
          <w:tcPr>
            <w:tcW w:w="928" w:type="pct"/>
            <w:vAlign w:val="center"/>
          </w:tcPr>
          <w:p w14:paraId="6A090D44" w14:textId="61DAE906" w:rsidR="00205AAE" w:rsidRPr="00EE43C6" w:rsidRDefault="005474D4" w:rsidP="00B625EB">
            <w:pPr>
              <w:spacing w:before="0" w:after="0" w:line="240" w:lineRule="auto"/>
              <w:jc w:val="center"/>
              <w:rPr>
                <w:rFonts w:cs="Wingdings"/>
                <w:sz w:val="18"/>
                <w:szCs w:val="16"/>
              </w:rPr>
            </w:pPr>
            <w:r w:rsidRPr="00EE43C6">
              <w:rPr>
                <w:rFonts w:cs="Wingdings"/>
                <w:sz w:val="18"/>
                <w:szCs w:val="16"/>
              </w:rPr>
              <w:t>-</w:t>
            </w:r>
          </w:p>
        </w:tc>
        <w:tc>
          <w:tcPr>
            <w:tcW w:w="1000" w:type="pct"/>
          </w:tcPr>
          <w:p w14:paraId="39D765B6" w14:textId="6B8BB76F" w:rsidR="00205AAE" w:rsidRPr="00EE43C6" w:rsidRDefault="00205AAE" w:rsidP="00B625EB">
            <w:pPr>
              <w:spacing w:before="0" w:after="0" w:line="240" w:lineRule="auto"/>
              <w:jc w:val="center"/>
              <w:rPr>
                <w:rFonts w:cs="Wingdings"/>
                <w:sz w:val="18"/>
                <w:szCs w:val="16"/>
              </w:rPr>
            </w:pPr>
            <w:r w:rsidRPr="00EE43C6">
              <w:rPr>
                <w:rFonts w:cs="Wingdings"/>
                <w:sz w:val="18"/>
                <w:szCs w:val="16"/>
                <w:u w:val="single"/>
              </w:rPr>
              <w:t>Scenario 1:</w:t>
            </w:r>
            <w:r w:rsidRPr="00EE43C6">
              <w:rPr>
                <w:rFonts w:cs="Wingdings"/>
                <w:sz w:val="18"/>
                <w:szCs w:val="16"/>
              </w:rPr>
              <w:t xml:space="preserve"> 209</w:t>
            </w:r>
          </w:p>
          <w:p w14:paraId="2940A754" w14:textId="50D5CB5A" w:rsidR="00205AAE" w:rsidRPr="00EE43C6" w:rsidRDefault="00205AAE" w:rsidP="00B625EB">
            <w:pPr>
              <w:spacing w:before="0" w:after="0" w:line="240" w:lineRule="auto"/>
              <w:jc w:val="center"/>
              <w:rPr>
                <w:rFonts w:cs="Wingdings"/>
                <w:sz w:val="18"/>
                <w:szCs w:val="16"/>
              </w:rPr>
            </w:pPr>
            <w:r w:rsidRPr="00EE43C6">
              <w:rPr>
                <w:rFonts w:cs="Wingdings"/>
                <w:sz w:val="18"/>
                <w:szCs w:val="16"/>
                <w:u w:val="single"/>
              </w:rPr>
              <w:t>Scenario 2</w:t>
            </w:r>
            <w:r w:rsidRPr="00EE43C6">
              <w:rPr>
                <w:rFonts w:cs="Wingdings"/>
                <w:sz w:val="18"/>
                <w:szCs w:val="16"/>
              </w:rPr>
              <w:t>:  209</w:t>
            </w:r>
          </w:p>
        </w:tc>
      </w:tr>
      <w:tr w:rsidR="00205AAE" w:rsidRPr="00EE43C6" w14:paraId="1DD504D9" w14:textId="5BECF2DA" w:rsidTr="001E0229">
        <w:tc>
          <w:tcPr>
            <w:tcW w:w="706" w:type="pct"/>
            <w:vMerge/>
            <w:vAlign w:val="center"/>
          </w:tcPr>
          <w:p w14:paraId="09BBD03E" w14:textId="77777777" w:rsidR="00205AAE" w:rsidRPr="00EE43C6" w:rsidRDefault="00205AAE" w:rsidP="00B625EB">
            <w:pPr>
              <w:spacing w:before="0" w:after="0" w:line="240" w:lineRule="auto"/>
              <w:jc w:val="center"/>
              <w:rPr>
                <w:rFonts w:cs="Wingdings"/>
                <w:sz w:val="18"/>
                <w:szCs w:val="16"/>
              </w:rPr>
            </w:pPr>
          </w:p>
        </w:tc>
        <w:tc>
          <w:tcPr>
            <w:tcW w:w="1074" w:type="pct"/>
            <w:vAlign w:val="center"/>
          </w:tcPr>
          <w:p w14:paraId="05308F34" w14:textId="20F09106" w:rsidR="00205AAE" w:rsidRPr="00EE43C6" w:rsidRDefault="00205AAE" w:rsidP="00B625EB">
            <w:pPr>
              <w:spacing w:before="0" w:after="0" w:line="240" w:lineRule="auto"/>
              <w:jc w:val="center"/>
              <w:rPr>
                <w:rFonts w:cs="Wingdings"/>
                <w:sz w:val="18"/>
                <w:szCs w:val="16"/>
              </w:rPr>
            </w:pPr>
            <w:r w:rsidRPr="00EE43C6">
              <w:rPr>
                <w:rFonts w:cs="Wingdings"/>
                <w:sz w:val="18"/>
                <w:szCs w:val="16"/>
              </w:rPr>
              <w:t>Long Term Limit Value</w:t>
            </w:r>
          </w:p>
        </w:tc>
        <w:tc>
          <w:tcPr>
            <w:tcW w:w="553" w:type="pct"/>
            <w:vMerge/>
            <w:vAlign w:val="center"/>
          </w:tcPr>
          <w:p w14:paraId="32F2659B" w14:textId="77777777" w:rsidR="00205AAE" w:rsidRPr="00EE43C6" w:rsidRDefault="00205AAE" w:rsidP="00B625EB">
            <w:pPr>
              <w:spacing w:before="0" w:after="0" w:line="240" w:lineRule="auto"/>
              <w:jc w:val="center"/>
              <w:rPr>
                <w:rFonts w:cs="Wingdings"/>
                <w:sz w:val="18"/>
                <w:szCs w:val="16"/>
              </w:rPr>
            </w:pPr>
          </w:p>
        </w:tc>
        <w:tc>
          <w:tcPr>
            <w:tcW w:w="738" w:type="pct"/>
            <w:vAlign w:val="center"/>
          </w:tcPr>
          <w:p w14:paraId="1830A921" w14:textId="25FE5951" w:rsidR="00205AAE" w:rsidRPr="00EE43C6" w:rsidRDefault="00205AAE" w:rsidP="00B625EB">
            <w:pPr>
              <w:spacing w:before="0" w:after="0" w:line="240" w:lineRule="auto"/>
              <w:jc w:val="center"/>
              <w:rPr>
                <w:rFonts w:cs="Wingdings"/>
                <w:sz w:val="18"/>
                <w:szCs w:val="16"/>
              </w:rPr>
            </w:pPr>
            <w:r w:rsidRPr="00EE43C6">
              <w:rPr>
                <w:rFonts w:cs="Wingdings"/>
                <w:sz w:val="18"/>
                <w:szCs w:val="16"/>
              </w:rPr>
              <w:t>210</w:t>
            </w:r>
          </w:p>
        </w:tc>
        <w:tc>
          <w:tcPr>
            <w:tcW w:w="928" w:type="pct"/>
            <w:vAlign w:val="center"/>
          </w:tcPr>
          <w:p w14:paraId="614E8BFD" w14:textId="262A87F0" w:rsidR="00205AAE" w:rsidRPr="00EE43C6" w:rsidRDefault="005474D4" w:rsidP="00B625EB">
            <w:pPr>
              <w:spacing w:before="0" w:after="0" w:line="240" w:lineRule="auto"/>
              <w:jc w:val="center"/>
              <w:rPr>
                <w:rFonts w:cs="Wingdings"/>
                <w:sz w:val="18"/>
                <w:szCs w:val="16"/>
              </w:rPr>
            </w:pPr>
            <w:r w:rsidRPr="00EE43C6">
              <w:rPr>
                <w:rFonts w:cs="Wingdings"/>
                <w:sz w:val="18"/>
                <w:szCs w:val="16"/>
              </w:rPr>
              <w:t>-</w:t>
            </w:r>
          </w:p>
        </w:tc>
        <w:tc>
          <w:tcPr>
            <w:tcW w:w="1000" w:type="pct"/>
          </w:tcPr>
          <w:p w14:paraId="3974AB1F" w14:textId="428E1F2B" w:rsidR="00205AAE" w:rsidRPr="00EE43C6" w:rsidRDefault="00205AAE" w:rsidP="00B625EB">
            <w:pPr>
              <w:spacing w:before="0" w:after="0" w:line="240" w:lineRule="auto"/>
              <w:jc w:val="center"/>
              <w:rPr>
                <w:rFonts w:cs="Wingdings"/>
                <w:sz w:val="18"/>
                <w:szCs w:val="16"/>
              </w:rPr>
            </w:pPr>
            <w:r w:rsidRPr="00EE43C6">
              <w:rPr>
                <w:rFonts w:cs="Wingdings"/>
                <w:sz w:val="18"/>
                <w:szCs w:val="16"/>
                <w:u w:val="single"/>
              </w:rPr>
              <w:t>Scenario 1:</w:t>
            </w:r>
            <w:r w:rsidRPr="00EE43C6">
              <w:rPr>
                <w:rFonts w:cs="Wingdings"/>
                <w:sz w:val="18"/>
                <w:szCs w:val="16"/>
              </w:rPr>
              <w:t xml:space="preserve"> 93</w:t>
            </w:r>
          </w:p>
          <w:p w14:paraId="2C2D6CA3" w14:textId="5042C779" w:rsidR="00205AAE" w:rsidRPr="00EE43C6" w:rsidRDefault="00205AAE" w:rsidP="00B625EB">
            <w:pPr>
              <w:spacing w:before="0" w:after="0" w:line="240" w:lineRule="auto"/>
              <w:jc w:val="center"/>
              <w:rPr>
                <w:rFonts w:cs="Wingdings"/>
                <w:sz w:val="18"/>
                <w:szCs w:val="16"/>
              </w:rPr>
            </w:pPr>
            <w:r w:rsidRPr="00EE43C6">
              <w:rPr>
                <w:rFonts w:cs="Wingdings"/>
                <w:sz w:val="18"/>
                <w:szCs w:val="16"/>
                <w:u w:val="single"/>
              </w:rPr>
              <w:t>Scenario 2</w:t>
            </w:r>
            <w:r w:rsidRPr="00EE43C6">
              <w:rPr>
                <w:rFonts w:cs="Wingdings"/>
                <w:sz w:val="18"/>
                <w:szCs w:val="16"/>
              </w:rPr>
              <w:t>: 93</w:t>
            </w:r>
          </w:p>
        </w:tc>
      </w:tr>
    </w:tbl>
    <w:p w14:paraId="48846167" w14:textId="532BF15C" w:rsidR="00310D82" w:rsidRPr="00EE43C6" w:rsidRDefault="00DE0AF3" w:rsidP="00DE0AF3">
      <w:pPr>
        <w:spacing w:before="60" w:after="0" w:line="360" w:lineRule="auto"/>
        <w:rPr>
          <w:rFonts w:cs="Wingdings"/>
          <w:sz w:val="16"/>
          <w:szCs w:val="16"/>
        </w:rPr>
      </w:pPr>
      <w:r w:rsidRPr="00EE43C6">
        <w:rPr>
          <w:rFonts w:cs="Wingdings"/>
          <w:sz w:val="16"/>
          <w:szCs w:val="16"/>
          <w:vertAlign w:val="superscript"/>
        </w:rPr>
        <w:t>1</w:t>
      </w:r>
      <w:r w:rsidRPr="00EE43C6">
        <w:rPr>
          <w:rFonts w:cs="Wingdings"/>
          <w:sz w:val="16"/>
          <w:szCs w:val="16"/>
        </w:rPr>
        <w:t xml:space="preserve"> (not to be exceed</w:t>
      </w:r>
      <w:r w:rsidR="00A037E7" w:rsidRPr="00EE43C6">
        <w:rPr>
          <w:rFonts w:cs="Wingdings"/>
          <w:sz w:val="16"/>
          <w:szCs w:val="16"/>
        </w:rPr>
        <w:t>ance</w:t>
      </w:r>
      <w:r w:rsidRPr="00EE43C6">
        <w:rPr>
          <w:rFonts w:cs="Wingdings"/>
          <w:sz w:val="16"/>
          <w:szCs w:val="16"/>
        </w:rPr>
        <w:t xml:space="preserve"> more than 35 times </w:t>
      </w:r>
      <w:r w:rsidR="00A037E7" w:rsidRPr="00EE43C6">
        <w:rPr>
          <w:rFonts w:cs="Wingdings"/>
          <w:sz w:val="16"/>
          <w:szCs w:val="16"/>
        </w:rPr>
        <w:t xml:space="preserve">per </w:t>
      </w:r>
      <w:r w:rsidRPr="00EE43C6">
        <w:rPr>
          <w:rFonts w:cs="Wingdings"/>
          <w:sz w:val="16"/>
          <w:szCs w:val="16"/>
        </w:rPr>
        <w:t>year)</w:t>
      </w:r>
    </w:p>
    <w:p w14:paraId="7DC214CA" w14:textId="6117E296" w:rsidR="00DE0AF3" w:rsidRPr="00EE43C6" w:rsidRDefault="00DE0AF3" w:rsidP="00DE0AF3">
      <w:pPr>
        <w:spacing w:before="0" w:line="360" w:lineRule="auto"/>
        <w:rPr>
          <w:rFonts w:cs="Wingdings"/>
          <w:sz w:val="16"/>
          <w:szCs w:val="16"/>
        </w:rPr>
      </w:pPr>
      <w:r w:rsidRPr="00EE43C6">
        <w:rPr>
          <w:rFonts w:cs="Wingdings"/>
          <w:sz w:val="16"/>
          <w:szCs w:val="16"/>
          <w:vertAlign w:val="superscript"/>
        </w:rPr>
        <w:t>2</w:t>
      </w:r>
      <w:r w:rsidRPr="00EE43C6">
        <w:rPr>
          <w:rFonts w:cs="Wingdings"/>
          <w:sz w:val="16"/>
          <w:szCs w:val="16"/>
        </w:rPr>
        <w:t xml:space="preserve"> (99</w:t>
      </w:r>
      <w:r w:rsidRPr="00EE43C6">
        <w:rPr>
          <w:rFonts w:cs="Wingdings"/>
          <w:sz w:val="16"/>
          <w:szCs w:val="16"/>
          <w:vertAlign w:val="superscript"/>
        </w:rPr>
        <w:t>th</w:t>
      </w:r>
      <w:r w:rsidRPr="00EE43C6">
        <w:rPr>
          <w:rFonts w:cs="Wingdings"/>
          <w:sz w:val="16"/>
          <w:szCs w:val="16"/>
        </w:rPr>
        <w:t xml:space="preserve"> percentile (i.e.3</w:t>
      </w:r>
      <w:r w:rsidR="008B1E2C" w:rsidRPr="00EE43C6">
        <w:rPr>
          <w:rFonts w:cs="Wingdings"/>
          <w:sz w:val="16"/>
          <w:szCs w:val="16"/>
        </w:rPr>
        <w:t>-</w:t>
      </w:r>
      <w:r w:rsidRPr="00EE43C6">
        <w:rPr>
          <w:rFonts w:cs="Wingdings"/>
          <w:sz w:val="16"/>
          <w:szCs w:val="16"/>
        </w:rPr>
        <w:t>4 exceedance days per year))</w:t>
      </w:r>
    </w:p>
    <w:p w14:paraId="6295B89B" w14:textId="49D75599" w:rsidR="00D6662A" w:rsidRPr="00EE43C6" w:rsidRDefault="00D6662A" w:rsidP="00B625EB">
      <w:pPr>
        <w:rPr>
          <w:rFonts w:cs="Wingdings"/>
          <w:szCs w:val="18"/>
        </w:rPr>
      </w:pPr>
      <w:r w:rsidRPr="00EE43C6">
        <w:t xml:space="preserve">Diesel will be used in the construction machines to be used during the construction works of the Project. Diesel, whose characteristics are given in </w:t>
      </w:r>
      <w:r w:rsidR="000D7C07" w:rsidRPr="00EE43C6">
        <w:fldChar w:fldCharType="begin"/>
      </w:r>
      <w:r w:rsidR="000D7C07" w:rsidRPr="00EE43C6">
        <w:instrText xml:space="preserve"> REF _Ref127975630 \h </w:instrText>
      </w:r>
      <w:r w:rsidR="000D7C07" w:rsidRPr="00EE43C6">
        <w:fldChar w:fldCharType="separate"/>
      </w:r>
      <w:r w:rsidR="000460D0" w:rsidRPr="00EE43C6">
        <w:t>Table 6</w:t>
      </w:r>
      <w:r w:rsidR="000460D0" w:rsidRPr="00EE43C6">
        <w:noBreakHyphen/>
        <w:t>12</w:t>
      </w:r>
      <w:r w:rsidR="000D7C07" w:rsidRPr="00EE43C6">
        <w:fldChar w:fldCharType="end"/>
      </w:r>
      <w:r w:rsidR="00192E23" w:rsidRPr="00EE43C6">
        <w:t>, will be supplied from the nearby fuel sales stations.</w:t>
      </w:r>
    </w:p>
    <w:p w14:paraId="42D476D3" w14:textId="0AD540A5" w:rsidR="000D7C07" w:rsidRPr="00EE43C6" w:rsidRDefault="000D7C07" w:rsidP="00591B1C">
      <w:pPr>
        <w:pStyle w:val="Caption"/>
        <w:rPr>
          <w:noProof w:val="0"/>
        </w:rPr>
      </w:pPr>
      <w:bookmarkStart w:id="486" w:name="_Ref127975630"/>
      <w:bookmarkStart w:id="487" w:name="_Toc141445521"/>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12</w:t>
      </w:r>
      <w:r w:rsidR="006D2DE8">
        <w:rPr>
          <w:noProof w:val="0"/>
        </w:rPr>
        <w:fldChar w:fldCharType="end"/>
      </w:r>
      <w:bookmarkEnd w:id="486"/>
      <w:r w:rsidRPr="00EE43C6">
        <w:rPr>
          <w:noProof w:val="0"/>
        </w:rPr>
        <w:t xml:space="preserve">. </w:t>
      </w:r>
      <w:r w:rsidRPr="00EE43C6">
        <w:rPr>
          <w:b w:val="0"/>
          <w:bCs w:val="0"/>
          <w:noProof w:val="0"/>
          <w:color w:val="auto"/>
        </w:rPr>
        <w:t>Specification of Diesel</w:t>
      </w:r>
      <w:bookmarkEnd w:id="487"/>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51"/>
        <w:gridCol w:w="1304"/>
        <w:gridCol w:w="1103"/>
      </w:tblGrid>
      <w:tr w:rsidR="005F2FC8" w:rsidRPr="00EE43C6" w14:paraId="6CAD39AA" w14:textId="77777777" w:rsidTr="001E0229">
        <w:trPr>
          <w:trHeight w:val="284"/>
          <w:tblHeader/>
          <w:jc w:val="center"/>
        </w:trPr>
        <w:tc>
          <w:tcPr>
            <w:tcW w:w="3671" w:type="pct"/>
            <w:shd w:val="clear" w:color="auto" w:fill="4F81BD"/>
            <w:noWrap/>
            <w:vAlign w:val="center"/>
          </w:tcPr>
          <w:p w14:paraId="4A4A3474" w14:textId="77777777" w:rsidR="00021890" w:rsidRPr="00EE43C6" w:rsidRDefault="00021890" w:rsidP="001964A1">
            <w:pPr>
              <w:spacing w:before="0" w:after="0"/>
              <w:rPr>
                <w:b/>
                <w:bCs/>
                <w:color w:val="FFFFFF" w:themeColor="background1"/>
                <w:sz w:val="16"/>
                <w:szCs w:val="16"/>
              </w:rPr>
            </w:pPr>
            <w:r w:rsidRPr="00EE43C6">
              <w:rPr>
                <w:b/>
                <w:bCs/>
                <w:color w:val="FFFFFF" w:themeColor="background1"/>
                <w:sz w:val="16"/>
                <w:szCs w:val="16"/>
              </w:rPr>
              <w:t>Specification</w:t>
            </w:r>
          </w:p>
        </w:tc>
        <w:tc>
          <w:tcPr>
            <w:tcW w:w="720" w:type="pct"/>
            <w:shd w:val="clear" w:color="auto" w:fill="4F81BD"/>
            <w:noWrap/>
            <w:vAlign w:val="center"/>
          </w:tcPr>
          <w:p w14:paraId="1BCB2BE5" w14:textId="77777777" w:rsidR="00021890" w:rsidRPr="00EE43C6" w:rsidRDefault="00021890" w:rsidP="001964A1">
            <w:pPr>
              <w:spacing w:before="0" w:after="0"/>
              <w:jc w:val="center"/>
              <w:rPr>
                <w:b/>
                <w:bCs/>
                <w:color w:val="FFFFFF" w:themeColor="background1"/>
                <w:sz w:val="16"/>
                <w:szCs w:val="16"/>
              </w:rPr>
            </w:pPr>
            <w:r w:rsidRPr="00EE43C6">
              <w:rPr>
                <w:b/>
                <w:bCs/>
                <w:color w:val="FFFFFF" w:themeColor="background1"/>
                <w:sz w:val="16"/>
                <w:szCs w:val="16"/>
              </w:rPr>
              <w:t>Unit</w:t>
            </w:r>
          </w:p>
        </w:tc>
        <w:tc>
          <w:tcPr>
            <w:tcW w:w="609" w:type="pct"/>
            <w:shd w:val="clear" w:color="auto" w:fill="4F81BD"/>
            <w:noWrap/>
            <w:vAlign w:val="center"/>
          </w:tcPr>
          <w:p w14:paraId="5C5FBD4B" w14:textId="77777777" w:rsidR="00021890" w:rsidRPr="00EE43C6" w:rsidRDefault="00021890" w:rsidP="001964A1">
            <w:pPr>
              <w:spacing w:before="0" w:after="0"/>
              <w:jc w:val="center"/>
              <w:rPr>
                <w:b/>
                <w:bCs/>
                <w:color w:val="FFFFFF" w:themeColor="background1"/>
                <w:sz w:val="16"/>
                <w:szCs w:val="16"/>
              </w:rPr>
            </w:pPr>
            <w:r w:rsidRPr="00EE43C6">
              <w:rPr>
                <w:b/>
                <w:bCs/>
                <w:color w:val="FFFFFF" w:themeColor="background1"/>
                <w:sz w:val="16"/>
                <w:szCs w:val="16"/>
              </w:rPr>
              <w:t>Value</w:t>
            </w:r>
          </w:p>
        </w:tc>
      </w:tr>
      <w:tr w:rsidR="001964A1" w:rsidRPr="00EE43C6" w14:paraId="4C9057E3" w14:textId="77777777" w:rsidTr="001E0229">
        <w:trPr>
          <w:trHeight w:val="284"/>
          <w:jc w:val="center"/>
        </w:trPr>
        <w:tc>
          <w:tcPr>
            <w:tcW w:w="3671" w:type="pct"/>
            <w:shd w:val="clear" w:color="auto" w:fill="auto"/>
            <w:vAlign w:val="center"/>
          </w:tcPr>
          <w:p w14:paraId="3E67C3BE" w14:textId="77777777" w:rsidR="00021890" w:rsidRPr="00EE43C6" w:rsidRDefault="00021890" w:rsidP="001964A1">
            <w:pPr>
              <w:spacing w:before="0" w:after="0"/>
              <w:rPr>
                <w:sz w:val="16"/>
                <w:szCs w:val="16"/>
              </w:rPr>
            </w:pPr>
            <w:r w:rsidRPr="00EE43C6">
              <w:rPr>
                <w:sz w:val="16"/>
                <w:szCs w:val="16"/>
              </w:rPr>
              <w:t xml:space="preserve">Density (at 15 </w:t>
            </w:r>
            <w:r w:rsidRPr="00EE43C6">
              <w:rPr>
                <w:sz w:val="16"/>
                <w:szCs w:val="16"/>
                <w:vertAlign w:val="superscript"/>
              </w:rPr>
              <w:t>0</w:t>
            </w:r>
            <w:r w:rsidRPr="00EE43C6">
              <w:rPr>
                <w:sz w:val="16"/>
                <w:szCs w:val="16"/>
              </w:rPr>
              <w:t>C) </w:t>
            </w:r>
          </w:p>
        </w:tc>
        <w:tc>
          <w:tcPr>
            <w:tcW w:w="720" w:type="pct"/>
            <w:shd w:val="clear" w:color="auto" w:fill="auto"/>
            <w:vAlign w:val="center"/>
          </w:tcPr>
          <w:p w14:paraId="2DCD2B4A" w14:textId="77777777" w:rsidR="00021890" w:rsidRPr="00EE43C6" w:rsidRDefault="00021890" w:rsidP="001964A1">
            <w:pPr>
              <w:spacing w:before="0" w:after="0"/>
              <w:jc w:val="center"/>
              <w:rPr>
                <w:sz w:val="16"/>
                <w:szCs w:val="16"/>
              </w:rPr>
            </w:pPr>
            <w:r w:rsidRPr="00EE43C6">
              <w:rPr>
                <w:sz w:val="16"/>
                <w:szCs w:val="16"/>
              </w:rPr>
              <w:t>kg/m</w:t>
            </w:r>
            <w:r w:rsidRPr="00EE43C6">
              <w:rPr>
                <w:sz w:val="16"/>
                <w:szCs w:val="16"/>
                <w:vertAlign w:val="superscript"/>
              </w:rPr>
              <w:t>3</w:t>
            </w:r>
          </w:p>
        </w:tc>
        <w:tc>
          <w:tcPr>
            <w:tcW w:w="609" w:type="pct"/>
            <w:shd w:val="clear" w:color="auto" w:fill="auto"/>
            <w:vAlign w:val="center"/>
          </w:tcPr>
          <w:p w14:paraId="33027280" w14:textId="77777777" w:rsidR="00021890" w:rsidRPr="00EE43C6" w:rsidRDefault="00021890" w:rsidP="001964A1">
            <w:pPr>
              <w:spacing w:before="0" w:after="0"/>
              <w:jc w:val="center"/>
              <w:rPr>
                <w:sz w:val="16"/>
                <w:szCs w:val="16"/>
              </w:rPr>
            </w:pPr>
            <w:r w:rsidRPr="00EE43C6">
              <w:rPr>
                <w:sz w:val="16"/>
                <w:szCs w:val="16"/>
              </w:rPr>
              <w:t>820-845</w:t>
            </w:r>
          </w:p>
        </w:tc>
      </w:tr>
      <w:tr w:rsidR="005F2FC8" w:rsidRPr="00EE43C6" w14:paraId="5BC8D745" w14:textId="77777777" w:rsidTr="001E0229">
        <w:trPr>
          <w:trHeight w:val="284"/>
          <w:jc w:val="center"/>
        </w:trPr>
        <w:tc>
          <w:tcPr>
            <w:tcW w:w="3671" w:type="pct"/>
            <w:shd w:val="clear" w:color="auto" w:fill="FFFFFF"/>
            <w:vAlign w:val="center"/>
          </w:tcPr>
          <w:p w14:paraId="1FB4A8C5" w14:textId="77777777" w:rsidR="00021890" w:rsidRPr="00EE43C6" w:rsidRDefault="00021890" w:rsidP="001964A1">
            <w:pPr>
              <w:spacing w:before="0" w:after="0"/>
              <w:rPr>
                <w:sz w:val="16"/>
                <w:szCs w:val="16"/>
              </w:rPr>
            </w:pPr>
            <w:r w:rsidRPr="00EE43C6">
              <w:rPr>
                <w:sz w:val="16"/>
                <w:szCs w:val="16"/>
              </w:rPr>
              <w:t>Polycyclic aromatic hydrocarbons</w:t>
            </w:r>
          </w:p>
        </w:tc>
        <w:tc>
          <w:tcPr>
            <w:tcW w:w="720" w:type="pct"/>
            <w:shd w:val="clear" w:color="auto" w:fill="FFFFFF"/>
            <w:vAlign w:val="center"/>
          </w:tcPr>
          <w:p w14:paraId="70BB6335" w14:textId="77777777" w:rsidR="00021890" w:rsidRPr="00EE43C6" w:rsidRDefault="00021890" w:rsidP="001964A1">
            <w:pPr>
              <w:spacing w:before="0" w:after="0"/>
              <w:jc w:val="center"/>
              <w:rPr>
                <w:sz w:val="16"/>
                <w:szCs w:val="16"/>
              </w:rPr>
            </w:pPr>
            <w:r w:rsidRPr="00EE43C6">
              <w:rPr>
                <w:sz w:val="16"/>
                <w:szCs w:val="16"/>
              </w:rPr>
              <w:t>% weight</w:t>
            </w:r>
          </w:p>
        </w:tc>
        <w:tc>
          <w:tcPr>
            <w:tcW w:w="609" w:type="pct"/>
            <w:shd w:val="clear" w:color="auto" w:fill="FFFFFF"/>
            <w:vAlign w:val="center"/>
          </w:tcPr>
          <w:p w14:paraId="5FD9D9B2" w14:textId="77777777" w:rsidR="00021890" w:rsidRPr="00EE43C6" w:rsidRDefault="00021890" w:rsidP="001964A1">
            <w:pPr>
              <w:spacing w:before="0" w:after="0"/>
              <w:jc w:val="center"/>
              <w:rPr>
                <w:sz w:val="16"/>
                <w:szCs w:val="16"/>
              </w:rPr>
            </w:pPr>
            <w:r w:rsidRPr="00EE43C6">
              <w:rPr>
                <w:sz w:val="16"/>
                <w:szCs w:val="16"/>
              </w:rPr>
              <w:t>11</w:t>
            </w:r>
          </w:p>
        </w:tc>
      </w:tr>
      <w:tr w:rsidR="001964A1" w:rsidRPr="00EE43C6" w14:paraId="4E95C3FC" w14:textId="77777777" w:rsidTr="001E0229">
        <w:trPr>
          <w:trHeight w:val="284"/>
          <w:jc w:val="center"/>
        </w:trPr>
        <w:tc>
          <w:tcPr>
            <w:tcW w:w="3671" w:type="pct"/>
            <w:shd w:val="clear" w:color="auto" w:fill="auto"/>
            <w:vAlign w:val="center"/>
          </w:tcPr>
          <w:p w14:paraId="54ABB504" w14:textId="77777777" w:rsidR="00021890" w:rsidRPr="00EE43C6" w:rsidRDefault="00021890" w:rsidP="001964A1">
            <w:pPr>
              <w:spacing w:before="0" w:after="0"/>
              <w:rPr>
                <w:sz w:val="16"/>
                <w:szCs w:val="16"/>
              </w:rPr>
            </w:pPr>
            <w:r w:rsidRPr="00EE43C6">
              <w:rPr>
                <w:sz w:val="16"/>
                <w:szCs w:val="16"/>
              </w:rPr>
              <w:t>Flash Point</w:t>
            </w:r>
          </w:p>
        </w:tc>
        <w:tc>
          <w:tcPr>
            <w:tcW w:w="720" w:type="pct"/>
            <w:shd w:val="clear" w:color="auto" w:fill="auto"/>
            <w:vAlign w:val="center"/>
          </w:tcPr>
          <w:p w14:paraId="5A4C49B8" w14:textId="77777777" w:rsidR="00021890" w:rsidRPr="00EE43C6" w:rsidRDefault="00021890" w:rsidP="001964A1">
            <w:pPr>
              <w:spacing w:before="0" w:after="0"/>
              <w:jc w:val="center"/>
              <w:rPr>
                <w:sz w:val="16"/>
                <w:szCs w:val="16"/>
              </w:rPr>
            </w:pPr>
            <w:r w:rsidRPr="00EE43C6">
              <w:rPr>
                <w:sz w:val="16"/>
                <w:szCs w:val="16"/>
                <w:vertAlign w:val="superscript"/>
              </w:rPr>
              <w:t>0</w:t>
            </w:r>
            <w:r w:rsidRPr="00EE43C6">
              <w:rPr>
                <w:sz w:val="16"/>
                <w:szCs w:val="16"/>
              </w:rPr>
              <w:t>C</w:t>
            </w:r>
          </w:p>
        </w:tc>
        <w:tc>
          <w:tcPr>
            <w:tcW w:w="609" w:type="pct"/>
            <w:shd w:val="clear" w:color="auto" w:fill="auto"/>
            <w:vAlign w:val="center"/>
          </w:tcPr>
          <w:p w14:paraId="3BB50DEE" w14:textId="77777777" w:rsidR="00021890" w:rsidRPr="00EE43C6" w:rsidRDefault="00021890" w:rsidP="001964A1">
            <w:pPr>
              <w:spacing w:before="0" w:after="0"/>
              <w:jc w:val="center"/>
              <w:rPr>
                <w:sz w:val="16"/>
                <w:szCs w:val="16"/>
              </w:rPr>
            </w:pPr>
            <w:r w:rsidRPr="00EE43C6">
              <w:rPr>
                <w:sz w:val="16"/>
                <w:szCs w:val="16"/>
              </w:rPr>
              <w:t>55</w:t>
            </w:r>
          </w:p>
        </w:tc>
      </w:tr>
      <w:tr w:rsidR="005F2FC8" w:rsidRPr="00EE43C6" w14:paraId="44ABBF41" w14:textId="77777777" w:rsidTr="001E0229">
        <w:trPr>
          <w:trHeight w:val="284"/>
          <w:jc w:val="center"/>
        </w:trPr>
        <w:tc>
          <w:tcPr>
            <w:tcW w:w="3671" w:type="pct"/>
            <w:shd w:val="clear" w:color="auto" w:fill="FFFFFF"/>
            <w:vAlign w:val="center"/>
          </w:tcPr>
          <w:p w14:paraId="6F97730E" w14:textId="77777777" w:rsidR="00021890" w:rsidRPr="00EE43C6" w:rsidRDefault="00021890" w:rsidP="001964A1">
            <w:pPr>
              <w:spacing w:before="0" w:after="0"/>
              <w:rPr>
                <w:sz w:val="16"/>
                <w:szCs w:val="16"/>
              </w:rPr>
            </w:pPr>
            <w:r w:rsidRPr="00EE43C6">
              <w:rPr>
                <w:sz w:val="16"/>
                <w:szCs w:val="16"/>
              </w:rPr>
              <w:t>Cold Filter Plugging Point</w:t>
            </w:r>
          </w:p>
        </w:tc>
        <w:tc>
          <w:tcPr>
            <w:tcW w:w="720" w:type="pct"/>
            <w:shd w:val="clear" w:color="auto" w:fill="FFFFFF"/>
            <w:vAlign w:val="center"/>
          </w:tcPr>
          <w:p w14:paraId="2025C877" w14:textId="77777777" w:rsidR="00021890" w:rsidRPr="00EE43C6" w:rsidRDefault="00021890" w:rsidP="001964A1">
            <w:pPr>
              <w:spacing w:before="0" w:after="0"/>
              <w:jc w:val="center"/>
              <w:rPr>
                <w:sz w:val="16"/>
                <w:szCs w:val="16"/>
              </w:rPr>
            </w:pPr>
            <w:r w:rsidRPr="00EE43C6">
              <w:rPr>
                <w:sz w:val="16"/>
                <w:szCs w:val="16"/>
                <w:vertAlign w:val="superscript"/>
              </w:rPr>
              <w:t>0</w:t>
            </w:r>
            <w:r w:rsidRPr="00EE43C6">
              <w:rPr>
                <w:sz w:val="16"/>
                <w:szCs w:val="16"/>
              </w:rPr>
              <w:t>C</w:t>
            </w:r>
          </w:p>
        </w:tc>
        <w:tc>
          <w:tcPr>
            <w:tcW w:w="609" w:type="pct"/>
            <w:shd w:val="clear" w:color="auto" w:fill="FFFFFF"/>
            <w:vAlign w:val="center"/>
          </w:tcPr>
          <w:p w14:paraId="648831C1" w14:textId="77777777" w:rsidR="00021890" w:rsidRPr="00EE43C6" w:rsidRDefault="00021890" w:rsidP="001964A1">
            <w:pPr>
              <w:spacing w:before="0" w:after="0"/>
              <w:jc w:val="center"/>
              <w:rPr>
                <w:sz w:val="16"/>
                <w:szCs w:val="16"/>
              </w:rPr>
            </w:pPr>
          </w:p>
        </w:tc>
      </w:tr>
      <w:tr w:rsidR="001964A1" w:rsidRPr="00EE43C6" w14:paraId="5BCB4F24" w14:textId="77777777" w:rsidTr="001E0229">
        <w:trPr>
          <w:trHeight w:val="284"/>
          <w:jc w:val="center"/>
        </w:trPr>
        <w:tc>
          <w:tcPr>
            <w:tcW w:w="3671" w:type="pct"/>
            <w:shd w:val="clear" w:color="auto" w:fill="auto"/>
            <w:vAlign w:val="center"/>
          </w:tcPr>
          <w:p w14:paraId="389D3675" w14:textId="77777777" w:rsidR="00021890" w:rsidRPr="00EE43C6" w:rsidRDefault="00021890" w:rsidP="001964A1">
            <w:pPr>
              <w:spacing w:before="0" w:after="0"/>
              <w:rPr>
                <w:sz w:val="16"/>
                <w:szCs w:val="16"/>
              </w:rPr>
            </w:pPr>
            <w:r w:rsidRPr="00EE43C6">
              <w:rPr>
                <w:sz w:val="16"/>
                <w:szCs w:val="16"/>
              </w:rPr>
              <w:t>       Winter (a)</w:t>
            </w:r>
          </w:p>
        </w:tc>
        <w:tc>
          <w:tcPr>
            <w:tcW w:w="720" w:type="pct"/>
            <w:shd w:val="clear" w:color="auto" w:fill="auto"/>
            <w:vAlign w:val="center"/>
          </w:tcPr>
          <w:p w14:paraId="023EF9FA" w14:textId="77777777" w:rsidR="00021890" w:rsidRPr="00EE43C6" w:rsidRDefault="00021890" w:rsidP="001964A1">
            <w:pPr>
              <w:spacing w:before="0" w:after="0"/>
              <w:jc w:val="center"/>
              <w:rPr>
                <w:sz w:val="16"/>
                <w:szCs w:val="16"/>
              </w:rPr>
            </w:pPr>
          </w:p>
        </w:tc>
        <w:tc>
          <w:tcPr>
            <w:tcW w:w="609" w:type="pct"/>
            <w:shd w:val="clear" w:color="auto" w:fill="auto"/>
            <w:vAlign w:val="center"/>
          </w:tcPr>
          <w:p w14:paraId="4508ACA2" w14:textId="77777777" w:rsidR="00021890" w:rsidRPr="00EE43C6" w:rsidRDefault="00021890" w:rsidP="001964A1">
            <w:pPr>
              <w:spacing w:before="0" w:after="0"/>
              <w:jc w:val="center"/>
              <w:rPr>
                <w:sz w:val="16"/>
                <w:szCs w:val="16"/>
              </w:rPr>
            </w:pPr>
            <w:r w:rsidRPr="00EE43C6">
              <w:rPr>
                <w:sz w:val="16"/>
                <w:szCs w:val="16"/>
              </w:rPr>
              <w:t>-15</w:t>
            </w:r>
          </w:p>
        </w:tc>
      </w:tr>
      <w:tr w:rsidR="005F2FC8" w:rsidRPr="00EE43C6" w14:paraId="3D49E275" w14:textId="77777777" w:rsidTr="001E0229">
        <w:trPr>
          <w:trHeight w:val="284"/>
          <w:jc w:val="center"/>
        </w:trPr>
        <w:tc>
          <w:tcPr>
            <w:tcW w:w="3671" w:type="pct"/>
            <w:shd w:val="clear" w:color="auto" w:fill="FFFFFF"/>
            <w:vAlign w:val="center"/>
          </w:tcPr>
          <w:p w14:paraId="69DE7316" w14:textId="77777777" w:rsidR="00021890" w:rsidRPr="00EE43C6" w:rsidRDefault="00021890" w:rsidP="001964A1">
            <w:pPr>
              <w:spacing w:before="0" w:after="0"/>
              <w:rPr>
                <w:sz w:val="16"/>
                <w:szCs w:val="16"/>
              </w:rPr>
            </w:pPr>
            <w:r w:rsidRPr="00EE43C6">
              <w:rPr>
                <w:sz w:val="16"/>
                <w:szCs w:val="16"/>
              </w:rPr>
              <w:t>       Summer (b)</w:t>
            </w:r>
          </w:p>
        </w:tc>
        <w:tc>
          <w:tcPr>
            <w:tcW w:w="720" w:type="pct"/>
            <w:shd w:val="clear" w:color="auto" w:fill="FFFFFF"/>
            <w:vAlign w:val="center"/>
          </w:tcPr>
          <w:p w14:paraId="15F1F4A0" w14:textId="77777777" w:rsidR="00021890" w:rsidRPr="00EE43C6" w:rsidRDefault="00021890" w:rsidP="001964A1">
            <w:pPr>
              <w:spacing w:before="0" w:after="0"/>
              <w:jc w:val="center"/>
              <w:rPr>
                <w:sz w:val="16"/>
                <w:szCs w:val="16"/>
              </w:rPr>
            </w:pPr>
          </w:p>
        </w:tc>
        <w:tc>
          <w:tcPr>
            <w:tcW w:w="609" w:type="pct"/>
            <w:shd w:val="clear" w:color="auto" w:fill="FFFFFF"/>
            <w:vAlign w:val="center"/>
          </w:tcPr>
          <w:p w14:paraId="7E426B99" w14:textId="77777777" w:rsidR="00021890" w:rsidRPr="00EE43C6" w:rsidRDefault="00021890" w:rsidP="001964A1">
            <w:pPr>
              <w:spacing w:before="0" w:after="0"/>
              <w:jc w:val="center"/>
              <w:rPr>
                <w:sz w:val="16"/>
                <w:szCs w:val="16"/>
              </w:rPr>
            </w:pPr>
            <w:r w:rsidRPr="00EE43C6">
              <w:rPr>
                <w:sz w:val="16"/>
                <w:szCs w:val="16"/>
              </w:rPr>
              <w:t>5</w:t>
            </w:r>
          </w:p>
        </w:tc>
      </w:tr>
      <w:tr w:rsidR="001964A1" w:rsidRPr="00EE43C6" w14:paraId="75833493" w14:textId="77777777" w:rsidTr="001E0229">
        <w:trPr>
          <w:trHeight w:val="284"/>
          <w:jc w:val="center"/>
        </w:trPr>
        <w:tc>
          <w:tcPr>
            <w:tcW w:w="3671" w:type="pct"/>
            <w:shd w:val="clear" w:color="auto" w:fill="auto"/>
            <w:vAlign w:val="center"/>
          </w:tcPr>
          <w:p w14:paraId="4B7CD8EC" w14:textId="77777777" w:rsidR="00021890" w:rsidRPr="00EE43C6" w:rsidRDefault="00021890" w:rsidP="001964A1">
            <w:pPr>
              <w:spacing w:before="0" w:after="0"/>
              <w:rPr>
                <w:sz w:val="16"/>
                <w:szCs w:val="16"/>
              </w:rPr>
            </w:pPr>
            <w:r w:rsidRPr="00EE43C6">
              <w:rPr>
                <w:sz w:val="16"/>
                <w:szCs w:val="16"/>
              </w:rPr>
              <w:t>Distillation</w:t>
            </w:r>
          </w:p>
        </w:tc>
        <w:tc>
          <w:tcPr>
            <w:tcW w:w="720" w:type="pct"/>
            <w:shd w:val="clear" w:color="auto" w:fill="auto"/>
            <w:vAlign w:val="center"/>
          </w:tcPr>
          <w:p w14:paraId="0F9AB9D8" w14:textId="77777777" w:rsidR="00021890" w:rsidRPr="00EE43C6" w:rsidRDefault="00021890" w:rsidP="001964A1">
            <w:pPr>
              <w:spacing w:before="0" w:after="0"/>
              <w:jc w:val="center"/>
              <w:rPr>
                <w:sz w:val="16"/>
                <w:szCs w:val="16"/>
              </w:rPr>
            </w:pPr>
          </w:p>
        </w:tc>
        <w:tc>
          <w:tcPr>
            <w:tcW w:w="609" w:type="pct"/>
            <w:shd w:val="clear" w:color="auto" w:fill="auto"/>
            <w:vAlign w:val="center"/>
          </w:tcPr>
          <w:p w14:paraId="3DD83A5B" w14:textId="77777777" w:rsidR="00021890" w:rsidRPr="00EE43C6" w:rsidRDefault="00021890" w:rsidP="001964A1">
            <w:pPr>
              <w:spacing w:before="0" w:after="0"/>
              <w:jc w:val="center"/>
              <w:rPr>
                <w:sz w:val="16"/>
                <w:szCs w:val="16"/>
              </w:rPr>
            </w:pPr>
          </w:p>
        </w:tc>
      </w:tr>
      <w:tr w:rsidR="005F2FC8" w:rsidRPr="00EE43C6" w14:paraId="220B68AD" w14:textId="77777777" w:rsidTr="001E0229">
        <w:trPr>
          <w:trHeight w:val="284"/>
          <w:jc w:val="center"/>
        </w:trPr>
        <w:tc>
          <w:tcPr>
            <w:tcW w:w="3671" w:type="pct"/>
            <w:shd w:val="clear" w:color="auto" w:fill="FFFFFF"/>
            <w:vAlign w:val="center"/>
          </w:tcPr>
          <w:p w14:paraId="5B5D6D40" w14:textId="77777777" w:rsidR="00021890" w:rsidRPr="00EE43C6" w:rsidRDefault="00021890" w:rsidP="001964A1">
            <w:pPr>
              <w:spacing w:before="0" w:after="0"/>
              <w:rPr>
                <w:sz w:val="16"/>
                <w:szCs w:val="16"/>
              </w:rPr>
            </w:pPr>
            <w:r w:rsidRPr="00EE43C6">
              <w:rPr>
                <w:sz w:val="16"/>
                <w:szCs w:val="16"/>
              </w:rPr>
              <w:t xml:space="preserve">       Obtained at 250 </w:t>
            </w:r>
            <w:r w:rsidRPr="00EE43C6">
              <w:rPr>
                <w:sz w:val="16"/>
                <w:szCs w:val="16"/>
                <w:vertAlign w:val="superscript"/>
              </w:rPr>
              <w:t>0</w:t>
            </w:r>
            <w:r w:rsidRPr="00EE43C6">
              <w:rPr>
                <w:sz w:val="16"/>
                <w:szCs w:val="16"/>
              </w:rPr>
              <w:t>C</w:t>
            </w:r>
          </w:p>
        </w:tc>
        <w:tc>
          <w:tcPr>
            <w:tcW w:w="720" w:type="pct"/>
            <w:shd w:val="clear" w:color="auto" w:fill="FFFFFF"/>
            <w:vAlign w:val="center"/>
          </w:tcPr>
          <w:p w14:paraId="2A350C43" w14:textId="77777777" w:rsidR="00021890" w:rsidRPr="00EE43C6" w:rsidRDefault="00021890" w:rsidP="001964A1">
            <w:pPr>
              <w:spacing w:before="0" w:after="0"/>
              <w:jc w:val="center"/>
              <w:rPr>
                <w:sz w:val="16"/>
                <w:szCs w:val="16"/>
              </w:rPr>
            </w:pPr>
            <w:r w:rsidRPr="00EE43C6">
              <w:rPr>
                <w:sz w:val="16"/>
                <w:szCs w:val="16"/>
              </w:rPr>
              <w:t>% volume</w:t>
            </w:r>
          </w:p>
        </w:tc>
        <w:tc>
          <w:tcPr>
            <w:tcW w:w="609" w:type="pct"/>
            <w:shd w:val="clear" w:color="auto" w:fill="FFFFFF"/>
            <w:vAlign w:val="center"/>
          </w:tcPr>
          <w:p w14:paraId="50244247" w14:textId="77777777" w:rsidR="00021890" w:rsidRPr="00EE43C6" w:rsidRDefault="00021890" w:rsidP="001964A1">
            <w:pPr>
              <w:spacing w:before="0" w:after="0"/>
              <w:jc w:val="center"/>
              <w:rPr>
                <w:sz w:val="16"/>
                <w:szCs w:val="16"/>
              </w:rPr>
            </w:pPr>
            <w:r w:rsidRPr="00EE43C6">
              <w:rPr>
                <w:sz w:val="16"/>
                <w:szCs w:val="16"/>
              </w:rPr>
              <w:t>65</w:t>
            </w:r>
          </w:p>
        </w:tc>
      </w:tr>
      <w:tr w:rsidR="001964A1" w:rsidRPr="00EE43C6" w14:paraId="30EA8702" w14:textId="77777777" w:rsidTr="001E0229">
        <w:trPr>
          <w:trHeight w:val="284"/>
          <w:jc w:val="center"/>
        </w:trPr>
        <w:tc>
          <w:tcPr>
            <w:tcW w:w="3671" w:type="pct"/>
            <w:shd w:val="clear" w:color="auto" w:fill="auto"/>
            <w:vAlign w:val="center"/>
          </w:tcPr>
          <w:p w14:paraId="5DB27BEE" w14:textId="77777777" w:rsidR="00021890" w:rsidRPr="00EE43C6" w:rsidRDefault="00021890" w:rsidP="001964A1">
            <w:pPr>
              <w:spacing w:before="0" w:after="0"/>
              <w:rPr>
                <w:sz w:val="16"/>
                <w:szCs w:val="16"/>
              </w:rPr>
            </w:pPr>
            <w:r w:rsidRPr="00EE43C6">
              <w:rPr>
                <w:sz w:val="16"/>
                <w:szCs w:val="16"/>
              </w:rPr>
              <w:t xml:space="preserve">       Obtained at 350 </w:t>
            </w:r>
            <w:r w:rsidRPr="00EE43C6">
              <w:rPr>
                <w:sz w:val="16"/>
                <w:szCs w:val="16"/>
                <w:vertAlign w:val="superscript"/>
              </w:rPr>
              <w:t>0</w:t>
            </w:r>
            <w:r w:rsidRPr="00EE43C6">
              <w:rPr>
                <w:sz w:val="16"/>
                <w:szCs w:val="16"/>
              </w:rPr>
              <w:t>C</w:t>
            </w:r>
          </w:p>
        </w:tc>
        <w:tc>
          <w:tcPr>
            <w:tcW w:w="720" w:type="pct"/>
            <w:shd w:val="clear" w:color="auto" w:fill="auto"/>
            <w:vAlign w:val="center"/>
          </w:tcPr>
          <w:p w14:paraId="2349322E" w14:textId="77777777" w:rsidR="00021890" w:rsidRPr="00EE43C6" w:rsidRDefault="00021890" w:rsidP="001964A1">
            <w:pPr>
              <w:spacing w:before="0" w:after="0"/>
              <w:jc w:val="center"/>
              <w:rPr>
                <w:sz w:val="16"/>
                <w:szCs w:val="16"/>
              </w:rPr>
            </w:pPr>
            <w:r w:rsidRPr="00EE43C6">
              <w:rPr>
                <w:sz w:val="16"/>
                <w:szCs w:val="16"/>
              </w:rPr>
              <w:t>% volume</w:t>
            </w:r>
          </w:p>
        </w:tc>
        <w:tc>
          <w:tcPr>
            <w:tcW w:w="609" w:type="pct"/>
            <w:shd w:val="clear" w:color="auto" w:fill="auto"/>
            <w:vAlign w:val="center"/>
          </w:tcPr>
          <w:p w14:paraId="4A16C496" w14:textId="77777777" w:rsidR="00021890" w:rsidRPr="00EE43C6" w:rsidRDefault="00021890" w:rsidP="001964A1">
            <w:pPr>
              <w:spacing w:before="0" w:after="0"/>
              <w:jc w:val="center"/>
              <w:rPr>
                <w:sz w:val="16"/>
                <w:szCs w:val="16"/>
              </w:rPr>
            </w:pPr>
            <w:r w:rsidRPr="00EE43C6">
              <w:rPr>
                <w:sz w:val="16"/>
                <w:szCs w:val="16"/>
              </w:rPr>
              <w:t>85</w:t>
            </w:r>
          </w:p>
        </w:tc>
      </w:tr>
      <w:tr w:rsidR="005F2FC8" w:rsidRPr="00EE43C6" w14:paraId="2286DED1" w14:textId="77777777" w:rsidTr="001E0229">
        <w:trPr>
          <w:trHeight w:val="284"/>
          <w:jc w:val="center"/>
        </w:trPr>
        <w:tc>
          <w:tcPr>
            <w:tcW w:w="3671" w:type="pct"/>
            <w:shd w:val="clear" w:color="auto" w:fill="FFFFFF"/>
            <w:vAlign w:val="center"/>
          </w:tcPr>
          <w:p w14:paraId="69ADB10F" w14:textId="77777777" w:rsidR="00021890" w:rsidRPr="00EE43C6" w:rsidRDefault="00021890" w:rsidP="001964A1">
            <w:pPr>
              <w:spacing w:before="0" w:after="0"/>
              <w:rPr>
                <w:sz w:val="16"/>
                <w:szCs w:val="16"/>
              </w:rPr>
            </w:pPr>
            <w:r w:rsidRPr="00EE43C6">
              <w:rPr>
                <w:sz w:val="16"/>
                <w:szCs w:val="16"/>
              </w:rPr>
              <w:t>The temperature at which 95% (volume/volume) is achieved</w:t>
            </w:r>
          </w:p>
        </w:tc>
        <w:tc>
          <w:tcPr>
            <w:tcW w:w="720" w:type="pct"/>
            <w:shd w:val="clear" w:color="auto" w:fill="FFFFFF"/>
            <w:vAlign w:val="center"/>
          </w:tcPr>
          <w:p w14:paraId="476E8D07" w14:textId="77777777" w:rsidR="00021890" w:rsidRPr="00EE43C6" w:rsidRDefault="00021890" w:rsidP="001964A1">
            <w:pPr>
              <w:spacing w:before="0" w:after="0"/>
              <w:jc w:val="center"/>
              <w:rPr>
                <w:sz w:val="16"/>
                <w:szCs w:val="16"/>
              </w:rPr>
            </w:pPr>
            <w:r w:rsidRPr="00EE43C6">
              <w:rPr>
                <w:sz w:val="16"/>
                <w:szCs w:val="16"/>
                <w:vertAlign w:val="superscript"/>
              </w:rPr>
              <w:t>0</w:t>
            </w:r>
            <w:r w:rsidRPr="00EE43C6">
              <w:rPr>
                <w:sz w:val="16"/>
                <w:szCs w:val="16"/>
              </w:rPr>
              <w:t>C</w:t>
            </w:r>
          </w:p>
        </w:tc>
        <w:tc>
          <w:tcPr>
            <w:tcW w:w="609" w:type="pct"/>
            <w:shd w:val="clear" w:color="auto" w:fill="FFFFFF"/>
            <w:vAlign w:val="center"/>
          </w:tcPr>
          <w:p w14:paraId="772513B1" w14:textId="77777777" w:rsidR="00021890" w:rsidRPr="00EE43C6" w:rsidRDefault="00021890" w:rsidP="001964A1">
            <w:pPr>
              <w:spacing w:before="0" w:after="0"/>
              <w:jc w:val="center"/>
              <w:rPr>
                <w:sz w:val="16"/>
                <w:szCs w:val="16"/>
              </w:rPr>
            </w:pPr>
            <w:r w:rsidRPr="00EE43C6">
              <w:rPr>
                <w:sz w:val="16"/>
                <w:szCs w:val="16"/>
              </w:rPr>
              <w:t>360</w:t>
            </w:r>
          </w:p>
        </w:tc>
      </w:tr>
      <w:tr w:rsidR="001964A1" w:rsidRPr="00EE43C6" w14:paraId="3469A689" w14:textId="77777777" w:rsidTr="001E0229">
        <w:trPr>
          <w:trHeight w:val="284"/>
          <w:jc w:val="center"/>
        </w:trPr>
        <w:tc>
          <w:tcPr>
            <w:tcW w:w="3671" w:type="pct"/>
            <w:shd w:val="clear" w:color="auto" w:fill="auto"/>
            <w:vAlign w:val="center"/>
          </w:tcPr>
          <w:p w14:paraId="6B5B0406" w14:textId="77777777" w:rsidR="00021890" w:rsidRPr="00EE43C6" w:rsidRDefault="00021890" w:rsidP="001964A1">
            <w:pPr>
              <w:spacing w:before="0" w:after="0"/>
              <w:rPr>
                <w:sz w:val="16"/>
                <w:szCs w:val="16"/>
              </w:rPr>
            </w:pPr>
            <w:r w:rsidRPr="00EE43C6">
              <w:rPr>
                <w:sz w:val="16"/>
                <w:szCs w:val="16"/>
              </w:rPr>
              <w:t>Sulphur</w:t>
            </w:r>
          </w:p>
        </w:tc>
        <w:tc>
          <w:tcPr>
            <w:tcW w:w="720" w:type="pct"/>
            <w:shd w:val="clear" w:color="auto" w:fill="auto"/>
            <w:vAlign w:val="center"/>
          </w:tcPr>
          <w:p w14:paraId="1DB648A0" w14:textId="77777777" w:rsidR="00021890" w:rsidRPr="00EE43C6" w:rsidRDefault="00021890" w:rsidP="001964A1">
            <w:pPr>
              <w:spacing w:before="0" w:after="0"/>
              <w:jc w:val="center"/>
              <w:rPr>
                <w:sz w:val="16"/>
                <w:szCs w:val="16"/>
              </w:rPr>
            </w:pPr>
            <w:r w:rsidRPr="00EE43C6">
              <w:rPr>
                <w:sz w:val="16"/>
                <w:szCs w:val="16"/>
              </w:rPr>
              <w:t>mg/kg</w:t>
            </w:r>
          </w:p>
        </w:tc>
        <w:tc>
          <w:tcPr>
            <w:tcW w:w="609" w:type="pct"/>
            <w:shd w:val="clear" w:color="auto" w:fill="auto"/>
            <w:vAlign w:val="center"/>
          </w:tcPr>
          <w:p w14:paraId="750CF212" w14:textId="77777777" w:rsidR="00021890" w:rsidRPr="00EE43C6" w:rsidRDefault="00021890" w:rsidP="001964A1">
            <w:pPr>
              <w:spacing w:before="0" w:after="0"/>
              <w:jc w:val="center"/>
              <w:rPr>
                <w:sz w:val="16"/>
                <w:szCs w:val="16"/>
              </w:rPr>
            </w:pPr>
            <w:r w:rsidRPr="00EE43C6">
              <w:rPr>
                <w:sz w:val="16"/>
                <w:szCs w:val="16"/>
              </w:rPr>
              <w:t>10</w:t>
            </w:r>
          </w:p>
        </w:tc>
      </w:tr>
      <w:tr w:rsidR="005F2FC8" w:rsidRPr="00EE43C6" w14:paraId="33093643" w14:textId="77777777" w:rsidTr="001E0229">
        <w:trPr>
          <w:trHeight w:val="284"/>
          <w:jc w:val="center"/>
        </w:trPr>
        <w:tc>
          <w:tcPr>
            <w:tcW w:w="3671" w:type="pct"/>
            <w:shd w:val="clear" w:color="auto" w:fill="FFFFFF"/>
            <w:vAlign w:val="center"/>
          </w:tcPr>
          <w:p w14:paraId="47062364" w14:textId="77777777" w:rsidR="00021890" w:rsidRPr="00EE43C6" w:rsidRDefault="00021890" w:rsidP="001964A1">
            <w:pPr>
              <w:spacing w:before="0" w:after="0"/>
              <w:rPr>
                <w:sz w:val="16"/>
                <w:szCs w:val="16"/>
              </w:rPr>
            </w:pPr>
            <w:r w:rsidRPr="00EE43C6">
              <w:rPr>
                <w:sz w:val="16"/>
                <w:szCs w:val="16"/>
              </w:rPr>
              <w:t>Carbon Residue</w:t>
            </w:r>
          </w:p>
        </w:tc>
        <w:tc>
          <w:tcPr>
            <w:tcW w:w="720" w:type="pct"/>
            <w:vMerge w:val="restart"/>
            <w:shd w:val="clear" w:color="auto" w:fill="FFFFFF"/>
            <w:vAlign w:val="center"/>
          </w:tcPr>
          <w:p w14:paraId="51888466" w14:textId="77777777" w:rsidR="00021890" w:rsidRPr="00EE43C6" w:rsidRDefault="00021890" w:rsidP="001964A1">
            <w:pPr>
              <w:spacing w:before="0" w:after="0"/>
              <w:jc w:val="center"/>
              <w:rPr>
                <w:sz w:val="16"/>
                <w:szCs w:val="16"/>
              </w:rPr>
            </w:pPr>
            <w:r w:rsidRPr="00EE43C6">
              <w:rPr>
                <w:sz w:val="16"/>
                <w:szCs w:val="16"/>
              </w:rPr>
              <w:t>% volume</w:t>
            </w:r>
          </w:p>
        </w:tc>
        <w:tc>
          <w:tcPr>
            <w:tcW w:w="609" w:type="pct"/>
            <w:vMerge w:val="restart"/>
            <w:shd w:val="clear" w:color="auto" w:fill="FFFFFF"/>
            <w:vAlign w:val="center"/>
          </w:tcPr>
          <w:p w14:paraId="7D4C2B6C" w14:textId="77777777" w:rsidR="00021890" w:rsidRPr="00EE43C6" w:rsidRDefault="00021890" w:rsidP="001964A1">
            <w:pPr>
              <w:spacing w:before="0" w:after="0"/>
              <w:jc w:val="center"/>
              <w:rPr>
                <w:sz w:val="16"/>
                <w:szCs w:val="16"/>
              </w:rPr>
            </w:pPr>
            <w:r w:rsidRPr="00EE43C6">
              <w:rPr>
                <w:sz w:val="16"/>
                <w:szCs w:val="16"/>
              </w:rPr>
              <w:t>0,3</w:t>
            </w:r>
          </w:p>
        </w:tc>
      </w:tr>
      <w:tr w:rsidR="001964A1" w:rsidRPr="00EE43C6" w14:paraId="1BD504E4" w14:textId="77777777" w:rsidTr="001E0229">
        <w:trPr>
          <w:trHeight w:val="284"/>
          <w:jc w:val="center"/>
        </w:trPr>
        <w:tc>
          <w:tcPr>
            <w:tcW w:w="3671" w:type="pct"/>
            <w:shd w:val="clear" w:color="auto" w:fill="FFFFFF"/>
            <w:vAlign w:val="center"/>
          </w:tcPr>
          <w:p w14:paraId="78B1EDB7" w14:textId="77777777" w:rsidR="00021890" w:rsidRPr="00EE43C6" w:rsidRDefault="00021890" w:rsidP="001964A1">
            <w:pPr>
              <w:spacing w:before="0" w:after="0"/>
              <w:rPr>
                <w:sz w:val="16"/>
                <w:szCs w:val="16"/>
              </w:rPr>
            </w:pPr>
            <w:r w:rsidRPr="00EE43C6">
              <w:rPr>
                <w:sz w:val="16"/>
                <w:szCs w:val="16"/>
              </w:rPr>
              <w:t>(at 10% distillation residue)</w:t>
            </w:r>
          </w:p>
        </w:tc>
        <w:tc>
          <w:tcPr>
            <w:tcW w:w="720" w:type="pct"/>
            <w:vMerge/>
            <w:shd w:val="clear" w:color="auto" w:fill="auto"/>
            <w:vAlign w:val="center"/>
          </w:tcPr>
          <w:p w14:paraId="5CF96DB4" w14:textId="77777777" w:rsidR="00021890" w:rsidRPr="00EE43C6" w:rsidRDefault="00021890" w:rsidP="001964A1">
            <w:pPr>
              <w:spacing w:before="0" w:after="0"/>
              <w:jc w:val="center"/>
              <w:rPr>
                <w:sz w:val="16"/>
                <w:szCs w:val="16"/>
              </w:rPr>
            </w:pPr>
          </w:p>
        </w:tc>
        <w:tc>
          <w:tcPr>
            <w:tcW w:w="609" w:type="pct"/>
            <w:vMerge/>
            <w:shd w:val="clear" w:color="auto" w:fill="auto"/>
            <w:vAlign w:val="center"/>
          </w:tcPr>
          <w:p w14:paraId="67F285B4" w14:textId="77777777" w:rsidR="00021890" w:rsidRPr="00EE43C6" w:rsidRDefault="00021890" w:rsidP="001964A1">
            <w:pPr>
              <w:spacing w:before="0" w:after="0"/>
              <w:jc w:val="center"/>
              <w:rPr>
                <w:sz w:val="16"/>
                <w:szCs w:val="16"/>
              </w:rPr>
            </w:pPr>
          </w:p>
        </w:tc>
      </w:tr>
      <w:tr w:rsidR="001964A1" w:rsidRPr="00EE43C6" w14:paraId="4AC7568D" w14:textId="77777777" w:rsidTr="001E0229">
        <w:trPr>
          <w:trHeight w:val="284"/>
          <w:jc w:val="center"/>
        </w:trPr>
        <w:tc>
          <w:tcPr>
            <w:tcW w:w="3671" w:type="pct"/>
            <w:shd w:val="clear" w:color="auto" w:fill="auto"/>
            <w:vAlign w:val="center"/>
          </w:tcPr>
          <w:p w14:paraId="499CB906" w14:textId="77777777" w:rsidR="00021890" w:rsidRPr="00EE43C6" w:rsidRDefault="00021890" w:rsidP="001964A1">
            <w:pPr>
              <w:spacing w:before="0" w:after="0"/>
              <w:rPr>
                <w:sz w:val="16"/>
                <w:szCs w:val="16"/>
              </w:rPr>
            </w:pPr>
            <w:r w:rsidRPr="00EE43C6">
              <w:rPr>
                <w:sz w:val="16"/>
                <w:szCs w:val="16"/>
              </w:rPr>
              <w:t xml:space="preserve">Viscosity (at 40 </w:t>
            </w:r>
            <w:r w:rsidRPr="00EE43C6">
              <w:rPr>
                <w:sz w:val="16"/>
                <w:szCs w:val="16"/>
                <w:vertAlign w:val="superscript"/>
              </w:rPr>
              <w:t>0</w:t>
            </w:r>
            <w:r w:rsidRPr="00EE43C6">
              <w:rPr>
                <w:sz w:val="16"/>
                <w:szCs w:val="16"/>
              </w:rPr>
              <w:t>C)</w:t>
            </w:r>
          </w:p>
        </w:tc>
        <w:tc>
          <w:tcPr>
            <w:tcW w:w="720" w:type="pct"/>
            <w:shd w:val="clear" w:color="auto" w:fill="auto"/>
            <w:vAlign w:val="center"/>
          </w:tcPr>
          <w:p w14:paraId="1C72F5B2" w14:textId="5CDDD25E" w:rsidR="00021890" w:rsidRPr="00EE43C6" w:rsidRDefault="006A106D" w:rsidP="001964A1">
            <w:pPr>
              <w:spacing w:before="0" w:after="0"/>
              <w:jc w:val="center"/>
              <w:rPr>
                <w:sz w:val="16"/>
                <w:szCs w:val="16"/>
              </w:rPr>
            </w:pPr>
            <w:r w:rsidRPr="00EE43C6">
              <w:rPr>
                <w:sz w:val="16"/>
                <w:szCs w:val="16"/>
              </w:rPr>
              <w:t>C</w:t>
            </w:r>
            <w:r w:rsidR="00021890" w:rsidRPr="00EE43C6">
              <w:rPr>
                <w:sz w:val="16"/>
                <w:szCs w:val="16"/>
              </w:rPr>
              <w:t>st</w:t>
            </w:r>
          </w:p>
        </w:tc>
        <w:tc>
          <w:tcPr>
            <w:tcW w:w="609" w:type="pct"/>
            <w:shd w:val="clear" w:color="auto" w:fill="auto"/>
            <w:vAlign w:val="center"/>
          </w:tcPr>
          <w:p w14:paraId="01487154" w14:textId="77777777" w:rsidR="00021890" w:rsidRPr="00EE43C6" w:rsidRDefault="00021890" w:rsidP="001964A1">
            <w:pPr>
              <w:spacing w:before="0" w:after="0"/>
              <w:jc w:val="center"/>
              <w:rPr>
                <w:sz w:val="16"/>
                <w:szCs w:val="16"/>
              </w:rPr>
            </w:pPr>
            <w:r w:rsidRPr="00EE43C6">
              <w:rPr>
                <w:sz w:val="16"/>
                <w:szCs w:val="16"/>
              </w:rPr>
              <w:t>2,0-4,5</w:t>
            </w:r>
          </w:p>
        </w:tc>
      </w:tr>
      <w:tr w:rsidR="005F2FC8" w:rsidRPr="00EE43C6" w14:paraId="53521F43" w14:textId="77777777" w:rsidTr="001E0229">
        <w:trPr>
          <w:trHeight w:val="284"/>
          <w:jc w:val="center"/>
        </w:trPr>
        <w:tc>
          <w:tcPr>
            <w:tcW w:w="3671" w:type="pct"/>
            <w:shd w:val="clear" w:color="auto" w:fill="FFFFFF"/>
            <w:vAlign w:val="center"/>
          </w:tcPr>
          <w:p w14:paraId="00A5BE87" w14:textId="77777777" w:rsidR="00021890" w:rsidRPr="00EE43C6" w:rsidRDefault="00021890" w:rsidP="001964A1">
            <w:pPr>
              <w:spacing w:before="0" w:after="0"/>
              <w:rPr>
                <w:sz w:val="16"/>
                <w:szCs w:val="16"/>
              </w:rPr>
            </w:pPr>
            <w:r w:rsidRPr="00EE43C6">
              <w:rPr>
                <w:sz w:val="16"/>
                <w:szCs w:val="16"/>
              </w:rPr>
              <w:t>Copper Strip Corrosion</w:t>
            </w:r>
          </w:p>
        </w:tc>
        <w:tc>
          <w:tcPr>
            <w:tcW w:w="720" w:type="pct"/>
            <w:vMerge w:val="restart"/>
            <w:shd w:val="clear" w:color="auto" w:fill="FFFFFF"/>
            <w:vAlign w:val="center"/>
          </w:tcPr>
          <w:p w14:paraId="718AF890" w14:textId="77777777" w:rsidR="00021890" w:rsidRPr="00EE43C6" w:rsidRDefault="00021890" w:rsidP="001964A1">
            <w:pPr>
              <w:spacing w:before="0" w:after="0"/>
              <w:jc w:val="center"/>
              <w:rPr>
                <w:sz w:val="16"/>
                <w:szCs w:val="16"/>
              </w:rPr>
            </w:pPr>
          </w:p>
        </w:tc>
        <w:tc>
          <w:tcPr>
            <w:tcW w:w="609" w:type="pct"/>
            <w:vMerge w:val="restart"/>
            <w:shd w:val="clear" w:color="auto" w:fill="FFFFFF"/>
            <w:vAlign w:val="center"/>
          </w:tcPr>
          <w:p w14:paraId="7B6E9D01" w14:textId="77777777" w:rsidR="00021890" w:rsidRPr="00EE43C6" w:rsidRDefault="00021890" w:rsidP="001964A1">
            <w:pPr>
              <w:spacing w:before="0" w:after="0"/>
              <w:jc w:val="center"/>
              <w:rPr>
                <w:sz w:val="16"/>
                <w:szCs w:val="16"/>
              </w:rPr>
            </w:pPr>
            <w:r w:rsidRPr="00EE43C6">
              <w:rPr>
                <w:sz w:val="16"/>
                <w:szCs w:val="16"/>
              </w:rPr>
              <w:t>No.1</w:t>
            </w:r>
          </w:p>
        </w:tc>
      </w:tr>
      <w:tr w:rsidR="001964A1" w:rsidRPr="00EE43C6" w14:paraId="77CD9ECC" w14:textId="77777777" w:rsidTr="001E0229">
        <w:trPr>
          <w:trHeight w:val="284"/>
          <w:jc w:val="center"/>
        </w:trPr>
        <w:tc>
          <w:tcPr>
            <w:tcW w:w="3671" w:type="pct"/>
            <w:shd w:val="clear" w:color="auto" w:fill="FFFFFF"/>
            <w:vAlign w:val="center"/>
          </w:tcPr>
          <w:p w14:paraId="165E814F" w14:textId="77777777" w:rsidR="00021890" w:rsidRPr="00EE43C6" w:rsidRDefault="00021890" w:rsidP="001964A1">
            <w:pPr>
              <w:spacing w:before="0" w:after="0"/>
              <w:rPr>
                <w:sz w:val="16"/>
                <w:szCs w:val="16"/>
              </w:rPr>
            </w:pPr>
            <w:r w:rsidRPr="00EE43C6">
              <w:rPr>
                <w:sz w:val="16"/>
                <w:szCs w:val="16"/>
              </w:rPr>
              <w:t xml:space="preserve">(3 hours at 50 </w:t>
            </w:r>
            <w:r w:rsidRPr="00EE43C6">
              <w:rPr>
                <w:sz w:val="16"/>
                <w:szCs w:val="16"/>
                <w:vertAlign w:val="superscript"/>
              </w:rPr>
              <w:t>0</w:t>
            </w:r>
            <w:r w:rsidRPr="00EE43C6">
              <w:rPr>
                <w:sz w:val="16"/>
                <w:szCs w:val="16"/>
              </w:rPr>
              <w:t>C)</w:t>
            </w:r>
          </w:p>
        </w:tc>
        <w:tc>
          <w:tcPr>
            <w:tcW w:w="720" w:type="pct"/>
            <w:vMerge/>
            <w:shd w:val="clear" w:color="auto" w:fill="auto"/>
            <w:vAlign w:val="center"/>
          </w:tcPr>
          <w:p w14:paraId="4293733D" w14:textId="77777777" w:rsidR="00021890" w:rsidRPr="00EE43C6" w:rsidRDefault="00021890" w:rsidP="001964A1">
            <w:pPr>
              <w:spacing w:before="0" w:after="0"/>
              <w:jc w:val="center"/>
              <w:rPr>
                <w:sz w:val="16"/>
                <w:szCs w:val="16"/>
              </w:rPr>
            </w:pPr>
          </w:p>
        </w:tc>
        <w:tc>
          <w:tcPr>
            <w:tcW w:w="609" w:type="pct"/>
            <w:vMerge/>
            <w:shd w:val="clear" w:color="auto" w:fill="auto"/>
            <w:vAlign w:val="center"/>
          </w:tcPr>
          <w:p w14:paraId="2DB8C633" w14:textId="77777777" w:rsidR="00021890" w:rsidRPr="00EE43C6" w:rsidRDefault="00021890" w:rsidP="001964A1">
            <w:pPr>
              <w:spacing w:before="0" w:after="0"/>
              <w:jc w:val="center"/>
              <w:rPr>
                <w:sz w:val="16"/>
                <w:szCs w:val="16"/>
              </w:rPr>
            </w:pPr>
          </w:p>
        </w:tc>
      </w:tr>
      <w:tr w:rsidR="001964A1" w:rsidRPr="00EE43C6" w14:paraId="4893971E" w14:textId="77777777" w:rsidTr="001E0229">
        <w:trPr>
          <w:trHeight w:val="284"/>
          <w:jc w:val="center"/>
        </w:trPr>
        <w:tc>
          <w:tcPr>
            <w:tcW w:w="3671" w:type="pct"/>
            <w:shd w:val="clear" w:color="auto" w:fill="auto"/>
            <w:vAlign w:val="center"/>
          </w:tcPr>
          <w:p w14:paraId="04BED821" w14:textId="77777777" w:rsidR="00021890" w:rsidRPr="00EE43C6" w:rsidRDefault="00021890" w:rsidP="001964A1">
            <w:pPr>
              <w:spacing w:before="0" w:after="0"/>
              <w:rPr>
                <w:sz w:val="16"/>
                <w:szCs w:val="16"/>
              </w:rPr>
            </w:pPr>
            <w:r w:rsidRPr="00EE43C6">
              <w:rPr>
                <w:sz w:val="16"/>
                <w:szCs w:val="16"/>
              </w:rPr>
              <w:t>Ash</w:t>
            </w:r>
          </w:p>
        </w:tc>
        <w:tc>
          <w:tcPr>
            <w:tcW w:w="720" w:type="pct"/>
            <w:shd w:val="clear" w:color="auto" w:fill="auto"/>
            <w:vAlign w:val="center"/>
          </w:tcPr>
          <w:p w14:paraId="287617D9" w14:textId="77777777" w:rsidR="00021890" w:rsidRPr="00EE43C6" w:rsidRDefault="00021890" w:rsidP="001964A1">
            <w:pPr>
              <w:spacing w:before="0" w:after="0"/>
              <w:jc w:val="center"/>
              <w:rPr>
                <w:sz w:val="16"/>
                <w:szCs w:val="16"/>
              </w:rPr>
            </w:pPr>
            <w:r w:rsidRPr="00EE43C6">
              <w:rPr>
                <w:sz w:val="16"/>
                <w:szCs w:val="16"/>
              </w:rPr>
              <w:t>% weight</w:t>
            </w:r>
          </w:p>
        </w:tc>
        <w:tc>
          <w:tcPr>
            <w:tcW w:w="609" w:type="pct"/>
            <w:shd w:val="clear" w:color="auto" w:fill="auto"/>
            <w:vAlign w:val="center"/>
          </w:tcPr>
          <w:p w14:paraId="557D999A" w14:textId="77777777" w:rsidR="00021890" w:rsidRPr="00EE43C6" w:rsidRDefault="00021890" w:rsidP="001964A1">
            <w:pPr>
              <w:spacing w:before="0" w:after="0"/>
              <w:jc w:val="center"/>
              <w:rPr>
                <w:sz w:val="16"/>
                <w:szCs w:val="16"/>
              </w:rPr>
            </w:pPr>
            <w:r w:rsidRPr="00EE43C6">
              <w:rPr>
                <w:sz w:val="16"/>
                <w:szCs w:val="16"/>
              </w:rPr>
              <w:t>0,01</w:t>
            </w:r>
          </w:p>
        </w:tc>
      </w:tr>
      <w:tr w:rsidR="005F2FC8" w:rsidRPr="00EE43C6" w14:paraId="7E50A42D" w14:textId="77777777" w:rsidTr="001E0229">
        <w:trPr>
          <w:trHeight w:val="284"/>
          <w:jc w:val="center"/>
        </w:trPr>
        <w:tc>
          <w:tcPr>
            <w:tcW w:w="3671" w:type="pct"/>
            <w:shd w:val="clear" w:color="auto" w:fill="FFFFFF"/>
            <w:vAlign w:val="center"/>
          </w:tcPr>
          <w:p w14:paraId="4D3A47B7" w14:textId="77777777" w:rsidR="00021890" w:rsidRPr="00EE43C6" w:rsidRDefault="00021890" w:rsidP="001964A1">
            <w:pPr>
              <w:spacing w:before="0" w:after="0"/>
              <w:rPr>
                <w:sz w:val="16"/>
                <w:szCs w:val="16"/>
              </w:rPr>
            </w:pPr>
            <w:r w:rsidRPr="00EE43C6">
              <w:rPr>
                <w:sz w:val="16"/>
                <w:szCs w:val="16"/>
              </w:rPr>
              <w:t>Cetane number</w:t>
            </w:r>
          </w:p>
        </w:tc>
        <w:tc>
          <w:tcPr>
            <w:tcW w:w="720" w:type="pct"/>
            <w:shd w:val="clear" w:color="auto" w:fill="FFFFFF"/>
            <w:vAlign w:val="center"/>
          </w:tcPr>
          <w:p w14:paraId="4FDE252D" w14:textId="77777777" w:rsidR="00021890" w:rsidRPr="00EE43C6" w:rsidRDefault="00021890" w:rsidP="001964A1">
            <w:pPr>
              <w:spacing w:before="0" w:after="0"/>
              <w:jc w:val="center"/>
              <w:rPr>
                <w:sz w:val="16"/>
                <w:szCs w:val="16"/>
              </w:rPr>
            </w:pPr>
          </w:p>
        </w:tc>
        <w:tc>
          <w:tcPr>
            <w:tcW w:w="609" w:type="pct"/>
            <w:shd w:val="clear" w:color="auto" w:fill="FFFFFF"/>
            <w:vAlign w:val="center"/>
          </w:tcPr>
          <w:p w14:paraId="18450631" w14:textId="77777777" w:rsidR="00021890" w:rsidRPr="00EE43C6" w:rsidRDefault="00021890" w:rsidP="001964A1">
            <w:pPr>
              <w:spacing w:before="0" w:after="0"/>
              <w:jc w:val="center"/>
              <w:rPr>
                <w:sz w:val="16"/>
                <w:szCs w:val="16"/>
              </w:rPr>
            </w:pPr>
            <w:r w:rsidRPr="00EE43C6">
              <w:rPr>
                <w:sz w:val="16"/>
                <w:szCs w:val="16"/>
              </w:rPr>
              <w:t>51</w:t>
            </w:r>
          </w:p>
        </w:tc>
      </w:tr>
      <w:tr w:rsidR="001964A1" w:rsidRPr="00EE43C6" w14:paraId="4FEFF93F" w14:textId="77777777" w:rsidTr="001E0229">
        <w:trPr>
          <w:trHeight w:val="284"/>
          <w:jc w:val="center"/>
        </w:trPr>
        <w:tc>
          <w:tcPr>
            <w:tcW w:w="3671" w:type="pct"/>
            <w:shd w:val="clear" w:color="auto" w:fill="auto"/>
            <w:vAlign w:val="center"/>
          </w:tcPr>
          <w:p w14:paraId="6BA0A7EF" w14:textId="77777777" w:rsidR="00021890" w:rsidRPr="00EE43C6" w:rsidRDefault="00021890" w:rsidP="001964A1">
            <w:pPr>
              <w:spacing w:before="0" w:after="0"/>
              <w:rPr>
                <w:sz w:val="16"/>
                <w:szCs w:val="16"/>
              </w:rPr>
            </w:pPr>
            <w:r w:rsidRPr="00EE43C6">
              <w:rPr>
                <w:sz w:val="16"/>
                <w:szCs w:val="16"/>
              </w:rPr>
              <w:t>Cetane Index</w:t>
            </w:r>
          </w:p>
        </w:tc>
        <w:tc>
          <w:tcPr>
            <w:tcW w:w="720" w:type="pct"/>
            <w:shd w:val="clear" w:color="auto" w:fill="auto"/>
            <w:vAlign w:val="center"/>
          </w:tcPr>
          <w:p w14:paraId="0D57616E" w14:textId="77777777" w:rsidR="00021890" w:rsidRPr="00EE43C6" w:rsidRDefault="00021890" w:rsidP="001964A1">
            <w:pPr>
              <w:spacing w:before="0" w:after="0"/>
              <w:jc w:val="center"/>
              <w:rPr>
                <w:sz w:val="16"/>
                <w:szCs w:val="16"/>
              </w:rPr>
            </w:pPr>
            <w:r w:rsidRPr="00EE43C6">
              <w:rPr>
                <w:sz w:val="16"/>
                <w:szCs w:val="16"/>
              </w:rPr>
              <w:t>calculated</w:t>
            </w:r>
          </w:p>
        </w:tc>
        <w:tc>
          <w:tcPr>
            <w:tcW w:w="609" w:type="pct"/>
            <w:shd w:val="clear" w:color="auto" w:fill="auto"/>
            <w:vAlign w:val="center"/>
          </w:tcPr>
          <w:p w14:paraId="6C417820" w14:textId="77777777" w:rsidR="00021890" w:rsidRPr="00EE43C6" w:rsidRDefault="00021890" w:rsidP="001964A1">
            <w:pPr>
              <w:spacing w:before="0" w:after="0"/>
              <w:jc w:val="center"/>
              <w:rPr>
                <w:sz w:val="16"/>
                <w:szCs w:val="16"/>
              </w:rPr>
            </w:pPr>
            <w:r w:rsidRPr="00EE43C6">
              <w:rPr>
                <w:sz w:val="16"/>
                <w:szCs w:val="16"/>
              </w:rPr>
              <w:t>46</w:t>
            </w:r>
          </w:p>
        </w:tc>
      </w:tr>
      <w:tr w:rsidR="001964A1" w:rsidRPr="00EE43C6" w14:paraId="53FCBBE2" w14:textId="77777777" w:rsidTr="001E0229">
        <w:trPr>
          <w:trHeight w:val="284"/>
          <w:jc w:val="center"/>
        </w:trPr>
        <w:tc>
          <w:tcPr>
            <w:tcW w:w="3671" w:type="pct"/>
            <w:shd w:val="clear" w:color="auto" w:fill="FFFFFF"/>
            <w:vAlign w:val="center"/>
          </w:tcPr>
          <w:p w14:paraId="6CB9E7E7" w14:textId="77777777" w:rsidR="00021890" w:rsidRPr="00EE43C6" w:rsidRDefault="00021890" w:rsidP="001964A1">
            <w:pPr>
              <w:spacing w:before="0" w:after="0"/>
              <w:rPr>
                <w:sz w:val="16"/>
                <w:szCs w:val="16"/>
              </w:rPr>
            </w:pPr>
            <w:r w:rsidRPr="00EE43C6">
              <w:rPr>
                <w:sz w:val="16"/>
                <w:szCs w:val="16"/>
              </w:rPr>
              <w:t>Water</w:t>
            </w:r>
          </w:p>
        </w:tc>
        <w:tc>
          <w:tcPr>
            <w:tcW w:w="720" w:type="pct"/>
            <w:shd w:val="clear" w:color="auto" w:fill="FFFFFF"/>
            <w:vAlign w:val="center"/>
          </w:tcPr>
          <w:p w14:paraId="33027929" w14:textId="77777777" w:rsidR="00021890" w:rsidRPr="00EE43C6" w:rsidRDefault="00021890" w:rsidP="001964A1">
            <w:pPr>
              <w:spacing w:before="0" w:after="0"/>
              <w:jc w:val="center"/>
              <w:rPr>
                <w:sz w:val="16"/>
                <w:szCs w:val="16"/>
              </w:rPr>
            </w:pPr>
            <w:r w:rsidRPr="00EE43C6">
              <w:rPr>
                <w:sz w:val="16"/>
                <w:szCs w:val="16"/>
              </w:rPr>
              <w:t>mg/kg</w:t>
            </w:r>
          </w:p>
        </w:tc>
        <w:tc>
          <w:tcPr>
            <w:tcW w:w="609" w:type="pct"/>
            <w:shd w:val="clear" w:color="auto" w:fill="FFFFFF"/>
            <w:vAlign w:val="center"/>
          </w:tcPr>
          <w:p w14:paraId="00EEF7A2" w14:textId="77777777" w:rsidR="00021890" w:rsidRPr="00EE43C6" w:rsidRDefault="00021890" w:rsidP="001964A1">
            <w:pPr>
              <w:spacing w:before="0" w:after="0"/>
              <w:jc w:val="center"/>
              <w:rPr>
                <w:sz w:val="16"/>
                <w:szCs w:val="16"/>
              </w:rPr>
            </w:pPr>
            <w:r w:rsidRPr="00EE43C6">
              <w:rPr>
                <w:sz w:val="16"/>
                <w:szCs w:val="16"/>
              </w:rPr>
              <w:t>200</w:t>
            </w:r>
          </w:p>
        </w:tc>
      </w:tr>
      <w:tr w:rsidR="00A1201A" w:rsidRPr="00EE43C6" w14:paraId="7FC1BD6B" w14:textId="77777777" w:rsidTr="001E0229">
        <w:trPr>
          <w:trHeight w:val="284"/>
          <w:jc w:val="center"/>
        </w:trPr>
        <w:tc>
          <w:tcPr>
            <w:tcW w:w="3671" w:type="pct"/>
            <w:shd w:val="clear" w:color="auto" w:fill="auto"/>
            <w:vAlign w:val="center"/>
          </w:tcPr>
          <w:p w14:paraId="66F539CC" w14:textId="77777777" w:rsidR="00021890" w:rsidRPr="00EE43C6" w:rsidRDefault="00021890">
            <w:pPr>
              <w:spacing w:before="0" w:after="0"/>
              <w:rPr>
                <w:sz w:val="16"/>
                <w:szCs w:val="16"/>
              </w:rPr>
            </w:pPr>
            <w:r w:rsidRPr="00EE43C6">
              <w:rPr>
                <w:sz w:val="16"/>
                <w:szCs w:val="16"/>
              </w:rPr>
              <w:t>Total Pollution</w:t>
            </w:r>
          </w:p>
        </w:tc>
        <w:tc>
          <w:tcPr>
            <w:tcW w:w="720" w:type="pct"/>
            <w:shd w:val="clear" w:color="auto" w:fill="auto"/>
            <w:vAlign w:val="center"/>
          </w:tcPr>
          <w:p w14:paraId="68B73447" w14:textId="77777777" w:rsidR="00021890" w:rsidRPr="00EE43C6" w:rsidRDefault="00021890">
            <w:pPr>
              <w:spacing w:before="0" w:after="0"/>
              <w:jc w:val="center"/>
              <w:rPr>
                <w:sz w:val="16"/>
                <w:szCs w:val="16"/>
              </w:rPr>
            </w:pPr>
            <w:r w:rsidRPr="00EE43C6">
              <w:rPr>
                <w:sz w:val="16"/>
                <w:szCs w:val="16"/>
              </w:rPr>
              <w:t>mg/kg</w:t>
            </w:r>
          </w:p>
        </w:tc>
        <w:tc>
          <w:tcPr>
            <w:tcW w:w="609" w:type="pct"/>
            <w:shd w:val="clear" w:color="auto" w:fill="auto"/>
            <w:vAlign w:val="center"/>
          </w:tcPr>
          <w:p w14:paraId="575D7A95" w14:textId="77777777" w:rsidR="00021890" w:rsidRPr="00EE43C6" w:rsidRDefault="00021890">
            <w:pPr>
              <w:spacing w:before="0" w:after="0"/>
              <w:jc w:val="center"/>
              <w:rPr>
                <w:sz w:val="16"/>
                <w:szCs w:val="16"/>
              </w:rPr>
            </w:pPr>
            <w:r w:rsidRPr="00EE43C6">
              <w:rPr>
                <w:sz w:val="16"/>
                <w:szCs w:val="16"/>
              </w:rPr>
              <w:t>24</w:t>
            </w:r>
          </w:p>
        </w:tc>
      </w:tr>
      <w:tr w:rsidR="001964A1" w:rsidRPr="00EE43C6" w14:paraId="2225D3D0" w14:textId="77777777" w:rsidTr="001E0229">
        <w:trPr>
          <w:trHeight w:val="284"/>
          <w:jc w:val="center"/>
        </w:trPr>
        <w:tc>
          <w:tcPr>
            <w:tcW w:w="3671" w:type="pct"/>
            <w:shd w:val="clear" w:color="auto" w:fill="FFFFFF"/>
            <w:vAlign w:val="center"/>
          </w:tcPr>
          <w:p w14:paraId="52B08CA9" w14:textId="77777777" w:rsidR="00021890" w:rsidRPr="00EE43C6" w:rsidRDefault="00021890" w:rsidP="001964A1">
            <w:pPr>
              <w:spacing w:before="0" w:after="0"/>
              <w:rPr>
                <w:sz w:val="16"/>
                <w:szCs w:val="16"/>
              </w:rPr>
            </w:pPr>
            <w:r w:rsidRPr="00EE43C6">
              <w:rPr>
                <w:sz w:val="16"/>
                <w:szCs w:val="16"/>
              </w:rPr>
              <w:t>Oxidation Stability</w:t>
            </w:r>
          </w:p>
        </w:tc>
        <w:tc>
          <w:tcPr>
            <w:tcW w:w="720" w:type="pct"/>
            <w:shd w:val="clear" w:color="auto" w:fill="FFFFFF"/>
            <w:vAlign w:val="center"/>
          </w:tcPr>
          <w:p w14:paraId="5A110749" w14:textId="77777777" w:rsidR="00021890" w:rsidRPr="00EE43C6" w:rsidRDefault="00021890" w:rsidP="001964A1">
            <w:pPr>
              <w:spacing w:before="0" w:after="0"/>
              <w:jc w:val="center"/>
              <w:rPr>
                <w:sz w:val="16"/>
                <w:szCs w:val="16"/>
              </w:rPr>
            </w:pPr>
            <w:r w:rsidRPr="00EE43C6">
              <w:rPr>
                <w:sz w:val="16"/>
                <w:szCs w:val="16"/>
              </w:rPr>
              <w:t>g/m</w:t>
            </w:r>
            <w:r w:rsidRPr="00EE43C6">
              <w:rPr>
                <w:sz w:val="16"/>
                <w:szCs w:val="16"/>
                <w:vertAlign w:val="superscript"/>
              </w:rPr>
              <w:t>3</w:t>
            </w:r>
          </w:p>
        </w:tc>
        <w:tc>
          <w:tcPr>
            <w:tcW w:w="609" w:type="pct"/>
            <w:shd w:val="clear" w:color="auto" w:fill="FFFFFF"/>
            <w:vAlign w:val="center"/>
          </w:tcPr>
          <w:p w14:paraId="5A5157D4" w14:textId="77777777" w:rsidR="00021890" w:rsidRPr="00EE43C6" w:rsidRDefault="00021890" w:rsidP="001964A1">
            <w:pPr>
              <w:spacing w:before="0" w:after="0"/>
              <w:jc w:val="center"/>
              <w:rPr>
                <w:sz w:val="16"/>
                <w:szCs w:val="16"/>
              </w:rPr>
            </w:pPr>
            <w:r w:rsidRPr="00EE43C6">
              <w:rPr>
                <w:sz w:val="16"/>
                <w:szCs w:val="16"/>
              </w:rPr>
              <w:t>25</w:t>
            </w:r>
          </w:p>
        </w:tc>
      </w:tr>
      <w:tr w:rsidR="00A1201A" w:rsidRPr="00EE43C6" w14:paraId="442AC651" w14:textId="77777777" w:rsidTr="001E0229">
        <w:trPr>
          <w:trHeight w:val="284"/>
          <w:jc w:val="center"/>
        </w:trPr>
        <w:tc>
          <w:tcPr>
            <w:tcW w:w="3671" w:type="pct"/>
            <w:shd w:val="clear" w:color="auto" w:fill="auto"/>
            <w:vAlign w:val="center"/>
          </w:tcPr>
          <w:p w14:paraId="7E6D247F" w14:textId="77777777" w:rsidR="00021890" w:rsidRPr="00EE43C6" w:rsidRDefault="00021890">
            <w:pPr>
              <w:spacing w:before="0" w:after="0"/>
              <w:rPr>
                <w:sz w:val="16"/>
                <w:szCs w:val="16"/>
              </w:rPr>
            </w:pPr>
            <w:r w:rsidRPr="00EE43C6">
              <w:rPr>
                <w:sz w:val="16"/>
                <w:szCs w:val="16"/>
              </w:rPr>
              <w:t xml:space="preserve">Lubrication feature at 60 </w:t>
            </w:r>
            <w:r w:rsidRPr="00EE43C6">
              <w:rPr>
                <w:sz w:val="16"/>
                <w:szCs w:val="16"/>
                <w:vertAlign w:val="superscript"/>
              </w:rPr>
              <w:t>0</w:t>
            </w:r>
            <w:r w:rsidRPr="00EE43C6">
              <w:rPr>
                <w:sz w:val="16"/>
                <w:szCs w:val="16"/>
              </w:rPr>
              <w:t>C</w:t>
            </w:r>
          </w:p>
        </w:tc>
        <w:tc>
          <w:tcPr>
            <w:tcW w:w="720" w:type="pct"/>
            <w:vMerge w:val="restart"/>
            <w:shd w:val="clear" w:color="auto" w:fill="auto"/>
            <w:vAlign w:val="center"/>
          </w:tcPr>
          <w:p w14:paraId="3C1E1D3D" w14:textId="77777777" w:rsidR="00021890" w:rsidRPr="00EE43C6" w:rsidRDefault="00021890">
            <w:pPr>
              <w:spacing w:before="0" w:after="0"/>
              <w:jc w:val="center"/>
              <w:rPr>
                <w:sz w:val="16"/>
                <w:szCs w:val="16"/>
              </w:rPr>
            </w:pPr>
            <w:r w:rsidRPr="00EE43C6">
              <w:rPr>
                <w:sz w:val="16"/>
                <w:szCs w:val="16"/>
              </w:rPr>
              <w:t>µm</w:t>
            </w:r>
          </w:p>
        </w:tc>
        <w:tc>
          <w:tcPr>
            <w:tcW w:w="609" w:type="pct"/>
            <w:vMerge w:val="restart"/>
            <w:shd w:val="clear" w:color="auto" w:fill="auto"/>
            <w:vAlign w:val="center"/>
          </w:tcPr>
          <w:p w14:paraId="6A5485CC" w14:textId="77777777" w:rsidR="00021890" w:rsidRPr="00EE43C6" w:rsidRDefault="00021890">
            <w:pPr>
              <w:spacing w:before="0" w:after="0"/>
              <w:jc w:val="center"/>
              <w:rPr>
                <w:sz w:val="16"/>
                <w:szCs w:val="16"/>
              </w:rPr>
            </w:pPr>
            <w:r w:rsidRPr="00EE43C6">
              <w:rPr>
                <w:sz w:val="16"/>
                <w:szCs w:val="16"/>
              </w:rPr>
              <w:t>460</w:t>
            </w:r>
          </w:p>
        </w:tc>
      </w:tr>
      <w:tr w:rsidR="00A1201A" w:rsidRPr="00EE43C6" w14:paraId="27DA7F5C" w14:textId="77777777" w:rsidTr="001E0229">
        <w:trPr>
          <w:trHeight w:val="284"/>
          <w:jc w:val="center"/>
        </w:trPr>
        <w:tc>
          <w:tcPr>
            <w:tcW w:w="3671" w:type="pct"/>
            <w:shd w:val="clear" w:color="auto" w:fill="auto"/>
            <w:vAlign w:val="center"/>
          </w:tcPr>
          <w:p w14:paraId="0E76EDA0" w14:textId="77777777" w:rsidR="00021890" w:rsidRPr="00EE43C6" w:rsidRDefault="00021890">
            <w:pPr>
              <w:spacing w:before="0" w:after="0"/>
              <w:rPr>
                <w:sz w:val="16"/>
                <w:szCs w:val="16"/>
              </w:rPr>
            </w:pPr>
            <w:r w:rsidRPr="00EE43C6">
              <w:rPr>
                <w:sz w:val="16"/>
                <w:szCs w:val="16"/>
              </w:rPr>
              <w:t>Corrected wear scar diameter</w:t>
            </w:r>
          </w:p>
        </w:tc>
        <w:tc>
          <w:tcPr>
            <w:tcW w:w="720" w:type="pct"/>
            <w:vMerge/>
            <w:shd w:val="clear" w:color="auto" w:fill="auto"/>
            <w:vAlign w:val="center"/>
          </w:tcPr>
          <w:p w14:paraId="0386DB5C" w14:textId="77777777" w:rsidR="00021890" w:rsidRPr="00EE43C6" w:rsidRDefault="00021890">
            <w:pPr>
              <w:spacing w:before="0" w:after="0"/>
              <w:jc w:val="center"/>
              <w:rPr>
                <w:sz w:val="16"/>
                <w:szCs w:val="16"/>
              </w:rPr>
            </w:pPr>
            <w:bookmarkStart w:id="488" w:name="_Toc324494041"/>
            <w:bookmarkEnd w:id="488"/>
          </w:p>
        </w:tc>
        <w:tc>
          <w:tcPr>
            <w:tcW w:w="609" w:type="pct"/>
            <w:vMerge/>
            <w:shd w:val="clear" w:color="auto" w:fill="auto"/>
            <w:vAlign w:val="center"/>
          </w:tcPr>
          <w:p w14:paraId="679A0FCB" w14:textId="77777777" w:rsidR="00021890" w:rsidRPr="00EE43C6" w:rsidRDefault="00021890">
            <w:pPr>
              <w:spacing w:before="0" w:after="0"/>
              <w:jc w:val="center"/>
              <w:rPr>
                <w:sz w:val="16"/>
                <w:szCs w:val="16"/>
              </w:rPr>
            </w:pPr>
            <w:bookmarkStart w:id="489" w:name="_Toc324494042"/>
            <w:bookmarkEnd w:id="489"/>
          </w:p>
        </w:tc>
      </w:tr>
    </w:tbl>
    <w:p w14:paraId="0293A9AE" w14:textId="7E972871" w:rsidR="00021890" w:rsidRPr="00EE43C6" w:rsidRDefault="00964217" w:rsidP="00B625EB">
      <w:r w:rsidRPr="00EE43C6">
        <w:t xml:space="preserve">Emission factors developed by the United States Environmental Protection Agency (U.S.EPA) and given in </w:t>
      </w:r>
      <w:r w:rsidR="001E0229">
        <w:fldChar w:fldCharType="begin"/>
      </w:r>
      <w:r w:rsidR="001E0229">
        <w:instrText xml:space="preserve"> REF _Ref141438875 \h </w:instrText>
      </w:r>
      <w:r w:rsidR="001E0229">
        <w:fldChar w:fldCharType="separate"/>
      </w:r>
      <w:r w:rsidR="001E0229" w:rsidRPr="00EE43C6">
        <w:t xml:space="preserve">Table </w:t>
      </w:r>
      <w:r w:rsidR="001E0229">
        <w:t>6</w:t>
      </w:r>
      <w:r w:rsidR="001E0229">
        <w:noBreakHyphen/>
        <w:t>13</w:t>
      </w:r>
      <w:r w:rsidR="001E0229">
        <w:fldChar w:fldCharType="end"/>
      </w:r>
      <w:r w:rsidR="001E0229">
        <w:t xml:space="preserve"> </w:t>
      </w:r>
      <w:r w:rsidR="00F1737B" w:rsidRPr="00EE43C6">
        <w:t>were used to calculate the possible emissions from vehicles to be used during the construction works of the Project.</w:t>
      </w:r>
    </w:p>
    <w:p w14:paraId="75987589" w14:textId="77777777" w:rsidR="001E0229" w:rsidRDefault="001E0229">
      <w:pPr>
        <w:spacing w:before="0" w:after="200" w:line="276" w:lineRule="auto"/>
        <w:jc w:val="left"/>
        <w:rPr>
          <w:b/>
          <w:bCs/>
          <w:color w:val="4F81BD"/>
          <w:sz w:val="20"/>
          <w:szCs w:val="20"/>
          <w:lang w:eastAsia="en-US"/>
        </w:rPr>
      </w:pPr>
      <w:bookmarkStart w:id="490" w:name="_Ref127975765"/>
      <w:r>
        <w:br w:type="page"/>
      </w:r>
    </w:p>
    <w:p w14:paraId="06D30BC8" w14:textId="6F3F9733" w:rsidR="00B93EF5" w:rsidRPr="00EE43C6" w:rsidRDefault="00D81511" w:rsidP="00591B1C">
      <w:pPr>
        <w:pStyle w:val="Caption"/>
        <w:rPr>
          <w:noProof w:val="0"/>
        </w:rPr>
      </w:pPr>
      <w:bookmarkStart w:id="491" w:name="_Ref141438875"/>
      <w:bookmarkStart w:id="492" w:name="_Toc141445522"/>
      <w:r w:rsidRPr="00EE43C6">
        <w:rPr>
          <w:noProof w:val="0"/>
        </w:rPr>
        <w:lastRenderedPageBreak/>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13</w:t>
      </w:r>
      <w:r w:rsidR="006D2DE8">
        <w:rPr>
          <w:noProof w:val="0"/>
        </w:rPr>
        <w:fldChar w:fldCharType="end"/>
      </w:r>
      <w:bookmarkEnd w:id="490"/>
      <w:bookmarkEnd w:id="491"/>
      <w:r w:rsidRPr="00EE43C6">
        <w:rPr>
          <w:noProof w:val="0"/>
        </w:rPr>
        <w:t xml:space="preserve">. </w:t>
      </w:r>
      <w:r w:rsidRPr="00EE43C6">
        <w:rPr>
          <w:b w:val="0"/>
          <w:bCs w:val="0"/>
          <w:noProof w:val="0"/>
          <w:color w:val="auto"/>
        </w:rPr>
        <w:t>Emission Factors Originating from Diesel Vehicles (kg/ton</w:t>
      </w:r>
      <w:r w:rsidR="001932B8" w:rsidRPr="00EE43C6">
        <w:rPr>
          <w:b w:val="0"/>
          <w:bCs w:val="0"/>
          <w:noProof w:val="0"/>
          <w:color w:val="auto"/>
        </w:rPr>
        <w:t>ne</w:t>
      </w:r>
      <w:r w:rsidRPr="00EE43C6">
        <w:rPr>
          <w:b w:val="0"/>
          <w:bCs w:val="0"/>
          <w:noProof w:val="0"/>
          <w:color w:val="auto"/>
        </w:rPr>
        <w:t>)</w:t>
      </w:r>
      <w:bookmarkEnd w:id="49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7"/>
        <w:gridCol w:w="4947"/>
      </w:tblGrid>
      <w:tr w:rsidR="00B93EF5" w:rsidRPr="00EE43C6" w14:paraId="4C63FFC8" w14:textId="77777777" w:rsidTr="001E0229">
        <w:trPr>
          <w:tblHeader/>
          <w:jc w:val="center"/>
        </w:trPr>
        <w:tc>
          <w:tcPr>
            <w:tcW w:w="2268" w:type="pct"/>
            <w:tcBorders>
              <w:left w:val="single" w:sz="8" w:space="0" w:color="auto"/>
              <w:bottom w:val="single" w:sz="8" w:space="0" w:color="auto"/>
              <w:right w:val="single" w:sz="8" w:space="0" w:color="auto"/>
            </w:tcBorders>
            <w:shd w:val="clear" w:color="auto" w:fill="4F81BD"/>
            <w:vAlign w:val="center"/>
          </w:tcPr>
          <w:p w14:paraId="3367724B" w14:textId="77777777" w:rsidR="00B93EF5" w:rsidRPr="00EE43C6" w:rsidRDefault="00B93EF5" w:rsidP="001E0229">
            <w:pPr>
              <w:spacing w:before="60" w:after="60" w:line="240" w:lineRule="auto"/>
              <w:jc w:val="center"/>
              <w:rPr>
                <w:b/>
                <w:color w:val="FFFFFF" w:themeColor="background1"/>
                <w:sz w:val="18"/>
                <w:szCs w:val="18"/>
              </w:rPr>
            </w:pPr>
            <w:r w:rsidRPr="00EE43C6">
              <w:rPr>
                <w:b/>
                <w:color w:val="FFFFFF" w:themeColor="background1"/>
                <w:sz w:val="18"/>
                <w:szCs w:val="18"/>
              </w:rPr>
              <w:t>Pollutant</w:t>
            </w:r>
          </w:p>
        </w:tc>
        <w:tc>
          <w:tcPr>
            <w:tcW w:w="2732" w:type="pct"/>
            <w:tcBorders>
              <w:left w:val="single" w:sz="8" w:space="0" w:color="auto"/>
              <w:bottom w:val="single" w:sz="8" w:space="0" w:color="auto"/>
              <w:right w:val="single" w:sz="8" w:space="0" w:color="auto"/>
            </w:tcBorders>
            <w:shd w:val="clear" w:color="auto" w:fill="4F81BD"/>
            <w:vAlign w:val="center"/>
          </w:tcPr>
          <w:p w14:paraId="22986B95" w14:textId="77777777" w:rsidR="00B93EF5" w:rsidRPr="00EE43C6" w:rsidRDefault="00B93EF5" w:rsidP="001E0229">
            <w:pPr>
              <w:spacing w:before="60" w:after="60" w:line="240" w:lineRule="auto"/>
              <w:jc w:val="center"/>
              <w:rPr>
                <w:b/>
                <w:color w:val="FFFFFF" w:themeColor="background1"/>
                <w:sz w:val="18"/>
                <w:szCs w:val="18"/>
              </w:rPr>
            </w:pPr>
            <w:r w:rsidRPr="00EE43C6">
              <w:rPr>
                <w:b/>
                <w:color w:val="FFFFFF" w:themeColor="background1"/>
                <w:sz w:val="18"/>
                <w:szCs w:val="18"/>
              </w:rPr>
              <w:t>Diesel</w:t>
            </w:r>
          </w:p>
        </w:tc>
      </w:tr>
      <w:tr w:rsidR="00B93EF5" w:rsidRPr="00EE43C6" w14:paraId="0A3418C3" w14:textId="77777777" w:rsidTr="001E0229">
        <w:trPr>
          <w:jc w:val="center"/>
        </w:trPr>
        <w:tc>
          <w:tcPr>
            <w:tcW w:w="2268" w:type="pct"/>
            <w:tcBorders>
              <w:top w:val="single" w:sz="8" w:space="0" w:color="auto"/>
            </w:tcBorders>
            <w:vAlign w:val="center"/>
          </w:tcPr>
          <w:p w14:paraId="33586E87" w14:textId="77777777" w:rsidR="00B93EF5" w:rsidRPr="00EE43C6" w:rsidRDefault="00B93EF5" w:rsidP="001E0229">
            <w:pPr>
              <w:spacing w:before="60" w:after="60" w:line="240" w:lineRule="auto"/>
              <w:jc w:val="center"/>
              <w:rPr>
                <w:sz w:val="18"/>
                <w:szCs w:val="18"/>
              </w:rPr>
            </w:pPr>
            <w:r w:rsidRPr="00EE43C6">
              <w:rPr>
                <w:sz w:val="18"/>
                <w:szCs w:val="18"/>
              </w:rPr>
              <w:t>Carbon Monoxides</w:t>
            </w:r>
          </w:p>
        </w:tc>
        <w:tc>
          <w:tcPr>
            <w:tcW w:w="2732" w:type="pct"/>
            <w:tcBorders>
              <w:top w:val="single" w:sz="8" w:space="0" w:color="auto"/>
            </w:tcBorders>
            <w:vAlign w:val="center"/>
          </w:tcPr>
          <w:p w14:paraId="629506D6" w14:textId="77777777" w:rsidR="00B93EF5" w:rsidRPr="00EE43C6" w:rsidRDefault="00B93EF5" w:rsidP="001E0229">
            <w:pPr>
              <w:spacing w:before="60" w:after="60" w:line="240" w:lineRule="auto"/>
              <w:jc w:val="center"/>
              <w:rPr>
                <w:sz w:val="18"/>
                <w:szCs w:val="18"/>
              </w:rPr>
            </w:pPr>
            <w:r w:rsidRPr="00EE43C6">
              <w:rPr>
                <w:sz w:val="18"/>
                <w:szCs w:val="18"/>
              </w:rPr>
              <w:t>7.2</w:t>
            </w:r>
          </w:p>
        </w:tc>
      </w:tr>
      <w:tr w:rsidR="00B93EF5" w:rsidRPr="00EE43C6" w14:paraId="2AB5B148" w14:textId="77777777" w:rsidTr="001E0229">
        <w:trPr>
          <w:jc w:val="center"/>
        </w:trPr>
        <w:tc>
          <w:tcPr>
            <w:tcW w:w="2268" w:type="pct"/>
            <w:vAlign w:val="center"/>
          </w:tcPr>
          <w:p w14:paraId="0BA69C3A" w14:textId="77777777" w:rsidR="00B93EF5" w:rsidRPr="00EE43C6" w:rsidRDefault="00B93EF5" w:rsidP="001E0229">
            <w:pPr>
              <w:spacing w:before="60" w:after="60" w:line="240" w:lineRule="auto"/>
              <w:jc w:val="center"/>
              <w:rPr>
                <w:sz w:val="18"/>
                <w:szCs w:val="18"/>
              </w:rPr>
            </w:pPr>
            <w:r w:rsidRPr="00EE43C6">
              <w:rPr>
                <w:sz w:val="18"/>
                <w:szCs w:val="18"/>
              </w:rPr>
              <w:t>Hydrocarbons</w:t>
            </w:r>
          </w:p>
        </w:tc>
        <w:tc>
          <w:tcPr>
            <w:tcW w:w="2732" w:type="pct"/>
            <w:vAlign w:val="center"/>
          </w:tcPr>
          <w:p w14:paraId="11C41711" w14:textId="77777777" w:rsidR="00B93EF5" w:rsidRPr="00EE43C6" w:rsidRDefault="00B93EF5" w:rsidP="001E0229">
            <w:pPr>
              <w:spacing w:before="60" w:after="60" w:line="240" w:lineRule="auto"/>
              <w:jc w:val="center"/>
              <w:rPr>
                <w:sz w:val="18"/>
                <w:szCs w:val="18"/>
              </w:rPr>
            </w:pPr>
            <w:r w:rsidRPr="00EE43C6">
              <w:rPr>
                <w:sz w:val="18"/>
                <w:szCs w:val="18"/>
              </w:rPr>
              <w:t>16.3</w:t>
            </w:r>
          </w:p>
        </w:tc>
      </w:tr>
      <w:tr w:rsidR="00B93EF5" w:rsidRPr="00EE43C6" w14:paraId="3C375619" w14:textId="77777777" w:rsidTr="001E0229">
        <w:trPr>
          <w:jc w:val="center"/>
        </w:trPr>
        <w:tc>
          <w:tcPr>
            <w:tcW w:w="2268" w:type="pct"/>
            <w:vAlign w:val="center"/>
          </w:tcPr>
          <w:p w14:paraId="175EE349" w14:textId="77777777" w:rsidR="00B93EF5" w:rsidRPr="00EE43C6" w:rsidRDefault="00B93EF5" w:rsidP="001E0229">
            <w:pPr>
              <w:spacing w:before="60" w:after="60" w:line="240" w:lineRule="auto"/>
              <w:jc w:val="center"/>
              <w:rPr>
                <w:sz w:val="18"/>
                <w:szCs w:val="18"/>
              </w:rPr>
            </w:pPr>
            <w:r w:rsidRPr="00EE43C6">
              <w:rPr>
                <w:sz w:val="18"/>
                <w:szCs w:val="18"/>
              </w:rPr>
              <w:t>Nitrogen Oxides</w:t>
            </w:r>
          </w:p>
        </w:tc>
        <w:tc>
          <w:tcPr>
            <w:tcW w:w="2732" w:type="pct"/>
            <w:vAlign w:val="center"/>
          </w:tcPr>
          <w:p w14:paraId="2E422FFA" w14:textId="77777777" w:rsidR="00B93EF5" w:rsidRPr="00EE43C6" w:rsidRDefault="00B93EF5" w:rsidP="001E0229">
            <w:pPr>
              <w:spacing w:before="60" w:after="60" w:line="240" w:lineRule="auto"/>
              <w:jc w:val="center"/>
              <w:rPr>
                <w:sz w:val="18"/>
                <w:szCs w:val="18"/>
              </w:rPr>
            </w:pPr>
            <w:r w:rsidRPr="00EE43C6">
              <w:rPr>
                <w:sz w:val="18"/>
                <w:szCs w:val="18"/>
              </w:rPr>
              <w:t>26.6</w:t>
            </w:r>
          </w:p>
        </w:tc>
      </w:tr>
      <w:tr w:rsidR="00B93EF5" w:rsidRPr="00EE43C6" w14:paraId="04748134" w14:textId="77777777" w:rsidTr="001E0229">
        <w:trPr>
          <w:jc w:val="center"/>
        </w:trPr>
        <w:tc>
          <w:tcPr>
            <w:tcW w:w="2268" w:type="pct"/>
            <w:vAlign w:val="center"/>
          </w:tcPr>
          <w:p w14:paraId="31EED37A" w14:textId="77777777" w:rsidR="00B93EF5" w:rsidRPr="00EE43C6" w:rsidRDefault="00B93EF5" w:rsidP="001E0229">
            <w:pPr>
              <w:spacing w:before="60" w:after="60" w:line="240" w:lineRule="auto"/>
              <w:jc w:val="center"/>
              <w:rPr>
                <w:sz w:val="18"/>
                <w:szCs w:val="18"/>
              </w:rPr>
            </w:pPr>
            <w:r w:rsidRPr="00EE43C6">
              <w:rPr>
                <w:sz w:val="18"/>
                <w:szCs w:val="18"/>
              </w:rPr>
              <w:t>Sulphur Oxides</w:t>
            </w:r>
          </w:p>
        </w:tc>
        <w:tc>
          <w:tcPr>
            <w:tcW w:w="2732" w:type="pct"/>
            <w:vAlign w:val="center"/>
          </w:tcPr>
          <w:p w14:paraId="3233B35B" w14:textId="77777777" w:rsidR="00B93EF5" w:rsidRPr="00EE43C6" w:rsidRDefault="00B93EF5" w:rsidP="001E0229">
            <w:pPr>
              <w:spacing w:before="60" w:after="60" w:line="240" w:lineRule="auto"/>
              <w:jc w:val="center"/>
              <w:rPr>
                <w:sz w:val="18"/>
                <w:szCs w:val="18"/>
              </w:rPr>
            </w:pPr>
            <w:r w:rsidRPr="00EE43C6">
              <w:rPr>
                <w:sz w:val="18"/>
                <w:szCs w:val="18"/>
              </w:rPr>
              <w:t>4.8</w:t>
            </w:r>
          </w:p>
        </w:tc>
      </w:tr>
    </w:tbl>
    <w:p w14:paraId="46E6D5AD" w14:textId="77777777" w:rsidR="00AE27F6" w:rsidRPr="00EE43C6" w:rsidRDefault="00AE27F6" w:rsidP="00AE27F6">
      <w:pPr>
        <w:spacing w:before="0"/>
        <w:rPr>
          <w:i/>
          <w:sz w:val="16"/>
          <w:szCs w:val="16"/>
        </w:rPr>
      </w:pPr>
      <w:r w:rsidRPr="00EE43C6">
        <w:rPr>
          <w:sz w:val="16"/>
          <w:szCs w:val="16"/>
        </w:rPr>
        <w:t xml:space="preserve">Source: </w:t>
      </w:r>
      <w:r w:rsidRPr="00EE43C6">
        <w:rPr>
          <w:i/>
          <w:sz w:val="16"/>
          <w:szCs w:val="16"/>
        </w:rPr>
        <w:t>Compilation of Air Pollution Emission Factors Volume I: Stationary Point and Area Sources”, 4</w:t>
      </w:r>
      <w:r w:rsidRPr="00616769">
        <w:rPr>
          <w:i/>
          <w:sz w:val="16"/>
          <w:szCs w:val="16"/>
          <w:vertAlign w:val="superscript"/>
        </w:rPr>
        <w:t>th</w:t>
      </w:r>
      <w:r w:rsidRPr="00EE43C6">
        <w:rPr>
          <w:i/>
          <w:sz w:val="16"/>
          <w:szCs w:val="16"/>
        </w:rPr>
        <w:t xml:space="preserve"> ed., AP-42, U.S. EPA, Office of Air Quality Planning and Standards, 1985, with updates through September 1991</w:t>
      </w:r>
    </w:p>
    <w:p w14:paraId="720B4DDE" w14:textId="24643286" w:rsidR="00F1737B" w:rsidRPr="00EE43C6" w:rsidRDefault="00ED4AED" w:rsidP="00B625EB">
      <w:pPr>
        <w:rPr>
          <w:rFonts w:cs="Wingdings"/>
          <w:szCs w:val="18"/>
        </w:rPr>
      </w:pPr>
      <w:r w:rsidRPr="00EE43C6">
        <w:rPr>
          <w:rFonts w:cs="Wingdings"/>
          <w:szCs w:val="18"/>
        </w:rPr>
        <w:t xml:space="preserve">It is planned to use maximum </w:t>
      </w:r>
      <w:r w:rsidR="00B922CD" w:rsidRPr="00EE43C6">
        <w:rPr>
          <w:rFonts w:cs="Wingdings"/>
          <w:szCs w:val="18"/>
        </w:rPr>
        <w:t>forty</w:t>
      </w:r>
      <w:r w:rsidRPr="00EE43C6">
        <w:rPr>
          <w:rFonts w:cs="Wingdings"/>
          <w:szCs w:val="18"/>
        </w:rPr>
        <w:t>-</w:t>
      </w:r>
      <w:r w:rsidR="00B922CD" w:rsidRPr="00EE43C6">
        <w:rPr>
          <w:rFonts w:cs="Wingdings"/>
          <w:szCs w:val="18"/>
        </w:rPr>
        <w:t>one</w:t>
      </w:r>
      <w:r w:rsidRPr="00EE43C6">
        <w:rPr>
          <w:rFonts w:cs="Wingdings"/>
          <w:szCs w:val="18"/>
        </w:rPr>
        <w:t xml:space="preserve"> (</w:t>
      </w:r>
      <w:r w:rsidR="00B922CD" w:rsidRPr="00EE43C6">
        <w:rPr>
          <w:rFonts w:cs="Wingdings"/>
          <w:szCs w:val="18"/>
        </w:rPr>
        <w:t>41</w:t>
      </w:r>
      <w:r w:rsidRPr="00EE43C6">
        <w:rPr>
          <w:rFonts w:cs="Wingdings"/>
          <w:szCs w:val="18"/>
        </w:rPr>
        <w:t xml:space="preserve">) construction machines operating at the same time during the construction phase of the Project </w:t>
      </w:r>
      <w:r w:rsidR="00E94810" w:rsidRPr="00EE43C6">
        <w:rPr>
          <w:rFonts w:cs="Wingdings"/>
          <w:szCs w:val="18"/>
        </w:rPr>
        <w:t xml:space="preserve">(see </w:t>
      </w:r>
      <w:r w:rsidR="00021386" w:rsidRPr="00EE43C6">
        <w:rPr>
          <w:rFonts w:cs="Wingdings"/>
          <w:szCs w:val="18"/>
        </w:rPr>
        <w:fldChar w:fldCharType="begin"/>
      </w:r>
      <w:r w:rsidR="00021386" w:rsidRPr="00EE43C6">
        <w:rPr>
          <w:rFonts w:cs="Wingdings"/>
          <w:szCs w:val="18"/>
        </w:rPr>
        <w:instrText xml:space="preserve"> REF _Ref127976015 \h </w:instrText>
      </w:r>
      <w:r w:rsidR="00021386" w:rsidRPr="00EE43C6">
        <w:rPr>
          <w:rFonts w:cs="Wingdings"/>
          <w:szCs w:val="18"/>
        </w:rPr>
      </w:r>
      <w:r w:rsidR="00021386" w:rsidRPr="00EE43C6">
        <w:rPr>
          <w:rFonts w:cs="Wingdings"/>
          <w:szCs w:val="18"/>
        </w:rPr>
        <w:fldChar w:fldCharType="separate"/>
      </w:r>
      <w:r w:rsidR="006971DF" w:rsidRPr="00EE43C6">
        <w:t>Table 6</w:t>
      </w:r>
      <w:r w:rsidR="006971DF" w:rsidRPr="00EE43C6">
        <w:noBreakHyphen/>
        <w:t>21</w:t>
      </w:r>
      <w:r w:rsidR="00021386" w:rsidRPr="00EE43C6">
        <w:rPr>
          <w:rFonts w:cs="Wingdings"/>
          <w:szCs w:val="18"/>
        </w:rPr>
        <w:fldChar w:fldCharType="end"/>
      </w:r>
      <w:r w:rsidR="00E94810" w:rsidRPr="00EE43C6">
        <w:rPr>
          <w:rFonts w:cs="Wingdings"/>
          <w:szCs w:val="18"/>
        </w:rPr>
        <w:t xml:space="preserve">) </w:t>
      </w:r>
      <w:r w:rsidRPr="00EE43C6">
        <w:rPr>
          <w:rFonts w:cs="Wingdings"/>
          <w:szCs w:val="18"/>
        </w:rPr>
        <w:t>and there will be no use of construction equipment during the operation phase. With the worst-case assumption that these vehicles will operate at the same time, it is predicted that the maximum amount of diesel fuel a vehicle will consume will be 5 L/hr-vehicle. In this regard, mass flow calculations have been made for exhaust emissions and the calculations are given below.</w:t>
      </w:r>
    </w:p>
    <w:p w14:paraId="78871295" w14:textId="77777777" w:rsidR="008D12D4" w:rsidRPr="00EE43C6" w:rsidRDefault="008D12D4" w:rsidP="008D12D4">
      <w:pPr>
        <w:spacing w:before="0"/>
        <w:rPr>
          <w:iCs/>
        </w:rPr>
      </w:pPr>
      <w:r w:rsidRPr="00EE43C6">
        <w:rPr>
          <w:iCs/>
        </w:rPr>
        <w:t>Density of Diesel = 0.830 kg/L</w:t>
      </w:r>
    </w:p>
    <w:p w14:paraId="70E0DEC7" w14:textId="0410081D" w:rsidR="008D12D4" w:rsidRPr="00EE43C6" w:rsidRDefault="008D12D4" w:rsidP="008D12D4">
      <w:pPr>
        <w:spacing w:before="0"/>
        <w:rPr>
          <w:iCs/>
        </w:rPr>
      </w:pPr>
      <w:r w:rsidRPr="00EE43C6">
        <w:rPr>
          <w:iCs/>
        </w:rPr>
        <w:t>5 L/hr-vehicle x 0.830 kg/L x 41 vehicles = 1</w:t>
      </w:r>
      <w:r w:rsidR="008D022A" w:rsidRPr="00EE43C6">
        <w:rPr>
          <w:iCs/>
        </w:rPr>
        <w:t>70</w:t>
      </w:r>
      <w:r w:rsidRPr="00EE43C6">
        <w:rPr>
          <w:iCs/>
        </w:rPr>
        <w:t>.</w:t>
      </w:r>
      <w:r w:rsidR="008D022A" w:rsidRPr="00EE43C6">
        <w:rPr>
          <w:iCs/>
        </w:rPr>
        <w:t>15</w:t>
      </w:r>
      <w:r w:rsidRPr="00EE43C6">
        <w:rPr>
          <w:iCs/>
        </w:rPr>
        <w:t xml:space="preserve"> kg/hour = 0.1</w:t>
      </w:r>
      <w:r w:rsidR="008D022A" w:rsidRPr="00EE43C6">
        <w:rPr>
          <w:iCs/>
        </w:rPr>
        <w:t>7015</w:t>
      </w:r>
      <w:r w:rsidRPr="00EE43C6">
        <w:rPr>
          <w:iCs/>
        </w:rPr>
        <w:t xml:space="preserve"> ton</w:t>
      </w:r>
      <w:r w:rsidR="001932B8" w:rsidRPr="00EE43C6">
        <w:rPr>
          <w:iCs/>
        </w:rPr>
        <w:t>ne</w:t>
      </w:r>
      <w:r w:rsidRPr="00EE43C6">
        <w:rPr>
          <w:iCs/>
        </w:rPr>
        <w:t>/hr due to usage:</w:t>
      </w:r>
    </w:p>
    <w:p w14:paraId="7DCF73D9" w14:textId="15031A4B" w:rsidR="008D12D4" w:rsidRPr="00EE43C6" w:rsidRDefault="008D12D4" w:rsidP="008D12D4">
      <w:pPr>
        <w:spacing w:before="0"/>
        <w:rPr>
          <w:iCs/>
        </w:rPr>
      </w:pPr>
      <w:r w:rsidRPr="00EE43C6">
        <w:rPr>
          <w:iCs/>
        </w:rPr>
        <w:t>Carbon monoxides</w:t>
      </w:r>
      <w:r w:rsidRPr="00EE43C6">
        <w:rPr>
          <w:iCs/>
        </w:rPr>
        <w:tab/>
        <w:t>: 7.2 kg/ton</w:t>
      </w:r>
      <w:r w:rsidR="00EA0115" w:rsidRPr="00EE43C6">
        <w:rPr>
          <w:iCs/>
        </w:rPr>
        <w:t>nes</w:t>
      </w:r>
      <w:r w:rsidRPr="00EE43C6">
        <w:rPr>
          <w:iCs/>
        </w:rPr>
        <w:t xml:space="preserve"> x 0.1</w:t>
      </w:r>
      <w:r w:rsidR="008D022A" w:rsidRPr="00EE43C6">
        <w:rPr>
          <w:iCs/>
        </w:rPr>
        <w:t>7015</w:t>
      </w:r>
      <w:r w:rsidRPr="00EE43C6">
        <w:rPr>
          <w:iCs/>
        </w:rPr>
        <w:t xml:space="preserve"> ton</w:t>
      </w:r>
      <w:r w:rsidR="00EA0115" w:rsidRPr="00EE43C6">
        <w:rPr>
          <w:iCs/>
        </w:rPr>
        <w:t>ne</w:t>
      </w:r>
      <w:r w:rsidRPr="00EE43C6">
        <w:rPr>
          <w:iCs/>
        </w:rPr>
        <w:t xml:space="preserve">/hour </w:t>
      </w:r>
      <w:r w:rsidRPr="00EE43C6">
        <w:rPr>
          <w:iCs/>
        </w:rPr>
        <w:tab/>
        <w:t>= 1.</w:t>
      </w:r>
      <w:r w:rsidR="00DE29BD" w:rsidRPr="00EE43C6">
        <w:rPr>
          <w:iCs/>
        </w:rPr>
        <w:t>23</w:t>
      </w:r>
      <w:r w:rsidRPr="00EE43C6">
        <w:rPr>
          <w:iCs/>
        </w:rPr>
        <w:t xml:space="preserve"> kg/hr</w:t>
      </w:r>
    </w:p>
    <w:p w14:paraId="1A9C39E8" w14:textId="719C29BA" w:rsidR="008D12D4" w:rsidRPr="00EE43C6" w:rsidRDefault="008D12D4" w:rsidP="008D12D4">
      <w:pPr>
        <w:spacing w:before="0"/>
        <w:rPr>
          <w:iCs/>
        </w:rPr>
      </w:pPr>
      <w:r w:rsidRPr="00EE43C6">
        <w:rPr>
          <w:iCs/>
        </w:rPr>
        <w:t>Hydrocarbons</w:t>
      </w:r>
      <w:r w:rsidRPr="00EE43C6">
        <w:rPr>
          <w:iCs/>
        </w:rPr>
        <w:tab/>
      </w:r>
      <w:r w:rsidRPr="00EE43C6">
        <w:rPr>
          <w:iCs/>
        </w:rPr>
        <w:tab/>
        <w:t>: 16.2 kg/ton</w:t>
      </w:r>
      <w:r w:rsidR="00EA0115" w:rsidRPr="00EE43C6">
        <w:rPr>
          <w:iCs/>
        </w:rPr>
        <w:t>nes</w:t>
      </w:r>
      <w:r w:rsidRPr="00EE43C6">
        <w:rPr>
          <w:iCs/>
        </w:rPr>
        <w:t xml:space="preserve"> x 0.</w:t>
      </w:r>
      <w:r w:rsidR="008D022A" w:rsidRPr="00EE43C6">
        <w:rPr>
          <w:iCs/>
        </w:rPr>
        <w:t xml:space="preserve">17015 </w:t>
      </w:r>
      <w:r w:rsidRPr="00EE43C6">
        <w:rPr>
          <w:iCs/>
        </w:rPr>
        <w:t>ton</w:t>
      </w:r>
      <w:r w:rsidR="00EA0115" w:rsidRPr="00EE43C6">
        <w:rPr>
          <w:iCs/>
        </w:rPr>
        <w:t>ne</w:t>
      </w:r>
      <w:r w:rsidRPr="00EE43C6">
        <w:rPr>
          <w:iCs/>
        </w:rPr>
        <w:t xml:space="preserve">/hour </w:t>
      </w:r>
      <w:r w:rsidRPr="00EE43C6">
        <w:rPr>
          <w:iCs/>
        </w:rPr>
        <w:tab/>
        <w:t>= 2.</w:t>
      </w:r>
      <w:r w:rsidR="00C453B7" w:rsidRPr="00EE43C6">
        <w:rPr>
          <w:iCs/>
        </w:rPr>
        <w:t>76</w:t>
      </w:r>
      <w:r w:rsidRPr="00EE43C6">
        <w:rPr>
          <w:iCs/>
        </w:rPr>
        <w:t xml:space="preserve"> kg/hr</w:t>
      </w:r>
    </w:p>
    <w:p w14:paraId="7666264F" w14:textId="1DC55FDA" w:rsidR="008D12D4" w:rsidRPr="00EE43C6" w:rsidRDefault="008D12D4" w:rsidP="008D12D4">
      <w:pPr>
        <w:spacing w:before="0"/>
        <w:rPr>
          <w:iCs/>
        </w:rPr>
      </w:pPr>
      <w:r w:rsidRPr="00EE43C6">
        <w:rPr>
          <w:iCs/>
        </w:rPr>
        <w:t>Nitrogen Oxides</w:t>
      </w:r>
      <w:r w:rsidRPr="00EE43C6">
        <w:rPr>
          <w:iCs/>
        </w:rPr>
        <w:tab/>
        <w:t>: 26.6 kg/ton</w:t>
      </w:r>
      <w:r w:rsidR="00EA0115" w:rsidRPr="00EE43C6">
        <w:rPr>
          <w:iCs/>
        </w:rPr>
        <w:t>nes</w:t>
      </w:r>
      <w:r w:rsidRPr="00EE43C6">
        <w:rPr>
          <w:iCs/>
        </w:rPr>
        <w:t xml:space="preserve"> x 0.</w:t>
      </w:r>
      <w:r w:rsidR="008D022A" w:rsidRPr="00EE43C6">
        <w:rPr>
          <w:iCs/>
        </w:rPr>
        <w:t xml:space="preserve">17015 </w:t>
      </w:r>
      <w:r w:rsidRPr="00EE43C6">
        <w:rPr>
          <w:iCs/>
        </w:rPr>
        <w:t>ton</w:t>
      </w:r>
      <w:r w:rsidR="00EA0115" w:rsidRPr="00EE43C6">
        <w:rPr>
          <w:iCs/>
        </w:rPr>
        <w:t>ne</w:t>
      </w:r>
      <w:r w:rsidRPr="00EE43C6">
        <w:rPr>
          <w:iCs/>
        </w:rPr>
        <w:t xml:space="preserve">/hour </w:t>
      </w:r>
      <w:r w:rsidRPr="00EE43C6">
        <w:rPr>
          <w:iCs/>
        </w:rPr>
        <w:tab/>
        <w:t xml:space="preserve">= </w:t>
      </w:r>
      <w:r w:rsidR="007825B0" w:rsidRPr="00EE43C6">
        <w:rPr>
          <w:iCs/>
        </w:rPr>
        <w:t>4</w:t>
      </w:r>
      <w:r w:rsidRPr="00EE43C6">
        <w:rPr>
          <w:iCs/>
        </w:rPr>
        <w:t>.</w:t>
      </w:r>
      <w:r w:rsidR="007825B0" w:rsidRPr="00EE43C6">
        <w:rPr>
          <w:iCs/>
        </w:rPr>
        <w:t>53</w:t>
      </w:r>
      <w:r w:rsidRPr="00EE43C6">
        <w:rPr>
          <w:iCs/>
        </w:rPr>
        <w:t xml:space="preserve"> kg/hr</w:t>
      </w:r>
    </w:p>
    <w:p w14:paraId="47D8AB45" w14:textId="18468B89" w:rsidR="008D12D4" w:rsidRPr="00EE43C6" w:rsidRDefault="008D12D4" w:rsidP="008D12D4">
      <w:pPr>
        <w:spacing w:before="0"/>
        <w:rPr>
          <w:iCs/>
        </w:rPr>
      </w:pPr>
      <w:r w:rsidRPr="00EE43C6">
        <w:rPr>
          <w:iCs/>
        </w:rPr>
        <w:t>Sulphur Oxides</w:t>
      </w:r>
      <w:r w:rsidRPr="00EE43C6">
        <w:rPr>
          <w:iCs/>
        </w:rPr>
        <w:tab/>
        <w:t>: 4.8 kg/ton</w:t>
      </w:r>
      <w:r w:rsidR="00EA0115" w:rsidRPr="00EE43C6">
        <w:rPr>
          <w:iCs/>
        </w:rPr>
        <w:t>nes</w:t>
      </w:r>
      <w:r w:rsidRPr="00EE43C6">
        <w:rPr>
          <w:iCs/>
        </w:rPr>
        <w:t xml:space="preserve"> x 0.</w:t>
      </w:r>
      <w:r w:rsidR="007825B0" w:rsidRPr="00EE43C6">
        <w:rPr>
          <w:iCs/>
        </w:rPr>
        <w:t xml:space="preserve">17015 </w:t>
      </w:r>
      <w:r w:rsidRPr="00EE43C6">
        <w:rPr>
          <w:iCs/>
        </w:rPr>
        <w:t>ton</w:t>
      </w:r>
      <w:r w:rsidR="00EA0115" w:rsidRPr="00EE43C6">
        <w:rPr>
          <w:iCs/>
        </w:rPr>
        <w:t>ne</w:t>
      </w:r>
      <w:r w:rsidRPr="00EE43C6">
        <w:rPr>
          <w:iCs/>
        </w:rPr>
        <w:t>/h</w:t>
      </w:r>
      <w:r w:rsidR="00EA0115" w:rsidRPr="00EE43C6">
        <w:rPr>
          <w:iCs/>
        </w:rPr>
        <w:t>ou</w:t>
      </w:r>
      <w:r w:rsidRPr="00EE43C6">
        <w:rPr>
          <w:iCs/>
        </w:rPr>
        <w:t>r = 0.</w:t>
      </w:r>
      <w:r w:rsidR="003846A3" w:rsidRPr="00EE43C6">
        <w:rPr>
          <w:iCs/>
        </w:rPr>
        <w:t>8</w:t>
      </w:r>
      <w:r w:rsidRPr="00EE43C6">
        <w:rPr>
          <w:iCs/>
        </w:rPr>
        <w:t>2 kg/hour.</w:t>
      </w:r>
    </w:p>
    <w:p w14:paraId="0147CB04" w14:textId="6563BA3E" w:rsidR="00E94810" w:rsidRPr="00EE43C6" w:rsidRDefault="00904748" w:rsidP="00B625EB">
      <w:pPr>
        <w:rPr>
          <w:rFonts w:cs="Wingdings"/>
          <w:szCs w:val="18"/>
        </w:rPr>
      </w:pPr>
      <w:r w:rsidRPr="00EE43C6">
        <w:rPr>
          <w:rFonts w:cs="Wingdings"/>
          <w:szCs w:val="18"/>
        </w:rPr>
        <w:t xml:space="preserve">The mass flowrates of the exhaust emissions that will arise from the vehicles that will operate during the construction works (lower limit values determining the modelling work requirement in the Annex-2 Table 2.1 of the RoCIAP together with the calculated mass flowrates of the emissions originating from the locations outside the chimney are presented in </w:t>
      </w:r>
      <w:r w:rsidR="00545B90" w:rsidRPr="00EE43C6">
        <w:rPr>
          <w:rFonts w:cs="Wingdings"/>
          <w:szCs w:val="18"/>
        </w:rPr>
        <w:fldChar w:fldCharType="begin"/>
      </w:r>
      <w:r w:rsidR="00545B90" w:rsidRPr="00EE43C6">
        <w:rPr>
          <w:rFonts w:cs="Wingdings"/>
          <w:szCs w:val="18"/>
        </w:rPr>
        <w:instrText xml:space="preserve"> REF _Ref127976358 \h </w:instrText>
      </w:r>
      <w:r w:rsidR="00545B90" w:rsidRPr="00EE43C6">
        <w:rPr>
          <w:rFonts w:cs="Wingdings"/>
          <w:szCs w:val="18"/>
        </w:rPr>
      </w:r>
      <w:r w:rsidR="00545B90" w:rsidRPr="00EE43C6">
        <w:rPr>
          <w:rFonts w:cs="Wingdings"/>
          <w:szCs w:val="18"/>
        </w:rPr>
        <w:fldChar w:fldCharType="separate"/>
      </w:r>
      <w:r w:rsidR="006971DF" w:rsidRPr="00EE43C6">
        <w:t>Table 6</w:t>
      </w:r>
      <w:r w:rsidR="006971DF" w:rsidRPr="00EE43C6">
        <w:noBreakHyphen/>
        <w:t>14</w:t>
      </w:r>
      <w:r w:rsidR="00545B90" w:rsidRPr="00EE43C6">
        <w:rPr>
          <w:rFonts w:cs="Wingdings"/>
          <w:szCs w:val="18"/>
        </w:rPr>
        <w:fldChar w:fldCharType="end"/>
      </w:r>
      <w:r w:rsidRPr="00EE43C6">
        <w:rPr>
          <w:rFonts w:cs="Wingdings"/>
          <w:szCs w:val="18"/>
        </w:rPr>
        <w:t>.</w:t>
      </w:r>
      <w:r w:rsidR="005D5247" w:rsidRPr="00EE43C6">
        <w:rPr>
          <w:rFonts w:cs="Wingdings"/>
          <w:szCs w:val="18"/>
        </w:rPr>
        <w:t xml:space="preserve"> All concerned calculated </w:t>
      </w:r>
      <w:r w:rsidR="005B6F30" w:rsidRPr="00EE43C6">
        <w:rPr>
          <w:rFonts w:cs="Wingdings"/>
          <w:szCs w:val="18"/>
        </w:rPr>
        <w:t xml:space="preserve">exhaust </w:t>
      </w:r>
      <w:r w:rsidR="005D5247" w:rsidRPr="00EE43C6">
        <w:rPr>
          <w:rFonts w:cs="Wingdings"/>
          <w:szCs w:val="18"/>
        </w:rPr>
        <w:t xml:space="preserve">emission </w:t>
      </w:r>
      <w:r w:rsidR="006D35B6" w:rsidRPr="00EE43C6">
        <w:rPr>
          <w:rFonts w:cs="Wingdings"/>
          <w:szCs w:val="18"/>
        </w:rPr>
        <w:t xml:space="preserve">mass flowrate </w:t>
      </w:r>
      <w:r w:rsidR="005D5247" w:rsidRPr="00EE43C6">
        <w:rPr>
          <w:rFonts w:cs="Wingdings"/>
          <w:szCs w:val="18"/>
        </w:rPr>
        <w:t>values</w:t>
      </w:r>
      <w:r w:rsidR="00840193" w:rsidRPr="00EE43C6">
        <w:rPr>
          <w:rFonts w:cs="Wingdings"/>
          <w:szCs w:val="18"/>
        </w:rPr>
        <w:t xml:space="preserve"> </w:t>
      </w:r>
      <w:r w:rsidR="005D5247" w:rsidRPr="00EE43C6">
        <w:rPr>
          <w:rFonts w:cs="Wingdings"/>
          <w:szCs w:val="18"/>
        </w:rPr>
        <w:t>for the</w:t>
      </w:r>
      <w:r w:rsidR="008134DB" w:rsidRPr="00EE43C6">
        <w:rPr>
          <w:rFonts w:cs="Wingdings"/>
          <w:szCs w:val="18"/>
        </w:rPr>
        <w:t xml:space="preserve"> parameters </w:t>
      </w:r>
      <w:r w:rsidR="003078D8" w:rsidRPr="00EE43C6">
        <w:rPr>
          <w:rFonts w:cs="Wingdings"/>
          <w:szCs w:val="18"/>
        </w:rPr>
        <w:t>except for the NO</w:t>
      </w:r>
      <w:r w:rsidR="003078D8" w:rsidRPr="00EE43C6">
        <w:rPr>
          <w:rFonts w:cs="Wingdings"/>
          <w:szCs w:val="18"/>
          <w:vertAlign w:val="subscript"/>
        </w:rPr>
        <w:t>x</w:t>
      </w:r>
      <w:r w:rsidR="003078D8" w:rsidRPr="00EE43C6">
        <w:rPr>
          <w:rFonts w:cs="Wingdings"/>
          <w:szCs w:val="18"/>
        </w:rPr>
        <w:t xml:space="preserve"> </w:t>
      </w:r>
      <w:r w:rsidR="006D35B6" w:rsidRPr="00EE43C6">
        <w:rPr>
          <w:rFonts w:cs="Wingdings"/>
          <w:szCs w:val="18"/>
        </w:rPr>
        <w:t>are</w:t>
      </w:r>
      <w:r w:rsidR="008134DB" w:rsidRPr="00EE43C6">
        <w:rPr>
          <w:rFonts w:cs="Wingdings"/>
          <w:szCs w:val="18"/>
        </w:rPr>
        <w:t xml:space="preserve"> below the</w:t>
      </w:r>
      <w:r w:rsidR="005D5247" w:rsidRPr="00EE43C6">
        <w:rPr>
          <w:rFonts w:cs="Wingdings"/>
          <w:szCs w:val="18"/>
        </w:rPr>
        <w:t xml:space="preserve"> </w:t>
      </w:r>
      <w:r w:rsidR="0085352B" w:rsidRPr="00EE43C6">
        <w:rPr>
          <w:rFonts w:cs="Wingdings"/>
          <w:szCs w:val="18"/>
        </w:rPr>
        <w:t xml:space="preserve">corresponding </w:t>
      </w:r>
      <w:r w:rsidR="005D5247" w:rsidRPr="00EE43C6">
        <w:rPr>
          <w:rFonts w:cs="Wingdings"/>
          <w:szCs w:val="18"/>
        </w:rPr>
        <w:t>limit values</w:t>
      </w:r>
      <w:r w:rsidR="004B3DAB" w:rsidRPr="00EE43C6">
        <w:rPr>
          <w:rFonts w:cs="Wingdings"/>
          <w:szCs w:val="18"/>
        </w:rPr>
        <w:t xml:space="preserve"> specified in the RoCIAP</w:t>
      </w:r>
      <w:r w:rsidR="0085352B" w:rsidRPr="00EE43C6">
        <w:rPr>
          <w:rFonts w:cs="Wingdings"/>
          <w:szCs w:val="18"/>
        </w:rPr>
        <w:t>.</w:t>
      </w:r>
    </w:p>
    <w:p w14:paraId="3C34E969" w14:textId="4A707CF2" w:rsidR="00904748" w:rsidRPr="00EE43C6" w:rsidRDefault="00545B90" w:rsidP="00591B1C">
      <w:pPr>
        <w:pStyle w:val="Caption"/>
        <w:rPr>
          <w:rFonts w:cs="Wingdings"/>
          <w:noProof w:val="0"/>
          <w:szCs w:val="18"/>
        </w:rPr>
      </w:pPr>
      <w:bookmarkStart w:id="493" w:name="_Ref127976358"/>
      <w:bookmarkStart w:id="494" w:name="_Toc141445523"/>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14</w:t>
      </w:r>
      <w:r w:rsidR="006D2DE8">
        <w:rPr>
          <w:noProof w:val="0"/>
        </w:rPr>
        <w:fldChar w:fldCharType="end"/>
      </w:r>
      <w:bookmarkEnd w:id="493"/>
      <w:r w:rsidRPr="00EE43C6">
        <w:rPr>
          <w:noProof w:val="0"/>
        </w:rPr>
        <w:t xml:space="preserve">. </w:t>
      </w:r>
      <w:r w:rsidR="00B51AB8" w:rsidRPr="00EE43C6">
        <w:rPr>
          <w:rFonts w:cs="Wingdings"/>
          <w:b w:val="0"/>
          <w:bCs w:val="0"/>
          <w:noProof w:val="0"/>
          <w:color w:val="auto"/>
          <w:szCs w:val="18"/>
        </w:rPr>
        <w:t>Lower Limit Values of Modelling Study with Calculated Exhaust Emissions Mass Flowrates</w:t>
      </w:r>
      <w:bookmarkEnd w:id="494"/>
    </w:p>
    <w:tbl>
      <w:tblPr>
        <w:tblW w:w="5000" w:type="pct"/>
        <w:jc w:val="center"/>
        <w:tblCellMar>
          <w:left w:w="0" w:type="dxa"/>
          <w:right w:w="0" w:type="dxa"/>
        </w:tblCellMar>
        <w:tblLook w:val="0000" w:firstRow="0" w:lastRow="0" w:firstColumn="0" w:lastColumn="0" w:noHBand="0" w:noVBand="0"/>
      </w:tblPr>
      <w:tblGrid>
        <w:gridCol w:w="3117"/>
        <w:gridCol w:w="2334"/>
        <w:gridCol w:w="3603"/>
      </w:tblGrid>
      <w:tr w:rsidR="00FC43F7" w:rsidRPr="00EE43C6" w14:paraId="2C24D356" w14:textId="77777777" w:rsidTr="001E0229">
        <w:trPr>
          <w:trHeight w:val="284"/>
          <w:tblHeader/>
          <w:jc w:val="center"/>
        </w:trPr>
        <w:tc>
          <w:tcPr>
            <w:tcW w:w="1721" w:type="pct"/>
            <w:tcBorders>
              <w:top w:val="single" w:sz="8" w:space="0" w:color="auto"/>
              <w:left w:val="single" w:sz="8" w:space="0" w:color="auto"/>
              <w:bottom w:val="single" w:sz="8" w:space="0" w:color="auto"/>
              <w:right w:val="single" w:sz="8" w:space="0" w:color="auto"/>
            </w:tcBorders>
            <w:shd w:val="clear" w:color="auto" w:fill="4F81BD"/>
            <w:vAlign w:val="center"/>
          </w:tcPr>
          <w:p w14:paraId="7C4FAE89" w14:textId="77777777" w:rsidR="00545B90" w:rsidRPr="00EE43C6" w:rsidRDefault="00545B90" w:rsidP="001E0229">
            <w:pPr>
              <w:spacing w:before="0" w:after="0" w:line="240" w:lineRule="auto"/>
              <w:jc w:val="center"/>
              <w:rPr>
                <w:b/>
                <w:color w:val="FFFFFF" w:themeColor="background1"/>
                <w:sz w:val="18"/>
                <w:szCs w:val="18"/>
              </w:rPr>
            </w:pPr>
            <w:r w:rsidRPr="00EE43C6">
              <w:rPr>
                <w:b/>
                <w:color w:val="FFFFFF" w:themeColor="background1"/>
                <w:sz w:val="18"/>
                <w:szCs w:val="18"/>
              </w:rPr>
              <w:t>Emissions</w:t>
            </w:r>
          </w:p>
        </w:tc>
        <w:tc>
          <w:tcPr>
            <w:tcW w:w="1289" w:type="pct"/>
            <w:tcBorders>
              <w:top w:val="single" w:sz="8" w:space="0" w:color="auto"/>
              <w:left w:val="nil"/>
              <w:bottom w:val="single" w:sz="8" w:space="0" w:color="auto"/>
              <w:right w:val="single" w:sz="8" w:space="0" w:color="auto"/>
            </w:tcBorders>
            <w:shd w:val="clear" w:color="auto" w:fill="4F81BD"/>
            <w:vAlign w:val="center"/>
          </w:tcPr>
          <w:p w14:paraId="17E7BA3A" w14:textId="77777777" w:rsidR="00545B90" w:rsidRPr="00EE43C6" w:rsidRDefault="00545B90" w:rsidP="001E0229">
            <w:pPr>
              <w:spacing w:before="0" w:after="0" w:line="240" w:lineRule="auto"/>
              <w:jc w:val="center"/>
              <w:rPr>
                <w:b/>
                <w:color w:val="FFFFFF" w:themeColor="background1"/>
                <w:sz w:val="18"/>
                <w:szCs w:val="18"/>
              </w:rPr>
            </w:pPr>
            <w:r w:rsidRPr="00EE43C6">
              <w:rPr>
                <w:b/>
                <w:color w:val="FFFFFF" w:themeColor="background1"/>
                <w:sz w:val="18"/>
                <w:szCs w:val="18"/>
              </w:rPr>
              <w:t>Calculated Exhaust Emissions Mass Flowrates (kg/hr)</w:t>
            </w:r>
          </w:p>
        </w:tc>
        <w:tc>
          <w:tcPr>
            <w:tcW w:w="1990" w:type="pct"/>
            <w:tcBorders>
              <w:top w:val="single" w:sz="8" w:space="0" w:color="auto"/>
              <w:left w:val="single" w:sz="8" w:space="0" w:color="auto"/>
              <w:bottom w:val="single" w:sz="8" w:space="0" w:color="auto"/>
              <w:right w:val="single" w:sz="8" w:space="0" w:color="auto"/>
            </w:tcBorders>
            <w:shd w:val="clear" w:color="auto" w:fill="4F81BD"/>
            <w:vAlign w:val="center"/>
          </w:tcPr>
          <w:p w14:paraId="2FE011AC" w14:textId="77777777" w:rsidR="00545B90" w:rsidRPr="00EE43C6" w:rsidRDefault="00545B90" w:rsidP="001E0229">
            <w:pPr>
              <w:spacing w:before="0" w:after="0" w:line="240" w:lineRule="auto"/>
              <w:jc w:val="center"/>
              <w:rPr>
                <w:b/>
                <w:color w:val="FFFFFF" w:themeColor="background1"/>
                <w:sz w:val="18"/>
                <w:szCs w:val="18"/>
              </w:rPr>
            </w:pPr>
            <w:r w:rsidRPr="00EE43C6">
              <w:rPr>
                <w:b/>
                <w:color w:val="FFFFFF" w:themeColor="background1"/>
                <w:sz w:val="18"/>
                <w:szCs w:val="18"/>
              </w:rPr>
              <w:t xml:space="preserve">Annex-2 Table 2.1 of the RoCIAP </w:t>
            </w:r>
            <w:r w:rsidRPr="00EE43C6">
              <w:rPr>
                <w:b/>
                <w:color w:val="FFFFFF" w:themeColor="background1"/>
                <w:sz w:val="18"/>
                <w:szCs w:val="18"/>
              </w:rPr>
              <w:br/>
              <w:t>Lower Limit Values for the Locations Outside the Chimney (kg/hr)</w:t>
            </w:r>
          </w:p>
        </w:tc>
      </w:tr>
      <w:tr w:rsidR="00167139" w:rsidRPr="00EE43C6" w14:paraId="6294D58C" w14:textId="77777777" w:rsidTr="001E0229">
        <w:trPr>
          <w:trHeight w:val="284"/>
          <w:jc w:val="center"/>
        </w:trPr>
        <w:tc>
          <w:tcPr>
            <w:tcW w:w="172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3B83937" w14:textId="77777777" w:rsidR="00545B90" w:rsidRPr="00EE43C6" w:rsidRDefault="00545B90" w:rsidP="001E0229">
            <w:pPr>
              <w:spacing w:before="0" w:after="0" w:line="240" w:lineRule="auto"/>
              <w:jc w:val="center"/>
              <w:rPr>
                <w:sz w:val="18"/>
                <w:szCs w:val="18"/>
              </w:rPr>
            </w:pPr>
            <w:r w:rsidRPr="00EE43C6">
              <w:rPr>
                <w:sz w:val="18"/>
                <w:szCs w:val="18"/>
              </w:rPr>
              <w:t>Carbon Monoxide (CO)</w:t>
            </w:r>
          </w:p>
        </w:tc>
        <w:tc>
          <w:tcPr>
            <w:tcW w:w="1289" w:type="pct"/>
            <w:tcBorders>
              <w:top w:val="nil"/>
              <w:left w:val="nil"/>
              <w:bottom w:val="single" w:sz="8" w:space="0" w:color="auto"/>
              <w:right w:val="single" w:sz="8" w:space="0" w:color="auto"/>
            </w:tcBorders>
            <w:tcMar>
              <w:top w:w="0" w:type="dxa"/>
              <w:left w:w="70" w:type="dxa"/>
              <w:bottom w:w="0" w:type="dxa"/>
              <w:right w:w="70" w:type="dxa"/>
            </w:tcMar>
            <w:vAlign w:val="center"/>
          </w:tcPr>
          <w:p w14:paraId="2D77D5BD" w14:textId="308E16D5" w:rsidR="00545B90" w:rsidRPr="00EE43C6" w:rsidRDefault="00545B90" w:rsidP="001E0229">
            <w:pPr>
              <w:spacing w:before="0" w:after="0" w:line="240" w:lineRule="auto"/>
              <w:jc w:val="center"/>
              <w:rPr>
                <w:sz w:val="18"/>
                <w:szCs w:val="18"/>
              </w:rPr>
            </w:pPr>
            <w:r w:rsidRPr="00EE43C6">
              <w:rPr>
                <w:sz w:val="18"/>
                <w:szCs w:val="18"/>
              </w:rPr>
              <w:t>1.</w:t>
            </w:r>
            <w:r w:rsidR="00343B51" w:rsidRPr="00EE43C6">
              <w:rPr>
                <w:sz w:val="18"/>
                <w:szCs w:val="18"/>
              </w:rPr>
              <w:t>23</w:t>
            </w:r>
          </w:p>
        </w:tc>
        <w:tc>
          <w:tcPr>
            <w:tcW w:w="1990" w:type="pct"/>
            <w:tcBorders>
              <w:top w:val="single" w:sz="8" w:space="0" w:color="auto"/>
              <w:left w:val="single" w:sz="8" w:space="0" w:color="auto"/>
              <w:bottom w:val="single" w:sz="8" w:space="0" w:color="auto"/>
              <w:right w:val="single" w:sz="8" w:space="0" w:color="auto"/>
            </w:tcBorders>
            <w:vAlign w:val="center"/>
          </w:tcPr>
          <w:p w14:paraId="694F7692" w14:textId="77777777" w:rsidR="00545B90" w:rsidRPr="00EE43C6" w:rsidRDefault="00545B90" w:rsidP="001E0229">
            <w:pPr>
              <w:spacing w:before="0" w:after="0" w:line="240" w:lineRule="auto"/>
              <w:jc w:val="center"/>
              <w:rPr>
                <w:sz w:val="18"/>
                <w:szCs w:val="18"/>
              </w:rPr>
            </w:pPr>
            <w:r w:rsidRPr="00EE43C6">
              <w:rPr>
                <w:sz w:val="18"/>
                <w:szCs w:val="18"/>
              </w:rPr>
              <w:t>50</w:t>
            </w:r>
          </w:p>
        </w:tc>
      </w:tr>
      <w:tr w:rsidR="00167139" w:rsidRPr="00EE43C6" w14:paraId="5641ABD1" w14:textId="77777777" w:rsidTr="001E0229">
        <w:trPr>
          <w:trHeight w:val="284"/>
          <w:jc w:val="center"/>
        </w:trPr>
        <w:tc>
          <w:tcPr>
            <w:tcW w:w="172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31793D6" w14:textId="77777777" w:rsidR="00545B90" w:rsidRPr="00EE43C6" w:rsidRDefault="00545B90" w:rsidP="001E0229">
            <w:pPr>
              <w:spacing w:before="0" w:after="0" w:line="240" w:lineRule="auto"/>
              <w:jc w:val="center"/>
              <w:rPr>
                <w:sz w:val="18"/>
                <w:szCs w:val="18"/>
              </w:rPr>
            </w:pPr>
            <w:r w:rsidRPr="00EE43C6">
              <w:rPr>
                <w:sz w:val="18"/>
                <w:szCs w:val="18"/>
              </w:rPr>
              <w:t>Sulphur Oxide (SO</w:t>
            </w:r>
            <w:r w:rsidRPr="00EE43C6">
              <w:rPr>
                <w:sz w:val="18"/>
                <w:szCs w:val="18"/>
                <w:vertAlign w:val="subscript"/>
              </w:rPr>
              <w:t>x</w:t>
            </w:r>
            <w:r w:rsidRPr="00EE43C6">
              <w:rPr>
                <w:sz w:val="18"/>
                <w:szCs w:val="18"/>
              </w:rPr>
              <w:t>)</w:t>
            </w:r>
          </w:p>
        </w:tc>
        <w:tc>
          <w:tcPr>
            <w:tcW w:w="1289" w:type="pct"/>
            <w:tcBorders>
              <w:top w:val="nil"/>
              <w:left w:val="nil"/>
              <w:bottom w:val="single" w:sz="8" w:space="0" w:color="auto"/>
              <w:right w:val="single" w:sz="8" w:space="0" w:color="auto"/>
            </w:tcBorders>
            <w:tcMar>
              <w:top w:w="0" w:type="dxa"/>
              <w:left w:w="70" w:type="dxa"/>
              <w:bottom w:w="0" w:type="dxa"/>
              <w:right w:w="70" w:type="dxa"/>
            </w:tcMar>
            <w:vAlign w:val="center"/>
          </w:tcPr>
          <w:p w14:paraId="3A8F210E" w14:textId="560EB521" w:rsidR="00545B90" w:rsidRPr="00EE43C6" w:rsidRDefault="00D43683" w:rsidP="001E0229">
            <w:pPr>
              <w:spacing w:before="0" w:after="0" w:line="240" w:lineRule="auto"/>
              <w:jc w:val="center"/>
              <w:rPr>
                <w:sz w:val="18"/>
                <w:szCs w:val="18"/>
              </w:rPr>
            </w:pPr>
            <w:r w:rsidRPr="00EE43C6">
              <w:rPr>
                <w:sz w:val="18"/>
                <w:szCs w:val="18"/>
              </w:rPr>
              <w:t>0.82</w:t>
            </w:r>
          </w:p>
        </w:tc>
        <w:tc>
          <w:tcPr>
            <w:tcW w:w="1990" w:type="pct"/>
            <w:tcBorders>
              <w:top w:val="single" w:sz="8" w:space="0" w:color="auto"/>
              <w:left w:val="single" w:sz="8" w:space="0" w:color="auto"/>
              <w:bottom w:val="single" w:sz="8" w:space="0" w:color="auto"/>
              <w:right w:val="single" w:sz="8" w:space="0" w:color="auto"/>
            </w:tcBorders>
            <w:vAlign w:val="center"/>
          </w:tcPr>
          <w:p w14:paraId="1FF3E54A" w14:textId="77777777" w:rsidR="00545B90" w:rsidRPr="00EE43C6" w:rsidRDefault="00545B90" w:rsidP="001E0229">
            <w:pPr>
              <w:spacing w:before="0" w:after="0" w:line="240" w:lineRule="auto"/>
              <w:jc w:val="center"/>
              <w:rPr>
                <w:sz w:val="18"/>
                <w:szCs w:val="18"/>
              </w:rPr>
            </w:pPr>
            <w:r w:rsidRPr="00EE43C6">
              <w:rPr>
                <w:sz w:val="18"/>
                <w:szCs w:val="18"/>
              </w:rPr>
              <w:t>6</w:t>
            </w:r>
          </w:p>
        </w:tc>
      </w:tr>
      <w:tr w:rsidR="00167139" w:rsidRPr="00EE43C6" w14:paraId="57F9B860" w14:textId="77777777" w:rsidTr="001E0229">
        <w:trPr>
          <w:trHeight w:val="284"/>
          <w:jc w:val="center"/>
        </w:trPr>
        <w:tc>
          <w:tcPr>
            <w:tcW w:w="172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FB4A2C6" w14:textId="77777777" w:rsidR="00545B90" w:rsidRPr="00EE43C6" w:rsidRDefault="00545B90" w:rsidP="001E0229">
            <w:pPr>
              <w:spacing w:before="0" w:after="0" w:line="240" w:lineRule="auto"/>
              <w:jc w:val="center"/>
              <w:rPr>
                <w:sz w:val="18"/>
                <w:szCs w:val="18"/>
              </w:rPr>
            </w:pPr>
            <w:r w:rsidRPr="00EE43C6">
              <w:rPr>
                <w:sz w:val="18"/>
                <w:szCs w:val="18"/>
              </w:rPr>
              <w:t>Nitrogen Dioxide [NO</w:t>
            </w:r>
            <w:r w:rsidRPr="00EE43C6">
              <w:rPr>
                <w:sz w:val="18"/>
                <w:szCs w:val="18"/>
                <w:vertAlign w:val="subscript"/>
              </w:rPr>
              <w:t>x</w:t>
            </w:r>
            <w:r w:rsidRPr="00EE43C6">
              <w:rPr>
                <w:sz w:val="18"/>
                <w:szCs w:val="18"/>
              </w:rPr>
              <w:t xml:space="preserve"> (as NO</w:t>
            </w:r>
            <w:r w:rsidRPr="00EE43C6">
              <w:rPr>
                <w:sz w:val="18"/>
                <w:szCs w:val="18"/>
                <w:vertAlign w:val="subscript"/>
              </w:rPr>
              <w:t>2</w:t>
            </w:r>
            <w:r w:rsidRPr="00EE43C6">
              <w:rPr>
                <w:sz w:val="18"/>
                <w:szCs w:val="18"/>
              </w:rPr>
              <w:t>)]</w:t>
            </w:r>
          </w:p>
        </w:tc>
        <w:tc>
          <w:tcPr>
            <w:tcW w:w="1289" w:type="pct"/>
            <w:tcBorders>
              <w:top w:val="nil"/>
              <w:left w:val="nil"/>
              <w:bottom w:val="single" w:sz="8" w:space="0" w:color="auto"/>
              <w:right w:val="single" w:sz="8" w:space="0" w:color="auto"/>
            </w:tcBorders>
            <w:tcMar>
              <w:top w:w="0" w:type="dxa"/>
              <w:left w:w="70" w:type="dxa"/>
              <w:bottom w:w="0" w:type="dxa"/>
              <w:right w:w="70" w:type="dxa"/>
            </w:tcMar>
            <w:vAlign w:val="center"/>
          </w:tcPr>
          <w:p w14:paraId="4FD592DF" w14:textId="0D47A555" w:rsidR="00545B90" w:rsidRPr="00EE43C6" w:rsidRDefault="00770CAA" w:rsidP="001E0229">
            <w:pPr>
              <w:spacing w:before="0" w:after="0" w:line="240" w:lineRule="auto"/>
              <w:jc w:val="center"/>
              <w:rPr>
                <w:sz w:val="18"/>
                <w:szCs w:val="18"/>
              </w:rPr>
            </w:pPr>
            <w:r w:rsidRPr="00EE43C6">
              <w:rPr>
                <w:sz w:val="18"/>
                <w:szCs w:val="18"/>
              </w:rPr>
              <w:t>4.53</w:t>
            </w:r>
          </w:p>
        </w:tc>
        <w:tc>
          <w:tcPr>
            <w:tcW w:w="1990" w:type="pct"/>
            <w:tcBorders>
              <w:top w:val="single" w:sz="8" w:space="0" w:color="auto"/>
              <w:left w:val="single" w:sz="8" w:space="0" w:color="auto"/>
              <w:bottom w:val="single" w:sz="8" w:space="0" w:color="auto"/>
              <w:right w:val="single" w:sz="8" w:space="0" w:color="auto"/>
            </w:tcBorders>
            <w:vAlign w:val="center"/>
          </w:tcPr>
          <w:p w14:paraId="4F70421D" w14:textId="77777777" w:rsidR="00545B90" w:rsidRPr="00EE43C6" w:rsidRDefault="00545B90" w:rsidP="001E0229">
            <w:pPr>
              <w:spacing w:before="0" w:after="0" w:line="240" w:lineRule="auto"/>
              <w:jc w:val="center"/>
              <w:rPr>
                <w:sz w:val="18"/>
                <w:szCs w:val="18"/>
              </w:rPr>
            </w:pPr>
            <w:r w:rsidRPr="00EE43C6">
              <w:rPr>
                <w:sz w:val="18"/>
                <w:szCs w:val="18"/>
              </w:rPr>
              <w:t>4</w:t>
            </w:r>
          </w:p>
        </w:tc>
      </w:tr>
      <w:tr w:rsidR="00167139" w:rsidRPr="00EE43C6" w14:paraId="0F8A29DA" w14:textId="77777777" w:rsidTr="001E0229">
        <w:trPr>
          <w:trHeight w:val="284"/>
          <w:jc w:val="center"/>
        </w:trPr>
        <w:tc>
          <w:tcPr>
            <w:tcW w:w="172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B1D169F" w14:textId="77777777" w:rsidR="00545B90" w:rsidRPr="00EE43C6" w:rsidRDefault="00545B90" w:rsidP="001E0229">
            <w:pPr>
              <w:spacing w:before="0" w:after="0" w:line="240" w:lineRule="auto"/>
              <w:jc w:val="center"/>
              <w:rPr>
                <w:sz w:val="18"/>
                <w:szCs w:val="18"/>
              </w:rPr>
            </w:pPr>
            <w:r w:rsidRPr="00EE43C6">
              <w:rPr>
                <w:sz w:val="18"/>
                <w:szCs w:val="18"/>
              </w:rPr>
              <w:t>Total Organic Compounds</w:t>
            </w:r>
          </w:p>
        </w:tc>
        <w:tc>
          <w:tcPr>
            <w:tcW w:w="1289" w:type="pct"/>
            <w:tcBorders>
              <w:top w:val="nil"/>
              <w:left w:val="nil"/>
              <w:bottom w:val="single" w:sz="8" w:space="0" w:color="auto"/>
              <w:right w:val="single" w:sz="8" w:space="0" w:color="auto"/>
            </w:tcBorders>
            <w:tcMar>
              <w:top w:w="0" w:type="dxa"/>
              <w:left w:w="70" w:type="dxa"/>
              <w:bottom w:w="0" w:type="dxa"/>
              <w:right w:w="70" w:type="dxa"/>
            </w:tcMar>
            <w:vAlign w:val="center"/>
          </w:tcPr>
          <w:p w14:paraId="25F9D364" w14:textId="109E6867" w:rsidR="00545B90" w:rsidRPr="00EE43C6" w:rsidRDefault="00770CAA" w:rsidP="001E0229">
            <w:pPr>
              <w:spacing w:before="0" w:after="0" w:line="240" w:lineRule="auto"/>
              <w:jc w:val="center"/>
              <w:rPr>
                <w:sz w:val="18"/>
                <w:szCs w:val="18"/>
              </w:rPr>
            </w:pPr>
            <w:r w:rsidRPr="00EE43C6">
              <w:rPr>
                <w:sz w:val="18"/>
                <w:szCs w:val="18"/>
              </w:rPr>
              <w:t>2</w:t>
            </w:r>
            <w:r w:rsidR="00545B90" w:rsidRPr="00EE43C6">
              <w:rPr>
                <w:sz w:val="18"/>
                <w:szCs w:val="18"/>
              </w:rPr>
              <w:t>.</w:t>
            </w:r>
            <w:r w:rsidRPr="00EE43C6">
              <w:rPr>
                <w:sz w:val="18"/>
                <w:szCs w:val="18"/>
              </w:rPr>
              <w:t>56</w:t>
            </w:r>
          </w:p>
        </w:tc>
        <w:tc>
          <w:tcPr>
            <w:tcW w:w="1990" w:type="pct"/>
            <w:tcBorders>
              <w:top w:val="single" w:sz="8" w:space="0" w:color="auto"/>
              <w:left w:val="single" w:sz="8" w:space="0" w:color="auto"/>
              <w:bottom w:val="single" w:sz="8" w:space="0" w:color="auto"/>
              <w:right w:val="single" w:sz="8" w:space="0" w:color="auto"/>
            </w:tcBorders>
            <w:vAlign w:val="center"/>
          </w:tcPr>
          <w:p w14:paraId="7C2F6017" w14:textId="77777777" w:rsidR="00545B90" w:rsidRPr="00EE43C6" w:rsidRDefault="00545B90" w:rsidP="001E0229">
            <w:pPr>
              <w:spacing w:before="0" w:after="0" w:line="240" w:lineRule="auto"/>
              <w:jc w:val="center"/>
              <w:rPr>
                <w:sz w:val="18"/>
                <w:szCs w:val="18"/>
              </w:rPr>
            </w:pPr>
            <w:r w:rsidRPr="00EE43C6">
              <w:rPr>
                <w:sz w:val="18"/>
                <w:szCs w:val="18"/>
              </w:rPr>
              <w:t>3</w:t>
            </w:r>
          </w:p>
        </w:tc>
      </w:tr>
    </w:tbl>
    <w:p w14:paraId="60C0A0A2" w14:textId="77777777" w:rsidR="001E0229" w:rsidRDefault="001E0229" w:rsidP="00B625EB">
      <w:pPr>
        <w:rPr>
          <w:iCs/>
        </w:rPr>
      </w:pPr>
    </w:p>
    <w:p w14:paraId="0B596E98" w14:textId="77777777" w:rsidR="001E0229" w:rsidRDefault="001E0229">
      <w:pPr>
        <w:spacing w:before="0" w:after="200" w:line="276" w:lineRule="auto"/>
        <w:jc w:val="left"/>
        <w:rPr>
          <w:iCs/>
        </w:rPr>
      </w:pPr>
      <w:r>
        <w:rPr>
          <w:iCs/>
        </w:rPr>
        <w:br w:type="page"/>
      </w:r>
    </w:p>
    <w:p w14:paraId="4898F63A" w14:textId="58DF58AB" w:rsidR="00B51AB8" w:rsidRPr="00EE43C6" w:rsidRDefault="002D24A8" w:rsidP="00B625EB">
      <w:pPr>
        <w:rPr>
          <w:rFonts w:cs="Wingdings"/>
          <w:szCs w:val="18"/>
        </w:rPr>
      </w:pPr>
      <w:r w:rsidRPr="00EE43C6">
        <w:rPr>
          <w:iCs/>
        </w:rPr>
        <w:lastRenderedPageBreak/>
        <w:t xml:space="preserve">The vehicles to be used within the Project Area will be regularly maintained, the exhaust emissions will be measured and recorded by authorized institutions, and the provisions of the </w:t>
      </w:r>
      <w:r w:rsidR="00387678">
        <w:rPr>
          <w:iCs/>
        </w:rPr>
        <w:t>“</w:t>
      </w:r>
      <w:r w:rsidR="00387678" w:rsidRPr="00EE43C6">
        <w:t>Regulation</w:t>
      </w:r>
      <w:r w:rsidRPr="00EE43C6">
        <w:rPr>
          <w:iCs/>
        </w:rPr>
        <w:t xml:space="preserve"> on Control of Exhaust Gas Emissions</w:t>
      </w:r>
      <w:r w:rsidR="00165A8C">
        <w:rPr>
          <w:iCs/>
        </w:rPr>
        <w:t>”</w:t>
      </w:r>
      <w:r w:rsidRPr="00EE43C6">
        <w:rPr>
          <w:iCs/>
        </w:rPr>
        <w:t xml:space="preserve"> published in the O.G. dated 11.03.2017 and no 30004, will be complied with.</w:t>
      </w:r>
    </w:p>
    <w:p w14:paraId="272AECD9" w14:textId="49E49E32" w:rsidR="005B30A4" w:rsidRPr="00EE43C6" w:rsidRDefault="005B30A4" w:rsidP="00B625EB">
      <w:pPr>
        <w:rPr>
          <w:rFonts w:cs="Wingdings"/>
          <w:szCs w:val="18"/>
        </w:rPr>
      </w:pPr>
      <w:r w:rsidRPr="00EE43C6">
        <w:rPr>
          <w:rFonts w:cs="Wingdings"/>
          <w:szCs w:val="18"/>
        </w:rPr>
        <w:t xml:space="preserve">Consequently, </w:t>
      </w:r>
      <w:r w:rsidR="001A7FEC" w:rsidRPr="00EE43C6">
        <w:rPr>
          <w:rFonts w:cs="Wingdings"/>
          <w:szCs w:val="18"/>
        </w:rPr>
        <w:t>considering that the modelling study was prepared with the worst-case scenario in mind,</w:t>
      </w:r>
      <w:r w:rsidR="00416750" w:rsidRPr="00EE43C6">
        <w:rPr>
          <w:rFonts w:cs="Wingdings"/>
          <w:szCs w:val="18"/>
        </w:rPr>
        <w:t xml:space="preserve"> </w:t>
      </w:r>
      <w:r w:rsidRPr="00EE43C6">
        <w:rPr>
          <w:rFonts w:cs="Wingdings"/>
          <w:szCs w:val="18"/>
        </w:rPr>
        <w:t xml:space="preserve">the </w:t>
      </w:r>
      <w:r w:rsidR="000E323B" w:rsidRPr="00EE43C6">
        <w:rPr>
          <w:rFonts w:cs="Wingdings"/>
          <w:szCs w:val="18"/>
        </w:rPr>
        <w:t>air quality</w:t>
      </w:r>
      <w:r w:rsidRPr="00EE43C6">
        <w:rPr>
          <w:rFonts w:cs="Wingdings"/>
          <w:szCs w:val="18"/>
        </w:rPr>
        <w:t xml:space="preserve"> impact significance in the construction phase of the Project is determined as </w:t>
      </w:r>
      <w:r w:rsidR="00DB7C21" w:rsidRPr="00EE43C6">
        <w:rPr>
          <w:rFonts w:cs="Wingdings"/>
          <w:szCs w:val="18"/>
        </w:rPr>
        <w:t>medium</w:t>
      </w:r>
      <w:r w:rsidRPr="00EE43C6">
        <w:rPr>
          <w:rFonts w:cs="Wingdings"/>
          <w:szCs w:val="18"/>
        </w:rPr>
        <w:t>.</w:t>
      </w:r>
    </w:p>
    <w:p w14:paraId="5D35A655" w14:textId="426F3CFC" w:rsidR="004339AC" w:rsidRPr="00EE43C6" w:rsidRDefault="004339AC" w:rsidP="001A0D64">
      <w:pPr>
        <w:pStyle w:val="Heading3"/>
        <w:spacing w:before="200" w:after="200"/>
        <w:rPr>
          <w:rFonts w:eastAsia="Arial TUR"/>
          <w:noProof w:val="0"/>
        </w:rPr>
      </w:pPr>
      <w:bookmarkStart w:id="495" w:name="_Toc80633557"/>
      <w:bookmarkStart w:id="496" w:name="_Toc67676582"/>
      <w:bookmarkStart w:id="497" w:name="_Toc120016944"/>
      <w:bookmarkStart w:id="498" w:name="_Toc120004722"/>
      <w:bookmarkStart w:id="499" w:name="_Toc141445433"/>
      <w:r w:rsidRPr="00EE43C6">
        <w:rPr>
          <w:rFonts w:eastAsia="Arial TUR"/>
          <w:noProof w:val="0"/>
        </w:rPr>
        <w:t>Operation Phase</w:t>
      </w:r>
      <w:bookmarkEnd w:id="495"/>
      <w:bookmarkEnd w:id="496"/>
      <w:bookmarkEnd w:id="497"/>
      <w:bookmarkEnd w:id="498"/>
      <w:bookmarkEnd w:id="499"/>
      <w:r w:rsidRPr="00EE43C6">
        <w:rPr>
          <w:rFonts w:eastAsia="Arial TUR"/>
          <w:noProof w:val="0"/>
        </w:rPr>
        <w:t xml:space="preserve"> </w:t>
      </w:r>
    </w:p>
    <w:p w14:paraId="63FBB5F6" w14:textId="7D9FA424" w:rsidR="0015448E" w:rsidRPr="00EE43C6" w:rsidRDefault="00BD2024" w:rsidP="5F58EB95">
      <w:pPr>
        <w:rPr>
          <w:rFonts w:eastAsiaTheme="minorEastAsia"/>
          <w:lang w:eastAsia="en-US"/>
        </w:rPr>
      </w:pPr>
      <w:r w:rsidRPr="00BD2024">
        <w:rPr>
          <w:rFonts w:eastAsia="Arial TUR"/>
        </w:rPr>
        <w:t xml:space="preserve">There will be facilities that can generate emissions in the OIZ </w:t>
      </w:r>
      <w:r>
        <w:rPr>
          <w:rFonts w:eastAsia="Arial TUR"/>
        </w:rPr>
        <w:t>Area</w:t>
      </w:r>
      <w:r w:rsidR="00094DE0">
        <w:rPr>
          <w:rFonts w:eastAsia="Arial TUR"/>
        </w:rPr>
        <w:t xml:space="preserve"> </w:t>
      </w:r>
      <w:r w:rsidR="00490E9C" w:rsidRPr="00490E9C">
        <w:rPr>
          <w:rFonts w:eastAsia="Arial TUR"/>
        </w:rPr>
        <w:t>throughout</w:t>
      </w:r>
      <w:r w:rsidR="00490E9C">
        <w:rPr>
          <w:rFonts w:eastAsia="Arial TUR"/>
        </w:rPr>
        <w:t xml:space="preserve"> </w:t>
      </w:r>
      <w:r w:rsidR="00094DE0">
        <w:rPr>
          <w:rFonts w:eastAsia="Arial TUR"/>
        </w:rPr>
        <w:t>the operation phase</w:t>
      </w:r>
      <w:r w:rsidR="007556D0" w:rsidRPr="5F58EB95">
        <w:rPr>
          <w:rFonts w:eastAsia="Arial TUR"/>
        </w:rPr>
        <w:t xml:space="preserve">. </w:t>
      </w:r>
      <w:r w:rsidR="00EA2FD6" w:rsidRPr="5F58EB95">
        <w:rPr>
          <w:rFonts w:eastAsia="Arial TUR"/>
        </w:rPr>
        <w:t xml:space="preserve">In </w:t>
      </w:r>
      <w:r w:rsidR="000F1AE0" w:rsidRPr="5F58EB95">
        <w:rPr>
          <w:rFonts w:eastAsia="Arial TUR"/>
        </w:rPr>
        <w:t>thi</w:t>
      </w:r>
      <w:r w:rsidR="00B919EB" w:rsidRPr="5F58EB95">
        <w:rPr>
          <w:rFonts w:eastAsia="Arial TUR"/>
        </w:rPr>
        <w:t>s regard</w:t>
      </w:r>
      <w:r w:rsidR="00EA2FD6" w:rsidRPr="5F58EB95">
        <w:rPr>
          <w:rFonts w:eastAsia="Arial TUR"/>
        </w:rPr>
        <w:t xml:space="preserve">, </w:t>
      </w:r>
      <w:r w:rsidR="003F1318">
        <w:rPr>
          <w:rFonts w:eastAsia="Arial TUR"/>
        </w:rPr>
        <w:t xml:space="preserve">these </w:t>
      </w:r>
      <w:r w:rsidR="00EE4367">
        <w:rPr>
          <w:rFonts w:eastAsia="Arial TUR"/>
        </w:rPr>
        <w:t xml:space="preserve">facilities </w:t>
      </w:r>
      <w:r w:rsidR="003F1318">
        <w:rPr>
          <w:rFonts w:eastAsia="Arial TUR"/>
        </w:rPr>
        <w:t>were</w:t>
      </w:r>
      <w:r w:rsidR="001B0DBA" w:rsidRPr="5F58EB95">
        <w:rPr>
          <w:rFonts w:eastAsiaTheme="minorEastAsia"/>
          <w:lang w:eastAsia="en-US"/>
        </w:rPr>
        <w:t xml:space="preserve"> </w:t>
      </w:r>
      <w:r w:rsidR="00236444">
        <w:rPr>
          <w:rFonts w:eastAsiaTheme="minorEastAsia"/>
          <w:lang w:eastAsia="en-US"/>
        </w:rPr>
        <w:t>evaluated</w:t>
      </w:r>
      <w:r w:rsidR="001B0DBA" w:rsidRPr="5F58EB95">
        <w:rPr>
          <w:rFonts w:eastAsiaTheme="minorEastAsia"/>
          <w:lang w:eastAsia="en-US"/>
        </w:rPr>
        <w:t xml:space="preserve"> as associated facility,</w:t>
      </w:r>
      <w:r w:rsidR="001B0DBA" w:rsidRPr="5F58EB95">
        <w:rPr>
          <w:rFonts w:eastAsia="Arial TUR"/>
        </w:rPr>
        <w:t xml:space="preserve"> </w:t>
      </w:r>
      <w:r w:rsidR="00212FD5">
        <w:rPr>
          <w:rFonts w:eastAsia="Arial TUR"/>
        </w:rPr>
        <w:t xml:space="preserve">and </w:t>
      </w:r>
      <w:r w:rsidR="00150E7D">
        <w:rPr>
          <w:rFonts w:eastAsia="Arial TUR"/>
        </w:rPr>
        <w:t xml:space="preserve">their </w:t>
      </w:r>
      <w:r w:rsidR="004D009A" w:rsidRPr="5F58EB95">
        <w:rPr>
          <w:rFonts w:eastAsia="Arial TUR"/>
        </w:rPr>
        <w:t>air quality impact assessment</w:t>
      </w:r>
      <w:r w:rsidR="00A30521">
        <w:rPr>
          <w:rFonts w:eastAsia="Arial TUR"/>
        </w:rPr>
        <w:t>s</w:t>
      </w:r>
      <w:r w:rsidR="004D009A" w:rsidRPr="5F58EB95">
        <w:rPr>
          <w:rFonts w:eastAsia="Arial TUR"/>
        </w:rPr>
        <w:t xml:space="preserve"> </w:t>
      </w:r>
      <w:r w:rsidR="00A30521">
        <w:rPr>
          <w:rFonts w:eastAsia="Arial TUR"/>
        </w:rPr>
        <w:t>were</w:t>
      </w:r>
      <w:r w:rsidR="00813894" w:rsidRPr="5F58EB95">
        <w:rPr>
          <w:rFonts w:eastAsia="Arial TUR"/>
        </w:rPr>
        <w:t xml:space="preserve"> detailed</w:t>
      </w:r>
      <w:r w:rsidR="0080126F">
        <w:rPr>
          <w:rFonts w:eastAsia="Arial TUR"/>
        </w:rPr>
        <w:t xml:space="preserve"> </w:t>
      </w:r>
      <w:r w:rsidR="009D09C3">
        <w:rPr>
          <w:rFonts w:eastAsia="Arial TUR"/>
        </w:rPr>
        <w:t>in</w:t>
      </w:r>
      <w:r w:rsidR="0080126F">
        <w:rPr>
          <w:rFonts w:eastAsia="Arial TUR"/>
        </w:rPr>
        <w:t xml:space="preserve"> this section</w:t>
      </w:r>
      <w:r w:rsidR="004D009A" w:rsidRPr="5F58EB95">
        <w:rPr>
          <w:rFonts w:eastAsia="Arial TUR"/>
        </w:rPr>
        <w:t>.</w:t>
      </w:r>
    </w:p>
    <w:p w14:paraId="16034A73" w14:textId="444A08A7" w:rsidR="001E45E5" w:rsidRPr="00EE43C6" w:rsidRDefault="00AB30C3" w:rsidP="00053882">
      <w:pPr>
        <w:rPr>
          <w:rFonts w:eastAsia="Arial TUR"/>
        </w:rPr>
      </w:pPr>
      <w:r w:rsidRPr="00EE43C6">
        <w:rPr>
          <w:rFonts w:eastAsia="Arial TUR"/>
        </w:rPr>
        <w:t>During the operation phase of the OIZ, it is planned to use electrical energy for heating and natural gas as fuel in the facilities where heat treatment is applied.</w:t>
      </w:r>
      <w:r w:rsidR="0048632E" w:rsidRPr="00EE43C6">
        <w:rPr>
          <w:rFonts w:eastAsia="Arial TUR"/>
        </w:rPr>
        <w:t xml:space="preserve"> </w:t>
      </w:r>
      <w:r w:rsidR="0051304E" w:rsidRPr="00EE43C6">
        <w:rPr>
          <w:rFonts w:eastAsia="Arial TUR"/>
        </w:rPr>
        <w:t xml:space="preserve">The sectors </w:t>
      </w:r>
      <w:r w:rsidR="00AF4F14" w:rsidRPr="00EE43C6">
        <w:rPr>
          <w:rFonts w:eastAsia="Arial TUR"/>
        </w:rPr>
        <w:t>that t</w:t>
      </w:r>
      <w:r w:rsidRPr="00EE43C6">
        <w:rPr>
          <w:rFonts w:eastAsia="Arial TUR"/>
        </w:rPr>
        <w:t xml:space="preserve">he natural gas </w:t>
      </w:r>
      <w:r w:rsidR="00811769" w:rsidRPr="00EE43C6">
        <w:rPr>
          <w:rFonts w:eastAsia="Arial TUR"/>
        </w:rPr>
        <w:t xml:space="preserve">is </w:t>
      </w:r>
      <w:r w:rsidR="00762AA6" w:rsidRPr="00EE43C6">
        <w:rPr>
          <w:rFonts w:eastAsia="Arial TUR"/>
        </w:rPr>
        <w:t>planned</w:t>
      </w:r>
      <w:r w:rsidR="00176D39" w:rsidRPr="00EE43C6">
        <w:rPr>
          <w:rFonts w:eastAsia="Arial TUR"/>
        </w:rPr>
        <w:t xml:space="preserve"> to</w:t>
      </w:r>
      <w:r w:rsidRPr="00EE43C6">
        <w:rPr>
          <w:rFonts w:eastAsia="Arial TUR"/>
        </w:rPr>
        <w:t xml:space="preserve"> be used in the </w:t>
      </w:r>
      <w:r w:rsidR="0048632E" w:rsidRPr="00EE43C6">
        <w:rPr>
          <w:rFonts w:eastAsia="Arial TUR"/>
        </w:rPr>
        <w:t>OIZ</w:t>
      </w:r>
      <w:r w:rsidRPr="00EE43C6">
        <w:rPr>
          <w:rFonts w:eastAsia="Arial TUR"/>
        </w:rPr>
        <w:t xml:space="preserve"> </w:t>
      </w:r>
      <w:r w:rsidR="00AF4F14" w:rsidRPr="00EE43C6">
        <w:rPr>
          <w:rFonts w:eastAsia="Arial TUR"/>
        </w:rPr>
        <w:t xml:space="preserve">as </w:t>
      </w:r>
      <w:r w:rsidR="00204053" w:rsidRPr="00EE43C6">
        <w:rPr>
          <w:rFonts w:eastAsia="Arial TUR"/>
        </w:rPr>
        <w:t>follows</w:t>
      </w:r>
      <w:r w:rsidR="00B42029" w:rsidRPr="00EE43C6">
        <w:rPr>
          <w:rFonts w:eastAsia="Arial TUR"/>
        </w:rPr>
        <w:t>:</w:t>
      </w:r>
      <w:r w:rsidRPr="00EE43C6">
        <w:rPr>
          <w:rFonts w:eastAsia="Arial TUR"/>
        </w:rPr>
        <w:t xml:space="preserve"> Steam Boilers and Pasteurization in Fruit Juice Production, Pulses Drying and Packaging Facilities, Canned Production, Tobacco Processing Facilities.</w:t>
      </w:r>
      <w:r w:rsidR="004E0398" w:rsidRPr="00EE43C6">
        <w:rPr>
          <w:rFonts w:eastAsia="Arial TUR"/>
        </w:rPr>
        <w:t xml:space="preserve"> </w:t>
      </w:r>
      <w:r w:rsidR="00E453D5" w:rsidRPr="00EE43C6">
        <w:rPr>
          <w:rFonts w:eastAsia="Arial TUR"/>
        </w:rPr>
        <w:t>In</w:t>
      </w:r>
      <w:r w:rsidRPr="00EE43C6">
        <w:rPr>
          <w:rFonts w:eastAsia="Arial TUR"/>
        </w:rPr>
        <w:t xml:space="preserve"> this</w:t>
      </w:r>
      <w:r w:rsidR="00E453D5" w:rsidRPr="00EE43C6">
        <w:rPr>
          <w:rFonts w:eastAsia="Arial TUR"/>
        </w:rPr>
        <w:t xml:space="preserve"> context, e</w:t>
      </w:r>
      <w:r w:rsidRPr="00EE43C6">
        <w:rPr>
          <w:rFonts w:eastAsia="Arial TUR"/>
        </w:rPr>
        <w:t xml:space="preserve">mission factors for pollutants released into the atmosphere </w:t>
      </w:r>
      <w:r w:rsidR="001856B1" w:rsidRPr="00EE43C6">
        <w:rPr>
          <w:rFonts w:eastAsia="Arial TUR"/>
        </w:rPr>
        <w:t>because</w:t>
      </w:r>
      <w:r w:rsidRPr="00EE43C6">
        <w:rPr>
          <w:rFonts w:eastAsia="Arial TUR"/>
        </w:rPr>
        <w:t xml:space="preserve"> of burning natural gas in small boilers are given in </w:t>
      </w:r>
      <w:r w:rsidR="002B452A" w:rsidRPr="00EE43C6">
        <w:rPr>
          <w:rFonts w:eastAsia="Arial TUR"/>
        </w:rPr>
        <w:fldChar w:fldCharType="begin"/>
      </w:r>
      <w:r w:rsidR="002B452A" w:rsidRPr="00EE43C6">
        <w:rPr>
          <w:rFonts w:eastAsia="Arial TUR"/>
        </w:rPr>
        <w:instrText xml:space="preserve"> REF _Ref127980933 \h </w:instrText>
      </w:r>
      <w:r w:rsidR="002B452A" w:rsidRPr="00EE43C6">
        <w:rPr>
          <w:rFonts w:eastAsia="Arial TUR"/>
        </w:rPr>
      </w:r>
      <w:r w:rsidR="002B452A" w:rsidRPr="00EE43C6">
        <w:rPr>
          <w:rFonts w:eastAsia="Arial TUR"/>
        </w:rPr>
        <w:fldChar w:fldCharType="separate"/>
      </w:r>
      <w:r w:rsidR="006971DF" w:rsidRPr="00EE43C6">
        <w:t>Table 6</w:t>
      </w:r>
      <w:r w:rsidR="006971DF" w:rsidRPr="00EE43C6">
        <w:noBreakHyphen/>
        <w:t>15</w:t>
      </w:r>
      <w:r w:rsidR="002B452A" w:rsidRPr="00EE43C6">
        <w:rPr>
          <w:rFonts w:eastAsia="Arial TUR"/>
        </w:rPr>
        <w:fldChar w:fldCharType="end"/>
      </w:r>
      <w:r w:rsidR="007A1201" w:rsidRPr="00EE43C6">
        <w:rPr>
          <w:rFonts w:eastAsia="Arial TUR"/>
        </w:rPr>
        <w:fldChar w:fldCharType="begin"/>
      </w:r>
      <w:r w:rsidR="007A1201" w:rsidRPr="00EE43C6">
        <w:rPr>
          <w:rFonts w:eastAsia="Arial TUR"/>
        </w:rPr>
        <w:instrText xml:space="preserve"> REF _Ref126153008 \h </w:instrText>
      </w:r>
      <w:r w:rsidR="007A1201" w:rsidRPr="00EE43C6">
        <w:rPr>
          <w:rFonts w:eastAsia="Arial TUR"/>
        </w:rPr>
      </w:r>
      <w:r w:rsidR="007A1201" w:rsidRPr="00EE43C6">
        <w:rPr>
          <w:rFonts w:eastAsia="Arial TUR"/>
        </w:rPr>
        <w:fldChar w:fldCharType="end"/>
      </w:r>
      <w:r w:rsidRPr="00EE43C6">
        <w:rPr>
          <w:rFonts w:eastAsia="Arial TUR"/>
        </w:rPr>
        <w:t>.</w:t>
      </w:r>
    </w:p>
    <w:p w14:paraId="0F221F30" w14:textId="2994AA8B" w:rsidR="007A1201" w:rsidRPr="00EE43C6" w:rsidRDefault="007A1201" w:rsidP="007A1201">
      <w:pPr>
        <w:pStyle w:val="Caption"/>
        <w:rPr>
          <w:rFonts w:eastAsia="Arial TUR"/>
          <w:noProof w:val="0"/>
        </w:rPr>
      </w:pPr>
      <w:bookmarkStart w:id="500" w:name="_Ref127980933"/>
      <w:bookmarkStart w:id="501" w:name="_Ref126153008"/>
      <w:bookmarkStart w:id="502" w:name="_Toc141445524"/>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15</w:t>
      </w:r>
      <w:r w:rsidR="006D2DE8">
        <w:rPr>
          <w:noProof w:val="0"/>
        </w:rPr>
        <w:fldChar w:fldCharType="end"/>
      </w:r>
      <w:bookmarkEnd w:id="500"/>
      <w:bookmarkEnd w:id="501"/>
      <w:r w:rsidRPr="00EE43C6">
        <w:rPr>
          <w:noProof w:val="0"/>
        </w:rPr>
        <w:t xml:space="preserve">. </w:t>
      </w:r>
      <w:r w:rsidRPr="00EE43C6">
        <w:rPr>
          <w:rFonts w:eastAsia="Arial TUR"/>
          <w:b w:val="0"/>
          <w:bCs w:val="0"/>
          <w:noProof w:val="0"/>
          <w:color w:val="auto"/>
        </w:rPr>
        <w:t>Emission Factors for Natural Gaseous</w:t>
      </w:r>
      <w:bookmarkEnd w:id="502"/>
    </w:p>
    <w:tbl>
      <w:tblPr>
        <w:tblStyle w:val="TableGrid"/>
        <w:tblW w:w="5000" w:type="pct"/>
        <w:jc w:val="center"/>
        <w:tblLook w:val="04A0" w:firstRow="1" w:lastRow="0" w:firstColumn="1" w:lastColumn="0" w:noHBand="0" w:noVBand="1"/>
      </w:tblPr>
      <w:tblGrid>
        <w:gridCol w:w="3395"/>
        <w:gridCol w:w="5669"/>
      </w:tblGrid>
      <w:tr w:rsidR="00361FAB" w:rsidRPr="00EE43C6" w14:paraId="289E8368" w14:textId="77777777" w:rsidTr="00B625EB">
        <w:trPr>
          <w:trHeight w:val="284"/>
          <w:jc w:val="center"/>
        </w:trPr>
        <w:tc>
          <w:tcPr>
            <w:tcW w:w="5000" w:type="pct"/>
            <w:gridSpan w:val="2"/>
            <w:tcBorders>
              <w:bottom w:val="single" w:sz="4" w:space="0" w:color="auto"/>
            </w:tcBorders>
            <w:shd w:val="clear" w:color="auto" w:fill="4F81BD"/>
          </w:tcPr>
          <w:p w14:paraId="10B91D1C" w14:textId="270A7DE9" w:rsidR="00361FAB" w:rsidRPr="00EE43C6" w:rsidRDefault="00DF6C3D" w:rsidP="00B625EB">
            <w:pPr>
              <w:spacing w:before="0" w:after="0" w:line="240" w:lineRule="auto"/>
              <w:jc w:val="center"/>
              <w:rPr>
                <w:rFonts w:eastAsia="Arial TUR"/>
                <w:b/>
                <w:color w:val="FFFFFF" w:themeColor="background1"/>
                <w:sz w:val="18"/>
                <w:szCs w:val="18"/>
              </w:rPr>
            </w:pPr>
            <w:r w:rsidRPr="00EE43C6">
              <w:rPr>
                <w:rFonts w:eastAsia="Arial TUR"/>
                <w:b/>
                <w:color w:val="FFFFFF" w:themeColor="background1"/>
                <w:sz w:val="18"/>
                <w:szCs w:val="18"/>
              </w:rPr>
              <w:t>Emission Factors for Natural Gaseous</w:t>
            </w:r>
          </w:p>
        </w:tc>
      </w:tr>
      <w:tr w:rsidR="00361FAB" w:rsidRPr="00EE43C6" w14:paraId="741BDD01" w14:textId="77777777" w:rsidTr="00B625EB">
        <w:trPr>
          <w:trHeight w:val="284"/>
          <w:jc w:val="center"/>
        </w:trPr>
        <w:tc>
          <w:tcPr>
            <w:tcW w:w="1873" w:type="pct"/>
            <w:shd w:val="clear" w:color="auto" w:fill="4F81BD"/>
            <w:vAlign w:val="center"/>
          </w:tcPr>
          <w:p w14:paraId="6423E427" w14:textId="781F875F" w:rsidR="00361FAB" w:rsidRPr="00EE43C6" w:rsidRDefault="00DF6C3D" w:rsidP="00B625EB">
            <w:pPr>
              <w:spacing w:before="0" w:after="0" w:line="240" w:lineRule="auto"/>
              <w:jc w:val="center"/>
              <w:rPr>
                <w:rFonts w:eastAsia="Arial TUR"/>
                <w:b/>
                <w:color w:val="FFFFFF" w:themeColor="background1"/>
                <w:sz w:val="18"/>
                <w:szCs w:val="18"/>
              </w:rPr>
            </w:pPr>
            <w:r w:rsidRPr="00EE43C6">
              <w:rPr>
                <w:rFonts w:eastAsia="Arial TUR"/>
                <w:b/>
                <w:color w:val="FFFFFF" w:themeColor="background1"/>
                <w:sz w:val="18"/>
                <w:szCs w:val="18"/>
              </w:rPr>
              <w:t>Parameters</w:t>
            </w:r>
          </w:p>
        </w:tc>
        <w:tc>
          <w:tcPr>
            <w:tcW w:w="3127" w:type="pct"/>
            <w:shd w:val="clear" w:color="auto" w:fill="4F81BD"/>
            <w:vAlign w:val="center"/>
          </w:tcPr>
          <w:p w14:paraId="5A9C0AB3" w14:textId="77777777" w:rsidR="00FF39D6" w:rsidRPr="00EE43C6" w:rsidRDefault="00FF39D6" w:rsidP="00B625EB">
            <w:pPr>
              <w:spacing w:before="0" w:after="0" w:line="240" w:lineRule="auto"/>
              <w:jc w:val="center"/>
              <w:rPr>
                <w:rFonts w:eastAsia="Arial TUR"/>
                <w:b/>
                <w:color w:val="FFFFFF" w:themeColor="background1"/>
                <w:sz w:val="18"/>
                <w:szCs w:val="18"/>
              </w:rPr>
            </w:pPr>
            <w:r w:rsidRPr="00EE43C6">
              <w:rPr>
                <w:rFonts w:eastAsia="Arial TUR"/>
                <w:b/>
                <w:color w:val="FFFFFF" w:themeColor="background1"/>
                <w:sz w:val="18"/>
                <w:szCs w:val="18"/>
              </w:rPr>
              <w:t>Emission Factors in Small Boilers</w:t>
            </w:r>
          </w:p>
          <w:p w14:paraId="4FF48EEC" w14:textId="2F535383" w:rsidR="00361FAB" w:rsidRPr="00EE43C6" w:rsidRDefault="00FF39D6" w:rsidP="00B625EB">
            <w:pPr>
              <w:spacing w:before="0" w:after="0" w:line="240" w:lineRule="auto"/>
              <w:jc w:val="center"/>
              <w:rPr>
                <w:rFonts w:eastAsia="Arial TUR"/>
                <w:b/>
                <w:color w:val="FFFFFF" w:themeColor="background1"/>
                <w:sz w:val="18"/>
                <w:szCs w:val="18"/>
              </w:rPr>
            </w:pPr>
            <w:r w:rsidRPr="00EE43C6">
              <w:rPr>
                <w:rFonts w:eastAsia="Arial TUR"/>
                <w:b/>
                <w:color w:val="FFFFFF" w:themeColor="background1"/>
                <w:sz w:val="18"/>
                <w:szCs w:val="18"/>
              </w:rPr>
              <w:t>(kg/10</w:t>
            </w:r>
            <w:r w:rsidRPr="00EE43C6">
              <w:rPr>
                <w:rFonts w:eastAsia="Arial TUR"/>
                <w:b/>
                <w:color w:val="FFFFFF" w:themeColor="background1"/>
                <w:sz w:val="18"/>
                <w:szCs w:val="18"/>
                <w:vertAlign w:val="superscript"/>
              </w:rPr>
              <w:t>6</w:t>
            </w:r>
            <w:r w:rsidRPr="00EE43C6">
              <w:rPr>
                <w:rFonts w:eastAsia="Arial TUR"/>
                <w:b/>
                <w:color w:val="FFFFFF" w:themeColor="background1"/>
                <w:sz w:val="18"/>
                <w:szCs w:val="18"/>
              </w:rPr>
              <w:t xml:space="preserve"> m³)</w:t>
            </w:r>
          </w:p>
        </w:tc>
      </w:tr>
      <w:tr w:rsidR="00361FAB" w:rsidRPr="00EE43C6" w14:paraId="4EE4A151" w14:textId="77777777" w:rsidTr="00B625EB">
        <w:trPr>
          <w:trHeight w:val="284"/>
          <w:jc w:val="center"/>
        </w:trPr>
        <w:tc>
          <w:tcPr>
            <w:tcW w:w="1873" w:type="pct"/>
            <w:vAlign w:val="center"/>
          </w:tcPr>
          <w:p w14:paraId="6BFA776E" w14:textId="67E52C8C" w:rsidR="00361FAB" w:rsidRPr="00EE43C6" w:rsidRDefault="00FF39D6" w:rsidP="00B625EB">
            <w:pPr>
              <w:spacing w:before="0" w:after="0" w:line="240" w:lineRule="auto"/>
              <w:jc w:val="center"/>
              <w:rPr>
                <w:rFonts w:eastAsia="Arial TUR"/>
                <w:sz w:val="18"/>
                <w:szCs w:val="18"/>
              </w:rPr>
            </w:pPr>
            <w:r w:rsidRPr="00EE43C6">
              <w:rPr>
                <w:rFonts w:eastAsia="Arial TUR"/>
                <w:sz w:val="18"/>
                <w:szCs w:val="18"/>
              </w:rPr>
              <w:t>NO</w:t>
            </w:r>
            <w:r w:rsidRPr="00EE43C6">
              <w:rPr>
                <w:rFonts w:eastAsia="Arial TUR"/>
                <w:sz w:val="18"/>
                <w:szCs w:val="18"/>
                <w:vertAlign w:val="subscript"/>
              </w:rPr>
              <w:t>x</w:t>
            </w:r>
          </w:p>
        </w:tc>
        <w:tc>
          <w:tcPr>
            <w:tcW w:w="3127" w:type="pct"/>
            <w:vAlign w:val="center"/>
          </w:tcPr>
          <w:p w14:paraId="02C4B1C6" w14:textId="5A8E76EE" w:rsidR="00361FAB" w:rsidRPr="00EE43C6" w:rsidRDefault="007547F9" w:rsidP="00B625EB">
            <w:pPr>
              <w:spacing w:before="0" w:after="0" w:line="240" w:lineRule="auto"/>
              <w:jc w:val="center"/>
              <w:rPr>
                <w:rFonts w:eastAsia="Arial TUR"/>
                <w:sz w:val="18"/>
                <w:szCs w:val="18"/>
              </w:rPr>
            </w:pPr>
            <w:r w:rsidRPr="00EE43C6">
              <w:rPr>
                <w:rFonts w:eastAsia="Arial TUR"/>
                <w:sz w:val="18"/>
                <w:szCs w:val="18"/>
              </w:rPr>
              <w:t>800.9</w:t>
            </w:r>
          </w:p>
        </w:tc>
      </w:tr>
      <w:tr w:rsidR="00361FAB" w:rsidRPr="00EE43C6" w14:paraId="1C61F3EC" w14:textId="77777777" w:rsidTr="00B625EB">
        <w:trPr>
          <w:trHeight w:val="284"/>
          <w:jc w:val="center"/>
        </w:trPr>
        <w:tc>
          <w:tcPr>
            <w:tcW w:w="1873" w:type="pct"/>
            <w:vAlign w:val="center"/>
          </w:tcPr>
          <w:p w14:paraId="340D7699" w14:textId="3AD4B63F" w:rsidR="00361FAB" w:rsidRPr="00EE43C6" w:rsidRDefault="007547F9" w:rsidP="00B625EB">
            <w:pPr>
              <w:spacing w:before="0" w:after="0" w:line="240" w:lineRule="auto"/>
              <w:jc w:val="center"/>
              <w:rPr>
                <w:rFonts w:eastAsia="Arial TUR"/>
                <w:sz w:val="18"/>
                <w:szCs w:val="18"/>
              </w:rPr>
            </w:pPr>
            <w:r w:rsidRPr="00EE43C6">
              <w:rPr>
                <w:rFonts w:eastAsia="Arial TUR"/>
                <w:sz w:val="18"/>
                <w:szCs w:val="18"/>
              </w:rPr>
              <w:t>CO</w:t>
            </w:r>
          </w:p>
        </w:tc>
        <w:tc>
          <w:tcPr>
            <w:tcW w:w="3127" w:type="pct"/>
            <w:vAlign w:val="center"/>
          </w:tcPr>
          <w:p w14:paraId="038B91B8" w14:textId="14C74E07" w:rsidR="00361FAB" w:rsidRPr="00EE43C6" w:rsidRDefault="007547F9" w:rsidP="00B625EB">
            <w:pPr>
              <w:spacing w:before="0" w:after="0" w:line="240" w:lineRule="auto"/>
              <w:jc w:val="center"/>
              <w:rPr>
                <w:rFonts w:eastAsia="Arial TUR"/>
                <w:sz w:val="18"/>
                <w:szCs w:val="18"/>
              </w:rPr>
            </w:pPr>
            <w:r w:rsidRPr="00EE43C6">
              <w:rPr>
                <w:rFonts w:eastAsia="Arial TUR"/>
                <w:sz w:val="18"/>
                <w:szCs w:val="18"/>
              </w:rPr>
              <w:t>1,345.55</w:t>
            </w:r>
          </w:p>
        </w:tc>
      </w:tr>
      <w:tr w:rsidR="00361FAB" w:rsidRPr="00EE43C6" w14:paraId="69278DE6" w14:textId="77777777" w:rsidTr="00B625EB">
        <w:trPr>
          <w:trHeight w:val="284"/>
          <w:jc w:val="center"/>
        </w:trPr>
        <w:tc>
          <w:tcPr>
            <w:tcW w:w="1873" w:type="pct"/>
            <w:vAlign w:val="center"/>
          </w:tcPr>
          <w:p w14:paraId="74D7616C" w14:textId="46B85814" w:rsidR="00361FAB" w:rsidRPr="00EE43C6" w:rsidRDefault="007547F9" w:rsidP="00B625EB">
            <w:pPr>
              <w:spacing w:before="0" w:after="0" w:line="240" w:lineRule="auto"/>
              <w:jc w:val="center"/>
              <w:rPr>
                <w:rFonts w:eastAsia="Arial TUR"/>
                <w:sz w:val="18"/>
                <w:szCs w:val="18"/>
              </w:rPr>
            </w:pPr>
            <w:r w:rsidRPr="00EE43C6">
              <w:rPr>
                <w:rFonts w:eastAsia="Arial TUR"/>
                <w:sz w:val="18"/>
                <w:szCs w:val="18"/>
              </w:rPr>
              <w:t>PM</w:t>
            </w:r>
          </w:p>
        </w:tc>
        <w:tc>
          <w:tcPr>
            <w:tcW w:w="3127" w:type="pct"/>
            <w:vAlign w:val="center"/>
          </w:tcPr>
          <w:p w14:paraId="05C17163" w14:textId="1F616DB6" w:rsidR="00361FAB" w:rsidRPr="00EE43C6" w:rsidRDefault="00E2667B" w:rsidP="00B625EB">
            <w:pPr>
              <w:spacing w:before="0" w:after="0" w:line="240" w:lineRule="auto"/>
              <w:jc w:val="center"/>
              <w:rPr>
                <w:rFonts w:eastAsia="Arial TUR"/>
                <w:sz w:val="18"/>
                <w:szCs w:val="18"/>
              </w:rPr>
            </w:pPr>
            <w:r w:rsidRPr="00EE43C6">
              <w:rPr>
                <w:rFonts w:eastAsia="Arial TUR"/>
                <w:sz w:val="18"/>
                <w:szCs w:val="18"/>
              </w:rPr>
              <w:t>121.74</w:t>
            </w:r>
          </w:p>
        </w:tc>
      </w:tr>
      <w:tr w:rsidR="00361FAB" w:rsidRPr="00EE43C6" w14:paraId="24A2BCB2" w14:textId="77777777" w:rsidTr="00B625EB">
        <w:trPr>
          <w:trHeight w:val="284"/>
          <w:jc w:val="center"/>
        </w:trPr>
        <w:tc>
          <w:tcPr>
            <w:tcW w:w="1873" w:type="pct"/>
            <w:vAlign w:val="center"/>
          </w:tcPr>
          <w:p w14:paraId="2D7B8D78" w14:textId="761436DE" w:rsidR="00361FAB" w:rsidRPr="00EE43C6" w:rsidRDefault="007547F9" w:rsidP="00B625EB">
            <w:pPr>
              <w:spacing w:before="0" w:after="0" w:line="240" w:lineRule="auto"/>
              <w:jc w:val="center"/>
              <w:rPr>
                <w:rFonts w:eastAsia="Arial TUR"/>
                <w:sz w:val="18"/>
                <w:szCs w:val="18"/>
              </w:rPr>
            </w:pPr>
            <w:r w:rsidRPr="00EE43C6">
              <w:rPr>
                <w:rFonts w:eastAsia="Arial TUR"/>
                <w:sz w:val="18"/>
                <w:szCs w:val="18"/>
              </w:rPr>
              <w:t>TOC</w:t>
            </w:r>
          </w:p>
        </w:tc>
        <w:tc>
          <w:tcPr>
            <w:tcW w:w="3127" w:type="pct"/>
            <w:vAlign w:val="center"/>
          </w:tcPr>
          <w:p w14:paraId="77EEF10F" w14:textId="5E10A43C" w:rsidR="00361FAB" w:rsidRPr="00EE43C6" w:rsidRDefault="00E2667B" w:rsidP="00B625EB">
            <w:pPr>
              <w:spacing w:before="0" w:after="0" w:line="240" w:lineRule="auto"/>
              <w:jc w:val="center"/>
              <w:rPr>
                <w:rFonts w:eastAsia="Arial TUR"/>
                <w:sz w:val="18"/>
                <w:szCs w:val="18"/>
              </w:rPr>
            </w:pPr>
            <w:r w:rsidRPr="00EE43C6">
              <w:rPr>
                <w:rFonts w:eastAsia="Arial TUR"/>
                <w:sz w:val="18"/>
                <w:szCs w:val="18"/>
              </w:rPr>
              <w:t>176.20</w:t>
            </w:r>
          </w:p>
        </w:tc>
      </w:tr>
      <w:tr w:rsidR="00361FAB" w:rsidRPr="00EE43C6" w14:paraId="5CF0CB74" w14:textId="77777777" w:rsidTr="00B625EB">
        <w:trPr>
          <w:trHeight w:val="284"/>
          <w:jc w:val="center"/>
        </w:trPr>
        <w:tc>
          <w:tcPr>
            <w:tcW w:w="1873" w:type="pct"/>
            <w:vAlign w:val="center"/>
          </w:tcPr>
          <w:p w14:paraId="122DB00A" w14:textId="7DBA1ED7" w:rsidR="00361FAB" w:rsidRPr="00EE43C6" w:rsidRDefault="007547F9" w:rsidP="00B625EB">
            <w:pPr>
              <w:spacing w:before="0" w:after="0" w:line="240" w:lineRule="auto"/>
              <w:jc w:val="center"/>
              <w:rPr>
                <w:rFonts w:eastAsia="Arial TUR"/>
                <w:sz w:val="18"/>
                <w:szCs w:val="18"/>
              </w:rPr>
            </w:pPr>
            <w:r w:rsidRPr="00EE43C6">
              <w:rPr>
                <w:rFonts w:eastAsia="Arial TUR"/>
                <w:sz w:val="18"/>
                <w:szCs w:val="18"/>
              </w:rPr>
              <w:t>SO</w:t>
            </w:r>
            <w:r w:rsidRPr="00EE43C6">
              <w:rPr>
                <w:rFonts w:eastAsia="Arial TUR"/>
                <w:sz w:val="18"/>
                <w:szCs w:val="18"/>
                <w:vertAlign w:val="subscript"/>
              </w:rPr>
              <w:t>2</w:t>
            </w:r>
          </w:p>
        </w:tc>
        <w:tc>
          <w:tcPr>
            <w:tcW w:w="3127" w:type="pct"/>
            <w:vAlign w:val="center"/>
          </w:tcPr>
          <w:p w14:paraId="7DC72C06" w14:textId="4AA63C75" w:rsidR="00361FAB" w:rsidRPr="00EE43C6" w:rsidRDefault="00E2667B" w:rsidP="00B625EB">
            <w:pPr>
              <w:spacing w:before="0" w:after="0" w:line="240" w:lineRule="auto"/>
              <w:jc w:val="center"/>
              <w:rPr>
                <w:rFonts w:eastAsia="Arial TUR"/>
                <w:sz w:val="18"/>
                <w:szCs w:val="18"/>
              </w:rPr>
            </w:pPr>
            <w:r w:rsidRPr="00EE43C6">
              <w:rPr>
                <w:rFonts w:eastAsia="Arial TUR"/>
                <w:sz w:val="18"/>
                <w:szCs w:val="18"/>
              </w:rPr>
              <w:t>9.61</w:t>
            </w:r>
          </w:p>
        </w:tc>
      </w:tr>
    </w:tbl>
    <w:p w14:paraId="725023C2" w14:textId="1DB15666" w:rsidR="001856B1" w:rsidRPr="00EE43C6" w:rsidRDefault="00E2667B" w:rsidP="00F05567">
      <w:pPr>
        <w:spacing w:before="0" w:after="200"/>
        <w:rPr>
          <w:rFonts w:eastAsia="Arial TUR"/>
          <w:i/>
          <w:sz w:val="18"/>
          <w:szCs w:val="18"/>
        </w:rPr>
      </w:pPr>
      <w:r w:rsidRPr="00EE43C6">
        <w:rPr>
          <w:rFonts w:eastAsia="Arial TUR"/>
          <w:i/>
          <w:iCs/>
          <w:sz w:val="18"/>
          <w:szCs w:val="18"/>
        </w:rPr>
        <w:t xml:space="preserve">Source: </w:t>
      </w:r>
      <w:r w:rsidR="00F05567" w:rsidRPr="00EE43C6">
        <w:rPr>
          <w:rFonts w:eastAsia="Arial TUR"/>
          <w:i/>
          <w:iCs/>
          <w:sz w:val="18"/>
          <w:szCs w:val="18"/>
        </w:rPr>
        <w:t>U.S. Environmental Protection Agency (US EPA)</w:t>
      </w:r>
    </w:p>
    <w:p w14:paraId="61FA3F03" w14:textId="64E14875" w:rsidR="00F62B02" w:rsidRPr="00EE43C6" w:rsidRDefault="00F62B02" w:rsidP="00053882">
      <w:pPr>
        <w:rPr>
          <w:rFonts w:eastAsia="Arial TUR"/>
          <w:szCs w:val="22"/>
        </w:rPr>
      </w:pPr>
      <w:r w:rsidRPr="00EE43C6">
        <w:rPr>
          <w:rFonts w:eastAsia="Arial TUR"/>
          <w:szCs w:val="22"/>
        </w:rPr>
        <w:t>The quantity of natural gas to be used in the facilities will vary depending on the capacity of the facility to be established, and it is anticipated that an average of 250,000 m³/year natural gas will be used in a facility.</w:t>
      </w:r>
    </w:p>
    <w:p w14:paraId="0E8D393B" w14:textId="473198F1" w:rsidR="00B625EB" w:rsidRPr="00EE43C6" w:rsidRDefault="00F62B02" w:rsidP="006971DF">
      <w:pPr>
        <w:rPr>
          <w:b/>
          <w:bCs/>
          <w:color w:val="4F81BD"/>
          <w:sz w:val="20"/>
          <w:szCs w:val="20"/>
          <w:lang w:eastAsia="en-US"/>
        </w:rPr>
      </w:pPr>
      <w:r w:rsidRPr="00EE43C6">
        <w:rPr>
          <w:rFonts w:eastAsia="Arial TUR"/>
          <w:szCs w:val="22"/>
        </w:rPr>
        <w:t xml:space="preserve">Accordingly, the emission mass flowrate from a facility and its comparison with the limit values given in the </w:t>
      </w:r>
      <w:r w:rsidR="009430BE" w:rsidRPr="00EE43C6">
        <w:rPr>
          <w:rFonts w:eastAsia="Arial TUR"/>
          <w:szCs w:val="22"/>
        </w:rPr>
        <w:t>RoCIAP</w:t>
      </w:r>
      <w:r w:rsidRPr="00EE43C6">
        <w:rPr>
          <w:rFonts w:eastAsia="Arial TUR"/>
          <w:szCs w:val="22"/>
        </w:rPr>
        <w:t xml:space="preserve"> are given in </w:t>
      </w:r>
      <w:r w:rsidR="005F2FC8" w:rsidRPr="00EE43C6">
        <w:rPr>
          <w:rFonts w:eastAsia="Arial TUR"/>
          <w:szCs w:val="22"/>
        </w:rPr>
        <w:fldChar w:fldCharType="begin"/>
      </w:r>
      <w:r w:rsidR="005F2FC8" w:rsidRPr="00EE43C6">
        <w:rPr>
          <w:rFonts w:eastAsia="Arial TUR"/>
          <w:szCs w:val="22"/>
        </w:rPr>
        <w:instrText xml:space="preserve"> REF _Ref127981029 \h </w:instrText>
      </w:r>
      <w:r w:rsidR="005F2FC8" w:rsidRPr="00EE43C6">
        <w:rPr>
          <w:rFonts w:eastAsia="Arial TUR"/>
          <w:szCs w:val="22"/>
        </w:rPr>
      </w:r>
      <w:r w:rsidR="005F2FC8" w:rsidRPr="00EE43C6">
        <w:rPr>
          <w:rFonts w:eastAsia="Arial TUR"/>
          <w:szCs w:val="22"/>
        </w:rPr>
        <w:fldChar w:fldCharType="separate"/>
      </w:r>
      <w:r w:rsidR="006971DF" w:rsidRPr="00EE43C6">
        <w:t>Table 6</w:t>
      </w:r>
      <w:r w:rsidR="006971DF" w:rsidRPr="00EE43C6">
        <w:noBreakHyphen/>
        <w:t>16</w:t>
      </w:r>
      <w:r w:rsidR="005F2FC8" w:rsidRPr="00EE43C6">
        <w:rPr>
          <w:rFonts w:eastAsia="Arial TUR"/>
          <w:szCs w:val="22"/>
        </w:rPr>
        <w:fldChar w:fldCharType="end"/>
      </w:r>
      <w:r w:rsidR="007005F6" w:rsidRPr="00EE43C6">
        <w:rPr>
          <w:rFonts w:eastAsia="Arial TUR"/>
          <w:szCs w:val="22"/>
        </w:rPr>
        <w:fldChar w:fldCharType="begin"/>
      </w:r>
      <w:r w:rsidR="007005F6" w:rsidRPr="00EE43C6">
        <w:rPr>
          <w:rFonts w:eastAsia="Arial TUR"/>
          <w:szCs w:val="22"/>
        </w:rPr>
        <w:instrText xml:space="preserve"> REF _Ref126154027 \h </w:instrText>
      </w:r>
      <w:r w:rsidR="007005F6" w:rsidRPr="00EE43C6">
        <w:rPr>
          <w:rFonts w:eastAsia="Arial TUR"/>
          <w:szCs w:val="22"/>
        </w:rPr>
      </w:r>
      <w:r w:rsidR="007005F6" w:rsidRPr="00EE43C6">
        <w:rPr>
          <w:rFonts w:eastAsia="Arial TUR"/>
          <w:szCs w:val="22"/>
        </w:rPr>
        <w:fldChar w:fldCharType="end"/>
      </w:r>
      <w:r w:rsidRPr="00EE43C6">
        <w:rPr>
          <w:rFonts w:eastAsia="Arial TUR"/>
          <w:szCs w:val="22"/>
        </w:rPr>
        <w:t>.</w:t>
      </w:r>
      <w:r w:rsidR="00122A80" w:rsidRPr="00EE43C6">
        <w:rPr>
          <w:rFonts w:eastAsia="Arial TUR"/>
          <w:szCs w:val="22"/>
        </w:rPr>
        <w:t xml:space="preserve"> </w:t>
      </w:r>
      <w:r w:rsidR="00113B0E" w:rsidRPr="00EE43C6">
        <w:rPr>
          <w:rFonts w:eastAsia="Arial TUR"/>
          <w:szCs w:val="22"/>
        </w:rPr>
        <w:t>It has been observed that these values are well below the limit values given in Table 2-1 of Annex-2 of the RoCIAP</w:t>
      </w:r>
      <w:r w:rsidRPr="00EE43C6">
        <w:rPr>
          <w:rFonts w:eastAsia="Arial TUR"/>
          <w:szCs w:val="22"/>
        </w:rPr>
        <w:t>.</w:t>
      </w:r>
      <w:bookmarkStart w:id="503" w:name="_Ref126154027"/>
    </w:p>
    <w:p w14:paraId="6D819318" w14:textId="62EF9CF8" w:rsidR="002D025D" w:rsidRPr="00EE43C6" w:rsidRDefault="007005F6" w:rsidP="007005F6">
      <w:pPr>
        <w:pStyle w:val="Caption"/>
        <w:rPr>
          <w:rFonts w:eastAsia="Arial TUR"/>
          <w:noProof w:val="0"/>
          <w:szCs w:val="22"/>
        </w:rPr>
      </w:pPr>
      <w:bookmarkStart w:id="504" w:name="_Ref127981029"/>
      <w:bookmarkStart w:id="505" w:name="_Toc141445525"/>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16</w:t>
      </w:r>
      <w:r w:rsidR="006D2DE8">
        <w:rPr>
          <w:noProof w:val="0"/>
        </w:rPr>
        <w:fldChar w:fldCharType="end"/>
      </w:r>
      <w:bookmarkEnd w:id="503"/>
      <w:bookmarkEnd w:id="504"/>
      <w:r w:rsidRPr="00EE43C6">
        <w:rPr>
          <w:noProof w:val="0"/>
        </w:rPr>
        <w:t xml:space="preserve">. </w:t>
      </w:r>
      <w:r w:rsidR="0036550B" w:rsidRPr="00EE43C6">
        <w:rPr>
          <w:rFonts w:eastAsia="Arial TUR"/>
          <w:b w:val="0"/>
          <w:noProof w:val="0"/>
          <w:color w:val="auto"/>
          <w:szCs w:val="22"/>
        </w:rPr>
        <w:t>Emission Mass Flowrate and Limit Values to be Formed from a Facility</w:t>
      </w:r>
      <w:bookmarkEnd w:id="505"/>
    </w:p>
    <w:tbl>
      <w:tblPr>
        <w:tblStyle w:val="TableGrid"/>
        <w:tblW w:w="5000" w:type="pct"/>
        <w:jc w:val="center"/>
        <w:tblLook w:val="04A0" w:firstRow="1" w:lastRow="0" w:firstColumn="1" w:lastColumn="0" w:noHBand="0" w:noVBand="1"/>
      </w:tblPr>
      <w:tblGrid>
        <w:gridCol w:w="1587"/>
        <w:gridCol w:w="1591"/>
        <w:gridCol w:w="2069"/>
        <w:gridCol w:w="1749"/>
        <w:gridCol w:w="2068"/>
      </w:tblGrid>
      <w:tr w:rsidR="00D6382B" w:rsidRPr="00EE43C6" w14:paraId="2930AB48" w14:textId="77777777" w:rsidTr="001E0229">
        <w:trPr>
          <w:trHeight w:val="941"/>
          <w:tblHeader/>
          <w:jc w:val="center"/>
        </w:trPr>
        <w:tc>
          <w:tcPr>
            <w:tcW w:w="875" w:type="pct"/>
            <w:shd w:val="clear" w:color="auto" w:fill="4F81BD"/>
            <w:vAlign w:val="center"/>
          </w:tcPr>
          <w:p w14:paraId="179C03BE" w14:textId="769DC64E" w:rsidR="00D6382B" w:rsidRPr="00EE43C6" w:rsidRDefault="00556D6E" w:rsidP="00B625EB">
            <w:pPr>
              <w:spacing w:before="0" w:after="0" w:line="240" w:lineRule="auto"/>
              <w:jc w:val="center"/>
              <w:rPr>
                <w:rFonts w:eastAsia="Arial TUR"/>
                <w:b/>
                <w:color w:val="FFFFFF" w:themeColor="background1"/>
                <w:sz w:val="18"/>
                <w:szCs w:val="20"/>
              </w:rPr>
            </w:pPr>
            <w:r w:rsidRPr="00EE43C6">
              <w:rPr>
                <w:rFonts w:eastAsia="Arial TUR"/>
                <w:b/>
                <w:color w:val="FFFFFF" w:themeColor="background1"/>
                <w:sz w:val="18"/>
                <w:szCs w:val="20"/>
              </w:rPr>
              <w:t>Parameters</w:t>
            </w:r>
          </w:p>
        </w:tc>
        <w:tc>
          <w:tcPr>
            <w:tcW w:w="877" w:type="pct"/>
            <w:shd w:val="clear" w:color="auto" w:fill="4F81BD"/>
            <w:vAlign w:val="center"/>
          </w:tcPr>
          <w:p w14:paraId="5748470F" w14:textId="3CC24061" w:rsidR="00D6382B" w:rsidRPr="00EE43C6" w:rsidRDefault="00556D6E" w:rsidP="00B625EB">
            <w:pPr>
              <w:spacing w:before="0" w:after="0" w:line="240" w:lineRule="auto"/>
              <w:jc w:val="center"/>
              <w:rPr>
                <w:rFonts w:eastAsia="Arial TUR"/>
                <w:b/>
                <w:color w:val="FFFFFF" w:themeColor="background1"/>
                <w:sz w:val="18"/>
                <w:szCs w:val="20"/>
              </w:rPr>
            </w:pPr>
            <w:r w:rsidRPr="00EE43C6">
              <w:rPr>
                <w:rFonts w:eastAsia="Arial TUR"/>
                <w:b/>
                <w:color w:val="FFFFFF" w:themeColor="background1"/>
                <w:sz w:val="18"/>
                <w:szCs w:val="20"/>
              </w:rPr>
              <w:t>Natural Gas Consumption of a Facility</w:t>
            </w:r>
          </w:p>
        </w:tc>
        <w:tc>
          <w:tcPr>
            <w:tcW w:w="1141" w:type="pct"/>
            <w:shd w:val="clear" w:color="auto" w:fill="4F81BD"/>
            <w:vAlign w:val="center"/>
          </w:tcPr>
          <w:p w14:paraId="399B797E" w14:textId="77777777" w:rsidR="009855BC" w:rsidRPr="00EE43C6" w:rsidRDefault="009855BC" w:rsidP="00B625EB">
            <w:pPr>
              <w:spacing w:before="0" w:after="0" w:line="240" w:lineRule="auto"/>
              <w:jc w:val="center"/>
              <w:rPr>
                <w:rFonts w:eastAsia="Arial TUR"/>
                <w:b/>
                <w:color w:val="FFFFFF" w:themeColor="background1"/>
                <w:sz w:val="18"/>
                <w:szCs w:val="20"/>
              </w:rPr>
            </w:pPr>
            <w:r w:rsidRPr="00EE43C6">
              <w:rPr>
                <w:rFonts w:eastAsia="Arial TUR"/>
                <w:b/>
                <w:color w:val="FFFFFF" w:themeColor="background1"/>
                <w:sz w:val="18"/>
                <w:szCs w:val="20"/>
              </w:rPr>
              <w:t>Emission Factors in Small Boilers</w:t>
            </w:r>
          </w:p>
          <w:p w14:paraId="0ADAE108" w14:textId="46D02154" w:rsidR="00D6382B" w:rsidRPr="00EE43C6" w:rsidRDefault="009855BC" w:rsidP="00B625EB">
            <w:pPr>
              <w:spacing w:before="0" w:after="0" w:line="240" w:lineRule="auto"/>
              <w:jc w:val="center"/>
              <w:rPr>
                <w:rFonts w:eastAsia="Arial TUR"/>
                <w:b/>
                <w:color w:val="FFFFFF" w:themeColor="background1"/>
                <w:sz w:val="18"/>
                <w:szCs w:val="20"/>
              </w:rPr>
            </w:pPr>
            <w:r w:rsidRPr="00EE43C6">
              <w:rPr>
                <w:rFonts w:eastAsia="Arial TUR"/>
                <w:b/>
                <w:color w:val="FFFFFF" w:themeColor="background1"/>
                <w:sz w:val="18"/>
                <w:szCs w:val="20"/>
              </w:rPr>
              <w:t>(kg/10</w:t>
            </w:r>
            <w:r w:rsidRPr="00EE43C6">
              <w:rPr>
                <w:rFonts w:eastAsia="Arial TUR"/>
                <w:b/>
                <w:color w:val="FFFFFF" w:themeColor="background1"/>
                <w:sz w:val="18"/>
                <w:szCs w:val="20"/>
                <w:vertAlign w:val="superscript"/>
              </w:rPr>
              <w:t>6</w:t>
            </w:r>
            <w:r w:rsidRPr="00EE43C6">
              <w:rPr>
                <w:rFonts w:eastAsia="Arial TUR"/>
                <w:b/>
                <w:color w:val="FFFFFF" w:themeColor="background1"/>
                <w:sz w:val="18"/>
                <w:szCs w:val="20"/>
              </w:rPr>
              <w:t xml:space="preserve"> m³)</w:t>
            </w:r>
          </w:p>
        </w:tc>
        <w:tc>
          <w:tcPr>
            <w:tcW w:w="965" w:type="pct"/>
            <w:shd w:val="clear" w:color="auto" w:fill="4F81BD"/>
            <w:vAlign w:val="center"/>
          </w:tcPr>
          <w:p w14:paraId="09F7B226" w14:textId="2C13CB08" w:rsidR="00D6382B" w:rsidRPr="00EE43C6" w:rsidRDefault="009855BC" w:rsidP="00B625EB">
            <w:pPr>
              <w:spacing w:before="0" w:after="0" w:line="240" w:lineRule="auto"/>
              <w:jc w:val="center"/>
              <w:rPr>
                <w:rFonts w:eastAsia="Arial TUR"/>
                <w:b/>
                <w:color w:val="FFFFFF" w:themeColor="background1"/>
                <w:sz w:val="18"/>
                <w:szCs w:val="20"/>
              </w:rPr>
            </w:pPr>
            <w:r w:rsidRPr="00EE43C6">
              <w:rPr>
                <w:rFonts w:eastAsia="Arial TUR"/>
                <w:b/>
                <w:color w:val="FFFFFF" w:themeColor="background1"/>
                <w:sz w:val="18"/>
                <w:szCs w:val="20"/>
              </w:rPr>
              <w:t>Emission Mass Flowrate (kg/h</w:t>
            </w:r>
            <w:r w:rsidR="0070347B" w:rsidRPr="00EE43C6">
              <w:rPr>
                <w:rFonts w:eastAsia="Arial TUR"/>
                <w:b/>
                <w:color w:val="FFFFFF" w:themeColor="background1"/>
                <w:sz w:val="18"/>
                <w:szCs w:val="20"/>
              </w:rPr>
              <w:t>our</w:t>
            </w:r>
            <w:r w:rsidRPr="00EE43C6">
              <w:rPr>
                <w:rFonts w:eastAsia="Arial TUR"/>
                <w:b/>
                <w:color w:val="FFFFFF" w:themeColor="background1"/>
                <w:sz w:val="18"/>
                <w:szCs w:val="20"/>
              </w:rPr>
              <w:t>)</w:t>
            </w:r>
          </w:p>
        </w:tc>
        <w:tc>
          <w:tcPr>
            <w:tcW w:w="1141" w:type="pct"/>
            <w:shd w:val="clear" w:color="auto" w:fill="4F81BD"/>
            <w:vAlign w:val="center"/>
          </w:tcPr>
          <w:p w14:paraId="7E79FECB" w14:textId="0DB68A00" w:rsidR="00D6382B" w:rsidRPr="00EE43C6" w:rsidRDefault="00C36CC8" w:rsidP="00CE4A51">
            <w:pPr>
              <w:spacing w:before="0" w:after="0" w:line="240" w:lineRule="auto"/>
              <w:jc w:val="center"/>
              <w:rPr>
                <w:rFonts w:eastAsia="Arial TUR"/>
                <w:b/>
                <w:color w:val="FFFFFF" w:themeColor="background1"/>
                <w:sz w:val="18"/>
                <w:szCs w:val="20"/>
              </w:rPr>
            </w:pPr>
            <w:r w:rsidRPr="00EE43C6">
              <w:rPr>
                <w:rFonts w:eastAsia="Arial TUR"/>
                <w:b/>
                <w:bCs/>
                <w:color w:val="FFFFFF" w:themeColor="background1"/>
                <w:sz w:val="18"/>
                <w:szCs w:val="20"/>
              </w:rPr>
              <w:t xml:space="preserve">Table 2.1 Mass Flowrate kg/hour </w:t>
            </w:r>
            <w:r w:rsidR="008F26F7" w:rsidRPr="00EE43C6">
              <w:rPr>
                <w:rFonts w:eastAsia="Arial TUR"/>
                <w:b/>
                <w:bCs/>
                <w:color w:val="FFFFFF" w:themeColor="background1"/>
                <w:sz w:val="18"/>
                <w:szCs w:val="20"/>
              </w:rPr>
              <w:t xml:space="preserve">of Annex 2 of the </w:t>
            </w:r>
            <w:r w:rsidR="009855BC" w:rsidRPr="00EE43C6">
              <w:rPr>
                <w:rFonts w:eastAsia="Arial TUR"/>
                <w:b/>
                <w:bCs/>
                <w:color w:val="FFFFFF" w:themeColor="background1"/>
                <w:sz w:val="18"/>
                <w:szCs w:val="20"/>
              </w:rPr>
              <w:t>RoCIAP</w:t>
            </w:r>
          </w:p>
        </w:tc>
      </w:tr>
      <w:tr w:rsidR="00D6382B" w:rsidRPr="00EE43C6" w14:paraId="1FFE910B" w14:textId="77777777" w:rsidTr="00D10343">
        <w:trPr>
          <w:trHeight w:val="284"/>
          <w:jc w:val="center"/>
        </w:trPr>
        <w:tc>
          <w:tcPr>
            <w:tcW w:w="875" w:type="pct"/>
            <w:vAlign w:val="center"/>
          </w:tcPr>
          <w:p w14:paraId="4B27B49C" w14:textId="1D69E950" w:rsidR="00D6382B" w:rsidRPr="00EE43C6" w:rsidRDefault="00203E2E" w:rsidP="00B625EB">
            <w:pPr>
              <w:spacing w:before="0" w:after="0" w:line="240" w:lineRule="auto"/>
              <w:jc w:val="center"/>
              <w:rPr>
                <w:rFonts w:eastAsia="Arial TUR"/>
                <w:sz w:val="18"/>
                <w:szCs w:val="20"/>
              </w:rPr>
            </w:pPr>
            <w:r w:rsidRPr="00EE43C6">
              <w:rPr>
                <w:rFonts w:eastAsia="Arial TUR"/>
                <w:sz w:val="18"/>
                <w:szCs w:val="20"/>
              </w:rPr>
              <w:t>NO</w:t>
            </w:r>
            <w:r w:rsidRPr="00EE43C6">
              <w:rPr>
                <w:rFonts w:eastAsia="Arial TUR"/>
                <w:sz w:val="18"/>
                <w:szCs w:val="20"/>
                <w:vertAlign w:val="subscript"/>
              </w:rPr>
              <w:t>x</w:t>
            </w:r>
          </w:p>
        </w:tc>
        <w:tc>
          <w:tcPr>
            <w:tcW w:w="877" w:type="pct"/>
            <w:vMerge w:val="restart"/>
            <w:vAlign w:val="center"/>
          </w:tcPr>
          <w:p w14:paraId="4D489B23" w14:textId="2D46F380" w:rsidR="00D6382B" w:rsidRPr="00EE43C6" w:rsidRDefault="00C02EB7" w:rsidP="00B625EB">
            <w:pPr>
              <w:spacing w:before="0" w:after="0" w:line="240" w:lineRule="auto"/>
              <w:jc w:val="center"/>
              <w:rPr>
                <w:rFonts w:eastAsia="Arial TUR"/>
                <w:sz w:val="18"/>
                <w:szCs w:val="20"/>
              </w:rPr>
            </w:pPr>
            <w:r w:rsidRPr="00EE43C6">
              <w:rPr>
                <w:rFonts w:eastAsia="Arial TUR"/>
                <w:sz w:val="18"/>
                <w:szCs w:val="20"/>
              </w:rPr>
              <w:t>250</w:t>
            </w:r>
            <w:r w:rsidR="00996FA3" w:rsidRPr="00EE43C6">
              <w:rPr>
                <w:rFonts w:eastAsia="Arial TUR"/>
                <w:sz w:val="18"/>
                <w:szCs w:val="20"/>
              </w:rPr>
              <w:t>,000 m</w:t>
            </w:r>
            <w:r w:rsidR="00996FA3" w:rsidRPr="00EE43C6">
              <w:rPr>
                <w:rFonts w:eastAsia="Arial TUR"/>
                <w:sz w:val="18"/>
                <w:szCs w:val="20"/>
                <w:vertAlign w:val="superscript"/>
              </w:rPr>
              <w:t>3</w:t>
            </w:r>
            <w:r w:rsidR="00996FA3" w:rsidRPr="00EE43C6">
              <w:rPr>
                <w:rFonts w:eastAsia="Arial TUR"/>
                <w:sz w:val="18"/>
                <w:szCs w:val="20"/>
              </w:rPr>
              <w:t>/year</w:t>
            </w:r>
          </w:p>
        </w:tc>
        <w:tc>
          <w:tcPr>
            <w:tcW w:w="1141" w:type="pct"/>
            <w:vAlign w:val="center"/>
          </w:tcPr>
          <w:p w14:paraId="75747F14" w14:textId="60EEA795" w:rsidR="00D6382B" w:rsidRPr="00EE43C6" w:rsidRDefault="00996FA3" w:rsidP="00B625EB">
            <w:pPr>
              <w:spacing w:before="0" w:after="0" w:line="240" w:lineRule="auto"/>
              <w:jc w:val="center"/>
              <w:rPr>
                <w:rFonts w:eastAsia="Arial TUR"/>
                <w:sz w:val="18"/>
                <w:szCs w:val="20"/>
              </w:rPr>
            </w:pPr>
            <w:r w:rsidRPr="00EE43C6">
              <w:rPr>
                <w:rFonts w:eastAsia="Arial TUR"/>
                <w:sz w:val="18"/>
                <w:szCs w:val="20"/>
              </w:rPr>
              <w:t>800.9</w:t>
            </w:r>
          </w:p>
        </w:tc>
        <w:tc>
          <w:tcPr>
            <w:tcW w:w="965" w:type="pct"/>
            <w:vAlign w:val="center"/>
          </w:tcPr>
          <w:p w14:paraId="113C1BA7" w14:textId="1BB77133" w:rsidR="00D6382B" w:rsidRPr="00EE43C6" w:rsidRDefault="00996FA3" w:rsidP="00B625EB">
            <w:pPr>
              <w:spacing w:before="0" w:after="0" w:line="240" w:lineRule="auto"/>
              <w:jc w:val="center"/>
              <w:rPr>
                <w:rFonts w:eastAsia="Arial TUR"/>
                <w:sz w:val="18"/>
                <w:szCs w:val="20"/>
              </w:rPr>
            </w:pPr>
            <w:r w:rsidRPr="00EE43C6">
              <w:rPr>
                <w:rFonts w:eastAsia="Arial TUR"/>
                <w:sz w:val="18"/>
                <w:szCs w:val="20"/>
              </w:rPr>
              <w:t>0.083</w:t>
            </w:r>
          </w:p>
        </w:tc>
        <w:tc>
          <w:tcPr>
            <w:tcW w:w="1141" w:type="pct"/>
            <w:vAlign w:val="center"/>
          </w:tcPr>
          <w:p w14:paraId="49FD9309" w14:textId="4FD17924" w:rsidR="00D6382B" w:rsidRPr="00EE43C6" w:rsidRDefault="003607EF" w:rsidP="00B625EB">
            <w:pPr>
              <w:spacing w:before="0" w:after="0" w:line="240" w:lineRule="auto"/>
              <w:jc w:val="center"/>
              <w:rPr>
                <w:rFonts w:eastAsia="Arial TUR"/>
                <w:sz w:val="18"/>
                <w:szCs w:val="20"/>
              </w:rPr>
            </w:pPr>
            <w:r w:rsidRPr="00EE43C6">
              <w:rPr>
                <w:rFonts w:eastAsia="Arial TUR"/>
                <w:sz w:val="18"/>
                <w:szCs w:val="20"/>
              </w:rPr>
              <w:t>4</w:t>
            </w:r>
            <w:r w:rsidR="007005F6" w:rsidRPr="00EE43C6">
              <w:rPr>
                <w:rFonts w:eastAsia="Arial TUR"/>
                <w:sz w:val="18"/>
                <w:szCs w:val="20"/>
              </w:rPr>
              <w:t>0</w:t>
            </w:r>
          </w:p>
        </w:tc>
      </w:tr>
      <w:tr w:rsidR="00D6382B" w:rsidRPr="00EE43C6" w14:paraId="5CA4025D" w14:textId="77777777" w:rsidTr="00D10343">
        <w:trPr>
          <w:trHeight w:val="284"/>
          <w:jc w:val="center"/>
        </w:trPr>
        <w:tc>
          <w:tcPr>
            <w:tcW w:w="875" w:type="pct"/>
            <w:vAlign w:val="center"/>
          </w:tcPr>
          <w:p w14:paraId="040F257F" w14:textId="3D4C81F8" w:rsidR="00D6382B" w:rsidRPr="00EE43C6" w:rsidRDefault="00203E2E" w:rsidP="00B625EB">
            <w:pPr>
              <w:spacing w:before="0" w:after="0" w:line="240" w:lineRule="auto"/>
              <w:jc w:val="center"/>
              <w:rPr>
                <w:rFonts w:eastAsia="Arial TUR"/>
                <w:sz w:val="18"/>
                <w:szCs w:val="20"/>
              </w:rPr>
            </w:pPr>
            <w:r w:rsidRPr="00EE43C6">
              <w:rPr>
                <w:rFonts w:eastAsia="Arial TUR"/>
                <w:sz w:val="18"/>
                <w:szCs w:val="20"/>
              </w:rPr>
              <w:t>CO</w:t>
            </w:r>
          </w:p>
        </w:tc>
        <w:tc>
          <w:tcPr>
            <w:tcW w:w="877" w:type="pct"/>
            <w:vMerge/>
            <w:vAlign w:val="center"/>
          </w:tcPr>
          <w:p w14:paraId="541E2C16" w14:textId="77777777" w:rsidR="00D6382B" w:rsidRPr="00EE43C6" w:rsidRDefault="00D6382B" w:rsidP="00B625EB">
            <w:pPr>
              <w:spacing w:before="0" w:after="0" w:line="240" w:lineRule="auto"/>
              <w:jc w:val="center"/>
              <w:rPr>
                <w:rFonts w:eastAsia="Arial TUR"/>
                <w:sz w:val="18"/>
                <w:szCs w:val="20"/>
              </w:rPr>
            </w:pPr>
          </w:p>
        </w:tc>
        <w:tc>
          <w:tcPr>
            <w:tcW w:w="1141" w:type="pct"/>
            <w:vAlign w:val="center"/>
          </w:tcPr>
          <w:p w14:paraId="248E359D" w14:textId="26F54944" w:rsidR="00D6382B" w:rsidRPr="00EE43C6" w:rsidRDefault="00996FA3" w:rsidP="00B625EB">
            <w:pPr>
              <w:spacing w:before="0" w:after="0" w:line="240" w:lineRule="auto"/>
              <w:jc w:val="center"/>
              <w:rPr>
                <w:rFonts w:eastAsia="Arial TUR"/>
                <w:sz w:val="18"/>
                <w:szCs w:val="20"/>
              </w:rPr>
            </w:pPr>
            <w:r w:rsidRPr="00EE43C6">
              <w:rPr>
                <w:rFonts w:eastAsia="Arial TUR"/>
                <w:sz w:val="18"/>
                <w:szCs w:val="20"/>
              </w:rPr>
              <w:t>1,345.55</w:t>
            </w:r>
          </w:p>
        </w:tc>
        <w:tc>
          <w:tcPr>
            <w:tcW w:w="965" w:type="pct"/>
            <w:vAlign w:val="center"/>
          </w:tcPr>
          <w:p w14:paraId="7EAB97E8" w14:textId="140AD9AB" w:rsidR="00D6382B" w:rsidRPr="00EE43C6" w:rsidRDefault="00B6641C" w:rsidP="00B625EB">
            <w:pPr>
              <w:spacing w:before="0" w:after="0" w:line="240" w:lineRule="auto"/>
              <w:jc w:val="center"/>
              <w:rPr>
                <w:rFonts w:eastAsia="Arial TUR"/>
                <w:sz w:val="18"/>
                <w:szCs w:val="20"/>
              </w:rPr>
            </w:pPr>
            <w:r w:rsidRPr="00EE43C6">
              <w:rPr>
                <w:rFonts w:eastAsia="Arial TUR"/>
                <w:sz w:val="18"/>
                <w:szCs w:val="20"/>
              </w:rPr>
              <w:t>1.401</w:t>
            </w:r>
          </w:p>
        </w:tc>
        <w:tc>
          <w:tcPr>
            <w:tcW w:w="1141" w:type="pct"/>
            <w:vAlign w:val="center"/>
          </w:tcPr>
          <w:p w14:paraId="17EF9140" w14:textId="32214B4C" w:rsidR="00D6382B" w:rsidRPr="00EE43C6" w:rsidRDefault="00E12BD7" w:rsidP="00B625EB">
            <w:pPr>
              <w:spacing w:before="0" w:after="0" w:line="240" w:lineRule="auto"/>
              <w:jc w:val="center"/>
              <w:rPr>
                <w:rFonts w:eastAsia="Arial TUR"/>
                <w:sz w:val="18"/>
                <w:szCs w:val="20"/>
              </w:rPr>
            </w:pPr>
            <w:r w:rsidRPr="00EE43C6">
              <w:rPr>
                <w:rFonts w:eastAsia="Arial TUR"/>
                <w:sz w:val="18"/>
                <w:szCs w:val="20"/>
              </w:rPr>
              <w:t>500</w:t>
            </w:r>
          </w:p>
        </w:tc>
      </w:tr>
      <w:tr w:rsidR="00D6382B" w:rsidRPr="00EE43C6" w14:paraId="2244CF37" w14:textId="77777777" w:rsidTr="00D10343">
        <w:trPr>
          <w:trHeight w:val="284"/>
          <w:jc w:val="center"/>
        </w:trPr>
        <w:tc>
          <w:tcPr>
            <w:tcW w:w="875" w:type="pct"/>
            <w:vAlign w:val="center"/>
          </w:tcPr>
          <w:p w14:paraId="1AFB99E1" w14:textId="43D9FC79" w:rsidR="00D6382B" w:rsidRPr="00EE43C6" w:rsidRDefault="00203E2E" w:rsidP="00B625EB">
            <w:pPr>
              <w:spacing w:before="0" w:after="0" w:line="240" w:lineRule="auto"/>
              <w:jc w:val="center"/>
              <w:rPr>
                <w:rFonts w:eastAsia="Arial TUR"/>
                <w:sz w:val="18"/>
                <w:szCs w:val="20"/>
              </w:rPr>
            </w:pPr>
            <w:r w:rsidRPr="00EE43C6">
              <w:rPr>
                <w:rFonts w:eastAsia="Arial TUR"/>
                <w:sz w:val="18"/>
                <w:szCs w:val="20"/>
              </w:rPr>
              <w:lastRenderedPageBreak/>
              <w:t>PM</w:t>
            </w:r>
          </w:p>
        </w:tc>
        <w:tc>
          <w:tcPr>
            <w:tcW w:w="877" w:type="pct"/>
            <w:vMerge/>
            <w:vAlign w:val="center"/>
          </w:tcPr>
          <w:p w14:paraId="414B1C63" w14:textId="77777777" w:rsidR="00D6382B" w:rsidRPr="00EE43C6" w:rsidRDefault="00D6382B" w:rsidP="00B625EB">
            <w:pPr>
              <w:spacing w:before="0" w:after="0" w:line="240" w:lineRule="auto"/>
              <w:jc w:val="center"/>
              <w:rPr>
                <w:rFonts w:eastAsia="Arial TUR"/>
                <w:sz w:val="18"/>
                <w:szCs w:val="20"/>
              </w:rPr>
            </w:pPr>
          </w:p>
        </w:tc>
        <w:tc>
          <w:tcPr>
            <w:tcW w:w="1141" w:type="pct"/>
            <w:vAlign w:val="center"/>
          </w:tcPr>
          <w:p w14:paraId="798CDF06" w14:textId="57F62A2B" w:rsidR="00D6382B" w:rsidRPr="00EE43C6" w:rsidRDefault="00996FA3" w:rsidP="00B625EB">
            <w:pPr>
              <w:spacing w:before="0" w:after="0" w:line="240" w:lineRule="auto"/>
              <w:jc w:val="center"/>
              <w:rPr>
                <w:rFonts w:eastAsia="Arial TUR"/>
                <w:sz w:val="18"/>
                <w:szCs w:val="20"/>
              </w:rPr>
            </w:pPr>
            <w:r w:rsidRPr="00EE43C6">
              <w:rPr>
                <w:rFonts w:eastAsia="Arial TUR"/>
                <w:sz w:val="18"/>
                <w:szCs w:val="20"/>
              </w:rPr>
              <w:t>121.74</w:t>
            </w:r>
          </w:p>
        </w:tc>
        <w:tc>
          <w:tcPr>
            <w:tcW w:w="965" w:type="pct"/>
            <w:vAlign w:val="center"/>
          </w:tcPr>
          <w:p w14:paraId="2C54D9F3" w14:textId="7214580F" w:rsidR="00D6382B" w:rsidRPr="00EE43C6" w:rsidRDefault="00B6641C" w:rsidP="00B625EB">
            <w:pPr>
              <w:spacing w:before="0" w:after="0" w:line="240" w:lineRule="auto"/>
              <w:jc w:val="center"/>
              <w:rPr>
                <w:rFonts w:eastAsia="Arial TUR"/>
                <w:sz w:val="18"/>
                <w:szCs w:val="20"/>
              </w:rPr>
            </w:pPr>
            <w:r w:rsidRPr="00EE43C6">
              <w:rPr>
                <w:rFonts w:eastAsia="Arial TUR"/>
                <w:sz w:val="18"/>
                <w:szCs w:val="20"/>
              </w:rPr>
              <w:t>0.012</w:t>
            </w:r>
          </w:p>
        </w:tc>
        <w:tc>
          <w:tcPr>
            <w:tcW w:w="1141" w:type="pct"/>
            <w:vAlign w:val="center"/>
          </w:tcPr>
          <w:p w14:paraId="4E3A00FD" w14:textId="425267B2" w:rsidR="00D6382B" w:rsidRPr="00EE43C6" w:rsidRDefault="00DF5169" w:rsidP="00B625EB">
            <w:pPr>
              <w:spacing w:before="0" w:after="0" w:line="240" w:lineRule="auto"/>
              <w:jc w:val="center"/>
              <w:rPr>
                <w:rFonts w:eastAsia="Arial TUR"/>
                <w:sz w:val="18"/>
                <w:szCs w:val="20"/>
              </w:rPr>
            </w:pPr>
            <w:r w:rsidRPr="00EE43C6">
              <w:rPr>
                <w:rFonts w:eastAsia="Arial TUR"/>
                <w:sz w:val="18"/>
                <w:szCs w:val="20"/>
              </w:rPr>
              <w:t>1</w:t>
            </w:r>
            <w:r w:rsidR="007005F6" w:rsidRPr="00EE43C6">
              <w:rPr>
                <w:rFonts w:eastAsia="Arial TUR"/>
                <w:sz w:val="18"/>
                <w:szCs w:val="20"/>
              </w:rPr>
              <w:t>0</w:t>
            </w:r>
          </w:p>
        </w:tc>
      </w:tr>
      <w:tr w:rsidR="00D6382B" w:rsidRPr="00EE43C6" w14:paraId="25BCFDA1" w14:textId="77777777" w:rsidTr="00D10343">
        <w:trPr>
          <w:trHeight w:val="284"/>
          <w:jc w:val="center"/>
        </w:trPr>
        <w:tc>
          <w:tcPr>
            <w:tcW w:w="875" w:type="pct"/>
            <w:vAlign w:val="center"/>
          </w:tcPr>
          <w:p w14:paraId="44CE3AA3" w14:textId="49BEEF95" w:rsidR="00D6382B" w:rsidRPr="00EE43C6" w:rsidRDefault="00203E2E" w:rsidP="00B625EB">
            <w:pPr>
              <w:spacing w:before="0" w:after="0" w:line="240" w:lineRule="auto"/>
              <w:jc w:val="center"/>
              <w:rPr>
                <w:rFonts w:eastAsia="Arial TUR"/>
                <w:sz w:val="18"/>
                <w:szCs w:val="20"/>
              </w:rPr>
            </w:pPr>
            <w:r w:rsidRPr="00EE43C6">
              <w:rPr>
                <w:rFonts w:eastAsia="Arial TUR"/>
                <w:sz w:val="18"/>
                <w:szCs w:val="20"/>
              </w:rPr>
              <w:t>TOC</w:t>
            </w:r>
          </w:p>
        </w:tc>
        <w:tc>
          <w:tcPr>
            <w:tcW w:w="877" w:type="pct"/>
            <w:vMerge/>
            <w:vAlign w:val="center"/>
          </w:tcPr>
          <w:p w14:paraId="36AC47E5" w14:textId="77777777" w:rsidR="00D6382B" w:rsidRPr="00EE43C6" w:rsidRDefault="00D6382B" w:rsidP="00B625EB">
            <w:pPr>
              <w:spacing w:before="0" w:after="0" w:line="240" w:lineRule="auto"/>
              <w:jc w:val="center"/>
              <w:rPr>
                <w:rFonts w:eastAsia="Arial TUR"/>
                <w:sz w:val="18"/>
                <w:szCs w:val="20"/>
              </w:rPr>
            </w:pPr>
          </w:p>
        </w:tc>
        <w:tc>
          <w:tcPr>
            <w:tcW w:w="1141" w:type="pct"/>
            <w:vAlign w:val="center"/>
          </w:tcPr>
          <w:p w14:paraId="0A4EFD61" w14:textId="60ED832F" w:rsidR="00D6382B" w:rsidRPr="00EE43C6" w:rsidRDefault="00996FA3" w:rsidP="00B625EB">
            <w:pPr>
              <w:spacing w:before="0" w:after="0" w:line="240" w:lineRule="auto"/>
              <w:jc w:val="center"/>
              <w:rPr>
                <w:rFonts w:eastAsia="Arial TUR"/>
                <w:sz w:val="18"/>
                <w:szCs w:val="20"/>
              </w:rPr>
            </w:pPr>
            <w:r w:rsidRPr="00EE43C6">
              <w:rPr>
                <w:rFonts w:eastAsia="Arial TUR"/>
                <w:sz w:val="18"/>
                <w:szCs w:val="20"/>
              </w:rPr>
              <w:t>176.20</w:t>
            </w:r>
          </w:p>
        </w:tc>
        <w:tc>
          <w:tcPr>
            <w:tcW w:w="965" w:type="pct"/>
            <w:vAlign w:val="center"/>
          </w:tcPr>
          <w:p w14:paraId="135B15E8" w14:textId="5CB0A94F" w:rsidR="00D6382B" w:rsidRPr="00EE43C6" w:rsidRDefault="00B6641C" w:rsidP="00B625EB">
            <w:pPr>
              <w:spacing w:before="0" w:after="0" w:line="240" w:lineRule="auto"/>
              <w:jc w:val="center"/>
              <w:rPr>
                <w:rFonts w:eastAsia="Arial TUR"/>
                <w:sz w:val="18"/>
                <w:szCs w:val="20"/>
              </w:rPr>
            </w:pPr>
            <w:r w:rsidRPr="00EE43C6">
              <w:rPr>
                <w:rFonts w:eastAsia="Arial TUR"/>
                <w:sz w:val="18"/>
                <w:szCs w:val="20"/>
              </w:rPr>
              <w:t>0.018</w:t>
            </w:r>
          </w:p>
        </w:tc>
        <w:tc>
          <w:tcPr>
            <w:tcW w:w="1141" w:type="pct"/>
            <w:vAlign w:val="center"/>
          </w:tcPr>
          <w:p w14:paraId="28642A71" w14:textId="6E60DD45" w:rsidR="00D6382B" w:rsidRPr="00EE43C6" w:rsidRDefault="001E571C" w:rsidP="00B625EB">
            <w:pPr>
              <w:spacing w:before="0" w:after="0" w:line="240" w:lineRule="auto"/>
              <w:jc w:val="center"/>
              <w:rPr>
                <w:rFonts w:eastAsia="Arial TUR"/>
                <w:sz w:val="18"/>
                <w:szCs w:val="20"/>
              </w:rPr>
            </w:pPr>
            <w:r w:rsidRPr="00EE43C6">
              <w:rPr>
                <w:rFonts w:eastAsia="Arial TUR"/>
                <w:sz w:val="18"/>
                <w:szCs w:val="20"/>
              </w:rPr>
              <w:t>3</w:t>
            </w:r>
            <w:r w:rsidR="007005F6" w:rsidRPr="00EE43C6">
              <w:rPr>
                <w:rFonts w:eastAsia="Arial TUR"/>
                <w:sz w:val="18"/>
                <w:szCs w:val="20"/>
              </w:rPr>
              <w:t>0</w:t>
            </w:r>
          </w:p>
        </w:tc>
      </w:tr>
      <w:tr w:rsidR="00D6382B" w:rsidRPr="00EE43C6" w14:paraId="333D7D2C" w14:textId="77777777" w:rsidTr="00D10343">
        <w:trPr>
          <w:trHeight w:val="284"/>
          <w:jc w:val="center"/>
        </w:trPr>
        <w:tc>
          <w:tcPr>
            <w:tcW w:w="875" w:type="pct"/>
            <w:vAlign w:val="center"/>
          </w:tcPr>
          <w:p w14:paraId="5E5AD564" w14:textId="11304834" w:rsidR="00D6382B" w:rsidRPr="00EE43C6" w:rsidRDefault="00203E2E" w:rsidP="00B625EB">
            <w:pPr>
              <w:spacing w:before="0" w:after="0" w:line="240" w:lineRule="auto"/>
              <w:jc w:val="center"/>
              <w:rPr>
                <w:rFonts w:eastAsia="Arial TUR"/>
                <w:sz w:val="18"/>
                <w:szCs w:val="20"/>
              </w:rPr>
            </w:pPr>
            <w:r w:rsidRPr="00EE43C6">
              <w:rPr>
                <w:rFonts w:eastAsia="Arial TUR"/>
                <w:sz w:val="18"/>
                <w:szCs w:val="20"/>
              </w:rPr>
              <w:t>SO</w:t>
            </w:r>
            <w:r w:rsidRPr="00EE43C6">
              <w:rPr>
                <w:rFonts w:eastAsia="Arial TUR"/>
                <w:sz w:val="18"/>
                <w:szCs w:val="20"/>
                <w:vertAlign w:val="subscript"/>
              </w:rPr>
              <w:t>2</w:t>
            </w:r>
          </w:p>
        </w:tc>
        <w:tc>
          <w:tcPr>
            <w:tcW w:w="877" w:type="pct"/>
            <w:vMerge/>
            <w:vAlign w:val="center"/>
          </w:tcPr>
          <w:p w14:paraId="5DB9373E" w14:textId="77777777" w:rsidR="00D6382B" w:rsidRPr="00EE43C6" w:rsidRDefault="00D6382B" w:rsidP="00B625EB">
            <w:pPr>
              <w:spacing w:before="0" w:after="0" w:line="240" w:lineRule="auto"/>
              <w:jc w:val="center"/>
              <w:rPr>
                <w:rFonts w:eastAsia="Arial TUR"/>
                <w:sz w:val="18"/>
                <w:szCs w:val="20"/>
              </w:rPr>
            </w:pPr>
          </w:p>
        </w:tc>
        <w:tc>
          <w:tcPr>
            <w:tcW w:w="1141" w:type="pct"/>
            <w:vAlign w:val="center"/>
          </w:tcPr>
          <w:p w14:paraId="25891E2A" w14:textId="14FD8691" w:rsidR="00D6382B" w:rsidRPr="00EE43C6" w:rsidRDefault="00996FA3" w:rsidP="00B625EB">
            <w:pPr>
              <w:spacing w:before="0" w:after="0" w:line="240" w:lineRule="auto"/>
              <w:jc w:val="center"/>
              <w:rPr>
                <w:rFonts w:eastAsia="Arial TUR"/>
                <w:sz w:val="18"/>
                <w:szCs w:val="20"/>
              </w:rPr>
            </w:pPr>
            <w:r w:rsidRPr="00EE43C6">
              <w:rPr>
                <w:rFonts w:eastAsia="Arial TUR"/>
                <w:sz w:val="18"/>
                <w:szCs w:val="20"/>
              </w:rPr>
              <w:t>9.61</w:t>
            </w:r>
          </w:p>
        </w:tc>
        <w:tc>
          <w:tcPr>
            <w:tcW w:w="965" w:type="pct"/>
            <w:vAlign w:val="center"/>
          </w:tcPr>
          <w:p w14:paraId="18570687" w14:textId="23BE5207" w:rsidR="00D6382B" w:rsidRPr="00EE43C6" w:rsidRDefault="00B6641C" w:rsidP="00B625EB">
            <w:pPr>
              <w:spacing w:before="0" w:after="0" w:line="240" w:lineRule="auto"/>
              <w:jc w:val="center"/>
              <w:rPr>
                <w:rFonts w:eastAsia="Arial TUR"/>
                <w:sz w:val="18"/>
                <w:szCs w:val="20"/>
              </w:rPr>
            </w:pPr>
            <w:r w:rsidRPr="00EE43C6">
              <w:rPr>
                <w:rFonts w:eastAsia="Arial TUR"/>
                <w:sz w:val="18"/>
                <w:szCs w:val="20"/>
              </w:rPr>
              <w:t>0.001</w:t>
            </w:r>
          </w:p>
        </w:tc>
        <w:tc>
          <w:tcPr>
            <w:tcW w:w="1141" w:type="pct"/>
            <w:vAlign w:val="center"/>
          </w:tcPr>
          <w:p w14:paraId="5DA237A4" w14:textId="15159675" w:rsidR="00D6382B" w:rsidRPr="00EE43C6" w:rsidRDefault="00E266F7" w:rsidP="00B625EB">
            <w:pPr>
              <w:spacing w:before="0" w:after="0" w:line="240" w:lineRule="auto"/>
              <w:jc w:val="center"/>
              <w:rPr>
                <w:rFonts w:eastAsia="Arial TUR"/>
                <w:sz w:val="18"/>
                <w:szCs w:val="20"/>
              </w:rPr>
            </w:pPr>
            <w:r w:rsidRPr="00EE43C6">
              <w:rPr>
                <w:rFonts w:eastAsia="Arial TUR"/>
                <w:sz w:val="18"/>
                <w:szCs w:val="20"/>
              </w:rPr>
              <w:t>6</w:t>
            </w:r>
            <w:r w:rsidR="007005F6" w:rsidRPr="00EE43C6">
              <w:rPr>
                <w:rFonts w:eastAsia="Arial TUR"/>
                <w:sz w:val="18"/>
                <w:szCs w:val="20"/>
              </w:rPr>
              <w:t>0</w:t>
            </w:r>
          </w:p>
        </w:tc>
      </w:tr>
    </w:tbl>
    <w:p w14:paraId="05DB34AF" w14:textId="7839B9AD" w:rsidR="001B3EE4" w:rsidRPr="00EE43C6" w:rsidRDefault="00A8200F" w:rsidP="00053882">
      <w:pPr>
        <w:rPr>
          <w:rFonts w:eastAsia="Arial TUR"/>
          <w:szCs w:val="22"/>
        </w:rPr>
      </w:pPr>
      <w:r w:rsidRPr="00EE43C6">
        <w:rPr>
          <w:rFonts w:eastAsia="Arial TUR"/>
          <w:szCs w:val="22"/>
        </w:rPr>
        <w:t xml:space="preserve">In the facilities to be established in the OIZ, emission measurements will be made in the boilers and process-purpose chimneys during the period when they are put into operation. </w:t>
      </w:r>
      <w:r w:rsidR="00CD2317" w:rsidRPr="00EE43C6">
        <w:rPr>
          <w:rFonts w:eastAsia="Arial TUR"/>
          <w:szCs w:val="22"/>
        </w:rPr>
        <w:t>S</w:t>
      </w:r>
      <w:r w:rsidRPr="00EE43C6">
        <w:rPr>
          <w:rFonts w:eastAsia="Arial TUR"/>
          <w:szCs w:val="22"/>
        </w:rPr>
        <w:t xml:space="preserve">team boiler and chimney system will be compatible with </w:t>
      </w:r>
      <w:r w:rsidR="003320E0" w:rsidRPr="00EE43C6">
        <w:rPr>
          <w:rFonts w:eastAsia="Arial TUR"/>
          <w:szCs w:val="22"/>
        </w:rPr>
        <w:t>each other</w:t>
      </w:r>
      <w:r w:rsidR="00CD2317" w:rsidRPr="00EE43C6">
        <w:rPr>
          <w:rFonts w:eastAsia="Arial TUR"/>
          <w:szCs w:val="22"/>
        </w:rPr>
        <w:t xml:space="preserve"> in the boilers to be used in the facilities and r</w:t>
      </w:r>
      <w:r w:rsidRPr="00EE43C6">
        <w:rPr>
          <w:rFonts w:eastAsia="Arial TUR"/>
          <w:szCs w:val="22"/>
        </w:rPr>
        <w:t xml:space="preserve">elated TSE standards </w:t>
      </w:r>
      <w:r w:rsidR="00BD0874" w:rsidRPr="00EE43C6">
        <w:rPr>
          <w:rFonts w:eastAsia="Arial TUR"/>
          <w:szCs w:val="22"/>
        </w:rPr>
        <w:t>should</w:t>
      </w:r>
      <w:r w:rsidRPr="00EE43C6">
        <w:rPr>
          <w:rFonts w:eastAsia="Arial TUR"/>
          <w:szCs w:val="22"/>
        </w:rPr>
        <w:t xml:space="preserve"> be applied in this regard.</w:t>
      </w:r>
      <w:r w:rsidR="001B3EE4" w:rsidRPr="00EE43C6">
        <w:rPr>
          <w:rFonts w:eastAsia="Arial TUR"/>
          <w:szCs w:val="22"/>
        </w:rPr>
        <w:t xml:space="preserve"> In this context, </w:t>
      </w:r>
      <w:r w:rsidR="00847ABB" w:rsidRPr="00EE43C6">
        <w:rPr>
          <w:rFonts w:eastAsia="Arial TUR"/>
          <w:szCs w:val="22"/>
        </w:rPr>
        <w:t>t</w:t>
      </w:r>
      <w:r w:rsidR="002000B1" w:rsidRPr="00EE43C6">
        <w:rPr>
          <w:rFonts w:eastAsia="Arial TUR"/>
          <w:szCs w:val="22"/>
        </w:rPr>
        <w:t xml:space="preserve">he limit values </w:t>
      </w:r>
      <w:r w:rsidR="00FD0D6C" w:rsidRPr="00EE43C6">
        <w:rPr>
          <w:rFonts w:eastAsia="Arial TUR"/>
          <w:szCs w:val="22"/>
        </w:rPr>
        <w:t xml:space="preserve">below </w:t>
      </w:r>
      <w:r w:rsidR="00C34302" w:rsidRPr="00EE43C6">
        <w:rPr>
          <w:rFonts w:eastAsia="Arial TUR"/>
          <w:szCs w:val="22"/>
        </w:rPr>
        <w:t xml:space="preserve">specified in Table 5.2 </w:t>
      </w:r>
      <w:r w:rsidR="00847ABB" w:rsidRPr="00EE43C6">
        <w:rPr>
          <w:rFonts w:eastAsia="Arial TUR"/>
          <w:szCs w:val="22"/>
        </w:rPr>
        <w:t xml:space="preserve">of Annex-5 </w:t>
      </w:r>
      <w:r w:rsidR="002000B1" w:rsidRPr="00EE43C6">
        <w:rPr>
          <w:rFonts w:eastAsia="Arial TUR"/>
          <w:szCs w:val="22"/>
        </w:rPr>
        <w:t xml:space="preserve">of </w:t>
      </w:r>
      <w:r w:rsidR="00804988" w:rsidRPr="00EE43C6">
        <w:rPr>
          <w:rFonts w:eastAsia="Arial TUR"/>
          <w:szCs w:val="22"/>
        </w:rPr>
        <w:t xml:space="preserve">the </w:t>
      </w:r>
      <w:r w:rsidR="002000B1" w:rsidRPr="00EE43C6">
        <w:rPr>
          <w:rFonts w:eastAsia="Arial TUR"/>
          <w:szCs w:val="22"/>
        </w:rPr>
        <w:t>RoCIAP should be complied with.</w:t>
      </w:r>
    </w:p>
    <w:p w14:paraId="19DE59B1" w14:textId="6C2423F9" w:rsidR="00847ABB" w:rsidRPr="00EE43C6" w:rsidRDefault="006164AB" w:rsidP="006164AB">
      <w:pPr>
        <w:pStyle w:val="Caption"/>
        <w:rPr>
          <w:rFonts w:eastAsia="Arial TUR"/>
          <w:b w:val="0"/>
          <w:bCs w:val="0"/>
          <w:noProof w:val="0"/>
          <w:color w:val="auto"/>
          <w:szCs w:val="22"/>
        </w:rPr>
      </w:pPr>
      <w:bookmarkStart w:id="506" w:name="_Toc141445526"/>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17</w:t>
      </w:r>
      <w:r w:rsidR="006D2DE8">
        <w:rPr>
          <w:noProof w:val="0"/>
        </w:rPr>
        <w:fldChar w:fldCharType="end"/>
      </w:r>
      <w:r w:rsidRPr="00EE43C6">
        <w:rPr>
          <w:noProof w:val="0"/>
        </w:rPr>
        <w:t xml:space="preserve">. </w:t>
      </w:r>
      <w:r w:rsidR="00827004" w:rsidRPr="00EE43C6">
        <w:rPr>
          <w:rFonts w:eastAsia="Arial TUR"/>
          <w:b w:val="0"/>
          <w:bCs w:val="0"/>
          <w:noProof w:val="0"/>
          <w:color w:val="auto"/>
          <w:szCs w:val="22"/>
        </w:rPr>
        <w:t>Combustion Thermal Power</w:t>
      </w:r>
      <w:r w:rsidRPr="00EE43C6">
        <w:rPr>
          <w:rFonts w:eastAsia="Arial TUR"/>
          <w:b w:val="0"/>
          <w:bCs w:val="0"/>
          <w:noProof w:val="0"/>
          <w:color w:val="auto"/>
          <w:szCs w:val="22"/>
        </w:rPr>
        <w:t xml:space="preserve"> Limit Values in the RoCIAP</w:t>
      </w:r>
      <w:bookmarkEnd w:id="506"/>
    </w:p>
    <w:tbl>
      <w:tblPr>
        <w:tblStyle w:val="TableGrid"/>
        <w:tblW w:w="5000" w:type="pct"/>
        <w:jc w:val="center"/>
        <w:tblLook w:val="04A0" w:firstRow="1" w:lastRow="0" w:firstColumn="1" w:lastColumn="0" w:noHBand="0" w:noVBand="1"/>
      </w:tblPr>
      <w:tblGrid>
        <w:gridCol w:w="2035"/>
        <w:gridCol w:w="1779"/>
        <w:gridCol w:w="2068"/>
        <w:gridCol w:w="1909"/>
        <w:gridCol w:w="1273"/>
      </w:tblGrid>
      <w:tr w:rsidR="00C62822" w:rsidRPr="00EE43C6" w14:paraId="258E9728" w14:textId="77777777" w:rsidTr="00B625EB">
        <w:trPr>
          <w:jc w:val="center"/>
        </w:trPr>
        <w:tc>
          <w:tcPr>
            <w:tcW w:w="1122" w:type="pct"/>
            <w:shd w:val="clear" w:color="auto" w:fill="4F81BD"/>
            <w:vAlign w:val="center"/>
          </w:tcPr>
          <w:p w14:paraId="3476BF92" w14:textId="183B36B9" w:rsidR="00C62822" w:rsidRPr="00EE43C6" w:rsidRDefault="00127E8E" w:rsidP="00B625EB">
            <w:pPr>
              <w:spacing w:before="0" w:after="0" w:line="240" w:lineRule="auto"/>
              <w:jc w:val="center"/>
              <w:rPr>
                <w:rFonts w:eastAsia="Arial TUR"/>
                <w:b/>
                <w:bCs/>
                <w:color w:val="FFFFFF" w:themeColor="background1"/>
                <w:sz w:val="18"/>
                <w:szCs w:val="20"/>
              </w:rPr>
            </w:pPr>
            <w:r w:rsidRPr="00EE43C6">
              <w:rPr>
                <w:rFonts w:eastAsia="Arial TUR"/>
                <w:b/>
                <w:bCs/>
                <w:color w:val="FFFFFF" w:themeColor="background1"/>
                <w:sz w:val="18"/>
                <w:szCs w:val="20"/>
              </w:rPr>
              <w:t>Fuels</w:t>
            </w:r>
          </w:p>
        </w:tc>
        <w:tc>
          <w:tcPr>
            <w:tcW w:w="981" w:type="pct"/>
            <w:shd w:val="clear" w:color="auto" w:fill="4F81BD"/>
            <w:vAlign w:val="center"/>
          </w:tcPr>
          <w:p w14:paraId="4AA00959" w14:textId="19DBD49D" w:rsidR="00C62822" w:rsidRPr="00EE43C6" w:rsidRDefault="008A44A3" w:rsidP="00B625EB">
            <w:pPr>
              <w:spacing w:before="0" w:after="0" w:line="240" w:lineRule="auto"/>
              <w:jc w:val="center"/>
              <w:rPr>
                <w:rFonts w:eastAsia="Arial TUR"/>
                <w:b/>
                <w:bCs/>
                <w:color w:val="FFFFFF" w:themeColor="background1"/>
                <w:sz w:val="18"/>
                <w:szCs w:val="20"/>
              </w:rPr>
            </w:pPr>
            <w:r w:rsidRPr="00EE43C6">
              <w:rPr>
                <w:rFonts w:eastAsia="Arial TUR"/>
                <w:b/>
                <w:bCs/>
                <w:color w:val="FFFFFF" w:themeColor="background1"/>
                <w:sz w:val="18"/>
                <w:szCs w:val="20"/>
              </w:rPr>
              <w:t xml:space="preserve">Sulphur dioxide </w:t>
            </w:r>
            <w:r w:rsidR="002B4C19" w:rsidRPr="00EE43C6">
              <w:rPr>
                <w:rFonts w:eastAsia="Arial TUR"/>
                <w:b/>
                <w:bCs/>
                <w:color w:val="FFFFFF" w:themeColor="background1"/>
                <w:sz w:val="18"/>
                <w:szCs w:val="20"/>
              </w:rPr>
              <w:t>(</w:t>
            </w:r>
            <w:r w:rsidRPr="00EE43C6">
              <w:rPr>
                <w:rFonts w:eastAsia="Arial TUR"/>
                <w:b/>
                <w:bCs/>
                <w:color w:val="FFFFFF" w:themeColor="background1"/>
                <w:sz w:val="18"/>
                <w:szCs w:val="20"/>
              </w:rPr>
              <w:t>mg/Nm</w:t>
            </w:r>
            <w:r w:rsidRPr="00EE43C6">
              <w:rPr>
                <w:rFonts w:eastAsia="Arial TUR"/>
                <w:b/>
                <w:bCs/>
                <w:color w:val="FFFFFF" w:themeColor="background1"/>
                <w:sz w:val="18"/>
                <w:szCs w:val="20"/>
                <w:vertAlign w:val="superscript"/>
              </w:rPr>
              <w:t>3</w:t>
            </w:r>
            <w:r w:rsidR="002B4C19" w:rsidRPr="00EE43C6">
              <w:rPr>
                <w:rFonts w:eastAsia="Arial TUR"/>
                <w:b/>
                <w:bCs/>
                <w:color w:val="FFFFFF" w:themeColor="background1"/>
                <w:sz w:val="18"/>
                <w:szCs w:val="20"/>
              </w:rPr>
              <w:t>)</w:t>
            </w:r>
          </w:p>
        </w:tc>
        <w:tc>
          <w:tcPr>
            <w:tcW w:w="1141" w:type="pct"/>
            <w:shd w:val="clear" w:color="auto" w:fill="4F81BD"/>
            <w:vAlign w:val="center"/>
          </w:tcPr>
          <w:p w14:paraId="789375D8" w14:textId="47976626" w:rsidR="00C62822" w:rsidRPr="00EE43C6" w:rsidRDefault="0030364C" w:rsidP="00B625EB">
            <w:pPr>
              <w:spacing w:before="0" w:after="0" w:line="240" w:lineRule="auto"/>
              <w:jc w:val="center"/>
              <w:rPr>
                <w:rFonts w:eastAsia="Arial TUR"/>
                <w:b/>
                <w:bCs/>
                <w:color w:val="FFFFFF" w:themeColor="background1"/>
                <w:sz w:val="18"/>
                <w:szCs w:val="20"/>
              </w:rPr>
            </w:pPr>
            <w:r w:rsidRPr="00EE43C6">
              <w:rPr>
                <w:rFonts w:eastAsia="Arial TUR"/>
                <w:b/>
                <w:bCs/>
                <w:color w:val="FFFFFF" w:themeColor="background1"/>
                <w:sz w:val="18"/>
                <w:szCs w:val="20"/>
              </w:rPr>
              <w:t xml:space="preserve">Carbon monoxide </w:t>
            </w:r>
            <w:r w:rsidR="002B4C19" w:rsidRPr="00EE43C6">
              <w:rPr>
                <w:rFonts w:eastAsia="Arial TUR"/>
                <w:b/>
                <w:bCs/>
                <w:color w:val="FFFFFF" w:themeColor="background1"/>
                <w:sz w:val="18"/>
                <w:szCs w:val="20"/>
              </w:rPr>
              <w:t>(</w:t>
            </w:r>
            <w:r w:rsidRPr="00EE43C6">
              <w:rPr>
                <w:rFonts w:eastAsia="Arial TUR"/>
                <w:b/>
                <w:bCs/>
                <w:color w:val="FFFFFF" w:themeColor="background1"/>
                <w:sz w:val="18"/>
                <w:szCs w:val="20"/>
              </w:rPr>
              <w:t>mg/Nm</w:t>
            </w:r>
            <w:r w:rsidRPr="00EE43C6">
              <w:rPr>
                <w:rFonts w:eastAsia="Arial TUR"/>
                <w:b/>
                <w:bCs/>
                <w:color w:val="FFFFFF" w:themeColor="background1"/>
                <w:sz w:val="18"/>
                <w:szCs w:val="20"/>
                <w:vertAlign w:val="superscript"/>
              </w:rPr>
              <w:t>3</w:t>
            </w:r>
            <w:r w:rsidR="002B4C19" w:rsidRPr="00EE43C6">
              <w:rPr>
                <w:rFonts w:eastAsia="Arial TUR"/>
                <w:b/>
                <w:bCs/>
                <w:color w:val="FFFFFF" w:themeColor="background1"/>
                <w:sz w:val="18"/>
                <w:szCs w:val="20"/>
              </w:rPr>
              <w:t>)</w:t>
            </w:r>
          </w:p>
        </w:tc>
        <w:tc>
          <w:tcPr>
            <w:tcW w:w="1053" w:type="pct"/>
            <w:shd w:val="clear" w:color="auto" w:fill="4F81BD"/>
            <w:vAlign w:val="center"/>
          </w:tcPr>
          <w:p w14:paraId="4C1CC97E" w14:textId="1636A82F" w:rsidR="00C62822" w:rsidRPr="00EE43C6" w:rsidRDefault="00327452" w:rsidP="00B625EB">
            <w:pPr>
              <w:spacing w:before="0" w:after="0" w:line="240" w:lineRule="auto"/>
              <w:jc w:val="center"/>
              <w:rPr>
                <w:rFonts w:eastAsia="Arial TUR"/>
                <w:b/>
                <w:bCs/>
                <w:color w:val="FFFFFF" w:themeColor="background1"/>
                <w:sz w:val="18"/>
                <w:szCs w:val="20"/>
              </w:rPr>
            </w:pPr>
            <w:r w:rsidRPr="00EE43C6">
              <w:rPr>
                <w:rFonts w:eastAsia="Arial TUR"/>
                <w:b/>
                <w:bCs/>
                <w:color w:val="FFFFFF" w:themeColor="background1"/>
                <w:sz w:val="18"/>
                <w:szCs w:val="20"/>
              </w:rPr>
              <w:t xml:space="preserve">Nitrogen dioxide </w:t>
            </w:r>
            <w:r w:rsidR="002B4C19" w:rsidRPr="00EE43C6">
              <w:rPr>
                <w:rFonts w:eastAsia="Arial TUR"/>
                <w:b/>
                <w:bCs/>
                <w:color w:val="FFFFFF" w:themeColor="background1"/>
                <w:sz w:val="18"/>
                <w:szCs w:val="20"/>
              </w:rPr>
              <w:t>(</w:t>
            </w:r>
            <w:r w:rsidRPr="00EE43C6">
              <w:rPr>
                <w:rFonts w:eastAsia="Arial TUR"/>
                <w:b/>
                <w:bCs/>
                <w:color w:val="FFFFFF" w:themeColor="background1"/>
                <w:sz w:val="18"/>
                <w:szCs w:val="20"/>
              </w:rPr>
              <w:t>mg/Nm</w:t>
            </w:r>
            <w:r w:rsidRPr="00EE43C6">
              <w:rPr>
                <w:rFonts w:eastAsia="Arial TUR"/>
                <w:b/>
                <w:bCs/>
                <w:color w:val="FFFFFF" w:themeColor="background1"/>
                <w:sz w:val="18"/>
                <w:szCs w:val="20"/>
                <w:vertAlign w:val="superscript"/>
              </w:rPr>
              <w:t>3</w:t>
            </w:r>
            <w:r w:rsidR="002B4C19" w:rsidRPr="00EE43C6">
              <w:rPr>
                <w:rFonts w:eastAsia="Arial TUR"/>
                <w:b/>
                <w:bCs/>
                <w:color w:val="FFFFFF" w:themeColor="background1"/>
                <w:sz w:val="18"/>
                <w:szCs w:val="20"/>
              </w:rPr>
              <w:t>)</w:t>
            </w:r>
          </w:p>
        </w:tc>
        <w:tc>
          <w:tcPr>
            <w:tcW w:w="702" w:type="pct"/>
            <w:shd w:val="clear" w:color="auto" w:fill="4F81BD"/>
            <w:vAlign w:val="center"/>
          </w:tcPr>
          <w:p w14:paraId="34987418" w14:textId="77777777" w:rsidR="00CF1DE6" w:rsidRPr="00EE43C6" w:rsidRDefault="00CF1DE6" w:rsidP="00B625EB">
            <w:pPr>
              <w:spacing w:before="0" w:after="0" w:line="240" w:lineRule="auto"/>
              <w:jc w:val="center"/>
              <w:rPr>
                <w:rFonts w:eastAsia="Arial TUR"/>
                <w:b/>
                <w:bCs/>
                <w:color w:val="FFFFFF" w:themeColor="background1"/>
                <w:sz w:val="18"/>
                <w:szCs w:val="20"/>
              </w:rPr>
            </w:pPr>
            <w:r w:rsidRPr="00EE43C6">
              <w:rPr>
                <w:rFonts w:eastAsia="Arial TUR"/>
                <w:b/>
                <w:bCs/>
                <w:color w:val="FFFFFF" w:themeColor="background1"/>
                <w:sz w:val="18"/>
                <w:szCs w:val="20"/>
              </w:rPr>
              <w:t>Dust</w:t>
            </w:r>
          </w:p>
          <w:p w14:paraId="076AC184" w14:textId="49DEC786" w:rsidR="00C62822" w:rsidRPr="00EE43C6" w:rsidRDefault="002B4C19" w:rsidP="00B625EB">
            <w:pPr>
              <w:spacing w:before="0" w:after="0" w:line="240" w:lineRule="auto"/>
              <w:jc w:val="center"/>
              <w:rPr>
                <w:rFonts w:eastAsia="Arial TUR"/>
                <w:b/>
                <w:bCs/>
                <w:color w:val="FFFFFF" w:themeColor="background1"/>
                <w:sz w:val="18"/>
                <w:szCs w:val="20"/>
              </w:rPr>
            </w:pPr>
            <w:r w:rsidRPr="00EE43C6">
              <w:rPr>
                <w:rFonts w:eastAsia="Arial TUR"/>
                <w:b/>
                <w:bCs/>
                <w:color w:val="FFFFFF" w:themeColor="background1"/>
                <w:sz w:val="18"/>
                <w:szCs w:val="20"/>
              </w:rPr>
              <w:t>(</w:t>
            </w:r>
            <w:r w:rsidR="00CF1DE6" w:rsidRPr="00EE43C6">
              <w:rPr>
                <w:rFonts w:eastAsia="Arial TUR"/>
                <w:b/>
                <w:bCs/>
                <w:color w:val="FFFFFF" w:themeColor="background1"/>
                <w:sz w:val="18"/>
                <w:szCs w:val="20"/>
              </w:rPr>
              <w:t>mg/Nm</w:t>
            </w:r>
            <w:r w:rsidR="00CF1DE6" w:rsidRPr="00EE43C6">
              <w:rPr>
                <w:rFonts w:eastAsia="Arial TUR"/>
                <w:b/>
                <w:bCs/>
                <w:color w:val="FFFFFF" w:themeColor="background1"/>
                <w:sz w:val="18"/>
                <w:szCs w:val="20"/>
                <w:vertAlign w:val="superscript"/>
              </w:rPr>
              <w:t>3</w:t>
            </w:r>
            <w:r w:rsidRPr="00EE43C6">
              <w:rPr>
                <w:rFonts w:eastAsia="Arial TUR"/>
                <w:b/>
                <w:bCs/>
                <w:color w:val="FFFFFF" w:themeColor="background1"/>
                <w:sz w:val="18"/>
                <w:szCs w:val="20"/>
              </w:rPr>
              <w:t>)</w:t>
            </w:r>
          </w:p>
        </w:tc>
      </w:tr>
      <w:tr w:rsidR="00C62822" w:rsidRPr="00EE43C6" w14:paraId="5F5E885C" w14:textId="77777777" w:rsidTr="00B625EB">
        <w:trPr>
          <w:jc w:val="center"/>
        </w:trPr>
        <w:tc>
          <w:tcPr>
            <w:tcW w:w="1122" w:type="pct"/>
            <w:vAlign w:val="center"/>
          </w:tcPr>
          <w:p w14:paraId="6A49A7D4" w14:textId="7D7302E3" w:rsidR="00C62822" w:rsidRPr="00EE43C6" w:rsidRDefault="00185718" w:rsidP="00B625EB">
            <w:pPr>
              <w:spacing w:before="0" w:after="0" w:line="240" w:lineRule="auto"/>
              <w:jc w:val="center"/>
              <w:rPr>
                <w:rFonts w:eastAsia="Arial TUR"/>
                <w:sz w:val="18"/>
                <w:szCs w:val="20"/>
              </w:rPr>
            </w:pPr>
            <w:r w:rsidRPr="00EE43C6">
              <w:rPr>
                <w:rFonts w:eastAsia="Arial TUR"/>
                <w:sz w:val="18"/>
                <w:szCs w:val="20"/>
              </w:rPr>
              <w:t>Natural Gas, LPG, Refinery gas</w:t>
            </w:r>
          </w:p>
        </w:tc>
        <w:tc>
          <w:tcPr>
            <w:tcW w:w="981" w:type="pct"/>
            <w:vAlign w:val="center"/>
          </w:tcPr>
          <w:p w14:paraId="26B8691A" w14:textId="64F36315" w:rsidR="00C62822" w:rsidRPr="00EE43C6" w:rsidRDefault="00185718" w:rsidP="00B625EB">
            <w:pPr>
              <w:spacing w:before="0" w:after="0" w:line="240" w:lineRule="auto"/>
              <w:jc w:val="center"/>
              <w:rPr>
                <w:rFonts w:eastAsia="Arial TUR"/>
                <w:sz w:val="18"/>
                <w:szCs w:val="20"/>
              </w:rPr>
            </w:pPr>
            <w:r w:rsidRPr="00EE43C6">
              <w:rPr>
                <w:rFonts w:eastAsia="Arial TUR"/>
                <w:sz w:val="18"/>
                <w:szCs w:val="20"/>
              </w:rPr>
              <w:t>100</w:t>
            </w:r>
          </w:p>
        </w:tc>
        <w:tc>
          <w:tcPr>
            <w:tcW w:w="1141" w:type="pct"/>
            <w:vAlign w:val="center"/>
          </w:tcPr>
          <w:p w14:paraId="0BA4D24E" w14:textId="0C7B8AD2" w:rsidR="00C62822" w:rsidRPr="00EE43C6" w:rsidRDefault="00185718" w:rsidP="00B625EB">
            <w:pPr>
              <w:spacing w:before="0" w:after="0" w:line="240" w:lineRule="auto"/>
              <w:jc w:val="center"/>
              <w:rPr>
                <w:rFonts w:eastAsia="Arial TUR"/>
                <w:sz w:val="18"/>
                <w:szCs w:val="20"/>
              </w:rPr>
            </w:pPr>
            <w:r w:rsidRPr="00EE43C6">
              <w:rPr>
                <w:rFonts w:eastAsia="Arial TUR"/>
                <w:sz w:val="18"/>
                <w:szCs w:val="20"/>
              </w:rPr>
              <w:t>100</w:t>
            </w:r>
          </w:p>
        </w:tc>
        <w:tc>
          <w:tcPr>
            <w:tcW w:w="1053" w:type="pct"/>
            <w:vAlign w:val="center"/>
          </w:tcPr>
          <w:p w14:paraId="4D24B53B" w14:textId="4E28E88A" w:rsidR="00C62822" w:rsidRPr="00EE43C6" w:rsidRDefault="002B4C19" w:rsidP="00B625EB">
            <w:pPr>
              <w:spacing w:before="0" w:after="0" w:line="240" w:lineRule="auto"/>
              <w:jc w:val="center"/>
              <w:rPr>
                <w:rFonts w:eastAsia="Arial TUR"/>
                <w:sz w:val="18"/>
                <w:szCs w:val="20"/>
              </w:rPr>
            </w:pPr>
            <w:r w:rsidRPr="00EE43C6">
              <w:rPr>
                <w:rFonts w:eastAsia="Arial TUR"/>
                <w:sz w:val="18"/>
                <w:szCs w:val="20"/>
              </w:rPr>
              <w:t>8</w:t>
            </w:r>
            <w:r w:rsidR="00185718" w:rsidRPr="00EE43C6">
              <w:rPr>
                <w:rFonts w:eastAsia="Arial TUR"/>
                <w:sz w:val="18"/>
                <w:szCs w:val="20"/>
              </w:rPr>
              <w:t>00</w:t>
            </w:r>
          </w:p>
        </w:tc>
        <w:tc>
          <w:tcPr>
            <w:tcW w:w="702" w:type="pct"/>
            <w:vAlign w:val="center"/>
          </w:tcPr>
          <w:p w14:paraId="1449696F" w14:textId="6E352535" w:rsidR="00C62822" w:rsidRPr="00EE43C6" w:rsidRDefault="002B4C19" w:rsidP="00B625EB">
            <w:pPr>
              <w:spacing w:before="0" w:after="0" w:line="240" w:lineRule="auto"/>
              <w:jc w:val="center"/>
              <w:rPr>
                <w:rFonts w:eastAsia="Arial TUR"/>
                <w:sz w:val="18"/>
                <w:szCs w:val="20"/>
              </w:rPr>
            </w:pPr>
            <w:r w:rsidRPr="00EE43C6">
              <w:rPr>
                <w:rFonts w:eastAsia="Arial TUR"/>
                <w:sz w:val="18"/>
                <w:szCs w:val="20"/>
              </w:rPr>
              <w:t>10</w:t>
            </w:r>
          </w:p>
        </w:tc>
      </w:tr>
    </w:tbl>
    <w:p w14:paraId="4A7B41A0" w14:textId="083297ED" w:rsidR="000E323B" w:rsidRPr="00EE43C6" w:rsidRDefault="000E323B" w:rsidP="000E323B">
      <w:bookmarkStart w:id="507" w:name="_Toc80633558"/>
      <w:bookmarkStart w:id="508" w:name="_Toc67676583"/>
      <w:bookmarkStart w:id="509" w:name="_Toc120016945"/>
      <w:bookmarkStart w:id="510" w:name="_Toc120004723"/>
      <w:r w:rsidRPr="00EE43C6">
        <w:t>Thus, the concerned air quality impact significance in the operation phase of the OIZ is determined as low.</w:t>
      </w:r>
    </w:p>
    <w:p w14:paraId="65342F34" w14:textId="2D3E4F77" w:rsidR="004339AC" w:rsidRPr="00EE43C6" w:rsidRDefault="004339AC" w:rsidP="005B5CD4">
      <w:pPr>
        <w:pStyle w:val="Heading2"/>
        <w:rPr>
          <w:lang w:val="en-GB"/>
        </w:rPr>
      </w:pPr>
      <w:bookmarkStart w:id="511" w:name="_Toc141445434"/>
      <w:r w:rsidRPr="00EE43C6">
        <w:rPr>
          <w:lang w:val="en-GB"/>
        </w:rPr>
        <w:t>Water Use</w:t>
      </w:r>
      <w:bookmarkEnd w:id="507"/>
      <w:bookmarkEnd w:id="508"/>
      <w:bookmarkEnd w:id="509"/>
      <w:bookmarkEnd w:id="510"/>
      <w:bookmarkEnd w:id="511"/>
    </w:p>
    <w:p w14:paraId="3EF7CACE" w14:textId="4EFEB184" w:rsidR="0034647E" w:rsidRPr="00EE43C6" w:rsidRDefault="00AB1969" w:rsidP="001C19EE">
      <w:r>
        <w:t>W</w:t>
      </w:r>
      <w:r w:rsidR="0036309D" w:rsidRPr="00EE43C6">
        <w:t xml:space="preserve">ater needs </w:t>
      </w:r>
      <w:r>
        <w:t>f</w:t>
      </w:r>
      <w:r w:rsidRPr="00AB1969">
        <w:t xml:space="preserve">or toilets and baths </w:t>
      </w:r>
      <w:r w:rsidR="0036309D" w:rsidRPr="00EE43C6">
        <w:t>will be met from</w:t>
      </w:r>
      <w:r w:rsidR="00DC4656" w:rsidRPr="00EE43C6">
        <w:t xml:space="preserve"> t</w:t>
      </w:r>
      <w:r w:rsidR="004A27CD" w:rsidRPr="00EE43C6">
        <w:t xml:space="preserve">he </w:t>
      </w:r>
      <w:r w:rsidR="00976564" w:rsidRPr="00EE43C6">
        <w:t xml:space="preserve">licenced </w:t>
      </w:r>
      <w:r w:rsidR="004A27CD" w:rsidRPr="00EE43C6">
        <w:t>well</w:t>
      </w:r>
      <w:r w:rsidR="00976564" w:rsidRPr="00EE43C6">
        <w:t>s</w:t>
      </w:r>
      <w:r w:rsidR="004A27CD" w:rsidRPr="00EE43C6">
        <w:t>.</w:t>
      </w:r>
      <w:r w:rsidR="00E03B31" w:rsidRPr="00EE43C6">
        <w:t xml:space="preserve"> </w:t>
      </w:r>
      <w:r w:rsidR="00B33D95" w:rsidRPr="00B33D95">
        <w:t>It will be evaluated whether treatment will be required according to the analysis results of the samples to be taken</w:t>
      </w:r>
      <w:r w:rsidR="00B33D95">
        <w:t xml:space="preserve"> from the wells </w:t>
      </w:r>
      <w:r w:rsidR="00B87128">
        <w:t>i</w:t>
      </w:r>
      <w:r w:rsidR="00B87128" w:rsidRPr="00B87128">
        <w:t xml:space="preserve">n accordance with </w:t>
      </w:r>
      <w:r w:rsidR="00FB3C86">
        <w:t xml:space="preserve">the </w:t>
      </w:r>
      <w:r w:rsidR="00B87128" w:rsidRPr="00B87128">
        <w:t>Regulation on Water Intended for Human Consumption.</w:t>
      </w:r>
      <w:r w:rsidR="00E03B31" w:rsidRPr="00EE43C6">
        <w:t xml:space="preserve"> </w:t>
      </w:r>
      <w:r w:rsidR="00D305E2" w:rsidRPr="00EE43C6">
        <w:t>In addition, i</w:t>
      </w:r>
      <w:r w:rsidR="00717A90" w:rsidRPr="00EE43C6">
        <w:t xml:space="preserve">t is planned to meet the drinking water need from </w:t>
      </w:r>
      <w:r w:rsidR="00224A71">
        <w:t>bottled</w:t>
      </w:r>
      <w:r w:rsidR="00224A71" w:rsidRPr="00EE43C6">
        <w:t xml:space="preserve"> </w:t>
      </w:r>
      <w:r w:rsidR="00717A90" w:rsidRPr="00EE43C6">
        <w:t>water.</w:t>
      </w:r>
      <w:r w:rsidR="004A27CD" w:rsidRPr="00EE43C6">
        <w:t xml:space="preserve"> </w:t>
      </w:r>
      <w:r w:rsidR="00A807A8" w:rsidRPr="00EE43C6">
        <w:t xml:space="preserve">In this context, there will be no </w:t>
      </w:r>
      <w:r w:rsidR="00BC32D4" w:rsidRPr="00EE43C6">
        <w:t xml:space="preserve">water </w:t>
      </w:r>
      <w:r w:rsidR="00C96D5E" w:rsidRPr="00EE43C6">
        <w:t>usage</w:t>
      </w:r>
      <w:r w:rsidR="00A807A8" w:rsidRPr="00EE43C6">
        <w:t xml:space="preserve"> from Berdan Dam during </w:t>
      </w:r>
      <w:r w:rsidR="00E03B31" w:rsidRPr="00EE43C6">
        <w:t>construction and operation phase of the Project</w:t>
      </w:r>
      <w:r w:rsidR="00A807A8" w:rsidRPr="00EE43C6">
        <w:t>.</w:t>
      </w:r>
    </w:p>
    <w:p w14:paraId="1E03C19F" w14:textId="78A6C9AD" w:rsidR="004339AC" w:rsidRPr="00EE43C6" w:rsidRDefault="004339AC" w:rsidP="001A0D64">
      <w:pPr>
        <w:pStyle w:val="Heading3"/>
        <w:spacing w:before="200" w:after="200"/>
        <w:rPr>
          <w:rFonts w:eastAsia="Arial TUR"/>
          <w:noProof w:val="0"/>
        </w:rPr>
      </w:pPr>
      <w:bookmarkStart w:id="512" w:name="_Toc80633559"/>
      <w:bookmarkStart w:id="513" w:name="_Toc67676584"/>
      <w:bookmarkStart w:id="514" w:name="_Toc120016946"/>
      <w:bookmarkStart w:id="515" w:name="_Toc120004724"/>
      <w:bookmarkStart w:id="516" w:name="_Toc141445435"/>
      <w:r w:rsidRPr="00EE43C6">
        <w:rPr>
          <w:rFonts w:eastAsia="Arial TUR"/>
          <w:noProof w:val="0"/>
        </w:rPr>
        <w:t>Construction Phase</w:t>
      </w:r>
      <w:bookmarkEnd w:id="512"/>
      <w:bookmarkEnd w:id="513"/>
      <w:bookmarkEnd w:id="514"/>
      <w:bookmarkEnd w:id="515"/>
      <w:bookmarkEnd w:id="516"/>
    </w:p>
    <w:p w14:paraId="596C85AD" w14:textId="77777777" w:rsidR="00571F5D" w:rsidRPr="00EE43C6" w:rsidRDefault="00571F5D" w:rsidP="00571F5D">
      <w:pPr>
        <w:spacing w:after="0"/>
        <w:rPr>
          <w:rFonts w:cs="Wingdings"/>
          <w:szCs w:val="22"/>
        </w:rPr>
      </w:pPr>
      <w:r w:rsidRPr="00EE43C6">
        <w:rPr>
          <w:rFonts w:cs="Wingdings"/>
          <w:szCs w:val="22"/>
        </w:rPr>
        <w:t>Water will be required in the Project’s Construction Phase for domestic use.</w:t>
      </w:r>
    </w:p>
    <w:p w14:paraId="33513459" w14:textId="10ACD471" w:rsidR="00571F5D" w:rsidRPr="00EE43C6" w:rsidRDefault="00571F5D" w:rsidP="00571F5D">
      <w:pPr>
        <w:spacing w:after="0"/>
      </w:pPr>
      <w:r w:rsidRPr="00EE43C6">
        <w:t xml:space="preserve">Construction Phase Daily water requirement </w:t>
      </w:r>
      <w:r w:rsidR="00B76E5C" w:rsidRPr="00EE43C6">
        <w:tab/>
      </w:r>
      <w:r w:rsidRPr="00EE43C6">
        <w:t>= person x avg. water consumption</w:t>
      </w:r>
    </w:p>
    <w:p w14:paraId="519880E2" w14:textId="062D6282" w:rsidR="00B76E5C" w:rsidRPr="00EE43C6" w:rsidRDefault="00A92D18" w:rsidP="00B76E5C">
      <w:pPr>
        <w:ind w:left="4819" w:firstLine="137"/>
      </w:pPr>
      <w:r w:rsidRPr="00EE43C6">
        <w:t xml:space="preserve">= </w:t>
      </w:r>
      <w:r w:rsidR="00677E73" w:rsidRPr="00EE43C6">
        <w:t>250</w:t>
      </w:r>
      <w:r w:rsidR="006F153E" w:rsidRPr="00EE43C6">
        <w:t xml:space="preserve"> person</w:t>
      </w:r>
      <w:r w:rsidRPr="00EE43C6">
        <w:t xml:space="preserve"> x </w:t>
      </w:r>
      <w:r w:rsidR="007F5DD7" w:rsidRPr="00EE43C6">
        <w:t>181</w:t>
      </w:r>
      <w:r w:rsidR="00B207AB" w:rsidRPr="00EE43C6">
        <w:t xml:space="preserve"> lt/day</w:t>
      </w:r>
      <w:r w:rsidR="006F153E" w:rsidRPr="00EE43C6">
        <w:t>-person</w:t>
      </w:r>
      <w:r w:rsidR="00A472A8" w:rsidRPr="00EE43C6">
        <w:rPr>
          <w:rStyle w:val="FootnoteReference"/>
        </w:rPr>
        <w:footnoteReference w:id="18"/>
      </w:r>
    </w:p>
    <w:p w14:paraId="71E21EF7" w14:textId="0388DF96" w:rsidR="00A92D18" w:rsidRPr="00EE43C6" w:rsidRDefault="00A92D18" w:rsidP="00B76E5C">
      <w:pPr>
        <w:ind w:left="4682" w:firstLine="274"/>
      </w:pPr>
      <w:r w:rsidRPr="00EE43C6">
        <w:t xml:space="preserve">= </w:t>
      </w:r>
      <w:r w:rsidR="00AE51C2" w:rsidRPr="00EE43C6">
        <w:t>45</w:t>
      </w:r>
      <w:r w:rsidRPr="00EE43C6">
        <w:t>,</w:t>
      </w:r>
      <w:r w:rsidR="00677E73" w:rsidRPr="00EE43C6">
        <w:t>250</w:t>
      </w:r>
      <w:r w:rsidRPr="00EE43C6">
        <w:t xml:space="preserve"> lt/day (</w:t>
      </w:r>
      <w:r w:rsidR="00AE51C2" w:rsidRPr="00EE43C6">
        <w:t>45</w:t>
      </w:r>
      <w:r w:rsidRPr="00EE43C6">
        <w:t>.</w:t>
      </w:r>
      <w:r w:rsidR="00677E73" w:rsidRPr="00EE43C6">
        <w:t>25</w:t>
      </w:r>
      <w:r w:rsidRPr="00EE43C6">
        <w:t xml:space="preserve"> m</w:t>
      </w:r>
      <w:r w:rsidRPr="00EE43C6">
        <w:rPr>
          <w:vertAlign w:val="superscript"/>
        </w:rPr>
        <w:t>3</w:t>
      </w:r>
      <w:r w:rsidRPr="00EE43C6">
        <w:t>/day)</w:t>
      </w:r>
      <w:r w:rsidR="00DA6C3C" w:rsidRPr="00EE43C6">
        <w:t xml:space="preserve"> </w:t>
      </w:r>
    </w:p>
    <w:p w14:paraId="3D387744" w14:textId="18AB68BD" w:rsidR="004339AC" w:rsidRPr="00EE43C6" w:rsidRDefault="004815E0" w:rsidP="00CC5B52">
      <w:pPr>
        <w:spacing w:after="0"/>
        <w:rPr>
          <w:rFonts w:cs="Wingdings"/>
          <w:szCs w:val="22"/>
        </w:rPr>
      </w:pPr>
      <w:r w:rsidRPr="00EE43C6">
        <w:rPr>
          <w:rFonts w:cs="Wingdings"/>
          <w:szCs w:val="22"/>
        </w:rPr>
        <w:t xml:space="preserve">Water will be used for ready mixed concrete irrigation, plaster, </w:t>
      </w:r>
      <w:r w:rsidR="00B53278" w:rsidRPr="00EE43C6">
        <w:rPr>
          <w:rFonts w:cs="Wingdings"/>
          <w:szCs w:val="22"/>
        </w:rPr>
        <w:t>screed,</w:t>
      </w:r>
      <w:r w:rsidRPr="00EE43C6">
        <w:rPr>
          <w:rFonts w:cs="Wingdings"/>
          <w:szCs w:val="22"/>
        </w:rPr>
        <w:t xml:space="preserve"> and other processes during the construction </w:t>
      </w:r>
      <w:r w:rsidR="00B53278" w:rsidRPr="00EE43C6">
        <w:rPr>
          <w:rFonts w:cs="Wingdings"/>
          <w:szCs w:val="22"/>
        </w:rPr>
        <w:t>phase</w:t>
      </w:r>
      <w:r w:rsidRPr="00EE43C6">
        <w:rPr>
          <w:rFonts w:cs="Wingdings"/>
          <w:szCs w:val="22"/>
        </w:rPr>
        <w:t xml:space="preserve">. </w:t>
      </w:r>
      <w:r w:rsidR="008668E1" w:rsidRPr="00EE43C6">
        <w:rPr>
          <w:rFonts w:cs="Wingdings"/>
          <w:szCs w:val="22"/>
        </w:rPr>
        <w:t>T</w:t>
      </w:r>
      <w:r w:rsidRPr="00EE43C6">
        <w:rPr>
          <w:rFonts w:cs="Wingdings"/>
          <w:szCs w:val="22"/>
        </w:rPr>
        <w:t xml:space="preserve">he water requirement </w:t>
      </w:r>
      <w:r w:rsidR="008668E1" w:rsidRPr="00EE43C6">
        <w:rPr>
          <w:rFonts w:cs="Wingdings"/>
          <w:szCs w:val="22"/>
        </w:rPr>
        <w:t xml:space="preserve">for </w:t>
      </w:r>
      <w:r w:rsidR="005819A0" w:rsidRPr="00EE43C6">
        <w:rPr>
          <w:rFonts w:cs="Wingdings"/>
          <w:szCs w:val="22"/>
        </w:rPr>
        <w:t>these purposes</w:t>
      </w:r>
      <w:r w:rsidR="008668E1" w:rsidRPr="00EE43C6">
        <w:rPr>
          <w:rFonts w:cs="Wingdings"/>
          <w:szCs w:val="22"/>
        </w:rPr>
        <w:t xml:space="preserve"> </w:t>
      </w:r>
      <w:r w:rsidRPr="00EE43C6">
        <w:rPr>
          <w:rFonts w:cs="Wingdings"/>
          <w:szCs w:val="22"/>
        </w:rPr>
        <w:t>will be 850 m</w:t>
      </w:r>
      <w:r w:rsidRPr="00EE43C6">
        <w:rPr>
          <w:rFonts w:cs="Wingdings"/>
          <w:szCs w:val="22"/>
          <w:vertAlign w:val="superscript"/>
        </w:rPr>
        <w:t>3</w:t>
      </w:r>
      <w:r w:rsidRPr="00EE43C6">
        <w:rPr>
          <w:rFonts w:cs="Wingdings"/>
          <w:szCs w:val="22"/>
        </w:rPr>
        <w:t>/day on average.</w:t>
      </w:r>
    </w:p>
    <w:p w14:paraId="0F6DE3BF" w14:textId="02DDDFD3" w:rsidR="00AA5C28" w:rsidRPr="00EE43C6" w:rsidRDefault="00AA5C28" w:rsidP="00CC5B52">
      <w:pPr>
        <w:spacing w:after="0"/>
        <w:rPr>
          <w:rFonts w:cs="Wingdings"/>
          <w:szCs w:val="22"/>
        </w:rPr>
      </w:pPr>
      <w:r w:rsidRPr="00EE43C6">
        <w:rPr>
          <w:rFonts w:cs="Wingdings"/>
          <w:szCs w:val="22"/>
        </w:rPr>
        <w:lastRenderedPageBreak/>
        <w:t xml:space="preserve">In addition, the amount of water to be used per day </w:t>
      </w:r>
      <w:r w:rsidR="0078328F" w:rsidRPr="00EE43C6">
        <w:rPr>
          <w:rFonts w:cs="Wingdings"/>
          <w:szCs w:val="22"/>
        </w:rPr>
        <w:t>for dust suppression</w:t>
      </w:r>
      <w:r w:rsidRPr="00EE43C6">
        <w:rPr>
          <w:rFonts w:cs="Wingdings"/>
          <w:szCs w:val="22"/>
        </w:rPr>
        <w:t xml:space="preserve"> during the construction phase is calculated below and the amount of water to be used for an area of m</w:t>
      </w:r>
      <w:r w:rsidRPr="00EE43C6">
        <w:rPr>
          <w:rFonts w:cs="Wingdings"/>
          <w:szCs w:val="22"/>
          <w:vertAlign w:val="superscript"/>
        </w:rPr>
        <w:t>2</w:t>
      </w:r>
      <w:r w:rsidRPr="00EE43C6">
        <w:rPr>
          <w:rFonts w:cs="Wingdings"/>
          <w:szCs w:val="22"/>
        </w:rPr>
        <w:t xml:space="preserve"> is taken as 1.5 lt/day</w:t>
      </w:r>
      <w:r w:rsidR="005819A0" w:rsidRPr="00EE43C6">
        <w:rPr>
          <w:rStyle w:val="FootnoteReference"/>
          <w:rFonts w:cs="Wingdings"/>
          <w:szCs w:val="22"/>
        </w:rPr>
        <w:footnoteReference w:id="19"/>
      </w:r>
      <w:r w:rsidRPr="00EE43C6">
        <w:rPr>
          <w:rFonts w:cs="Wingdings"/>
          <w:szCs w:val="22"/>
        </w:rPr>
        <w:t>.</w:t>
      </w:r>
    </w:p>
    <w:p w14:paraId="79E36C74" w14:textId="328F311C" w:rsidR="007D2369" w:rsidRPr="00EE43C6" w:rsidRDefault="004A597F" w:rsidP="00CC5B52">
      <w:pPr>
        <w:spacing w:after="0"/>
        <w:rPr>
          <w:rFonts w:cs="Wingdings"/>
          <w:szCs w:val="22"/>
        </w:rPr>
      </w:pPr>
      <w:r w:rsidRPr="00EE43C6">
        <w:rPr>
          <w:rFonts w:cs="Wingdings"/>
          <w:szCs w:val="22"/>
        </w:rPr>
        <w:t xml:space="preserve">The total area </w:t>
      </w:r>
      <w:r w:rsidR="009C4C48" w:rsidRPr="00EE43C6">
        <w:rPr>
          <w:rFonts w:cs="Wingdings"/>
          <w:szCs w:val="22"/>
        </w:rPr>
        <w:t>where the dust emission will be</w:t>
      </w:r>
      <w:r w:rsidR="00FA279C" w:rsidRPr="00EE43C6">
        <w:rPr>
          <w:rFonts w:cs="Wingdings"/>
          <w:szCs w:val="22"/>
        </w:rPr>
        <w:t xml:space="preserve"> </w:t>
      </w:r>
      <w:r w:rsidR="00FA279C" w:rsidRPr="00EE43C6">
        <w:rPr>
          <w:rFonts w:cs="Wingdings"/>
          <w:szCs w:val="22"/>
        </w:rPr>
        <w:tab/>
        <w:t xml:space="preserve">= </w:t>
      </w:r>
      <w:r w:rsidR="00DF3DC2" w:rsidRPr="00EE43C6">
        <w:rPr>
          <w:rFonts w:cs="Wingdings"/>
          <w:szCs w:val="22"/>
        </w:rPr>
        <w:t>1,162,900</w:t>
      </w:r>
      <w:r w:rsidR="00F97EBE" w:rsidRPr="00EE43C6">
        <w:rPr>
          <w:rFonts w:cs="Wingdings"/>
          <w:szCs w:val="22"/>
        </w:rPr>
        <w:t xml:space="preserve"> m</w:t>
      </w:r>
      <w:r w:rsidR="00F97EBE" w:rsidRPr="00EE43C6">
        <w:rPr>
          <w:rFonts w:cs="Wingdings"/>
          <w:szCs w:val="22"/>
          <w:vertAlign w:val="superscript"/>
        </w:rPr>
        <w:t>2</w:t>
      </w:r>
    </w:p>
    <w:p w14:paraId="5C328BC5" w14:textId="38F45803" w:rsidR="00A164A6" w:rsidRPr="00EE43C6" w:rsidRDefault="00E74DCF" w:rsidP="00CC5B52">
      <w:pPr>
        <w:spacing w:after="0"/>
        <w:rPr>
          <w:rFonts w:cs="Wingdings"/>
          <w:szCs w:val="22"/>
        </w:rPr>
      </w:pPr>
      <w:r w:rsidRPr="00EE43C6">
        <w:rPr>
          <w:rFonts w:cs="Wingdings"/>
          <w:szCs w:val="22"/>
        </w:rPr>
        <w:t>Maximum amount of water to be used per m</w:t>
      </w:r>
      <w:r w:rsidRPr="00EE43C6">
        <w:rPr>
          <w:rFonts w:cs="Wingdings"/>
          <w:szCs w:val="22"/>
          <w:vertAlign w:val="superscript"/>
        </w:rPr>
        <w:t>2</w:t>
      </w:r>
      <w:r w:rsidRPr="00EE43C6">
        <w:rPr>
          <w:rFonts w:cs="Wingdings"/>
          <w:szCs w:val="22"/>
        </w:rPr>
        <w:t xml:space="preserve"> area</w:t>
      </w:r>
      <w:r w:rsidRPr="00EE43C6">
        <w:rPr>
          <w:rFonts w:cs="Wingdings"/>
          <w:szCs w:val="22"/>
        </w:rPr>
        <w:tab/>
        <w:t>=</w:t>
      </w:r>
      <w:r w:rsidR="00F97EBE" w:rsidRPr="00EE43C6">
        <w:rPr>
          <w:rFonts w:cs="Wingdings"/>
          <w:szCs w:val="22"/>
        </w:rPr>
        <w:t xml:space="preserve"> 1,162,900 m</w:t>
      </w:r>
      <w:r w:rsidR="00F97EBE" w:rsidRPr="00EE43C6">
        <w:rPr>
          <w:rFonts w:cs="Wingdings"/>
          <w:szCs w:val="22"/>
          <w:vertAlign w:val="superscript"/>
        </w:rPr>
        <w:t>2</w:t>
      </w:r>
      <w:r w:rsidR="00F97EBE" w:rsidRPr="00EE43C6">
        <w:rPr>
          <w:rFonts w:cs="Wingdings"/>
          <w:szCs w:val="22"/>
        </w:rPr>
        <w:t xml:space="preserve"> x </w:t>
      </w:r>
      <w:r w:rsidR="00C7350A" w:rsidRPr="00EE43C6">
        <w:rPr>
          <w:rFonts w:cs="Wingdings"/>
          <w:szCs w:val="22"/>
        </w:rPr>
        <w:t>1.5 lt/day</w:t>
      </w:r>
      <w:r w:rsidR="00857AA5" w:rsidRPr="00EE43C6">
        <w:rPr>
          <w:rFonts w:cs="Wingdings"/>
          <w:szCs w:val="22"/>
        </w:rPr>
        <w:t xml:space="preserve"> x </w:t>
      </w:r>
      <w:r w:rsidR="001029C2" w:rsidRPr="00EE43C6">
        <w:rPr>
          <w:rFonts w:cs="Wingdings"/>
          <w:szCs w:val="22"/>
        </w:rPr>
        <w:t>1m</w:t>
      </w:r>
      <w:r w:rsidR="001029C2" w:rsidRPr="00EE43C6">
        <w:rPr>
          <w:rFonts w:cs="Wingdings"/>
          <w:szCs w:val="22"/>
          <w:vertAlign w:val="superscript"/>
        </w:rPr>
        <w:t>3</w:t>
      </w:r>
      <w:r w:rsidR="001029C2" w:rsidRPr="00EE43C6">
        <w:rPr>
          <w:rFonts w:cs="Wingdings"/>
          <w:szCs w:val="22"/>
        </w:rPr>
        <w:t>/</w:t>
      </w:r>
      <w:r w:rsidR="00AB54F7" w:rsidRPr="00EE43C6">
        <w:rPr>
          <w:rFonts w:cs="Wingdings"/>
          <w:szCs w:val="22"/>
        </w:rPr>
        <w:t>1,000 lt</w:t>
      </w:r>
    </w:p>
    <w:p w14:paraId="69F3B285" w14:textId="10CCB7C6" w:rsidR="008F23BA" w:rsidRPr="00EE43C6" w:rsidRDefault="008F23BA" w:rsidP="00CC5B52">
      <w:pPr>
        <w:spacing w:after="0"/>
        <w:rPr>
          <w:rFonts w:cs="Wingdings"/>
          <w:szCs w:val="22"/>
        </w:rPr>
      </w:pPr>
      <w:r w:rsidRPr="00EE43C6">
        <w:rPr>
          <w:rFonts w:cs="Wingdings"/>
          <w:szCs w:val="22"/>
        </w:rPr>
        <w:tab/>
      </w:r>
      <w:r w:rsidRPr="00EE43C6">
        <w:rPr>
          <w:rFonts w:cs="Wingdings"/>
          <w:szCs w:val="22"/>
        </w:rPr>
        <w:tab/>
      </w:r>
      <w:r w:rsidRPr="00EE43C6">
        <w:rPr>
          <w:rFonts w:cs="Wingdings"/>
          <w:szCs w:val="22"/>
        </w:rPr>
        <w:tab/>
      </w:r>
      <w:r w:rsidRPr="00EE43C6">
        <w:rPr>
          <w:rFonts w:cs="Wingdings"/>
          <w:szCs w:val="22"/>
        </w:rPr>
        <w:tab/>
      </w:r>
      <w:r w:rsidRPr="00EE43C6">
        <w:rPr>
          <w:rFonts w:cs="Wingdings"/>
          <w:szCs w:val="22"/>
        </w:rPr>
        <w:tab/>
      </w:r>
      <w:r w:rsidRPr="00EE43C6">
        <w:rPr>
          <w:rFonts w:cs="Wingdings"/>
          <w:szCs w:val="22"/>
        </w:rPr>
        <w:tab/>
      </w:r>
      <w:r w:rsidRPr="00EE43C6">
        <w:rPr>
          <w:rFonts w:cs="Wingdings"/>
          <w:szCs w:val="22"/>
        </w:rPr>
        <w:tab/>
        <w:t xml:space="preserve">= </w:t>
      </w:r>
      <w:r w:rsidR="00BD1063" w:rsidRPr="00EE43C6">
        <w:rPr>
          <w:rFonts w:cs="Wingdings"/>
          <w:szCs w:val="22"/>
        </w:rPr>
        <w:t>1,744</w:t>
      </w:r>
      <w:r w:rsidR="00ED0181" w:rsidRPr="00EE43C6">
        <w:rPr>
          <w:rFonts w:cs="Wingdings"/>
          <w:szCs w:val="22"/>
        </w:rPr>
        <w:t>.35</w:t>
      </w:r>
      <w:r w:rsidR="00BD1063" w:rsidRPr="00EE43C6">
        <w:rPr>
          <w:rFonts w:cs="Wingdings"/>
          <w:szCs w:val="22"/>
        </w:rPr>
        <w:t xml:space="preserve"> m</w:t>
      </w:r>
      <w:r w:rsidR="00BD1063" w:rsidRPr="00EE43C6">
        <w:rPr>
          <w:rFonts w:cs="Wingdings"/>
          <w:szCs w:val="22"/>
          <w:vertAlign w:val="superscript"/>
        </w:rPr>
        <w:t>3</w:t>
      </w:r>
      <w:r w:rsidR="00BD1063" w:rsidRPr="00EE43C6">
        <w:rPr>
          <w:rFonts w:cs="Wingdings"/>
          <w:szCs w:val="22"/>
        </w:rPr>
        <w:t>/day</w:t>
      </w:r>
    </w:p>
    <w:p w14:paraId="22BCAA0C" w14:textId="6D941F86" w:rsidR="000C493C" w:rsidRPr="00EE43C6" w:rsidRDefault="001962A7" w:rsidP="00CC5B52">
      <w:pPr>
        <w:spacing w:after="0"/>
        <w:rPr>
          <w:rFonts w:cs="Wingdings"/>
          <w:szCs w:val="22"/>
        </w:rPr>
      </w:pPr>
      <w:r w:rsidRPr="00EE43C6">
        <w:rPr>
          <w:rFonts w:cs="Wingdings"/>
          <w:szCs w:val="22"/>
        </w:rPr>
        <w:t xml:space="preserve">Total amount of water </w:t>
      </w:r>
      <w:r w:rsidR="002862E4" w:rsidRPr="00EE43C6">
        <w:rPr>
          <w:rFonts w:cs="Wingdings"/>
          <w:szCs w:val="22"/>
        </w:rPr>
        <w:t xml:space="preserve">to be used </w:t>
      </w:r>
      <w:r w:rsidR="005A1C85" w:rsidRPr="00EE43C6">
        <w:rPr>
          <w:rFonts w:cs="Wingdings"/>
          <w:szCs w:val="22"/>
        </w:rPr>
        <w:tab/>
      </w:r>
      <w:r w:rsidR="005A1C85" w:rsidRPr="00EE43C6">
        <w:rPr>
          <w:rFonts w:cs="Wingdings"/>
          <w:szCs w:val="22"/>
        </w:rPr>
        <w:tab/>
        <w:t>=</w:t>
      </w:r>
      <w:r w:rsidR="00AD483C" w:rsidRPr="00EE43C6">
        <w:rPr>
          <w:rFonts w:cs="Wingdings"/>
          <w:szCs w:val="22"/>
        </w:rPr>
        <w:t xml:space="preserve"> </w:t>
      </w:r>
      <w:r w:rsidR="006F7D34" w:rsidRPr="00EE43C6">
        <w:rPr>
          <w:rFonts w:cs="Wingdings"/>
          <w:szCs w:val="22"/>
        </w:rPr>
        <w:t>45</w:t>
      </w:r>
      <w:r w:rsidR="00562093" w:rsidRPr="00EE43C6">
        <w:rPr>
          <w:rFonts w:cs="Wingdings"/>
          <w:szCs w:val="22"/>
        </w:rPr>
        <w:t>.25</w:t>
      </w:r>
      <w:r w:rsidR="00AD483C" w:rsidRPr="00EE43C6">
        <w:rPr>
          <w:rFonts w:cs="Wingdings"/>
          <w:szCs w:val="22"/>
        </w:rPr>
        <w:t xml:space="preserve"> </w:t>
      </w:r>
      <w:r w:rsidR="008902FB" w:rsidRPr="00EE43C6">
        <w:rPr>
          <w:rFonts w:cs="Wingdings"/>
          <w:szCs w:val="22"/>
        </w:rPr>
        <w:t>m</w:t>
      </w:r>
      <w:r w:rsidR="008902FB" w:rsidRPr="00EE43C6">
        <w:rPr>
          <w:rFonts w:cs="Wingdings"/>
          <w:szCs w:val="22"/>
          <w:vertAlign w:val="superscript"/>
        </w:rPr>
        <w:t>3</w:t>
      </w:r>
      <w:r w:rsidR="008902FB" w:rsidRPr="00EE43C6">
        <w:rPr>
          <w:rFonts w:cs="Wingdings"/>
          <w:szCs w:val="22"/>
        </w:rPr>
        <w:t xml:space="preserve">/day </w:t>
      </w:r>
      <w:r w:rsidR="00AD483C" w:rsidRPr="00EE43C6">
        <w:rPr>
          <w:rFonts w:cs="Wingdings"/>
          <w:szCs w:val="22"/>
        </w:rPr>
        <w:t xml:space="preserve">+ </w:t>
      </w:r>
      <w:r w:rsidR="008902FB" w:rsidRPr="00EE43C6">
        <w:rPr>
          <w:rFonts w:cs="Wingdings"/>
          <w:szCs w:val="22"/>
        </w:rPr>
        <w:t>850 m</w:t>
      </w:r>
      <w:r w:rsidR="008902FB" w:rsidRPr="00EE43C6">
        <w:rPr>
          <w:rFonts w:cs="Wingdings"/>
          <w:szCs w:val="22"/>
          <w:vertAlign w:val="superscript"/>
        </w:rPr>
        <w:t>3</w:t>
      </w:r>
      <w:r w:rsidR="008902FB" w:rsidRPr="00EE43C6">
        <w:rPr>
          <w:rFonts w:cs="Wingdings"/>
          <w:szCs w:val="22"/>
        </w:rPr>
        <w:t xml:space="preserve">/day + </w:t>
      </w:r>
      <w:r w:rsidR="00127749" w:rsidRPr="00EE43C6">
        <w:rPr>
          <w:rFonts w:cs="Wingdings"/>
          <w:szCs w:val="22"/>
        </w:rPr>
        <w:t>1,744</w:t>
      </w:r>
      <w:r w:rsidR="00ED0181" w:rsidRPr="00EE43C6">
        <w:rPr>
          <w:rFonts w:cs="Wingdings"/>
          <w:szCs w:val="22"/>
        </w:rPr>
        <w:t>.35</w:t>
      </w:r>
      <w:r w:rsidR="00127749" w:rsidRPr="00EE43C6">
        <w:rPr>
          <w:rFonts w:cs="Wingdings"/>
          <w:szCs w:val="22"/>
        </w:rPr>
        <w:t xml:space="preserve"> m</w:t>
      </w:r>
      <w:r w:rsidR="00127749" w:rsidRPr="00EE43C6">
        <w:rPr>
          <w:rFonts w:cs="Wingdings"/>
          <w:szCs w:val="22"/>
          <w:vertAlign w:val="superscript"/>
        </w:rPr>
        <w:t>3</w:t>
      </w:r>
      <w:r w:rsidR="00127749" w:rsidRPr="00EE43C6">
        <w:rPr>
          <w:rFonts w:cs="Wingdings"/>
          <w:szCs w:val="22"/>
        </w:rPr>
        <w:t>/day</w:t>
      </w:r>
    </w:p>
    <w:p w14:paraId="6952D8DA" w14:textId="5050FE6B" w:rsidR="00127749" w:rsidRPr="00EE43C6" w:rsidRDefault="00127749" w:rsidP="00CC5B52">
      <w:pPr>
        <w:spacing w:after="0"/>
        <w:rPr>
          <w:rFonts w:cs="Wingdings"/>
          <w:szCs w:val="22"/>
        </w:rPr>
      </w:pPr>
      <w:r w:rsidRPr="00EE43C6">
        <w:rPr>
          <w:rFonts w:cs="Wingdings"/>
          <w:szCs w:val="22"/>
        </w:rPr>
        <w:tab/>
      </w:r>
      <w:r w:rsidRPr="00EE43C6">
        <w:rPr>
          <w:rFonts w:cs="Wingdings"/>
          <w:szCs w:val="22"/>
        </w:rPr>
        <w:tab/>
      </w:r>
      <w:r w:rsidRPr="00EE43C6">
        <w:rPr>
          <w:rFonts w:cs="Wingdings"/>
          <w:szCs w:val="22"/>
        </w:rPr>
        <w:tab/>
      </w:r>
      <w:r w:rsidRPr="00EE43C6">
        <w:rPr>
          <w:rFonts w:cs="Wingdings"/>
          <w:szCs w:val="22"/>
        </w:rPr>
        <w:tab/>
      </w:r>
      <w:r w:rsidRPr="00EE43C6">
        <w:rPr>
          <w:rFonts w:cs="Wingdings"/>
          <w:szCs w:val="22"/>
        </w:rPr>
        <w:tab/>
      </w:r>
      <w:r w:rsidRPr="00EE43C6">
        <w:rPr>
          <w:rFonts w:cs="Wingdings"/>
          <w:szCs w:val="22"/>
        </w:rPr>
        <w:tab/>
      </w:r>
      <w:r w:rsidR="00F92EEF" w:rsidRPr="00EE43C6">
        <w:rPr>
          <w:rFonts w:cs="Wingdings"/>
          <w:szCs w:val="22"/>
        </w:rPr>
        <w:t>=</w:t>
      </w:r>
      <w:r w:rsidR="00F21FA2" w:rsidRPr="00EE43C6">
        <w:rPr>
          <w:rFonts w:cs="Wingdings"/>
          <w:szCs w:val="22"/>
        </w:rPr>
        <w:t xml:space="preserve"> 2,6</w:t>
      </w:r>
      <w:r w:rsidR="008B4C9C" w:rsidRPr="00EE43C6">
        <w:rPr>
          <w:rFonts w:cs="Wingdings"/>
          <w:szCs w:val="22"/>
        </w:rPr>
        <w:t>53</w:t>
      </w:r>
      <w:r w:rsidR="007336CC" w:rsidRPr="00EE43C6">
        <w:rPr>
          <w:rFonts w:cs="Wingdings"/>
          <w:szCs w:val="22"/>
        </w:rPr>
        <w:t>.</w:t>
      </w:r>
      <w:r w:rsidR="008B4C9C" w:rsidRPr="00EE43C6">
        <w:rPr>
          <w:rFonts w:cs="Wingdings"/>
          <w:szCs w:val="22"/>
        </w:rPr>
        <w:t>6</w:t>
      </w:r>
      <w:r w:rsidR="007336CC" w:rsidRPr="00EE43C6">
        <w:rPr>
          <w:rFonts w:cs="Wingdings"/>
          <w:szCs w:val="22"/>
        </w:rPr>
        <w:t xml:space="preserve"> m</w:t>
      </w:r>
      <w:r w:rsidR="007336CC" w:rsidRPr="00EE43C6">
        <w:rPr>
          <w:rFonts w:cs="Wingdings"/>
          <w:szCs w:val="22"/>
          <w:vertAlign w:val="superscript"/>
        </w:rPr>
        <w:t>3</w:t>
      </w:r>
      <w:r w:rsidR="007336CC" w:rsidRPr="00EE43C6">
        <w:rPr>
          <w:rFonts w:cs="Wingdings"/>
          <w:szCs w:val="22"/>
        </w:rPr>
        <w:t>/day</w:t>
      </w:r>
    </w:p>
    <w:p w14:paraId="0E9ACBC5" w14:textId="6C174A66" w:rsidR="00897E79" w:rsidRPr="00EE43C6" w:rsidRDefault="00897E79" w:rsidP="00CC5B52">
      <w:pPr>
        <w:spacing w:after="0"/>
        <w:rPr>
          <w:rFonts w:cs="Wingdings"/>
          <w:szCs w:val="22"/>
        </w:rPr>
      </w:pPr>
      <w:r w:rsidRPr="00EE43C6">
        <w:rPr>
          <w:rFonts w:cs="Wingdings"/>
          <w:szCs w:val="22"/>
        </w:rPr>
        <w:t>This value corresponds to approximately 61</w:t>
      </w:r>
      <w:r w:rsidR="00941B48" w:rsidRPr="00EE43C6">
        <w:rPr>
          <w:rFonts w:cs="Wingdings"/>
          <w:szCs w:val="22"/>
        </w:rPr>
        <w:t xml:space="preserve"> </w:t>
      </w:r>
      <w:r w:rsidRPr="00EE43C6">
        <w:rPr>
          <w:rFonts w:cs="Wingdings"/>
          <w:szCs w:val="22"/>
        </w:rPr>
        <w:t xml:space="preserve">% of the </w:t>
      </w:r>
      <w:r w:rsidR="000425DC" w:rsidRPr="00EE43C6">
        <w:rPr>
          <w:rFonts w:cs="Wingdings"/>
          <w:szCs w:val="22"/>
        </w:rPr>
        <w:t xml:space="preserve">Project’s </w:t>
      </w:r>
      <w:r w:rsidRPr="00EE43C6">
        <w:rPr>
          <w:rFonts w:cs="Wingdings"/>
          <w:szCs w:val="22"/>
        </w:rPr>
        <w:t xml:space="preserve">allocated water </w:t>
      </w:r>
      <w:r w:rsidR="00263532" w:rsidRPr="00EE43C6">
        <w:rPr>
          <w:rFonts w:cs="Wingdings"/>
          <w:szCs w:val="22"/>
        </w:rPr>
        <w:t>quantity</w:t>
      </w:r>
      <w:r w:rsidRPr="00EE43C6">
        <w:rPr>
          <w:rFonts w:cs="Wingdings"/>
          <w:szCs w:val="22"/>
        </w:rPr>
        <w:t>.</w:t>
      </w:r>
    </w:p>
    <w:p w14:paraId="1AEB0EC7" w14:textId="6D84B056" w:rsidR="00B2175A" w:rsidRPr="00EE43C6" w:rsidRDefault="00E84898" w:rsidP="00CC5B52">
      <w:pPr>
        <w:spacing w:after="0"/>
        <w:rPr>
          <w:rFonts w:cs="Wingdings"/>
          <w:szCs w:val="22"/>
        </w:rPr>
      </w:pPr>
      <w:r w:rsidRPr="00EE43C6">
        <w:rPr>
          <w:rFonts w:cs="Wingdings"/>
          <w:szCs w:val="22"/>
        </w:rPr>
        <w:t>Hence</w:t>
      </w:r>
      <w:r w:rsidR="00B2175A" w:rsidRPr="00EE43C6">
        <w:rPr>
          <w:rFonts w:cs="Wingdings"/>
          <w:szCs w:val="22"/>
        </w:rPr>
        <w:t xml:space="preserve">, considering the </w:t>
      </w:r>
      <w:r w:rsidR="00684715" w:rsidRPr="00EE43C6">
        <w:rPr>
          <w:rFonts w:cs="Wingdings"/>
          <w:szCs w:val="22"/>
        </w:rPr>
        <w:t>wat</w:t>
      </w:r>
      <w:r w:rsidR="00263532" w:rsidRPr="00EE43C6">
        <w:rPr>
          <w:rFonts w:cs="Wingdings"/>
          <w:szCs w:val="22"/>
        </w:rPr>
        <w:t>er quantity</w:t>
      </w:r>
      <w:r w:rsidRPr="00EE43C6">
        <w:rPr>
          <w:rFonts w:cs="Wingdings"/>
          <w:szCs w:val="22"/>
        </w:rPr>
        <w:t xml:space="preserve"> calculation,</w:t>
      </w:r>
      <w:r w:rsidR="00B2175A" w:rsidRPr="00EE43C6">
        <w:rPr>
          <w:rFonts w:cs="Wingdings"/>
          <w:szCs w:val="22"/>
        </w:rPr>
        <w:t xml:space="preserve"> the concerned impact significance in the construction phase of the Project is determined as </w:t>
      </w:r>
      <w:r w:rsidR="00684715" w:rsidRPr="00EE43C6">
        <w:rPr>
          <w:rFonts w:cs="Wingdings"/>
          <w:szCs w:val="22"/>
        </w:rPr>
        <w:t>low</w:t>
      </w:r>
      <w:r w:rsidR="00B2175A" w:rsidRPr="00EE43C6">
        <w:rPr>
          <w:rFonts w:cs="Wingdings"/>
          <w:szCs w:val="22"/>
        </w:rPr>
        <w:t>.</w:t>
      </w:r>
    </w:p>
    <w:p w14:paraId="68189812" w14:textId="3193EB9B" w:rsidR="004339AC" w:rsidRPr="00EE43C6" w:rsidRDefault="004339AC" w:rsidP="001A0D64">
      <w:pPr>
        <w:pStyle w:val="Heading3"/>
        <w:spacing w:before="120" w:after="240"/>
        <w:rPr>
          <w:rFonts w:eastAsia="Arial TUR"/>
          <w:noProof w:val="0"/>
        </w:rPr>
      </w:pPr>
      <w:bookmarkStart w:id="517" w:name="_Toc98425334"/>
      <w:bookmarkStart w:id="518" w:name="_Toc98429176"/>
      <w:bookmarkStart w:id="519" w:name="_Toc82779443"/>
      <w:bookmarkStart w:id="520" w:name="_Toc80633560"/>
      <w:bookmarkStart w:id="521" w:name="_Toc67676585"/>
      <w:bookmarkStart w:id="522" w:name="_Toc120016947"/>
      <w:bookmarkStart w:id="523" w:name="_Toc120004725"/>
      <w:bookmarkStart w:id="524" w:name="_Toc141445436"/>
      <w:bookmarkEnd w:id="517"/>
      <w:bookmarkEnd w:id="518"/>
      <w:bookmarkEnd w:id="519"/>
      <w:r w:rsidRPr="00EE43C6">
        <w:rPr>
          <w:rFonts w:eastAsia="Arial TUR"/>
          <w:noProof w:val="0"/>
        </w:rPr>
        <w:t>Operation Phase</w:t>
      </w:r>
      <w:bookmarkEnd w:id="520"/>
      <w:bookmarkEnd w:id="521"/>
      <w:bookmarkEnd w:id="522"/>
      <w:bookmarkEnd w:id="523"/>
      <w:bookmarkEnd w:id="524"/>
    </w:p>
    <w:p w14:paraId="19B0B2C4" w14:textId="18A85FFA" w:rsidR="00712494" w:rsidRPr="00EE43C6" w:rsidRDefault="004507BC" w:rsidP="0058281D">
      <w:pPr>
        <w:spacing w:after="0"/>
        <w:rPr>
          <w:rFonts w:cs="Wingdings"/>
          <w:szCs w:val="22"/>
        </w:rPr>
      </w:pPr>
      <w:r w:rsidRPr="00EE43C6">
        <w:rPr>
          <w:rFonts w:cs="Wingdings"/>
          <w:szCs w:val="22"/>
        </w:rPr>
        <w:t xml:space="preserve">Likewise </w:t>
      </w:r>
      <w:r w:rsidR="00B5284A" w:rsidRPr="00EE43C6">
        <w:rPr>
          <w:rFonts w:cs="Wingdings"/>
          <w:szCs w:val="22"/>
        </w:rPr>
        <w:t>in construction phase, water</w:t>
      </w:r>
      <w:r w:rsidR="00E13502">
        <w:rPr>
          <w:rFonts w:cs="Wingdings"/>
          <w:szCs w:val="22"/>
        </w:rPr>
        <w:t xml:space="preserve"> </w:t>
      </w:r>
      <w:r w:rsidR="004357BC" w:rsidRPr="00EE43C6">
        <w:rPr>
          <w:rFonts w:cs="Wingdings"/>
          <w:szCs w:val="22"/>
        </w:rPr>
        <w:t>demand</w:t>
      </w:r>
      <w:r w:rsidR="00B5284A" w:rsidRPr="00EE43C6">
        <w:rPr>
          <w:rFonts w:cs="Wingdings"/>
          <w:szCs w:val="22"/>
        </w:rPr>
        <w:t xml:space="preserve"> </w:t>
      </w:r>
      <w:r w:rsidR="00DA069B">
        <w:rPr>
          <w:rFonts w:cs="Wingdings"/>
          <w:szCs w:val="22"/>
        </w:rPr>
        <w:t xml:space="preserve">for </w:t>
      </w:r>
      <w:r w:rsidR="00684F41" w:rsidRPr="00684F41">
        <w:rPr>
          <w:rFonts w:cs="Wingdings"/>
          <w:szCs w:val="22"/>
        </w:rPr>
        <w:t>toilets and baths</w:t>
      </w:r>
      <w:r w:rsidR="00B5284A" w:rsidRPr="00EE43C6">
        <w:rPr>
          <w:rFonts w:cs="Wingdings"/>
          <w:szCs w:val="22"/>
        </w:rPr>
        <w:t xml:space="preserve"> will be met from the licenced wells</w:t>
      </w:r>
      <w:r w:rsidR="004357BC" w:rsidRPr="00EE43C6">
        <w:rPr>
          <w:rFonts w:cs="Wingdings"/>
          <w:szCs w:val="22"/>
        </w:rPr>
        <w:t>,</w:t>
      </w:r>
      <w:r w:rsidR="00A32703" w:rsidRPr="00EE43C6">
        <w:rPr>
          <w:rFonts w:cs="Wingdings"/>
          <w:szCs w:val="22"/>
        </w:rPr>
        <w:t xml:space="preserve"> and</w:t>
      </w:r>
      <w:r w:rsidR="004357BC" w:rsidRPr="00EE43C6">
        <w:rPr>
          <w:rFonts w:cs="Wingdings"/>
          <w:szCs w:val="22"/>
        </w:rPr>
        <w:t xml:space="preserve"> it</w:t>
      </w:r>
      <w:r w:rsidR="00A32703" w:rsidRPr="00EE43C6">
        <w:rPr>
          <w:rFonts w:cs="Wingdings"/>
          <w:szCs w:val="22"/>
        </w:rPr>
        <w:t xml:space="preserve"> is planned to meet the drinking water need from packaged water</w:t>
      </w:r>
      <w:r w:rsidR="00B5284A" w:rsidRPr="00EE43C6">
        <w:rPr>
          <w:rFonts w:cs="Wingdings"/>
          <w:szCs w:val="22"/>
        </w:rPr>
        <w:t>.</w:t>
      </w:r>
    </w:p>
    <w:p w14:paraId="3A7825BB" w14:textId="63D5BC96" w:rsidR="0058281D" w:rsidRPr="00EE43C6" w:rsidRDefault="0058281D" w:rsidP="0058281D">
      <w:pPr>
        <w:spacing w:after="0"/>
        <w:rPr>
          <w:rFonts w:cs="Wingdings"/>
          <w:szCs w:val="22"/>
        </w:rPr>
      </w:pPr>
      <w:r w:rsidRPr="00EE43C6">
        <w:rPr>
          <w:rFonts w:cs="Wingdings"/>
          <w:szCs w:val="22"/>
        </w:rPr>
        <w:t xml:space="preserve">Water will be required in the Project’s </w:t>
      </w:r>
      <w:r w:rsidR="00AF3570" w:rsidRPr="00EE43C6">
        <w:rPr>
          <w:rFonts w:cs="Wingdings"/>
          <w:szCs w:val="22"/>
        </w:rPr>
        <w:t>Operation</w:t>
      </w:r>
      <w:r w:rsidRPr="00EE43C6">
        <w:rPr>
          <w:rFonts w:cs="Wingdings"/>
          <w:szCs w:val="22"/>
        </w:rPr>
        <w:t xml:space="preserve"> Phase for domestic use.</w:t>
      </w:r>
    </w:p>
    <w:p w14:paraId="2E4C4BD4" w14:textId="77777777" w:rsidR="0058281D" w:rsidRPr="00EE43C6" w:rsidRDefault="0058281D" w:rsidP="0058281D">
      <w:pPr>
        <w:spacing w:after="0"/>
      </w:pPr>
      <w:r w:rsidRPr="00EE43C6">
        <w:t xml:space="preserve">Construction Phase Daily water requirement </w:t>
      </w:r>
      <w:r w:rsidRPr="00EE43C6">
        <w:tab/>
        <w:t>= person x avg. water consumption</w:t>
      </w:r>
    </w:p>
    <w:p w14:paraId="4005D623" w14:textId="0CF68C09" w:rsidR="0058281D" w:rsidRPr="00EE43C6" w:rsidRDefault="0058281D" w:rsidP="0058281D">
      <w:pPr>
        <w:ind w:left="4819" w:firstLine="137"/>
      </w:pPr>
      <w:r w:rsidRPr="00EE43C6">
        <w:t xml:space="preserve">= </w:t>
      </w:r>
      <w:r w:rsidR="001270C6" w:rsidRPr="00EE43C6">
        <w:t>3</w:t>
      </w:r>
      <w:r w:rsidR="00C87C32" w:rsidRPr="00EE43C6">
        <w:t>,</w:t>
      </w:r>
      <w:r w:rsidR="001270C6" w:rsidRPr="00EE43C6">
        <w:t>5</w:t>
      </w:r>
      <w:r w:rsidRPr="00EE43C6">
        <w:t xml:space="preserve">00 person x </w:t>
      </w:r>
      <w:r w:rsidR="00ED0525" w:rsidRPr="00EE43C6">
        <w:t>181</w:t>
      </w:r>
      <w:r w:rsidRPr="00EE43C6">
        <w:t xml:space="preserve"> lt/day-person</w:t>
      </w:r>
      <w:r w:rsidRPr="00EE43C6">
        <w:rPr>
          <w:rStyle w:val="FootnoteReference"/>
        </w:rPr>
        <w:footnoteReference w:id="20"/>
      </w:r>
    </w:p>
    <w:p w14:paraId="3AF4D98D" w14:textId="56F3D47E" w:rsidR="0058281D" w:rsidRPr="00EE43C6" w:rsidRDefault="0058281D" w:rsidP="0058281D">
      <w:pPr>
        <w:ind w:left="4682" w:firstLine="274"/>
      </w:pPr>
      <w:r w:rsidRPr="00EE43C6">
        <w:t xml:space="preserve">= </w:t>
      </w:r>
      <w:r w:rsidR="009E3EAB" w:rsidRPr="00EE43C6">
        <w:t>633</w:t>
      </w:r>
      <w:r w:rsidRPr="00EE43C6">
        <w:t>,</w:t>
      </w:r>
      <w:r w:rsidR="004D618B" w:rsidRPr="00EE43C6">
        <w:t>5</w:t>
      </w:r>
      <w:r w:rsidRPr="00EE43C6">
        <w:t>00 lt/day (</w:t>
      </w:r>
      <w:r w:rsidR="00481AD0" w:rsidRPr="00EE43C6">
        <w:t>633</w:t>
      </w:r>
      <w:r w:rsidR="004D618B" w:rsidRPr="00EE43C6">
        <w:t>.5</w:t>
      </w:r>
      <w:r w:rsidRPr="00EE43C6">
        <w:t xml:space="preserve"> m</w:t>
      </w:r>
      <w:r w:rsidRPr="00EE43C6">
        <w:rPr>
          <w:vertAlign w:val="superscript"/>
        </w:rPr>
        <w:t>3</w:t>
      </w:r>
      <w:r w:rsidRPr="00EE43C6">
        <w:t>/day)</w:t>
      </w:r>
    </w:p>
    <w:p w14:paraId="4FA1B608" w14:textId="14E7CFE1" w:rsidR="00CF3D50" w:rsidRPr="00EE43C6" w:rsidRDefault="00F55B3B" w:rsidP="00D15614">
      <w:pPr>
        <w:rPr>
          <w:rFonts w:cs="Wingdings"/>
          <w:szCs w:val="22"/>
        </w:rPr>
      </w:pPr>
      <w:r w:rsidRPr="00EE43C6">
        <w:rPr>
          <w:rFonts w:cs="Wingdings"/>
          <w:szCs w:val="22"/>
        </w:rPr>
        <w:t xml:space="preserve">Also, </w:t>
      </w:r>
      <w:r w:rsidR="00435D3E" w:rsidRPr="00EE43C6">
        <w:rPr>
          <w:rFonts w:cs="Wingdings"/>
          <w:szCs w:val="22"/>
        </w:rPr>
        <w:t>w</w:t>
      </w:r>
      <w:r w:rsidR="00E07013" w:rsidRPr="00EE43C6">
        <w:rPr>
          <w:rFonts w:cs="Wingdings"/>
          <w:szCs w:val="22"/>
        </w:rPr>
        <w:t xml:space="preserve">ith the commissioning of the OIZ, </w:t>
      </w:r>
      <w:r w:rsidR="00F722DF" w:rsidRPr="00EE43C6">
        <w:rPr>
          <w:rFonts w:cs="Wingdings"/>
          <w:szCs w:val="22"/>
        </w:rPr>
        <w:t xml:space="preserve">process </w:t>
      </w:r>
      <w:r w:rsidR="00E07013" w:rsidRPr="00EE43C6">
        <w:rPr>
          <w:rFonts w:cs="Wingdings"/>
          <w:szCs w:val="22"/>
        </w:rPr>
        <w:t xml:space="preserve">water </w:t>
      </w:r>
      <w:r w:rsidR="00D8438F" w:rsidRPr="00EE43C6">
        <w:rPr>
          <w:rFonts w:cs="Wingdings"/>
          <w:szCs w:val="22"/>
        </w:rPr>
        <w:t>demands</w:t>
      </w:r>
      <w:r w:rsidR="00E07013" w:rsidRPr="00EE43C6">
        <w:rPr>
          <w:rFonts w:cs="Wingdings"/>
          <w:szCs w:val="22"/>
        </w:rPr>
        <w:t xml:space="preserve"> will arise</w:t>
      </w:r>
      <w:r w:rsidR="008C72FE" w:rsidRPr="00EE43C6">
        <w:rPr>
          <w:rFonts w:cs="Wingdings"/>
          <w:szCs w:val="22"/>
        </w:rPr>
        <w:t xml:space="preserve"> from </w:t>
      </w:r>
      <w:r w:rsidR="00B45CF3" w:rsidRPr="00EE43C6">
        <w:rPr>
          <w:rFonts w:cs="Wingdings"/>
          <w:szCs w:val="22"/>
        </w:rPr>
        <w:t>the facilit</w:t>
      </w:r>
      <w:r w:rsidR="009F0B12" w:rsidRPr="00EE43C6">
        <w:rPr>
          <w:rFonts w:cs="Wingdings"/>
          <w:szCs w:val="22"/>
        </w:rPr>
        <w:t>ies</w:t>
      </w:r>
      <w:r w:rsidR="007701B8" w:rsidRPr="00EE43C6">
        <w:rPr>
          <w:rFonts w:cs="Wingdings"/>
          <w:szCs w:val="22"/>
        </w:rPr>
        <w:t xml:space="preserve"> </w:t>
      </w:r>
      <w:r w:rsidR="00CD1DAD" w:rsidRPr="00EE43C6">
        <w:rPr>
          <w:rFonts w:cs="Wingdings"/>
          <w:szCs w:val="22"/>
        </w:rPr>
        <w:t xml:space="preserve">in different sectors </w:t>
      </w:r>
      <w:r w:rsidR="007701B8" w:rsidRPr="00EE43C6">
        <w:rPr>
          <w:rFonts w:cs="Wingdings"/>
          <w:szCs w:val="22"/>
        </w:rPr>
        <w:t xml:space="preserve">(see </w:t>
      </w:r>
      <w:r w:rsidR="00F104B1" w:rsidRPr="00EE43C6">
        <w:rPr>
          <w:rFonts w:cs="Wingdings"/>
          <w:szCs w:val="22"/>
        </w:rPr>
        <w:fldChar w:fldCharType="begin"/>
      </w:r>
      <w:r w:rsidR="00F104B1" w:rsidRPr="00EE43C6">
        <w:rPr>
          <w:rFonts w:cs="Wingdings"/>
          <w:szCs w:val="22"/>
        </w:rPr>
        <w:instrText xml:space="preserve"> REF _Ref127980952 \h </w:instrText>
      </w:r>
      <w:r w:rsidR="00F104B1" w:rsidRPr="00EE43C6">
        <w:rPr>
          <w:rFonts w:cs="Wingdings"/>
          <w:szCs w:val="22"/>
        </w:rPr>
      </w:r>
      <w:r w:rsidR="00F104B1" w:rsidRPr="00EE43C6">
        <w:rPr>
          <w:rFonts w:cs="Wingdings"/>
          <w:szCs w:val="22"/>
        </w:rPr>
        <w:fldChar w:fldCharType="separate"/>
      </w:r>
      <w:r w:rsidR="00EC6FAF" w:rsidRPr="00EE43C6">
        <w:t>Table 6</w:t>
      </w:r>
      <w:r w:rsidR="00EC6FAF" w:rsidRPr="00EE43C6">
        <w:noBreakHyphen/>
        <w:t>18</w:t>
      </w:r>
      <w:r w:rsidR="00F104B1" w:rsidRPr="00EE43C6">
        <w:rPr>
          <w:rFonts w:cs="Wingdings"/>
          <w:szCs w:val="22"/>
        </w:rPr>
        <w:fldChar w:fldCharType="end"/>
      </w:r>
      <w:r w:rsidR="007701B8" w:rsidRPr="00EE43C6">
        <w:rPr>
          <w:rFonts w:cs="Wingdings"/>
          <w:szCs w:val="22"/>
        </w:rPr>
        <w:fldChar w:fldCharType="begin"/>
      </w:r>
      <w:r w:rsidR="007701B8" w:rsidRPr="00EE43C6">
        <w:rPr>
          <w:rFonts w:cs="Wingdings"/>
          <w:szCs w:val="22"/>
        </w:rPr>
        <w:instrText xml:space="preserve"> REF _Ref125986787 \h </w:instrText>
      </w:r>
      <w:r w:rsidR="007701B8" w:rsidRPr="00EE43C6">
        <w:rPr>
          <w:rFonts w:cs="Wingdings"/>
          <w:szCs w:val="22"/>
        </w:rPr>
      </w:r>
      <w:r w:rsidR="007701B8" w:rsidRPr="00EE43C6">
        <w:rPr>
          <w:rFonts w:cs="Wingdings"/>
          <w:szCs w:val="22"/>
        </w:rPr>
        <w:fldChar w:fldCharType="end"/>
      </w:r>
      <w:r w:rsidR="007701B8" w:rsidRPr="00EE43C6">
        <w:rPr>
          <w:rFonts w:cs="Wingdings"/>
          <w:szCs w:val="22"/>
        </w:rPr>
        <w:t>)</w:t>
      </w:r>
      <w:r w:rsidR="00E07013" w:rsidRPr="00EE43C6">
        <w:rPr>
          <w:rFonts w:cs="Wingdings"/>
          <w:szCs w:val="22"/>
        </w:rPr>
        <w:t>.</w:t>
      </w:r>
    </w:p>
    <w:p w14:paraId="0A8EAE9D" w14:textId="2D8B41E8" w:rsidR="00044BC0" w:rsidRPr="00EE43C6" w:rsidRDefault="00FF3B7C" w:rsidP="00D15614">
      <w:pPr>
        <w:pStyle w:val="Caption"/>
        <w:spacing w:before="240"/>
        <w:rPr>
          <w:rFonts w:cs="Wingdings"/>
          <w:noProof w:val="0"/>
          <w:szCs w:val="22"/>
        </w:rPr>
      </w:pPr>
      <w:bookmarkStart w:id="525" w:name="_Ref127980952"/>
      <w:bookmarkStart w:id="526" w:name="_Ref125986787"/>
      <w:bookmarkStart w:id="527" w:name="_Toc141445527"/>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18</w:t>
      </w:r>
      <w:r w:rsidR="006D2DE8">
        <w:rPr>
          <w:noProof w:val="0"/>
        </w:rPr>
        <w:fldChar w:fldCharType="end"/>
      </w:r>
      <w:bookmarkEnd w:id="525"/>
      <w:bookmarkEnd w:id="526"/>
      <w:r w:rsidRPr="00EE43C6">
        <w:rPr>
          <w:noProof w:val="0"/>
        </w:rPr>
        <w:t xml:space="preserve">. </w:t>
      </w:r>
      <w:r w:rsidR="00074C6A" w:rsidRPr="00EE43C6">
        <w:rPr>
          <w:b w:val="0"/>
          <w:bCs w:val="0"/>
          <w:noProof w:val="0"/>
          <w:color w:val="auto"/>
        </w:rPr>
        <w:t>Planned</w:t>
      </w:r>
      <w:r w:rsidR="00BB465B" w:rsidRPr="00EE43C6">
        <w:rPr>
          <w:b w:val="0"/>
          <w:bCs w:val="0"/>
          <w:noProof w:val="0"/>
          <w:color w:val="auto"/>
        </w:rPr>
        <w:t xml:space="preserve"> </w:t>
      </w:r>
      <w:r w:rsidRPr="00EE43C6">
        <w:rPr>
          <w:rFonts w:cs="Wingdings"/>
          <w:b w:val="0"/>
          <w:bCs w:val="0"/>
          <w:noProof w:val="0"/>
          <w:color w:val="auto"/>
          <w:szCs w:val="22"/>
        </w:rPr>
        <w:t xml:space="preserve">Domestic and </w:t>
      </w:r>
      <w:r w:rsidR="000F77DA" w:rsidRPr="00EE43C6">
        <w:rPr>
          <w:rFonts w:cs="Wingdings"/>
          <w:b w:val="0"/>
          <w:bCs w:val="0"/>
          <w:noProof w:val="0"/>
          <w:color w:val="auto"/>
          <w:szCs w:val="22"/>
        </w:rPr>
        <w:t>Process</w:t>
      </w:r>
      <w:r w:rsidRPr="00EE43C6">
        <w:rPr>
          <w:rFonts w:cs="Wingdings"/>
          <w:b w:val="0"/>
          <w:bCs w:val="0"/>
          <w:noProof w:val="0"/>
          <w:color w:val="auto"/>
          <w:szCs w:val="22"/>
        </w:rPr>
        <w:t xml:space="preserve"> Water </w:t>
      </w:r>
      <w:r w:rsidR="00423DC0" w:rsidRPr="00EE43C6">
        <w:rPr>
          <w:rFonts w:cs="Wingdings"/>
          <w:b w:val="0"/>
          <w:bCs w:val="0"/>
          <w:noProof w:val="0"/>
          <w:color w:val="auto"/>
          <w:szCs w:val="22"/>
        </w:rPr>
        <w:t xml:space="preserve">Demand </w:t>
      </w:r>
      <w:r w:rsidR="00BB465B" w:rsidRPr="00EE43C6">
        <w:rPr>
          <w:rFonts w:cs="Wingdings"/>
          <w:b w:val="0"/>
          <w:bCs w:val="0"/>
          <w:noProof w:val="0"/>
          <w:color w:val="auto"/>
          <w:szCs w:val="22"/>
        </w:rPr>
        <w:t>Amounts</w:t>
      </w:r>
      <w:r w:rsidRPr="00EE43C6">
        <w:rPr>
          <w:rFonts w:cs="Wingdings"/>
          <w:b w:val="0"/>
          <w:bCs w:val="0"/>
          <w:noProof w:val="0"/>
          <w:color w:val="auto"/>
          <w:szCs w:val="22"/>
        </w:rPr>
        <w:t xml:space="preserve"> of Facilities in OIZ</w:t>
      </w:r>
      <w:bookmarkEnd w:id="527"/>
    </w:p>
    <w:tbl>
      <w:tblPr>
        <w:tblStyle w:val="TableGrid"/>
        <w:tblW w:w="0" w:type="auto"/>
        <w:tblLook w:val="04A0" w:firstRow="1" w:lastRow="0" w:firstColumn="1" w:lastColumn="0" w:noHBand="0" w:noVBand="1"/>
      </w:tblPr>
      <w:tblGrid>
        <w:gridCol w:w="5748"/>
        <w:gridCol w:w="1183"/>
        <w:gridCol w:w="1012"/>
        <w:gridCol w:w="1117"/>
      </w:tblGrid>
      <w:tr w:rsidR="00711231" w:rsidRPr="00EE43C6" w14:paraId="558C610C" w14:textId="77777777" w:rsidTr="00CE4A51">
        <w:trPr>
          <w:trHeight w:val="284"/>
          <w:tblHeader/>
        </w:trPr>
        <w:tc>
          <w:tcPr>
            <w:tcW w:w="5748" w:type="dxa"/>
            <w:shd w:val="clear" w:color="auto" w:fill="4F81BD"/>
            <w:vAlign w:val="center"/>
          </w:tcPr>
          <w:p w14:paraId="5D40BC54" w14:textId="58626221" w:rsidR="00044BC0" w:rsidRPr="00EE43C6" w:rsidRDefault="0006008D" w:rsidP="00CE4A51">
            <w:pPr>
              <w:spacing w:before="0" w:after="0" w:line="240" w:lineRule="auto"/>
              <w:jc w:val="left"/>
              <w:rPr>
                <w:rFonts w:cs="Wingdings"/>
                <w:b/>
                <w:color w:val="FFFFFF" w:themeColor="background1"/>
                <w:sz w:val="18"/>
                <w:szCs w:val="18"/>
              </w:rPr>
            </w:pPr>
            <w:r w:rsidRPr="00EE43C6">
              <w:rPr>
                <w:rFonts w:cs="Wingdings"/>
                <w:b/>
                <w:color w:val="FFFFFF" w:themeColor="background1"/>
                <w:sz w:val="18"/>
                <w:szCs w:val="18"/>
              </w:rPr>
              <w:t>Sectors</w:t>
            </w:r>
          </w:p>
        </w:tc>
        <w:tc>
          <w:tcPr>
            <w:tcW w:w="1183" w:type="dxa"/>
            <w:shd w:val="clear" w:color="auto" w:fill="4F81BD"/>
            <w:vAlign w:val="center"/>
          </w:tcPr>
          <w:p w14:paraId="3E8067CC" w14:textId="77777777" w:rsidR="00044BC0" w:rsidRPr="00EE43C6" w:rsidRDefault="00B76C56"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Personnel</w:t>
            </w:r>
          </w:p>
          <w:p w14:paraId="1785D3E3" w14:textId="2A39E1BE" w:rsidR="00B76C56" w:rsidRPr="00EE43C6" w:rsidRDefault="00B76C56"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(person)</w:t>
            </w:r>
          </w:p>
        </w:tc>
        <w:tc>
          <w:tcPr>
            <w:tcW w:w="1012" w:type="dxa"/>
            <w:shd w:val="clear" w:color="auto" w:fill="4F81BD"/>
            <w:vAlign w:val="center"/>
          </w:tcPr>
          <w:p w14:paraId="07D86CEF" w14:textId="54DEF1DD" w:rsidR="00711231" w:rsidRPr="00EE43C6" w:rsidRDefault="00711231"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 xml:space="preserve">Process Water </w:t>
            </w:r>
            <w:r w:rsidR="00D8438F" w:rsidRPr="00EE43C6">
              <w:rPr>
                <w:rFonts w:cs="Wingdings"/>
                <w:b/>
                <w:color w:val="FFFFFF" w:themeColor="background1"/>
                <w:sz w:val="18"/>
                <w:szCs w:val="18"/>
              </w:rPr>
              <w:t>Demand</w:t>
            </w:r>
          </w:p>
          <w:p w14:paraId="041E5820" w14:textId="14D7C805" w:rsidR="00044BC0" w:rsidRPr="00EE43C6" w:rsidRDefault="00711231"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(m</w:t>
            </w:r>
            <w:r w:rsidRPr="00EE43C6">
              <w:rPr>
                <w:rFonts w:cs="Wingdings"/>
                <w:b/>
                <w:color w:val="FFFFFF" w:themeColor="background1"/>
                <w:sz w:val="18"/>
                <w:szCs w:val="18"/>
                <w:vertAlign w:val="superscript"/>
              </w:rPr>
              <w:t>3</w:t>
            </w:r>
            <w:r w:rsidRPr="00EE43C6">
              <w:rPr>
                <w:rFonts w:cs="Wingdings"/>
                <w:b/>
                <w:color w:val="FFFFFF" w:themeColor="background1"/>
                <w:sz w:val="18"/>
                <w:szCs w:val="18"/>
              </w:rPr>
              <w:t>/day)</w:t>
            </w:r>
          </w:p>
        </w:tc>
        <w:tc>
          <w:tcPr>
            <w:tcW w:w="1117" w:type="dxa"/>
            <w:shd w:val="clear" w:color="auto" w:fill="4F81BD"/>
            <w:vAlign w:val="center"/>
          </w:tcPr>
          <w:p w14:paraId="203CE4AF" w14:textId="75ECC0F0" w:rsidR="00044BC0" w:rsidRPr="00EE43C6" w:rsidRDefault="00711231"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 xml:space="preserve">Domestic Water </w:t>
            </w:r>
            <w:r w:rsidR="00D8438F" w:rsidRPr="00EE43C6">
              <w:rPr>
                <w:rFonts w:cs="Wingdings"/>
                <w:b/>
                <w:color w:val="FFFFFF" w:themeColor="background1"/>
                <w:sz w:val="18"/>
                <w:szCs w:val="18"/>
              </w:rPr>
              <w:t>Demand</w:t>
            </w:r>
          </w:p>
          <w:p w14:paraId="1B2780FE" w14:textId="1ABD2409" w:rsidR="00044BC0" w:rsidRPr="00EE43C6" w:rsidRDefault="00115219"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(m</w:t>
            </w:r>
            <w:r w:rsidRPr="00EE43C6">
              <w:rPr>
                <w:rFonts w:cs="Wingdings"/>
                <w:b/>
                <w:color w:val="FFFFFF" w:themeColor="background1"/>
                <w:sz w:val="18"/>
                <w:szCs w:val="18"/>
                <w:vertAlign w:val="superscript"/>
              </w:rPr>
              <w:t>3</w:t>
            </w:r>
            <w:r w:rsidRPr="00EE43C6">
              <w:rPr>
                <w:rFonts w:cs="Wingdings"/>
                <w:b/>
                <w:color w:val="FFFFFF" w:themeColor="background1"/>
                <w:sz w:val="18"/>
                <w:szCs w:val="18"/>
              </w:rPr>
              <w:t>/day)</w:t>
            </w:r>
          </w:p>
        </w:tc>
      </w:tr>
      <w:tr w:rsidR="00044BC0" w:rsidRPr="00EE43C6" w14:paraId="72A7DE52" w14:textId="77777777" w:rsidTr="00CE4A51">
        <w:trPr>
          <w:trHeight w:val="284"/>
        </w:trPr>
        <w:tc>
          <w:tcPr>
            <w:tcW w:w="5748" w:type="dxa"/>
            <w:vAlign w:val="center"/>
          </w:tcPr>
          <w:p w14:paraId="0573DBDC" w14:textId="0BCA281F" w:rsidR="00044BC0" w:rsidRPr="00EE43C6" w:rsidRDefault="00A30BDD" w:rsidP="00CE4A51">
            <w:pPr>
              <w:spacing w:before="0" w:after="0" w:line="240" w:lineRule="auto"/>
              <w:jc w:val="left"/>
              <w:rPr>
                <w:rFonts w:cs="Wingdings"/>
                <w:sz w:val="18"/>
                <w:szCs w:val="18"/>
              </w:rPr>
            </w:pPr>
            <w:r w:rsidRPr="00EE43C6">
              <w:rPr>
                <w:rFonts w:cs="Wingdings"/>
                <w:sz w:val="18"/>
                <w:szCs w:val="18"/>
              </w:rPr>
              <w:t>Nuts, Coffee Processing, Tahini, Halva Production and Packaging</w:t>
            </w:r>
          </w:p>
        </w:tc>
        <w:tc>
          <w:tcPr>
            <w:tcW w:w="1183" w:type="dxa"/>
            <w:vAlign w:val="center"/>
          </w:tcPr>
          <w:p w14:paraId="48C639DF" w14:textId="7EE77E3E" w:rsidR="00044BC0" w:rsidRPr="00EE43C6" w:rsidRDefault="0080701D" w:rsidP="00B625EB">
            <w:pPr>
              <w:spacing w:before="0" w:after="0" w:line="240" w:lineRule="auto"/>
              <w:jc w:val="center"/>
              <w:rPr>
                <w:rFonts w:cs="Wingdings"/>
                <w:sz w:val="18"/>
                <w:szCs w:val="18"/>
              </w:rPr>
            </w:pPr>
            <w:r w:rsidRPr="00EE43C6">
              <w:rPr>
                <w:rFonts w:cs="Wingdings"/>
                <w:sz w:val="18"/>
                <w:szCs w:val="18"/>
              </w:rPr>
              <w:t>600</w:t>
            </w:r>
          </w:p>
        </w:tc>
        <w:tc>
          <w:tcPr>
            <w:tcW w:w="1012" w:type="dxa"/>
            <w:vAlign w:val="center"/>
          </w:tcPr>
          <w:p w14:paraId="77A70DA1" w14:textId="2F65CB2B" w:rsidR="00044BC0" w:rsidRPr="00EE43C6" w:rsidRDefault="003502E5" w:rsidP="00B625EB">
            <w:pPr>
              <w:spacing w:before="0" w:after="0" w:line="240" w:lineRule="auto"/>
              <w:jc w:val="center"/>
              <w:rPr>
                <w:rFonts w:cs="Wingdings"/>
                <w:sz w:val="18"/>
                <w:szCs w:val="18"/>
              </w:rPr>
            </w:pPr>
            <w:r w:rsidRPr="00EE43C6">
              <w:rPr>
                <w:rFonts w:cs="Wingdings"/>
                <w:sz w:val="18"/>
                <w:szCs w:val="18"/>
              </w:rPr>
              <w:t>-</w:t>
            </w:r>
          </w:p>
        </w:tc>
        <w:tc>
          <w:tcPr>
            <w:tcW w:w="1117" w:type="dxa"/>
            <w:vAlign w:val="center"/>
          </w:tcPr>
          <w:p w14:paraId="5EC2CFB9" w14:textId="2F073100" w:rsidR="00044BC0" w:rsidRPr="00EE43C6" w:rsidRDefault="00BD0E46" w:rsidP="00B625EB">
            <w:pPr>
              <w:spacing w:before="0" w:after="0" w:line="240" w:lineRule="auto"/>
              <w:jc w:val="center"/>
              <w:rPr>
                <w:rFonts w:cs="Wingdings"/>
                <w:sz w:val="18"/>
                <w:szCs w:val="18"/>
              </w:rPr>
            </w:pPr>
            <w:r w:rsidRPr="00EE43C6">
              <w:rPr>
                <w:rFonts w:cs="Wingdings"/>
                <w:sz w:val="18"/>
                <w:szCs w:val="18"/>
              </w:rPr>
              <w:t>10</w:t>
            </w:r>
            <w:r w:rsidR="005F68E3" w:rsidRPr="00EE43C6">
              <w:rPr>
                <w:rFonts w:cs="Wingdings"/>
                <w:sz w:val="18"/>
                <w:szCs w:val="18"/>
              </w:rPr>
              <w:t>8.6</w:t>
            </w:r>
            <w:r w:rsidR="00343B4A" w:rsidRPr="00EE43C6">
              <w:rPr>
                <w:rFonts w:cs="Wingdings"/>
                <w:sz w:val="18"/>
                <w:szCs w:val="18"/>
              </w:rPr>
              <w:t>0</w:t>
            </w:r>
          </w:p>
        </w:tc>
      </w:tr>
      <w:tr w:rsidR="00044BC0" w:rsidRPr="00EE43C6" w14:paraId="084C6C36" w14:textId="77777777" w:rsidTr="00CE4A51">
        <w:trPr>
          <w:trHeight w:val="284"/>
        </w:trPr>
        <w:tc>
          <w:tcPr>
            <w:tcW w:w="5748" w:type="dxa"/>
            <w:vAlign w:val="center"/>
          </w:tcPr>
          <w:p w14:paraId="2D08E222" w14:textId="08DD052B" w:rsidR="00044BC0" w:rsidRPr="00EE43C6" w:rsidRDefault="001A2478" w:rsidP="00CE4A51">
            <w:pPr>
              <w:spacing w:before="0" w:after="0" w:line="240" w:lineRule="auto"/>
              <w:jc w:val="left"/>
              <w:rPr>
                <w:rFonts w:cs="Wingdings"/>
                <w:sz w:val="18"/>
                <w:szCs w:val="18"/>
              </w:rPr>
            </w:pPr>
            <w:r w:rsidRPr="00EE43C6">
              <w:rPr>
                <w:rFonts w:cs="Wingdings"/>
                <w:sz w:val="18"/>
                <w:szCs w:val="18"/>
              </w:rPr>
              <w:t>Spice Processing and Packaging</w:t>
            </w:r>
          </w:p>
        </w:tc>
        <w:tc>
          <w:tcPr>
            <w:tcW w:w="1183" w:type="dxa"/>
            <w:vAlign w:val="center"/>
          </w:tcPr>
          <w:p w14:paraId="48D7ED05" w14:textId="039EA57D" w:rsidR="00044BC0" w:rsidRPr="00EE43C6" w:rsidRDefault="0080701D" w:rsidP="00B625EB">
            <w:pPr>
              <w:spacing w:before="0" w:after="0" w:line="240" w:lineRule="auto"/>
              <w:jc w:val="center"/>
              <w:rPr>
                <w:rFonts w:cs="Wingdings"/>
                <w:sz w:val="18"/>
                <w:szCs w:val="18"/>
              </w:rPr>
            </w:pPr>
            <w:r w:rsidRPr="00EE43C6">
              <w:rPr>
                <w:rFonts w:cs="Wingdings"/>
                <w:sz w:val="18"/>
                <w:szCs w:val="18"/>
              </w:rPr>
              <w:t>210</w:t>
            </w:r>
          </w:p>
        </w:tc>
        <w:tc>
          <w:tcPr>
            <w:tcW w:w="1012" w:type="dxa"/>
            <w:vAlign w:val="center"/>
          </w:tcPr>
          <w:p w14:paraId="1EACBB46" w14:textId="48CDAC5D" w:rsidR="00044BC0" w:rsidRPr="00EE43C6" w:rsidRDefault="00E60E8A" w:rsidP="00B625EB">
            <w:pPr>
              <w:spacing w:before="0" w:after="0" w:line="240" w:lineRule="auto"/>
              <w:jc w:val="center"/>
              <w:rPr>
                <w:rFonts w:cs="Wingdings"/>
                <w:sz w:val="18"/>
                <w:szCs w:val="18"/>
              </w:rPr>
            </w:pPr>
            <w:r w:rsidRPr="00EE43C6">
              <w:rPr>
                <w:rFonts w:cs="Wingdings"/>
                <w:sz w:val="18"/>
                <w:szCs w:val="18"/>
              </w:rPr>
              <w:t>400</w:t>
            </w:r>
          </w:p>
        </w:tc>
        <w:tc>
          <w:tcPr>
            <w:tcW w:w="1117" w:type="dxa"/>
            <w:vAlign w:val="center"/>
          </w:tcPr>
          <w:p w14:paraId="639939D4" w14:textId="6834D00B" w:rsidR="00044BC0" w:rsidRPr="00EE43C6" w:rsidRDefault="00BD0E46" w:rsidP="00B625EB">
            <w:pPr>
              <w:spacing w:before="0" w:after="0" w:line="240" w:lineRule="auto"/>
              <w:jc w:val="center"/>
              <w:rPr>
                <w:rFonts w:cs="Wingdings"/>
                <w:sz w:val="18"/>
                <w:szCs w:val="18"/>
              </w:rPr>
            </w:pPr>
            <w:r w:rsidRPr="00EE43C6">
              <w:rPr>
                <w:rFonts w:cs="Wingdings"/>
                <w:sz w:val="18"/>
                <w:szCs w:val="18"/>
              </w:rPr>
              <w:t>38</w:t>
            </w:r>
            <w:r w:rsidR="00811C27" w:rsidRPr="00EE43C6">
              <w:rPr>
                <w:rFonts w:cs="Wingdings"/>
                <w:sz w:val="18"/>
                <w:szCs w:val="18"/>
              </w:rPr>
              <w:t>.01</w:t>
            </w:r>
          </w:p>
        </w:tc>
      </w:tr>
      <w:tr w:rsidR="00044BC0" w:rsidRPr="00EE43C6" w14:paraId="79D42F1F" w14:textId="77777777" w:rsidTr="00CE4A51">
        <w:trPr>
          <w:trHeight w:val="284"/>
        </w:trPr>
        <w:tc>
          <w:tcPr>
            <w:tcW w:w="5748" w:type="dxa"/>
            <w:vAlign w:val="center"/>
          </w:tcPr>
          <w:p w14:paraId="76E00032" w14:textId="6315C5BE" w:rsidR="00044BC0" w:rsidRPr="00EE43C6" w:rsidRDefault="00115219" w:rsidP="00CE4A51">
            <w:pPr>
              <w:spacing w:before="0" w:after="0" w:line="240" w:lineRule="auto"/>
              <w:jc w:val="left"/>
              <w:rPr>
                <w:rFonts w:cs="Wingdings"/>
                <w:sz w:val="18"/>
                <w:szCs w:val="18"/>
              </w:rPr>
            </w:pPr>
            <w:r w:rsidRPr="00EE43C6">
              <w:rPr>
                <w:rFonts w:cs="Wingdings"/>
                <w:sz w:val="18"/>
                <w:szCs w:val="18"/>
              </w:rPr>
              <w:t>Pulses Drying, Screening and Packaging</w:t>
            </w:r>
          </w:p>
        </w:tc>
        <w:tc>
          <w:tcPr>
            <w:tcW w:w="1183" w:type="dxa"/>
            <w:vAlign w:val="center"/>
          </w:tcPr>
          <w:p w14:paraId="0A74814B" w14:textId="6F7B4A40" w:rsidR="00044BC0" w:rsidRPr="00EE43C6" w:rsidRDefault="0080701D" w:rsidP="00B625EB">
            <w:pPr>
              <w:spacing w:before="0" w:after="0" w:line="240" w:lineRule="auto"/>
              <w:jc w:val="center"/>
              <w:rPr>
                <w:rFonts w:cs="Wingdings"/>
                <w:sz w:val="18"/>
                <w:szCs w:val="18"/>
              </w:rPr>
            </w:pPr>
            <w:r w:rsidRPr="00EE43C6">
              <w:rPr>
                <w:rFonts w:cs="Wingdings"/>
                <w:sz w:val="18"/>
                <w:szCs w:val="18"/>
              </w:rPr>
              <w:t>180</w:t>
            </w:r>
          </w:p>
        </w:tc>
        <w:tc>
          <w:tcPr>
            <w:tcW w:w="1012" w:type="dxa"/>
            <w:vAlign w:val="center"/>
          </w:tcPr>
          <w:p w14:paraId="3290C8ED" w14:textId="4F573938" w:rsidR="00044BC0" w:rsidRPr="00EE43C6" w:rsidRDefault="00E60E8A" w:rsidP="00B625EB">
            <w:pPr>
              <w:spacing w:before="0" w:after="0" w:line="240" w:lineRule="auto"/>
              <w:jc w:val="center"/>
              <w:rPr>
                <w:rFonts w:cs="Wingdings"/>
                <w:sz w:val="18"/>
                <w:szCs w:val="18"/>
              </w:rPr>
            </w:pPr>
            <w:r w:rsidRPr="00EE43C6">
              <w:rPr>
                <w:rFonts w:cs="Wingdings"/>
                <w:sz w:val="18"/>
                <w:szCs w:val="18"/>
              </w:rPr>
              <w:t>100</w:t>
            </w:r>
          </w:p>
        </w:tc>
        <w:tc>
          <w:tcPr>
            <w:tcW w:w="1117" w:type="dxa"/>
            <w:vAlign w:val="center"/>
          </w:tcPr>
          <w:p w14:paraId="77790C27" w14:textId="2465D5E4" w:rsidR="00044BC0" w:rsidRPr="00EE43C6" w:rsidRDefault="00BD0E46" w:rsidP="00B625EB">
            <w:pPr>
              <w:spacing w:before="0" w:after="0" w:line="240" w:lineRule="auto"/>
              <w:jc w:val="center"/>
              <w:rPr>
                <w:rFonts w:cs="Wingdings"/>
                <w:sz w:val="18"/>
                <w:szCs w:val="18"/>
              </w:rPr>
            </w:pPr>
            <w:r w:rsidRPr="00EE43C6">
              <w:rPr>
                <w:rFonts w:cs="Wingdings"/>
                <w:sz w:val="18"/>
                <w:szCs w:val="18"/>
              </w:rPr>
              <w:t>3</w:t>
            </w:r>
            <w:r w:rsidR="00D7208F" w:rsidRPr="00EE43C6">
              <w:rPr>
                <w:rFonts w:cs="Wingdings"/>
                <w:sz w:val="18"/>
                <w:szCs w:val="18"/>
              </w:rPr>
              <w:t>2.58</w:t>
            </w:r>
          </w:p>
        </w:tc>
      </w:tr>
      <w:tr w:rsidR="00044BC0" w:rsidRPr="00EE43C6" w14:paraId="72CF1112" w14:textId="77777777" w:rsidTr="00CE4A51">
        <w:trPr>
          <w:trHeight w:val="284"/>
        </w:trPr>
        <w:tc>
          <w:tcPr>
            <w:tcW w:w="5748" w:type="dxa"/>
            <w:vAlign w:val="center"/>
          </w:tcPr>
          <w:p w14:paraId="5C20BB4F" w14:textId="07EEDD69" w:rsidR="00044BC0" w:rsidRPr="00EE43C6" w:rsidRDefault="001C5F3D" w:rsidP="00CE4A51">
            <w:pPr>
              <w:spacing w:before="0" w:after="0" w:line="240" w:lineRule="auto"/>
              <w:jc w:val="left"/>
              <w:rPr>
                <w:rFonts w:cs="Wingdings"/>
                <w:sz w:val="18"/>
                <w:szCs w:val="18"/>
              </w:rPr>
            </w:pPr>
            <w:r w:rsidRPr="00EE43C6">
              <w:rPr>
                <w:rFonts w:cs="Wingdings"/>
                <w:sz w:val="18"/>
                <w:szCs w:val="18"/>
              </w:rPr>
              <w:t>Tobacco Processing</w:t>
            </w:r>
          </w:p>
        </w:tc>
        <w:tc>
          <w:tcPr>
            <w:tcW w:w="1183" w:type="dxa"/>
            <w:vAlign w:val="center"/>
          </w:tcPr>
          <w:p w14:paraId="6EBEBA0F" w14:textId="7DE2116A" w:rsidR="00044BC0" w:rsidRPr="00EE43C6" w:rsidRDefault="0080701D" w:rsidP="00B625EB">
            <w:pPr>
              <w:spacing w:before="0" w:after="0" w:line="240" w:lineRule="auto"/>
              <w:jc w:val="center"/>
              <w:rPr>
                <w:rFonts w:cs="Wingdings"/>
                <w:sz w:val="18"/>
                <w:szCs w:val="18"/>
              </w:rPr>
            </w:pPr>
            <w:r w:rsidRPr="00EE43C6">
              <w:rPr>
                <w:rFonts w:cs="Wingdings"/>
                <w:sz w:val="18"/>
                <w:szCs w:val="18"/>
              </w:rPr>
              <w:t>150</w:t>
            </w:r>
          </w:p>
        </w:tc>
        <w:tc>
          <w:tcPr>
            <w:tcW w:w="1012" w:type="dxa"/>
            <w:vAlign w:val="center"/>
          </w:tcPr>
          <w:p w14:paraId="25F4D506" w14:textId="54199B02" w:rsidR="00044BC0" w:rsidRPr="00EE43C6" w:rsidRDefault="00E60E8A" w:rsidP="00B625EB">
            <w:pPr>
              <w:spacing w:before="0" w:after="0" w:line="240" w:lineRule="auto"/>
              <w:jc w:val="center"/>
              <w:rPr>
                <w:rFonts w:cs="Wingdings"/>
                <w:sz w:val="18"/>
                <w:szCs w:val="18"/>
              </w:rPr>
            </w:pPr>
            <w:r w:rsidRPr="00EE43C6">
              <w:rPr>
                <w:rFonts w:cs="Wingdings"/>
                <w:sz w:val="18"/>
                <w:szCs w:val="18"/>
              </w:rPr>
              <w:t>20</w:t>
            </w:r>
          </w:p>
        </w:tc>
        <w:tc>
          <w:tcPr>
            <w:tcW w:w="1117" w:type="dxa"/>
            <w:vAlign w:val="center"/>
          </w:tcPr>
          <w:p w14:paraId="3C9D1F85" w14:textId="2553F359" w:rsidR="00044BC0" w:rsidRPr="00EE43C6" w:rsidRDefault="00BD0E46" w:rsidP="00B625EB">
            <w:pPr>
              <w:spacing w:before="0" w:after="0" w:line="240" w:lineRule="auto"/>
              <w:jc w:val="center"/>
              <w:rPr>
                <w:rFonts w:cs="Wingdings"/>
                <w:sz w:val="18"/>
                <w:szCs w:val="18"/>
              </w:rPr>
            </w:pPr>
            <w:r w:rsidRPr="00EE43C6">
              <w:rPr>
                <w:rFonts w:cs="Wingdings"/>
                <w:sz w:val="18"/>
                <w:szCs w:val="18"/>
              </w:rPr>
              <w:t>27</w:t>
            </w:r>
            <w:r w:rsidR="00E02F52" w:rsidRPr="00EE43C6">
              <w:rPr>
                <w:rFonts w:cs="Wingdings"/>
                <w:sz w:val="18"/>
                <w:szCs w:val="18"/>
              </w:rPr>
              <w:t>.15</w:t>
            </w:r>
          </w:p>
        </w:tc>
      </w:tr>
      <w:tr w:rsidR="00044BC0" w:rsidRPr="00EE43C6" w14:paraId="4B459EEC" w14:textId="77777777" w:rsidTr="00CE4A51">
        <w:trPr>
          <w:trHeight w:val="284"/>
        </w:trPr>
        <w:tc>
          <w:tcPr>
            <w:tcW w:w="5748" w:type="dxa"/>
            <w:vAlign w:val="center"/>
          </w:tcPr>
          <w:p w14:paraId="0CCEE4FD" w14:textId="7D3476DF" w:rsidR="00044BC0" w:rsidRPr="00EE43C6" w:rsidRDefault="00002624" w:rsidP="00CE4A51">
            <w:pPr>
              <w:spacing w:before="0" w:after="0" w:line="240" w:lineRule="auto"/>
              <w:jc w:val="left"/>
              <w:rPr>
                <w:rFonts w:cs="Wingdings"/>
                <w:sz w:val="18"/>
                <w:szCs w:val="18"/>
              </w:rPr>
            </w:pPr>
            <w:r w:rsidRPr="00EE43C6">
              <w:rPr>
                <w:rFonts w:cs="Wingdings"/>
                <w:sz w:val="18"/>
                <w:szCs w:val="18"/>
              </w:rPr>
              <w:t>Pasteurized Liquid Egg Production (300 ton</w:t>
            </w:r>
            <w:r w:rsidR="001932B8" w:rsidRPr="00EE43C6">
              <w:rPr>
                <w:rFonts w:cs="Wingdings"/>
                <w:sz w:val="18"/>
                <w:szCs w:val="18"/>
              </w:rPr>
              <w:t>ne</w:t>
            </w:r>
            <w:r w:rsidRPr="00EE43C6">
              <w:rPr>
                <w:rFonts w:cs="Wingdings"/>
                <w:sz w:val="18"/>
                <w:szCs w:val="18"/>
              </w:rPr>
              <w:t>s/day)</w:t>
            </w:r>
          </w:p>
        </w:tc>
        <w:tc>
          <w:tcPr>
            <w:tcW w:w="1183" w:type="dxa"/>
            <w:vAlign w:val="center"/>
          </w:tcPr>
          <w:p w14:paraId="783384B7" w14:textId="0386B34C" w:rsidR="00044BC0" w:rsidRPr="00EE43C6" w:rsidRDefault="0080701D" w:rsidP="00B625EB">
            <w:pPr>
              <w:spacing w:before="0" w:after="0" w:line="240" w:lineRule="auto"/>
              <w:jc w:val="center"/>
              <w:rPr>
                <w:rFonts w:cs="Wingdings"/>
                <w:sz w:val="18"/>
                <w:szCs w:val="18"/>
              </w:rPr>
            </w:pPr>
            <w:r w:rsidRPr="00EE43C6">
              <w:rPr>
                <w:rFonts w:cs="Wingdings"/>
                <w:sz w:val="18"/>
                <w:szCs w:val="18"/>
              </w:rPr>
              <w:t>150</w:t>
            </w:r>
          </w:p>
        </w:tc>
        <w:tc>
          <w:tcPr>
            <w:tcW w:w="1012" w:type="dxa"/>
            <w:vAlign w:val="center"/>
          </w:tcPr>
          <w:p w14:paraId="6B775345" w14:textId="77F46363" w:rsidR="00044BC0" w:rsidRPr="00EE43C6" w:rsidRDefault="00E60E8A" w:rsidP="00B625EB">
            <w:pPr>
              <w:spacing w:before="0" w:after="0" w:line="240" w:lineRule="auto"/>
              <w:jc w:val="center"/>
              <w:rPr>
                <w:rFonts w:cs="Wingdings"/>
                <w:sz w:val="18"/>
                <w:szCs w:val="18"/>
              </w:rPr>
            </w:pPr>
            <w:r w:rsidRPr="00EE43C6">
              <w:rPr>
                <w:rFonts w:cs="Wingdings"/>
                <w:sz w:val="18"/>
                <w:szCs w:val="18"/>
              </w:rPr>
              <w:t>50</w:t>
            </w:r>
          </w:p>
        </w:tc>
        <w:tc>
          <w:tcPr>
            <w:tcW w:w="1117" w:type="dxa"/>
            <w:vAlign w:val="center"/>
          </w:tcPr>
          <w:p w14:paraId="5BC26265" w14:textId="7B2E39E5" w:rsidR="00044BC0" w:rsidRPr="00EE43C6" w:rsidRDefault="00BD0E46" w:rsidP="00B625EB">
            <w:pPr>
              <w:spacing w:before="0" w:after="0" w:line="240" w:lineRule="auto"/>
              <w:jc w:val="center"/>
              <w:rPr>
                <w:rFonts w:cs="Wingdings"/>
                <w:sz w:val="18"/>
                <w:szCs w:val="18"/>
              </w:rPr>
            </w:pPr>
            <w:r w:rsidRPr="00EE43C6">
              <w:rPr>
                <w:rFonts w:cs="Wingdings"/>
                <w:sz w:val="18"/>
                <w:szCs w:val="18"/>
              </w:rPr>
              <w:t>27</w:t>
            </w:r>
            <w:r w:rsidR="00E02F52" w:rsidRPr="00EE43C6">
              <w:rPr>
                <w:rFonts w:cs="Wingdings"/>
                <w:sz w:val="18"/>
                <w:szCs w:val="18"/>
              </w:rPr>
              <w:t>.15</w:t>
            </w:r>
          </w:p>
        </w:tc>
      </w:tr>
      <w:tr w:rsidR="00044BC0" w:rsidRPr="00EE43C6" w14:paraId="2C81766F" w14:textId="77777777" w:rsidTr="00CE4A51">
        <w:trPr>
          <w:trHeight w:val="284"/>
        </w:trPr>
        <w:tc>
          <w:tcPr>
            <w:tcW w:w="5748" w:type="dxa"/>
            <w:vAlign w:val="center"/>
          </w:tcPr>
          <w:p w14:paraId="48EEA298" w14:textId="22CAD932" w:rsidR="00044BC0" w:rsidRPr="00EE43C6" w:rsidRDefault="00002624" w:rsidP="00CE4A51">
            <w:pPr>
              <w:spacing w:before="0" w:after="0" w:line="240" w:lineRule="auto"/>
              <w:jc w:val="left"/>
              <w:rPr>
                <w:rFonts w:cs="Wingdings"/>
                <w:sz w:val="18"/>
                <w:szCs w:val="18"/>
              </w:rPr>
            </w:pPr>
            <w:r w:rsidRPr="00EE43C6">
              <w:rPr>
                <w:rFonts w:cs="Wingdings"/>
                <w:sz w:val="18"/>
                <w:szCs w:val="18"/>
              </w:rPr>
              <w:t>Fruit Juice Production, Fruit Extracts (Vinegar, Molasses, Pomegranate Syrup, Lemon Sauce) Processing</w:t>
            </w:r>
          </w:p>
        </w:tc>
        <w:tc>
          <w:tcPr>
            <w:tcW w:w="1183" w:type="dxa"/>
            <w:vAlign w:val="center"/>
          </w:tcPr>
          <w:p w14:paraId="05E0796A" w14:textId="6A48FA67" w:rsidR="00044BC0" w:rsidRPr="00EE43C6" w:rsidRDefault="0080701D" w:rsidP="00B625EB">
            <w:pPr>
              <w:spacing w:before="0" w:after="0" w:line="240" w:lineRule="auto"/>
              <w:jc w:val="center"/>
              <w:rPr>
                <w:rFonts w:cs="Wingdings"/>
                <w:sz w:val="18"/>
                <w:szCs w:val="18"/>
              </w:rPr>
            </w:pPr>
            <w:r w:rsidRPr="00EE43C6">
              <w:rPr>
                <w:rFonts w:cs="Wingdings"/>
                <w:sz w:val="18"/>
                <w:szCs w:val="18"/>
              </w:rPr>
              <w:t>180</w:t>
            </w:r>
          </w:p>
        </w:tc>
        <w:tc>
          <w:tcPr>
            <w:tcW w:w="1012" w:type="dxa"/>
            <w:vAlign w:val="center"/>
          </w:tcPr>
          <w:p w14:paraId="0F9E82F8" w14:textId="5F26B0C2" w:rsidR="00044BC0" w:rsidRPr="00EE43C6" w:rsidRDefault="00E60E8A" w:rsidP="00B625EB">
            <w:pPr>
              <w:spacing w:before="0" w:after="0" w:line="240" w:lineRule="auto"/>
              <w:jc w:val="center"/>
              <w:rPr>
                <w:rFonts w:cs="Wingdings"/>
                <w:sz w:val="18"/>
                <w:szCs w:val="18"/>
              </w:rPr>
            </w:pPr>
            <w:r w:rsidRPr="00EE43C6">
              <w:rPr>
                <w:rFonts w:cs="Wingdings"/>
                <w:sz w:val="18"/>
                <w:szCs w:val="18"/>
              </w:rPr>
              <w:t>1,250</w:t>
            </w:r>
          </w:p>
        </w:tc>
        <w:tc>
          <w:tcPr>
            <w:tcW w:w="1117" w:type="dxa"/>
            <w:vAlign w:val="center"/>
          </w:tcPr>
          <w:p w14:paraId="4F13250E" w14:textId="45CF7523" w:rsidR="00044BC0" w:rsidRPr="00EE43C6" w:rsidRDefault="00741847" w:rsidP="00B625EB">
            <w:pPr>
              <w:spacing w:before="0" w:after="0" w:line="240" w:lineRule="auto"/>
              <w:jc w:val="center"/>
              <w:rPr>
                <w:rFonts w:cs="Wingdings"/>
                <w:sz w:val="18"/>
                <w:szCs w:val="18"/>
              </w:rPr>
            </w:pPr>
            <w:r w:rsidRPr="00EE43C6">
              <w:rPr>
                <w:rFonts w:cs="Wingdings"/>
                <w:sz w:val="18"/>
                <w:szCs w:val="18"/>
              </w:rPr>
              <w:t>3</w:t>
            </w:r>
            <w:r w:rsidR="00E02F52" w:rsidRPr="00EE43C6">
              <w:rPr>
                <w:rFonts w:cs="Wingdings"/>
                <w:sz w:val="18"/>
                <w:szCs w:val="18"/>
              </w:rPr>
              <w:t>2.58</w:t>
            </w:r>
          </w:p>
        </w:tc>
      </w:tr>
      <w:tr w:rsidR="00044BC0" w:rsidRPr="00EE43C6" w14:paraId="09481176" w14:textId="77777777" w:rsidTr="00CE4A51">
        <w:trPr>
          <w:trHeight w:val="284"/>
        </w:trPr>
        <w:tc>
          <w:tcPr>
            <w:tcW w:w="5748" w:type="dxa"/>
            <w:vAlign w:val="center"/>
          </w:tcPr>
          <w:p w14:paraId="7DA94CD3" w14:textId="02407707" w:rsidR="00044BC0" w:rsidRPr="00EE43C6" w:rsidRDefault="004B177C" w:rsidP="00CE4A51">
            <w:pPr>
              <w:spacing w:before="0" w:after="0" w:line="240" w:lineRule="auto"/>
              <w:jc w:val="left"/>
              <w:rPr>
                <w:rFonts w:cs="Wingdings"/>
                <w:sz w:val="18"/>
                <w:szCs w:val="18"/>
              </w:rPr>
            </w:pPr>
            <w:r w:rsidRPr="00EE43C6">
              <w:rPr>
                <w:rFonts w:cs="Wingdings"/>
                <w:sz w:val="18"/>
                <w:szCs w:val="18"/>
              </w:rPr>
              <w:lastRenderedPageBreak/>
              <w:t>Fisheries Processing, Packaging and Storage</w:t>
            </w:r>
          </w:p>
        </w:tc>
        <w:tc>
          <w:tcPr>
            <w:tcW w:w="1183" w:type="dxa"/>
            <w:vAlign w:val="center"/>
          </w:tcPr>
          <w:p w14:paraId="62F525F3" w14:textId="6CAE99E6" w:rsidR="00044BC0" w:rsidRPr="00EE43C6" w:rsidRDefault="0080701D" w:rsidP="00B625EB">
            <w:pPr>
              <w:spacing w:before="0" w:after="0" w:line="240" w:lineRule="auto"/>
              <w:jc w:val="center"/>
              <w:rPr>
                <w:rFonts w:cs="Wingdings"/>
                <w:sz w:val="18"/>
                <w:szCs w:val="18"/>
              </w:rPr>
            </w:pPr>
            <w:r w:rsidRPr="00EE43C6">
              <w:rPr>
                <w:rFonts w:cs="Wingdings"/>
                <w:sz w:val="18"/>
                <w:szCs w:val="18"/>
              </w:rPr>
              <w:t>180</w:t>
            </w:r>
          </w:p>
        </w:tc>
        <w:tc>
          <w:tcPr>
            <w:tcW w:w="1012" w:type="dxa"/>
            <w:vAlign w:val="center"/>
          </w:tcPr>
          <w:p w14:paraId="71BDB94F" w14:textId="3CB40511" w:rsidR="00044BC0" w:rsidRPr="00EE43C6" w:rsidRDefault="00E60E8A" w:rsidP="00B625EB">
            <w:pPr>
              <w:spacing w:before="0" w:after="0" w:line="240" w:lineRule="auto"/>
              <w:jc w:val="center"/>
              <w:rPr>
                <w:rFonts w:cs="Wingdings"/>
                <w:sz w:val="18"/>
                <w:szCs w:val="18"/>
              </w:rPr>
            </w:pPr>
            <w:r w:rsidRPr="00EE43C6">
              <w:rPr>
                <w:rFonts w:cs="Wingdings"/>
                <w:sz w:val="18"/>
                <w:szCs w:val="18"/>
              </w:rPr>
              <w:t>300</w:t>
            </w:r>
          </w:p>
        </w:tc>
        <w:tc>
          <w:tcPr>
            <w:tcW w:w="1117" w:type="dxa"/>
            <w:vAlign w:val="center"/>
          </w:tcPr>
          <w:p w14:paraId="167B0A55" w14:textId="74ECE511" w:rsidR="00044BC0" w:rsidRPr="00EE43C6" w:rsidRDefault="00741847" w:rsidP="00B625EB">
            <w:pPr>
              <w:spacing w:before="0" w:after="0" w:line="240" w:lineRule="auto"/>
              <w:jc w:val="center"/>
              <w:rPr>
                <w:rFonts w:cs="Wingdings"/>
                <w:sz w:val="18"/>
                <w:szCs w:val="18"/>
              </w:rPr>
            </w:pPr>
            <w:r w:rsidRPr="00EE43C6">
              <w:rPr>
                <w:rFonts w:cs="Wingdings"/>
                <w:sz w:val="18"/>
                <w:szCs w:val="18"/>
              </w:rPr>
              <w:t>3</w:t>
            </w:r>
            <w:r w:rsidR="00E02F52" w:rsidRPr="00EE43C6">
              <w:rPr>
                <w:rFonts w:cs="Wingdings"/>
                <w:sz w:val="18"/>
                <w:szCs w:val="18"/>
              </w:rPr>
              <w:t>2.58</w:t>
            </w:r>
          </w:p>
        </w:tc>
      </w:tr>
      <w:tr w:rsidR="00803E4B" w:rsidRPr="00EE43C6" w14:paraId="1326132C" w14:textId="77777777" w:rsidTr="00CE4A51">
        <w:trPr>
          <w:trHeight w:val="284"/>
        </w:trPr>
        <w:tc>
          <w:tcPr>
            <w:tcW w:w="5748" w:type="dxa"/>
            <w:vAlign w:val="center"/>
          </w:tcPr>
          <w:p w14:paraId="3D0795B5" w14:textId="6D022450" w:rsidR="00803E4B" w:rsidRPr="00EE43C6" w:rsidRDefault="00803E4B" w:rsidP="00CE4A51">
            <w:pPr>
              <w:spacing w:before="0" w:after="0" w:line="240" w:lineRule="auto"/>
              <w:jc w:val="left"/>
              <w:rPr>
                <w:rFonts w:cs="Wingdings"/>
                <w:sz w:val="18"/>
                <w:szCs w:val="18"/>
              </w:rPr>
            </w:pPr>
            <w:r w:rsidRPr="00EE43C6">
              <w:rPr>
                <w:rFonts w:cs="Wingdings"/>
                <w:sz w:val="18"/>
                <w:szCs w:val="18"/>
              </w:rPr>
              <w:t>Processing of Medicinal and Aromatic Plants Production of Herbal Cosmetics</w:t>
            </w:r>
          </w:p>
        </w:tc>
        <w:tc>
          <w:tcPr>
            <w:tcW w:w="1183" w:type="dxa"/>
            <w:vAlign w:val="center"/>
          </w:tcPr>
          <w:p w14:paraId="67070FBA" w14:textId="565E0F1A" w:rsidR="00803E4B" w:rsidRPr="00EE43C6" w:rsidRDefault="0080701D" w:rsidP="00B625EB">
            <w:pPr>
              <w:spacing w:before="0" w:after="0" w:line="240" w:lineRule="auto"/>
              <w:jc w:val="center"/>
              <w:rPr>
                <w:rFonts w:cs="Wingdings"/>
                <w:sz w:val="18"/>
                <w:szCs w:val="18"/>
              </w:rPr>
            </w:pPr>
            <w:r w:rsidRPr="00EE43C6">
              <w:rPr>
                <w:rFonts w:cs="Wingdings"/>
                <w:sz w:val="18"/>
                <w:szCs w:val="18"/>
              </w:rPr>
              <w:t>180</w:t>
            </w:r>
          </w:p>
        </w:tc>
        <w:tc>
          <w:tcPr>
            <w:tcW w:w="1012" w:type="dxa"/>
            <w:vAlign w:val="center"/>
          </w:tcPr>
          <w:p w14:paraId="14F33DA5" w14:textId="05F798F0" w:rsidR="00803E4B" w:rsidRPr="00EE43C6" w:rsidRDefault="00E60E8A" w:rsidP="00B625EB">
            <w:pPr>
              <w:spacing w:before="0" w:after="0" w:line="240" w:lineRule="auto"/>
              <w:jc w:val="center"/>
              <w:rPr>
                <w:rFonts w:cs="Wingdings"/>
                <w:sz w:val="18"/>
                <w:szCs w:val="18"/>
              </w:rPr>
            </w:pPr>
            <w:r w:rsidRPr="00EE43C6">
              <w:rPr>
                <w:rFonts w:cs="Wingdings"/>
                <w:sz w:val="18"/>
                <w:szCs w:val="18"/>
              </w:rPr>
              <w:t>50</w:t>
            </w:r>
          </w:p>
        </w:tc>
        <w:tc>
          <w:tcPr>
            <w:tcW w:w="1117" w:type="dxa"/>
            <w:vAlign w:val="center"/>
          </w:tcPr>
          <w:p w14:paraId="5290AC12" w14:textId="29D18D65" w:rsidR="00803E4B" w:rsidRPr="00EE43C6" w:rsidRDefault="00741847" w:rsidP="00B625EB">
            <w:pPr>
              <w:spacing w:before="0" w:after="0" w:line="240" w:lineRule="auto"/>
              <w:jc w:val="center"/>
              <w:rPr>
                <w:rFonts w:cs="Wingdings"/>
                <w:sz w:val="18"/>
                <w:szCs w:val="18"/>
              </w:rPr>
            </w:pPr>
            <w:r w:rsidRPr="00EE43C6">
              <w:rPr>
                <w:rFonts w:cs="Wingdings"/>
                <w:sz w:val="18"/>
                <w:szCs w:val="18"/>
              </w:rPr>
              <w:t>3</w:t>
            </w:r>
            <w:r w:rsidR="00E02F52" w:rsidRPr="00EE43C6">
              <w:rPr>
                <w:rFonts w:cs="Wingdings"/>
                <w:sz w:val="18"/>
                <w:szCs w:val="18"/>
              </w:rPr>
              <w:t>2.58</w:t>
            </w:r>
          </w:p>
        </w:tc>
      </w:tr>
      <w:tr w:rsidR="0074610E" w:rsidRPr="00EE43C6" w14:paraId="77335A6D" w14:textId="77777777" w:rsidTr="00CE4A51">
        <w:trPr>
          <w:trHeight w:val="284"/>
        </w:trPr>
        <w:tc>
          <w:tcPr>
            <w:tcW w:w="5748" w:type="dxa"/>
            <w:vAlign w:val="center"/>
          </w:tcPr>
          <w:p w14:paraId="1C67EE31" w14:textId="44307937" w:rsidR="0074610E" w:rsidRPr="00EE43C6" w:rsidRDefault="0074610E" w:rsidP="00CE4A51">
            <w:pPr>
              <w:spacing w:before="0" w:after="0" w:line="240" w:lineRule="auto"/>
              <w:jc w:val="left"/>
              <w:rPr>
                <w:rFonts w:cs="Wingdings"/>
                <w:sz w:val="18"/>
                <w:szCs w:val="18"/>
              </w:rPr>
            </w:pPr>
            <w:r w:rsidRPr="00EE43C6">
              <w:rPr>
                <w:rFonts w:cs="Wingdings"/>
                <w:sz w:val="18"/>
                <w:szCs w:val="18"/>
              </w:rPr>
              <w:t>Canned Food Production</w:t>
            </w:r>
          </w:p>
        </w:tc>
        <w:tc>
          <w:tcPr>
            <w:tcW w:w="1183" w:type="dxa"/>
            <w:vAlign w:val="center"/>
          </w:tcPr>
          <w:p w14:paraId="5A298D44" w14:textId="3D5BDBC2" w:rsidR="0074610E" w:rsidRPr="00EE43C6" w:rsidRDefault="0080701D" w:rsidP="00B625EB">
            <w:pPr>
              <w:spacing w:before="0" w:after="0" w:line="240" w:lineRule="auto"/>
              <w:jc w:val="center"/>
              <w:rPr>
                <w:rFonts w:cs="Wingdings"/>
                <w:sz w:val="18"/>
                <w:szCs w:val="18"/>
              </w:rPr>
            </w:pPr>
            <w:r w:rsidRPr="00EE43C6">
              <w:rPr>
                <w:rFonts w:cs="Wingdings"/>
                <w:sz w:val="18"/>
                <w:szCs w:val="18"/>
              </w:rPr>
              <w:t>140</w:t>
            </w:r>
          </w:p>
        </w:tc>
        <w:tc>
          <w:tcPr>
            <w:tcW w:w="1012" w:type="dxa"/>
            <w:vAlign w:val="center"/>
          </w:tcPr>
          <w:p w14:paraId="071D3DC7" w14:textId="1646D98B" w:rsidR="0074610E" w:rsidRPr="00EE43C6" w:rsidRDefault="00E60E8A" w:rsidP="00B625EB">
            <w:pPr>
              <w:spacing w:before="0" w:after="0" w:line="240" w:lineRule="auto"/>
              <w:jc w:val="center"/>
              <w:rPr>
                <w:rFonts w:cs="Wingdings"/>
                <w:sz w:val="18"/>
                <w:szCs w:val="18"/>
              </w:rPr>
            </w:pPr>
            <w:r w:rsidRPr="00EE43C6">
              <w:rPr>
                <w:rFonts w:cs="Wingdings"/>
                <w:sz w:val="18"/>
                <w:szCs w:val="18"/>
              </w:rPr>
              <w:t>1,50</w:t>
            </w:r>
            <w:r w:rsidR="00360327" w:rsidRPr="00EE43C6">
              <w:rPr>
                <w:rFonts w:cs="Wingdings"/>
                <w:sz w:val="18"/>
                <w:szCs w:val="18"/>
              </w:rPr>
              <w:t>6.5</w:t>
            </w:r>
          </w:p>
        </w:tc>
        <w:tc>
          <w:tcPr>
            <w:tcW w:w="1117" w:type="dxa"/>
            <w:vAlign w:val="center"/>
          </w:tcPr>
          <w:p w14:paraId="07D7A721" w14:textId="4AD7FEF2" w:rsidR="0074610E" w:rsidRPr="00EE43C6" w:rsidRDefault="00BC055D" w:rsidP="00B625EB">
            <w:pPr>
              <w:spacing w:before="0" w:after="0" w:line="240" w:lineRule="auto"/>
              <w:jc w:val="center"/>
              <w:rPr>
                <w:rFonts w:cs="Wingdings"/>
                <w:sz w:val="18"/>
                <w:szCs w:val="18"/>
              </w:rPr>
            </w:pPr>
            <w:r w:rsidRPr="00EE43C6">
              <w:rPr>
                <w:rFonts w:cs="Wingdings"/>
                <w:sz w:val="18"/>
                <w:szCs w:val="18"/>
              </w:rPr>
              <w:t>25.34</w:t>
            </w:r>
          </w:p>
        </w:tc>
      </w:tr>
      <w:tr w:rsidR="0074610E" w:rsidRPr="00EE43C6" w14:paraId="519D911C" w14:textId="77777777" w:rsidTr="00CE4A51">
        <w:trPr>
          <w:trHeight w:val="284"/>
        </w:trPr>
        <w:tc>
          <w:tcPr>
            <w:tcW w:w="5748" w:type="dxa"/>
            <w:vAlign w:val="center"/>
          </w:tcPr>
          <w:p w14:paraId="521D94AA" w14:textId="387BF91A" w:rsidR="0074610E" w:rsidRPr="00EE43C6" w:rsidRDefault="00987666" w:rsidP="00CE4A51">
            <w:pPr>
              <w:spacing w:before="0" w:after="0" w:line="240" w:lineRule="auto"/>
              <w:jc w:val="left"/>
              <w:rPr>
                <w:rFonts w:cs="Wingdings"/>
                <w:sz w:val="18"/>
                <w:szCs w:val="18"/>
              </w:rPr>
            </w:pPr>
            <w:r w:rsidRPr="00EE43C6">
              <w:rPr>
                <w:rFonts w:cs="Wingdings"/>
                <w:sz w:val="18"/>
                <w:szCs w:val="18"/>
              </w:rPr>
              <w:t>Seed Screening, Processing and Packaging</w:t>
            </w:r>
          </w:p>
        </w:tc>
        <w:tc>
          <w:tcPr>
            <w:tcW w:w="1183" w:type="dxa"/>
            <w:vAlign w:val="center"/>
          </w:tcPr>
          <w:p w14:paraId="53DD204A" w14:textId="3C829FAD" w:rsidR="0074610E" w:rsidRPr="00EE43C6" w:rsidRDefault="0080701D" w:rsidP="00B625EB">
            <w:pPr>
              <w:spacing w:before="0" w:after="0" w:line="240" w:lineRule="auto"/>
              <w:jc w:val="center"/>
              <w:rPr>
                <w:rFonts w:cs="Wingdings"/>
                <w:sz w:val="18"/>
                <w:szCs w:val="18"/>
              </w:rPr>
            </w:pPr>
            <w:r w:rsidRPr="00EE43C6">
              <w:rPr>
                <w:rFonts w:cs="Wingdings"/>
                <w:sz w:val="18"/>
                <w:szCs w:val="18"/>
              </w:rPr>
              <w:t>120</w:t>
            </w:r>
          </w:p>
        </w:tc>
        <w:tc>
          <w:tcPr>
            <w:tcW w:w="1012" w:type="dxa"/>
            <w:vAlign w:val="center"/>
          </w:tcPr>
          <w:p w14:paraId="652C8B40" w14:textId="6F30019E" w:rsidR="0074610E" w:rsidRPr="00EE43C6" w:rsidRDefault="003502E5" w:rsidP="00B625EB">
            <w:pPr>
              <w:spacing w:before="0" w:after="0" w:line="240" w:lineRule="auto"/>
              <w:jc w:val="center"/>
              <w:rPr>
                <w:rFonts w:cs="Wingdings"/>
                <w:sz w:val="18"/>
                <w:szCs w:val="18"/>
              </w:rPr>
            </w:pPr>
            <w:r w:rsidRPr="00EE43C6">
              <w:rPr>
                <w:rFonts w:cs="Wingdings"/>
                <w:sz w:val="18"/>
                <w:szCs w:val="18"/>
              </w:rPr>
              <w:t>-</w:t>
            </w:r>
          </w:p>
        </w:tc>
        <w:tc>
          <w:tcPr>
            <w:tcW w:w="1117" w:type="dxa"/>
            <w:vAlign w:val="center"/>
          </w:tcPr>
          <w:p w14:paraId="78E70451" w14:textId="6A97C64C" w:rsidR="0074610E" w:rsidRPr="00EE43C6" w:rsidRDefault="00741847" w:rsidP="00B625EB">
            <w:pPr>
              <w:spacing w:before="0" w:after="0" w:line="240" w:lineRule="auto"/>
              <w:jc w:val="center"/>
              <w:rPr>
                <w:rFonts w:cs="Wingdings"/>
                <w:sz w:val="18"/>
                <w:szCs w:val="18"/>
              </w:rPr>
            </w:pPr>
            <w:r w:rsidRPr="00EE43C6">
              <w:rPr>
                <w:rFonts w:cs="Wingdings"/>
                <w:sz w:val="18"/>
                <w:szCs w:val="18"/>
              </w:rPr>
              <w:t>2</w:t>
            </w:r>
            <w:r w:rsidR="0048459D" w:rsidRPr="00EE43C6">
              <w:rPr>
                <w:rFonts w:cs="Wingdings"/>
                <w:sz w:val="18"/>
                <w:szCs w:val="18"/>
              </w:rPr>
              <w:t>1.72</w:t>
            </w:r>
          </w:p>
        </w:tc>
      </w:tr>
      <w:tr w:rsidR="002A52A7" w:rsidRPr="00EE43C6" w14:paraId="68F0B8B8" w14:textId="77777777" w:rsidTr="00CE4A51">
        <w:trPr>
          <w:trHeight w:val="284"/>
        </w:trPr>
        <w:tc>
          <w:tcPr>
            <w:tcW w:w="5748" w:type="dxa"/>
            <w:vAlign w:val="center"/>
          </w:tcPr>
          <w:p w14:paraId="6FFD56CB" w14:textId="537065EB" w:rsidR="002A52A7" w:rsidRPr="00EE43C6" w:rsidRDefault="002A52A7" w:rsidP="00CE4A51">
            <w:pPr>
              <w:spacing w:before="0" w:after="0" w:line="240" w:lineRule="auto"/>
              <w:jc w:val="left"/>
              <w:rPr>
                <w:rFonts w:cs="Wingdings"/>
                <w:sz w:val="18"/>
                <w:szCs w:val="18"/>
              </w:rPr>
            </w:pPr>
            <w:r w:rsidRPr="00EE43C6">
              <w:rPr>
                <w:rFonts w:cs="Wingdings"/>
                <w:sz w:val="18"/>
                <w:szCs w:val="18"/>
              </w:rPr>
              <w:t>Agricultural Machinery Production</w:t>
            </w:r>
          </w:p>
        </w:tc>
        <w:tc>
          <w:tcPr>
            <w:tcW w:w="1183" w:type="dxa"/>
            <w:vAlign w:val="center"/>
          </w:tcPr>
          <w:p w14:paraId="64F7938B" w14:textId="4748BB06" w:rsidR="002A52A7" w:rsidRPr="00EE43C6" w:rsidRDefault="0080701D" w:rsidP="00B625EB">
            <w:pPr>
              <w:spacing w:before="0" w:after="0" w:line="240" w:lineRule="auto"/>
              <w:jc w:val="center"/>
              <w:rPr>
                <w:rFonts w:cs="Wingdings"/>
                <w:sz w:val="18"/>
                <w:szCs w:val="18"/>
              </w:rPr>
            </w:pPr>
            <w:r w:rsidRPr="00EE43C6">
              <w:rPr>
                <w:rFonts w:cs="Wingdings"/>
                <w:sz w:val="18"/>
                <w:szCs w:val="18"/>
              </w:rPr>
              <w:t>810</w:t>
            </w:r>
          </w:p>
        </w:tc>
        <w:tc>
          <w:tcPr>
            <w:tcW w:w="1012" w:type="dxa"/>
            <w:vAlign w:val="center"/>
          </w:tcPr>
          <w:p w14:paraId="08E4279F" w14:textId="1FBAF1CD" w:rsidR="002A52A7" w:rsidRPr="00EE43C6" w:rsidRDefault="003502E5" w:rsidP="00B625EB">
            <w:pPr>
              <w:spacing w:before="0" w:after="0" w:line="240" w:lineRule="auto"/>
              <w:jc w:val="center"/>
              <w:rPr>
                <w:rFonts w:cs="Wingdings"/>
                <w:sz w:val="18"/>
                <w:szCs w:val="18"/>
              </w:rPr>
            </w:pPr>
            <w:r w:rsidRPr="00EE43C6">
              <w:rPr>
                <w:rFonts w:cs="Wingdings"/>
                <w:sz w:val="18"/>
                <w:szCs w:val="18"/>
              </w:rPr>
              <w:t>-</w:t>
            </w:r>
          </w:p>
        </w:tc>
        <w:tc>
          <w:tcPr>
            <w:tcW w:w="1117" w:type="dxa"/>
            <w:vAlign w:val="center"/>
          </w:tcPr>
          <w:p w14:paraId="33D0B65C" w14:textId="35C3A0E4" w:rsidR="002A52A7" w:rsidRPr="00EE43C6" w:rsidRDefault="00741847" w:rsidP="00B625EB">
            <w:pPr>
              <w:spacing w:before="0" w:after="0" w:line="240" w:lineRule="auto"/>
              <w:jc w:val="center"/>
              <w:rPr>
                <w:rFonts w:cs="Wingdings"/>
                <w:sz w:val="18"/>
                <w:szCs w:val="18"/>
              </w:rPr>
            </w:pPr>
            <w:r w:rsidRPr="00EE43C6">
              <w:rPr>
                <w:rFonts w:cs="Wingdings"/>
                <w:sz w:val="18"/>
                <w:szCs w:val="18"/>
              </w:rPr>
              <w:t>14</w:t>
            </w:r>
            <w:r w:rsidR="00023680" w:rsidRPr="00EE43C6">
              <w:rPr>
                <w:rFonts w:cs="Wingdings"/>
                <w:sz w:val="18"/>
                <w:szCs w:val="18"/>
              </w:rPr>
              <w:t>6.61</w:t>
            </w:r>
          </w:p>
        </w:tc>
      </w:tr>
      <w:tr w:rsidR="002A52A7" w:rsidRPr="00EE43C6" w14:paraId="10BD0A7B" w14:textId="77777777" w:rsidTr="00CE4A51">
        <w:trPr>
          <w:trHeight w:val="284"/>
        </w:trPr>
        <w:tc>
          <w:tcPr>
            <w:tcW w:w="5748" w:type="dxa"/>
            <w:vAlign w:val="center"/>
          </w:tcPr>
          <w:p w14:paraId="0312C52A" w14:textId="30EFBF6C" w:rsidR="002A52A7" w:rsidRPr="00EE43C6" w:rsidRDefault="002A52A7" w:rsidP="00CE4A51">
            <w:pPr>
              <w:spacing w:before="0" w:after="0" w:line="240" w:lineRule="auto"/>
              <w:jc w:val="left"/>
              <w:rPr>
                <w:rFonts w:cs="Wingdings"/>
                <w:sz w:val="18"/>
                <w:szCs w:val="18"/>
              </w:rPr>
            </w:pPr>
            <w:r w:rsidRPr="00EE43C6">
              <w:rPr>
                <w:rFonts w:cs="Wingdings"/>
                <w:sz w:val="18"/>
                <w:szCs w:val="18"/>
              </w:rPr>
              <w:t>Other Personnel</w:t>
            </w:r>
          </w:p>
        </w:tc>
        <w:tc>
          <w:tcPr>
            <w:tcW w:w="1183" w:type="dxa"/>
            <w:vAlign w:val="center"/>
          </w:tcPr>
          <w:p w14:paraId="022297D4" w14:textId="4025F972" w:rsidR="002A52A7" w:rsidRPr="00EE43C6" w:rsidRDefault="00E60E8A" w:rsidP="00B625EB">
            <w:pPr>
              <w:spacing w:before="0" w:after="0" w:line="240" w:lineRule="auto"/>
              <w:jc w:val="center"/>
              <w:rPr>
                <w:rFonts w:cs="Wingdings"/>
                <w:sz w:val="18"/>
                <w:szCs w:val="18"/>
              </w:rPr>
            </w:pPr>
            <w:r w:rsidRPr="00EE43C6">
              <w:rPr>
                <w:rFonts w:cs="Wingdings"/>
                <w:sz w:val="18"/>
                <w:szCs w:val="18"/>
              </w:rPr>
              <w:t>600</w:t>
            </w:r>
          </w:p>
        </w:tc>
        <w:tc>
          <w:tcPr>
            <w:tcW w:w="1012" w:type="dxa"/>
            <w:vAlign w:val="center"/>
          </w:tcPr>
          <w:p w14:paraId="04276302" w14:textId="61DB126C" w:rsidR="002A52A7" w:rsidRPr="00EE43C6" w:rsidRDefault="003502E5" w:rsidP="00B625EB">
            <w:pPr>
              <w:spacing w:before="0" w:after="0" w:line="240" w:lineRule="auto"/>
              <w:jc w:val="center"/>
              <w:rPr>
                <w:rFonts w:cs="Wingdings"/>
                <w:sz w:val="18"/>
                <w:szCs w:val="18"/>
              </w:rPr>
            </w:pPr>
            <w:r w:rsidRPr="00EE43C6">
              <w:rPr>
                <w:rFonts w:cs="Wingdings"/>
                <w:sz w:val="18"/>
                <w:szCs w:val="18"/>
              </w:rPr>
              <w:t>-</w:t>
            </w:r>
          </w:p>
        </w:tc>
        <w:tc>
          <w:tcPr>
            <w:tcW w:w="1117" w:type="dxa"/>
            <w:vAlign w:val="center"/>
          </w:tcPr>
          <w:p w14:paraId="760DF6AC" w14:textId="600EB373" w:rsidR="002A52A7" w:rsidRPr="00EE43C6" w:rsidRDefault="00741847" w:rsidP="00B625EB">
            <w:pPr>
              <w:spacing w:before="0" w:after="0" w:line="240" w:lineRule="auto"/>
              <w:jc w:val="center"/>
              <w:rPr>
                <w:rFonts w:cs="Wingdings"/>
                <w:sz w:val="18"/>
                <w:szCs w:val="18"/>
              </w:rPr>
            </w:pPr>
            <w:r w:rsidRPr="00EE43C6">
              <w:rPr>
                <w:rFonts w:cs="Wingdings"/>
                <w:sz w:val="18"/>
                <w:szCs w:val="18"/>
              </w:rPr>
              <w:t>108</w:t>
            </w:r>
            <w:r w:rsidR="00343B4A" w:rsidRPr="00EE43C6">
              <w:rPr>
                <w:rFonts w:cs="Wingdings"/>
                <w:sz w:val="18"/>
                <w:szCs w:val="18"/>
              </w:rPr>
              <w:t>.60</w:t>
            </w:r>
          </w:p>
        </w:tc>
      </w:tr>
      <w:tr w:rsidR="002A52A7" w:rsidRPr="00EE43C6" w14:paraId="496DD66A" w14:textId="77777777" w:rsidTr="00CE4A51">
        <w:trPr>
          <w:trHeight w:val="284"/>
        </w:trPr>
        <w:tc>
          <w:tcPr>
            <w:tcW w:w="5748" w:type="dxa"/>
            <w:vAlign w:val="center"/>
          </w:tcPr>
          <w:p w14:paraId="78D0E556" w14:textId="2F6A21CE" w:rsidR="002A52A7" w:rsidRPr="00EE43C6" w:rsidRDefault="005F0FE6" w:rsidP="00CE4A51">
            <w:pPr>
              <w:spacing w:before="0" w:after="0" w:line="240" w:lineRule="auto"/>
              <w:jc w:val="left"/>
              <w:rPr>
                <w:rFonts w:cs="Wingdings"/>
                <w:b/>
                <w:sz w:val="18"/>
                <w:szCs w:val="18"/>
              </w:rPr>
            </w:pPr>
            <w:r w:rsidRPr="00EE43C6">
              <w:rPr>
                <w:rFonts w:cs="Wingdings"/>
                <w:b/>
                <w:sz w:val="18"/>
                <w:szCs w:val="18"/>
              </w:rPr>
              <w:t>TOTAL</w:t>
            </w:r>
          </w:p>
        </w:tc>
        <w:tc>
          <w:tcPr>
            <w:tcW w:w="1183" w:type="dxa"/>
            <w:vAlign w:val="center"/>
          </w:tcPr>
          <w:p w14:paraId="00FB17D2" w14:textId="5BCF00FD" w:rsidR="002A52A7" w:rsidRPr="00EE43C6" w:rsidRDefault="003502E5" w:rsidP="00B625EB">
            <w:pPr>
              <w:spacing w:before="0" w:after="0" w:line="240" w:lineRule="auto"/>
              <w:jc w:val="center"/>
              <w:rPr>
                <w:rFonts w:cs="Wingdings"/>
                <w:sz w:val="18"/>
                <w:szCs w:val="18"/>
              </w:rPr>
            </w:pPr>
            <w:r w:rsidRPr="00EE43C6">
              <w:rPr>
                <w:rFonts w:cs="Wingdings"/>
                <w:sz w:val="18"/>
                <w:szCs w:val="18"/>
              </w:rPr>
              <w:t>3,500</w:t>
            </w:r>
          </w:p>
        </w:tc>
        <w:tc>
          <w:tcPr>
            <w:tcW w:w="1012" w:type="dxa"/>
            <w:vAlign w:val="center"/>
          </w:tcPr>
          <w:p w14:paraId="3BCD8544" w14:textId="65B6F7FD" w:rsidR="002A52A7" w:rsidRPr="00EE43C6" w:rsidRDefault="003502E5" w:rsidP="00B625EB">
            <w:pPr>
              <w:spacing w:before="0" w:after="0" w:line="240" w:lineRule="auto"/>
              <w:jc w:val="center"/>
              <w:rPr>
                <w:rFonts w:cs="Wingdings"/>
                <w:sz w:val="18"/>
                <w:szCs w:val="18"/>
              </w:rPr>
            </w:pPr>
            <w:r w:rsidRPr="00EE43C6">
              <w:rPr>
                <w:rFonts w:cs="Wingdings"/>
                <w:sz w:val="18"/>
                <w:szCs w:val="18"/>
              </w:rPr>
              <w:t>3</w:t>
            </w:r>
            <w:r w:rsidR="00ED6B71" w:rsidRPr="00EE43C6">
              <w:rPr>
                <w:rFonts w:cs="Wingdings"/>
                <w:sz w:val="18"/>
                <w:szCs w:val="18"/>
              </w:rPr>
              <w:t>,</w:t>
            </w:r>
            <w:r w:rsidRPr="00EE43C6">
              <w:rPr>
                <w:rFonts w:cs="Wingdings"/>
                <w:sz w:val="18"/>
                <w:szCs w:val="18"/>
              </w:rPr>
              <w:t>67</w:t>
            </w:r>
            <w:r w:rsidR="00360327" w:rsidRPr="00EE43C6">
              <w:rPr>
                <w:rFonts w:cs="Wingdings"/>
                <w:sz w:val="18"/>
                <w:szCs w:val="18"/>
              </w:rPr>
              <w:t>6.5</w:t>
            </w:r>
          </w:p>
        </w:tc>
        <w:tc>
          <w:tcPr>
            <w:tcW w:w="1117" w:type="dxa"/>
            <w:vAlign w:val="center"/>
          </w:tcPr>
          <w:p w14:paraId="567E6176" w14:textId="5391B0B8" w:rsidR="002A52A7" w:rsidRPr="00EE43C6" w:rsidRDefault="00ED6B71" w:rsidP="00B625EB">
            <w:pPr>
              <w:spacing w:before="0" w:after="0" w:line="240" w:lineRule="auto"/>
              <w:jc w:val="center"/>
              <w:rPr>
                <w:rFonts w:cs="Wingdings"/>
                <w:sz w:val="18"/>
                <w:szCs w:val="18"/>
              </w:rPr>
            </w:pPr>
            <w:r w:rsidRPr="00EE43C6">
              <w:rPr>
                <w:rFonts w:cs="Wingdings"/>
                <w:sz w:val="18"/>
                <w:szCs w:val="18"/>
              </w:rPr>
              <w:t>6</w:t>
            </w:r>
            <w:r w:rsidR="008F330C" w:rsidRPr="00EE43C6">
              <w:rPr>
                <w:rFonts w:cs="Wingdings"/>
                <w:sz w:val="18"/>
                <w:szCs w:val="18"/>
              </w:rPr>
              <w:t>33.5</w:t>
            </w:r>
          </w:p>
        </w:tc>
      </w:tr>
      <w:tr w:rsidR="005F0FE6" w:rsidRPr="00EE43C6" w14:paraId="7333009E" w14:textId="77777777" w:rsidTr="00CE4A51">
        <w:trPr>
          <w:trHeight w:val="284"/>
        </w:trPr>
        <w:tc>
          <w:tcPr>
            <w:tcW w:w="5748" w:type="dxa"/>
            <w:vAlign w:val="center"/>
          </w:tcPr>
          <w:p w14:paraId="1A64C4B4" w14:textId="3368307E" w:rsidR="005F0FE6" w:rsidRPr="00EE43C6" w:rsidRDefault="004D795D" w:rsidP="00CE4A51">
            <w:pPr>
              <w:spacing w:before="0" w:after="0" w:line="240" w:lineRule="auto"/>
              <w:jc w:val="left"/>
              <w:rPr>
                <w:rFonts w:cs="Wingdings"/>
                <w:b/>
                <w:sz w:val="18"/>
                <w:szCs w:val="18"/>
              </w:rPr>
            </w:pPr>
            <w:r w:rsidRPr="00EE43C6">
              <w:rPr>
                <w:rFonts w:cs="Wingdings"/>
                <w:b/>
                <w:sz w:val="18"/>
                <w:szCs w:val="18"/>
              </w:rPr>
              <w:t>TOTAL WATER NEED</w:t>
            </w:r>
          </w:p>
        </w:tc>
        <w:tc>
          <w:tcPr>
            <w:tcW w:w="1183" w:type="dxa"/>
          </w:tcPr>
          <w:p w14:paraId="26DAF8C5" w14:textId="77777777" w:rsidR="005F0FE6" w:rsidRPr="00EE43C6" w:rsidRDefault="005F0FE6" w:rsidP="00B625EB">
            <w:pPr>
              <w:spacing w:before="0" w:after="0" w:line="240" w:lineRule="auto"/>
              <w:rPr>
                <w:rFonts w:cs="Wingdings"/>
                <w:b/>
                <w:sz w:val="18"/>
                <w:szCs w:val="18"/>
              </w:rPr>
            </w:pPr>
          </w:p>
        </w:tc>
        <w:tc>
          <w:tcPr>
            <w:tcW w:w="2129" w:type="dxa"/>
            <w:gridSpan w:val="2"/>
          </w:tcPr>
          <w:p w14:paraId="7512F44C" w14:textId="09CE8AC1" w:rsidR="005F0FE6" w:rsidRPr="00EE43C6" w:rsidRDefault="00ED6B71" w:rsidP="00B625EB">
            <w:pPr>
              <w:spacing w:before="0" w:after="0" w:line="240" w:lineRule="auto"/>
              <w:jc w:val="center"/>
              <w:rPr>
                <w:rFonts w:cs="Wingdings"/>
                <w:b/>
                <w:sz w:val="18"/>
                <w:szCs w:val="18"/>
              </w:rPr>
            </w:pPr>
            <w:r w:rsidRPr="00EE43C6">
              <w:rPr>
                <w:rFonts w:cs="Wingdings"/>
                <w:b/>
                <w:bCs/>
                <w:sz w:val="18"/>
                <w:szCs w:val="18"/>
              </w:rPr>
              <w:t>4,310 m</w:t>
            </w:r>
            <w:r w:rsidRPr="00EE43C6">
              <w:rPr>
                <w:rFonts w:cs="Wingdings"/>
                <w:b/>
                <w:bCs/>
                <w:sz w:val="18"/>
                <w:szCs w:val="18"/>
                <w:vertAlign w:val="superscript"/>
              </w:rPr>
              <w:t>3</w:t>
            </w:r>
            <w:r w:rsidRPr="00EE43C6">
              <w:rPr>
                <w:rFonts w:cs="Wingdings"/>
                <w:b/>
                <w:bCs/>
                <w:sz w:val="18"/>
                <w:szCs w:val="18"/>
              </w:rPr>
              <w:t>/day</w:t>
            </w:r>
          </w:p>
        </w:tc>
      </w:tr>
    </w:tbl>
    <w:p w14:paraId="31318B6E" w14:textId="65CE3B5B" w:rsidR="00BB465B" w:rsidRPr="00EE43C6" w:rsidRDefault="00444431" w:rsidP="00385016">
      <w:pPr>
        <w:spacing w:after="0"/>
        <w:rPr>
          <w:rFonts w:cs="Wingdings"/>
          <w:szCs w:val="22"/>
        </w:rPr>
      </w:pPr>
      <w:r w:rsidRPr="00EE43C6">
        <w:t xml:space="preserve">Considering </w:t>
      </w:r>
      <w:r w:rsidR="002C315D" w:rsidRPr="00EE43C6">
        <w:t>the planned domestic and process water demand amounts of facilities in OIZ</w:t>
      </w:r>
      <w:r w:rsidR="00BB465B" w:rsidRPr="00EE43C6">
        <w:t xml:space="preserve">, TUOISB </w:t>
      </w:r>
      <w:r w:rsidR="00EE3964" w:rsidRPr="00EE43C6">
        <w:t>secured</w:t>
      </w:r>
      <w:r w:rsidR="00BB465B" w:rsidRPr="00EE43C6">
        <w:t xml:space="preserve"> a Groundwater Exploration Document from DSI with water allocation requirement as 4,310 m</w:t>
      </w:r>
      <w:r w:rsidR="00BB465B" w:rsidRPr="00EE43C6">
        <w:rPr>
          <w:vertAlign w:val="superscript"/>
        </w:rPr>
        <w:t>3</w:t>
      </w:r>
      <w:r w:rsidR="00BB465B" w:rsidRPr="00EE43C6">
        <w:t>/day (see Appendix-C).</w:t>
      </w:r>
    </w:p>
    <w:p w14:paraId="2BC9A120" w14:textId="3A951FB5" w:rsidR="00385016" w:rsidRPr="00EE43C6" w:rsidRDefault="00992E3A" w:rsidP="00385016">
      <w:pPr>
        <w:spacing w:after="0"/>
        <w:rPr>
          <w:rFonts w:cs="Wingdings"/>
          <w:szCs w:val="22"/>
        </w:rPr>
      </w:pPr>
      <w:r w:rsidRPr="00EE43C6">
        <w:rPr>
          <w:rFonts w:cs="Wingdings"/>
          <w:szCs w:val="22"/>
        </w:rPr>
        <w:t xml:space="preserve">Thus, considering the excess water </w:t>
      </w:r>
      <w:r w:rsidR="00811475" w:rsidRPr="00EE43C6">
        <w:rPr>
          <w:rFonts w:cs="Wingdings"/>
          <w:szCs w:val="22"/>
        </w:rPr>
        <w:t>demand quantity</w:t>
      </w:r>
      <w:r w:rsidR="00E82768" w:rsidRPr="00EE43C6">
        <w:rPr>
          <w:rFonts w:cs="Wingdings"/>
          <w:szCs w:val="22"/>
        </w:rPr>
        <w:t xml:space="preserve"> to be met from the wells in </w:t>
      </w:r>
      <w:r w:rsidR="00415F0A" w:rsidRPr="00EE43C6">
        <w:rPr>
          <w:rFonts w:cs="Wingdings"/>
          <w:szCs w:val="22"/>
        </w:rPr>
        <w:t>OIZ Area</w:t>
      </w:r>
      <w:r w:rsidR="00811475" w:rsidRPr="00EE43C6">
        <w:rPr>
          <w:rFonts w:cs="Wingdings"/>
          <w:szCs w:val="22"/>
        </w:rPr>
        <w:t xml:space="preserve">, the </w:t>
      </w:r>
      <w:r w:rsidR="008526ED" w:rsidRPr="00EE43C6">
        <w:rPr>
          <w:rFonts w:cs="Wingdings"/>
          <w:szCs w:val="22"/>
        </w:rPr>
        <w:t>water use</w:t>
      </w:r>
      <w:r w:rsidR="00811475" w:rsidRPr="00EE43C6">
        <w:rPr>
          <w:rFonts w:cs="Wingdings"/>
          <w:szCs w:val="22"/>
        </w:rPr>
        <w:t xml:space="preserve"> impact significance in the operation phase of OIZ is determined as high</w:t>
      </w:r>
      <w:r w:rsidR="007F46F8">
        <w:rPr>
          <w:rFonts w:cs="Wingdings"/>
          <w:szCs w:val="22"/>
        </w:rPr>
        <w:t>. In order</w:t>
      </w:r>
      <w:r w:rsidR="00EF3B58">
        <w:rPr>
          <w:rFonts w:cs="Wingdings"/>
          <w:szCs w:val="22"/>
        </w:rPr>
        <w:t xml:space="preserve"> </w:t>
      </w:r>
      <w:r w:rsidR="000A141C" w:rsidRPr="00EE43C6">
        <w:rPr>
          <w:rFonts w:cs="Wingdings"/>
          <w:szCs w:val="22"/>
        </w:rPr>
        <w:t>to mitigate the concerned risk</w:t>
      </w:r>
      <w:r w:rsidR="007F46F8">
        <w:rPr>
          <w:rFonts w:cs="Wingdings"/>
          <w:szCs w:val="22"/>
        </w:rPr>
        <w:t>,</w:t>
      </w:r>
      <w:r w:rsidR="000A141C" w:rsidRPr="00EE43C6">
        <w:rPr>
          <w:rFonts w:cs="Wingdings"/>
          <w:szCs w:val="22"/>
        </w:rPr>
        <w:t xml:space="preserve"> </w:t>
      </w:r>
      <w:r w:rsidRPr="00EE43C6">
        <w:rPr>
          <w:rFonts w:cs="Wingdings"/>
          <w:szCs w:val="22"/>
        </w:rPr>
        <w:t>Sustainable Water Management Plan for the Project should be prepared</w:t>
      </w:r>
      <w:r w:rsidR="008526ED" w:rsidRPr="00EE43C6">
        <w:rPr>
          <w:rFonts w:cs="Wingdings"/>
          <w:szCs w:val="22"/>
        </w:rPr>
        <w:t xml:space="preserve"> </w:t>
      </w:r>
      <w:r w:rsidR="006159F5">
        <w:rPr>
          <w:rFonts w:cs="Wingdings"/>
          <w:szCs w:val="22"/>
        </w:rPr>
        <w:t xml:space="preserve">by </w:t>
      </w:r>
      <w:r w:rsidR="006159F5" w:rsidRPr="009E272D">
        <w:rPr>
          <w:rFonts w:cs="Wingdings"/>
          <w:szCs w:val="22"/>
        </w:rPr>
        <w:t>TUIOSB</w:t>
      </w:r>
      <w:r w:rsidR="006159F5">
        <w:rPr>
          <w:rFonts w:cs="Wingdings"/>
          <w:szCs w:val="22"/>
        </w:rPr>
        <w:t xml:space="preserve"> </w:t>
      </w:r>
      <w:r w:rsidR="00241804">
        <w:rPr>
          <w:rFonts w:cs="Wingdings"/>
          <w:szCs w:val="22"/>
        </w:rPr>
        <w:t xml:space="preserve">before the operation phase of the </w:t>
      </w:r>
      <w:r w:rsidR="007641CD">
        <w:rPr>
          <w:rFonts w:cs="Wingdings"/>
          <w:szCs w:val="22"/>
        </w:rPr>
        <w:t>Project</w:t>
      </w:r>
      <w:r w:rsidRPr="00EE43C6">
        <w:rPr>
          <w:rFonts w:cs="Wingdings"/>
          <w:szCs w:val="22"/>
        </w:rPr>
        <w:t>.</w:t>
      </w:r>
    </w:p>
    <w:p w14:paraId="06509659" w14:textId="77777777" w:rsidR="004339AC" w:rsidRPr="00EE43C6" w:rsidRDefault="004339AC" w:rsidP="00CE4A51">
      <w:pPr>
        <w:pStyle w:val="Heading2"/>
        <w:ind w:hanging="718"/>
        <w:rPr>
          <w:lang w:val="en-GB"/>
        </w:rPr>
      </w:pPr>
      <w:bookmarkStart w:id="528" w:name="_Toc80633561"/>
      <w:bookmarkStart w:id="529" w:name="_Toc67676586"/>
      <w:bookmarkStart w:id="530" w:name="_Toc59199525"/>
      <w:bookmarkStart w:id="531" w:name="_Toc120016948"/>
      <w:bookmarkStart w:id="532" w:name="_Toc120004726"/>
      <w:bookmarkStart w:id="533" w:name="_Toc141445437"/>
      <w:r w:rsidRPr="00EE43C6">
        <w:rPr>
          <w:lang w:val="en-GB"/>
        </w:rPr>
        <w:t>Wastewater</w:t>
      </w:r>
      <w:bookmarkEnd w:id="528"/>
      <w:bookmarkEnd w:id="529"/>
      <w:bookmarkEnd w:id="530"/>
      <w:bookmarkEnd w:id="531"/>
      <w:bookmarkEnd w:id="532"/>
      <w:bookmarkEnd w:id="533"/>
    </w:p>
    <w:p w14:paraId="5CA481D0" w14:textId="61A5C740" w:rsidR="004339AC" w:rsidRPr="00EE43C6" w:rsidRDefault="004339AC" w:rsidP="001A0D64">
      <w:pPr>
        <w:pStyle w:val="Heading3"/>
        <w:spacing w:before="200" w:after="200"/>
        <w:rPr>
          <w:rFonts w:eastAsia="Arial TUR"/>
          <w:noProof w:val="0"/>
        </w:rPr>
      </w:pPr>
      <w:bookmarkStart w:id="534" w:name="_Toc80633562"/>
      <w:bookmarkStart w:id="535" w:name="_Toc67676587"/>
      <w:bookmarkStart w:id="536" w:name="_Toc120016949"/>
      <w:bookmarkStart w:id="537" w:name="_Toc120004727"/>
      <w:bookmarkStart w:id="538" w:name="_Toc141445438"/>
      <w:r w:rsidRPr="00EE43C6">
        <w:rPr>
          <w:rFonts w:eastAsia="Calibri"/>
          <w:bCs w:val="0"/>
          <w:noProof w:val="0"/>
        </w:rPr>
        <w:t>Construction Phase</w:t>
      </w:r>
      <w:bookmarkEnd w:id="534"/>
      <w:bookmarkEnd w:id="535"/>
      <w:bookmarkEnd w:id="536"/>
      <w:bookmarkEnd w:id="537"/>
      <w:bookmarkEnd w:id="538"/>
    </w:p>
    <w:p w14:paraId="3C407B8C" w14:textId="5B6F46DD" w:rsidR="008016CD" w:rsidRPr="00EE43C6" w:rsidRDefault="00AA7D70" w:rsidP="008016CD">
      <w:pPr>
        <w:spacing w:before="200" w:after="200"/>
        <w:rPr>
          <w:rFonts w:cs="Wingdings"/>
          <w:szCs w:val="22"/>
        </w:rPr>
      </w:pPr>
      <w:r w:rsidRPr="00EE43C6">
        <w:t>During the construction phase of the Project, d</w:t>
      </w:r>
      <w:r w:rsidR="002B4B40" w:rsidRPr="00EE43C6">
        <w:t xml:space="preserve">omestic wastewater will be generated only from </w:t>
      </w:r>
      <w:r w:rsidR="001F1D20">
        <w:t>human consumption</w:t>
      </w:r>
      <w:r w:rsidR="002B4B40" w:rsidRPr="00EE43C6">
        <w:t xml:space="preserve">. </w:t>
      </w:r>
      <w:r w:rsidR="00697E7A" w:rsidRPr="00EE43C6">
        <w:t xml:space="preserve">Thus, </w:t>
      </w:r>
      <w:r w:rsidR="00697E7A" w:rsidRPr="00EE43C6">
        <w:rPr>
          <w:rFonts w:cs="Wingdings"/>
          <w:szCs w:val="22"/>
        </w:rPr>
        <w:t>4</w:t>
      </w:r>
      <w:r w:rsidR="00FD1DC4" w:rsidRPr="00EE43C6">
        <w:rPr>
          <w:rFonts w:cs="Wingdings"/>
          <w:szCs w:val="22"/>
        </w:rPr>
        <w:t>5</w:t>
      </w:r>
      <w:r w:rsidR="00092171" w:rsidRPr="00EE43C6">
        <w:rPr>
          <w:rFonts w:cs="Wingdings"/>
          <w:szCs w:val="22"/>
        </w:rPr>
        <w:t xml:space="preserve">.25 </w:t>
      </w:r>
      <w:r w:rsidR="00FD1DC4" w:rsidRPr="00EE43C6">
        <w:t>m</w:t>
      </w:r>
      <w:r w:rsidR="00FD1DC4" w:rsidRPr="00EE43C6">
        <w:rPr>
          <w:vertAlign w:val="superscript"/>
        </w:rPr>
        <w:t>3</w:t>
      </w:r>
      <w:r w:rsidR="00FD1DC4" w:rsidRPr="00EE43C6">
        <w:t xml:space="preserve">/day </w:t>
      </w:r>
      <w:r w:rsidR="00D54138" w:rsidRPr="00EE43C6">
        <w:t xml:space="preserve">domestic water </w:t>
      </w:r>
      <w:r w:rsidR="00350D7F" w:rsidRPr="00EE43C6">
        <w:rPr>
          <w:rFonts w:cs="Wingdings"/>
          <w:szCs w:val="22"/>
        </w:rPr>
        <w:t xml:space="preserve">from employees, with an assumption that all used domestic water will be stored in impermeable septic tank as wastewater to be transferred with permitted septic trucks and sent to be disposed of at nearest WWTP deemed appropriate by the </w:t>
      </w:r>
      <w:r w:rsidR="00D86192" w:rsidRPr="00EE43C6">
        <w:rPr>
          <w:rFonts w:cs="Wingdings"/>
          <w:szCs w:val="22"/>
        </w:rPr>
        <w:t xml:space="preserve">Tarsus </w:t>
      </w:r>
      <w:r w:rsidR="00350D7F" w:rsidRPr="00EE43C6">
        <w:rPr>
          <w:rFonts w:cs="Wingdings"/>
          <w:szCs w:val="22"/>
        </w:rPr>
        <w:t>Municipality.</w:t>
      </w:r>
      <w:r w:rsidR="00B620E7" w:rsidRPr="00EE43C6">
        <w:rPr>
          <w:rFonts w:cs="Wingdings"/>
          <w:szCs w:val="22"/>
        </w:rPr>
        <w:t xml:space="preserve"> Thus, considering </w:t>
      </w:r>
      <w:r w:rsidR="005631AA" w:rsidRPr="00EE43C6">
        <w:rPr>
          <w:rFonts w:cs="Wingdings"/>
          <w:szCs w:val="22"/>
        </w:rPr>
        <w:t>the wastewater quantity</w:t>
      </w:r>
      <w:r w:rsidR="00E82768" w:rsidRPr="00EE43C6">
        <w:rPr>
          <w:rFonts w:cs="Wingdings"/>
          <w:szCs w:val="22"/>
        </w:rPr>
        <w:t xml:space="preserve"> </w:t>
      </w:r>
      <w:r w:rsidR="00B620E7" w:rsidRPr="00EE43C6">
        <w:rPr>
          <w:rFonts w:cs="Wingdings"/>
          <w:szCs w:val="22"/>
        </w:rPr>
        <w:t xml:space="preserve">in the construction phase </w:t>
      </w:r>
      <w:r w:rsidR="00B620E7" w:rsidRPr="00EE43C6">
        <w:rPr>
          <w:rFonts w:eastAsiaTheme="minorHAnsi"/>
          <w:lang w:eastAsia="en-US"/>
        </w:rPr>
        <w:t>of the Project</w:t>
      </w:r>
      <w:r w:rsidR="00B620E7" w:rsidRPr="00EE43C6">
        <w:rPr>
          <w:rFonts w:cs="Wingdings"/>
          <w:szCs w:val="22"/>
        </w:rPr>
        <w:t xml:space="preserve">, </w:t>
      </w:r>
      <w:r w:rsidR="005631AA" w:rsidRPr="00EE43C6">
        <w:rPr>
          <w:rFonts w:cs="Wingdings"/>
          <w:szCs w:val="22"/>
        </w:rPr>
        <w:t>the wastewater</w:t>
      </w:r>
      <w:r w:rsidR="00B620E7" w:rsidRPr="00EE43C6">
        <w:rPr>
          <w:rFonts w:cs="Wingdings"/>
          <w:szCs w:val="22"/>
        </w:rPr>
        <w:t xml:space="preserve"> impact significance </w:t>
      </w:r>
      <w:r w:rsidR="00064CBA" w:rsidRPr="00EE43C6">
        <w:rPr>
          <w:rFonts w:cs="Wingdings"/>
          <w:szCs w:val="22"/>
        </w:rPr>
        <w:t>in the AoI of the Project</w:t>
      </w:r>
      <w:r w:rsidR="00B620E7" w:rsidRPr="00EE43C6">
        <w:rPr>
          <w:rFonts w:cs="Wingdings"/>
          <w:szCs w:val="22"/>
        </w:rPr>
        <w:t xml:space="preserve"> is determined as </w:t>
      </w:r>
      <w:r w:rsidR="005631AA" w:rsidRPr="00EE43C6">
        <w:rPr>
          <w:rFonts w:cs="Wingdings"/>
          <w:szCs w:val="22"/>
        </w:rPr>
        <w:t>low</w:t>
      </w:r>
      <w:r w:rsidR="00B620E7" w:rsidRPr="00EE43C6">
        <w:rPr>
          <w:rFonts w:cs="Wingdings"/>
          <w:szCs w:val="22"/>
        </w:rPr>
        <w:t>.</w:t>
      </w:r>
    </w:p>
    <w:p w14:paraId="3326CB21" w14:textId="4273703E" w:rsidR="004339AC" w:rsidRPr="00EE43C6" w:rsidRDefault="004339AC" w:rsidP="004339AC">
      <w:pPr>
        <w:pStyle w:val="Heading3"/>
        <w:spacing w:after="240"/>
        <w:rPr>
          <w:rFonts w:eastAsia="Arial TUR"/>
          <w:noProof w:val="0"/>
        </w:rPr>
      </w:pPr>
      <w:bookmarkStart w:id="539" w:name="_Toc82779447"/>
      <w:bookmarkStart w:id="540" w:name="_Toc80633563"/>
      <w:bookmarkStart w:id="541" w:name="_Toc67676588"/>
      <w:bookmarkStart w:id="542" w:name="_Toc120016950"/>
      <w:bookmarkStart w:id="543" w:name="_Toc120004728"/>
      <w:bookmarkStart w:id="544" w:name="_Toc141445439"/>
      <w:bookmarkEnd w:id="539"/>
      <w:r w:rsidRPr="00EE43C6">
        <w:rPr>
          <w:rFonts w:eastAsia="Arial TUR"/>
          <w:noProof w:val="0"/>
        </w:rPr>
        <w:t>Operation Phase</w:t>
      </w:r>
      <w:bookmarkEnd w:id="540"/>
      <w:bookmarkEnd w:id="541"/>
      <w:bookmarkEnd w:id="542"/>
      <w:bookmarkEnd w:id="543"/>
      <w:bookmarkEnd w:id="544"/>
    </w:p>
    <w:p w14:paraId="35200945" w14:textId="30CB9CE4" w:rsidR="007B481F" w:rsidRPr="00EE43C6" w:rsidRDefault="007B481F" w:rsidP="007B481F">
      <w:pPr>
        <w:rPr>
          <w:rFonts w:eastAsiaTheme="minorHAnsi"/>
          <w:lang w:eastAsia="en-US"/>
        </w:rPr>
      </w:pPr>
      <w:r w:rsidRPr="00EE43C6">
        <w:rPr>
          <w:rFonts w:eastAsiaTheme="minorHAnsi"/>
          <w:lang w:eastAsia="en-US"/>
        </w:rPr>
        <w:t xml:space="preserve">As the construction </w:t>
      </w:r>
      <w:r w:rsidR="00247DB0" w:rsidRPr="00EE43C6">
        <w:rPr>
          <w:rFonts w:eastAsiaTheme="minorHAnsi"/>
          <w:lang w:eastAsia="en-US"/>
        </w:rPr>
        <w:t>and operation</w:t>
      </w:r>
      <w:r w:rsidRPr="00EE43C6">
        <w:rPr>
          <w:rFonts w:eastAsiaTheme="minorHAnsi"/>
          <w:lang w:eastAsia="en-US"/>
        </w:rPr>
        <w:t xml:space="preserve"> of the wastewater treatment plant to be established in the OIZ </w:t>
      </w:r>
      <w:r w:rsidR="005F321A" w:rsidRPr="00EE43C6">
        <w:rPr>
          <w:rFonts w:eastAsiaTheme="minorHAnsi"/>
          <w:lang w:eastAsia="en-US"/>
        </w:rPr>
        <w:t>are</w:t>
      </w:r>
      <w:r w:rsidRPr="00EE43C6">
        <w:rPr>
          <w:rFonts w:eastAsiaTheme="minorHAnsi"/>
          <w:lang w:eastAsia="en-US"/>
        </w:rPr>
        <w:t xml:space="preserve"> not within the scope of loan usage, its impact assessment </w:t>
      </w:r>
      <w:r w:rsidR="00B577D0" w:rsidRPr="00EE43C6">
        <w:rPr>
          <w:rFonts w:eastAsiaTheme="minorHAnsi"/>
          <w:lang w:eastAsia="en-US"/>
        </w:rPr>
        <w:t>has been</w:t>
      </w:r>
      <w:r w:rsidRPr="00EE43C6">
        <w:rPr>
          <w:rFonts w:eastAsiaTheme="minorHAnsi"/>
          <w:lang w:eastAsia="en-US"/>
        </w:rPr>
        <w:t xml:space="preserve"> not </w:t>
      </w:r>
      <w:r w:rsidR="008D25E4" w:rsidRPr="00EE43C6">
        <w:rPr>
          <w:rFonts w:eastAsiaTheme="minorHAnsi"/>
          <w:lang w:eastAsia="en-US"/>
        </w:rPr>
        <w:t>detailed</w:t>
      </w:r>
      <w:r w:rsidRPr="00EE43C6">
        <w:rPr>
          <w:rFonts w:eastAsiaTheme="minorHAnsi"/>
          <w:lang w:eastAsia="en-US"/>
        </w:rPr>
        <w:t>.</w:t>
      </w:r>
      <w:r w:rsidR="00F91D59" w:rsidRPr="00EE43C6">
        <w:rPr>
          <w:rFonts w:eastAsiaTheme="minorHAnsi"/>
          <w:lang w:eastAsia="en-US"/>
        </w:rPr>
        <w:t xml:space="preserve"> But</w:t>
      </w:r>
      <w:r w:rsidR="00BD62B9" w:rsidRPr="00EE43C6">
        <w:rPr>
          <w:rFonts w:eastAsiaTheme="minorHAnsi"/>
          <w:lang w:eastAsia="en-US"/>
        </w:rPr>
        <w:t xml:space="preserve"> it has been assessed as associated facility.</w:t>
      </w:r>
    </w:p>
    <w:p w14:paraId="51E21CA7" w14:textId="7A83092F" w:rsidR="00664FCF" w:rsidRPr="00EE43C6" w:rsidRDefault="00974D5C" w:rsidP="00974D5C">
      <w:r w:rsidRPr="00EE43C6">
        <w:rPr>
          <w:rFonts w:eastAsiaTheme="minorHAnsi"/>
          <w:lang w:eastAsia="en-US"/>
        </w:rPr>
        <w:t xml:space="preserve">The domestic wastewater </w:t>
      </w:r>
      <w:r w:rsidR="00FD7D94" w:rsidRPr="00EE43C6">
        <w:rPr>
          <w:rFonts w:eastAsiaTheme="minorHAnsi"/>
          <w:lang w:eastAsia="en-US"/>
        </w:rPr>
        <w:t>from empl</w:t>
      </w:r>
      <w:r w:rsidR="004933BC" w:rsidRPr="00EE43C6">
        <w:rPr>
          <w:rFonts w:eastAsiaTheme="minorHAnsi"/>
          <w:lang w:eastAsia="en-US"/>
        </w:rPr>
        <w:t xml:space="preserve">oyees </w:t>
      </w:r>
      <w:r w:rsidR="002B27B7" w:rsidRPr="00EE43C6">
        <w:rPr>
          <w:rFonts w:eastAsiaTheme="minorHAnsi"/>
          <w:lang w:eastAsia="en-US"/>
        </w:rPr>
        <w:t>and</w:t>
      </w:r>
      <w:r w:rsidRPr="00EE43C6">
        <w:rPr>
          <w:rFonts w:eastAsiaTheme="minorHAnsi"/>
          <w:lang w:eastAsia="en-US"/>
        </w:rPr>
        <w:t xml:space="preserve"> the process wastewater </w:t>
      </w:r>
      <w:r w:rsidR="002B27B7" w:rsidRPr="00EE43C6">
        <w:rPr>
          <w:rFonts w:eastAsiaTheme="minorHAnsi"/>
          <w:lang w:eastAsia="en-US"/>
        </w:rPr>
        <w:t>to be generated</w:t>
      </w:r>
      <w:r w:rsidRPr="00EE43C6">
        <w:rPr>
          <w:rFonts w:eastAsiaTheme="minorHAnsi"/>
          <w:lang w:eastAsia="en-US"/>
        </w:rPr>
        <w:t xml:space="preserve"> in the facilities planned to be established in the OIZ will be treated with </w:t>
      </w:r>
      <w:r w:rsidR="000D007A" w:rsidRPr="00EE43C6">
        <w:rPr>
          <w:rFonts w:eastAsiaTheme="minorHAnsi"/>
          <w:lang w:eastAsia="en-US"/>
        </w:rPr>
        <w:t>its</w:t>
      </w:r>
      <w:r w:rsidRPr="00EE43C6">
        <w:rPr>
          <w:rFonts w:eastAsiaTheme="minorHAnsi"/>
          <w:lang w:eastAsia="en-US"/>
        </w:rPr>
        <w:t xml:space="preserve"> wastewater infrastructure system</w:t>
      </w:r>
      <w:r w:rsidR="00643490" w:rsidRPr="00EE43C6">
        <w:rPr>
          <w:rFonts w:eastAsiaTheme="minorHAnsi"/>
          <w:lang w:eastAsia="en-US"/>
        </w:rPr>
        <w:t xml:space="preserve">. </w:t>
      </w:r>
      <w:r w:rsidR="00225B6B" w:rsidRPr="00EE43C6">
        <w:rPr>
          <w:rFonts w:eastAsiaTheme="minorHAnsi"/>
          <w:lang w:eastAsia="en-US"/>
        </w:rPr>
        <w:t>In this context, t</w:t>
      </w:r>
      <w:r w:rsidRPr="00EE43C6">
        <w:rPr>
          <w:rFonts w:eastAsiaTheme="minorHAnsi"/>
          <w:lang w:eastAsia="en-US"/>
        </w:rPr>
        <w:t xml:space="preserve">he anaerobic </w:t>
      </w:r>
      <w:r w:rsidR="00643490" w:rsidRPr="00EE43C6">
        <w:rPr>
          <w:rFonts w:eastAsiaTheme="minorHAnsi"/>
          <w:lang w:eastAsia="en-US"/>
        </w:rPr>
        <w:t>and</w:t>
      </w:r>
      <w:r w:rsidRPr="00EE43C6">
        <w:rPr>
          <w:rFonts w:eastAsiaTheme="minorHAnsi"/>
          <w:lang w:eastAsia="en-US"/>
        </w:rPr>
        <w:t xml:space="preserve"> biological wastewater treatment plant with a capacity of 2,600 m</w:t>
      </w:r>
      <w:r w:rsidRPr="00EE43C6">
        <w:rPr>
          <w:rFonts w:eastAsiaTheme="minorHAnsi"/>
          <w:vertAlign w:val="superscript"/>
          <w:lang w:eastAsia="en-US"/>
        </w:rPr>
        <w:t>3</w:t>
      </w:r>
      <w:r w:rsidRPr="00EE43C6">
        <w:rPr>
          <w:rFonts w:eastAsiaTheme="minorHAnsi"/>
          <w:lang w:eastAsia="en-US"/>
        </w:rPr>
        <w:t xml:space="preserve">/day </w:t>
      </w:r>
      <w:r w:rsidR="00225B6B" w:rsidRPr="00EE43C6">
        <w:rPr>
          <w:rFonts w:eastAsiaTheme="minorHAnsi"/>
          <w:lang w:eastAsia="en-US"/>
        </w:rPr>
        <w:t xml:space="preserve">is planned </w:t>
      </w:r>
      <w:r w:rsidRPr="00EE43C6">
        <w:rPr>
          <w:rFonts w:eastAsiaTheme="minorHAnsi"/>
          <w:lang w:eastAsia="en-US"/>
        </w:rPr>
        <w:t xml:space="preserve">to be established in the </w:t>
      </w:r>
      <w:r w:rsidR="00A02D8B" w:rsidRPr="00EE43C6">
        <w:rPr>
          <w:rFonts w:eastAsiaTheme="minorHAnsi"/>
          <w:lang w:eastAsia="en-US"/>
        </w:rPr>
        <w:t>OIZ</w:t>
      </w:r>
      <w:r w:rsidRPr="00EE43C6">
        <w:rPr>
          <w:rFonts w:eastAsiaTheme="minorHAnsi"/>
          <w:lang w:eastAsia="en-US"/>
        </w:rPr>
        <w:t xml:space="preserve">. The proposed system will consist of physical, chemical, biological and sludge treatment units due to the pollution loads of domestic and process wastewater to be </w:t>
      </w:r>
      <w:r w:rsidR="00115739" w:rsidRPr="00EE43C6">
        <w:rPr>
          <w:rFonts w:eastAsiaTheme="minorHAnsi"/>
          <w:lang w:eastAsia="en-US"/>
        </w:rPr>
        <w:t>generated</w:t>
      </w:r>
      <w:r w:rsidRPr="00EE43C6">
        <w:rPr>
          <w:rFonts w:eastAsiaTheme="minorHAnsi"/>
          <w:lang w:eastAsia="en-US"/>
        </w:rPr>
        <w:t xml:space="preserve"> in the OIZ.</w:t>
      </w:r>
    </w:p>
    <w:p w14:paraId="17C264C7" w14:textId="10044D6F" w:rsidR="003338EB" w:rsidRPr="00EE43C6" w:rsidRDefault="003338EB" w:rsidP="00974D5C">
      <w:pPr>
        <w:rPr>
          <w:rFonts w:eastAsiaTheme="minorHAnsi"/>
          <w:lang w:eastAsia="en-US"/>
        </w:rPr>
      </w:pPr>
      <w:r w:rsidRPr="00EE43C6">
        <w:rPr>
          <w:rFonts w:eastAsiaTheme="minorHAnsi"/>
          <w:lang w:eastAsia="en-US"/>
        </w:rPr>
        <w:lastRenderedPageBreak/>
        <w:t xml:space="preserve">The </w:t>
      </w:r>
      <w:r w:rsidR="008456C1" w:rsidRPr="00EE43C6">
        <w:rPr>
          <w:rFonts w:eastAsiaTheme="minorHAnsi"/>
          <w:lang w:eastAsia="en-US"/>
        </w:rPr>
        <w:t>estim</w:t>
      </w:r>
      <w:r w:rsidR="0065255E" w:rsidRPr="00EE43C6">
        <w:rPr>
          <w:rFonts w:eastAsiaTheme="minorHAnsi"/>
          <w:lang w:eastAsia="en-US"/>
        </w:rPr>
        <w:t>ated</w:t>
      </w:r>
      <w:r w:rsidR="00D72EB0" w:rsidRPr="00EE43C6">
        <w:rPr>
          <w:rFonts w:eastAsiaTheme="minorHAnsi"/>
          <w:lang w:eastAsia="en-US"/>
        </w:rPr>
        <w:t xml:space="preserve"> </w:t>
      </w:r>
      <w:r w:rsidR="00152328" w:rsidRPr="00EE43C6">
        <w:rPr>
          <w:rFonts w:eastAsiaTheme="minorHAnsi"/>
          <w:lang w:eastAsia="en-US"/>
        </w:rPr>
        <w:t>quantities</w:t>
      </w:r>
      <w:r w:rsidRPr="00EE43C6">
        <w:rPr>
          <w:rFonts w:eastAsiaTheme="minorHAnsi"/>
          <w:lang w:eastAsia="en-US"/>
        </w:rPr>
        <w:t xml:space="preserve"> of </w:t>
      </w:r>
      <w:r w:rsidR="00B50991" w:rsidRPr="00EE43C6">
        <w:rPr>
          <w:rFonts w:eastAsiaTheme="minorHAnsi"/>
          <w:lang w:eastAsia="en-US"/>
        </w:rPr>
        <w:t xml:space="preserve">domestic and process </w:t>
      </w:r>
      <w:r w:rsidRPr="00EE43C6">
        <w:rPr>
          <w:rFonts w:eastAsiaTheme="minorHAnsi"/>
          <w:lang w:eastAsia="en-US"/>
        </w:rPr>
        <w:t xml:space="preserve">wastewater that will </w:t>
      </w:r>
      <w:r w:rsidR="009E1963" w:rsidRPr="00EE43C6">
        <w:rPr>
          <w:rFonts w:eastAsiaTheme="minorHAnsi"/>
          <w:lang w:eastAsia="en-US"/>
        </w:rPr>
        <w:t>be generated</w:t>
      </w:r>
      <w:r w:rsidRPr="00EE43C6">
        <w:rPr>
          <w:rFonts w:eastAsiaTheme="minorHAnsi"/>
          <w:lang w:eastAsia="en-US"/>
        </w:rPr>
        <w:t xml:space="preserve"> in the facilities planned to be established in the OIZ </w:t>
      </w:r>
      <w:r w:rsidR="00135C7D" w:rsidRPr="00EE43C6">
        <w:rPr>
          <w:rFonts w:eastAsiaTheme="minorHAnsi"/>
          <w:lang w:eastAsia="en-US"/>
        </w:rPr>
        <w:t xml:space="preserve">Area </w:t>
      </w:r>
      <w:r w:rsidR="00B50991" w:rsidRPr="00EE43C6">
        <w:rPr>
          <w:rFonts w:eastAsiaTheme="minorHAnsi"/>
          <w:lang w:eastAsia="en-US"/>
        </w:rPr>
        <w:t>can</w:t>
      </w:r>
      <w:r w:rsidRPr="00EE43C6">
        <w:rPr>
          <w:rFonts w:eastAsiaTheme="minorHAnsi"/>
          <w:lang w:eastAsia="en-US"/>
        </w:rPr>
        <w:t xml:space="preserve"> been </w:t>
      </w:r>
      <w:r w:rsidR="00B50991" w:rsidRPr="00EE43C6">
        <w:rPr>
          <w:rFonts w:eastAsiaTheme="minorHAnsi"/>
          <w:lang w:eastAsia="en-US"/>
        </w:rPr>
        <w:t>seen</w:t>
      </w:r>
      <w:r w:rsidRPr="00EE43C6">
        <w:rPr>
          <w:rFonts w:eastAsiaTheme="minorHAnsi"/>
          <w:lang w:eastAsia="en-US"/>
        </w:rPr>
        <w:t xml:space="preserve"> in </w:t>
      </w:r>
      <w:r w:rsidR="00C623AE" w:rsidRPr="00EE43C6">
        <w:rPr>
          <w:rFonts w:eastAsiaTheme="minorHAnsi"/>
          <w:lang w:eastAsia="en-US"/>
        </w:rPr>
        <w:fldChar w:fldCharType="begin"/>
      </w:r>
      <w:r w:rsidR="00C623AE" w:rsidRPr="00EE43C6">
        <w:rPr>
          <w:rFonts w:eastAsiaTheme="minorHAnsi"/>
          <w:lang w:eastAsia="en-US"/>
        </w:rPr>
        <w:instrText xml:space="preserve"> REF _Ref126053780 \h </w:instrText>
      </w:r>
      <w:r w:rsidR="00C623AE" w:rsidRPr="00EE43C6">
        <w:rPr>
          <w:rFonts w:eastAsiaTheme="minorHAnsi"/>
          <w:lang w:eastAsia="en-US"/>
        </w:rPr>
      </w:r>
      <w:r w:rsidR="00C623AE" w:rsidRPr="00EE43C6">
        <w:rPr>
          <w:rFonts w:eastAsiaTheme="minorHAnsi"/>
          <w:lang w:eastAsia="en-US"/>
        </w:rPr>
        <w:fldChar w:fldCharType="separate"/>
      </w:r>
      <w:r w:rsidR="0040298C" w:rsidRPr="00EE43C6">
        <w:t>Table 6</w:t>
      </w:r>
      <w:r w:rsidR="0040298C" w:rsidRPr="00EE43C6">
        <w:noBreakHyphen/>
        <w:t>19</w:t>
      </w:r>
      <w:r w:rsidR="00C623AE" w:rsidRPr="00EE43C6">
        <w:rPr>
          <w:rFonts w:eastAsiaTheme="minorHAnsi"/>
          <w:lang w:eastAsia="en-US"/>
        </w:rPr>
        <w:fldChar w:fldCharType="end"/>
      </w:r>
      <w:r w:rsidRPr="00EE43C6">
        <w:rPr>
          <w:rFonts w:eastAsiaTheme="minorHAnsi"/>
          <w:lang w:eastAsia="en-US"/>
        </w:rPr>
        <w:t>.</w:t>
      </w:r>
    </w:p>
    <w:p w14:paraId="3D2EB8DC" w14:textId="10905173" w:rsidR="00330664" w:rsidRPr="00EE43C6" w:rsidRDefault="00C623AE" w:rsidP="00C623AE">
      <w:pPr>
        <w:pStyle w:val="Caption"/>
        <w:rPr>
          <w:rFonts w:eastAsiaTheme="minorHAnsi"/>
          <w:noProof w:val="0"/>
        </w:rPr>
      </w:pPr>
      <w:bookmarkStart w:id="545" w:name="_Ref127980869"/>
      <w:bookmarkStart w:id="546" w:name="_Ref126053780"/>
      <w:bookmarkStart w:id="547" w:name="_Toc141445528"/>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19</w:t>
      </w:r>
      <w:r w:rsidR="006D2DE8">
        <w:rPr>
          <w:noProof w:val="0"/>
        </w:rPr>
        <w:fldChar w:fldCharType="end"/>
      </w:r>
      <w:bookmarkEnd w:id="545"/>
      <w:bookmarkEnd w:id="546"/>
      <w:r w:rsidRPr="00EE43C6">
        <w:rPr>
          <w:noProof w:val="0"/>
        </w:rPr>
        <w:t xml:space="preserve">. </w:t>
      </w:r>
      <w:r w:rsidR="000D60A4" w:rsidRPr="00EE43C6">
        <w:rPr>
          <w:b w:val="0"/>
          <w:bCs w:val="0"/>
          <w:noProof w:val="0"/>
          <w:color w:val="auto"/>
        </w:rPr>
        <w:t xml:space="preserve">The </w:t>
      </w:r>
      <w:r w:rsidR="0065255E" w:rsidRPr="00EE43C6">
        <w:rPr>
          <w:b w:val="0"/>
          <w:bCs w:val="0"/>
          <w:noProof w:val="0"/>
          <w:color w:val="auto"/>
        </w:rPr>
        <w:t>Estimated</w:t>
      </w:r>
      <w:r w:rsidR="000D60A4" w:rsidRPr="00EE43C6">
        <w:rPr>
          <w:b w:val="0"/>
          <w:bCs w:val="0"/>
          <w:noProof w:val="0"/>
          <w:color w:val="auto"/>
        </w:rPr>
        <w:t xml:space="preserve"> </w:t>
      </w:r>
      <w:r w:rsidR="00152328" w:rsidRPr="00EE43C6">
        <w:rPr>
          <w:rFonts w:eastAsiaTheme="minorHAnsi"/>
          <w:b w:val="0"/>
          <w:bCs w:val="0"/>
          <w:noProof w:val="0"/>
          <w:color w:val="auto"/>
        </w:rPr>
        <w:t>Quantit</w:t>
      </w:r>
      <w:r w:rsidR="00F86011" w:rsidRPr="00EE43C6">
        <w:rPr>
          <w:rFonts w:eastAsiaTheme="minorHAnsi"/>
          <w:b w:val="0"/>
          <w:bCs w:val="0"/>
          <w:noProof w:val="0"/>
          <w:color w:val="auto"/>
        </w:rPr>
        <w:t>ies</w:t>
      </w:r>
      <w:r w:rsidR="00330664" w:rsidRPr="00EE43C6">
        <w:rPr>
          <w:rFonts w:eastAsiaTheme="minorHAnsi"/>
          <w:b w:val="0"/>
          <w:bCs w:val="0"/>
          <w:noProof w:val="0"/>
          <w:color w:val="auto"/>
        </w:rPr>
        <w:t xml:space="preserve"> of Wastewater </w:t>
      </w:r>
      <w:r w:rsidRPr="00EE43C6">
        <w:rPr>
          <w:rFonts w:eastAsiaTheme="minorHAnsi"/>
          <w:b w:val="0"/>
          <w:bCs w:val="0"/>
          <w:noProof w:val="0"/>
          <w:color w:val="auto"/>
        </w:rPr>
        <w:t>in OIZ</w:t>
      </w:r>
      <w:bookmarkEnd w:id="547"/>
    </w:p>
    <w:tbl>
      <w:tblPr>
        <w:tblStyle w:val="TableGrid"/>
        <w:tblW w:w="5000" w:type="pct"/>
        <w:jc w:val="center"/>
        <w:tblLook w:val="04A0" w:firstRow="1" w:lastRow="0" w:firstColumn="1" w:lastColumn="0" w:noHBand="0" w:noVBand="1"/>
      </w:tblPr>
      <w:tblGrid>
        <w:gridCol w:w="6174"/>
        <w:gridCol w:w="1445"/>
        <w:gridCol w:w="1445"/>
      </w:tblGrid>
      <w:tr w:rsidR="00420837" w:rsidRPr="00EE43C6" w14:paraId="64836BDE" w14:textId="77777777" w:rsidTr="00CE4A51">
        <w:trPr>
          <w:trHeight w:val="284"/>
          <w:tblHeader/>
          <w:jc w:val="center"/>
        </w:trPr>
        <w:tc>
          <w:tcPr>
            <w:tcW w:w="3406" w:type="pct"/>
            <w:shd w:val="clear" w:color="auto" w:fill="4F81BD"/>
            <w:vAlign w:val="center"/>
          </w:tcPr>
          <w:p w14:paraId="324CE17E" w14:textId="77777777" w:rsidR="00420837" w:rsidRPr="00EE43C6" w:rsidRDefault="00420837" w:rsidP="00CE4A51">
            <w:pPr>
              <w:spacing w:before="0" w:after="0" w:line="240" w:lineRule="auto"/>
              <w:jc w:val="left"/>
              <w:rPr>
                <w:rFonts w:cs="Wingdings"/>
                <w:b/>
                <w:bCs/>
                <w:color w:val="FFFFFF" w:themeColor="background1"/>
                <w:sz w:val="18"/>
                <w:szCs w:val="18"/>
              </w:rPr>
            </w:pPr>
            <w:r w:rsidRPr="00EE43C6">
              <w:rPr>
                <w:rFonts w:cs="Wingdings"/>
                <w:b/>
                <w:bCs/>
                <w:color w:val="FFFFFF" w:themeColor="background1"/>
                <w:sz w:val="18"/>
                <w:szCs w:val="18"/>
              </w:rPr>
              <w:t>Sectors</w:t>
            </w:r>
          </w:p>
        </w:tc>
        <w:tc>
          <w:tcPr>
            <w:tcW w:w="797" w:type="pct"/>
            <w:shd w:val="clear" w:color="auto" w:fill="4F81BD"/>
            <w:vAlign w:val="center"/>
          </w:tcPr>
          <w:p w14:paraId="6A2DFBDC" w14:textId="125706DA" w:rsidR="00420837" w:rsidRPr="00EE43C6" w:rsidRDefault="00420837" w:rsidP="00B625EB">
            <w:pPr>
              <w:spacing w:before="0" w:after="0" w:line="240" w:lineRule="auto"/>
              <w:jc w:val="center"/>
              <w:rPr>
                <w:rFonts w:cs="Wingdings"/>
                <w:b/>
                <w:color w:val="FFFFFF" w:themeColor="background1"/>
                <w:sz w:val="18"/>
                <w:szCs w:val="18"/>
              </w:rPr>
            </w:pPr>
            <w:r w:rsidRPr="00EE43C6">
              <w:rPr>
                <w:rFonts w:cs="Wingdings"/>
                <w:b/>
                <w:color w:val="FFFFFF" w:themeColor="background1"/>
                <w:sz w:val="18"/>
                <w:szCs w:val="18"/>
              </w:rPr>
              <w:t xml:space="preserve">Domestic Wastewater </w:t>
            </w:r>
          </w:p>
          <w:p w14:paraId="01241BBD" w14:textId="77777777" w:rsidR="00420837" w:rsidRPr="00EE43C6" w:rsidRDefault="00420837" w:rsidP="00B625EB">
            <w:pPr>
              <w:spacing w:before="0" w:after="0" w:line="240" w:lineRule="auto"/>
              <w:jc w:val="center"/>
              <w:rPr>
                <w:rFonts w:cs="Wingdings"/>
                <w:b/>
                <w:bCs/>
                <w:color w:val="FFFFFF" w:themeColor="background1"/>
                <w:sz w:val="18"/>
                <w:szCs w:val="18"/>
              </w:rPr>
            </w:pPr>
            <w:r w:rsidRPr="00EE43C6">
              <w:rPr>
                <w:rFonts w:cs="Wingdings"/>
                <w:b/>
                <w:bCs/>
                <w:color w:val="FFFFFF" w:themeColor="background1"/>
                <w:sz w:val="18"/>
                <w:szCs w:val="18"/>
              </w:rPr>
              <w:t>(m</w:t>
            </w:r>
            <w:r w:rsidRPr="00EE43C6">
              <w:rPr>
                <w:rFonts w:cs="Wingdings"/>
                <w:b/>
                <w:bCs/>
                <w:color w:val="FFFFFF" w:themeColor="background1"/>
                <w:sz w:val="18"/>
                <w:szCs w:val="18"/>
                <w:vertAlign w:val="superscript"/>
              </w:rPr>
              <w:t>3</w:t>
            </w:r>
            <w:r w:rsidRPr="00EE43C6">
              <w:rPr>
                <w:rFonts w:cs="Wingdings"/>
                <w:b/>
                <w:bCs/>
                <w:color w:val="FFFFFF" w:themeColor="background1"/>
                <w:sz w:val="18"/>
                <w:szCs w:val="18"/>
              </w:rPr>
              <w:t>/day)</w:t>
            </w:r>
          </w:p>
        </w:tc>
        <w:tc>
          <w:tcPr>
            <w:tcW w:w="797" w:type="pct"/>
            <w:shd w:val="clear" w:color="auto" w:fill="4F81BD"/>
            <w:vAlign w:val="center"/>
          </w:tcPr>
          <w:p w14:paraId="432B059F" w14:textId="79628870" w:rsidR="00420837" w:rsidRPr="00EE43C6" w:rsidRDefault="00727112" w:rsidP="00B625EB">
            <w:pPr>
              <w:spacing w:before="0" w:after="0" w:line="240" w:lineRule="auto"/>
              <w:jc w:val="center"/>
              <w:rPr>
                <w:rFonts w:cs="Wingdings"/>
                <w:b/>
                <w:bCs/>
                <w:color w:val="FFFFFF" w:themeColor="background1"/>
                <w:sz w:val="18"/>
                <w:szCs w:val="18"/>
              </w:rPr>
            </w:pPr>
            <w:r w:rsidRPr="00EE43C6">
              <w:rPr>
                <w:rFonts w:cs="Wingdings"/>
                <w:b/>
                <w:bCs/>
                <w:color w:val="FFFFFF" w:themeColor="background1"/>
                <w:sz w:val="18"/>
                <w:szCs w:val="18"/>
              </w:rPr>
              <w:t>Process</w:t>
            </w:r>
            <w:r w:rsidR="00420837" w:rsidRPr="00EE43C6">
              <w:rPr>
                <w:rFonts w:cs="Wingdings"/>
                <w:b/>
                <w:bCs/>
                <w:color w:val="FFFFFF" w:themeColor="background1"/>
                <w:sz w:val="18"/>
                <w:szCs w:val="18"/>
              </w:rPr>
              <w:t xml:space="preserve"> Wa</w:t>
            </w:r>
            <w:r w:rsidRPr="00EE43C6">
              <w:rPr>
                <w:rFonts w:cs="Wingdings"/>
                <w:b/>
                <w:bCs/>
                <w:color w:val="FFFFFF" w:themeColor="background1"/>
                <w:sz w:val="18"/>
                <w:szCs w:val="18"/>
              </w:rPr>
              <w:t>stewa</w:t>
            </w:r>
            <w:r w:rsidR="00420837" w:rsidRPr="00EE43C6">
              <w:rPr>
                <w:rFonts w:cs="Wingdings"/>
                <w:b/>
                <w:bCs/>
                <w:color w:val="FFFFFF" w:themeColor="background1"/>
                <w:sz w:val="18"/>
                <w:szCs w:val="18"/>
              </w:rPr>
              <w:t>ter (m</w:t>
            </w:r>
            <w:r w:rsidR="00420837" w:rsidRPr="00EE43C6">
              <w:rPr>
                <w:rFonts w:cs="Wingdings"/>
                <w:b/>
                <w:bCs/>
                <w:color w:val="FFFFFF" w:themeColor="background1"/>
                <w:sz w:val="18"/>
                <w:szCs w:val="18"/>
                <w:vertAlign w:val="superscript"/>
              </w:rPr>
              <w:t>3</w:t>
            </w:r>
            <w:r w:rsidR="00420837" w:rsidRPr="00EE43C6">
              <w:rPr>
                <w:rFonts w:cs="Wingdings"/>
                <w:b/>
                <w:bCs/>
                <w:color w:val="FFFFFF" w:themeColor="background1"/>
                <w:sz w:val="18"/>
                <w:szCs w:val="18"/>
              </w:rPr>
              <w:t>/day)</w:t>
            </w:r>
          </w:p>
        </w:tc>
      </w:tr>
      <w:tr w:rsidR="00420837" w:rsidRPr="00EE43C6" w14:paraId="6EDFEAF6" w14:textId="77777777" w:rsidTr="00CE4A51">
        <w:trPr>
          <w:trHeight w:val="284"/>
          <w:jc w:val="center"/>
        </w:trPr>
        <w:tc>
          <w:tcPr>
            <w:tcW w:w="3406" w:type="pct"/>
            <w:vAlign w:val="center"/>
          </w:tcPr>
          <w:p w14:paraId="20CE0BF3" w14:textId="77777777" w:rsidR="00420837" w:rsidRPr="00EE43C6" w:rsidRDefault="00420837" w:rsidP="00CE4A51">
            <w:pPr>
              <w:spacing w:before="0" w:after="0" w:line="240" w:lineRule="auto"/>
              <w:jc w:val="left"/>
              <w:rPr>
                <w:rFonts w:cs="Wingdings"/>
                <w:sz w:val="18"/>
                <w:szCs w:val="18"/>
              </w:rPr>
            </w:pPr>
            <w:r w:rsidRPr="00EE43C6">
              <w:rPr>
                <w:rFonts w:cs="Wingdings"/>
                <w:sz w:val="18"/>
                <w:szCs w:val="18"/>
              </w:rPr>
              <w:t>Nuts, Coffee Processing, Tahini, Halva Production and Packaging</w:t>
            </w:r>
          </w:p>
        </w:tc>
        <w:tc>
          <w:tcPr>
            <w:tcW w:w="797" w:type="pct"/>
            <w:vAlign w:val="center"/>
          </w:tcPr>
          <w:p w14:paraId="600EB1EA" w14:textId="40A782E7" w:rsidR="00420837" w:rsidRPr="00EE43C6" w:rsidRDefault="00727112" w:rsidP="00B625EB">
            <w:pPr>
              <w:spacing w:before="0" w:after="0" w:line="240" w:lineRule="auto"/>
              <w:jc w:val="center"/>
              <w:rPr>
                <w:rFonts w:cs="Wingdings"/>
                <w:sz w:val="18"/>
                <w:szCs w:val="18"/>
              </w:rPr>
            </w:pPr>
            <w:r w:rsidRPr="00EE43C6">
              <w:rPr>
                <w:rFonts w:cs="Wingdings"/>
                <w:sz w:val="18"/>
                <w:szCs w:val="18"/>
              </w:rPr>
              <w:t>108.60</w:t>
            </w:r>
          </w:p>
        </w:tc>
        <w:tc>
          <w:tcPr>
            <w:tcW w:w="797" w:type="pct"/>
            <w:vAlign w:val="center"/>
          </w:tcPr>
          <w:p w14:paraId="2ECC4E2D" w14:textId="7A011E8B" w:rsidR="00420837" w:rsidRPr="00EE43C6" w:rsidRDefault="00444C6E" w:rsidP="00B625EB">
            <w:pPr>
              <w:spacing w:before="0" w:after="0" w:line="240" w:lineRule="auto"/>
              <w:jc w:val="center"/>
              <w:rPr>
                <w:rFonts w:cs="Wingdings"/>
                <w:sz w:val="18"/>
                <w:szCs w:val="18"/>
              </w:rPr>
            </w:pPr>
            <w:r w:rsidRPr="00EE43C6">
              <w:rPr>
                <w:rFonts w:cs="Wingdings"/>
                <w:sz w:val="18"/>
                <w:szCs w:val="18"/>
              </w:rPr>
              <w:t>400</w:t>
            </w:r>
          </w:p>
        </w:tc>
      </w:tr>
      <w:tr w:rsidR="00420837" w:rsidRPr="00EE43C6" w14:paraId="6455CABE" w14:textId="77777777" w:rsidTr="00CE4A51">
        <w:trPr>
          <w:trHeight w:val="284"/>
          <w:jc w:val="center"/>
        </w:trPr>
        <w:tc>
          <w:tcPr>
            <w:tcW w:w="3406" w:type="pct"/>
            <w:vAlign w:val="center"/>
          </w:tcPr>
          <w:p w14:paraId="1F45DEAC" w14:textId="77777777" w:rsidR="00420837" w:rsidRPr="00EE43C6" w:rsidRDefault="00420837" w:rsidP="00CE4A51">
            <w:pPr>
              <w:spacing w:before="0" w:after="0" w:line="240" w:lineRule="auto"/>
              <w:jc w:val="left"/>
              <w:rPr>
                <w:rFonts w:cs="Wingdings"/>
                <w:sz w:val="18"/>
                <w:szCs w:val="18"/>
              </w:rPr>
            </w:pPr>
            <w:r w:rsidRPr="00EE43C6">
              <w:rPr>
                <w:rFonts w:cs="Wingdings"/>
                <w:sz w:val="18"/>
                <w:szCs w:val="18"/>
              </w:rPr>
              <w:t>Spice Processing and Packaging</w:t>
            </w:r>
          </w:p>
        </w:tc>
        <w:tc>
          <w:tcPr>
            <w:tcW w:w="797" w:type="pct"/>
            <w:vAlign w:val="center"/>
          </w:tcPr>
          <w:p w14:paraId="7663C9B0" w14:textId="3D72ECF2" w:rsidR="00420837" w:rsidRPr="00EE43C6" w:rsidRDefault="000E65FB" w:rsidP="00B625EB">
            <w:pPr>
              <w:spacing w:before="0" w:after="0" w:line="240" w:lineRule="auto"/>
              <w:jc w:val="center"/>
              <w:rPr>
                <w:rFonts w:cs="Wingdings"/>
                <w:sz w:val="18"/>
                <w:szCs w:val="18"/>
              </w:rPr>
            </w:pPr>
            <w:r w:rsidRPr="00EE43C6">
              <w:rPr>
                <w:rFonts w:cs="Wingdings"/>
                <w:sz w:val="18"/>
                <w:szCs w:val="18"/>
              </w:rPr>
              <w:t>38.01</w:t>
            </w:r>
          </w:p>
        </w:tc>
        <w:tc>
          <w:tcPr>
            <w:tcW w:w="797" w:type="pct"/>
            <w:vAlign w:val="center"/>
          </w:tcPr>
          <w:p w14:paraId="6D3D50E8" w14:textId="17151C63" w:rsidR="00420837" w:rsidRPr="00EE43C6" w:rsidRDefault="00444C6E" w:rsidP="00B625EB">
            <w:pPr>
              <w:spacing w:before="0" w:after="0" w:line="240" w:lineRule="auto"/>
              <w:jc w:val="center"/>
              <w:rPr>
                <w:rFonts w:cs="Wingdings"/>
                <w:sz w:val="18"/>
                <w:szCs w:val="18"/>
              </w:rPr>
            </w:pPr>
            <w:r w:rsidRPr="00EE43C6">
              <w:rPr>
                <w:rFonts w:cs="Wingdings"/>
                <w:sz w:val="18"/>
                <w:szCs w:val="18"/>
              </w:rPr>
              <w:t>100</w:t>
            </w:r>
          </w:p>
        </w:tc>
      </w:tr>
      <w:tr w:rsidR="00420837" w:rsidRPr="00EE43C6" w14:paraId="73DA7933" w14:textId="77777777" w:rsidTr="00CE4A51">
        <w:trPr>
          <w:trHeight w:val="284"/>
          <w:jc w:val="center"/>
        </w:trPr>
        <w:tc>
          <w:tcPr>
            <w:tcW w:w="3406" w:type="pct"/>
            <w:vAlign w:val="center"/>
          </w:tcPr>
          <w:p w14:paraId="4A4FBB9B" w14:textId="77777777" w:rsidR="00420837" w:rsidRPr="00EE43C6" w:rsidRDefault="00420837" w:rsidP="00CE4A51">
            <w:pPr>
              <w:spacing w:before="0" w:after="0" w:line="240" w:lineRule="auto"/>
              <w:jc w:val="left"/>
              <w:rPr>
                <w:rFonts w:cs="Wingdings"/>
                <w:sz w:val="18"/>
                <w:szCs w:val="18"/>
              </w:rPr>
            </w:pPr>
            <w:r w:rsidRPr="00EE43C6">
              <w:rPr>
                <w:rFonts w:cs="Wingdings"/>
                <w:sz w:val="18"/>
                <w:szCs w:val="18"/>
              </w:rPr>
              <w:t>Pulses Drying, Screening and Packaging</w:t>
            </w:r>
          </w:p>
        </w:tc>
        <w:tc>
          <w:tcPr>
            <w:tcW w:w="797" w:type="pct"/>
            <w:vAlign w:val="center"/>
          </w:tcPr>
          <w:p w14:paraId="0D94F18E" w14:textId="60B52345" w:rsidR="00420837" w:rsidRPr="00EE43C6" w:rsidRDefault="000E65FB" w:rsidP="00B625EB">
            <w:pPr>
              <w:spacing w:before="0" w:after="0" w:line="240" w:lineRule="auto"/>
              <w:jc w:val="center"/>
              <w:rPr>
                <w:rFonts w:cs="Wingdings"/>
                <w:sz w:val="18"/>
                <w:szCs w:val="18"/>
              </w:rPr>
            </w:pPr>
            <w:r w:rsidRPr="00EE43C6">
              <w:rPr>
                <w:rFonts w:cs="Wingdings"/>
                <w:sz w:val="18"/>
                <w:szCs w:val="18"/>
              </w:rPr>
              <w:t>32.58</w:t>
            </w:r>
          </w:p>
        </w:tc>
        <w:tc>
          <w:tcPr>
            <w:tcW w:w="797" w:type="pct"/>
            <w:vAlign w:val="center"/>
          </w:tcPr>
          <w:p w14:paraId="26039E3E" w14:textId="6BE96AF7" w:rsidR="00420837" w:rsidRPr="00EE43C6" w:rsidRDefault="00444C6E" w:rsidP="00B625EB">
            <w:pPr>
              <w:spacing w:before="0" w:after="0" w:line="240" w:lineRule="auto"/>
              <w:jc w:val="center"/>
              <w:rPr>
                <w:rFonts w:cs="Wingdings"/>
                <w:sz w:val="18"/>
                <w:szCs w:val="18"/>
              </w:rPr>
            </w:pPr>
            <w:r w:rsidRPr="00EE43C6">
              <w:rPr>
                <w:rFonts w:cs="Wingdings"/>
                <w:sz w:val="18"/>
                <w:szCs w:val="18"/>
              </w:rPr>
              <w:t>20</w:t>
            </w:r>
          </w:p>
        </w:tc>
      </w:tr>
      <w:tr w:rsidR="00420837" w:rsidRPr="00EE43C6" w14:paraId="0452CFBC" w14:textId="77777777" w:rsidTr="00CE4A51">
        <w:trPr>
          <w:trHeight w:val="284"/>
          <w:jc w:val="center"/>
        </w:trPr>
        <w:tc>
          <w:tcPr>
            <w:tcW w:w="3406" w:type="pct"/>
            <w:vAlign w:val="center"/>
          </w:tcPr>
          <w:p w14:paraId="1F68A113" w14:textId="77777777" w:rsidR="00420837" w:rsidRPr="00EE43C6" w:rsidRDefault="00420837" w:rsidP="00CE4A51">
            <w:pPr>
              <w:spacing w:before="0" w:after="0" w:line="240" w:lineRule="auto"/>
              <w:jc w:val="left"/>
              <w:rPr>
                <w:rFonts w:cs="Wingdings"/>
                <w:sz w:val="18"/>
                <w:szCs w:val="18"/>
              </w:rPr>
            </w:pPr>
            <w:r w:rsidRPr="00EE43C6">
              <w:rPr>
                <w:rFonts w:cs="Wingdings"/>
                <w:sz w:val="18"/>
                <w:szCs w:val="18"/>
              </w:rPr>
              <w:t>Tobacco Processing</w:t>
            </w:r>
          </w:p>
        </w:tc>
        <w:tc>
          <w:tcPr>
            <w:tcW w:w="797" w:type="pct"/>
            <w:vAlign w:val="center"/>
          </w:tcPr>
          <w:p w14:paraId="48F0B8DA" w14:textId="4BF2C1D8" w:rsidR="00420837" w:rsidRPr="00EE43C6" w:rsidRDefault="008B4B97" w:rsidP="00B625EB">
            <w:pPr>
              <w:spacing w:before="0" w:after="0" w:line="240" w:lineRule="auto"/>
              <w:jc w:val="center"/>
              <w:rPr>
                <w:rFonts w:cs="Wingdings"/>
                <w:sz w:val="18"/>
                <w:szCs w:val="18"/>
              </w:rPr>
            </w:pPr>
            <w:r w:rsidRPr="00EE43C6">
              <w:rPr>
                <w:rFonts w:cs="Wingdings"/>
                <w:sz w:val="18"/>
                <w:szCs w:val="18"/>
              </w:rPr>
              <w:t>27.15</w:t>
            </w:r>
          </w:p>
        </w:tc>
        <w:tc>
          <w:tcPr>
            <w:tcW w:w="797" w:type="pct"/>
            <w:vAlign w:val="center"/>
          </w:tcPr>
          <w:p w14:paraId="55F07203" w14:textId="63EB1890" w:rsidR="00420837" w:rsidRPr="00EE43C6" w:rsidRDefault="00444C6E" w:rsidP="00B625EB">
            <w:pPr>
              <w:spacing w:before="0" w:after="0" w:line="240" w:lineRule="auto"/>
              <w:jc w:val="center"/>
              <w:rPr>
                <w:rFonts w:cs="Wingdings"/>
                <w:sz w:val="18"/>
                <w:szCs w:val="18"/>
              </w:rPr>
            </w:pPr>
            <w:r w:rsidRPr="00EE43C6">
              <w:rPr>
                <w:rFonts w:cs="Wingdings"/>
                <w:sz w:val="18"/>
                <w:szCs w:val="18"/>
              </w:rPr>
              <w:t>50</w:t>
            </w:r>
          </w:p>
        </w:tc>
      </w:tr>
      <w:tr w:rsidR="00420837" w:rsidRPr="00EE43C6" w14:paraId="7C42B05F" w14:textId="77777777" w:rsidTr="00CE4A51">
        <w:trPr>
          <w:trHeight w:val="284"/>
          <w:jc w:val="center"/>
        </w:trPr>
        <w:tc>
          <w:tcPr>
            <w:tcW w:w="3406" w:type="pct"/>
            <w:vAlign w:val="center"/>
          </w:tcPr>
          <w:p w14:paraId="77F80F53" w14:textId="2188A6BE" w:rsidR="00420837" w:rsidRPr="00EE43C6" w:rsidRDefault="00420837" w:rsidP="00CE4A51">
            <w:pPr>
              <w:spacing w:before="0" w:after="0" w:line="240" w:lineRule="auto"/>
              <w:jc w:val="left"/>
              <w:rPr>
                <w:rFonts w:cs="Wingdings"/>
                <w:sz w:val="18"/>
                <w:szCs w:val="18"/>
              </w:rPr>
            </w:pPr>
            <w:r w:rsidRPr="00EE43C6">
              <w:rPr>
                <w:rFonts w:cs="Wingdings"/>
                <w:sz w:val="18"/>
                <w:szCs w:val="18"/>
              </w:rPr>
              <w:t>Pasteurized Liquid Egg Production (300 ton</w:t>
            </w:r>
            <w:r w:rsidR="001932B8" w:rsidRPr="00EE43C6">
              <w:rPr>
                <w:rFonts w:cs="Wingdings"/>
                <w:sz w:val="18"/>
                <w:szCs w:val="18"/>
              </w:rPr>
              <w:t>ne</w:t>
            </w:r>
            <w:r w:rsidRPr="00EE43C6">
              <w:rPr>
                <w:rFonts w:cs="Wingdings"/>
                <w:sz w:val="18"/>
                <w:szCs w:val="18"/>
              </w:rPr>
              <w:t>s/day)</w:t>
            </w:r>
          </w:p>
        </w:tc>
        <w:tc>
          <w:tcPr>
            <w:tcW w:w="797" w:type="pct"/>
            <w:vAlign w:val="center"/>
          </w:tcPr>
          <w:p w14:paraId="3C8A715D" w14:textId="25D68C20" w:rsidR="00420837" w:rsidRPr="00EE43C6" w:rsidRDefault="000E65FB" w:rsidP="00B625EB">
            <w:pPr>
              <w:spacing w:before="0" w:after="0" w:line="240" w:lineRule="auto"/>
              <w:jc w:val="center"/>
              <w:rPr>
                <w:rFonts w:cs="Wingdings"/>
                <w:sz w:val="18"/>
                <w:szCs w:val="18"/>
              </w:rPr>
            </w:pPr>
            <w:r w:rsidRPr="00EE43C6">
              <w:rPr>
                <w:rFonts w:cs="Wingdings"/>
                <w:sz w:val="18"/>
                <w:szCs w:val="18"/>
              </w:rPr>
              <w:t>27.15</w:t>
            </w:r>
          </w:p>
        </w:tc>
        <w:tc>
          <w:tcPr>
            <w:tcW w:w="797" w:type="pct"/>
            <w:vAlign w:val="center"/>
          </w:tcPr>
          <w:p w14:paraId="262BE025" w14:textId="58BF16D7" w:rsidR="00420837" w:rsidRPr="00EE43C6" w:rsidRDefault="00444C6E" w:rsidP="00B625EB">
            <w:pPr>
              <w:spacing w:before="0" w:after="0" w:line="240" w:lineRule="auto"/>
              <w:jc w:val="center"/>
              <w:rPr>
                <w:rFonts w:cs="Wingdings"/>
                <w:sz w:val="18"/>
                <w:szCs w:val="18"/>
              </w:rPr>
            </w:pPr>
            <w:r w:rsidRPr="00EE43C6">
              <w:rPr>
                <w:rFonts w:cs="Wingdings"/>
                <w:sz w:val="18"/>
                <w:szCs w:val="18"/>
              </w:rPr>
              <w:t>500</w:t>
            </w:r>
          </w:p>
        </w:tc>
      </w:tr>
      <w:tr w:rsidR="00420837" w:rsidRPr="00EE43C6" w14:paraId="6AD6DDF7" w14:textId="77777777" w:rsidTr="00CE4A51">
        <w:trPr>
          <w:trHeight w:val="284"/>
          <w:jc w:val="center"/>
        </w:trPr>
        <w:tc>
          <w:tcPr>
            <w:tcW w:w="3406" w:type="pct"/>
            <w:vAlign w:val="center"/>
          </w:tcPr>
          <w:p w14:paraId="257530E9" w14:textId="77777777" w:rsidR="00420837" w:rsidRPr="00EE43C6" w:rsidRDefault="00420837" w:rsidP="00CE4A51">
            <w:pPr>
              <w:spacing w:before="0" w:after="0" w:line="240" w:lineRule="auto"/>
              <w:jc w:val="left"/>
              <w:rPr>
                <w:rFonts w:cs="Wingdings"/>
                <w:sz w:val="18"/>
                <w:szCs w:val="18"/>
              </w:rPr>
            </w:pPr>
            <w:r w:rsidRPr="00EE43C6">
              <w:rPr>
                <w:rFonts w:cs="Wingdings"/>
                <w:sz w:val="18"/>
                <w:szCs w:val="18"/>
              </w:rPr>
              <w:t>Fruit Juice Production, Fruit Extracts (Vinegar, Molasses, Pomegranate Syrup, Lemon Sauce) Processing</w:t>
            </w:r>
          </w:p>
        </w:tc>
        <w:tc>
          <w:tcPr>
            <w:tcW w:w="797" w:type="pct"/>
            <w:vAlign w:val="center"/>
          </w:tcPr>
          <w:p w14:paraId="4FCACD4E" w14:textId="4317B863" w:rsidR="00420837" w:rsidRPr="00EE43C6" w:rsidRDefault="00792641" w:rsidP="00B625EB">
            <w:pPr>
              <w:spacing w:before="0" w:after="0" w:line="240" w:lineRule="auto"/>
              <w:jc w:val="center"/>
              <w:rPr>
                <w:rFonts w:cs="Wingdings"/>
                <w:sz w:val="18"/>
                <w:szCs w:val="18"/>
              </w:rPr>
            </w:pPr>
            <w:r w:rsidRPr="00EE43C6">
              <w:rPr>
                <w:rFonts w:cs="Wingdings"/>
                <w:sz w:val="18"/>
                <w:szCs w:val="18"/>
              </w:rPr>
              <w:t>32.58</w:t>
            </w:r>
          </w:p>
        </w:tc>
        <w:tc>
          <w:tcPr>
            <w:tcW w:w="797" w:type="pct"/>
            <w:vAlign w:val="center"/>
          </w:tcPr>
          <w:p w14:paraId="3233086C" w14:textId="3CE0F7C6" w:rsidR="00420837" w:rsidRPr="00EE43C6" w:rsidRDefault="00444C6E" w:rsidP="00B625EB">
            <w:pPr>
              <w:spacing w:before="0" w:after="0" w:line="240" w:lineRule="auto"/>
              <w:jc w:val="center"/>
              <w:rPr>
                <w:rFonts w:cs="Wingdings"/>
                <w:sz w:val="18"/>
                <w:szCs w:val="18"/>
              </w:rPr>
            </w:pPr>
            <w:r w:rsidRPr="00EE43C6">
              <w:rPr>
                <w:rFonts w:cs="Wingdings"/>
                <w:sz w:val="18"/>
                <w:szCs w:val="18"/>
              </w:rPr>
              <w:t>200</w:t>
            </w:r>
          </w:p>
        </w:tc>
      </w:tr>
      <w:tr w:rsidR="00420837" w:rsidRPr="00EE43C6" w14:paraId="32BCC2A8" w14:textId="77777777" w:rsidTr="00CE4A51">
        <w:trPr>
          <w:trHeight w:val="284"/>
          <w:jc w:val="center"/>
        </w:trPr>
        <w:tc>
          <w:tcPr>
            <w:tcW w:w="3406" w:type="pct"/>
            <w:vAlign w:val="center"/>
          </w:tcPr>
          <w:p w14:paraId="500E388D" w14:textId="77777777" w:rsidR="00420837" w:rsidRPr="00EE43C6" w:rsidRDefault="00420837" w:rsidP="00CE4A51">
            <w:pPr>
              <w:spacing w:before="0" w:after="0" w:line="240" w:lineRule="auto"/>
              <w:jc w:val="left"/>
              <w:rPr>
                <w:rFonts w:cs="Wingdings"/>
                <w:sz w:val="18"/>
                <w:szCs w:val="18"/>
              </w:rPr>
            </w:pPr>
            <w:r w:rsidRPr="00EE43C6">
              <w:rPr>
                <w:rFonts w:cs="Wingdings"/>
                <w:sz w:val="18"/>
                <w:szCs w:val="18"/>
              </w:rPr>
              <w:t>Fisheries Processing, Packaging and Storage</w:t>
            </w:r>
          </w:p>
        </w:tc>
        <w:tc>
          <w:tcPr>
            <w:tcW w:w="797" w:type="pct"/>
            <w:vAlign w:val="center"/>
          </w:tcPr>
          <w:p w14:paraId="265EC523" w14:textId="2CFDF304" w:rsidR="00420837" w:rsidRPr="00EE43C6" w:rsidRDefault="00FB2FED" w:rsidP="00B625EB">
            <w:pPr>
              <w:spacing w:before="0" w:after="0" w:line="240" w:lineRule="auto"/>
              <w:jc w:val="center"/>
              <w:rPr>
                <w:rFonts w:cs="Wingdings"/>
                <w:sz w:val="18"/>
                <w:szCs w:val="18"/>
              </w:rPr>
            </w:pPr>
            <w:r w:rsidRPr="00EE43C6">
              <w:rPr>
                <w:rFonts w:cs="Wingdings"/>
                <w:sz w:val="18"/>
                <w:szCs w:val="18"/>
              </w:rPr>
              <w:t>32.58</w:t>
            </w:r>
          </w:p>
        </w:tc>
        <w:tc>
          <w:tcPr>
            <w:tcW w:w="797" w:type="pct"/>
            <w:vAlign w:val="center"/>
          </w:tcPr>
          <w:p w14:paraId="1CBDA702" w14:textId="34D56567" w:rsidR="00420837" w:rsidRPr="00EE43C6" w:rsidRDefault="00444C6E" w:rsidP="00B625EB">
            <w:pPr>
              <w:spacing w:before="0" w:after="0" w:line="240" w:lineRule="auto"/>
              <w:jc w:val="center"/>
              <w:rPr>
                <w:rFonts w:cs="Wingdings"/>
                <w:sz w:val="18"/>
                <w:szCs w:val="18"/>
              </w:rPr>
            </w:pPr>
            <w:r w:rsidRPr="00EE43C6">
              <w:rPr>
                <w:rFonts w:cs="Wingdings"/>
                <w:sz w:val="18"/>
                <w:szCs w:val="18"/>
              </w:rPr>
              <w:t>50</w:t>
            </w:r>
          </w:p>
        </w:tc>
      </w:tr>
      <w:tr w:rsidR="00420837" w:rsidRPr="00EE43C6" w14:paraId="7A2071DC" w14:textId="77777777" w:rsidTr="00CE4A51">
        <w:trPr>
          <w:trHeight w:val="284"/>
          <w:jc w:val="center"/>
        </w:trPr>
        <w:tc>
          <w:tcPr>
            <w:tcW w:w="3406" w:type="pct"/>
            <w:vAlign w:val="center"/>
          </w:tcPr>
          <w:p w14:paraId="0E847316" w14:textId="77777777" w:rsidR="00420837" w:rsidRPr="00EE43C6" w:rsidRDefault="00420837" w:rsidP="00CE4A51">
            <w:pPr>
              <w:spacing w:before="0" w:after="0" w:line="240" w:lineRule="auto"/>
              <w:jc w:val="left"/>
              <w:rPr>
                <w:rFonts w:cs="Wingdings"/>
                <w:sz w:val="18"/>
                <w:szCs w:val="18"/>
              </w:rPr>
            </w:pPr>
            <w:r w:rsidRPr="00EE43C6">
              <w:rPr>
                <w:rFonts w:cs="Wingdings"/>
                <w:sz w:val="18"/>
                <w:szCs w:val="18"/>
              </w:rPr>
              <w:t>Processing of Medicinal and Aromatic Plants Production of Herbal Cosmetics</w:t>
            </w:r>
          </w:p>
        </w:tc>
        <w:tc>
          <w:tcPr>
            <w:tcW w:w="797" w:type="pct"/>
            <w:vAlign w:val="center"/>
          </w:tcPr>
          <w:p w14:paraId="4DC74315" w14:textId="440FE18F" w:rsidR="00420837" w:rsidRPr="00EE43C6" w:rsidRDefault="00FB2FED" w:rsidP="00B625EB">
            <w:pPr>
              <w:spacing w:before="0" w:after="0" w:line="240" w:lineRule="auto"/>
              <w:jc w:val="center"/>
              <w:rPr>
                <w:rFonts w:cs="Wingdings"/>
                <w:sz w:val="18"/>
                <w:szCs w:val="18"/>
              </w:rPr>
            </w:pPr>
            <w:r w:rsidRPr="00EE43C6">
              <w:rPr>
                <w:rFonts w:cs="Wingdings"/>
                <w:sz w:val="18"/>
                <w:szCs w:val="18"/>
              </w:rPr>
              <w:t>32.58</w:t>
            </w:r>
          </w:p>
        </w:tc>
        <w:tc>
          <w:tcPr>
            <w:tcW w:w="797" w:type="pct"/>
            <w:vAlign w:val="center"/>
          </w:tcPr>
          <w:p w14:paraId="706552A5" w14:textId="6C1442C8" w:rsidR="00420837" w:rsidRPr="00EE43C6" w:rsidRDefault="009E6F13" w:rsidP="00B625EB">
            <w:pPr>
              <w:spacing w:before="0" w:after="0" w:line="240" w:lineRule="auto"/>
              <w:jc w:val="center"/>
              <w:rPr>
                <w:rFonts w:cs="Wingdings"/>
                <w:sz w:val="18"/>
                <w:szCs w:val="18"/>
              </w:rPr>
            </w:pPr>
            <w:r w:rsidRPr="00EE43C6">
              <w:rPr>
                <w:rFonts w:cs="Wingdings"/>
                <w:sz w:val="18"/>
                <w:szCs w:val="18"/>
              </w:rPr>
              <w:t>500</w:t>
            </w:r>
          </w:p>
        </w:tc>
      </w:tr>
      <w:tr w:rsidR="00420837" w:rsidRPr="00EE43C6" w14:paraId="0D229967" w14:textId="77777777" w:rsidTr="00CE4A51">
        <w:trPr>
          <w:trHeight w:val="284"/>
          <w:jc w:val="center"/>
        </w:trPr>
        <w:tc>
          <w:tcPr>
            <w:tcW w:w="3406" w:type="pct"/>
            <w:vAlign w:val="center"/>
          </w:tcPr>
          <w:p w14:paraId="49BCF0BE" w14:textId="77777777" w:rsidR="00420837" w:rsidRPr="00EE43C6" w:rsidRDefault="00420837" w:rsidP="00CE4A51">
            <w:pPr>
              <w:spacing w:before="0" w:after="0" w:line="240" w:lineRule="auto"/>
              <w:jc w:val="left"/>
              <w:rPr>
                <w:rFonts w:cs="Wingdings"/>
                <w:sz w:val="18"/>
                <w:szCs w:val="18"/>
              </w:rPr>
            </w:pPr>
            <w:r w:rsidRPr="00EE43C6">
              <w:rPr>
                <w:rFonts w:cs="Wingdings"/>
                <w:sz w:val="18"/>
                <w:szCs w:val="18"/>
              </w:rPr>
              <w:t>Canned Food Production</w:t>
            </w:r>
          </w:p>
        </w:tc>
        <w:tc>
          <w:tcPr>
            <w:tcW w:w="797" w:type="pct"/>
            <w:vAlign w:val="center"/>
          </w:tcPr>
          <w:p w14:paraId="1018909D" w14:textId="4E60B20E" w:rsidR="00420837" w:rsidRPr="00EE43C6" w:rsidRDefault="00A95161" w:rsidP="00B625EB">
            <w:pPr>
              <w:spacing w:before="0" w:after="0" w:line="240" w:lineRule="auto"/>
              <w:jc w:val="center"/>
              <w:rPr>
                <w:rFonts w:cs="Wingdings"/>
                <w:sz w:val="18"/>
                <w:szCs w:val="18"/>
              </w:rPr>
            </w:pPr>
            <w:r w:rsidRPr="00EE43C6">
              <w:rPr>
                <w:rFonts w:cs="Wingdings"/>
                <w:sz w:val="18"/>
                <w:szCs w:val="18"/>
              </w:rPr>
              <w:t>25.34</w:t>
            </w:r>
          </w:p>
        </w:tc>
        <w:tc>
          <w:tcPr>
            <w:tcW w:w="797" w:type="pct"/>
            <w:vAlign w:val="center"/>
          </w:tcPr>
          <w:p w14:paraId="1970881E" w14:textId="0B7EE247" w:rsidR="00420837" w:rsidRPr="00EE43C6" w:rsidRDefault="001A6A32" w:rsidP="00B625EB">
            <w:pPr>
              <w:spacing w:before="0" w:after="0" w:line="240" w:lineRule="auto"/>
              <w:jc w:val="center"/>
              <w:rPr>
                <w:rFonts w:cs="Wingdings"/>
                <w:sz w:val="18"/>
                <w:szCs w:val="18"/>
              </w:rPr>
            </w:pPr>
            <w:r w:rsidRPr="00EE43C6">
              <w:rPr>
                <w:rFonts w:cs="Wingdings"/>
                <w:sz w:val="18"/>
                <w:szCs w:val="18"/>
              </w:rPr>
              <w:t>-</w:t>
            </w:r>
          </w:p>
        </w:tc>
      </w:tr>
      <w:tr w:rsidR="00A95161" w:rsidRPr="00EE43C6" w14:paraId="0FD1FA19" w14:textId="77777777" w:rsidTr="00CE4A51">
        <w:trPr>
          <w:trHeight w:val="284"/>
          <w:jc w:val="center"/>
        </w:trPr>
        <w:tc>
          <w:tcPr>
            <w:tcW w:w="3406" w:type="pct"/>
            <w:vAlign w:val="center"/>
          </w:tcPr>
          <w:p w14:paraId="0363C83B" w14:textId="77777777" w:rsidR="00A95161" w:rsidRPr="00EE43C6" w:rsidRDefault="00A95161" w:rsidP="00CE4A51">
            <w:pPr>
              <w:spacing w:before="0" w:after="0" w:line="240" w:lineRule="auto"/>
              <w:jc w:val="left"/>
              <w:rPr>
                <w:rFonts w:cs="Wingdings"/>
                <w:sz w:val="18"/>
                <w:szCs w:val="18"/>
              </w:rPr>
            </w:pPr>
            <w:r w:rsidRPr="00EE43C6">
              <w:rPr>
                <w:rFonts w:cs="Wingdings"/>
                <w:sz w:val="18"/>
                <w:szCs w:val="18"/>
              </w:rPr>
              <w:t>Seed Screening, Processing and Packaging</w:t>
            </w:r>
          </w:p>
        </w:tc>
        <w:tc>
          <w:tcPr>
            <w:tcW w:w="797" w:type="pct"/>
          </w:tcPr>
          <w:p w14:paraId="32B52CD7" w14:textId="3B97CEA5" w:rsidR="00A95161" w:rsidRPr="00EE43C6" w:rsidRDefault="00A95161" w:rsidP="00B625EB">
            <w:pPr>
              <w:spacing w:before="0" w:after="0" w:line="240" w:lineRule="auto"/>
              <w:jc w:val="center"/>
              <w:rPr>
                <w:rFonts w:cs="Wingdings"/>
                <w:sz w:val="18"/>
                <w:szCs w:val="18"/>
              </w:rPr>
            </w:pPr>
            <w:r w:rsidRPr="00EE43C6">
              <w:rPr>
                <w:sz w:val="18"/>
                <w:szCs w:val="18"/>
              </w:rPr>
              <w:t>21.72</w:t>
            </w:r>
          </w:p>
        </w:tc>
        <w:tc>
          <w:tcPr>
            <w:tcW w:w="797" w:type="pct"/>
            <w:vAlign w:val="center"/>
          </w:tcPr>
          <w:p w14:paraId="6B860746" w14:textId="3E0E920B" w:rsidR="00A95161" w:rsidRPr="00EE43C6" w:rsidRDefault="001A6A32" w:rsidP="00B625EB">
            <w:pPr>
              <w:spacing w:before="0" w:after="0" w:line="240" w:lineRule="auto"/>
              <w:jc w:val="center"/>
              <w:rPr>
                <w:rFonts w:cs="Wingdings"/>
                <w:sz w:val="18"/>
                <w:szCs w:val="18"/>
              </w:rPr>
            </w:pPr>
            <w:r w:rsidRPr="00EE43C6">
              <w:rPr>
                <w:rFonts w:cs="Wingdings"/>
                <w:sz w:val="18"/>
                <w:szCs w:val="18"/>
              </w:rPr>
              <w:t>-</w:t>
            </w:r>
          </w:p>
        </w:tc>
      </w:tr>
      <w:tr w:rsidR="00A95161" w:rsidRPr="00EE43C6" w14:paraId="6A630E80" w14:textId="77777777" w:rsidTr="00CE4A51">
        <w:trPr>
          <w:trHeight w:val="284"/>
          <w:jc w:val="center"/>
        </w:trPr>
        <w:tc>
          <w:tcPr>
            <w:tcW w:w="3406" w:type="pct"/>
            <w:vAlign w:val="center"/>
          </w:tcPr>
          <w:p w14:paraId="057459B1" w14:textId="77777777" w:rsidR="00A95161" w:rsidRPr="00EE43C6" w:rsidRDefault="00A95161" w:rsidP="00CE4A51">
            <w:pPr>
              <w:spacing w:before="0" w:after="0" w:line="240" w:lineRule="auto"/>
              <w:jc w:val="left"/>
              <w:rPr>
                <w:rFonts w:cs="Wingdings"/>
                <w:sz w:val="18"/>
                <w:szCs w:val="18"/>
              </w:rPr>
            </w:pPr>
            <w:r w:rsidRPr="00EE43C6">
              <w:rPr>
                <w:rFonts w:cs="Wingdings"/>
                <w:sz w:val="18"/>
                <w:szCs w:val="18"/>
              </w:rPr>
              <w:t>Agricultural Machinery Production</w:t>
            </w:r>
          </w:p>
        </w:tc>
        <w:tc>
          <w:tcPr>
            <w:tcW w:w="797" w:type="pct"/>
          </w:tcPr>
          <w:p w14:paraId="5FFD9951" w14:textId="1774972A" w:rsidR="00A95161" w:rsidRPr="00EE43C6" w:rsidRDefault="00A95161" w:rsidP="00B625EB">
            <w:pPr>
              <w:spacing w:before="0" w:after="0" w:line="240" w:lineRule="auto"/>
              <w:jc w:val="center"/>
              <w:rPr>
                <w:rFonts w:cs="Wingdings"/>
                <w:sz w:val="18"/>
                <w:szCs w:val="18"/>
              </w:rPr>
            </w:pPr>
            <w:r w:rsidRPr="00EE43C6">
              <w:rPr>
                <w:sz w:val="18"/>
                <w:szCs w:val="18"/>
              </w:rPr>
              <w:t>146.61</w:t>
            </w:r>
          </w:p>
        </w:tc>
        <w:tc>
          <w:tcPr>
            <w:tcW w:w="797" w:type="pct"/>
            <w:vAlign w:val="center"/>
          </w:tcPr>
          <w:p w14:paraId="1EEFA393" w14:textId="66615E13" w:rsidR="00A95161" w:rsidRPr="00EE43C6" w:rsidRDefault="001A6A32" w:rsidP="00B625EB">
            <w:pPr>
              <w:spacing w:before="0" w:after="0" w:line="240" w:lineRule="auto"/>
              <w:jc w:val="center"/>
              <w:rPr>
                <w:rFonts w:cs="Wingdings"/>
                <w:sz w:val="18"/>
                <w:szCs w:val="18"/>
              </w:rPr>
            </w:pPr>
            <w:r w:rsidRPr="00EE43C6">
              <w:rPr>
                <w:rFonts w:cs="Wingdings"/>
                <w:sz w:val="18"/>
                <w:szCs w:val="18"/>
              </w:rPr>
              <w:t>-</w:t>
            </w:r>
          </w:p>
        </w:tc>
      </w:tr>
      <w:tr w:rsidR="00A95161" w:rsidRPr="00EE43C6" w14:paraId="03635E76" w14:textId="77777777" w:rsidTr="00CE4A51">
        <w:trPr>
          <w:trHeight w:val="284"/>
          <w:jc w:val="center"/>
        </w:trPr>
        <w:tc>
          <w:tcPr>
            <w:tcW w:w="3406" w:type="pct"/>
            <w:vAlign w:val="center"/>
          </w:tcPr>
          <w:p w14:paraId="75302501" w14:textId="77777777" w:rsidR="00A95161" w:rsidRPr="00EE43C6" w:rsidRDefault="00A95161" w:rsidP="00CE4A51">
            <w:pPr>
              <w:spacing w:before="0" w:after="0" w:line="240" w:lineRule="auto"/>
              <w:jc w:val="left"/>
              <w:rPr>
                <w:rFonts w:cs="Wingdings"/>
                <w:sz w:val="18"/>
                <w:szCs w:val="18"/>
              </w:rPr>
            </w:pPr>
            <w:r w:rsidRPr="00EE43C6">
              <w:rPr>
                <w:rFonts w:cs="Wingdings"/>
                <w:sz w:val="18"/>
                <w:szCs w:val="18"/>
              </w:rPr>
              <w:t>Other Personnel</w:t>
            </w:r>
          </w:p>
        </w:tc>
        <w:tc>
          <w:tcPr>
            <w:tcW w:w="797" w:type="pct"/>
          </w:tcPr>
          <w:p w14:paraId="0B666A88" w14:textId="6A360E0D" w:rsidR="00A95161" w:rsidRPr="00EE43C6" w:rsidRDefault="00A95161" w:rsidP="00B625EB">
            <w:pPr>
              <w:spacing w:before="0" w:after="0" w:line="240" w:lineRule="auto"/>
              <w:jc w:val="center"/>
              <w:rPr>
                <w:rFonts w:cs="Wingdings"/>
                <w:sz w:val="18"/>
                <w:szCs w:val="18"/>
              </w:rPr>
            </w:pPr>
            <w:r w:rsidRPr="00EE43C6">
              <w:rPr>
                <w:sz w:val="18"/>
                <w:szCs w:val="18"/>
              </w:rPr>
              <w:t>108.60</w:t>
            </w:r>
          </w:p>
        </w:tc>
        <w:tc>
          <w:tcPr>
            <w:tcW w:w="797" w:type="pct"/>
            <w:vAlign w:val="center"/>
          </w:tcPr>
          <w:p w14:paraId="73118D37" w14:textId="0435E990" w:rsidR="00A95161" w:rsidRPr="00EE43C6" w:rsidRDefault="00181C2C" w:rsidP="00B625EB">
            <w:pPr>
              <w:spacing w:before="0" w:after="0" w:line="240" w:lineRule="auto"/>
              <w:jc w:val="center"/>
              <w:rPr>
                <w:rFonts w:cs="Wingdings"/>
                <w:sz w:val="18"/>
                <w:szCs w:val="18"/>
              </w:rPr>
            </w:pPr>
            <w:r w:rsidRPr="00EE43C6">
              <w:rPr>
                <w:rFonts w:cs="Wingdings"/>
                <w:sz w:val="18"/>
                <w:szCs w:val="18"/>
              </w:rPr>
              <w:t>-</w:t>
            </w:r>
          </w:p>
        </w:tc>
      </w:tr>
      <w:tr w:rsidR="00420837" w:rsidRPr="00EE43C6" w14:paraId="2FB867C3" w14:textId="77777777" w:rsidTr="00CE4A51">
        <w:trPr>
          <w:trHeight w:val="284"/>
          <w:jc w:val="center"/>
        </w:trPr>
        <w:tc>
          <w:tcPr>
            <w:tcW w:w="3406" w:type="pct"/>
          </w:tcPr>
          <w:p w14:paraId="162B8280" w14:textId="77777777" w:rsidR="00420837" w:rsidRPr="00EE43C6" w:rsidRDefault="00420837" w:rsidP="00B625EB">
            <w:pPr>
              <w:spacing w:before="0" w:after="0" w:line="240" w:lineRule="auto"/>
              <w:jc w:val="right"/>
              <w:rPr>
                <w:rFonts w:cs="Wingdings"/>
                <w:b/>
                <w:bCs/>
                <w:sz w:val="18"/>
                <w:szCs w:val="18"/>
              </w:rPr>
            </w:pPr>
            <w:r w:rsidRPr="00EE43C6">
              <w:rPr>
                <w:rFonts w:cs="Wingdings"/>
                <w:b/>
                <w:bCs/>
                <w:sz w:val="18"/>
                <w:szCs w:val="18"/>
              </w:rPr>
              <w:t>TOTAL</w:t>
            </w:r>
          </w:p>
        </w:tc>
        <w:tc>
          <w:tcPr>
            <w:tcW w:w="797" w:type="pct"/>
            <w:vAlign w:val="center"/>
          </w:tcPr>
          <w:p w14:paraId="39DF4E7F" w14:textId="3733D452" w:rsidR="00420837" w:rsidRPr="00EE43C6" w:rsidRDefault="00E77690" w:rsidP="00B625EB">
            <w:pPr>
              <w:spacing w:before="0" w:after="0" w:line="240" w:lineRule="auto"/>
              <w:jc w:val="center"/>
              <w:rPr>
                <w:rFonts w:cs="Wingdings"/>
                <w:sz w:val="18"/>
                <w:szCs w:val="18"/>
              </w:rPr>
            </w:pPr>
            <w:r w:rsidRPr="00EE43C6">
              <w:rPr>
                <w:rFonts w:cs="Wingdings"/>
                <w:sz w:val="18"/>
                <w:szCs w:val="18"/>
              </w:rPr>
              <w:t>633</w:t>
            </w:r>
            <w:r w:rsidR="00420837" w:rsidRPr="00EE43C6">
              <w:rPr>
                <w:rFonts w:cs="Wingdings"/>
                <w:sz w:val="18"/>
                <w:szCs w:val="18"/>
              </w:rPr>
              <w:t>.5</w:t>
            </w:r>
          </w:p>
        </w:tc>
        <w:tc>
          <w:tcPr>
            <w:tcW w:w="797" w:type="pct"/>
            <w:vAlign w:val="center"/>
          </w:tcPr>
          <w:p w14:paraId="46D33581" w14:textId="0CC62BE7" w:rsidR="00420837" w:rsidRPr="00EE43C6" w:rsidRDefault="00E908A2" w:rsidP="00B625EB">
            <w:pPr>
              <w:spacing w:before="0" w:after="0" w:line="240" w:lineRule="auto"/>
              <w:jc w:val="center"/>
              <w:rPr>
                <w:rFonts w:cs="Wingdings"/>
                <w:sz w:val="18"/>
                <w:szCs w:val="18"/>
              </w:rPr>
            </w:pPr>
            <w:r w:rsidRPr="00EE43C6">
              <w:rPr>
                <w:rFonts w:cs="Wingdings"/>
                <w:sz w:val="18"/>
                <w:szCs w:val="18"/>
              </w:rPr>
              <w:t>1,820</w:t>
            </w:r>
          </w:p>
        </w:tc>
      </w:tr>
      <w:tr w:rsidR="00420837" w:rsidRPr="00EE43C6" w14:paraId="3CBFBF8A" w14:textId="77777777" w:rsidTr="00CE4A51">
        <w:trPr>
          <w:trHeight w:val="284"/>
          <w:jc w:val="center"/>
        </w:trPr>
        <w:tc>
          <w:tcPr>
            <w:tcW w:w="3406" w:type="pct"/>
          </w:tcPr>
          <w:p w14:paraId="50716BC5" w14:textId="4D318DEF" w:rsidR="00420837" w:rsidRPr="00EE43C6" w:rsidRDefault="009C4068" w:rsidP="00B625EB">
            <w:pPr>
              <w:spacing w:before="0" w:after="0" w:line="240" w:lineRule="auto"/>
              <w:jc w:val="right"/>
              <w:rPr>
                <w:rFonts w:cs="Wingdings"/>
                <w:b/>
                <w:bCs/>
                <w:sz w:val="18"/>
                <w:szCs w:val="18"/>
              </w:rPr>
            </w:pPr>
            <w:r w:rsidRPr="00EE43C6">
              <w:rPr>
                <w:rFonts w:cs="Wingdings"/>
                <w:b/>
                <w:bCs/>
                <w:sz w:val="18"/>
                <w:szCs w:val="18"/>
              </w:rPr>
              <w:t>QUANTITY</w:t>
            </w:r>
            <w:r w:rsidR="00CD5A85" w:rsidRPr="00EE43C6">
              <w:rPr>
                <w:rFonts w:cs="Wingdings"/>
                <w:b/>
                <w:bCs/>
                <w:sz w:val="18"/>
                <w:szCs w:val="18"/>
              </w:rPr>
              <w:t xml:space="preserve"> OF WASTEWATER TO BE TREATED</w:t>
            </w:r>
          </w:p>
        </w:tc>
        <w:tc>
          <w:tcPr>
            <w:tcW w:w="1594" w:type="pct"/>
            <w:gridSpan w:val="2"/>
          </w:tcPr>
          <w:p w14:paraId="7FCED49E" w14:textId="12705734" w:rsidR="00420837" w:rsidRPr="00EE43C6" w:rsidRDefault="002C5815" w:rsidP="00B625EB">
            <w:pPr>
              <w:spacing w:before="0" w:after="0" w:line="240" w:lineRule="auto"/>
              <w:jc w:val="center"/>
              <w:rPr>
                <w:rFonts w:cs="Wingdings"/>
                <w:b/>
                <w:bCs/>
                <w:sz w:val="18"/>
                <w:szCs w:val="18"/>
              </w:rPr>
            </w:pPr>
            <w:r w:rsidRPr="00EE43C6">
              <w:rPr>
                <w:rFonts w:cs="Wingdings"/>
                <w:b/>
                <w:bCs/>
                <w:sz w:val="18"/>
                <w:szCs w:val="18"/>
              </w:rPr>
              <w:t>2,453.5</w:t>
            </w:r>
            <w:r w:rsidR="00420837" w:rsidRPr="00EE43C6">
              <w:rPr>
                <w:rFonts w:cs="Wingdings"/>
                <w:b/>
                <w:bCs/>
                <w:sz w:val="18"/>
                <w:szCs w:val="18"/>
              </w:rPr>
              <w:t xml:space="preserve"> m</w:t>
            </w:r>
            <w:r w:rsidR="00420837" w:rsidRPr="00EE43C6">
              <w:rPr>
                <w:rFonts w:cs="Wingdings"/>
                <w:b/>
                <w:bCs/>
                <w:sz w:val="18"/>
                <w:szCs w:val="18"/>
                <w:vertAlign w:val="superscript"/>
              </w:rPr>
              <w:t>3</w:t>
            </w:r>
            <w:r w:rsidR="00420837" w:rsidRPr="00EE43C6">
              <w:rPr>
                <w:rFonts w:cs="Wingdings"/>
                <w:b/>
                <w:bCs/>
                <w:sz w:val="18"/>
                <w:szCs w:val="18"/>
              </w:rPr>
              <w:t>/day</w:t>
            </w:r>
          </w:p>
        </w:tc>
      </w:tr>
    </w:tbl>
    <w:p w14:paraId="34D06BB5" w14:textId="3B036ABD" w:rsidR="004D08CB" w:rsidRDefault="00A1530D" w:rsidP="00974D5C">
      <w:pPr>
        <w:rPr>
          <w:rFonts w:eastAsiaTheme="minorHAnsi"/>
          <w:lang w:eastAsia="en-US"/>
        </w:rPr>
      </w:pPr>
      <w:r w:rsidRPr="00EE43C6">
        <w:rPr>
          <w:rFonts w:eastAsiaTheme="minorHAnsi"/>
          <w:lang w:eastAsia="en-US"/>
        </w:rPr>
        <w:t xml:space="preserve">Domestic wastewater </w:t>
      </w:r>
      <w:r w:rsidR="00FF3F01" w:rsidRPr="00EE43C6">
        <w:rPr>
          <w:rFonts w:eastAsiaTheme="minorHAnsi"/>
          <w:lang w:eastAsia="en-US"/>
        </w:rPr>
        <w:t>from empl</w:t>
      </w:r>
      <w:r w:rsidR="00D60284" w:rsidRPr="00EE43C6">
        <w:rPr>
          <w:rFonts w:eastAsiaTheme="minorHAnsi"/>
          <w:lang w:eastAsia="en-US"/>
        </w:rPr>
        <w:t>oyees</w:t>
      </w:r>
      <w:r w:rsidRPr="00EE43C6">
        <w:rPr>
          <w:rFonts w:eastAsiaTheme="minorHAnsi"/>
          <w:lang w:eastAsia="en-US"/>
        </w:rPr>
        <w:t xml:space="preserve"> within </w:t>
      </w:r>
      <w:r w:rsidR="005A5E9F" w:rsidRPr="00EE43C6">
        <w:rPr>
          <w:rFonts w:eastAsiaTheme="minorHAnsi"/>
          <w:lang w:eastAsia="en-US"/>
        </w:rPr>
        <w:t>OIZ</w:t>
      </w:r>
      <w:r w:rsidRPr="00EE43C6">
        <w:rPr>
          <w:rFonts w:eastAsiaTheme="minorHAnsi"/>
          <w:lang w:eastAsia="en-US"/>
        </w:rPr>
        <w:t xml:space="preserve"> and </w:t>
      </w:r>
      <w:r w:rsidR="005A5E9F" w:rsidRPr="00EE43C6">
        <w:rPr>
          <w:rFonts w:eastAsiaTheme="minorHAnsi"/>
          <w:lang w:eastAsia="en-US"/>
        </w:rPr>
        <w:t>process</w:t>
      </w:r>
      <w:r w:rsidRPr="00EE43C6">
        <w:rPr>
          <w:rFonts w:eastAsiaTheme="minorHAnsi"/>
          <w:lang w:eastAsia="en-US"/>
        </w:rPr>
        <w:t xml:space="preserve"> wastewater to be generated in </w:t>
      </w:r>
      <w:r w:rsidR="00D60284" w:rsidRPr="00EE43C6">
        <w:rPr>
          <w:rFonts w:eastAsiaTheme="minorHAnsi"/>
          <w:lang w:eastAsia="en-US"/>
        </w:rPr>
        <w:t>facility operations</w:t>
      </w:r>
      <w:r w:rsidRPr="00EE43C6">
        <w:rPr>
          <w:rFonts w:eastAsiaTheme="minorHAnsi"/>
          <w:lang w:eastAsia="en-US"/>
        </w:rPr>
        <w:t xml:space="preserve"> </w:t>
      </w:r>
      <w:r w:rsidR="007A21F6" w:rsidRPr="00EE43C6">
        <w:rPr>
          <w:rFonts w:eastAsiaTheme="minorHAnsi"/>
          <w:lang w:eastAsia="en-US"/>
        </w:rPr>
        <w:t>are planned to</w:t>
      </w:r>
      <w:r w:rsidRPr="00EE43C6">
        <w:rPr>
          <w:rFonts w:eastAsiaTheme="minorHAnsi"/>
          <w:lang w:eastAsia="en-US"/>
        </w:rPr>
        <w:t xml:space="preserve"> be treated in the wastewater treatment plant </w:t>
      </w:r>
      <w:r w:rsidR="00255293" w:rsidRPr="00EE43C6">
        <w:rPr>
          <w:rFonts w:eastAsiaTheme="minorHAnsi"/>
          <w:lang w:eastAsia="en-US"/>
        </w:rPr>
        <w:t xml:space="preserve">(WWTP) </w:t>
      </w:r>
      <w:r w:rsidRPr="00EE43C6">
        <w:rPr>
          <w:rFonts w:eastAsiaTheme="minorHAnsi"/>
          <w:lang w:eastAsia="en-US"/>
        </w:rPr>
        <w:t>with a capacity of 2</w:t>
      </w:r>
      <w:r w:rsidR="00210C18" w:rsidRPr="00EE43C6">
        <w:rPr>
          <w:rFonts w:eastAsiaTheme="minorHAnsi"/>
          <w:lang w:eastAsia="en-US"/>
        </w:rPr>
        <w:t>,</w:t>
      </w:r>
      <w:r w:rsidRPr="00EE43C6">
        <w:rPr>
          <w:rFonts w:eastAsiaTheme="minorHAnsi"/>
          <w:lang w:eastAsia="en-US"/>
        </w:rPr>
        <w:t>600 m</w:t>
      </w:r>
      <w:r w:rsidRPr="00EE43C6">
        <w:rPr>
          <w:rFonts w:eastAsiaTheme="minorHAnsi"/>
          <w:vertAlign w:val="superscript"/>
          <w:lang w:eastAsia="en-US"/>
        </w:rPr>
        <w:t>3</w:t>
      </w:r>
      <w:r w:rsidRPr="00EE43C6">
        <w:rPr>
          <w:rFonts w:eastAsiaTheme="minorHAnsi"/>
          <w:lang w:eastAsia="en-US"/>
        </w:rPr>
        <w:t>/day</w:t>
      </w:r>
      <w:r w:rsidR="008403DD" w:rsidRPr="00EE43C6">
        <w:rPr>
          <w:rFonts w:eastAsiaTheme="minorHAnsi"/>
          <w:lang w:eastAsia="en-US"/>
        </w:rPr>
        <w:t>.</w:t>
      </w:r>
      <w:r w:rsidR="002458B0">
        <w:rPr>
          <w:rFonts w:eastAsiaTheme="minorHAnsi"/>
          <w:lang w:eastAsia="en-US"/>
        </w:rPr>
        <w:t xml:space="preserve"> </w:t>
      </w:r>
      <w:r w:rsidR="002458B0" w:rsidRPr="002458B0">
        <w:rPr>
          <w:rFonts w:eastAsiaTheme="minorHAnsi"/>
          <w:lang w:eastAsia="en-US"/>
        </w:rPr>
        <w:t xml:space="preserve">The </w:t>
      </w:r>
      <w:r w:rsidR="00AD6BFF">
        <w:rPr>
          <w:rFonts w:eastAsiaTheme="minorHAnsi"/>
          <w:lang w:eastAsia="en-US"/>
        </w:rPr>
        <w:t>planned</w:t>
      </w:r>
      <w:r w:rsidR="002458B0" w:rsidRPr="002458B0">
        <w:rPr>
          <w:rFonts w:eastAsiaTheme="minorHAnsi"/>
          <w:lang w:eastAsia="en-US"/>
        </w:rPr>
        <w:t xml:space="preserve"> </w:t>
      </w:r>
      <w:r w:rsidR="002458B0">
        <w:rPr>
          <w:rFonts w:eastAsiaTheme="minorHAnsi"/>
          <w:lang w:eastAsia="en-US"/>
        </w:rPr>
        <w:t>WWTP</w:t>
      </w:r>
      <w:r w:rsidR="002458B0" w:rsidRPr="002458B0">
        <w:rPr>
          <w:rFonts w:eastAsiaTheme="minorHAnsi"/>
          <w:lang w:eastAsia="en-US"/>
        </w:rPr>
        <w:t xml:space="preserve"> will consist of the following physical, chemical, biological and sludge treatment units.</w:t>
      </w:r>
    </w:p>
    <w:p w14:paraId="085499B7" w14:textId="2303D5EA" w:rsidR="00EB5F9B" w:rsidRPr="00EB5F9B" w:rsidRDefault="00EB5F9B" w:rsidP="00A863F4">
      <w:pPr>
        <w:pStyle w:val="ListParagraph"/>
        <w:numPr>
          <w:ilvl w:val="0"/>
          <w:numId w:val="55"/>
        </w:numPr>
        <w:rPr>
          <w:rFonts w:eastAsiaTheme="minorHAnsi"/>
        </w:rPr>
      </w:pPr>
      <w:r w:rsidRPr="00EB5F9B">
        <w:rPr>
          <w:rFonts w:eastAsiaTheme="minorHAnsi"/>
        </w:rPr>
        <w:t xml:space="preserve">Wastewater Inlet and </w:t>
      </w:r>
      <w:r>
        <w:rPr>
          <w:rFonts w:eastAsiaTheme="minorHAnsi"/>
        </w:rPr>
        <w:t>Screens</w:t>
      </w:r>
    </w:p>
    <w:p w14:paraId="3099BAA7" w14:textId="59DCF1F8" w:rsidR="00EB5F9B" w:rsidRPr="00DF7DA1" w:rsidRDefault="00936406" w:rsidP="00A863F4">
      <w:pPr>
        <w:pStyle w:val="ListParagraph"/>
        <w:numPr>
          <w:ilvl w:val="0"/>
          <w:numId w:val="55"/>
        </w:numPr>
        <w:rPr>
          <w:rFonts w:eastAsiaTheme="minorHAnsi"/>
        </w:rPr>
      </w:pPr>
      <w:r>
        <w:rPr>
          <w:rFonts w:eastAsiaTheme="minorHAnsi"/>
        </w:rPr>
        <w:t>Stone</w:t>
      </w:r>
      <w:r w:rsidR="00EB5F9B" w:rsidRPr="00DF7DA1">
        <w:rPr>
          <w:rFonts w:eastAsiaTheme="minorHAnsi"/>
        </w:rPr>
        <w:t xml:space="preserve"> </w:t>
      </w:r>
      <w:r>
        <w:rPr>
          <w:rFonts w:eastAsiaTheme="minorHAnsi"/>
        </w:rPr>
        <w:t>Trap</w:t>
      </w:r>
    </w:p>
    <w:p w14:paraId="1071DC5C" w14:textId="77777777" w:rsidR="00DF7DA1" w:rsidRDefault="00EB5F9B">
      <w:pPr>
        <w:pStyle w:val="ListParagraph"/>
        <w:numPr>
          <w:ilvl w:val="0"/>
          <w:numId w:val="55"/>
        </w:numPr>
        <w:rPr>
          <w:rFonts w:eastAsiaTheme="minorHAnsi"/>
        </w:rPr>
      </w:pPr>
      <w:r w:rsidRPr="00DF7DA1">
        <w:rPr>
          <w:rFonts w:eastAsiaTheme="minorHAnsi"/>
        </w:rPr>
        <w:t xml:space="preserve">Oil and Grease </w:t>
      </w:r>
      <w:r w:rsidR="00DF7DA1" w:rsidRPr="00DF7DA1">
        <w:rPr>
          <w:rFonts w:eastAsiaTheme="minorHAnsi"/>
        </w:rPr>
        <w:t>Removal</w:t>
      </w:r>
    </w:p>
    <w:p w14:paraId="2D937B3B" w14:textId="77777777" w:rsidR="00825855" w:rsidRDefault="00EB5F9B">
      <w:pPr>
        <w:pStyle w:val="ListParagraph"/>
        <w:numPr>
          <w:ilvl w:val="0"/>
          <w:numId w:val="55"/>
        </w:numPr>
        <w:rPr>
          <w:rFonts w:eastAsiaTheme="minorHAnsi"/>
        </w:rPr>
      </w:pPr>
      <w:r w:rsidRPr="00825855">
        <w:rPr>
          <w:rFonts w:eastAsiaTheme="minorHAnsi"/>
        </w:rPr>
        <w:t>Balancing Tank</w:t>
      </w:r>
    </w:p>
    <w:p w14:paraId="270C8415" w14:textId="77777777" w:rsidR="00825855" w:rsidRDefault="00EB5F9B">
      <w:pPr>
        <w:pStyle w:val="ListParagraph"/>
        <w:numPr>
          <w:ilvl w:val="0"/>
          <w:numId w:val="55"/>
        </w:numPr>
        <w:rPr>
          <w:rFonts w:eastAsiaTheme="minorHAnsi"/>
        </w:rPr>
      </w:pPr>
      <w:r w:rsidRPr="00825855">
        <w:rPr>
          <w:rFonts w:eastAsiaTheme="minorHAnsi"/>
        </w:rPr>
        <w:t>Chemical Treatment Unit</w:t>
      </w:r>
    </w:p>
    <w:p w14:paraId="540BE594" w14:textId="77777777" w:rsidR="00825855" w:rsidRDefault="00EB5F9B" w:rsidP="001E0229">
      <w:pPr>
        <w:pStyle w:val="ListParagraph"/>
        <w:numPr>
          <w:ilvl w:val="1"/>
          <w:numId w:val="55"/>
        </w:numPr>
        <w:ind w:left="1134" w:hanging="425"/>
        <w:rPr>
          <w:rFonts w:eastAsiaTheme="minorHAnsi"/>
        </w:rPr>
      </w:pPr>
      <w:r w:rsidRPr="00825855">
        <w:rPr>
          <w:rFonts w:eastAsiaTheme="minorHAnsi"/>
        </w:rPr>
        <w:t>Coagulation Tank</w:t>
      </w:r>
    </w:p>
    <w:p w14:paraId="6C9AEDB1" w14:textId="77777777" w:rsidR="00825855" w:rsidRDefault="00EB5F9B" w:rsidP="001E0229">
      <w:pPr>
        <w:pStyle w:val="ListParagraph"/>
        <w:numPr>
          <w:ilvl w:val="1"/>
          <w:numId w:val="55"/>
        </w:numPr>
        <w:ind w:left="1134" w:hanging="425"/>
        <w:rPr>
          <w:rFonts w:eastAsiaTheme="minorHAnsi"/>
        </w:rPr>
      </w:pPr>
      <w:r w:rsidRPr="00825855">
        <w:rPr>
          <w:rFonts w:eastAsiaTheme="minorHAnsi"/>
        </w:rPr>
        <w:t>Flocculation Tank</w:t>
      </w:r>
    </w:p>
    <w:p w14:paraId="7CAE2DAC" w14:textId="772AD7AD" w:rsidR="00825855" w:rsidRDefault="00EB5F9B" w:rsidP="001E0229">
      <w:pPr>
        <w:pStyle w:val="ListParagraph"/>
        <w:numPr>
          <w:ilvl w:val="1"/>
          <w:numId w:val="55"/>
        </w:numPr>
        <w:ind w:left="1134" w:hanging="425"/>
        <w:rPr>
          <w:rFonts w:eastAsiaTheme="minorHAnsi"/>
        </w:rPr>
      </w:pPr>
      <w:r w:rsidRPr="00825855">
        <w:rPr>
          <w:rFonts w:eastAsiaTheme="minorHAnsi"/>
        </w:rPr>
        <w:t>Pre</w:t>
      </w:r>
      <w:r w:rsidR="00825855">
        <w:rPr>
          <w:rFonts w:eastAsiaTheme="minorHAnsi"/>
        </w:rPr>
        <w:t xml:space="preserve">liminary Settling </w:t>
      </w:r>
      <w:r w:rsidR="00AD6BFF">
        <w:rPr>
          <w:rFonts w:eastAsiaTheme="minorHAnsi"/>
        </w:rPr>
        <w:t>Tank</w:t>
      </w:r>
      <w:r w:rsidR="00010D73">
        <w:rPr>
          <w:rFonts w:eastAsiaTheme="minorHAnsi"/>
        </w:rPr>
        <w:t>s</w:t>
      </w:r>
    </w:p>
    <w:p w14:paraId="22B681A6" w14:textId="77777777" w:rsidR="00825855" w:rsidRDefault="00EB5F9B">
      <w:pPr>
        <w:pStyle w:val="ListParagraph"/>
        <w:numPr>
          <w:ilvl w:val="0"/>
          <w:numId w:val="55"/>
        </w:numPr>
        <w:rPr>
          <w:rFonts w:eastAsiaTheme="minorHAnsi"/>
        </w:rPr>
      </w:pPr>
      <w:r w:rsidRPr="00825855">
        <w:rPr>
          <w:rFonts w:eastAsiaTheme="minorHAnsi"/>
        </w:rPr>
        <w:t>Biological Treatment Unit</w:t>
      </w:r>
    </w:p>
    <w:p w14:paraId="176B1682" w14:textId="77777777" w:rsidR="00C10CAA" w:rsidRDefault="00EB5F9B" w:rsidP="00EB5F9B">
      <w:pPr>
        <w:pStyle w:val="ListParagraph"/>
        <w:numPr>
          <w:ilvl w:val="0"/>
          <w:numId w:val="55"/>
        </w:numPr>
        <w:rPr>
          <w:rFonts w:eastAsiaTheme="minorHAnsi"/>
        </w:rPr>
      </w:pPr>
      <w:r w:rsidRPr="00825855">
        <w:rPr>
          <w:rFonts w:eastAsiaTheme="minorHAnsi"/>
        </w:rPr>
        <w:t xml:space="preserve">Final </w:t>
      </w:r>
      <w:r w:rsidR="00825855">
        <w:rPr>
          <w:rFonts w:eastAsiaTheme="minorHAnsi"/>
        </w:rPr>
        <w:t>Settling</w:t>
      </w:r>
      <w:r w:rsidRPr="00825855">
        <w:rPr>
          <w:rFonts w:eastAsiaTheme="minorHAnsi"/>
        </w:rPr>
        <w:t xml:space="preserve"> </w:t>
      </w:r>
      <w:r w:rsidR="00825855">
        <w:rPr>
          <w:rFonts w:eastAsiaTheme="minorHAnsi"/>
        </w:rPr>
        <w:t>Tank</w:t>
      </w:r>
      <w:r w:rsidR="00C10CAA">
        <w:rPr>
          <w:rFonts w:eastAsiaTheme="minorHAnsi"/>
        </w:rPr>
        <w:t>s</w:t>
      </w:r>
    </w:p>
    <w:p w14:paraId="24D74540" w14:textId="53DB196C" w:rsidR="004D08CB" w:rsidRPr="00C10CAA" w:rsidRDefault="00EB5F9B" w:rsidP="00E470A7">
      <w:pPr>
        <w:pStyle w:val="ListParagraph"/>
        <w:numPr>
          <w:ilvl w:val="0"/>
          <w:numId w:val="55"/>
        </w:numPr>
        <w:rPr>
          <w:rFonts w:eastAsiaTheme="minorHAnsi"/>
        </w:rPr>
      </w:pPr>
      <w:r w:rsidRPr="00C10CAA">
        <w:rPr>
          <w:rFonts w:eastAsiaTheme="minorHAnsi"/>
        </w:rPr>
        <w:t>Sludge Thickening and Dewatering Unit</w:t>
      </w:r>
    </w:p>
    <w:p w14:paraId="46564C68" w14:textId="4F1E9543" w:rsidR="00D65AAE" w:rsidRPr="00EE43C6" w:rsidRDefault="008403DD" w:rsidP="00974D5C">
      <w:pPr>
        <w:rPr>
          <w:rFonts w:eastAsiaTheme="minorHAnsi"/>
          <w:lang w:eastAsia="en-US"/>
        </w:rPr>
      </w:pPr>
      <w:r w:rsidRPr="00EE43C6">
        <w:rPr>
          <w:rFonts w:eastAsiaTheme="minorHAnsi"/>
          <w:lang w:eastAsia="en-US"/>
        </w:rPr>
        <w:t>T</w:t>
      </w:r>
      <w:r w:rsidR="00A1530D" w:rsidRPr="00EE43C6">
        <w:rPr>
          <w:rFonts w:eastAsiaTheme="minorHAnsi"/>
          <w:lang w:eastAsia="en-US"/>
        </w:rPr>
        <w:t>he treated wastewater</w:t>
      </w:r>
      <w:r w:rsidRPr="00EE43C6">
        <w:rPr>
          <w:rFonts w:eastAsiaTheme="minorHAnsi"/>
          <w:lang w:eastAsia="en-US"/>
        </w:rPr>
        <w:t xml:space="preserve"> will </w:t>
      </w:r>
      <w:r w:rsidR="00A1530D" w:rsidRPr="00EE43C6">
        <w:rPr>
          <w:rFonts w:eastAsiaTheme="minorHAnsi"/>
          <w:lang w:eastAsia="en-US"/>
        </w:rPr>
        <w:t xml:space="preserve">meet the </w:t>
      </w:r>
      <w:r w:rsidR="00FB039D" w:rsidRPr="00EE43C6">
        <w:rPr>
          <w:rFonts w:eastAsiaTheme="minorHAnsi"/>
          <w:lang w:eastAsia="en-US"/>
        </w:rPr>
        <w:t xml:space="preserve">criteria in </w:t>
      </w:r>
      <w:r w:rsidR="00A1530D" w:rsidRPr="00EE43C6">
        <w:rPr>
          <w:rFonts w:eastAsiaTheme="minorHAnsi"/>
          <w:lang w:eastAsia="en-US"/>
        </w:rPr>
        <w:t xml:space="preserve">Table 19 of the </w:t>
      </w:r>
      <w:r w:rsidR="00A6394B" w:rsidRPr="00EE43C6">
        <w:rPr>
          <w:rFonts w:eastAsiaTheme="minorHAnsi"/>
          <w:lang w:eastAsia="en-US"/>
        </w:rPr>
        <w:t xml:space="preserve">Regulation on Control of </w:t>
      </w:r>
      <w:r w:rsidR="00A1530D" w:rsidRPr="00EE43C6">
        <w:rPr>
          <w:rFonts w:eastAsiaTheme="minorHAnsi"/>
          <w:lang w:eastAsia="en-US"/>
        </w:rPr>
        <w:t>Water Pollution</w:t>
      </w:r>
      <w:r w:rsidR="00A93221" w:rsidRPr="00EE43C6">
        <w:rPr>
          <w:rFonts w:eastAsiaTheme="minorHAnsi"/>
          <w:lang w:eastAsia="en-US"/>
        </w:rPr>
        <w:t xml:space="preserve"> (</w:t>
      </w:r>
      <w:r w:rsidR="00A93221" w:rsidRPr="00EE43C6">
        <w:rPr>
          <w:rFonts w:cs="Arial"/>
          <w:lang w:eastAsia="tr-TR"/>
        </w:rPr>
        <w:t>RoCWP</w:t>
      </w:r>
      <w:r w:rsidR="00A93221" w:rsidRPr="00EE43C6">
        <w:rPr>
          <w:rFonts w:eastAsiaTheme="minorHAnsi"/>
          <w:lang w:eastAsia="en-US"/>
        </w:rPr>
        <w:t>)</w:t>
      </w:r>
      <w:r w:rsidR="00A1530D" w:rsidRPr="00EE43C6">
        <w:rPr>
          <w:rFonts w:eastAsiaTheme="minorHAnsi"/>
          <w:lang w:eastAsia="en-US"/>
        </w:rPr>
        <w:t xml:space="preserve">, </w:t>
      </w:r>
      <w:r w:rsidR="008C0119" w:rsidRPr="00EE43C6">
        <w:rPr>
          <w:rFonts w:eastAsiaTheme="minorHAnsi"/>
          <w:lang w:eastAsia="en-US"/>
        </w:rPr>
        <w:t xml:space="preserve">revised </w:t>
      </w:r>
      <w:r w:rsidR="00A1530D" w:rsidRPr="00EE43C6">
        <w:rPr>
          <w:rFonts w:eastAsiaTheme="minorHAnsi"/>
          <w:lang w:eastAsia="en-US"/>
        </w:rPr>
        <w:t xml:space="preserve">in the Official Gazette dated </w:t>
      </w:r>
      <w:r w:rsidR="008C0119" w:rsidRPr="00EE43C6">
        <w:rPr>
          <w:rFonts w:eastAsiaTheme="minorHAnsi"/>
          <w:lang w:eastAsia="en-US"/>
        </w:rPr>
        <w:t>17</w:t>
      </w:r>
      <w:r w:rsidR="00A1530D" w:rsidRPr="00EE43C6">
        <w:rPr>
          <w:rFonts w:eastAsiaTheme="minorHAnsi"/>
          <w:lang w:eastAsia="en-US"/>
        </w:rPr>
        <w:t>.12.</w:t>
      </w:r>
      <w:r w:rsidR="008C0119" w:rsidRPr="00EE43C6">
        <w:rPr>
          <w:rFonts w:eastAsiaTheme="minorHAnsi"/>
          <w:lang w:eastAsia="en-US"/>
        </w:rPr>
        <w:t xml:space="preserve">2022 </w:t>
      </w:r>
      <w:r w:rsidR="00A1530D" w:rsidRPr="00EE43C6">
        <w:rPr>
          <w:rFonts w:eastAsiaTheme="minorHAnsi"/>
          <w:lang w:eastAsia="en-US"/>
        </w:rPr>
        <w:t xml:space="preserve">and numbered </w:t>
      </w:r>
      <w:r w:rsidR="008C0119" w:rsidRPr="00EE43C6">
        <w:rPr>
          <w:color w:val="000000"/>
        </w:rPr>
        <w:t>32046</w:t>
      </w:r>
      <w:r w:rsidR="00125638" w:rsidRPr="00EE43C6">
        <w:rPr>
          <w:rFonts w:eastAsiaTheme="minorHAnsi"/>
          <w:lang w:eastAsia="en-US"/>
        </w:rPr>
        <w:t xml:space="preserve">. </w:t>
      </w:r>
      <w:r w:rsidR="00F50F41" w:rsidRPr="00EE43C6">
        <w:rPr>
          <w:rFonts w:eastAsiaTheme="minorHAnsi"/>
          <w:lang w:eastAsia="en-US"/>
        </w:rPr>
        <w:t xml:space="preserve">The </w:t>
      </w:r>
      <w:r w:rsidR="00FC5FD6" w:rsidRPr="00EE43C6">
        <w:rPr>
          <w:rFonts w:eastAsiaTheme="minorHAnsi"/>
          <w:lang w:eastAsia="en-US"/>
        </w:rPr>
        <w:t>concerned</w:t>
      </w:r>
      <w:r w:rsidR="00F50F41" w:rsidRPr="00EE43C6">
        <w:rPr>
          <w:rFonts w:eastAsiaTheme="minorHAnsi"/>
          <w:lang w:eastAsia="en-US"/>
        </w:rPr>
        <w:t xml:space="preserve"> table </w:t>
      </w:r>
      <w:r w:rsidR="005C53E6" w:rsidRPr="00EE43C6">
        <w:rPr>
          <w:rFonts w:eastAsiaTheme="minorHAnsi"/>
          <w:lang w:eastAsia="en-US"/>
        </w:rPr>
        <w:t>is</w:t>
      </w:r>
      <w:r w:rsidR="00FD3E44" w:rsidRPr="00EE43C6">
        <w:rPr>
          <w:rFonts w:eastAsiaTheme="minorHAnsi"/>
          <w:lang w:eastAsia="en-US"/>
        </w:rPr>
        <w:t xml:space="preserve"> presented i</w:t>
      </w:r>
      <w:r w:rsidR="00E906E3" w:rsidRPr="00EE43C6">
        <w:rPr>
          <w:rFonts w:eastAsiaTheme="minorHAnsi"/>
          <w:lang w:eastAsia="en-US"/>
        </w:rPr>
        <w:t xml:space="preserve">n </w:t>
      </w:r>
      <w:r w:rsidR="00E624FC" w:rsidRPr="00EE43C6">
        <w:rPr>
          <w:rFonts w:eastAsiaTheme="minorHAnsi"/>
          <w:lang w:eastAsia="en-US"/>
        </w:rPr>
        <w:fldChar w:fldCharType="begin"/>
      </w:r>
      <w:r w:rsidR="00E624FC" w:rsidRPr="00EE43C6">
        <w:rPr>
          <w:rFonts w:eastAsiaTheme="minorHAnsi"/>
          <w:lang w:eastAsia="en-US"/>
        </w:rPr>
        <w:instrText xml:space="preserve"> REF _Ref129616673 \h </w:instrText>
      </w:r>
      <w:r w:rsidR="00E624FC" w:rsidRPr="00EE43C6">
        <w:rPr>
          <w:rFonts w:eastAsiaTheme="minorHAnsi"/>
          <w:lang w:eastAsia="en-US"/>
        </w:rPr>
      </w:r>
      <w:r w:rsidR="00E624FC" w:rsidRPr="00EE43C6">
        <w:rPr>
          <w:rFonts w:eastAsiaTheme="minorHAnsi"/>
          <w:lang w:eastAsia="en-US"/>
        </w:rPr>
        <w:fldChar w:fldCharType="separate"/>
      </w:r>
      <w:r w:rsidR="00E624FC" w:rsidRPr="00EE43C6">
        <w:t>Table 6</w:t>
      </w:r>
      <w:r w:rsidR="00E624FC" w:rsidRPr="00EE43C6">
        <w:noBreakHyphen/>
        <w:t>20</w:t>
      </w:r>
      <w:r w:rsidR="00E624FC" w:rsidRPr="00EE43C6">
        <w:rPr>
          <w:rFonts w:eastAsiaTheme="minorHAnsi"/>
          <w:lang w:eastAsia="en-US"/>
        </w:rPr>
        <w:fldChar w:fldCharType="end"/>
      </w:r>
      <w:r w:rsidR="00E800CF" w:rsidRPr="00EE43C6">
        <w:rPr>
          <w:rFonts w:eastAsiaTheme="minorHAnsi"/>
          <w:lang w:eastAsia="en-US"/>
        </w:rPr>
        <w:fldChar w:fldCharType="begin"/>
      </w:r>
      <w:r w:rsidR="00E800CF" w:rsidRPr="00EE43C6">
        <w:rPr>
          <w:rFonts w:eastAsiaTheme="minorHAnsi"/>
          <w:lang w:eastAsia="en-US"/>
        </w:rPr>
        <w:instrText xml:space="preserve"> REF _Ref126061153 \h </w:instrText>
      </w:r>
      <w:r w:rsidR="00E800CF" w:rsidRPr="00EE43C6">
        <w:rPr>
          <w:rFonts w:eastAsiaTheme="minorHAnsi"/>
          <w:lang w:eastAsia="en-US"/>
        </w:rPr>
      </w:r>
      <w:r w:rsidR="00E800CF" w:rsidRPr="00EE43C6">
        <w:rPr>
          <w:rFonts w:eastAsiaTheme="minorHAnsi"/>
          <w:lang w:eastAsia="en-US"/>
        </w:rPr>
        <w:fldChar w:fldCharType="end"/>
      </w:r>
      <w:r w:rsidR="00E800CF" w:rsidRPr="00EE43C6">
        <w:rPr>
          <w:rFonts w:eastAsiaTheme="minorHAnsi"/>
          <w:lang w:eastAsia="en-US"/>
        </w:rPr>
        <w:fldChar w:fldCharType="begin"/>
      </w:r>
      <w:r w:rsidR="00E800CF" w:rsidRPr="00EE43C6">
        <w:rPr>
          <w:rFonts w:eastAsiaTheme="minorHAnsi"/>
          <w:lang w:eastAsia="en-US"/>
        </w:rPr>
        <w:instrText xml:space="preserve"> REF _Ref126061153 \h </w:instrText>
      </w:r>
      <w:r w:rsidR="00E800CF" w:rsidRPr="00EE43C6">
        <w:rPr>
          <w:rFonts w:eastAsiaTheme="minorHAnsi"/>
          <w:lang w:eastAsia="en-US"/>
        </w:rPr>
      </w:r>
      <w:r w:rsidR="00E800CF" w:rsidRPr="00EE43C6">
        <w:rPr>
          <w:rFonts w:eastAsiaTheme="minorHAnsi"/>
          <w:lang w:eastAsia="en-US"/>
        </w:rPr>
        <w:fldChar w:fldCharType="end"/>
      </w:r>
      <w:r w:rsidR="00FC5FD6" w:rsidRPr="00EE43C6">
        <w:rPr>
          <w:rFonts w:eastAsiaTheme="minorHAnsi"/>
          <w:lang w:eastAsia="en-US"/>
        </w:rPr>
        <w:fldChar w:fldCharType="begin"/>
      </w:r>
      <w:r w:rsidR="00FC5FD6" w:rsidRPr="00EE43C6">
        <w:rPr>
          <w:rFonts w:eastAsiaTheme="minorHAnsi"/>
          <w:lang w:eastAsia="en-US"/>
        </w:rPr>
        <w:instrText xml:space="preserve"> REF _Ref126061460 \h </w:instrText>
      </w:r>
      <w:r w:rsidR="00FC5FD6" w:rsidRPr="00EE43C6">
        <w:rPr>
          <w:rFonts w:eastAsiaTheme="minorHAnsi"/>
          <w:lang w:eastAsia="en-US"/>
        </w:rPr>
      </w:r>
      <w:r w:rsidR="00FC5FD6" w:rsidRPr="00EE43C6">
        <w:rPr>
          <w:rFonts w:eastAsiaTheme="minorHAnsi"/>
          <w:lang w:eastAsia="en-US"/>
        </w:rPr>
        <w:fldChar w:fldCharType="end"/>
      </w:r>
      <w:r w:rsidR="00E906E3" w:rsidRPr="00EE43C6">
        <w:rPr>
          <w:rFonts w:eastAsiaTheme="minorHAnsi"/>
          <w:lang w:eastAsia="en-US"/>
        </w:rPr>
        <w:t xml:space="preserve">. </w:t>
      </w:r>
      <w:r w:rsidR="00125638" w:rsidRPr="00EE43C6">
        <w:rPr>
          <w:rFonts w:eastAsiaTheme="minorHAnsi"/>
          <w:lang w:eastAsia="en-US"/>
        </w:rPr>
        <w:t>The effluent provided that securing permission from the department in the 6</w:t>
      </w:r>
      <w:r w:rsidR="00125638" w:rsidRPr="00EE43C6">
        <w:rPr>
          <w:rFonts w:eastAsiaTheme="minorHAnsi"/>
          <w:vertAlign w:val="superscript"/>
          <w:lang w:eastAsia="en-US"/>
        </w:rPr>
        <w:t>th</w:t>
      </w:r>
      <w:r w:rsidR="00125638" w:rsidRPr="00EE43C6">
        <w:rPr>
          <w:rFonts w:eastAsiaTheme="minorHAnsi"/>
          <w:lang w:eastAsia="en-US"/>
        </w:rPr>
        <w:t xml:space="preserve"> Region of DSI</w:t>
      </w:r>
      <w:r w:rsidR="00C91F85" w:rsidRPr="00EE43C6">
        <w:rPr>
          <w:rFonts w:eastAsiaTheme="minorHAnsi"/>
          <w:lang w:eastAsia="en-US"/>
        </w:rPr>
        <w:t xml:space="preserve"> </w:t>
      </w:r>
      <w:r w:rsidR="00A1530D" w:rsidRPr="00EE43C6">
        <w:rPr>
          <w:rFonts w:eastAsiaTheme="minorHAnsi"/>
          <w:lang w:eastAsia="en-US"/>
        </w:rPr>
        <w:t xml:space="preserve">will be discharged to the Evcisuyu Stream which is approximately 30 meters from the </w:t>
      </w:r>
      <w:r w:rsidR="0040130E" w:rsidRPr="00EE43C6">
        <w:rPr>
          <w:rFonts w:eastAsiaTheme="minorHAnsi"/>
          <w:lang w:eastAsia="en-US"/>
        </w:rPr>
        <w:t xml:space="preserve">outlet of </w:t>
      </w:r>
      <w:r w:rsidR="00042BDA" w:rsidRPr="00EE43C6">
        <w:rPr>
          <w:rFonts w:eastAsiaTheme="minorHAnsi"/>
          <w:lang w:eastAsia="en-US"/>
        </w:rPr>
        <w:t>planned</w:t>
      </w:r>
      <w:r w:rsidR="006754E8" w:rsidRPr="00EE43C6">
        <w:rPr>
          <w:rFonts w:eastAsiaTheme="minorHAnsi"/>
          <w:lang w:eastAsia="en-US"/>
        </w:rPr>
        <w:t xml:space="preserve"> </w:t>
      </w:r>
      <w:r w:rsidR="00042BDA" w:rsidRPr="00EE43C6">
        <w:rPr>
          <w:rFonts w:eastAsiaTheme="minorHAnsi"/>
          <w:lang w:eastAsia="en-US"/>
        </w:rPr>
        <w:t>WWTP</w:t>
      </w:r>
      <w:r w:rsidR="00243320" w:rsidRPr="00EE43C6">
        <w:rPr>
          <w:rFonts w:eastAsiaTheme="minorHAnsi"/>
          <w:lang w:eastAsia="en-US"/>
        </w:rPr>
        <w:t>.</w:t>
      </w:r>
    </w:p>
    <w:p w14:paraId="0778C3AD" w14:textId="1E98AD3D" w:rsidR="00FB2261" w:rsidRPr="00EE43C6" w:rsidRDefault="00EA1F93" w:rsidP="00EA1F93">
      <w:pPr>
        <w:pStyle w:val="Caption"/>
        <w:rPr>
          <w:rFonts w:eastAsiaTheme="minorHAnsi"/>
          <w:noProof w:val="0"/>
        </w:rPr>
      </w:pPr>
      <w:bookmarkStart w:id="548" w:name="_Ref129616673"/>
      <w:bookmarkStart w:id="549" w:name="_Ref126061153"/>
      <w:bookmarkStart w:id="550" w:name="_Toc141445529"/>
      <w:r w:rsidRPr="00EE43C6">
        <w:rPr>
          <w:noProof w:val="0"/>
        </w:rPr>
        <w:lastRenderedPageBreak/>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20</w:t>
      </w:r>
      <w:r w:rsidR="006D2DE8">
        <w:rPr>
          <w:noProof w:val="0"/>
        </w:rPr>
        <w:fldChar w:fldCharType="end"/>
      </w:r>
      <w:bookmarkEnd w:id="548"/>
      <w:bookmarkEnd w:id="549"/>
      <w:r w:rsidRPr="00EE43C6">
        <w:rPr>
          <w:noProof w:val="0"/>
        </w:rPr>
        <w:t xml:space="preserve">. </w:t>
      </w:r>
      <w:r w:rsidR="0002436D" w:rsidRPr="00EE43C6">
        <w:rPr>
          <w:rFonts w:eastAsiaTheme="minorHAnsi"/>
          <w:b w:val="0"/>
          <w:bCs w:val="0"/>
          <w:noProof w:val="0"/>
          <w:color w:val="auto"/>
        </w:rPr>
        <w:t xml:space="preserve">Discharge Standards </w:t>
      </w:r>
      <w:r w:rsidR="004F7088" w:rsidRPr="00EE43C6">
        <w:rPr>
          <w:rFonts w:eastAsiaTheme="minorHAnsi"/>
          <w:b w:val="0"/>
          <w:bCs w:val="0"/>
          <w:noProof w:val="0"/>
          <w:color w:val="auto"/>
        </w:rPr>
        <w:t xml:space="preserve">for the Treated Process Water </w:t>
      </w:r>
      <w:r w:rsidR="0002436D" w:rsidRPr="00EE43C6">
        <w:rPr>
          <w:rFonts w:eastAsiaTheme="minorHAnsi"/>
          <w:b w:val="0"/>
          <w:bCs w:val="0"/>
          <w:noProof w:val="0"/>
          <w:color w:val="auto"/>
        </w:rPr>
        <w:t>to Receiving Environment</w:t>
      </w:r>
      <w:r w:rsidR="003D1EC7" w:rsidRPr="00EE43C6">
        <w:rPr>
          <w:rFonts w:eastAsiaTheme="minorHAnsi"/>
          <w:b w:val="0"/>
          <w:noProof w:val="0"/>
          <w:color w:val="auto"/>
        </w:rPr>
        <w:t xml:space="preserve"> </w:t>
      </w:r>
      <w:r w:rsidR="009A70DB" w:rsidRPr="00EE43C6">
        <w:rPr>
          <w:rFonts w:eastAsiaTheme="minorHAnsi"/>
          <w:b w:val="0"/>
          <w:bCs w:val="0"/>
          <w:noProof w:val="0"/>
          <w:color w:val="auto"/>
        </w:rPr>
        <w:t>in</w:t>
      </w:r>
      <w:r w:rsidR="00263BDC" w:rsidRPr="00EE43C6">
        <w:rPr>
          <w:rFonts w:eastAsiaTheme="minorHAnsi"/>
          <w:b w:val="0"/>
          <w:noProof w:val="0"/>
          <w:color w:val="auto"/>
        </w:rPr>
        <w:t xml:space="preserve"> the </w:t>
      </w:r>
      <w:r w:rsidR="00A93221" w:rsidRPr="00EE43C6">
        <w:rPr>
          <w:rFonts w:eastAsiaTheme="minorHAnsi"/>
          <w:b w:val="0"/>
          <w:bCs w:val="0"/>
          <w:noProof w:val="0"/>
          <w:color w:val="auto"/>
        </w:rPr>
        <w:t>RoCWP</w:t>
      </w:r>
      <w:r w:rsidR="00A009E5" w:rsidRPr="00EE43C6">
        <w:rPr>
          <w:rFonts w:eastAsiaTheme="minorHAnsi"/>
          <w:b w:val="0"/>
          <w:noProof w:val="0"/>
          <w:color w:val="auto"/>
        </w:rPr>
        <w:t xml:space="preserve"> </w:t>
      </w:r>
      <w:r w:rsidR="002422B3" w:rsidRPr="00EE43C6">
        <w:rPr>
          <w:rFonts w:eastAsiaTheme="minorHAnsi"/>
          <w:b w:val="0"/>
          <w:noProof w:val="0"/>
          <w:color w:val="auto"/>
        </w:rPr>
        <w:t>for planned WWTP</w:t>
      </w:r>
      <w:bookmarkEnd w:id="550"/>
    </w:p>
    <w:tbl>
      <w:tblPr>
        <w:tblStyle w:val="TableGrid"/>
        <w:tblW w:w="5000" w:type="pct"/>
        <w:jc w:val="center"/>
        <w:tblLook w:val="04A0" w:firstRow="1" w:lastRow="0" w:firstColumn="1" w:lastColumn="0" w:noHBand="0" w:noVBand="1"/>
      </w:tblPr>
      <w:tblGrid>
        <w:gridCol w:w="5015"/>
        <w:gridCol w:w="1448"/>
        <w:gridCol w:w="2601"/>
      </w:tblGrid>
      <w:tr w:rsidR="008D62F4" w:rsidRPr="00EE43C6" w14:paraId="7DFC03D8" w14:textId="77777777" w:rsidTr="001E0229">
        <w:trPr>
          <w:trHeight w:val="284"/>
          <w:tblHeader/>
          <w:jc w:val="center"/>
        </w:trPr>
        <w:tc>
          <w:tcPr>
            <w:tcW w:w="2766" w:type="pct"/>
            <w:shd w:val="clear" w:color="auto" w:fill="4F81BD"/>
            <w:vAlign w:val="center"/>
          </w:tcPr>
          <w:p w14:paraId="74515E21" w14:textId="6746DCCC" w:rsidR="008D62F4" w:rsidRPr="00EE43C6" w:rsidRDefault="00FF4650" w:rsidP="00B625EB">
            <w:pPr>
              <w:spacing w:before="0" w:after="0" w:line="240" w:lineRule="auto"/>
              <w:jc w:val="center"/>
              <w:rPr>
                <w:rFonts w:eastAsiaTheme="minorHAnsi" w:cs="Arial"/>
                <w:b/>
                <w:color w:val="FFFFFF" w:themeColor="background1"/>
                <w:sz w:val="18"/>
                <w:szCs w:val="18"/>
                <w:lang w:eastAsia="en-US"/>
              </w:rPr>
            </w:pPr>
            <w:r w:rsidRPr="00EE43C6">
              <w:rPr>
                <w:rFonts w:eastAsiaTheme="minorHAnsi" w:cs="Arial"/>
                <w:b/>
                <w:color w:val="FFFFFF" w:themeColor="background1"/>
                <w:sz w:val="18"/>
                <w:szCs w:val="18"/>
                <w:lang w:eastAsia="en-US"/>
              </w:rPr>
              <w:t>Parameter</w:t>
            </w:r>
          </w:p>
        </w:tc>
        <w:tc>
          <w:tcPr>
            <w:tcW w:w="799" w:type="pct"/>
            <w:shd w:val="clear" w:color="auto" w:fill="4F81BD"/>
            <w:vAlign w:val="center"/>
          </w:tcPr>
          <w:p w14:paraId="70950B73" w14:textId="6C61E232" w:rsidR="008D62F4" w:rsidRPr="00EE43C6" w:rsidRDefault="00FF4650" w:rsidP="00B625EB">
            <w:pPr>
              <w:spacing w:before="0" w:after="0" w:line="240" w:lineRule="auto"/>
              <w:jc w:val="center"/>
              <w:rPr>
                <w:rFonts w:eastAsiaTheme="minorHAnsi" w:cs="Arial"/>
                <w:b/>
                <w:color w:val="FFFFFF" w:themeColor="background1"/>
                <w:sz w:val="18"/>
                <w:szCs w:val="18"/>
                <w:lang w:eastAsia="en-US"/>
              </w:rPr>
            </w:pPr>
            <w:r w:rsidRPr="00EE43C6">
              <w:rPr>
                <w:rFonts w:eastAsiaTheme="minorHAnsi" w:cs="Arial"/>
                <w:b/>
                <w:color w:val="FFFFFF" w:themeColor="background1"/>
                <w:sz w:val="18"/>
                <w:szCs w:val="18"/>
                <w:lang w:eastAsia="en-US"/>
              </w:rPr>
              <w:t>Unit</w:t>
            </w:r>
          </w:p>
        </w:tc>
        <w:tc>
          <w:tcPr>
            <w:tcW w:w="1436" w:type="pct"/>
            <w:shd w:val="clear" w:color="auto" w:fill="4F81BD"/>
            <w:vAlign w:val="center"/>
          </w:tcPr>
          <w:p w14:paraId="2CA5BBA4" w14:textId="77777777" w:rsidR="00B10CEF" w:rsidRPr="00EE43C6" w:rsidRDefault="00B10CEF" w:rsidP="00B625EB">
            <w:pPr>
              <w:spacing w:before="0" w:after="0" w:line="240" w:lineRule="auto"/>
              <w:jc w:val="center"/>
              <w:rPr>
                <w:rFonts w:eastAsiaTheme="minorHAnsi" w:cs="Arial"/>
                <w:b/>
                <w:color w:val="FFFFFF" w:themeColor="background1"/>
                <w:sz w:val="18"/>
                <w:szCs w:val="18"/>
                <w:lang w:eastAsia="en-US"/>
              </w:rPr>
            </w:pPr>
            <w:r w:rsidRPr="00EE43C6">
              <w:rPr>
                <w:rFonts w:eastAsiaTheme="minorHAnsi" w:cs="Arial"/>
                <w:b/>
                <w:color w:val="FFFFFF" w:themeColor="background1"/>
                <w:sz w:val="18"/>
                <w:szCs w:val="18"/>
                <w:lang w:eastAsia="en-US"/>
              </w:rPr>
              <w:t>Composite Sample</w:t>
            </w:r>
          </w:p>
          <w:p w14:paraId="3C4B44E9" w14:textId="3BB512F9" w:rsidR="00B10CEF" w:rsidRPr="00EE43C6" w:rsidRDefault="00B10CEF" w:rsidP="00B625EB">
            <w:pPr>
              <w:spacing w:before="0" w:after="0" w:line="240" w:lineRule="auto"/>
              <w:jc w:val="center"/>
              <w:rPr>
                <w:rFonts w:eastAsiaTheme="minorHAnsi" w:cs="Arial"/>
                <w:b/>
                <w:color w:val="FFFFFF" w:themeColor="background1"/>
                <w:sz w:val="18"/>
                <w:szCs w:val="18"/>
                <w:lang w:eastAsia="en-US"/>
              </w:rPr>
            </w:pPr>
            <w:r w:rsidRPr="00EE43C6">
              <w:rPr>
                <w:rFonts w:eastAsiaTheme="minorHAnsi" w:cs="Arial"/>
                <w:b/>
                <w:color w:val="FFFFFF" w:themeColor="background1"/>
                <w:sz w:val="18"/>
                <w:szCs w:val="18"/>
                <w:lang w:eastAsia="en-US"/>
              </w:rPr>
              <w:t>2 hours</w:t>
            </w:r>
          </w:p>
        </w:tc>
      </w:tr>
      <w:tr w:rsidR="008D62F4" w:rsidRPr="00EE43C6" w14:paraId="7C0736B4" w14:textId="77777777" w:rsidTr="001E0229">
        <w:trPr>
          <w:trHeight w:val="284"/>
          <w:jc w:val="center"/>
        </w:trPr>
        <w:tc>
          <w:tcPr>
            <w:tcW w:w="2766" w:type="pct"/>
            <w:vAlign w:val="center"/>
          </w:tcPr>
          <w:p w14:paraId="482C7B11" w14:textId="5C2CBBB0" w:rsidR="008D62F4" w:rsidRPr="00EE43C6" w:rsidRDefault="00992E51"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Chemical Oxygen Demand (COD)</w:t>
            </w:r>
          </w:p>
        </w:tc>
        <w:tc>
          <w:tcPr>
            <w:tcW w:w="799" w:type="pct"/>
            <w:vAlign w:val="center"/>
          </w:tcPr>
          <w:p w14:paraId="6D7A0FEB" w14:textId="185AE618" w:rsidR="008D62F4"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7EC194EA" w14:textId="351E7DDB" w:rsidR="008D62F4" w:rsidRPr="00EE43C6" w:rsidRDefault="00BF41EE"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250</w:t>
            </w:r>
          </w:p>
        </w:tc>
      </w:tr>
      <w:tr w:rsidR="008D62F4" w:rsidRPr="00EE43C6" w14:paraId="606CB54F" w14:textId="77777777" w:rsidTr="001E0229">
        <w:trPr>
          <w:trHeight w:val="284"/>
          <w:jc w:val="center"/>
        </w:trPr>
        <w:tc>
          <w:tcPr>
            <w:tcW w:w="2766" w:type="pct"/>
            <w:vAlign w:val="center"/>
          </w:tcPr>
          <w:p w14:paraId="3BCA9186" w14:textId="5B670B5C" w:rsidR="008D62F4" w:rsidRPr="00EE43C6" w:rsidRDefault="003C741A"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Total Suspended Solids (TSS)</w:t>
            </w:r>
          </w:p>
        </w:tc>
        <w:tc>
          <w:tcPr>
            <w:tcW w:w="799" w:type="pct"/>
            <w:vAlign w:val="center"/>
          </w:tcPr>
          <w:p w14:paraId="653D9E84" w14:textId="31B0B39C" w:rsidR="008D62F4"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07F709D2" w14:textId="48ABA3BC" w:rsidR="008D62F4" w:rsidRPr="00EE43C6" w:rsidRDefault="0019101C"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200</w:t>
            </w:r>
          </w:p>
        </w:tc>
      </w:tr>
      <w:tr w:rsidR="008D62F4" w:rsidRPr="00EE43C6" w14:paraId="0FC2B2FC" w14:textId="77777777" w:rsidTr="001E0229">
        <w:trPr>
          <w:trHeight w:val="284"/>
          <w:jc w:val="center"/>
        </w:trPr>
        <w:tc>
          <w:tcPr>
            <w:tcW w:w="2766" w:type="pct"/>
            <w:vAlign w:val="center"/>
          </w:tcPr>
          <w:p w14:paraId="4574700A" w14:textId="4707E1FA" w:rsidR="008D62F4" w:rsidRPr="00EE43C6" w:rsidRDefault="00032E04"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Oil and Grease</w:t>
            </w:r>
          </w:p>
        </w:tc>
        <w:tc>
          <w:tcPr>
            <w:tcW w:w="799" w:type="pct"/>
            <w:vAlign w:val="center"/>
          </w:tcPr>
          <w:p w14:paraId="1EFB0F65" w14:textId="4A3D9AD6" w:rsidR="008D62F4"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208A4E6A" w14:textId="1831CBE2" w:rsidR="008D62F4" w:rsidRPr="00EE43C6" w:rsidRDefault="0019101C"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20</w:t>
            </w:r>
          </w:p>
        </w:tc>
      </w:tr>
      <w:tr w:rsidR="008D62F4" w:rsidRPr="00EE43C6" w14:paraId="374692EC" w14:textId="77777777" w:rsidTr="001E0229">
        <w:trPr>
          <w:trHeight w:val="284"/>
          <w:jc w:val="center"/>
        </w:trPr>
        <w:tc>
          <w:tcPr>
            <w:tcW w:w="2766" w:type="pct"/>
            <w:vAlign w:val="center"/>
          </w:tcPr>
          <w:p w14:paraId="3B592FB6" w14:textId="274D4480" w:rsidR="008D62F4" w:rsidRPr="00EE43C6" w:rsidRDefault="00032E04"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Total Phosphorus</w:t>
            </w:r>
          </w:p>
        </w:tc>
        <w:tc>
          <w:tcPr>
            <w:tcW w:w="799" w:type="pct"/>
            <w:vAlign w:val="center"/>
          </w:tcPr>
          <w:p w14:paraId="67881B80" w14:textId="3AA44BC1" w:rsidR="008D62F4"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6B93FB27" w14:textId="3D0E4CF3" w:rsidR="008D62F4" w:rsidRPr="00EE43C6" w:rsidRDefault="0019101C"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2</w:t>
            </w:r>
          </w:p>
        </w:tc>
      </w:tr>
      <w:tr w:rsidR="008D62F4" w:rsidRPr="00EE43C6" w14:paraId="0E4991CA" w14:textId="77777777" w:rsidTr="001E0229">
        <w:trPr>
          <w:trHeight w:val="284"/>
          <w:jc w:val="center"/>
        </w:trPr>
        <w:tc>
          <w:tcPr>
            <w:tcW w:w="2766" w:type="pct"/>
            <w:vAlign w:val="center"/>
          </w:tcPr>
          <w:p w14:paraId="297F2939" w14:textId="02501E04" w:rsidR="008D62F4" w:rsidRPr="00EE43C6" w:rsidRDefault="00E03624"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Total Chrome</w:t>
            </w:r>
          </w:p>
        </w:tc>
        <w:tc>
          <w:tcPr>
            <w:tcW w:w="799" w:type="pct"/>
            <w:vAlign w:val="center"/>
          </w:tcPr>
          <w:p w14:paraId="0E5D401C" w14:textId="4BFAFFDB" w:rsidR="008D62F4"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2A7121D4" w14:textId="6F8A1BBE" w:rsidR="008D62F4" w:rsidRPr="00EE43C6" w:rsidRDefault="0001598B"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2</w:t>
            </w:r>
          </w:p>
        </w:tc>
      </w:tr>
      <w:tr w:rsidR="008D62F4" w:rsidRPr="00EE43C6" w14:paraId="34B70AF2" w14:textId="77777777" w:rsidTr="001E0229">
        <w:trPr>
          <w:trHeight w:val="284"/>
          <w:jc w:val="center"/>
        </w:trPr>
        <w:tc>
          <w:tcPr>
            <w:tcW w:w="2766" w:type="pct"/>
            <w:vAlign w:val="center"/>
          </w:tcPr>
          <w:p w14:paraId="376AAD81" w14:textId="39819ECB" w:rsidR="008D62F4" w:rsidRPr="00EE43C6" w:rsidRDefault="00E03624"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Chrome (Cr</w:t>
            </w:r>
            <w:r w:rsidRPr="00EE43C6">
              <w:rPr>
                <w:rFonts w:eastAsiaTheme="minorHAnsi" w:cs="Arial"/>
                <w:sz w:val="18"/>
                <w:szCs w:val="18"/>
                <w:vertAlign w:val="superscript"/>
                <w:lang w:eastAsia="en-US"/>
              </w:rPr>
              <w:t>+6</w:t>
            </w:r>
            <w:r w:rsidRPr="00EE43C6">
              <w:rPr>
                <w:rFonts w:eastAsiaTheme="minorHAnsi" w:cs="Arial"/>
                <w:sz w:val="18"/>
                <w:szCs w:val="18"/>
                <w:lang w:eastAsia="en-US"/>
              </w:rPr>
              <w:t>)</w:t>
            </w:r>
          </w:p>
        </w:tc>
        <w:tc>
          <w:tcPr>
            <w:tcW w:w="799" w:type="pct"/>
            <w:vAlign w:val="center"/>
          </w:tcPr>
          <w:p w14:paraId="128EED68" w14:textId="77365F1B" w:rsidR="008D62F4"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10366376" w14:textId="7373AF8C" w:rsidR="008D62F4" w:rsidRPr="00EE43C6" w:rsidRDefault="008F1C43"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0.5</w:t>
            </w:r>
          </w:p>
        </w:tc>
      </w:tr>
      <w:tr w:rsidR="008D62F4" w:rsidRPr="00EE43C6" w14:paraId="48F9D37B" w14:textId="77777777" w:rsidTr="001E0229">
        <w:trPr>
          <w:trHeight w:val="284"/>
          <w:jc w:val="center"/>
        </w:trPr>
        <w:tc>
          <w:tcPr>
            <w:tcW w:w="2766" w:type="pct"/>
            <w:vAlign w:val="center"/>
          </w:tcPr>
          <w:p w14:paraId="6D2BBA22" w14:textId="601119E2" w:rsidR="008D62F4" w:rsidRPr="00EE43C6" w:rsidRDefault="006A3B63"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Lead (Pb)</w:t>
            </w:r>
          </w:p>
        </w:tc>
        <w:tc>
          <w:tcPr>
            <w:tcW w:w="799" w:type="pct"/>
            <w:vAlign w:val="center"/>
          </w:tcPr>
          <w:p w14:paraId="41908A7C" w14:textId="4D6D9CDF" w:rsidR="008D62F4"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611D92AF" w14:textId="052088F8" w:rsidR="008D62F4" w:rsidRPr="00EE43C6" w:rsidRDefault="008F1C43"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2</w:t>
            </w:r>
          </w:p>
        </w:tc>
      </w:tr>
      <w:tr w:rsidR="006A3B63" w:rsidRPr="00EE43C6" w14:paraId="320DA433" w14:textId="77777777" w:rsidTr="001E0229">
        <w:trPr>
          <w:trHeight w:val="284"/>
          <w:jc w:val="center"/>
        </w:trPr>
        <w:tc>
          <w:tcPr>
            <w:tcW w:w="2766" w:type="pct"/>
            <w:vAlign w:val="center"/>
          </w:tcPr>
          <w:p w14:paraId="1B9DA823" w14:textId="63908457" w:rsidR="006A3B63" w:rsidRPr="00EE43C6" w:rsidRDefault="00685436"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Total Cyanide (Cn</w:t>
            </w:r>
            <w:r w:rsidRPr="00EE43C6">
              <w:rPr>
                <w:rFonts w:eastAsiaTheme="minorHAnsi" w:cs="Arial"/>
                <w:sz w:val="18"/>
                <w:szCs w:val="18"/>
                <w:vertAlign w:val="superscript"/>
                <w:lang w:eastAsia="en-US"/>
              </w:rPr>
              <w:t>-</w:t>
            </w:r>
            <w:r w:rsidRPr="00EE43C6">
              <w:rPr>
                <w:rFonts w:eastAsiaTheme="minorHAnsi" w:cs="Arial"/>
                <w:sz w:val="18"/>
                <w:szCs w:val="18"/>
                <w:lang w:eastAsia="en-US"/>
              </w:rPr>
              <w:t>)</w:t>
            </w:r>
          </w:p>
        </w:tc>
        <w:tc>
          <w:tcPr>
            <w:tcW w:w="799" w:type="pct"/>
            <w:vAlign w:val="center"/>
          </w:tcPr>
          <w:p w14:paraId="0A4810F9" w14:textId="0127E697" w:rsidR="006A3B63"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09BFD429" w14:textId="2F8B21F9" w:rsidR="006A3B63" w:rsidRPr="00EE43C6" w:rsidRDefault="00BB1895"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1</w:t>
            </w:r>
          </w:p>
        </w:tc>
      </w:tr>
      <w:tr w:rsidR="00685436" w:rsidRPr="00EE43C6" w14:paraId="49F816BB" w14:textId="77777777" w:rsidTr="001E0229">
        <w:trPr>
          <w:trHeight w:val="284"/>
          <w:jc w:val="center"/>
        </w:trPr>
        <w:tc>
          <w:tcPr>
            <w:tcW w:w="2766" w:type="pct"/>
            <w:vAlign w:val="center"/>
          </w:tcPr>
          <w:p w14:paraId="2F13CE81" w14:textId="1BE1C72E" w:rsidR="00685436" w:rsidRPr="00EE43C6" w:rsidRDefault="006D77AF"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Cadmium (Cd)</w:t>
            </w:r>
          </w:p>
        </w:tc>
        <w:tc>
          <w:tcPr>
            <w:tcW w:w="799" w:type="pct"/>
            <w:vAlign w:val="center"/>
          </w:tcPr>
          <w:p w14:paraId="25E5FA37" w14:textId="72C5DE95" w:rsidR="00685436"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02BCD12C" w14:textId="6E8D0780" w:rsidR="00685436" w:rsidRPr="00EE43C6" w:rsidRDefault="00BB1895"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0.1</w:t>
            </w:r>
          </w:p>
        </w:tc>
      </w:tr>
      <w:tr w:rsidR="006D77AF" w:rsidRPr="00EE43C6" w14:paraId="39B97286" w14:textId="77777777" w:rsidTr="001E0229">
        <w:trPr>
          <w:trHeight w:val="284"/>
          <w:jc w:val="center"/>
        </w:trPr>
        <w:tc>
          <w:tcPr>
            <w:tcW w:w="2766" w:type="pct"/>
            <w:vAlign w:val="center"/>
          </w:tcPr>
          <w:p w14:paraId="06365A32" w14:textId="4D7787EE" w:rsidR="006D77AF" w:rsidRPr="00EE43C6" w:rsidRDefault="00C1029A"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Ferrous (Fe)</w:t>
            </w:r>
          </w:p>
        </w:tc>
        <w:tc>
          <w:tcPr>
            <w:tcW w:w="799" w:type="pct"/>
            <w:vAlign w:val="center"/>
          </w:tcPr>
          <w:p w14:paraId="6E2EDF84" w14:textId="0E633020" w:rsidR="006D77AF"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1741C35E" w14:textId="6E8D83F3" w:rsidR="006D77AF" w:rsidRPr="00EE43C6" w:rsidRDefault="00BB1895"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10</w:t>
            </w:r>
          </w:p>
        </w:tc>
      </w:tr>
      <w:tr w:rsidR="00C1029A" w:rsidRPr="00EE43C6" w14:paraId="5F2D432B" w14:textId="77777777" w:rsidTr="001E0229">
        <w:trPr>
          <w:trHeight w:val="284"/>
          <w:jc w:val="center"/>
        </w:trPr>
        <w:tc>
          <w:tcPr>
            <w:tcW w:w="2766" w:type="pct"/>
            <w:vAlign w:val="center"/>
          </w:tcPr>
          <w:p w14:paraId="22EAD5B7" w14:textId="454BE9C8" w:rsidR="00C1029A" w:rsidRPr="00EE43C6" w:rsidRDefault="006D5393"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Fluoride (F</w:t>
            </w:r>
            <w:r w:rsidRPr="00EE43C6">
              <w:rPr>
                <w:rFonts w:eastAsiaTheme="minorHAnsi" w:cs="Arial"/>
                <w:sz w:val="18"/>
                <w:szCs w:val="18"/>
                <w:vertAlign w:val="superscript"/>
                <w:lang w:eastAsia="en-US"/>
              </w:rPr>
              <w:t>-</w:t>
            </w:r>
            <w:r w:rsidRPr="00EE43C6">
              <w:rPr>
                <w:rFonts w:eastAsiaTheme="minorHAnsi" w:cs="Arial"/>
                <w:sz w:val="18"/>
                <w:szCs w:val="18"/>
                <w:lang w:eastAsia="en-US"/>
              </w:rPr>
              <w:t>)</w:t>
            </w:r>
          </w:p>
        </w:tc>
        <w:tc>
          <w:tcPr>
            <w:tcW w:w="799" w:type="pct"/>
            <w:vAlign w:val="center"/>
          </w:tcPr>
          <w:p w14:paraId="261590C5" w14:textId="0E39E91C" w:rsidR="00C1029A"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245F8D64" w14:textId="54EF6573" w:rsidR="00C1029A" w:rsidRPr="00EE43C6" w:rsidRDefault="00BB1895"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15</w:t>
            </w:r>
          </w:p>
        </w:tc>
      </w:tr>
      <w:tr w:rsidR="00C1029A" w:rsidRPr="00EE43C6" w14:paraId="300D6E9D" w14:textId="77777777" w:rsidTr="001E0229">
        <w:trPr>
          <w:trHeight w:val="284"/>
          <w:jc w:val="center"/>
        </w:trPr>
        <w:tc>
          <w:tcPr>
            <w:tcW w:w="2766" w:type="pct"/>
            <w:vAlign w:val="center"/>
          </w:tcPr>
          <w:p w14:paraId="5D4138D2" w14:textId="0F891627" w:rsidR="00C1029A" w:rsidRPr="00EE43C6" w:rsidRDefault="001C385C"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Copper</w:t>
            </w:r>
            <w:r w:rsidR="0044405F" w:rsidRPr="00EE43C6">
              <w:rPr>
                <w:rFonts w:eastAsiaTheme="minorHAnsi" w:cs="Arial"/>
                <w:sz w:val="18"/>
                <w:szCs w:val="18"/>
                <w:lang w:eastAsia="en-US"/>
              </w:rPr>
              <w:t xml:space="preserve"> (Cu)</w:t>
            </w:r>
          </w:p>
        </w:tc>
        <w:tc>
          <w:tcPr>
            <w:tcW w:w="799" w:type="pct"/>
            <w:vAlign w:val="center"/>
          </w:tcPr>
          <w:p w14:paraId="2A2DBEF6" w14:textId="5EB09476" w:rsidR="00C1029A"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3803A1B5" w14:textId="362C2500" w:rsidR="00C1029A" w:rsidRPr="00EE43C6" w:rsidRDefault="00B917D7"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3</w:t>
            </w:r>
          </w:p>
        </w:tc>
      </w:tr>
      <w:tr w:rsidR="0044405F" w:rsidRPr="00EE43C6" w14:paraId="0FAF6397" w14:textId="77777777" w:rsidTr="001E0229">
        <w:trPr>
          <w:trHeight w:val="284"/>
          <w:jc w:val="center"/>
        </w:trPr>
        <w:tc>
          <w:tcPr>
            <w:tcW w:w="2766" w:type="pct"/>
            <w:vAlign w:val="center"/>
          </w:tcPr>
          <w:p w14:paraId="6202D52F" w14:textId="76B1C10E" w:rsidR="0044405F" w:rsidRPr="00EE43C6" w:rsidRDefault="0031486E"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Zinc (</w:t>
            </w:r>
            <w:r w:rsidR="00393010" w:rsidRPr="00EE43C6">
              <w:rPr>
                <w:rFonts w:eastAsiaTheme="minorHAnsi" w:cs="Arial"/>
                <w:sz w:val="18"/>
                <w:szCs w:val="18"/>
                <w:lang w:eastAsia="en-US"/>
              </w:rPr>
              <w:t>Zn</w:t>
            </w:r>
            <w:r w:rsidRPr="00EE43C6">
              <w:rPr>
                <w:rFonts w:eastAsiaTheme="minorHAnsi" w:cs="Arial"/>
                <w:sz w:val="18"/>
                <w:szCs w:val="18"/>
                <w:lang w:eastAsia="en-US"/>
              </w:rPr>
              <w:t>)</w:t>
            </w:r>
          </w:p>
        </w:tc>
        <w:tc>
          <w:tcPr>
            <w:tcW w:w="799" w:type="pct"/>
            <w:vAlign w:val="center"/>
          </w:tcPr>
          <w:p w14:paraId="21B9616A" w14:textId="54E0590D" w:rsidR="0044405F"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5FDAE437" w14:textId="77A634D9" w:rsidR="0044405F" w:rsidRPr="00EE43C6" w:rsidRDefault="00B917D7"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5</w:t>
            </w:r>
          </w:p>
        </w:tc>
      </w:tr>
      <w:tr w:rsidR="0044405F" w:rsidRPr="00EE43C6" w14:paraId="5BE3DC20" w14:textId="77777777" w:rsidTr="001E0229">
        <w:trPr>
          <w:trHeight w:val="284"/>
          <w:jc w:val="center"/>
        </w:trPr>
        <w:tc>
          <w:tcPr>
            <w:tcW w:w="2766" w:type="pct"/>
            <w:vAlign w:val="center"/>
          </w:tcPr>
          <w:p w14:paraId="27C1632A" w14:textId="07831667" w:rsidR="0044405F" w:rsidRPr="00EE43C6" w:rsidRDefault="003D59BD"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Mercury (Hg)</w:t>
            </w:r>
          </w:p>
        </w:tc>
        <w:tc>
          <w:tcPr>
            <w:tcW w:w="799" w:type="pct"/>
            <w:vAlign w:val="center"/>
          </w:tcPr>
          <w:p w14:paraId="4105F728" w14:textId="3DC52708" w:rsidR="0044405F"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1CE79C84" w14:textId="6DCF0C01" w:rsidR="0044405F" w:rsidRPr="00EE43C6" w:rsidRDefault="00E0165C"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0.05</w:t>
            </w:r>
          </w:p>
        </w:tc>
      </w:tr>
      <w:tr w:rsidR="00E1566A" w:rsidRPr="00EE43C6" w14:paraId="7A77B97E" w14:textId="77777777" w:rsidTr="001E0229">
        <w:trPr>
          <w:trHeight w:val="284"/>
          <w:jc w:val="center"/>
        </w:trPr>
        <w:tc>
          <w:tcPr>
            <w:tcW w:w="2766" w:type="pct"/>
            <w:vAlign w:val="center"/>
          </w:tcPr>
          <w:p w14:paraId="77749BB0" w14:textId="2E3E99B0" w:rsidR="00E1566A" w:rsidRPr="00EE43C6" w:rsidRDefault="00E1566A"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Sulphate (SO</w:t>
            </w:r>
            <w:r w:rsidRPr="00EE43C6">
              <w:rPr>
                <w:rFonts w:eastAsiaTheme="minorHAnsi" w:cs="Arial"/>
                <w:sz w:val="18"/>
                <w:szCs w:val="18"/>
                <w:vertAlign w:val="subscript"/>
                <w:lang w:eastAsia="en-US"/>
              </w:rPr>
              <w:t>4</w:t>
            </w:r>
            <w:r w:rsidRPr="00EE43C6">
              <w:rPr>
                <w:rFonts w:eastAsiaTheme="minorHAnsi" w:cs="Arial"/>
                <w:sz w:val="18"/>
                <w:szCs w:val="18"/>
                <w:lang w:eastAsia="en-US"/>
              </w:rPr>
              <w:t>)</w:t>
            </w:r>
          </w:p>
        </w:tc>
        <w:tc>
          <w:tcPr>
            <w:tcW w:w="799" w:type="pct"/>
            <w:vAlign w:val="center"/>
          </w:tcPr>
          <w:p w14:paraId="4F85A420" w14:textId="4F77398B" w:rsidR="00E1566A"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54F63CC3" w14:textId="50EA8420" w:rsidR="00E1566A" w:rsidRPr="00EE43C6" w:rsidRDefault="00B917D7"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1,500</w:t>
            </w:r>
          </w:p>
        </w:tc>
      </w:tr>
      <w:tr w:rsidR="009C51CD" w:rsidRPr="00EE43C6" w14:paraId="75FFE7BB" w14:textId="77777777" w:rsidTr="001E0229">
        <w:trPr>
          <w:trHeight w:val="284"/>
          <w:jc w:val="center"/>
        </w:trPr>
        <w:tc>
          <w:tcPr>
            <w:tcW w:w="2766" w:type="pct"/>
            <w:vAlign w:val="center"/>
          </w:tcPr>
          <w:p w14:paraId="73F07F9B" w14:textId="6FA8E542" w:rsidR="009C51CD" w:rsidRPr="00EE43C6" w:rsidRDefault="009C51CD"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Total kjeldahl-nitrogen</w:t>
            </w:r>
          </w:p>
        </w:tc>
        <w:tc>
          <w:tcPr>
            <w:tcW w:w="799" w:type="pct"/>
            <w:vAlign w:val="center"/>
          </w:tcPr>
          <w:p w14:paraId="6C5C508C" w14:textId="6DDAC817" w:rsidR="009C51CD"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mg/l</w:t>
            </w:r>
          </w:p>
        </w:tc>
        <w:tc>
          <w:tcPr>
            <w:tcW w:w="1436" w:type="pct"/>
            <w:vAlign w:val="center"/>
          </w:tcPr>
          <w:p w14:paraId="2C8AF2C9" w14:textId="56C90066" w:rsidR="009C51CD" w:rsidRPr="00EE43C6" w:rsidRDefault="009C2988"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20</w:t>
            </w:r>
          </w:p>
        </w:tc>
      </w:tr>
      <w:tr w:rsidR="00611DF0" w:rsidRPr="00EE43C6" w14:paraId="760D7515" w14:textId="77777777" w:rsidTr="001E0229">
        <w:trPr>
          <w:trHeight w:val="284"/>
          <w:jc w:val="center"/>
        </w:trPr>
        <w:tc>
          <w:tcPr>
            <w:tcW w:w="2766" w:type="pct"/>
            <w:vAlign w:val="center"/>
          </w:tcPr>
          <w:p w14:paraId="4CE0196A" w14:textId="31DBA2C6" w:rsidR="00611DF0" w:rsidRPr="00EE43C6" w:rsidRDefault="00611DF0" w:rsidP="00B625EB">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Fish Bioassay (Zsf)</w:t>
            </w:r>
          </w:p>
        </w:tc>
        <w:tc>
          <w:tcPr>
            <w:tcW w:w="799" w:type="pct"/>
            <w:vAlign w:val="center"/>
          </w:tcPr>
          <w:p w14:paraId="4C3BD551" w14:textId="473BEC53" w:rsidR="00611DF0" w:rsidRPr="00EE43C6" w:rsidRDefault="008F2C1A"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w:t>
            </w:r>
          </w:p>
        </w:tc>
        <w:tc>
          <w:tcPr>
            <w:tcW w:w="1436" w:type="pct"/>
            <w:vAlign w:val="center"/>
          </w:tcPr>
          <w:p w14:paraId="2E736E27" w14:textId="38624402" w:rsidR="00611DF0" w:rsidRPr="00EE43C6" w:rsidRDefault="00FC21A6" w:rsidP="00B625EB">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10</w:t>
            </w:r>
          </w:p>
        </w:tc>
      </w:tr>
      <w:tr w:rsidR="00DC67C5" w:rsidRPr="00EE43C6" w14:paraId="04365111" w14:textId="77777777" w:rsidTr="001E0229">
        <w:trPr>
          <w:trHeight w:val="284"/>
          <w:jc w:val="center"/>
        </w:trPr>
        <w:tc>
          <w:tcPr>
            <w:tcW w:w="2766" w:type="pct"/>
            <w:vAlign w:val="center"/>
          </w:tcPr>
          <w:p w14:paraId="6CBFEE09" w14:textId="041F195E" w:rsidR="00F72CE7" w:rsidRPr="00EE43C6" w:rsidRDefault="00F72CE7" w:rsidP="00F72CE7">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pH</w:t>
            </w:r>
          </w:p>
        </w:tc>
        <w:tc>
          <w:tcPr>
            <w:tcW w:w="799" w:type="pct"/>
            <w:vAlign w:val="center"/>
          </w:tcPr>
          <w:p w14:paraId="1A1BC2A9" w14:textId="1C05FF56" w:rsidR="00F72CE7" w:rsidRPr="00EE43C6" w:rsidRDefault="00F72CE7" w:rsidP="00F72CE7">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w:t>
            </w:r>
          </w:p>
        </w:tc>
        <w:tc>
          <w:tcPr>
            <w:tcW w:w="1436" w:type="pct"/>
            <w:vAlign w:val="center"/>
          </w:tcPr>
          <w:p w14:paraId="36079CBF" w14:textId="68F2C4BB" w:rsidR="00F72CE7" w:rsidRPr="00EE43C6" w:rsidRDefault="00DC273B" w:rsidP="00F72CE7">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6-9</w:t>
            </w:r>
          </w:p>
        </w:tc>
      </w:tr>
      <w:tr w:rsidR="00DC67C5" w:rsidRPr="00EE43C6" w14:paraId="1CADFDBD" w14:textId="77777777" w:rsidTr="001E0229">
        <w:trPr>
          <w:trHeight w:val="284"/>
          <w:jc w:val="center"/>
        </w:trPr>
        <w:tc>
          <w:tcPr>
            <w:tcW w:w="2766" w:type="pct"/>
            <w:vAlign w:val="center"/>
          </w:tcPr>
          <w:p w14:paraId="05E09281" w14:textId="381CCDFE" w:rsidR="00F72CE7" w:rsidRPr="00EE43C6" w:rsidRDefault="00F72CE7" w:rsidP="00F72CE7">
            <w:pPr>
              <w:spacing w:before="0" w:after="0" w:line="240" w:lineRule="auto"/>
              <w:jc w:val="left"/>
              <w:rPr>
                <w:rFonts w:eastAsiaTheme="minorHAnsi" w:cs="Arial"/>
                <w:sz w:val="18"/>
                <w:szCs w:val="18"/>
                <w:lang w:eastAsia="en-US"/>
              </w:rPr>
            </w:pPr>
            <w:r w:rsidRPr="00EE43C6">
              <w:rPr>
                <w:rFonts w:eastAsiaTheme="minorHAnsi" w:cs="Arial"/>
                <w:sz w:val="18"/>
                <w:szCs w:val="18"/>
                <w:lang w:eastAsia="en-US"/>
              </w:rPr>
              <w:t>Color</w:t>
            </w:r>
          </w:p>
        </w:tc>
        <w:tc>
          <w:tcPr>
            <w:tcW w:w="799" w:type="pct"/>
            <w:vAlign w:val="center"/>
          </w:tcPr>
          <w:p w14:paraId="136100E2" w14:textId="2D2159CA" w:rsidR="00F72CE7" w:rsidRPr="00EE43C6" w:rsidRDefault="00F72CE7" w:rsidP="00F72CE7">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(Pt-Co)</w:t>
            </w:r>
          </w:p>
        </w:tc>
        <w:tc>
          <w:tcPr>
            <w:tcW w:w="1436" w:type="pct"/>
            <w:vAlign w:val="center"/>
          </w:tcPr>
          <w:p w14:paraId="0B6BA36A" w14:textId="329CE678" w:rsidR="00F72CE7" w:rsidRPr="00EE43C6" w:rsidRDefault="006A780E" w:rsidP="00F72CE7">
            <w:pPr>
              <w:spacing w:before="0" w:after="0" w:line="240" w:lineRule="auto"/>
              <w:jc w:val="center"/>
              <w:rPr>
                <w:rFonts w:eastAsiaTheme="minorHAnsi" w:cs="Arial"/>
                <w:sz w:val="18"/>
                <w:szCs w:val="18"/>
                <w:lang w:eastAsia="en-US"/>
              </w:rPr>
            </w:pPr>
            <w:r w:rsidRPr="00EE43C6">
              <w:rPr>
                <w:rFonts w:eastAsiaTheme="minorHAnsi" w:cs="Arial"/>
                <w:sz w:val="18"/>
                <w:szCs w:val="18"/>
                <w:lang w:eastAsia="en-US"/>
              </w:rPr>
              <w:t>280</w:t>
            </w:r>
          </w:p>
        </w:tc>
      </w:tr>
    </w:tbl>
    <w:p w14:paraId="32DDB287" w14:textId="3516E08F" w:rsidR="00950F4B" w:rsidRDefault="00950F4B" w:rsidP="00E82768">
      <w:pPr>
        <w:rPr>
          <w:rFonts w:eastAsiaTheme="minorHAnsi"/>
          <w:lang w:eastAsia="en-US"/>
        </w:rPr>
      </w:pPr>
      <w:bookmarkStart w:id="551" w:name="_Toc80633564"/>
      <w:bookmarkStart w:id="552" w:name="_Toc67676589"/>
      <w:bookmarkStart w:id="553" w:name="_Toc59199526"/>
      <w:bookmarkStart w:id="554" w:name="_Toc120016951"/>
      <w:bookmarkStart w:id="555" w:name="_Toc120004729"/>
      <w:r>
        <w:rPr>
          <w:rFonts w:eastAsiaTheme="minorHAnsi"/>
          <w:lang w:eastAsia="en-US"/>
        </w:rPr>
        <w:t xml:space="preserve">In </w:t>
      </w:r>
      <w:r w:rsidR="00777BB1">
        <w:rPr>
          <w:rFonts w:eastAsiaTheme="minorHAnsi"/>
          <w:lang w:eastAsia="en-US"/>
        </w:rPr>
        <w:t xml:space="preserve">addition to </w:t>
      </w:r>
      <w:r>
        <w:rPr>
          <w:rFonts w:eastAsiaTheme="minorHAnsi"/>
          <w:lang w:eastAsia="en-US"/>
        </w:rPr>
        <w:t xml:space="preserve">this, </w:t>
      </w:r>
      <w:r w:rsidR="009A689C">
        <w:rPr>
          <w:rFonts w:eastAsiaTheme="minorHAnsi"/>
          <w:lang w:eastAsia="en-US"/>
        </w:rPr>
        <w:t>c</w:t>
      </w:r>
      <w:r w:rsidR="009A689C" w:rsidRPr="009A689C">
        <w:rPr>
          <w:rFonts w:eastAsiaTheme="minorHAnsi"/>
          <w:lang w:eastAsia="en-US"/>
        </w:rPr>
        <w:t xml:space="preserve">ollected wastewater from sink and bath that </w:t>
      </w:r>
      <w:r w:rsidRPr="00950F4B">
        <w:rPr>
          <w:rFonts w:eastAsiaTheme="minorHAnsi"/>
          <w:lang w:eastAsia="en-US"/>
        </w:rPr>
        <w:t xml:space="preserve">along </w:t>
      </w:r>
      <w:r w:rsidR="002E1C40">
        <w:rPr>
          <w:rFonts w:eastAsiaTheme="minorHAnsi"/>
          <w:lang w:eastAsia="en-US"/>
        </w:rPr>
        <w:t>a separate</w:t>
      </w:r>
      <w:r w:rsidRPr="00950F4B">
        <w:rPr>
          <w:rFonts w:eastAsiaTheme="minorHAnsi"/>
          <w:lang w:eastAsia="en-US"/>
        </w:rPr>
        <w:t xml:space="preserve"> line of the OIZ will be directed to </w:t>
      </w:r>
      <w:r w:rsidR="0015221C" w:rsidRPr="00687A1B">
        <w:t xml:space="preserve">the </w:t>
      </w:r>
      <w:r w:rsidR="0015221C">
        <w:t xml:space="preserve">relevant section of the </w:t>
      </w:r>
      <w:r w:rsidR="0015221C" w:rsidRPr="00687A1B">
        <w:t>WWTP</w:t>
      </w:r>
      <w:r w:rsidR="0015221C">
        <w:t>, which</w:t>
      </w:r>
      <w:r w:rsidRPr="00950F4B">
        <w:rPr>
          <w:rFonts w:eastAsiaTheme="minorHAnsi"/>
          <w:lang w:eastAsia="en-US"/>
        </w:rPr>
        <w:t xml:space="preserve"> will treat all the wastewater originating from the OIZ</w:t>
      </w:r>
      <w:r w:rsidR="0028289D">
        <w:rPr>
          <w:rFonts w:eastAsiaTheme="minorHAnsi"/>
          <w:lang w:eastAsia="en-US"/>
        </w:rPr>
        <w:t xml:space="preserve"> (see </w:t>
      </w:r>
      <w:r w:rsidR="0028289D">
        <w:rPr>
          <w:rFonts w:eastAsiaTheme="minorHAnsi"/>
          <w:lang w:eastAsia="en-US"/>
        </w:rPr>
        <w:fldChar w:fldCharType="begin"/>
      </w:r>
      <w:r w:rsidR="0028289D">
        <w:rPr>
          <w:rFonts w:eastAsiaTheme="minorHAnsi"/>
          <w:lang w:eastAsia="en-US"/>
        </w:rPr>
        <w:instrText xml:space="preserve"> REF _Ref124864253 \h  \* MERGEFORMAT </w:instrText>
      </w:r>
      <w:r w:rsidR="0028289D">
        <w:rPr>
          <w:rFonts w:eastAsiaTheme="minorHAnsi"/>
          <w:lang w:eastAsia="en-US"/>
        </w:rPr>
      </w:r>
      <w:r w:rsidR="0028289D">
        <w:rPr>
          <w:rFonts w:eastAsiaTheme="minorHAnsi"/>
          <w:lang w:eastAsia="en-US"/>
        </w:rPr>
        <w:fldChar w:fldCharType="separate"/>
      </w:r>
      <w:r w:rsidR="0028289D" w:rsidRPr="005C6BAA">
        <w:rPr>
          <w:rFonts w:eastAsiaTheme="minorHAnsi"/>
          <w:lang w:eastAsia="en-US"/>
        </w:rPr>
        <w:t>Figure 2</w:t>
      </w:r>
      <w:r w:rsidR="0028289D" w:rsidRPr="005C6BAA">
        <w:rPr>
          <w:rFonts w:eastAsiaTheme="minorHAnsi"/>
          <w:lang w:eastAsia="en-US"/>
        </w:rPr>
        <w:noBreakHyphen/>
        <w:t>11</w:t>
      </w:r>
      <w:r w:rsidR="0028289D">
        <w:rPr>
          <w:rFonts w:eastAsiaTheme="minorHAnsi"/>
          <w:lang w:eastAsia="en-US"/>
        </w:rPr>
        <w:fldChar w:fldCharType="end"/>
      </w:r>
      <w:r w:rsidR="0028289D">
        <w:rPr>
          <w:rFonts w:eastAsiaTheme="minorHAnsi"/>
          <w:lang w:eastAsia="en-US"/>
        </w:rPr>
        <w:t>)</w:t>
      </w:r>
      <w:r w:rsidRPr="00950F4B">
        <w:rPr>
          <w:rFonts w:eastAsiaTheme="minorHAnsi"/>
          <w:lang w:eastAsia="en-US"/>
        </w:rPr>
        <w:t xml:space="preserve">. </w:t>
      </w:r>
      <w:r w:rsidR="00FE24BB">
        <w:rPr>
          <w:rFonts w:eastAsiaTheme="minorHAnsi"/>
          <w:lang w:eastAsia="en-US"/>
        </w:rPr>
        <w:t xml:space="preserve">Since the design works of the WWTP </w:t>
      </w:r>
      <w:r w:rsidR="00212AAE">
        <w:rPr>
          <w:rFonts w:eastAsiaTheme="minorHAnsi"/>
          <w:lang w:eastAsia="en-US"/>
        </w:rPr>
        <w:t xml:space="preserve">has not </w:t>
      </w:r>
      <w:r w:rsidR="00DF4883">
        <w:rPr>
          <w:rFonts w:eastAsiaTheme="minorHAnsi"/>
          <w:lang w:eastAsia="en-US"/>
        </w:rPr>
        <w:t xml:space="preserve">been </w:t>
      </w:r>
      <w:r w:rsidR="00212AAE">
        <w:rPr>
          <w:rFonts w:eastAsiaTheme="minorHAnsi"/>
          <w:lang w:eastAsia="en-US"/>
        </w:rPr>
        <w:t xml:space="preserve">completed yet, </w:t>
      </w:r>
      <w:r w:rsidR="007820AD">
        <w:rPr>
          <w:rFonts w:eastAsiaTheme="minorHAnsi"/>
          <w:lang w:eastAsia="en-US"/>
        </w:rPr>
        <w:t>n</w:t>
      </w:r>
      <w:r w:rsidR="007820AD" w:rsidRPr="007820AD">
        <w:rPr>
          <w:rFonts w:eastAsiaTheme="minorHAnsi"/>
          <w:lang w:eastAsia="en-US"/>
        </w:rPr>
        <w:t>o</w:t>
      </w:r>
      <w:r w:rsidR="0028289D">
        <w:rPr>
          <w:rFonts w:eastAsiaTheme="minorHAnsi"/>
          <w:lang w:eastAsia="en-US"/>
        </w:rPr>
        <w:t xml:space="preserve"> detail</w:t>
      </w:r>
      <w:r w:rsidR="007820AD" w:rsidRPr="007820AD">
        <w:rPr>
          <w:rFonts w:eastAsiaTheme="minorHAnsi"/>
          <w:lang w:eastAsia="en-US"/>
        </w:rPr>
        <w:t xml:space="preserve"> information c</w:t>
      </w:r>
      <w:r w:rsidR="003C6580">
        <w:rPr>
          <w:rFonts w:eastAsiaTheme="minorHAnsi"/>
          <w:lang w:eastAsia="en-US"/>
        </w:rPr>
        <w:t>ould</w:t>
      </w:r>
      <w:r w:rsidR="007820AD" w:rsidRPr="007820AD">
        <w:rPr>
          <w:rFonts w:eastAsiaTheme="minorHAnsi"/>
          <w:lang w:eastAsia="en-US"/>
        </w:rPr>
        <w:t xml:space="preserve"> be given about the arrangements to be made in the </w:t>
      </w:r>
      <w:r w:rsidR="003C6580">
        <w:rPr>
          <w:rFonts w:eastAsiaTheme="minorHAnsi"/>
          <w:lang w:eastAsia="en-US"/>
        </w:rPr>
        <w:t>design of the WWTP</w:t>
      </w:r>
      <w:r w:rsidR="007820AD" w:rsidRPr="007820AD">
        <w:rPr>
          <w:rFonts w:eastAsiaTheme="minorHAnsi"/>
          <w:lang w:eastAsia="en-US"/>
        </w:rPr>
        <w:t>.</w:t>
      </w:r>
      <w:r w:rsidR="003C6580">
        <w:rPr>
          <w:rFonts w:eastAsiaTheme="minorHAnsi"/>
          <w:lang w:eastAsia="en-US"/>
        </w:rPr>
        <w:t xml:space="preserve"> </w:t>
      </w:r>
      <w:r w:rsidR="00B8646C">
        <w:rPr>
          <w:rFonts w:eastAsiaTheme="minorHAnsi"/>
          <w:lang w:eastAsia="en-US"/>
        </w:rPr>
        <w:t>However,</w:t>
      </w:r>
      <w:r w:rsidR="003C6580">
        <w:rPr>
          <w:rFonts w:eastAsiaTheme="minorHAnsi"/>
          <w:lang w:eastAsia="en-US"/>
        </w:rPr>
        <w:t xml:space="preserve"> a</w:t>
      </w:r>
      <w:r w:rsidRPr="00950F4B">
        <w:rPr>
          <w:rFonts w:eastAsiaTheme="minorHAnsi"/>
          <w:lang w:eastAsia="en-US"/>
        </w:rPr>
        <w:t xml:space="preserve">fter </w:t>
      </w:r>
      <w:r w:rsidR="003C6580">
        <w:rPr>
          <w:rFonts w:eastAsiaTheme="minorHAnsi"/>
          <w:lang w:eastAsia="en-US"/>
        </w:rPr>
        <w:t xml:space="preserve">the </w:t>
      </w:r>
      <w:r w:rsidR="00DE746D">
        <w:rPr>
          <w:rFonts w:eastAsiaTheme="minorHAnsi"/>
          <w:lang w:eastAsia="en-US"/>
        </w:rPr>
        <w:t>collected wastewater</w:t>
      </w:r>
      <w:r w:rsidR="003C6580">
        <w:rPr>
          <w:rFonts w:eastAsiaTheme="minorHAnsi"/>
          <w:lang w:eastAsia="en-US"/>
        </w:rPr>
        <w:t xml:space="preserve"> </w:t>
      </w:r>
      <w:r w:rsidRPr="00950F4B">
        <w:rPr>
          <w:rFonts w:eastAsiaTheme="minorHAnsi"/>
          <w:lang w:eastAsia="en-US"/>
        </w:rPr>
        <w:t>being treated</w:t>
      </w:r>
      <w:r w:rsidR="00525761">
        <w:rPr>
          <w:rFonts w:eastAsiaTheme="minorHAnsi"/>
          <w:lang w:eastAsia="en-US"/>
        </w:rPr>
        <w:t xml:space="preserve"> in WWTP</w:t>
      </w:r>
      <w:r w:rsidRPr="00950F4B">
        <w:rPr>
          <w:rFonts w:eastAsiaTheme="minorHAnsi"/>
          <w:lang w:eastAsia="en-US"/>
        </w:rPr>
        <w:t xml:space="preserve">, treated </w:t>
      </w:r>
      <w:r w:rsidR="00165A8C">
        <w:rPr>
          <w:rFonts w:eastAsiaTheme="minorHAnsi"/>
          <w:lang w:eastAsia="en-US"/>
        </w:rPr>
        <w:t xml:space="preserve">wastewater </w:t>
      </w:r>
      <w:r w:rsidRPr="00950F4B">
        <w:rPr>
          <w:rFonts w:eastAsiaTheme="minorHAnsi"/>
          <w:lang w:eastAsia="en-US"/>
        </w:rPr>
        <w:t>will be directed to the reservoir with capacity of 1,500 m</w:t>
      </w:r>
      <w:r w:rsidRPr="005C6BAA">
        <w:rPr>
          <w:rFonts w:eastAsiaTheme="minorHAnsi"/>
          <w:vertAlign w:val="superscript"/>
          <w:lang w:eastAsia="en-US"/>
        </w:rPr>
        <w:t>3</w:t>
      </w:r>
      <w:r w:rsidRPr="00950F4B">
        <w:rPr>
          <w:rFonts w:eastAsiaTheme="minorHAnsi"/>
          <w:lang w:eastAsia="en-US"/>
        </w:rPr>
        <w:t xml:space="preserve"> and </w:t>
      </w:r>
      <w:r w:rsidR="00BB7EA1">
        <w:rPr>
          <w:rFonts w:eastAsiaTheme="minorHAnsi"/>
          <w:lang w:eastAsia="en-US"/>
        </w:rPr>
        <w:t xml:space="preserve">is planned to be </w:t>
      </w:r>
      <w:r w:rsidRPr="00950F4B">
        <w:rPr>
          <w:rFonts w:eastAsiaTheme="minorHAnsi"/>
          <w:lang w:eastAsia="en-US"/>
        </w:rPr>
        <w:t xml:space="preserve">reused </w:t>
      </w:r>
      <w:r w:rsidR="0090435F" w:rsidRPr="00950F4B">
        <w:rPr>
          <w:rFonts w:eastAsiaTheme="minorHAnsi"/>
          <w:lang w:eastAsia="en-US"/>
        </w:rPr>
        <w:t>within the OIZ</w:t>
      </w:r>
      <w:r w:rsidR="0090435F">
        <w:rPr>
          <w:rFonts w:eastAsiaTheme="minorHAnsi"/>
          <w:lang w:eastAsia="en-US"/>
        </w:rPr>
        <w:t xml:space="preserve"> </w:t>
      </w:r>
      <w:r w:rsidR="00705F94">
        <w:rPr>
          <w:rFonts w:eastAsiaTheme="minorHAnsi"/>
          <w:lang w:eastAsia="en-US"/>
        </w:rPr>
        <w:t>for the purposes other than</w:t>
      </w:r>
      <w:r w:rsidR="00713F89" w:rsidRPr="00F515CC">
        <w:rPr>
          <w:rFonts w:eastAsiaTheme="minorHAnsi"/>
          <w:lang w:eastAsia="en-US"/>
        </w:rPr>
        <w:t xml:space="preserve"> </w:t>
      </w:r>
      <w:r w:rsidR="00F515CC" w:rsidRPr="00F515CC">
        <w:rPr>
          <w:rFonts w:eastAsiaTheme="minorHAnsi"/>
          <w:lang w:eastAsia="en-US"/>
        </w:rPr>
        <w:t xml:space="preserve">production or </w:t>
      </w:r>
      <w:r w:rsidR="006E685D">
        <w:rPr>
          <w:rFonts w:eastAsiaTheme="minorHAnsi"/>
          <w:lang w:eastAsia="en-US"/>
        </w:rPr>
        <w:t>potable water</w:t>
      </w:r>
      <w:r w:rsidRPr="00950F4B">
        <w:rPr>
          <w:rFonts w:eastAsiaTheme="minorHAnsi"/>
          <w:lang w:eastAsia="en-US"/>
        </w:rPr>
        <w:t>.</w:t>
      </w:r>
      <w:r w:rsidR="00F56251">
        <w:rPr>
          <w:rFonts w:eastAsiaTheme="minorHAnsi"/>
          <w:lang w:eastAsia="en-US"/>
        </w:rPr>
        <w:t xml:space="preserve"> In addition to this, s</w:t>
      </w:r>
      <w:r w:rsidR="00F56251" w:rsidRPr="00F56251">
        <w:rPr>
          <w:rFonts w:eastAsiaTheme="minorHAnsi"/>
          <w:lang w:eastAsia="en-US"/>
        </w:rPr>
        <w:t xml:space="preserve">tormwater will be collected with a </w:t>
      </w:r>
      <w:r w:rsidR="00F824CE">
        <w:rPr>
          <w:rFonts w:eastAsiaTheme="minorHAnsi"/>
          <w:lang w:eastAsia="en-US"/>
        </w:rPr>
        <w:t>concerned</w:t>
      </w:r>
      <w:r w:rsidR="00F56251" w:rsidRPr="00F56251">
        <w:rPr>
          <w:rFonts w:eastAsiaTheme="minorHAnsi"/>
          <w:lang w:eastAsia="en-US"/>
        </w:rPr>
        <w:t xml:space="preserve"> network and will be </w:t>
      </w:r>
      <w:r w:rsidR="0099478E">
        <w:rPr>
          <w:rFonts w:eastAsiaTheme="minorHAnsi"/>
          <w:lang w:eastAsia="en-US"/>
        </w:rPr>
        <w:t>div</w:t>
      </w:r>
      <w:r w:rsidR="00262D95">
        <w:rPr>
          <w:rFonts w:eastAsiaTheme="minorHAnsi"/>
          <w:lang w:eastAsia="en-US"/>
        </w:rPr>
        <w:t>erted</w:t>
      </w:r>
      <w:r w:rsidR="00F56251" w:rsidRPr="00F56251">
        <w:rPr>
          <w:rFonts w:eastAsiaTheme="minorHAnsi"/>
          <w:lang w:eastAsia="en-US"/>
        </w:rPr>
        <w:t xml:space="preserve"> to a storage tank</w:t>
      </w:r>
      <w:r w:rsidR="00FD5E19" w:rsidRPr="00FD5E19">
        <w:rPr>
          <w:rFonts w:eastAsiaTheme="minorHAnsi"/>
          <w:lang w:eastAsia="en-US"/>
        </w:rPr>
        <w:t xml:space="preserve"> </w:t>
      </w:r>
      <w:r w:rsidR="00FD5E19" w:rsidRPr="00950F4B">
        <w:rPr>
          <w:rFonts w:eastAsiaTheme="minorHAnsi"/>
          <w:lang w:eastAsia="en-US"/>
        </w:rPr>
        <w:t xml:space="preserve">with </w:t>
      </w:r>
      <w:r w:rsidR="00FD5E19">
        <w:rPr>
          <w:rFonts w:eastAsiaTheme="minorHAnsi"/>
          <w:lang w:eastAsia="en-US"/>
        </w:rPr>
        <w:t xml:space="preserve">a </w:t>
      </w:r>
      <w:r w:rsidR="00FD5E19" w:rsidRPr="00950F4B">
        <w:rPr>
          <w:rFonts w:eastAsiaTheme="minorHAnsi"/>
          <w:lang w:eastAsia="en-US"/>
        </w:rPr>
        <w:t>capacity of 1,</w:t>
      </w:r>
      <w:r w:rsidR="00FD5E19">
        <w:rPr>
          <w:rFonts w:eastAsiaTheme="minorHAnsi"/>
          <w:lang w:eastAsia="en-US"/>
        </w:rPr>
        <w:t>80</w:t>
      </w:r>
      <w:r w:rsidR="00FD5E19" w:rsidRPr="00950F4B">
        <w:rPr>
          <w:rFonts w:eastAsiaTheme="minorHAnsi"/>
          <w:lang w:eastAsia="en-US"/>
        </w:rPr>
        <w:t>0 m</w:t>
      </w:r>
      <w:r w:rsidR="00FD5E19" w:rsidRPr="005C6BAA">
        <w:rPr>
          <w:rFonts w:eastAsiaTheme="minorHAnsi"/>
          <w:vertAlign w:val="superscript"/>
          <w:lang w:eastAsia="en-US"/>
        </w:rPr>
        <w:t>3</w:t>
      </w:r>
      <w:r w:rsidR="00F56251">
        <w:rPr>
          <w:rFonts w:eastAsiaTheme="minorHAnsi"/>
          <w:lang w:eastAsia="en-US"/>
        </w:rPr>
        <w:t xml:space="preserve">. </w:t>
      </w:r>
      <w:r w:rsidR="00B70D9A" w:rsidRPr="00B70D9A">
        <w:rPr>
          <w:rFonts w:eastAsiaTheme="minorHAnsi"/>
          <w:lang w:eastAsia="en-US"/>
        </w:rPr>
        <w:t xml:space="preserve">The collected stormwater </w:t>
      </w:r>
      <w:r w:rsidR="00B70D9A">
        <w:rPr>
          <w:rFonts w:eastAsiaTheme="minorHAnsi"/>
          <w:lang w:eastAsia="en-US"/>
        </w:rPr>
        <w:t>is planned to</w:t>
      </w:r>
      <w:r w:rsidR="00B70D9A" w:rsidRPr="00B70D9A">
        <w:rPr>
          <w:rFonts w:eastAsiaTheme="minorHAnsi"/>
          <w:lang w:eastAsia="en-US"/>
        </w:rPr>
        <w:t xml:space="preserve"> be used for irrigation activities</w:t>
      </w:r>
      <w:r w:rsidR="00B70D9A">
        <w:rPr>
          <w:rFonts w:eastAsiaTheme="minorHAnsi"/>
          <w:lang w:eastAsia="en-US"/>
        </w:rPr>
        <w:t xml:space="preserve"> within the OIZ</w:t>
      </w:r>
      <w:r w:rsidR="00B70D9A" w:rsidRPr="00B70D9A">
        <w:rPr>
          <w:rFonts w:eastAsiaTheme="minorHAnsi"/>
          <w:lang w:eastAsia="en-US"/>
        </w:rPr>
        <w:t xml:space="preserve">. </w:t>
      </w:r>
      <w:r w:rsidR="00131C16">
        <w:rPr>
          <w:rFonts w:eastAsiaTheme="minorHAnsi"/>
          <w:lang w:eastAsia="en-US"/>
        </w:rPr>
        <w:t>When</w:t>
      </w:r>
      <w:r w:rsidR="006B47C5">
        <w:rPr>
          <w:rFonts w:eastAsiaTheme="minorHAnsi"/>
          <w:lang w:eastAsia="en-US"/>
        </w:rPr>
        <w:t xml:space="preserve"> </w:t>
      </w:r>
      <w:r w:rsidR="00F56251" w:rsidRPr="00F56251">
        <w:rPr>
          <w:rFonts w:eastAsiaTheme="minorHAnsi"/>
          <w:lang w:eastAsia="en-US"/>
        </w:rPr>
        <w:t xml:space="preserve">the collection tank is full, </w:t>
      </w:r>
      <w:r w:rsidR="00F824CE">
        <w:rPr>
          <w:rFonts w:eastAsiaTheme="minorHAnsi"/>
          <w:lang w:eastAsia="en-US"/>
        </w:rPr>
        <w:t xml:space="preserve">excess </w:t>
      </w:r>
      <w:r w:rsidR="00F56251" w:rsidRPr="00F56251">
        <w:rPr>
          <w:rFonts w:eastAsiaTheme="minorHAnsi"/>
          <w:lang w:eastAsia="en-US"/>
        </w:rPr>
        <w:t xml:space="preserve">stormwater will be </w:t>
      </w:r>
      <w:r w:rsidR="00262D95">
        <w:rPr>
          <w:rFonts w:eastAsiaTheme="minorHAnsi"/>
          <w:lang w:eastAsia="en-US"/>
        </w:rPr>
        <w:t xml:space="preserve">transferred </w:t>
      </w:r>
      <w:r w:rsidR="00F56251" w:rsidRPr="00F56251">
        <w:rPr>
          <w:rFonts w:eastAsiaTheme="minorHAnsi"/>
          <w:lang w:eastAsia="en-US"/>
        </w:rPr>
        <w:t xml:space="preserve">to the receiving body </w:t>
      </w:r>
      <w:r w:rsidR="002B3748">
        <w:rPr>
          <w:rFonts w:eastAsiaTheme="minorHAnsi"/>
          <w:lang w:eastAsia="en-US"/>
        </w:rPr>
        <w:t xml:space="preserve">as Evcisuyu Stream </w:t>
      </w:r>
      <w:r w:rsidR="00F56251" w:rsidRPr="00F56251">
        <w:rPr>
          <w:rFonts w:eastAsiaTheme="minorHAnsi"/>
          <w:lang w:eastAsia="en-US"/>
        </w:rPr>
        <w:t>to discharge</w:t>
      </w:r>
      <w:r w:rsidR="00131C16">
        <w:rPr>
          <w:rFonts w:eastAsiaTheme="minorHAnsi"/>
          <w:lang w:eastAsia="en-US"/>
        </w:rPr>
        <w:t xml:space="preserve"> (see </w:t>
      </w:r>
      <w:r w:rsidR="006E174E">
        <w:rPr>
          <w:rFonts w:eastAsiaTheme="minorHAnsi"/>
          <w:lang w:eastAsia="en-US"/>
        </w:rPr>
        <w:fldChar w:fldCharType="begin"/>
      </w:r>
      <w:r w:rsidR="006E174E">
        <w:rPr>
          <w:rFonts w:eastAsiaTheme="minorHAnsi"/>
          <w:lang w:eastAsia="en-US"/>
        </w:rPr>
        <w:instrText xml:space="preserve"> REF _Ref124864100 \h  \* MERGEFORMAT </w:instrText>
      </w:r>
      <w:r w:rsidR="006E174E">
        <w:rPr>
          <w:rFonts w:eastAsiaTheme="minorHAnsi"/>
          <w:lang w:eastAsia="en-US"/>
        </w:rPr>
      </w:r>
      <w:r w:rsidR="006E174E">
        <w:rPr>
          <w:rFonts w:eastAsiaTheme="minorHAnsi"/>
          <w:lang w:eastAsia="en-US"/>
        </w:rPr>
        <w:fldChar w:fldCharType="separate"/>
      </w:r>
      <w:r w:rsidR="006E174E" w:rsidRPr="00882EFF">
        <w:rPr>
          <w:rFonts w:eastAsiaTheme="minorHAnsi"/>
          <w:lang w:eastAsia="en-US"/>
        </w:rPr>
        <w:t>Figure 2</w:t>
      </w:r>
      <w:r w:rsidR="006E174E" w:rsidRPr="00882EFF">
        <w:rPr>
          <w:rFonts w:eastAsiaTheme="minorHAnsi"/>
          <w:lang w:eastAsia="en-US"/>
        </w:rPr>
        <w:noBreakHyphen/>
        <w:t>12</w:t>
      </w:r>
      <w:r w:rsidR="006E174E">
        <w:rPr>
          <w:rFonts w:eastAsiaTheme="minorHAnsi"/>
          <w:lang w:eastAsia="en-US"/>
        </w:rPr>
        <w:fldChar w:fldCharType="end"/>
      </w:r>
      <w:r w:rsidR="00131C16">
        <w:rPr>
          <w:rFonts w:eastAsiaTheme="minorHAnsi"/>
          <w:lang w:eastAsia="en-US"/>
        </w:rPr>
        <w:t>)</w:t>
      </w:r>
      <w:r w:rsidR="00F56251">
        <w:rPr>
          <w:rFonts w:eastAsiaTheme="minorHAnsi"/>
          <w:lang w:eastAsia="en-US"/>
        </w:rPr>
        <w:t>.</w:t>
      </w:r>
    </w:p>
    <w:p w14:paraId="563FD26E" w14:textId="623AACAA" w:rsidR="00E82768" w:rsidRPr="00EE43C6" w:rsidRDefault="0041733D" w:rsidP="2DB09FEA">
      <w:pPr>
        <w:rPr>
          <w:rFonts w:eastAsiaTheme="minorEastAsia"/>
          <w:lang w:eastAsia="en-US"/>
        </w:rPr>
      </w:pPr>
      <w:r w:rsidRPr="2DB09FEA">
        <w:rPr>
          <w:rFonts w:eastAsiaTheme="minorEastAsia"/>
          <w:lang w:eastAsia="en-US"/>
        </w:rPr>
        <w:t xml:space="preserve">There is an important case where the WWTP is not included in the project loan usage but is part of another construction process. Therefore, the </w:t>
      </w:r>
      <w:r w:rsidR="006458F3" w:rsidRPr="2DB09FEA">
        <w:rPr>
          <w:rFonts w:eastAsiaTheme="minorEastAsia"/>
          <w:lang w:eastAsia="en-US"/>
        </w:rPr>
        <w:t>WWTP</w:t>
      </w:r>
      <w:r w:rsidRPr="2DB09FEA">
        <w:rPr>
          <w:rFonts w:eastAsiaTheme="minorEastAsia"/>
          <w:lang w:eastAsia="en-US"/>
        </w:rPr>
        <w:t xml:space="preserve"> </w:t>
      </w:r>
      <w:r w:rsidR="006458F3" w:rsidRPr="2DB09FEA">
        <w:rPr>
          <w:rFonts w:eastAsiaTheme="minorEastAsia"/>
          <w:lang w:eastAsia="en-US"/>
        </w:rPr>
        <w:t>should</w:t>
      </w:r>
      <w:r w:rsidRPr="2DB09FEA">
        <w:rPr>
          <w:rFonts w:eastAsiaTheme="minorEastAsia"/>
          <w:lang w:eastAsia="en-US"/>
        </w:rPr>
        <w:t xml:space="preserve"> be operational before the first wastewater generating facility or unit in the OIZ becomes operational.</w:t>
      </w:r>
      <w:r w:rsidR="005F31FE" w:rsidRPr="2DB09FEA">
        <w:rPr>
          <w:rFonts w:eastAsiaTheme="minorEastAsia"/>
          <w:lang w:eastAsia="en-US"/>
        </w:rPr>
        <w:t xml:space="preserve"> </w:t>
      </w:r>
      <w:r w:rsidR="00E82768" w:rsidRPr="2DB09FEA">
        <w:rPr>
          <w:rFonts w:eastAsiaTheme="minorEastAsia"/>
          <w:lang w:eastAsia="en-US"/>
        </w:rPr>
        <w:t xml:space="preserve">Thus, considering the wastewater </w:t>
      </w:r>
      <w:r w:rsidR="00770149" w:rsidRPr="2DB09FEA">
        <w:rPr>
          <w:rFonts w:eastAsiaTheme="minorEastAsia"/>
          <w:lang w:eastAsia="en-US"/>
        </w:rPr>
        <w:t>generation</w:t>
      </w:r>
      <w:r w:rsidR="00966472" w:rsidRPr="2DB09FEA">
        <w:rPr>
          <w:rFonts w:eastAsiaTheme="minorEastAsia"/>
          <w:lang w:eastAsia="en-US"/>
        </w:rPr>
        <w:t xml:space="preserve"> </w:t>
      </w:r>
      <w:r w:rsidR="00654EC9" w:rsidRPr="2DB09FEA">
        <w:rPr>
          <w:rFonts w:eastAsiaTheme="minorEastAsia"/>
          <w:lang w:eastAsia="en-US"/>
        </w:rPr>
        <w:t>in the operation phase of the OIZ</w:t>
      </w:r>
      <w:r w:rsidR="00E82768" w:rsidRPr="2DB09FEA">
        <w:rPr>
          <w:rFonts w:eastAsiaTheme="minorEastAsia"/>
          <w:lang w:eastAsia="en-US"/>
        </w:rPr>
        <w:t xml:space="preserve">, the wastewater impact significance in the </w:t>
      </w:r>
      <w:r w:rsidR="00966472" w:rsidRPr="2DB09FEA">
        <w:rPr>
          <w:rFonts w:eastAsiaTheme="minorEastAsia"/>
          <w:lang w:eastAsia="en-US"/>
        </w:rPr>
        <w:t xml:space="preserve">AoI </w:t>
      </w:r>
      <w:r w:rsidR="00853F48" w:rsidRPr="2DB09FEA">
        <w:rPr>
          <w:rFonts w:eastAsiaTheme="minorEastAsia"/>
          <w:lang w:eastAsia="en-US"/>
        </w:rPr>
        <w:t xml:space="preserve">of the </w:t>
      </w:r>
      <w:r w:rsidR="00E82768" w:rsidRPr="2DB09FEA">
        <w:rPr>
          <w:rFonts w:eastAsiaTheme="minorEastAsia"/>
          <w:lang w:eastAsia="en-US"/>
        </w:rPr>
        <w:t xml:space="preserve">Project is determined as </w:t>
      </w:r>
      <w:r w:rsidR="00966472" w:rsidRPr="2DB09FEA">
        <w:rPr>
          <w:rFonts w:eastAsiaTheme="minorEastAsia"/>
          <w:lang w:eastAsia="en-US"/>
        </w:rPr>
        <w:t>high</w:t>
      </w:r>
      <w:r w:rsidR="00E82768" w:rsidRPr="2DB09FEA">
        <w:rPr>
          <w:rFonts w:eastAsiaTheme="minorEastAsia"/>
          <w:lang w:eastAsia="en-US"/>
        </w:rPr>
        <w:t>.</w:t>
      </w:r>
      <w:r w:rsidR="00914628" w:rsidRPr="2DB09FEA">
        <w:rPr>
          <w:rFonts w:eastAsiaTheme="minorEastAsia"/>
          <w:lang w:eastAsia="en-US"/>
        </w:rPr>
        <w:t xml:space="preserve"> </w:t>
      </w:r>
      <w:r w:rsidR="00035D09" w:rsidRPr="2DB09FEA">
        <w:rPr>
          <w:rFonts w:eastAsiaTheme="minorEastAsia"/>
          <w:lang w:eastAsia="en-US"/>
        </w:rPr>
        <w:t xml:space="preserve">In this context, Before the WWTP construction and operation works, it is necessary to </w:t>
      </w:r>
      <w:r w:rsidR="006807E4" w:rsidRPr="2DB09FEA">
        <w:rPr>
          <w:rFonts w:eastAsiaTheme="minorEastAsia"/>
          <w:lang w:eastAsia="en-US"/>
        </w:rPr>
        <w:t>complete specific management plans</w:t>
      </w:r>
      <w:r w:rsidR="00035D09" w:rsidRPr="2DB09FEA">
        <w:rPr>
          <w:rFonts w:eastAsiaTheme="minorEastAsia"/>
          <w:lang w:eastAsia="en-US"/>
        </w:rPr>
        <w:t xml:space="preserve"> including </w:t>
      </w:r>
      <w:r w:rsidR="00035D09">
        <w:t xml:space="preserve">Sludge Management Plan, </w:t>
      </w:r>
      <w:r w:rsidR="00107300">
        <w:t>Effluent Management Plan</w:t>
      </w:r>
      <w:r w:rsidR="006B5201">
        <w:t xml:space="preserve"> and </w:t>
      </w:r>
      <w:r w:rsidR="00DA3EF8">
        <w:t>Odour</w:t>
      </w:r>
      <w:r w:rsidR="001C3C81">
        <w:t xml:space="preserve"> Management Plan</w:t>
      </w:r>
      <w:r w:rsidR="00FB7C02">
        <w:t>.</w:t>
      </w:r>
      <w:r w:rsidR="002D0942">
        <w:t xml:space="preserve"> The </w:t>
      </w:r>
      <w:r w:rsidR="00E8195F">
        <w:t>concerned</w:t>
      </w:r>
      <w:r w:rsidR="002D0942">
        <w:t xml:space="preserve"> plans will be prepared </w:t>
      </w:r>
      <w:r w:rsidR="006708D5">
        <w:t xml:space="preserve"> by TUIOSB before the </w:t>
      </w:r>
      <w:r w:rsidR="00E8195F">
        <w:t>operation phase of the Project</w:t>
      </w:r>
      <w:r w:rsidR="006708D5">
        <w:t>.</w:t>
      </w:r>
    </w:p>
    <w:p w14:paraId="64E4AB3F" w14:textId="77777777" w:rsidR="004339AC" w:rsidRPr="00EE43C6" w:rsidRDefault="004339AC" w:rsidP="00CE4A51">
      <w:pPr>
        <w:pStyle w:val="Heading2"/>
        <w:ind w:hanging="718"/>
        <w:rPr>
          <w:lang w:val="en-GB"/>
        </w:rPr>
      </w:pPr>
      <w:bookmarkStart w:id="556" w:name="_Toc141445440"/>
      <w:r w:rsidRPr="00EE43C6">
        <w:rPr>
          <w:lang w:val="en-GB"/>
        </w:rPr>
        <w:lastRenderedPageBreak/>
        <w:t>Waste</w:t>
      </w:r>
      <w:bookmarkEnd w:id="551"/>
      <w:bookmarkEnd w:id="552"/>
      <w:bookmarkEnd w:id="553"/>
      <w:bookmarkEnd w:id="554"/>
      <w:bookmarkEnd w:id="555"/>
      <w:bookmarkEnd w:id="556"/>
    </w:p>
    <w:p w14:paraId="338A77E3" w14:textId="77777777" w:rsidR="004339AC" w:rsidRPr="00EE43C6" w:rsidRDefault="004339AC" w:rsidP="004339AC">
      <w:pPr>
        <w:pStyle w:val="Heading3"/>
        <w:spacing w:after="240"/>
        <w:rPr>
          <w:rFonts w:eastAsia="Arial TUR"/>
          <w:noProof w:val="0"/>
        </w:rPr>
      </w:pPr>
      <w:bookmarkStart w:id="557" w:name="_Toc80633565"/>
      <w:bookmarkStart w:id="558" w:name="_Toc67676590"/>
      <w:bookmarkStart w:id="559" w:name="_Toc120016952"/>
      <w:bookmarkStart w:id="560" w:name="_Toc120004730"/>
      <w:bookmarkStart w:id="561" w:name="_Toc141445441"/>
      <w:r w:rsidRPr="00EE43C6">
        <w:rPr>
          <w:rFonts w:eastAsia="Arial TUR"/>
          <w:noProof w:val="0"/>
        </w:rPr>
        <w:t>Construction Phase</w:t>
      </w:r>
      <w:bookmarkEnd w:id="557"/>
      <w:bookmarkEnd w:id="558"/>
      <w:bookmarkEnd w:id="559"/>
      <w:bookmarkEnd w:id="560"/>
      <w:bookmarkEnd w:id="561"/>
      <w:r w:rsidRPr="00EE43C6">
        <w:rPr>
          <w:rFonts w:eastAsia="Arial TUR"/>
          <w:noProof w:val="0"/>
        </w:rPr>
        <w:t xml:space="preserve"> </w:t>
      </w:r>
    </w:p>
    <w:p w14:paraId="366A3F8F" w14:textId="3DE3824A" w:rsidR="006214EF" w:rsidRPr="00EE43C6" w:rsidRDefault="00785CE4" w:rsidP="00060B82">
      <w:pPr>
        <w:rPr>
          <w:rFonts w:eastAsiaTheme="minorHAnsi"/>
          <w:lang w:eastAsia="en-US"/>
        </w:rPr>
      </w:pPr>
      <w:r w:rsidRPr="2DB09FEA">
        <w:rPr>
          <w:rFonts w:eastAsiaTheme="minorEastAsia"/>
          <w:lang w:eastAsia="en-US"/>
        </w:rPr>
        <w:t xml:space="preserve">According to the </w:t>
      </w:r>
      <w:r w:rsidR="00446FB8" w:rsidRPr="2DB09FEA">
        <w:rPr>
          <w:rFonts w:eastAsiaTheme="minorEastAsia"/>
          <w:lang w:eastAsia="en-US"/>
        </w:rPr>
        <w:t xml:space="preserve">preliminary </w:t>
      </w:r>
      <w:r w:rsidRPr="2DB09FEA">
        <w:rPr>
          <w:rFonts w:eastAsiaTheme="minorEastAsia"/>
          <w:lang w:eastAsia="en-US"/>
        </w:rPr>
        <w:t xml:space="preserve">observations in </w:t>
      </w:r>
      <w:r>
        <w:t>lot 105: parcel no. 1 and 2 of the Project Area</w:t>
      </w:r>
      <w:r w:rsidRPr="2DB09FEA">
        <w:rPr>
          <w:rFonts w:eastAsiaTheme="minorEastAsia"/>
          <w:lang w:eastAsia="en-US"/>
        </w:rPr>
        <w:t>, together with the presence of inert wastes from the buildings to be demolished in this relevant area, there are other non-hazardous and hazardous wastes left in the area that should be disposed in accordance with the national legislation.</w:t>
      </w:r>
      <w:r w:rsidR="00D81618" w:rsidRPr="2DB09FEA">
        <w:rPr>
          <w:rFonts w:eastAsiaTheme="minorEastAsia"/>
          <w:lang w:eastAsia="en-US"/>
        </w:rPr>
        <w:t xml:space="preserve"> </w:t>
      </w:r>
      <w:r w:rsidR="00951CCD">
        <w:rPr>
          <w:rFonts w:eastAsiaTheme="minorEastAsia"/>
          <w:lang w:eastAsia="en-US"/>
        </w:rPr>
        <w:t>Accordingly, w</w:t>
      </w:r>
      <w:r w:rsidR="00D81618" w:rsidRPr="00EE43C6">
        <w:rPr>
          <w:rFonts w:eastAsiaTheme="minorHAnsi"/>
          <w:lang w:eastAsia="en-US"/>
        </w:rPr>
        <w:t xml:space="preserve">astes that may arise </w:t>
      </w:r>
      <w:r w:rsidR="002C5E05" w:rsidRPr="00EE43C6">
        <w:rPr>
          <w:rFonts w:eastAsiaTheme="minorHAnsi"/>
          <w:lang w:eastAsia="en-US"/>
        </w:rPr>
        <w:t>from the construction phase of</w:t>
      </w:r>
      <w:r w:rsidR="00D81618" w:rsidRPr="00EE43C6">
        <w:rPr>
          <w:rFonts w:eastAsiaTheme="minorHAnsi"/>
          <w:lang w:eastAsia="en-US"/>
        </w:rPr>
        <w:t xml:space="preserve"> the Project and their </w:t>
      </w:r>
      <w:r w:rsidR="003318AD" w:rsidRPr="00EE43C6">
        <w:rPr>
          <w:rFonts w:eastAsiaTheme="minorHAnsi"/>
          <w:lang w:eastAsia="en-US"/>
        </w:rPr>
        <w:t xml:space="preserve">environmental </w:t>
      </w:r>
      <w:r w:rsidR="00D81618" w:rsidRPr="00EE43C6">
        <w:rPr>
          <w:rFonts w:eastAsiaTheme="minorHAnsi"/>
          <w:lang w:eastAsia="en-US"/>
        </w:rPr>
        <w:t xml:space="preserve">impact assessments are </w:t>
      </w:r>
      <w:r w:rsidR="00294A34" w:rsidRPr="00EE43C6">
        <w:rPr>
          <w:rFonts w:eastAsiaTheme="minorHAnsi"/>
          <w:lang w:eastAsia="en-US"/>
        </w:rPr>
        <w:t>detailed</w:t>
      </w:r>
      <w:r w:rsidR="00D81618" w:rsidRPr="00EE43C6">
        <w:rPr>
          <w:rFonts w:eastAsiaTheme="minorHAnsi"/>
          <w:lang w:eastAsia="en-US"/>
        </w:rPr>
        <w:t xml:space="preserve"> below.</w:t>
      </w:r>
    </w:p>
    <w:p w14:paraId="67267BEB" w14:textId="77777777" w:rsidR="00B21548" w:rsidRPr="00EE43C6" w:rsidRDefault="00B21548" w:rsidP="00B21548">
      <w:pPr>
        <w:spacing w:before="160" w:after="160"/>
        <w:rPr>
          <w:rFonts w:cs="Wingdings"/>
          <w:szCs w:val="22"/>
          <w:u w:val="single"/>
        </w:rPr>
      </w:pPr>
      <w:r w:rsidRPr="00EE43C6">
        <w:rPr>
          <w:rFonts w:cs="Wingdings"/>
          <w:szCs w:val="22"/>
          <w:u w:val="single"/>
        </w:rPr>
        <w:t>Domestic Solid Wastes</w:t>
      </w:r>
    </w:p>
    <w:p w14:paraId="4A6CC2C2" w14:textId="4D17B130" w:rsidR="00B21548" w:rsidRPr="00EE43C6" w:rsidRDefault="00B21548" w:rsidP="00B21548">
      <w:pPr>
        <w:spacing w:before="160" w:after="160"/>
        <w:rPr>
          <w:rFonts w:cs="Wingdings"/>
          <w:szCs w:val="22"/>
        </w:rPr>
      </w:pPr>
      <w:r w:rsidRPr="00EE43C6">
        <w:rPr>
          <w:rFonts w:cs="Wingdings"/>
          <w:szCs w:val="22"/>
        </w:rPr>
        <w:t xml:space="preserve">It is planned that </w:t>
      </w:r>
      <w:r w:rsidR="00336877" w:rsidRPr="00EE43C6">
        <w:rPr>
          <w:rFonts w:cs="Wingdings"/>
          <w:szCs w:val="22"/>
        </w:rPr>
        <w:t>250</w:t>
      </w:r>
      <w:r w:rsidRPr="00EE43C6">
        <w:rPr>
          <w:rFonts w:cs="Wingdings"/>
          <w:szCs w:val="22"/>
        </w:rPr>
        <w:t xml:space="preserve"> people will work during the </w:t>
      </w:r>
      <w:r w:rsidR="000E3E4A" w:rsidRPr="00EE43C6">
        <w:rPr>
          <w:rFonts w:cs="Wingdings"/>
          <w:szCs w:val="22"/>
        </w:rPr>
        <w:t xml:space="preserve">peak time of </w:t>
      </w:r>
      <w:r w:rsidR="004B0BB6" w:rsidRPr="00EE43C6">
        <w:rPr>
          <w:rFonts w:cs="Wingdings"/>
          <w:szCs w:val="22"/>
        </w:rPr>
        <w:t xml:space="preserve">the </w:t>
      </w:r>
      <w:r w:rsidRPr="00EE43C6">
        <w:rPr>
          <w:rFonts w:cs="Wingdings"/>
          <w:szCs w:val="22"/>
        </w:rPr>
        <w:t>construction phase of the Project. The amount of domestic solid waste to be generated is calculated by taking the unit amount of 1.</w:t>
      </w:r>
      <w:r w:rsidR="001D71D1" w:rsidRPr="00EE43C6">
        <w:rPr>
          <w:rFonts w:cs="Wingdings"/>
          <w:szCs w:val="22"/>
        </w:rPr>
        <w:t>21</w:t>
      </w:r>
      <w:r w:rsidRPr="00EE43C6">
        <w:rPr>
          <w:rFonts w:cs="Wingdings"/>
          <w:szCs w:val="22"/>
        </w:rPr>
        <w:t>kg/person</w:t>
      </w:r>
      <w:r w:rsidR="002A5738" w:rsidRPr="00EE43C6">
        <w:rPr>
          <w:rFonts w:cs="Wingdings"/>
          <w:szCs w:val="22"/>
        </w:rPr>
        <w:t>-</w:t>
      </w:r>
      <w:r w:rsidRPr="00EE43C6">
        <w:rPr>
          <w:rFonts w:cs="Wingdings"/>
          <w:szCs w:val="22"/>
        </w:rPr>
        <w:t>day</w:t>
      </w:r>
      <w:r w:rsidR="00CC4BD4" w:rsidRPr="00EE43C6">
        <w:rPr>
          <w:rStyle w:val="FootnoteReference"/>
          <w:rFonts w:cs="Wingdings"/>
          <w:szCs w:val="22"/>
        </w:rPr>
        <w:footnoteReference w:id="21"/>
      </w:r>
      <w:r w:rsidRPr="00EE43C6">
        <w:rPr>
          <w:rFonts w:cs="Wingdings"/>
          <w:szCs w:val="22"/>
        </w:rPr>
        <w:t xml:space="preserve"> for M</w:t>
      </w:r>
      <w:r w:rsidR="004B0BB6" w:rsidRPr="00EE43C6">
        <w:rPr>
          <w:rFonts w:cs="Wingdings"/>
          <w:szCs w:val="22"/>
        </w:rPr>
        <w:t>ersin</w:t>
      </w:r>
      <w:r w:rsidRPr="00EE43C6">
        <w:rPr>
          <w:rFonts w:cs="Wingdings"/>
          <w:szCs w:val="22"/>
        </w:rPr>
        <w:t xml:space="preserve"> Province</w:t>
      </w:r>
      <w:r w:rsidR="002A5738" w:rsidRPr="00EE43C6">
        <w:rPr>
          <w:rFonts w:cs="Wingdings"/>
          <w:szCs w:val="22"/>
        </w:rPr>
        <w:t>.</w:t>
      </w:r>
    </w:p>
    <w:p w14:paraId="3A848EFD" w14:textId="2399F0FC" w:rsidR="006214EF" w:rsidRPr="00EE43C6" w:rsidRDefault="002A5738" w:rsidP="00B21548">
      <w:pPr>
        <w:spacing w:before="160" w:after="160"/>
        <w:rPr>
          <w:rFonts w:cs="Wingdings"/>
          <w:szCs w:val="22"/>
        </w:rPr>
      </w:pPr>
      <w:r w:rsidRPr="00EE43C6">
        <w:rPr>
          <w:rFonts w:cs="Wingdings"/>
          <w:szCs w:val="22"/>
        </w:rPr>
        <w:t>250</w:t>
      </w:r>
      <w:r w:rsidR="00B21548" w:rsidRPr="00EE43C6">
        <w:rPr>
          <w:rFonts w:cs="Wingdings"/>
          <w:szCs w:val="22"/>
        </w:rPr>
        <w:t xml:space="preserve"> persons x 1.</w:t>
      </w:r>
      <w:r w:rsidR="001D71D1" w:rsidRPr="00EE43C6">
        <w:rPr>
          <w:rFonts w:cs="Wingdings"/>
          <w:szCs w:val="22"/>
        </w:rPr>
        <w:t>21</w:t>
      </w:r>
      <w:r w:rsidR="00B21548" w:rsidRPr="00EE43C6">
        <w:rPr>
          <w:rFonts w:cs="Wingdings"/>
          <w:szCs w:val="22"/>
        </w:rPr>
        <w:t xml:space="preserve"> kg/person</w:t>
      </w:r>
      <w:r w:rsidRPr="00EE43C6">
        <w:rPr>
          <w:rFonts w:cs="Wingdings"/>
          <w:szCs w:val="22"/>
        </w:rPr>
        <w:t>-</w:t>
      </w:r>
      <w:r w:rsidR="00B21548" w:rsidRPr="00EE43C6">
        <w:rPr>
          <w:rFonts w:cs="Wingdings"/>
          <w:szCs w:val="22"/>
        </w:rPr>
        <w:t xml:space="preserve">day = </w:t>
      </w:r>
      <w:r w:rsidR="0044666C" w:rsidRPr="00EE43C6">
        <w:rPr>
          <w:rFonts w:cs="Wingdings"/>
          <w:szCs w:val="22"/>
        </w:rPr>
        <w:t>302.5</w:t>
      </w:r>
      <w:r w:rsidR="00B21548" w:rsidRPr="00EE43C6">
        <w:rPr>
          <w:rFonts w:cs="Wingdings"/>
          <w:szCs w:val="22"/>
        </w:rPr>
        <w:t xml:space="preserve"> kg/day.</w:t>
      </w:r>
    </w:p>
    <w:p w14:paraId="0A3C6200" w14:textId="782683A0" w:rsidR="00B21548" w:rsidRPr="00EE43C6" w:rsidRDefault="00DA50C8" w:rsidP="00B05C90">
      <w:pPr>
        <w:spacing w:before="160" w:after="160"/>
        <w:rPr>
          <w:rFonts w:cs="Wingdings"/>
          <w:szCs w:val="22"/>
        </w:rPr>
      </w:pPr>
      <w:r w:rsidRPr="00EE43C6">
        <w:rPr>
          <w:rFonts w:cs="Wingdings"/>
          <w:szCs w:val="22"/>
        </w:rPr>
        <w:t xml:space="preserve">The municipal wastes to be generated </w:t>
      </w:r>
      <w:r w:rsidR="004206ED" w:rsidRPr="00EE43C6">
        <w:rPr>
          <w:rFonts w:cs="Wingdings"/>
          <w:szCs w:val="22"/>
        </w:rPr>
        <w:t>should</w:t>
      </w:r>
      <w:r w:rsidRPr="00EE43C6">
        <w:rPr>
          <w:rFonts w:cs="Wingdings"/>
          <w:szCs w:val="22"/>
        </w:rPr>
        <w:t xml:space="preserve"> be collected in containers within the </w:t>
      </w:r>
      <w:r w:rsidR="0094678F" w:rsidRPr="00EE43C6">
        <w:rPr>
          <w:rFonts w:cs="Wingdings"/>
          <w:szCs w:val="22"/>
        </w:rPr>
        <w:t>Project Area</w:t>
      </w:r>
      <w:r w:rsidRPr="00EE43C6">
        <w:rPr>
          <w:rFonts w:cs="Wingdings"/>
          <w:szCs w:val="22"/>
        </w:rPr>
        <w:t xml:space="preserve">. The collection of the wastes accumulated in the containers </w:t>
      </w:r>
      <w:r w:rsidR="004206ED" w:rsidRPr="00EE43C6">
        <w:rPr>
          <w:rFonts w:cs="Wingdings"/>
          <w:szCs w:val="22"/>
        </w:rPr>
        <w:t>should</w:t>
      </w:r>
      <w:r w:rsidRPr="00EE43C6">
        <w:rPr>
          <w:rFonts w:cs="Wingdings"/>
          <w:szCs w:val="22"/>
        </w:rPr>
        <w:t xml:space="preserve"> be carried out by the Municipality of Tarsus and </w:t>
      </w:r>
      <w:r w:rsidR="00107C65" w:rsidRPr="00EE43C6">
        <w:rPr>
          <w:rFonts w:cs="Wingdings"/>
          <w:szCs w:val="22"/>
        </w:rPr>
        <w:t>should</w:t>
      </w:r>
      <w:r w:rsidRPr="00EE43C6">
        <w:rPr>
          <w:rFonts w:cs="Wingdings"/>
          <w:szCs w:val="22"/>
        </w:rPr>
        <w:t xml:space="preserve"> be transferred to the Mersin Metropolitan Municipality Solid Waste Landfill at certain periods.</w:t>
      </w:r>
    </w:p>
    <w:p w14:paraId="2D59A9A1" w14:textId="0ABD26ED" w:rsidR="009F42C9" w:rsidRPr="00EE43C6" w:rsidRDefault="00BB2B7E" w:rsidP="00B05C90">
      <w:pPr>
        <w:spacing w:before="160" w:after="160"/>
        <w:rPr>
          <w:rFonts w:cs="Wingdings"/>
          <w:szCs w:val="22"/>
          <w:u w:val="single"/>
        </w:rPr>
      </w:pPr>
      <w:r w:rsidRPr="00EE43C6">
        <w:rPr>
          <w:rFonts w:cs="Wingdings"/>
          <w:szCs w:val="22"/>
          <w:u w:val="single"/>
        </w:rPr>
        <w:t>Packaging Waste</w:t>
      </w:r>
    </w:p>
    <w:p w14:paraId="6FFCA0F4" w14:textId="1F9EA965" w:rsidR="00892A6C" w:rsidRPr="00EE43C6" w:rsidRDefault="009F42C9" w:rsidP="00B05C90">
      <w:pPr>
        <w:spacing w:before="160" w:after="160"/>
        <w:rPr>
          <w:rFonts w:cs="Wingdings"/>
          <w:szCs w:val="22"/>
        </w:rPr>
      </w:pPr>
      <w:r w:rsidRPr="00EE43C6">
        <w:rPr>
          <w:rFonts w:cs="Wingdings"/>
          <w:szCs w:val="22"/>
        </w:rPr>
        <w:t xml:space="preserve">The ratio of recyclable packaging waste </w:t>
      </w:r>
      <w:r w:rsidR="00346180" w:rsidRPr="00EE43C6">
        <w:rPr>
          <w:rFonts w:cs="Wingdings"/>
          <w:szCs w:val="22"/>
        </w:rPr>
        <w:t xml:space="preserve">is </w:t>
      </w:r>
      <w:r w:rsidRPr="00EE43C6">
        <w:rPr>
          <w:rFonts w:cs="Wingdings"/>
          <w:szCs w:val="22"/>
        </w:rPr>
        <w:t xml:space="preserve">in metropolitan cities in </w:t>
      </w:r>
      <w:r w:rsidR="00117757">
        <w:rPr>
          <w:rFonts w:cs="Wingdings"/>
          <w:szCs w:val="22"/>
        </w:rPr>
        <w:t>Türkiye</w:t>
      </w:r>
      <w:r w:rsidR="00346180" w:rsidRPr="00EE43C6">
        <w:rPr>
          <w:rFonts w:cs="Wingdings"/>
          <w:szCs w:val="22"/>
        </w:rPr>
        <w:t xml:space="preserve"> as follows</w:t>
      </w:r>
      <w:r w:rsidR="004235EE" w:rsidRPr="00EE43C6">
        <w:rPr>
          <w:rFonts w:cs="Wingdings"/>
          <w:szCs w:val="22"/>
        </w:rPr>
        <w:t>.</w:t>
      </w:r>
      <w:r w:rsidRPr="00EE43C6">
        <w:rPr>
          <w:rFonts w:cs="Wingdings"/>
          <w:szCs w:val="22"/>
        </w:rPr>
        <w:t xml:space="preserve"> 48 kg/</w:t>
      </w:r>
      <w:r w:rsidR="00380474" w:rsidRPr="00EE43C6">
        <w:rPr>
          <w:rFonts w:cs="Wingdings"/>
          <w:szCs w:val="22"/>
        </w:rPr>
        <w:t>P</w:t>
      </w:r>
      <w:r w:rsidRPr="00EE43C6">
        <w:rPr>
          <w:rFonts w:cs="Wingdings"/>
          <w:szCs w:val="22"/>
        </w:rPr>
        <w:t xml:space="preserve">-year paper </w:t>
      </w:r>
      <w:r w:rsidR="004E356B" w:rsidRPr="00EE43C6">
        <w:rPr>
          <w:rFonts w:cs="Wingdings"/>
          <w:szCs w:val="22"/>
        </w:rPr>
        <w:t xml:space="preserve">and </w:t>
      </w:r>
      <w:r w:rsidRPr="00EE43C6">
        <w:rPr>
          <w:rFonts w:cs="Wingdings"/>
          <w:szCs w:val="22"/>
        </w:rPr>
        <w:t>board, 14 kg/</w:t>
      </w:r>
      <w:r w:rsidR="00380474" w:rsidRPr="00EE43C6">
        <w:rPr>
          <w:rFonts w:cs="Wingdings"/>
          <w:szCs w:val="22"/>
        </w:rPr>
        <w:t>P</w:t>
      </w:r>
      <w:r w:rsidRPr="00EE43C6">
        <w:rPr>
          <w:rFonts w:cs="Wingdings"/>
          <w:szCs w:val="22"/>
        </w:rPr>
        <w:t>-year plastic, 6 kg/</w:t>
      </w:r>
      <w:r w:rsidR="00380474" w:rsidRPr="00EE43C6">
        <w:rPr>
          <w:rFonts w:cs="Wingdings"/>
          <w:szCs w:val="22"/>
        </w:rPr>
        <w:t>P</w:t>
      </w:r>
      <w:r w:rsidRPr="00EE43C6">
        <w:rPr>
          <w:rFonts w:cs="Wingdings"/>
          <w:szCs w:val="22"/>
        </w:rPr>
        <w:t>-year nylon, 8 kg/</w:t>
      </w:r>
      <w:r w:rsidR="00380474" w:rsidRPr="00EE43C6">
        <w:rPr>
          <w:rFonts w:cs="Wingdings"/>
          <w:szCs w:val="22"/>
        </w:rPr>
        <w:t>P</w:t>
      </w:r>
      <w:r w:rsidRPr="00EE43C6">
        <w:rPr>
          <w:rFonts w:cs="Wingdings"/>
          <w:szCs w:val="22"/>
        </w:rPr>
        <w:t>-year metal, 8 kg/</w:t>
      </w:r>
      <w:r w:rsidR="00380474" w:rsidRPr="00EE43C6">
        <w:rPr>
          <w:rFonts w:cs="Wingdings"/>
          <w:szCs w:val="22"/>
        </w:rPr>
        <w:t>P</w:t>
      </w:r>
      <w:r w:rsidRPr="00EE43C6">
        <w:rPr>
          <w:rFonts w:cs="Wingdings"/>
          <w:szCs w:val="22"/>
        </w:rPr>
        <w:t>-year glass, in total 84 kg/</w:t>
      </w:r>
      <w:r w:rsidR="00380474" w:rsidRPr="00EE43C6">
        <w:rPr>
          <w:rFonts w:cs="Wingdings"/>
          <w:szCs w:val="22"/>
        </w:rPr>
        <w:t>P</w:t>
      </w:r>
      <w:r w:rsidRPr="00EE43C6">
        <w:rPr>
          <w:rFonts w:cs="Wingdings"/>
          <w:szCs w:val="22"/>
        </w:rPr>
        <w:t>-year</w:t>
      </w:r>
      <w:r w:rsidR="00346180" w:rsidRPr="00EE43C6">
        <w:rPr>
          <w:rStyle w:val="FootnoteReference"/>
          <w:rFonts w:cs="Wingdings"/>
          <w:szCs w:val="22"/>
        </w:rPr>
        <w:footnoteReference w:id="22"/>
      </w:r>
      <w:r w:rsidR="004235EE" w:rsidRPr="00EE43C6">
        <w:rPr>
          <w:rFonts w:cs="Wingdings"/>
          <w:szCs w:val="22"/>
        </w:rPr>
        <w:t>.</w:t>
      </w:r>
    </w:p>
    <w:p w14:paraId="28D63DA6" w14:textId="5D0C1B60" w:rsidR="00151C97" w:rsidRPr="00EE43C6" w:rsidRDefault="00151C97" w:rsidP="00151C97">
      <w:pPr>
        <w:spacing w:before="160" w:after="160"/>
        <w:rPr>
          <w:rFonts w:cs="Wingdings"/>
          <w:szCs w:val="22"/>
        </w:rPr>
      </w:pPr>
      <w:r w:rsidRPr="00EE43C6">
        <w:rPr>
          <w:rFonts w:cs="Wingdings"/>
          <w:szCs w:val="22"/>
        </w:rPr>
        <w:t>250 persons x 84 kg/</w:t>
      </w:r>
      <w:r w:rsidR="00380474" w:rsidRPr="00EE43C6">
        <w:rPr>
          <w:rFonts w:cs="Wingdings"/>
          <w:szCs w:val="22"/>
        </w:rPr>
        <w:t>P</w:t>
      </w:r>
      <w:r w:rsidRPr="00EE43C6">
        <w:rPr>
          <w:rFonts w:cs="Wingdings"/>
          <w:szCs w:val="22"/>
        </w:rPr>
        <w:t xml:space="preserve">-year = </w:t>
      </w:r>
      <w:r w:rsidR="00A123DF" w:rsidRPr="00EE43C6">
        <w:rPr>
          <w:rFonts w:cs="Wingdings"/>
          <w:szCs w:val="22"/>
        </w:rPr>
        <w:t>21</w:t>
      </w:r>
      <w:r w:rsidR="00FA17C7" w:rsidRPr="00EE43C6">
        <w:rPr>
          <w:rFonts w:cs="Wingdings"/>
          <w:szCs w:val="22"/>
        </w:rPr>
        <w:t>,</w:t>
      </w:r>
      <w:r w:rsidR="00A123DF" w:rsidRPr="00EE43C6">
        <w:rPr>
          <w:rFonts w:cs="Wingdings"/>
          <w:szCs w:val="22"/>
        </w:rPr>
        <w:t>0</w:t>
      </w:r>
      <w:r w:rsidR="00FA17C7" w:rsidRPr="00EE43C6">
        <w:rPr>
          <w:rFonts w:cs="Wingdings"/>
          <w:szCs w:val="22"/>
        </w:rPr>
        <w:t>00</w:t>
      </w:r>
      <w:r w:rsidRPr="00EE43C6">
        <w:rPr>
          <w:rFonts w:cs="Wingdings"/>
          <w:szCs w:val="22"/>
        </w:rPr>
        <w:t xml:space="preserve"> kg/</w:t>
      </w:r>
      <w:r w:rsidR="00FA17C7" w:rsidRPr="00EE43C6">
        <w:rPr>
          <w:rFonts w:cs="Wingdings"/>
          <w:szCs w:val="22"/>
        </w:rPr>
        <w:t xml:space="preserve">year = </w:t>
      </w:r>
      <w:r w:rsidR="00284339" w:rsidRPr="00EE43C6">
        <w:rPr>
          <w:rFonts w:cs="Wingdings"/>
          <w:szCs w:val="22"/>
        </w:rPr>
        <w:t>57</w:t>
      </w:r>
      <w:r w:rsidR="007437DB" w:rsidRPr="00EE43C6">
        <w:rPr>
          <w:rFonts w:cs="Wingdings"/>
          <w:szCs w:val="22"/>
        </w:rPr>
        <w:t>.</w:t>
      </w:r>
      <w:r w:rsidR="00284339" w:rsidRPr="00EE43C6">
        <w:rPr>
          <w:rFonts w:cs="Wingdings"/>
          <w:szCs w:val="22"/>
        </w:rPr>
        <w:t xml:space="preserve">6 </w:t>
      </w:r>
      <w:r w:rsidR="007437DB" w:rsidRPr="00EE43C6">
        <w:rPr>
          <w:rFonts w:cs="Wingdings"/>
          <w:szCs w:val="22"/>
        </w:rPr>
        <w:t>kg/day.</w:t>
      </w:r>
    </w:p>
    <w:p w14:paraId="7D53BEBD" w14:textId="50E611E2" w:rsidR="00C43013" w:rsidRPr="00EE43C6" w:rsidRDefault="00043C94" w:rsidP="00B05C90">
      <w:pPr>
        <w:spacing w:before="160" w:after="160"/>
        <w:rPr>
          <w:rFonts w:cs="Wingdings"/>
          <w:szCs w:val="22"/>
        </w:rPr>
      </w:pPr>
      <w:r w:rsidRPr="00EE43C6">
        <w:rPr>
          <w:rFonts w:cs="Wingdings"/>
          <w:szCs w:val="22"/>
        </w:rPr>
        <w:t>Packaging wastes made of plastic, metal, glass, paper</w:t>
      </w:r>
      <w:r w:rsidR="00453426" w:rsidRPr="00EE43C6">
        <w:rPr>
          <w:rFonts w:cs="Wingdings"/>
          <w:szCs w:val="22"/>
        </w:rPr>
        <w:t xml:space="preserve"> and </w:t>
      </w:r>
      <w:r w:rsidRPr="00EE43C6">
        <w:rPr>
          <w:rFonts w:cs="Wingdings"/>
          <w:szCs w:val="22"/>
        </w:rPr>
        <w:t xml:space="preserve">board, composite and similar materials </w:t>
      </w:r>
      <w:r w:rsidR="00D43421" w:rsidRPr="00EE43C6">
        <w:rPr>
          <w:rFonts w:cs="Wingdings"/>
          <w:szCs w:val="22"/>
        </w:rPr>
        <w:t>should</w:t>
      </w:r>
      <w:r w:rsidRPr="00EE43C6">
        <w:rPr>
          <w:rFonts w:cs="Wingdings"/>
          <w:szCs w:val="22"/>
        </w:rPr>
        <w:t xml:space="preserve"> be collected separately from other wastes and given to Packaging Waste Collection, </w:t>
      </w:r>
      <w:r w:rsidR="00900B50" w:rsidRPr="00EE43C6">
        <w:rPr>
          <w:rFonts w:cs="Wingdings"/>
          <w:szCs w:val="22"/>
        </w:rPr>
        <w:t>Segregation</w:t>
      </w:r>
      <w:r w:rsidRPr="00EE43C6">
        <w:rPr>
          <w:rFonts w:cs="Wingdings"/>
          <w:szCs w:val="22"/>
        </w:rPr>
        <w:t xml:space="preserve"> and </w:t>
      </w:r>
      <w:r w:rsidR="00D50B6F" w:rsidRPr="00EE43C6">
        <w:rPr>
          <w:rFonts w:cs="Wingdings"/>
          <w:szCs w:val="22"/>
        </w:rPr>
        <w:t>Recovery</w:t>
      </w:r>
      <w:r w:rsidRPr="00EE43C6">
        <w:rPr>
          <w:rFonts w:cs="Wingdings"/>
          <w:szCs w:val="22"/>
        </w:rPr>
        <w:t xml:space="preserve"> Facilities licensed by the M</w:t>
      </w:r>
      <w:r w:rsidR="00CA6DC2" w:rsidRPr="00EE43C6">
        <w:rPr>
          <w:rFonts w:cs="Wingdings"/>
          <w:szCs w:val="22"/>
        </w:rPr>
        <w:t>oEUCC</w:t>
      </w:r>
      <w:r w:rsidRPr="00EE43C6">
        <w:rPr>
          <w:rFonts w:cs="Wingdings"/>
          <w:szCs w:val="22"/>
        </w:rPr>
        <w:t>.</w:t>
      </w:r>
    </w:p>
    <w:p w14:paraId="14A1A9AC" w14:textId="77777777" w:rsidR="0056684A" w:rsidRPr="00EE43C6" w:rsidRDefault="0056684A" w:rsidP="0056684A">
      <w:pPr>
        <w:spacing w:after="120"/>
        <w:rPr>
          <w:rFonts w:cs="Wingdings"/>
          <w:szCs w:val="22"/>
          <w:u w:val="single"/>
        </w:rPr>
      </w:pPr>
      <w:r w:rsidRPr="00EE43C6">
        <w:rPr>
          <w:rFonts w:cs="Wingdings"/>
          <w:szCs w:val="22"/>
          <w:u w:val="single"/>
        </w:rPr>
        <w:t>Excavation Waste</w:t>
      </w:r>
    </w:p>
    <w:p w14:paraId="4E4444D1" w14:textId="6FA844E6" w:rsidR="0090234A" w:rsidRPr="00EE43C6" w:rsidRDefault="0056684A" w:rsidP="0056684A">
      <w:pPr>
        <w:spacing w:after="120"/>
        <w:rPr>
          <w:rFonts w:cs="Wingdings"/>
          <w:szCs w:val="22"/>
          <w:u w:val="single"/>
        </w:rPr>
      </w:pPr>
      <w:r w:rsidRPr="00EE43C6">
        <w:rPr>
          <w:rFonts w:cs="Wingdings"/>
          <w:szCs w:val="22"/>
        </w:rPr>
        <w:t>The excavation waste estimated to be generated during the construction phase of the Project is calculated as</w:t>
      </w:r>
      <w:r w:rsidR="008A3671" w:rsidRPr="00EE43C6">
        <w:rPr>
          <w:rFonts w:cs="Wingdings"/>
          <w:szCs w:val="22"/>
        </w:rPr>
        <w:t xml:space="preserve"> </w:t>
      </w:r>
      <w:r w:rsidR="00F8658B" w:rsidRPr="00EE43C6">
        <w:t>4</w:t>
      </w:r>
      <w:r w:rsidR="00BC6B24" w:rsidRPr="00EE43C6">
        <w:t>,</w:t>
      </w:r>
      <w:r w:rsidR="00F8658B" w:rsidRPr="00EE43C6">
        <w:t>807</w:t>
      </w:r>
      <w:r w:rsidR="00BC6B24" w:rsidRPr="00EE43C6">
        <w:t>,</w:t>
      </w:r>
      <w:r w:rsidR="00F8658B" w:rsidRPr="00EE43C6">
        <w:t>750.58</w:t>
      </w:r>
      <w:r w:rsidR="00F8658B" w:rsidRPr="00EE43C6">
        <w:rPr>
          <w:rFonts w:cs="Wingdings"/>
          <w:szCs w:val="18"/>
        </w:rPr>
        <w:t xml:space="preserve"> </w:t>
      </w:r>
      <w:r w:rsidR="00653D68" w:rsidRPr="00EE43C6">
        <w:rPr>
          <w:rFonts w:cs="Wingdings"/>
          <w:szCs w:val="18"/>
        </w:rPr>
        <w:t>m³</w:t>
      </w:r>
      <w:r w:rsidR="008A3671" w:rsidRPr="00EE43C6">
        <w:rPr>
          <w:rFonts w:cs="Wingdings"/>
          <w:szCs w:val="18"/>
        </w:rPr>
        <w:t xml:space="preserve"> in the </w:t>
      </w:r>
      <w:r w:rsidR="00963027" w:rsidRPr="00EE43C6">
        <w:rPr>
          <w:rFonts w:cs="Wingdings"/>
          <w:szCs w:val="18"/>
        </w:rPr>
        <w:t xml:space="preserve">Section </w:t>
      </w:r>
      <w:r w:rsidR="003D0D36" w:rsidRPr="00EE43C6">
        <w:rPr>
          <w:rFonts w:cs="Wingdings"/>
          <w:szCs w:val="18"/>
        </w:rPr>
        <w:fldChar w:fldCharType="begin"/>
      </w:r>
      <w:r w:rsidR="003D0D36" w:rsidRPr="00EE43C6">
        <w:rPr>
          <w:rFonts w:cs="Wingdings"/>
          <w:szCs w:val="18"/>
        </w:rPr>
        <w:instrText xml:space="preserve"> REF _Ref126071803 \n \h </w:instrText>
      </w:r>
      <w:r w:rsidR="003D0D36" w:rsidRPr="00EE43C6">
        <w:rPr>
          <w:rFonts w:cs="Wingdings"/>
          <w:szCs w:val="18"/>
        </w:rPr>
      </w:r>
      <w:r w:rsidR="003D0D36" w:rsidRPr="00EE43C6">
        <w:rPr>
          <w:rFonts w:cs="Wingdings"/>
          <w:szCs w:val="18"/>
        </w:rPr>
        <w:fldChar w:fldCharType="separate"/>
      </w:r>
      <w:r w:rsidR="00CE3B94" w:rsidRPr="00EE43C6">
        <w:rPr>
          <w:rFonts w:cs="Wingdings"/>
          <w:szCs w:val="18"/>
        </w:rPr>
        <w:t>6.1.1</w:t>
      </w:r>
      <w:r w:rsidR="003D0D36" w:rsidRPr="00EE43C6">
        <w:rPr>
          <w:rFonts w:cs="Wingdings"/>
          <w:szCs w:val="18"/>
        </w:rPr>
        <w:fldChar w:fldCharType="end"/>
      </w:r>
      <w:r w:rsidR="007559E9" w:rsidRPr="00EE43C6">
        <w:rPr>
          <w:rFonts w:cs="Wingdings"/>
          <w:szCs w:val="18"/>
        </w:rPr>
        <w:t>.</w:t>
      </w:r>
      <w:r w:rsidR="00CF3D4C" w:rsidRPr="00EE43C6">
        <w:rPr>
          <w:rFonts w:cs="Wingdings"/>
          <w:szCs w:val="18"/>
        </w:rPr>
        <w:t xml:space="preserve"> In this context, </w:t>
      </w:r>
      <w:r w:rsidR="00F8658B" w:rsidRPr="00EE43C6">
        <w:t>4</w:t>
      </w:r>
      <w:r w:rsidR="00BC6B24" w:rsidRPr="00EE43C6">
        <w:t>,</w:t>
      </w:r>
      <w:r w:rsidR="00F8658B" w:rsidRPr="00EE43C6">
        <w:t>794</w:t>
      </w:r>
      <w:r w:rsidR="00BC6B24" w:rsidRPr="00EE43C6">
        <w:t>,</w:t>
      </w:r>
      <w:r w:rsidR="00F8658B" w:rsidRPr="00EE43C6">
        <w:t>913.88</w:t>
      </w:r>
      <w:r w:rsidR="00F8658B" w:rsidRPr="00EE43C6">
        <w:rPr>
          <w:rFonts w:cs="Wingdings"/>
          <w:szCs w:val="18"/>
        </w:rPr>
        <w:t xml:space="preserve"> </w:t>
      </w:r>
      <w:r w:rsidR="00653D68" w:rsidRPr="00EE43C6">
        <w:rPr>
          <w:rFonts w:cs="Wingdings"/>
          <w:szCs w:val="18"/>
        </w:rPr>
        <w:t xml:space="preserve">m³ excavation material to be excavated will be used in the backfilling </w:t>
      </w:r>
      <w:r w:rsidR="00B651AE" w:rsidRPr="00EE43C6">
        <w:rPr>
          <w:rFonts w:cs="Wingdings"/>
          <w:szCs w:val="18"/>
        </w:rPr>
        <w:t xml:space="preserve">in Project Area </w:t>
      </w:r>
      <w:r w:rsidR="00653D68" w:rsidRPr="00EE43C6">
        <w:rPr>
          <w:rFonts w:cs="Wingdings"/>
          <w:szCs w:val="18"/>
        </w:rPr>
        <w:t>and the remaining 12,836.7 m³ excavation material is planned to be sent to the permitted Excavation Storage Areas.</w:t>
      </w:r>
    </w:p>
    <w:p w14:paraId="3149B9A1" w14:textId="0AF403D9" w:rsidR="00E522EF" w:rsidRPr="00EE43C6" w:rsidRDefault="00E522EF" w:rsidP="00E522EF">
      <w:pPr>
        <w:spacing w:after="120"/>
        <w:rPr>
          <w:rFonts w:cs="Wingdings"/>
          <w:szCs w:val="22"/>
          <w:u w:val="single"/>
        </w:rPr>
      </w:pPr>
      <w:r w:rsidRPr="00EE43C6">
        <w:rPr>
          <w:rFonts w:cs="Wingdings"/>
          <w:szCs w:val="22"/>
          <w:u w:val="single"/>
        </w:rPr>
        <w:lastRenderedPageBreak/>
        <w:t>Construction Waste</w:t>
      </w:r>
    </w:p>
    <w:p w14:paraId="6AAE06DA" w14:textId="29C5866C" w:rsidR="00E522EF" w:rsidRPr="00EE43C6" w:rsidRDefault="00C67016" w:rsidP="00B05C90">
      <w:pPr>
        <w:spacing w:before="160" w:after="160"/>
        <w:rPr>
          <w:rFonts w:cs="Wingdings"/>
          <w:szCs w:val="22"/>
        </w:rPr>
      </w:pPr>
      <w:r w:rsidRPr="00EE43C6">
        <w:rPr>
          <w:rFonts w:cs="Wingdings"/>
          <w:szCs w:val="22"/>
        </w:rPr>
        <w:t>S</w:t>
      </w:r>
      <w:r w:rsidR="000F7C0B" w:rsidRPr="00EE43C6">
        <w:rPr>
          <w:rFonts w:cs="Wingdings"/>
          <w:szCs w:val="22"/>
        </w:rPr>
        <w:t xml:space="preserve">ince the title deed </w:t>
      </w:r>
      <w:r w:rsidRPr="00EE43C6">
        <w:rPr>
          <w:rFonts w:cs="Wingdings"/>
          <w:szCs w:val="22"/>
        </w:rPr>
        <w:t>processes</w:t>
      </w:r>
      <w:r w:rsidR="000F7C0B" w:rsidRPr="00EE43C6">
        <w:rPr>
          <w:rFonts w:cs="Wingdings"/>
          <w:szCs w:val="22"/>
        </w:rPr>
        <w:t xml:space="preserve"> of </w:t>
      </w:r>
      <w:r w:rsidR="009679E6" w:rsidRPr="00EE43C6">
        <w:rPr>
          <w:rFonts w:cs="Wingdings"/>
          <w:szCs w:val="22"/>
        </w:rPr>
        <w:t xml:space="preserve">lot </w:t>
      </w:r>
      <w:r w:rsidR="000F7C0B" w:rsidRPr="00EE43C6">
        <w:rPr>
          <w:rFonts w:cs="Wingdings"/>
          <w:szCs w:val="22"/>
        </w:rPr>
        <w:t>105</w:t>
      </w:r>
      <w:r w:rsidR="009679E6" w:rsidRPr="00EE43C6">
        <w:rPr>
          <w:rFonts w:cs="Wingdings"/>
          <w:szCs w:val="22"/>
        </w:rPr>
        <w:t>: parcel no. 1 and 2</w:t>
      </w:r>
      <w:r w:rsidR="000F7C0B" w:rsidRPr="00EE43C6">
        <w:rPr>
          <w:rFonts w:cs="Wingdings"/>
          <w:szCs w:val="22"/>
        </w:rPr>
        <w:t xml:space="preserve"> belonging to the Project </w:t>
      </w:r>
      <w:r w:rsidR="00927160" w:rsidRPr="00EE43C6">
        <w:rPr>
          <w:rFonts w:cs="Wingdings"/>
          <w:szCs w:val="22"/>
        </w:rPr>
        <w:t>have</w:t>
      </w:r>
      <w:r w:rsidR="00152260">
        <w:rPr>
          <w:rFonts w:cs="Wingdings"/>
          <w:szCs w:val="22"/>
        </w:rPr>
        <w:t xml:space="preserve"> </w:t>
      </w:r>
      <w:r w:rsidR="00D46E3A">
        <w:rPr>
          <w:rFonts w:cs="Wingdings"/>
          <w:szCs w:val="22"/>
        </w:rPr>
        <w:t>not</w:t>
      </w:r>
      <w:r w:rsidR="00927160" w:rsidRPr="00EE43C6">
        <w:rPr>
          <w:rFonts w:cs="Wingdings"/>
          <w:szCs w:val="22"/>
        </w:rPr>
        <w:t xml:space="preserve"> been</w:t>
      </w:r>
      <w:r w:rsidR="000F7C0B" w:rsidRPr="00EE43C6">
        <w:rPr>
          <w:rFonts w:cs="Wingdings"/>
          <w:szCs w:val="22"/>
        </w:rPr>
        <w:t xml:space="preserve"> completed yet, </w:t>
      </w:r>
      <w:r w:rsidR="00B1462B" w:rsidRPr="00EE43C6">
        <w:rPr>
          <w:rFonts w:cs="Wingdings"/>
          <w:szCs w:val="22"/>
        </w:rPr>
        <w:t xml:space="preserve">it has been observed that ground levelling processes have not started in this area. </w:t>
      </w:r>
      <w:r w:rsidR="000F7C0B" w:rsidRPr="00EE43C6">
        <w:rPr>
          <w:rFonts w:cs="Wingdings"/>
          <w:szCs w:val="22"/>
        </w:rPr>
        <w:t xml:space="preserve">2U1K </w:t>
      </w:r>
      <w:r w:rsidR="00B1462B" w:rsidRPr="00EE43C6">
        <w:rPr>
          <w:rFonts w:cs="Wingdings"/>
          <w:szCs w:val="22"/>
        </w:rPr>
        <w:t xml:space="preserve">also </w:t>
      </w:r>
      <w:r w:rsidR="000F7C0B" w:rsidRPr="00EE43C6">
        <w:rPr>
          <w:rFonts w:cs="Wingdings"/>
          <w:szCs w:val="22"/>
        </w:rPr>
        <w:t xml:space="preserve">observed </w:t>
      </w:r>
      <w:r w:rsidR="00927160" w:rsidRPr="00EE43C6">
        <w:rPr>
          <w:rFonts w:cs="Wingdings"/>
          <w:szCs w:val="22"/>
        </w:rPr>
        <w:t>the</w:t>
      </w:r>
      <w:r w:rsidR="000F7C0B" w:rsidRPr="00EE43C6">
        <w:rPr>
          <w:rFonts w:cs="Wingdings"/>
          <w:szCs w:val="22"/>
        </w:rPr>
        <w:t xml:space="preserve"> structures of the gas station that was previously operating </w:t>
      </w:r>
      <w:r w:rsidR="000F7C0B" w:rsidRPr="00EE43C6">
        <w:rPr>
          <w:rFonts w:cs="Wingdings"/>
          <w:szCs w:val="18"/>
        </w:rPr>
        <w:t>in this area</w:t>
      </w:r>
      <w:r w:rsidRPr="00EE43C6">
        <w:rPr>
          <w:rFonts w:cs="Wingdings"/>
          <w:szCs w:val="18"/>
        </w:rPr>
        <w:t xml:space="preserve"> (see </w:t>
      </w:r>
      <w:r w:rsidR="00233A65" w:rsidRPr="00EE43C6">
        <w:rPr>
          <w:rFonts w:cs="Wingdings"/>
          <w:szCs w:val="18"/>
        </w:rPr>
        <w:fldChar w:fldCharType="begin"/>
      </w:r>
      <w:r w:rsidR="00233A65" w:rsidRPr="00EE43C6">
        <w:rPr>
          <w:rFonts w:cs="Wingdings"/>
          <w:szCs w:val="18"/>
        </w:rPr>
        <w:instrText xml:space="preserve"> REF _Ref125540205 \h </w:instrText>
      </w:r>
      <w:r w:rsidR="006A3316" w:rsidRPr="00EE43C6">
        <w:rPr>
          <w:rFonts w:cs="Wingdings"/>
          <w:szCs w:val="18"/>
        </w:rPr>
        <w:instrText xml:space="preserve"> \* MERGEFORMAT </w:instrText>
      </w:r>
      <w:r w:rsidR="00233A65" w:rsidRPr="00EE43C6">
        <w:rPr>
          <w:rFonts w:cs="Wingdings"/>
          <w:szCs w:val="18"/>
        </w:rPr>
      </w:r>
      <w:r w:rsidR="00EC509A">
        <w:rPr>
          <w:rFonts w:cs="Wingdings"/>
          <w:szCs w:val="18"/>
        </w:rPr>
        <w:fldChar w:fldCharType="separate"/>
      </w:r>
      <w:r w:rsidR="00233A65" w:rsidRPr="00EE43C6">
        <w:rPr>
          <w:rFonts w:cs="Wingdings"/>
          <w:szCs w:val="18"/>
        </w:rPr>
        <w:fldChar w:fldCharType="end"/>
      </w:r>
      <w:r w:rsidRPr="00EE43C6">
        <w:rPr>
          <w:rFonts w:cs="Wingdings"/>
          <w:szCs w:val="18"/>
        </w:rPr>
        <w:t>).</w:t>
      </w:r>
      <w:r w:rsidR="00233A65" w:rsidRPr="00EE43C6">
        <w:rPr>
          <w:rFonts w:cs="Wingdings"/>
          <w:szCs w:val="18"/>
        </w:rPr>
        <w:t xml:space="preserve"> </w:t>
      </w:r>
      <w:r w:rsidR="00776E08" w:rsidRPr="00EE43C6">
        <w:rPr>
          <w:rFonts w:cs="Wingdings"/>
          <w:szCs w:val="18"/>
        </w:rPr>
        <w:t>Therefore</w:t>
      </w:r>
      <w:r w:rsidR="00233A65" w:rsidRPr="00EE43C6">
        <w:rPr>
          <w:rFonts w:cs="Wingdings"/>
          <w:szCs w:val="18"/>
        </w:rPr>
        <w:t xml:space="preserve">, construction </w:t>
      </w:r>
      <w:r w:rsidR="00776E08" w:rsidRPr="00EE43C6">
        <w:rPr>
          <w:rFonts w:cs="Wingdings"/>
          <w:szCs w:val="18"/>
        </w:rPr>
        <w:t>and demolition wastes will be generated</w:t>
      </w:r>
      <w:r w:rsidR="00776E08" w:rsidRPr="00EE43C6">
        <w:rPr>
          <w:rFonts w:cs="Wingdings"/>
          <w:szCs w:val="22"/>
        </w:rPr>
        <w:t xml:space="preserve"> from</w:t>
      </w:r>
      <w:r w:rsidR="00233A65" w:rsidRPr="00EE43C6">
        <w:rPr>
          <w:rFonts w:cs="Wingdings"/>
          <w:szCs w:val="22"/>
        </w:rPr>
        <w:t xml:space="preserve"> the concerned area.</w:t>
      </w:r>
      <w:r w:rsidR="00A57DE4" w:rsidRPr="00EE43C6">
        <w:rPr>
          <w:rFonts w:cs="Wingdings"/>
          <w:szCs w:val="22"/>
        </w:rPr>
        <w:t xml:space="preserve"> So, management of these wastes should be conducted in compliance with the provisions of the relevant national regulation.</w:t>
      </w:r>
    </w:p>
    <w:p w14:paraId="106D3E9C" w14:textId="77777777" w:rsidR="0051724A" w:rsidRPr="00EE43C6" w:rsidRDefault="0051724A" w:rsidP="0051724A">
      <w:pPr>
        <w:spacing w:after="120"/>
        <w:rPr>
          <w:rFonts w:cs="Wingdings"/>
          <w:szCs w:val="22"/>
          <w:u w:val="single"/>
        </w:rPr>
      </w:pPr>
      <w:r w:rsidRPr="00EE43C6">
        <w:rPr>
          <w:rFonts w:cs="Wingdings"/>
          <w:szCs w:val="22"/>
          <w:u w:val="single"/>
        </w:rPr>
        <w:t>Hazardous Wastes</w:t>
      </w:r>
    </w:p>
    <w:p w14:paraId="26BC22C2" w14:textId="5DC547C5" w:rsidR="00776E08" w:rsidRPr="00EE43C6" w:rsidRDefault="00E8789B" w:rsidP="0051724A">
      <w:pPr>
        <w:spacing w:before="160" w:after="160"/>
        <w:rPr>
          <w:rFonts w:cs="Wingdings"/>
          <w:szCs w:val="22"/>
        </w:rPr>
      </w:pPr>
      <w:r w:rsidRPr="00EE43C6">
        <w:rPr>
          <w:rFonts w:cs="Wingdings"/>
          <w:szCs w:val="22"/>
        </w:rPr>
        <w:t>2U1K observed that t</w:t>
      </w:r>
      <w:r w:rsidR="00010622" w:rsidRPr="00EE43C6">
        <w:rPr>
          <w:rFonts w:cs="Wingdings"/>
          <w:szCs w:val="22"/>
        </w:rPr>
        <w:t xml:space="preserve">here </w:t>
      </w:r>
      <w:r w:rsidR="00DE0A91" w:rsidRPr="00EE43C6">
        <w:rPr>
          <w:rFonts w:cs="Wingdings"/>
          <w:szCs w:val="22"/>
        </w:rPr>
        <w:t>have been</w:t>
      </w:r>
      <w:r w:rsidR="004B73BB" w:rsidRPr="00EE43C6">
        <w:rPr>
          <w:rFonts w:cs="Wingdings"/>
          <w:szCs w:val="22"/>
        </w:rPr>
        <w:t xml:space="preserve"> hazardous wastes </w:t>
      </w:r>
      <w:r w:rsidR="00B74FA9" w:rsidRPr="00EE43C6">
        <w:rPr>
          <w:rFonts w:cs="Wingdings"/>
          <w:szCs w:val="22"/>
        </w:rPr>
        <w:t>in</w:t>
      </w:r>
      <w:r w:rsidR="004B73BB" w:rsidRPr="00EE43C6">
        <w:rPr>
          <w:rFonts w:cs="Wingdings"/>
          <w:szCs w:val="22"/>
        </w:rPr>
        <w:t xml:space="preserve"> </w:t>
      </w:r>
      <w:r w:rsidR="002F4CFB" w:rsidRPr="00EE43C6">
        <w:rPr>
          <w:rFonts w:cs="Wingdings"/>
          <w:szCs w:val="22"/>
        </w:rPr>
        <w:t>lot 105: parcel no. 1 and 2</w:t>
      </w:r>
      <w:r w:rsidR="00776E08" w:rsidRPr="00EE43C6">
        <w:rPr>
          <w:rFonts w:cs="Wingdings"/>
          <w:szCs w:val="22"/>
        </w:rPr>
        <w:t xml:space="preserve"> </w:t>
      </w:r>
      <w:r w:rsidR="00B74FA9" w:rsidRPr="00EE43C6">
        <w:rPr>
          <w:rFonts w:cs="Wingdings"/>
          <w:szCs w:val="22"/>
        </w:rPr>
        <w:t>of</w:t>
      </w:r>
      <w:r w:rsidR="00010622" w:rsidRPr="00EE43C6">
        <w:rPr>
          <w:rFonts w:cs="Wingdings"/>
          <w:szCs w:val="22"/>
        </w:rPr>
        <w:t xml:space="preserve"> the </w:t>
      </w:r>
      <w:r w:rsidR="00010622" w:rsidRPr="00EE43C6">
        <w:rPr>
          <w:rFonts w:cs="Wingdings"/>
          <w:szCs w:val="18"/>
        </w:rPr>
        <w:t>Project Area</w:t>
      </w:r>
      <w:r w:rsidRPr="00EE43C6">
        <w:rPr>
          <w:rFonts w:cs="Wingdings"/>
          <w:szCs w:val="18"/>
        </w:rPr>
        <w:t xml:space="preserve"> (see</w:t>
      </w:r>
      <w:r w:rsidR="00D808A4">
        <w:rPr>
          <w:rFonts w:cs="Wingdings"/>
          <w:szCs w:val="18"/>
        </w:rPr>
        <w:t xml:space="preserve"> </w:t>
      </w:r>
      <w:r w:rsidR="00D808A4" w:rsidRPr="00D808A4">
        <w:rPr>
          <w:rFonts w:cs="Wingdings"/>
          <w:szCs w:val="18"/>
        </w:rPr>
        <w:fldChar w:fldCharType="begin"/>
      </w:r>
      <w:r w:rsidR="00D808A4" w:rsidRPr="00D808A4">
        <w:rPr>
          <w:rFonts w:cs="Wingdings"/>
          <w:szCs w:val="18"/>
        </w:rPr>
        <w:instrText xml:space="preserve"> REF _Ref136450218 \h </w:instrText>
      </w:r>
      <w:r w:rsidR="00D808A4" w:rsidRPr="00D808A4">
        <w:rPr>
          <w:rFonts w:cs="Wingdings"/>
          <w:szCs w:val="18"/>
        </w:rPr>
      </w:r>
      <w:r w:rsidR="00D808A4" w:rsidRPr="00D808A4">
        <w:rPr>
          <w:rFonts w:cs="Wingdings"/>
          <w:szCs w:val="18"/>
        </w:rPr>
        <w:fldChar w:fldCharType="separate"/>
      </w:r>
      <w:r w:rsidR="00D808A4" w:rsidRPr="008217F8">
        <w:t>Figure 4</w:t>
      </w:r>
      <w:r w:rsidR="00D808A4" w:rsidRPr="008217F8">
        <w:noBreakHyphen/>
        <w:t>5</w:t>
      </w:r>
      <w:r w:rsidR="00D808A4" w:rsidRPr="00D808A4">
        <w:rPr>
          <w:rFonts w:cs="Wingdings"/>
          <w:szCs w:val="18"/>
        </w:rPr>
        <w:fldChar w:fldCharType="end"/>
      </w:r>
      <w:r w:rsidRPr="00EE43C6">
        <w:rPr>
          <w:rFonts w:cs="Wingdings"/>
          <w:szCs w:val="18"/>
        </w:rPr>
        <w:t>).</w:t>
      </w:r>
      <w:r w:rsidR="00DE0A91" w:rsidRPr="00EE43C6">
        <w:rPr>
          <w:rFonts w:cs="Wingdings"/>
          <w:szCs w:val="18"/>
        </w:rPr>
        <w:t xml:space="preserve"> Hazardous wastes in this area should be transported to licensed</w:t>
      </w:r>
      <w:r w:rsidR="00DE0A91" w:rsidRPr="00EE43C6">
        <w:rPr>
          <w:rFonts w:cs="Wingdings"/>
          <w:szCs w:val="22"/>
        </w:rPr>
        <w:t xml:space="preserve"> haulers and provided to be delivered to licensed disposal and recovery companies as soon as possible.</w:t>
      </w:r>
      <w:r w:rsidR="00E34EB1" w:rsidRPr="00E34EB1">
        <w:t xml:space="preserve"> </w:t>
      </w:r>
      <w:r w:rsidR="00E34EB1" w:rsidRPr="00E34EB1">
        <w:rPr>
          <w:rFonts w:cs="Wingdings"/>
          <w:szCs w:val="22"/>
        </w:rPr>
        <w:t>The presence of asbestos containing material was not established</w:t>
      </w:r>
      <w:r w:rsidR="00FF5645">
        <w:rPr>
          <w:rFonts w:cs="Wingdings"/>
          <w:szCs w:val="22"/>
        </w:rPr>
        <w:t xml:space="preserve"> within the area</w:t>
      </w:r>
      <w:r w:rsidR="00E34EB1" w:rsidRPr="00E34EB1">
        <w:rPr>
          <w:rFonts w:cs="Wingdings"/>
          <w:szCs w:val="22"/>
        </w:rPr>
        <w:t>. If any asbestos is identified,</w:t>
      </w:r>
      <w:r w:rsidR="00953934">
        <w:rPr>
          <w:rFonts w:cs="Wingdings"/>
          <w:szCs w:val="22"/>
        </w:rPr>
        <w:t xml:space="preserve"> mitigation measures </w:t>
      </w:r>
      <w:r w:rsidR="003B54D5">
        <w:rPr>
          <w:rFonts w:cs="Wingdings"/>
          <w:szCs w:val="22"/>
        </w:rPr>
        <w:t>are</w:t>
      </w:r>
      <w:r w:rsidR="00953934">
        <w:rPr>
          <w:rFonts w:cs="Wingdings"/>
          <w:szCs w:val="22"/>
        </w:rPr>
        <w:t xml:space="preserve"> identified in the </w:t>
      </w:r>
      <w:r w:rsidR="00F21330">
        <w:rPr>
          <w:rFonts w:cs="Wingdings"/>
          <w:szCs w:val="22"/>
        </w:rPr>
        <w:t>Section</w:t>
      </w:r>
      <w:r w:rsidR="00312FE3">
        <w:rPr>
          <w:rFonts w:cs="Wingdings"/>
          <w:szCs w:val="22"/>
        </w:rPr>
        <w:t xml:space="preserve"> </w:t>
      </w:r>
      <w:r w:rsidR="00312FE3">
        <w:rPr>
          <w:rFonts w:cs="Wingdings"/>
          <w:szCs w:val="22"/>
        </w:rPr>
        <w:fldChar w:fldCharType="begin"/>
      </w:r>
      <w:r w:rsidR="00312FE3">
        <w:rPr>
          <w:rFonts w:cs="Wingdings"/>
          <w:szCs w:val="22"/>
        </w:rPr>
        <w:instrText xml:space="preserve"> REF _Ref135991204 \w \h </w:instrText>
      </w:r>
      <w:r w:rsidR="00312FE3">
        <w:rPr>
          <w:rFonts w:cs="Wingdings"/>
          <w:szCs w:val="22"/>
        </w:rPr>
      </w:r>
      <w:r w:rsidR="00312FE3">
        <w:rPr>
          <w:rFonts w:cs="Wingdings"/>
          <w:szCs w:val="22"/>
        </w:rPr>
        <w:fldChar w:fldCharType="separate"/>
      </w:r>
      <w:r w:rsidR="00312FE3">
        <w:rPr>
          <w:rFonts w:cs="Wingdings"/>
          <w:szCs w:val="22"/>
        </w:rPr>
        <w:t>8.1</w:t>
      </w:r>
      <w:r w:rsidR="00312FE3">
        <w:rPr>
          <w:rFonts w:cs="Wingdings"/>
          <w:szCs w:val="22"/>
        </w:rPr>
        <w:fldChar w:fldCharType="end"/>
      </w:r>
      <w:r w:rsidR="00312FE3">
        <w:rPr>
          <w:rFonts w:cs="Wingdings"/>
          <w:szCs w:val="22"/>
        </w:rPr>
        <w:t>.</w:t>
      </w:r>
    </w:p>
    <w:p w14:paraId="4A07AC48" w14:textId="725E4CFB" w:rsidR="0051724A" w:rsidRPr="00EE43C6" w:rsidRDefault="0051724A" w:rsidP="0051724A">
      <w:pPr>
        <w:spacing w:before="160" w:after="160"/>
        <w:rPr>
          <w:rFonts w:cs="Wingdings"/>
          <w:szCs w:val="22"/>
        </w:rPr>
      </w:pPr>
      <w:r w:rsidRPr="00EE43C6">
        <w:rPr>
          <w:rFonts w:cs="Wingdings"/>
          <w:szCs w:val="22"/>
        </w:rPr>
        <w:t>During the construction phase of the Project</w:t>
      </w:r>
      <w:r w:rsidR="00776E08" w:rsidRPr="00EE43C6">
        <w:rPr>
          <w:rFonts w:cs="Wingdings"/>
          <w:szCs w:val="22"/>
        </w:rPr>
        <w:t>,</w:t>
      </w:r>
      <w:r w:rsidRPr="00EE43C6">
        <w:rPr>
          <w:rFonts w:cs="Wingdings"/>
          <w:szCs w:val="22"/>
        </w:rPr>
        <w:t xml:space="preserve"> </w:t>
      </w:r>
      <w:r w:rsidR="00776E08" w:rsidRPr="00EE43C6">
        <w:rPr>
          <w:rFonts w:cs="Wingdings"/>
          <w:szCs w:val="22"/>
        </w:rPr>
        <w:t>also</w:t>
      </w:r>
      <w:r w:rsidRPr="00EE43C6">
        <w:rPr>
          <w:rFonts w:cs="Wingdings"/>
          <w:szCs w:val="22"/>
        </w:rPr>
        <w:t xml:space="preserve"> paint etc. empty containers of materials to be used due to processes, paint, etc. gloves etc. contaminated with chemicals. waste is likely to be generated.</w:t>
      </w:r>
      <w:r w:rsidR="00A57DE4" w:rsidRPr="00EE43C6">
        <w:rPr>
          <w:rFonts w:cs="Wingdings"/>
          <w:szCs w:val="22"/>
        </w:rPr>
        <w:t xml:space="preserve"> Therefore, collection and disposal of these hazardous wastes should be carried out based on the relevant national regulation.</w:t>
      </w:r>
    </w:p>
    <w:p w14:paraId="2369162F" w14:textId="6ECD67E6" w:rsidR="0051724A" w:rsidRPr="00EE43C6" w:rsidRDefault="0051724A" w:rsidP="0051724A">
      <w:pPr>
        <w:spacing w:after="120"/>
        <w:rPr>
          <w:rFonts w:cs="Wingdings"/>
          <w:szCs w:val="22"/>
          <w:u w:val="single"/>
        </w:rPr>
      </w:pPr>
      <w:r w:rsidRPr="00EE43C6">
        <w:rPr>
          <w:rFonts w:cs="Wingdings"/>
          <w:szCs w:val="22"/>
          <w:u w:val="single"/>
        </w:rPr>
        <w:t>Waste Tires</w:t>
      </w:r>
    </w:p>
    <w:p w14:paraId="1184BC41" w14:textId="00F8B816" w:rsidR="0051724A" w:rsidRPr="00EE43C6" w:rsidRDefault="0051724A" w:rsidP="0051724A">
      <w:pPr>
        <w:spacing w:before="160" w:after="160"/>
        <w:rPr>
          <w:rFonts w:cs="Wingdings"/>
          <w:szCs w:val="22"/>
        </w:rPr>
      </w:pPr>
      <w:r w:rsidRPr="00EE43C6">
        <w:rPr>
          <w:rFonts w:cs="Wingdings"/>
          <w:szCs w:val="22"/>
        </w:rPr>
        <w:t xml:space="preserve">It is possible that the end-of-life tire will be formed due to the construction equipment and vehicles to be used during the construction processes. Since the construction machinery and vehicles to be used during the construction works will belong to the contractor companies, the maintenance, repair, and service operations of these vehicles </w:t>
      </w:r>
      <w:r w:rsidR="006616EF" w:rsidRPr="00EE43C6">
        <w:rPr>
          <w:rFonts w:cs="Wingdings"/>
          <w:szCs w:val="22"/>
        </w:rPr>
        <w:t>should</w:t>
      </w:r>
      <w:r w:rsidRPr="00EE43C6">
        <w:rPr>
          <w:rFonts w:cs="Wingdings"/>
          <w:szCs w:val="22"/>
        </w:rPr>
        <w:t xml:space="preserve"> be carried out by the contractor company. Maintenance, repair, and service operations should not be carried out at the Project Area, and if, for any reason, expired tires occur, the tires </w:t>
      </w:r>
      <w:r w:rsidR="009728E6" w:rsidRPr="00EE43C6">
        <w:rPr>
          <w:rFonts w:cs="Wingdings"/>
          <w:szCs w:val="22"/>
        </w:rPr>
        <w:t>should</w:t>
      </w:r>
      <w:r w:rsidRPr="00EE43C6">
        <w:rPr>
          <w:rFonts w:cs="Wingdings"/>
          <w:szCs w:val="22"/>
        </w:rPr>
        <w:t xml:space="preserve"> be sent to authorized companies or to licensed tire intermediate storage/recovery facilities.</w:t>
      </w:r>
    </w:p>
    <w:p w14:paraId="2C36BF6A" w14:textId="77777777" w:rsidR="0051724A" w:rsidRPr="00EE43C6" w:rsidRDefault="0051724A" w:rsidP="0051724A">
      <w:pPr>
        <w:spacing w:after="120"/>
        <w:rPr>
          <w:rFonts w:cs="Wingdings"/>
          <w:szCs w:val="22"/>
          <w:u w:val="single"/>
        </w:rPr>
      </w:pPr>
      <w:r w:rsidRPr="00EE43C6">
        <w:rPr>
          <w:rFonts w:cs="Wingdings"/>
          <w:szCs w:val="22"/>
          <w:u w:val="single"/>
        </w:rPr>
        <w:t>Waste Batteries and Accumulators</w:t>
      </w:r>
    </w:p>
    <w:p w14:paraId="4B5A0905" w14:textId="0D025DF1" w:rsidR="0051724A" w:rsidRPr="00EE43C6" w:rsidRDefault="0051724A" w:rsidP="0051724A">
      <w:pPr>
        <w:spacing w:before="160" w:after="160"/>
        <w:rPr>
          <w:rFonts w:cs="Wingdings"/>
          <w:szCs w:val="22"/>
        </w:rPr>
      </w:pPr>
      <w:r w:rsidRPr="00EE43C6">
        <w:rPr>
          <w:rFonts w:cs="Wingdings"/>
          <w:szCs w:val="22"/>
        </w:rPr>
        <w:t xml:space="preserve">It is probable that waste accumulators will occur due to construction machinery and vehicles to be used during construction processes. Since the construction machinery and vehicles to be used during the construction activity will belong to the contractor company, the maintenance, repair, and service operations of these vehicles </w:t>
      </w:r>
      <w:r w:rsidR="009728E6" w:rsidRPr="00EE43C6">
        <w:rPr>
          <w:rFonts w:cs="Wingdings"/>
          <w:szCs w:val="22"/>
        </w:rPr>
        <w:t>should</w:t>
      </w:r>
      <w:r w:rsidRPr="00EE43C6">
        <w:rPr>
          <w:rFonts w:cs="Wingdings"/>
          <w:szCs w:val="22"/>
        </w:rPr>
        <w:t xml:space="preserve"> be carried out by the contractor company. Maintenance, repair, and service should not be performed at the Project Area, and in case of any waste accumulator formation for any reason, the waste accumulators </w:t>
      </w:r>
      <w:r w:rsidR="009728E6" w:rsidRPr="00EE43C6">
        <w:rPr>
          <w:rFonts w:cs="Wingdings"/>
          <w:szCs w:val="22"/>
        </w:rPr>
        <w:t>should</w:t>
      </w:r>
      <w:r w:rsidRPr="00EE43C6">
        <w:rPr>
          <w:rFonts w:cs="Wingdings"/>
          <w:szCs w:val="22"/>
        </w:rPr>
        <w:t xml:space="preserve"> be sent to authorized companies or licensed hazardous waste recycling facilities.</w:t>
      </w:r>
    </w:p>
    <w:p w14:paraId="5818D18B" w14:textId="77777777" w:rsidR="0051724A" w:rsidRPr="00EE43C6" w:rsidRDefault="0051724A" w:rsidP="0051724A">
      <w:pPr>
        <w:spacing w:after="120"/>
        <w:rPr>
          <w:rFonts w:cs="Wingdings"/>
          <w:szCs w:val="22"/>
          <w:u w:val="single"/>
        </w:rPr>
      </w:pPr>
      <w:r w:rsidRPr="00EE43C6">
        <w:rPr>
          <w:rFonts w:cs="Wingdings"/>
          <w:szCs w:val="22"/>
          <w:u w:val="single"/>
        </w:rPr>
        <w:t>Medical Wastes</w:t>
      </w:r>
    </w:p>
    <w:p w14:paraId="4B2B9B56" w14:textId="77777777" w:rsidR="0051724A" w:rsidRPr="00EE43C6" w:rsidRDefault="0051724A" w:rsidP="0051724A">
      <w:pPr>
        <w:spacing w:before="160" w:after="160"/>
        <w:rPr>
          <w:rFonts w:cs="Wingdings"/>
          <w:szCs w:val="22"/>
        </w:rPr>
      </w:pPr>
      <w:r w:rsidRPr="00EE43C6">
        <w:rPr>
          <w:rFonts w:cs="Wingdings"/>
          <w:szCs w:val="22"/>
        </w:rPr>
        <w:t xml:space="preserve">The medical needs of the personnel who will work during the construction processes will be met in the health institutions outside the Project Area. Simple first aid equipment to be used in the first response in emergency and important situations will be available at the Project Area, </w:t>
      </w:r>
      <w:r w:rsidRPr="00EE43C6">
        <w:rPr>
          <w:rFonts w:cs="Wingdings"/>
          <w:szCs w:val="22"/>
        </w:rPr>
        <w:lastRenderedPageBreak/>
        <w:t>and in case of medical waste resulting from interventions due to a possible accident, it will be sent to licensed medical waste sterilization facilities.</w:t>
      </w:r>
    </w:p>
    <w:p w14:paraId="62F303EA" w14:textId="77777777" w:rsidR="0051724A" w:rsidRPr="00EE43C6" w:rsidRDefault="0051724A" w:rsidP="0051724A">
      <w:pPr>
        <w:spacing w:after="120"/>
        <w:rPr>
          <w:rFonts w:cs="Wingdings"/>
          <w:szCs w:val="22"/>
          <w:u w:val="single"/>
        </w:rPr>
      </w:pPr>
      <w:r w:rsidRPr="00EE43C6">
        <w:rPr>
          <w:rFonts w:cs="Wingdings"/>
          <w:szCs w:val="22"/>
          <w:u w:val="single"/>
        </w:rPr>
        <w:t>Waste Oils</w:t>
      </w:r>
    </w:p>
    <w:p w14:paraId="5F02FB3D" w14:textId="1FEA0166" w:rsidR="0051724A" w:rsidRPr="00EE43C6" w:rsidRDefault="0051724A" w:rsidP="0051724A">
      <w:pPr>
        <w:spacing w:after="120"/>
        <w:rPr>
          <w:rFonts w:cs="Wingdings"/>
          <w:szCs w:val="22"/>
          <w:u w:val="single"/>
        </w:rPr>
      </w:pPr>
      <w:r w:rsidRPr="00EE43C6">
        <w:rPr>
          <w:rFonts w:cs="Wingdings"/>
          <w:szCs w:val="22"/>
        </w:rPr>
        <w:t>It is probable that waste oil will be generated from the construction machinery and vehicles to be used during the construction processes. Since the construction machinery and vehicles to be used during the construction activity will belong to the contractor company, the maintenance, repair, and service operations of these vehicles will be carried out by the contractor company. No maintenance, repair and service operations should be carried out at the Project Area, and if waste oil occurs for any reason, waste oil will be sent to authorized institutions and licensed waste oil recovery facilities.</w:t>
      </w:r>
    </w:p>
    <w:p w14:paraId="53D2B77D" w14:textId="3264C5BF" w:rsidR="00007831" w:rsidRPr="00EE43C6" w:rsidRDefault="00007831" w:rsidP="00007831">
      <w:pPr>
        <w:spacing w:after="120"/>
        <w:rPr>
          <w:rFonts w:cs="Wingdings"/>
          <w:szCs w:val="22"/>
          <w:u w:val="single"/>
        </w:rPr>
      </w:pPr>
      <w:r w:rsidRPr="00EE43C6">
        <w:rPr>
          <w:rFonts w:cs="Wingdings"/>
          <w:szCs w:val="22"/>
          <w:u w:val="single"/>
        </w:rPr>
        <w:t>Waste Vegetable Oils</w:t>
      </w:r>
    </w:p>
    <w:p w14:paraId="55D61A4A" w14:textId="77777777" w:rsidR="00007831" w:rsidRPr="00EE43C6" w:rsidRDefault="00007831" w:rsidP="00007831">
      <w:pPr>
        <w:spacing w:before="160" w:after="160"/>
        <w:rPr>
          <w:rFonts w:cs="Wingdings"/>
          <w:szCs w:val="22"/>
        </w:rPr>
      </w:pPr>
      <w:r w:rsidRPr="00EE43C6">
        <w:rPr>
          <w:rFonts w:cs="Wingdings"/>
          <w:szCs w:val="22"/>
        </w:rPr>
        <w:t>Since the food needs of the personnel who will work during the construction processes will be provided outside the Project Area and the catering will not be carried out in the Project Area, waste vegetable oil is not expected to be generated.</w:t>
      </w:r>
    </w:p>
    <w:p w14:paraId="740FF0F4" w14:textId="4B659AE4" w:rsidR="00B81C4D" w:rsidRPr="00EE43C6" w:rsidRDefault="00B81C4D" w:rsidP="00B81C4D">
      <w:pPr>
        <w:rPr>
          <w:lang w:eastAsia="en-US"/>
        </w:rPr>
      </w:pPr>
      <w:r w:rsidRPr="00EE43C6">
        <w:rPr>
          <w:lang w:eastAsia="en-US"/>
        </w:rPr>
        <w:t xml:space="preserve">During the construction phase of the Project, </w:t>
      </w:r>
      <w:r w:rsidR="00FA61EB" w:rsidRPr="00EE43C6">
        <w:rPr>
          <w:lang w:eastAsia="en-US"/>
        </w:rPr>
        <w:t xml:space="preserve">it should be ensured that </w:t>
      </w:r>
      <w:r w:rsidRPr="00EE43C6">
        <w:rPr>
          <w:lang w:eastAsia="en-US"/>
        </w:rPr>
        <w:t xml:space="preserve">all waste types </w:t>
      </w:r>
      <w:r w:rsidR="007045DE" w:rsidRPr="00EE43C6">
        <w:rPr>
          <w:lang w:eastAsia="en-US"/>
        </w:rPr>
        <w:t>will</w:t>
      </w:r>
      <w:r w:rsidRPr="00EE43C6">
        <w:rPr>
          <w:lang w:eastAsia="en-US"/>
        </w:rPr>
        <w:t xml:space="preserve"> be managed </w:t>
      </w:r>
      <w:r w:rsidR="007045DE" w:rsidRPr="00EE43C6">
        <w:rPr>
          <w:lang w:eastAsia="en-US"/>
        </w:rPr>
        <w:t xml:space="preserve">in accordance with </w:t>
      </w:r>
      <w:r w:rsidRPr="00EE43C6">
        <w:rPr>
          <w:lang w:eastAsia="en-US"/>
        </w:rPr>
        <w:t>the concerned national regulations.</w:t>
      </w:r>
      <w:r w:rsidR="001E3D38" w:rsidRPr="00EE43C6">
        <w:rPr>
          <w:lang w:eastAsia="en-US"/>
        </w:rPr>
        <w:t xml:space="preserve"> In this context, considering the waste </w:t>
      </w:r>
      <w:r w:rsidR="00254683" w:rsidRPr="00EE43C6">
        <w:rPr>
          <w:lang w:eastAsia="en-US"/>
        </w:rPr>
        <w:t>management</w:t>
      </w:r>
      <w:r w:rsidR="001E3D38" w:rsidRPr="00EE43C6">
        <w:rPr>
          <w:lang w:eastAsia="en-US"/>
        </w:rPr>
        <w:t xml:space="preserve"> </w:t>
      </w:r>
      <w:r w:rsidR="002D1F06" w:rsidRPr="00EE43C6">
        <w:rPr>
          <w:lang w:eastAsia="en-US"/>
        </w:rPr>
        <w:t xml:space="preserve">primarily </w:t>
      </w:r>
      <w:r w:rsidR="00FA6909" w:rsidRPr="00EE43C6">
        <w:rPr>
          <w:lang w:eastAsia="en-US"/>
        </w:rPr>
        <w:t xml:space="preserve">in the area where the gas station </w:t>
      </w:r>
      <w:r w:rsidR="00382F5B" w:rsidRPr="00EE43C6">
        <w:rPr>
          <w:lang w:eastAsia="en-US"/>
        </w:rPr>
        <w:t xml:space="preserve">that was </w:t>
      </w:r>
      <w:r w:rsidR="00D31A73" w:rsidRPr="00EE43C6">
        <w:rPr>
          <w:lang w:eastAsia="en-US"/>
        </w:rPr>
        <w:t xml:space="preserve">previously </w:t>
      </w:r>
      <w:r w:rsidR="00382F5B" w:rsidRPr="00EE43C6">
        <w:rPr>
          <w:lang w:eastAsia="en-US"/>
        </w:rPr>
        <w:t>operating</w:t>
      </w:r>
      <w:r w:rsidR="00206B16" w:rsidRPr="00EE43C6">
        <w:rPr>
          <w:lang w:eastAsia="en-US"/>
        </w:rPr>
        <w:t xml:space="preserve"> </w:t>
      </w:r>
      <w:r w:rsidR="00A008A7" w:rsidRPr="00EE43C6">
        <w:rPr>
          <w:lang w:eastAsia="en-US"/>
        </w:rPr>
        <w:t>for</w:t>
      </w:r>
      <w:r w:rsidR="001E3D38" w:rsidRPr="00EE43C6">
        <w:rPr>
          <w:lang w:eastAsia="en-US"/>
        </w:rPr>
        <w:t xml:space="preserve"> the construction phase</w:t>
      </w:r>
      <w:r w:rsidR="00254683" w:rsidRPr="00EE43C6">
        <w:rPr>
          <w:lang w:eastAsia="en-US"/>
        </w:rPr>
        <w:t xml:space="preserve"> of the Project</w:t>
      </w:r>
      <w:r w:rsidR="001E3D38" w:rsidRPr="00EE43C6">
        <w:rPr>
          <w:lang w:eastAsia="en-US"/>
        </w:rPr>
        <w:t xml:space="preserve">, the waste impact significance </w:t>
      </w:r>
      <w:r w:rsidR="00254683" w:rsidRPr="00EE43C6">
        <w:rPr>
          <w:lang w:eastAsia="en-US"/>
        </w:rPr>
        <w:t xml:space="preserve">in the AoI of the Project </w:t>
      </w:r>
      <w:r w:rsidR="001E3D38" w:rsidRPr="00EE43C6">
        <w:rPr>
          <w:lang w:eastAsia="en-US"/>
        </w:rPr>
        <w:t xml:space="preserve">is determined as </w:t>
      </w:r>
      <w:r w:rsidR="00104420" w:rsidRPr="00EE43C6">
        <w:rPr>
          <w:lang w:eastAsia="en-US"/>
        </w:rPr>
        <w:t>high</w:t>
      </w:r>
      <w:r w:rsidR="001E3D38" w:rsidRPr="00EE43C6">
        <w:rPr>
          <w:lang w:eastAsia="en-US"/>
        </w:rPr>
        <w:t>.</w:t>
      </w:r>
    </w:p>
    <w:p w14:paraId="182A3437" w14:textId="398FD2C2" w:rsidR="004339AC" w:rsidRPr="00EE43C6" w:rsidRDefault="004339AC" w:rsidP="004339AC">
      <w:pPr>
        <w:pStyle w:val="Heading3"/>
        <w:spacing w:after="240"/>
        <w:rPr>
          <w:rFonts w:eastAsia="Arial TUR"/>
          <w:noProof w:val="0"/>
        </w:rPr>
      </w:pPr>
      <w:bookmarkStart w:id="562" w:name="_Toc80633566"/>
      <w:bookmarkStart w:id="563" w:name="_Toc67676591"/>
      <w:bookmarkStart w:id="564" w:name="_Toc120016953"/>
      <w:bookmarkStart w:id="565" w:name="_Toc120004731"/>
      <w:bookmarkStart w:id="566" w:name="_Toc141445442"/>
      <w:r w:rsidRPr="00EE43C6">
        <w:rPr>
          <w:rFonts w:eastAsia="Arial TUR"/>
          <w:noProof w:val="0"/>
        </w:rPr>
        <w:t>Operation Phase</w:t>
      </w:r>
      <w:bookmarkEnd w:id="562"/>
      <w:bookmarkEnd w:id="563"/>
      <w:bookmarkEnd w:id="564"/>
      <w:bookmarkEnd w:id="565"/>
      <w:bookmarkEnd w:id="566"/>
      <w:r w:rsidRPr="00EE43C6">
        <w:rPr>
          <w:rFonts w:eastAsia="Arial TUR"/>
          <w:noProof w:val="0"/>
        </w:rPr>
        <w:t xml:space="preserve">  </w:t>
      </w:r>
    </w:p>
    <w:p w14:paraId="761F8546" w14:textId="5311DF96" w:rsidR="00F91D59" w:rsidRPr="00EE43C6" w:rsidRDefault="00F91D59" w:rsidP="00F91D59">
      <w:pPr>
        <w:rPr>
          <w:rFonts w:eastAsiaTheme="minorHAnsi" w:cs="Wingdings"/>
          <w:szCs w:val="22"/>
        </w:rPr>
      </w:pPr>
      <w:r w:rsidRPr="00EE43C6">
        <w:rPr>
          <w:rFonts w:eastAsiaTheme="minorHAnsi"/>
          <w:lang w:eastAsia="en-US"/>
        </w:rPr>
        <w:t xml:space="preserve">As </w:t>
      </w:r>
      <w:r w:rsidR="00902DE0" w:rsidRPr="00EE43C6">
        <w:rPr>
          <w:rFonts w:cs="Wingdings"/>
          <w:szCs w:val="22"/>
        </w:rPr>
        <w:t>OIZ’s operation phase</w:t>
      </w:r>
      <w:r w:rsidR="00902DE0" w:rsidRPr="00EE43C6">
        <w:rPr>
          <w:rFonts w:eastAsiaTheme="minorHAnsi"/>
          <w:lang w:eastAsia="en-US"/>
        </w:rPr>
        <w:t xml:space="preserve"> and </w:t>
      </w:r>
      <w:r w:rsidRPr="00EE43C6">
        <w:rPr>
          <w:rFonts w:eastAsiaTheme="minorHAnsi"/>
          <w:lang w:eastAsia="en-US"/>
        </w:rPr>
        <w:t xml:space="preserve">the construction and operation </w:t>
      </w:r>
      <w:r w:rsidR="00266A44">
        <w:rPr>
          <w:rFonts w:eastAsiaTheme="minorHAnsi"/>
          <w:lang w:eastAsia="en-US"/>
        </w:rPr>
        <w:t xml:space="preserve">phases </w:t>
      </w:r>
      <w:r w:rsidRPr="00EE43C6">
        <w:rPr>
          <w:rFonts w:eastAsiaTheme="minorHAnsi"/>
          <w:lang w:eastAsia="en-US"/>
        </w:rPr>
        <w:t xml:space="preserve">of the </w:t>
      </w:r>
      <w:r w:rsidR="00C70F65" w:rsidRPr="00EE43C6">
        <w:rPr>
          <w:rFonts w:eastAsiaTheme="minorHAnsi"/>
          <w:lang w:eastAsia="en-US"/>
        </w:rPr>
        <w:t>W</w:t>
      </w:r>
      <w:r w:rsidR="007576A2" w:rsidRPr="00EE43C6">
        <w:rPr>
          <w:rFonts w:eastAsiaTheme="minorHAnsi"/>
          <w:lang w:eastAsia="en-US"/>
        </w:rPr>
        <w:t>WTP</w:t>
      </w:r>
      <w:r w:rsidRPr="00EE43C6">
        <w:rPr>
          <w:rFonts w:eastAsiaTheme="minorHAnsi"/>
          <w:lang w:eastAsia="en-US"/>
        </w:rPr>
        <w:t xml:space="preserve"> to be established in the OIZ</w:t>
      </w:r>
      <w:r w:rsidR="00734D5B" w:rsidRPr="00EE43C6">
        <w:rPr>
          <w:rFonts w:eastAsiaTheme="minorHAnsi"/>
          <w:lang w:eastAsia="en-US"/>
        </w:rPr>
        <w:t xml:space="preserve"> </w:t>
      </w:r>
      <w:r w:rsidR="00233CEE" w:rsidRPr="00EE43C6">
        <w:rPr>
          <w:rFonts w:eastAsiaTheme="minorHAnsi"/>
          <w:lang w:eastAsia="en-US"/>
        </w:rPr>
        <w:t>are</w:t>
      </w:r>
      <w:r w:rsidRPr="00EE43C6">
        <w:rPr>
          <w:rFonts w:eastAsiaTheme="minorHAnsi"/>
          <w:lang w:eastAsia="en-US"/>
        </w:rPr>
        <w:t xml:space="preserve"> not within the scope of loan usage, </w:t>
      </w:r>
      <w:r w:rsidR="00E17ECF" w:rsidRPr="00EE43C6">
        <w:rPr>
          <w:rFonts w:eastAsiaTheme="minorHAnsi"/>
          <w:lang w:eastAsia="en-US"/>
        </w:rPr>
        <w:t>their</w:t>
      </w:r>
      <w:r w:rsidRPr="00EE43C6">
        <w:rPr>
          <w:rFonts w:eastAsiaTheme="minorHAnsi"/>
          <w:lang w:eastAsia="en-US"/>
        </w:rPr>
        <w:t xml:space="preserve"> impact assessment</w:t>
      </w:r>
      <w:r w:rsidR="00E17ECF" w:rsidRPr="00EE43C6">
        <w:rPr>
          <w:rFonts w:eastAsiaTheme="minorHAnsi"/>
          <w:lang w:eastAsia="en-US"/>
        </w:rPr>
        <w:t>s</w:t>
      </w:r>
      <w:r w:rsidRPr="00EE43C6">
        <w:rPr>
          <w:rFonts w:eastAsiaTheme="minorHAnsi"/>
          <w:lang w:eastAsia="en-US"/>
        </w:rPr>
        <w:t xml:space="preserve"> ha</w:t>
      </w:r>
      <w:r w:rsidR="00E17ECF" w:rsidRPr="00EE43C6">
        <w:rPr>
          <w:rFonts w:eastAsiaTheme="minorHAnsi"/>
          <w:lang w:eastAsia="en-US"/>
        </w:rPr>
        <w:t>ve</w:t>
      </w:r>
      <w:r w:rsidRPr="00EE43C6">
        <w:rPr>
          <w:rFonts w:eastAsiaTheme="minorHAnsi"/>
          <w:lang w:eastAsia="en-US"/>
        </w:rPr>
        <w:t xml:space="preserve"> been detailed</w:t>
      </w:r>
      <w:r w:rsidR="0051362E" w:rsidRPr="00EE43C6">
        <w:rPr>
          <w:rFonts w:eastAsiaTheme="minorHAnsi"/>
          <w:lang w:eastAsia="en-US"/>
        </w:rPr>
        <w:t xml:space="preserve"> </w:t>
      </w:r>
      <w:r w:rsidR="00C557F4">
        <w:rPr>
          <w:rFonts w:eastAsiaTheme="minorHAnsi"/>
          <w:lang w:eastAsia="en-US"/>
        </w:rPr>
        <w:t>i</w:t>
      </w:r>
      <w:r w:rsidR="0032255E" w:rsidRPr="00EE43C6">
        <w:rPr>
          <w:rFonts w:eastAsiaTheme="minorHAnsi"/>
          <w:lang w:eastAsia="en-US"/>
        </w:rPr>
        <w:t xml:space="preserve">n this section </w:t>
      </w:r>
      <w:r w:rsidR="00A16BE7" w:rsidRPr="00EE43C6">
        <w:rPr>
          <w:rFonts w:eastAsiaTheme="minorHAnsi"/>
          <w:lang w:eastAsia="en-US"/>
        </w:rPr>
        <w:t>as associated facility.</w:t>
      </w:r>
      <w:r w:rsidR="0088432D" w:rsidRPr="00EE43C6">
        <w:rPr>
          <w:rFonts w:cs="Wingdings"/>
          <w:szCs w:val="22"/>
        </w:rPr>
        <w:t xml:space="preserve"> </w:t>
      </w:r>
      <w:r w:rsidR="00EC335C" w:rsidRPr="00EE43C6">
        <w:rPr>
          <w:rFonts w:cs="Wingdings"/>
          <w:szCs w:val="22"/>
        </w:rPr>
        <w:t>W</w:t>
      </w:r>
      <w:r w:rsidR="009D4B07" w:rsidRPr="00EE43C6">
        <w:rPr>
          <w:rFonts w:cs="Wingdings"/>
          <w:szCs w:val="22"/>
        </w:rPr>
        <w:t>aste</w:t>
      </w:r>
      <w:r w:rsidR="001D6A77" w:rsidRPr="00EE43C6">
        <w:rPr>
          <w:rFonts w:cs="Wingdings"/>
          <w:szCs w:val="22"/>
        </w:rPr>
        <w:t>s</w:t>
      </w:r>
      <w:r w:rsidR="00853277" w:rsidRPr="00EE43C6">
        <w:rPr>
          <w:rFonts w:cs="Wingdings"/>
          <w:szCs w:val="22"/>
        </w:rPr>
        <w:t xml:space="preserve"> </w:t>
      </w:r>
      <w:r w:rsidR="00A25880" w:rsidRPr="00EE43C6">
        <w:rPr>
          <w:rFonts w:cs="Wingdings"/>
          <w:szCs w:val="22"/>
        </w:rPr>
        <w:t>t</w:t>
      </w:r>
      <w:r w:rsidR="00EC335C" w:rsidRPr="00EE43C6">
        <w:rPr>
          <w:rFonts w:cs="Wingdings"/>
          <w:szCs w:val="22"/>
        </w:rPr>
        <w:t xml:space="preserve">hat </w:t>
      </w:r>
      <w:r w:rsidR="009D4B07" w:rsidRPr="00EE43C6">
        <w:rPr>
          <w:rFonts w:cs="Wingdings"/>
          <w:szCs w:val="22"/>
        </w:rPr>
        <w:t xml:space="preserve">are expected to be </w:t>
      </w:r>
      <w:r w:rsidR="001F41D3" w:rsidRPr="00EE43C6">
        <w:rPr>
          <w:rFonts w:cs="Wingdings"/>
          <w:szCs w:val="22"/>
        </w:rPr>
        <w:t>generated during the OIZ’s operation phase and</w:t>
      </w:r>
      <w:r w:rsidR="00853277" w:rsidRPr="00EE43C6">
        <w:rPr>
          <w:rFonts w:cs="Wingdings"/>
          <w:szCs w:val="22"/>
        </w:rPr>
        <w:t xml:space="preserve"> </w:t>
      </w:r>
      <w:r w:rsidR="001F41D3" w:rsidRPr="00EE43C6">
        <w:rPr>
          <w:rFonts w:cs="Wingdings"/>
          <w:szCs w:val="22"/>
        </w:rPr>
        <w:t xml:space="preserve">their </w:t>
      </w:r>
      <w:r w:rsidR="00587521" w:rsidRPr="00EE43C6">
        <w:rPr>
          <w:rFonts w:cs="Wingdings"/>
          <w:szCs w:val="22"/>
        </w:rPr>
        <w:t xml:space="preserve">environmental </w:t>
      </w:r>
      <w:r w:rsidR="003318AD" w:rsidRPr="00EE43C6">
        <w:rPr>
          <w:rFonts w:cs="Wingdings"/>
          <w:szCs w:val="22"/>
        </w:rPr>
        <w:t xml:space="preserve">impact </w:t>
      </w:r>
      <w:r w:rsidR="001F41D3" w:rsidRPr="00EE43C6">
        <w:rPr>
          <w:rFonts w:cs="Wingdings"/>
          <w:szCs w:val="22"/>
        </w:rPr>
        <w:t xml:space="preserve">assessments </w:t>
      </w:r>
      <w:r w:rsidR="00EC335C" w:rsidRPr="00EE43C6">
        <w:rPr>
          <w:rFonts w:cs="Wingdings"/>
          <w:szCs w:val="22"/>
        </w:rPr>
        <w:t>are follows</w:t>
      </w:r>
      <w:r w:rsidR="009D4B07" w:rsidRPr="00EE43C6">
        <w:rPr>
          <w:rFonts w:cs="Wingdings"/>
          <w:szCs w:val="22"/>
        </w:rPr>
        <w:t>.</w:t>
      </w:r>
    </w:p>
    <w:p w14:paraId="3CC4687B" w14:textId="1CC863BA" w:rsidR="0026317E" w:rsidRPr="00EE43C6" w:rsidRDefault="0026317E" w:rsidP="0026317E">
      <w:pPr>
        <w:spacing w:before="160" w:after="160"/>
        <w:rPr>
          <w:rFonts w:cs="Wingdings"/>
          <w:szCs w:val="22"/>
          <w:u w:val="single"/>
        </w:rPr>
      </w:pPr>
      <w:r w:rsidRPr="00EE43C6">
        <w:rPr>
          <w:rFonts w:cs="Wingdings"/>
          <w:szCs w:val="22"/>
          <w:u w:val="single"/>
        </w:rPr>
        <w:t>Domestic Solid Wastes</w:t>
      </w:r>
    </w:p>
    <w:p w14:paraId="55E91458" w14:textId="6372D14B" w:rsidR="0026317E" w:rsidRPr="00EE43C6" w:rsidRDefault="00D8692E" w:rsidP="0026317E">
      <w:pPr>
        <w:spacing w:before="160" w:after="160"/>
        <w:rPr>
          <w:rFonts w:cs="Wingdings"/>
          <w:szCs w:val="22"/>
        </w:rPr>
      </w:pPr>
      <w:r w:rsidRPr="00EE43C6">
        <w:rPr>
          <w:rFonts w:cs="Wingdings"/>
          <w:szCs w:val="22"/>
        </w:rPr>
        <w:t>3,50</w:t>
      </w:r>
      <w:r w:rsidR="0026317E" w:rsidRPr="00EE43C6">
        <w:rPr>
          <w:rFonts w:cs="Wingdings"/>
          <w:szCs w:val="22"/>
        </w:rPr>
        <w:t xml:space="preserve">0 people </w:t>
      </w:r>
      <w:r w:rsidR="006E2702" w:rsidRPr="00EE43C6">
        <w:rPr>
          <w:lang w:eastAsia="en-US"/>
        </w:rPr>
        <w:t xml:space="preserve">are planned to be employed by the </w:t>
      </w:r>
      <w:r w:rsidR="005A3730" w:rsidRPr="00EE43C6">
        <w:rPr>
          <w:lang w:eastAsia="en-US"/>
        </w:rPr>
        <w:t>facilities</w:t>
      </w:r>
      <w:r w:rsidR="006E2702" w:rsidRPr="00EE43C6">
        <w:rPr>
          <w:lang w:eastAsia="en-US"/>
        </w:rPr>
        <w:t xml:space="preserve"> </w:t>
      </w:r>
      <w:r w:rsidR="005A3730" w:rsidRPr="00EE43C6">
        <w:rPr>
          <w:lang w:eastAsia="en-US"/>
        </w:rPr>
        <w:t>with</w:t>
      </w:r>
      <w:r w:rsidR="00192591" w:rsidRPr="00EE43C6">
        <w:rPr>
          <w:lang w:eastAsia="en-US"/>
        </w:rPr>
        <w:t xml:space="preserve">in the OIZ </w:t>
      </w:r>
      <w:r w:rsidR="0026317E" w:rsidRPr="00EE43C6">
        <w:rPr>
          <w:rFonts w:cs="Wingdings"/>
          <w:szCs w:val="22"/>
        </w:rPr>
        <w:t xml:space="preserve">during the peak time of the </w:t>
      </w:r>
      <w:r w:rsidR="004D2367" w:rsidRPr="00EE43C6">
        <w:rPr>
          <w:rFonts w:cs="Wingdings"/>
          <w:szCs w:val="22"/>
        </w:rPr>
        <w:t>OIZ</w:t>
      </w:r>
      <w:r w:rsidR="006C54CC" w:rsidRPr="00EE43C6">
        <w:rPr>
          <w:rFonts w:cs="Wingdings"/>
          <w:szCs w:val="22"/>
        </w:rPr>
        <w:t xml:space="preserve">’s operation </w:t>
      </w:r>
      <w:r w:rsidR="0026317E" w:rsidRPr="00EE43C6">
        <w:rPr>
          <w:rFonts w:cs="Wingdings"/>
          <w:szCs w:val="22"/>
        </w:rPr>
        <w:t>phase. The amount of domestic solid waste to be generated is calculated by taking the unit amount of 1.21kg/person-day</w:t>
      </w:r>
      <w:r w:rsidR="0026317E" w:rsidRPr="00EE43C6">
        <w:rPr>
          <w:rStyle w:val="FootnoteReference"/>
          <w:rFonts w:cs="Wingdings"/>
          <w:szCs w:val="22"/>
        </w:rPr>
        <w:footnoteReference w:id="23"/>
      </w:r>
      <w:r w:rsidR="0026317E" w:rsidRPr="00EE43C6">
        <w:rPr>
          <w:rFonts w:cs="Wingdings"/>
          <w:szCs w:val="22"/>
        </w:rPr>
        <w:t xml:space="preserve"> for Mersin Province.</w:t>
      </w:r>
    </w:p>
    <w:p w14:paraId="69BE4FC1" w14:textId="2887CDD2" w:rsidR="0026317E" w:rsidRPr="00EE43C6" w:rsidRDefault="00BC0937" w:rsidP="0026317E">
      <w:pPr>
        <w:spacing w:before="160" w:after="160"/>
        <w:rPr>
          <w:rFonts w:cs="Wingdings"/>
          <w:szCs w:val="22"/>
        </w:rPr>
      </w:pPr>
      <w:r w:rsidRPr="00EE43C6">
        <w:rPr>
          <w:rFonts w:cs="Wingdings"/>
          <w:szCs w:val="22"/>
        </w:rPr>
        <w:t>3,50</w:t>
      </w:r>
      <w:r w:rsidR="0026317E" w:rsidRPr="00EE43C6">
        <w:rPr>
          <w:rFonts w:cs="Wingdings"/>
          <w:szCs w:val="22"/>
        </w:rPr>
        <w:t xml:space="preserve">0 persons x 1.21 kg/person-day = </w:t>
      </w:r>
      <w:r w:rsidR="000C28B1" w:rsidRPr="00EE43C6">
        <w:rPr>
          <w:rFonts w:cs="Wingdings"/>
          <w:szCs w:val="22"/>
        </w:rPr>
        <w:t>4,235</w:t>
      </w:r>
      <w:r w:rsidR="0026317E" w:rsidRPr="00EE43C6">
        <w:rPr>
          <w:rFonts w:cs="Wingdings"/>
          <w:szCs w:val="22"/>
        </w:rPr>
        <w:t xml:space="preserve"> kg/day.</w:t>
      </w:r>
    </w:p>
    <w:p w14:paraId="2796FAC5" w14:textId="77777777" w:rsidR="001E0229" w:rsidRDefault="001E0229">
      <w:pPr>
        <w:spacing w:before="0" w:after="200" w:line="276" w:lineRule="auto"/>
        <w:jc w:val="left"/>
        <w:rPr>
          <w:rFonts w:cs="Wingdings"/>
          <w:szCs w:val="22"/>
          <w:u w:val="single"/>
        </w:rPr>
      </w:pPr>
      <w:r>
        <w:rPr>
          <w:rFonts w:cs="Wingdings"/>
          <w:szCs w:val="22"/>
          <w:u w:val="single"/>
        </w:rPr>
        <w:br w:type="page"/>
      </w:r>
    </w:p>
    <w:p w14:paraId="66F98A1D" w14:textId="4E9790B3" w:rsidR="007D5476" w:rsidRPr="00EE43C6" w:rsidRDefault="007D5476" w:rsidP="007D5476">
      <w:pPr>
        <w:spacing w:before="160" w:after="160"/>
        <w:rPr>
          <w:rFonts w:cs="Wingdings"/>
          <w:szCs w:val="22"/>
          <w:u w:val="single"/>
        </w:rPr>
      </w:pPr>
      <w:r w:rsidRPr="00EE43C6">
        <w:rPr>
          <w:rFonts w:cs="Wingdings"/>
          <w:szCs w:val="22"/>
          <w:u w:val="single"/>
        </w:rPr>
        <w:lastRenderedPageBreak/>
        <w:t>Packaging Waste</w:t>
      </w:r>
    </w:p>
    <w:p w14:paraId="0E345C2C" w14:textId="745F49A6" w:rsidR="007D5476" w:rsidRPr="00EE43C6" w:rsidRDefault="007D5476" w:rsidP="007D5476">
      <w:pPr>
        <w:spacing w:before="160" w:after="160"/>
        <w:rPr>
          <w:rFonts w:cs="Wingdings"/>
          <w:szCs w:val="22"/>
        </w:rPr>
      </w:pPr>
      <w:r w:rsidRPr="00EE43C6">
        <w:rPr>
          <w:rFonts w:cs="Wingdings"/>
          <w:szCs w:val="22"/>
        </w:rPr>
        <w:t xml:space="preserve">The ratio of recyclable packaging waste is in metropolitan cities in </w:t>
      </w:r>
      <w:r w:rsidR="00117757">
        <w:rPr>
          <w:rFonts w:cs="Wingdings"/>
          <w:szCs w:val="22"/>
        </w:rPr>
        <w:t>Türkiye</w:t>
      </w:r>
      <w:r w:rsidRPr="00EE43C6">
        <w:rPr>
          <w:rFonts w:cs="Wingdings"/>
          <w:szCs w:val="22"/>
        </w:rPr>
        <w:t xml:space="preserve"> as follows. 48 kg/P-year paper and board, 14 kg/P-year plastic, 6 kg/P-year nylon, 8 kg/P-year metal, 8 kg/P-year glass, in total 84 kg/P-year</w:t>
      </w:r>
      <w:r w:rsidRPr="00EE43C6">
        <w:rPr>
          <w:rStyle w:val="FootnoteReference"/>
          <w:rFonts w:cs="Wingdings"/>
          <w:szCs w:val="22"/>
        </w:rPr>
        <w:footnoteReference w:id="24"/>
      </w:r>
      <w:r w:rsidRPr="00EE43C6">
        <w:rPr>
          <w:rFonts w:cs="Wingdings"/>
          <w:szCs w:val="22"/>
        </w:rPr>
        <w:t>.</w:t>
      </w:r>
    </w:p>
    <w:p w14:paraId="09C0AB1A" w14:textId="2BBFBA52" w:rsidR="007D5476" w:rsidRPr="00EE43C6" w:rsidRDefault="007D5476" w:rsidP="007D5476">
      <w:pPr>
        <w:spacing w:before="160" w:after="160"/>
        <w:rPr>
          <w:rFonts w:cs="Wingdings"/>
          <w:szCs w:val="22"/>
        </w:rPr>
      </w:pPr>
      <w:r w:rsidRPr="00EE43C6">
        <w:rPr>
          <w:rFonts w:cs="Wingdings"/>
          <w:szCs w:val="22"/>
        </w:rPr>
        <w:t xml:space="preserve">3,500 persons x 84 kg/P-year = </w:t>
      </w:r>
      <w:r w:rsidR="00A123E8" w:rsidRPr="00EE43C6">
        <w:rPr>
          <w:rFonts w:cs="Wingdings"/>
          <w:szCs w:val="22"/>
        </w:rPr>
        <w:t>294</w:t>
      </w:r>
      <w:r w:rsidRPr="00EE43C6">
        <w:rPr>
          <w:rFonts w:cs="Wingdings"/>
          <w:szCs w:val="22"/>
        </w:rPr>
        <w:t>,</w:t>
      </w:r>
      <w:r w:rsidR="00A123E8" w:rsidRPr="00EE43C6">
        <w:rPr>
          <w:rFonts w:cs="Wingdings"/>
          <w:szCs w:val="22"/>
        </w:rPr>
        <w:t>0</w:t>
      </w:r>
      <w:r w:rsidRPr="00EE43C6">
        <w:rPr>
          <w:rFonts w:cs="Wingdings"/>
          <w:szCs w:val="22"/>
        </w:rPr>
        <w:t xml:space="preserve">00 kg/year = </w:t>
      </w:r>
      <w:r w:rsidR="00120384" w:rsidRPr="00EE43C6">
        <w:rPr>
          <w:rFonts w:cs="Wingdings"/>
          <w:szCs w:val="22"/>
        </w:rPr>
        <w:t>805</w:t>
      </w:r>
      <w:r w:rsidRPr="00EE43C6">
        <w:rPr>
          <w:rFonts w:cs="Wingdings"/>
          <w:szCs w:val="22"/>
        </w:rPr>
        <w:t>.5 kg/day.</w:t>
      </w:r>
    </w:p>
    <w:p w14:paraId="3F70B0E1" w14:textId="77777777" w:rsidR="007D5476" w:rsidRPr="00EE43C6" w:rsidRDefault="007D5476" w:rsidP="007D5476">
      <w:pPr>
        <w:spacing w:before="160" w:after="160"/>
        <w:rPr>
          <w:rFonts w:cs="Wingdings"/>
          <w:szCs w:val="22"/>
        </w:rPr>
      </w:pPr>
      <w:r w:rsidRPr="00EE43C6">
        <w:rPr>
          <w:rFonts w:cs="Wingdings"/>
          <w:szCs w:val="22"/>
        </w:rPr>
        <w:t>Packaging wastes made of plastic, metal, glass, paper and board, composite and similar materials should be collected separately from other wastes and given to Packaging Waste Collection, Segregation and Recovery Facilities licensed by the MoEUCC.</w:t>
      </w:r>
    </w:p>
    <w:p w14:paraId="0FAC3381" w14:textId="7DC8D0DB" w:rsidR="00A02C11" w:rsidRPr="00EE43C6" w:rsidRDefault="00A02C11" w:rsidP="00A02C11">
      <w:pPr>
        <w:spacing w:after="120"/>
        <w:rPr>
          <w:rFonts w:cs="Wingdings"/>
          <w:szCs w:val="22"/>
          <w:u w:val="single"/>
        </w:rPr>
      </w:pPr>
      <w:r w:rsidRPr="00EE43C6">
        <w:rPr>
          <w:rFonts w:cs="Wingdings"/>
          <w:szCs w:val="22"/>
          <w:u w:val="single"/>
        </w:rPr>
        <w:t>Hazardous Wastes</w:t>
      </w:r>
    </w:p>
    <w:p w14:paraId="1240CE70" w14:textId="48DD5858" w:rsidR="000006EE" w:rsidRPr="00EE43C6" w:rsidRDefault="005D61C7" w:rsidP="001F438F">
      <w:pPr>
        <w:rPr>
          <w:lang w:eastAsia="en-US"/>
        </w:rPr>
      </w:pPr>
      <w:r w:rsidRPr="00EE43C6">
        <w:rPr>
          <w:lang w:eastAsia="en-US"/>
        </w:rPr>
        <w:t xml:space="preserve">Hazardous wastes that will originate from the units under the responsibility of the </w:t>
      </w:r>
      <w:r w:rsidR="00AC10D1" w:rsidRPr="00EE43C6">
        <w:rPr>
          <w:lang w:eastAsia="en-US"/>
        </w:rPr>
        <w:t>TUIOSB</w:t>
      </w:r>
      <w:r w:rsidRPr="00EE43C6">
        <w:rPr>
          <w:lang w:eastAsia="en-US"/>
        </w:rPr>
        <w:t xml:space="preserve"> </w:t>
      </w:r>
      <w:r w:rsidR="002F22C1" w:rsidRPr="00EE43C6">
        <w:rPr>
          <w:lang w:eastAsia="en-US"/>
        </w:rPr>
        <w:t>is planned to</w:t>
      </w:r>
      <w:r w:rsidRPr="00EE43C6">
        <w:rPr>
          <w:lang w:eastAsia="en-US"/>
        </w:rPr>
        <w:t xml:space="preserve"> be temporarily stored separately from other wastes in containers in the Hazardous Waste Temporary Storage Area to be determined in the Wastewater Treatment Plant area. </w:t>
      </w:r>
      <w:r w:rsidR="006936A9" w:rsidRPr="00EE43C6">
        <w:rPr>
          <w:lang w:eastAsia="en-US"/>
        </w:rPr>
        <w:t xml:space="preserve">These wastes </w:t>
      </w:r>
      <w:r w:rsidR="00187829" w:rsidRPr="00EE43C6">
        <w:rPr>
          <w:lang w:eastAsia="en-US"/>
        </w:rPr>
        <w:t>such as oily gloves</w:t>
      </w:r>
      <w:r w:rsidR="005E293C" w:rsidRPr="00EE43C6">
        <w:rPr>
          <w:lang w:eastAsia="en-US"/>
        </w:rPr>
        <w:t xml:space="preserve"> and clothes, </w:t>
      </w:r>
      <w:r w:rsidR="00187829" w:rsidRPr="00EE43C6">
        <w:rPr>
          <w:lang w:eastAsia="en-US"/>
        </w:rPr>
        <w:t>broken pipes</w:t>
      </w:r>
      <w:r w:rsidR="00EE18B5" w:rsidRPr="00EE43C6">
        <w:rPr>
          <w:lang w:eastAsia="en-US"/>
        </w:rPr>
        <w:t>, end-of-life print cartridge</w:t>
      </w:r>
      <w:r w:rsidR="00187829" w:rsidRPr="00EE43C6">
        <w:rPr>
          <w:lang w:eastAsia="en-US"/>
        </w:rPr>
        <w:t xml:space="preserve"> and led bulbs </w:t>
      </w:r>
      <w:r w:rsidR="002829B7" w:rsidRPr="00EE43C6">
        <w:rPr>
          <w:lang w:eastAsia="en-US"/>
        </w:rPr>
        <w:t xml:space="preserve">will be generated </w:t>
      </w:r>
      <w:r w:rsidR="00A90360" w:rsidRPr="00EE43C6">
        <w:rPr>
          <w:lang w:eastAsia="en-US"/>
        </w:rPr>
        <w:t xml:space="preserve">due to maintenance and repair works of the Project. </w:t>
      </w:r>
      <w:r w:rsidRPr="00EE43C6">
        <w:rPr>
          <w:lang w:eastAsia="en-US"/>
        </w:rPr>
        <w:t xml:space="preserve">It </w:t>
      </w:r>
      <w:r w:rsidR="002F22C1" w:rsidRPr="00EE43C6">
        <w:rPr>
          <w:lang w:eastAsia="en-US"/>
        </w:rPr>
        <w:t>should</w:t>
      </w:r>
      <w:r w:rsidRPr="00EE43C6">
        <w:rPr>
          <w:lang w:eastAsia="en-US"/>
        </w:rPr>
        <w:t xml:space="preserve"> be classified according to its characteristics, and on the temporarily stored waste, there will be a hazardous waste label, waste code, amount of stored waste and storage date.</w:t>
      </w:r>
      <w:r w:rsidR="00D34CAC" w:rsidRPr="00EE43C6">
        <w:rPr>
          <w:lang w:eastAsia="en-US"/>
        </w:rPr>
        <w:t xml:space="preserve"> </w:t>
      </w:r>
      <w:r w:rsidR="00CD6A8B" w:rsidRPr="00EE43C6">
        <w:rPr>
          <w:lang w:eastAsia="en-US"/>
        </w:rPr>
        <w:t xml:space="preserve">Hazardous Wastes arising from the </w:t>
      </w:r>
      <w:r w:rsidR="00AC10D1" w:rsidRPr="00EE43C6">
        <w:rPr>
          <w:lang w:eastAsia="en-US"/>
        </w:rPr>
        <w:t>TUIOSB</w:t>
      </w:r>
      <w:r w:rsidR="00CD6A8B" w:rsidRPr="00EE43C6">
        <w:rPr>
          <w:lang w:eastAsia="en-US"/>
        </w:rPr>
        <w:t xml:space="preserve"> </w:t>
      </w:r>
      <w:r w:rsidR="00B07D2B" w:rsidRPr="00EE43C6">
        <w:rPr>
          <w:lang w:eastAsia="en-US"/>
        </w:rPr>
        <w:t>are planned to</w:t>
      </w:r>
      <w:r w:rsidR="00CD6A8B" w:rsidRPr="00EE43C6">
        <w:rPr>
          <w:lang w:eastAsia="en-US"/>
        </w:rPr>
        <w:t xml:space="preserve"> be stored in the area to be determined in the area connected to the </w:t>
      </w:r>
      <w:r w:rsidR="00AC10D1" w:rsidRPr="00EE43C6">
        <w:rPr>
          <w:lang w:eastAsia="en-US"/>
        </w:rPr>
        <w:t>TUIOSB</w:t>
      </w:r>
      <w:r w:rsidR="00CD6A8B" w:rsidRPr="00EE43C6">
        <w:rPr>
          <w:lang w:eastAsia="en-US"/>
        </w:rPr>
        <w:t xml:space="preserve">, and the hazardous wastes of the facilities will be stored in the Hazardous Waste Temporary Storage areas that they will </w:t>
      </w:r>
      <w:r w:rsidR="004D5B7E" w:rsidRPr="00EE43C6">
        <w:rPr>
          <w:lang w:eastAsia="en-US"/>
        </w:rPr>
        <w:t>be</w:t>
      </w:r>
      <w:r w:rsidR="00CD6A8B" w:rsidRPr="00EE43C6">
        <w:rPr>
          <w:lang w:eastAsia="en-US"/>
        </w:rPr>
        <w:t xml:space="preserve"> within the boundaries of </w:t>
      </w:r>
      <w:r w:rsidR="00107CDA" w:rsidRPr="00EE43C6">
        <w:rPr>
          <w:lang w:eastAsia="en-US"/>
        </w:rPr>
        <w:t>each</w:t>
      </w:r>
      <w:r w:rsidR="004D5B7E" w:rsidRPr="00EE43C6">
        <w:rPr>
          <w:lang w:eastAsia="en-US"/>
        </w:rPr>
        <w:t xml:space="preserve"> </w:t>
      </w:r>
      <w:r w:rsidR="00CD6A8B" w:rsidRPr="00EE43C6">
        <w:rPr>
          <w:lang w:eastAsia="en-US"/>
        </w:rPr>
        <w:t>facility to be established.</w:t>
      </w:r>
      <w:r w:rsidR="002774DF" w:rsidRPr="00EE43C6">
        <w:rPr>
          <w:lang w:eastAsia="en-US"/>
        </w:rPr>
        <w:t xml:space="preserve"> </w:t>
      </w:r>
    </w:p>
    <w:p w14:paraId="7E04A9B6" w14:textId="21902943" w:rsidR="00F26698" w:rsidRPr="00EE43C6" w:rsidRDefault="00F26698" w:rsidP="00F26698">
      <w:pPr>
        <w:spacing w:after="120"/>
        <w:rPr>
          <w:rFonts w:cs="Wingdings"/>
          <w:szCs w:val="22"/>
          <w:u w:val="single"/>
        </w:rPr>
      </w:pPr>
      <w:r w:rsidRPr="00EE43C6">
        <w:rPr>
          <w:rFonts w:cs="Wingdings"/>
          <w:szCs w:val="22"/>
          <w:u w:val="single"/>
        </w:rPr>
        <w:t>Waste Batteries and Accumulators</w:t>
      </w:r>
    </w:p>
    <w:p w14:paraId="18C12E44" w14:textId="379A14CD" w:rsidR="003A753A" w:rsidRPr="00EE43C6" w:rsidRDefault="00F26698" w:rsidP="00F26698">
      <w:pPr>
        <w:rPr>
          <w:lang w:eastAsia="en-US"/>
        </w:rPr>
      </w:pPr>
      <w:r w:rsidRPr="00EE43C6">
        <w:rPr>
          <w:lang w:eastAsia="en-US"/>
        </w:rPr>
        <w:t xml:space="preserve">During the operation phase of the </w:t>
      </w:r>
      <w:r w:rsidR="00C74D8C" w:rsidRPr="00EE43C6">
        <w:rPr>
          <w:lang w:eastAsia="en-US"/>
        </w:rPr>
        <w:t>OIZ</w:t>
      </w:r>
      <w:r w:rsidRPr="00EE43C6">
        <w:rPr>
          <w:lang w:eastAsia="en-US"/>
        </w:rPr>
        <w:t xml:space="preserve">, </w:t>
      </w:r>
      <w:r w:rsidR="00C74D8C" w:rsidRPr="00EE43C6">
        <w:rPr>
          <w:lang w:eastAsia="en-US"/>
        </w:rPr>
        <w:t>i</w:t>
      </w:r>
      <w:r w:rsidRPr="00EE43C6">
        <w:rPr>
          <w:lang w:eastAsia="en-US"/>
        </w:rPr>
        <w:t>t is possible that waste batteries may occur due to battery use in areas in Office etc.</w:t>
      </w:r>
      <w:r w:rsidR="00BD660C" w:rsidRPr="00EE43C6">
        <w:rPr>
          <w:lang w:eastAsia="en-US"/>
        </w:rPr>
        <w:t xml:space="preserve"> </w:t>
      </w:r>
      <w:r w:rsidRPr="00EE43C6">
        <w:rPr>
          <w:lang w:eastAsia="en-US"/>
        </w:rPr>
        <w:t xml:space="preserve">These wastes will be sent to concerned institutions. Since the maintenance, repair, and service operations of the vehicles to be used during the operation phase of the </w:t>
      </w:r>
      <w:r w:rsidR="00C74D8C" w:rsidRPr="00EE43C6">
        <w:rPr>
          <w:lang w:eastAsia="en-US"/>
        </w:rPr>
        <w:t>OIZ</w:t>
      </w:r>
      <w:r w:rsidRPr="00EE43C6">
        <w:rPr>
          <w:lang w:eastAsia="en-US"/>
        </w:rPr>
        <w:t xml:space="preserve"> will be carried out at authorized services, no waste accumulators will be formed </w:t>
      </w:r>
      <w:r w:rsidR="00C74D8C" w:rsidRPr="00EE43C6">
        <w:rPr>
          <w:lang w:eastAsia="en-US"/>
        </w:rPr>
        <w:t>OIZ</w:t>
      </w:r>
      <w:r w:rsidRPr="00EE43C6">
        <w:rPr>
          <w:lang w:eastAsia="en-US"/>
        </w:rPr>
        <w:t xml:space="preserve"> Area. If, for any reason, waste accumulators occur, they will be sent to authorized companies or licensed intermediate storage/recovery facilities.</w:t>
      </w:r>
    </w:p>
    <w:p w14:paraId="6FC729C8" w14:textId="77777777" w:rsidR="006829FA" w:rsidRPr="00EE43C6" w:rsidRDefault="006829FA" w:rsidP="006829FA">
      <w:pPr>
        <w:spacing w:after="120"/>
        <w:rPr>
          <w:rFonts w:cs="Wingdings"/>
          <w:szCs w:val="22"/>
          <w:u w:val="single"/>
        </w:rPr>
      </w:pPr>
      <w:r w:rsidRPr="00EE43C6">
        <w:rPr>
          <w:rFonts w:cs="Wingdings"/>
          <w:szCs w:val="22"/>
          <w:u w:val="single"/>
        </w:rPr>
        <w:t>Medical Wastes</w:t>
      </w:r>
    </w:p>
    <w:p w14:paraId="0D6B7361" w14:textId="47A11DDD" w:rsidR="006829FA" w:rsidRPr="00EE43C6" w:rsidRDefault="004D0676" w:rsidP="00F26698">
      <w:pPr>
        <w:rPr>
          <w:lang w:eastAsia="en-US"/>
        </w:rPr>
      </w:pPr>
      <w:r w:rsidRPr="00EE43C6">
        <w:rPr>
          <w:lang w:eastAsia="en-US"/>
        </w:rPr>
        <w:t xml:space="preserve">Infirmary units are planned to be established to perform the first response to the accidents that may occur within the structures of the facilities that will operate within the </w:t>
      </w:r>
      <w:r w:rsidR="006C64E1" w:rsidRPr="00EE43C6">
        <w:rPr>
          <w:lang w:eastAsia="en-US"/>
        </w:rPr>
        <w:t>OIZ</w:t>
      </w:r>
      <w:r w:rsidR="006C221B" w:rsidRPr="00EE43C6">
        <w:rPr>
          <w:lang w:eastAsia="en-US"/>
        </w:rPr>
        <w:t>.</w:t>
      </w:r>
      <w:r w:rsidRPr="00EE43C6">
        <w:rPr>
          <w:lang w:eastAsia="en-US"/>
        </w:rPr>
        <w:t xml:space="preserve"> In case of serious injuries and accidents, they will be referred to the nearest health institutions.</w:t>
      </w:r>
      <w:r w:rsidR="00C417C3" w:rsidRPr="00EE43C6">
        <w:rPr>
          <w:lang w:eastAsia="en-US"/>
        </w:rPr>
        <w:t xml:space="preserve"> Medical wastes that will be generated in the infirmary to be located within the </w:t>
      </w:r>
      <w:r w:rsidR="0079184C" w:rsidRPr="00EE43C6">
        <w:rPr>
          <w:lang w:eastAsia="en-US"/>
        </w:rPr>
        <w:t>TUIOSB</w:t>
      </w:r>
      <w:r w:rsidR="00C417C3" w:rsidRPr="00EE43C6">
        <w:rPr>
          <w:lang w:eastAsia="en-US"/>
        </w:rPr>
        <w:t xml:space="preserve"> and each of the facilities </w:t>
      </w:r>
      <w:r w:rsidR="00B16F3C" w:rsidRPr="00EE43C6">
        <w:rPr>
          <w:lang w:eastAsia="en-US"/>
        </w:rPr>
        <w:t>should</w:t>
      </w:r>
      <w:r w:rsidR="00C417C3" w:rsidRPr="00EE43C6">
        <w:rPr>
          <w:lang w:eastAsia="en-US"/>
        </w:rPr>
        <w:t xml:space="preserve"> be collected separately from other wastes and </w:t>
      </w:r>
      <w:r w:rsidR="00B16F3C" w:rsidRPr="00EE43C6">
        <w:rPr>
          <w:lang w:eastAsia="en-US"/>
        </w:rPr>
        <w:t>should</w:t>
      </w:r>
      <w:r w:rsidR="00C417C3" w:rsidRPr="00EE43C6">
        <w:rPr>
          <w:lang w:eastAsia="en-US"/>
        </w:rPr>
        <w:t xml:space="preserve"> not be mixed with </w:t>
      </w:r>
      <w:r w:rsidR="00C417C3" w:rsidRPr="00EE43C6">
        <w:rPr>
          <w:lang w:eastAsia="en-US"/>
        </w:rPr>
        <w:lastRenderedPageBreak/>
        <w:t xml:space="preserve">hazardous and domestic wastes. Medical wastes </w:t>
      </w:r>
      <w:r w:rsidR="00F248AD" w:rsidRPr="00EE43C6">
        <w:rPr>
          <w:lang w:eastAsia="en-US"/>
        </w:rPr>
        <w:t>from</w:t>
      </w:r>
      <w:r w:rsidR="00C417C3" w:rsidRPr="00EE43C6">
        <w:rPr>
          <w:lang w:eastAsia="en-US"/>
        </w:rPr>
        <w:t xml:space="preserve"> the infirmary during its activities </w:t>
      </w:r>
      <w:r w:rsidR="002B4410" w:rsidRPr="00EE43C6">
        <w:rPr>
          <w:lang w:eastAsia="en-US"/>
        </w:rPr>
        <w:t>should</w:t>
      </w:r>
      <w:r w:rsidR="00C417C3" w:rsidRPr="00EE43C6">
        <w:rPr>
          <w:lang w:eastAsia="en-US"/>
        </w:rPr>
        <w:t xml:space="preserve"> be managed in accordance with the </w:t>
      </w:r>
      <w:r w:rsidR="00AB39EC" w:rsidRPr="00EE43C6">
        <w:rPr>
          <w:lang w:eastAsia="en-US"/>
        </w:rPr>
        <w:t>Medical Waste Control Regulation</w:t>
      </w:r>
      <w:r w:rsidR="00C417C3" w:rsidRPr="00EE43C6">
        <w:rPr>
          <w:lang w:eastAsia="en-US"/>
        </w:rPr>
        <w:t>.</w:t>
      </w:r>
    </w:p>
    <w:p w14:paraId="15C8C086" w14:textId="77777777" w:rsidR="005F213A" w:rsidRPr="00EE43C6" w:rsidRDefault="005F213A" w:rsidP="005F213A">
      <w:pPr>
        <w:spacing w:after="120"/>
        <w:rPr>
          <w:rFonts w:cs="Wingdings"/>
          <w:szCs w:val="22"/>
          <w:u w:val="single"/>
        </w:rPr>
      </w:pPr>
      <w:r w:rsidRPr="00EE43C6">
        <w:rPr>
          <w:rFonts w:cs="Wingdings"/>
          <w:szCs w:val="22"/>
          <w:u w:val="single"/>
        </w:rPr>
        <w:t>Waste Tires</w:t>
      </w:r>
    </w:p>
    <w:p w14:paraId="518EA347" w14:textId="1E63F27C" w:rsidR="005F213A" w:rsidRPr="00EE43C6" w:rsidRDefault="005F213A" w:rsidP="005F213A">
      <w:pPr>
        <w:rPr>
          <w:lang w:eastAsia="en-US"/>
        </w:rPr>
      </w:pPr>
      <w:r w:rsidRPr="00EE43C6">
        <w:rPr>
          <w:lang w:eastAsia="en-US"/>
        </w:rPr>
        <w:t xml:space="preserve">Since the maintenance, repair and service operations of the vehicles and equipment to be used during the operation phase of the OIZ </w:t>
      </w:r>
      <w:r w:rsidR="00D43ACD" w:rsidRPr="00EE43C6">
        <w:rPr>
          <w:lang w:eastAsia="en-US"/>
        </w:rPr>
        <w:t>should</w:t>
      </w:r>
      <w:r w:rsidRPr="00EE43C6">
        <w:rPr>
          <w:lang w:eastAsia="en-US"/>
        </w:rPr>
        <w:t xml:space="preserve"> be carried out in authorized services, no tires that have completed their life will be formed in the </w:t>
      </w:r>
      <w:r w:rsidR="00D43ACD" w:rsidRPr="00EE43C6">
        <w:rPr>
          <w:lang w:eastAsia="en-US"/>
        </w:rPr>
        <w:t>OIZ</w:t>
      </w:r>
      <w:r w:rsidRPr="00EE43C6">
        <w:rPr>
          <w:lang w:eastAsia="en-US"/>
        </w:rPr>
        <w:t xml:space="preserve"> Area. If, for any reason, expired tires occur, the tires </w:t>
      </w:r>
      <w:r w:rsidR="00D43ACD" w:rsidRPr="00EE43C6">
        <w:rPr>
          <w:lang w:eastAsia="en-US"/>
        </w:rPr>
        <w:t>should</w:t>
      </w:r>
      <w:r w:rsidRPr="00EE43C6">
        <w:rPr>
          <w:lang w:eastAsia="en-US"/>
        </w:rPr>
        <w:t xml:space="preserve"> be sent to authorized companies or to licensed tire intermediate storage/recovery facilities.</w:t>
      </w:r>
    </w:p>
    <w:p w14:paraId="54B355CA" w14:textId="77777777" w:rsidR="002973EC" w:rsidRPr="00EE43C6" w:rsidRDefault="002973EC" w:rsidP="002973EC">
      <w:pPr>
        <w:spacing w:after="120"/>
        <w:rPr>
          <w:rFonts w:cs="Wingdings"/>
          <w:szCs w:val="22"/>
          <w:u w:val="single"/>
        </w:rPr>
      </w:pPr>
      <w:r w:rsidRPr="00EE43C6">
        <w:rPr>
          <w:rFonts w:cs="Wingdings"/>
          <w:szCs w:val="22"/>
          <w:u w:val="single"/>
        </w:rPr>
        <w:t>Waste Vegetable Oils</w:t>
      </w:r>
    </w:p>
    <w:p w14:paraId="7EEEF893" w14:textId="1F382B17" w:rsidR="002973EC" w:rsidRPr="00EE43C6" w:rsidRDefault="00673A68" w:rsidP="00673A68">
      <w:pPr>
        <w:rPr>
          <w:lang w:eastAsia="en-US"/>
        </w:rPr>
      </w:pPr>
      <w:r w:rsidRPr="00EE43C6">
        <w:rPr>
          <w:lang w:eastAsia="en-US"/>
        </w:rPr>
        <w:t xml:space="preserve">Depending on the working principles of the facilities, the food needs of the personnel can be met from the catering companies, as well as in the cafeterias to be established within the facility. In the event that waste vegetable oil occurs in the facilities to be established, it </w:t>
      </w:r>
      <w:r w:rsidR="00544B2E" w:rsidRPr="00EE43C6">
        <w:rPr>
          <w:lang w:eastAsia="en-US"/>
        </w:rPr>
        <w:t>should</w:t>
      </w:r>
      <w:r w:rsidRPr="00EE43C6">
        <w:rPr>
          <w:lang w:eastAsia="en-US"/>
        </w:rPr>
        <w:t xml:space="preserve"> be stored in barrels and sent to the Waste Vegetable Oil Recovery Facilities licensed by the MoEUCC with licensed vehicles to be recycled.</w:t>
      </w:r>
    </w:p>
    <w:p w14:paraId="42FF3623" w14:textId="77777777" w:rsidR="009701FB" w:rsidRPr="00EE43C6" w:rsidRDefault="009701FB" w:rsidP="009701FB">
      <w:pPr>
        <w:spacing w:after="120"/>
        <w:rPr>
          <w:rFonts w:cs="Wingdings"/>
          <w:szCs w:val="22"/>
          <w:u w:val="single"/>
        </w:rPr>
      </w:pPr>
      <w:r w:rsidRPr="00EE43C6">
        <w:rPr>
          <w:rFonts w:cs="Wingdings"/>
          <w:szCs w:val="22"/>
          <w:u w:val="single"/>
        </w:rPr>
        <w:t>Waste Oils</w:t>
      </w:r>
    </w:p>
    <w:p w14:paraId="53CCA266" w14:textId="63A747E5" w:rsidR="009701FB" w:rsidRPr="00EE43C6" w:rsidRDefault="003556F2" w:rsidP="009701FB">
      <w:pPr>
        <w:spacing w:after="120"/>
        <w:rPr>
          <w:rFonts w:cs="Wingdings"/>
          <w:szCs w:val="22"/>
        </w:rPr>
      </w:pPr>
      <w:r w:rsidRPr="00EE43C6">
        <w:rPr>
          <w:rFonts w:cs="Wingdings"/>
          <w:szCs w:val="22"/>
        </w:rPr>
        <w:t>Oil will not be used due to the process in the facilities that will operate within the OIZ Area. There will be waste oil from the maintenance</w:t>
      </w:r>
      <w:r w:rsidR="0077637A" w:rsidRPr="00EE43C6">
        <w:rPr>
          <w:rFonts w:cs="Wingdings"/>
          <w:szCs w:val="22"/>
        </w:rPr>
        <w:t>, repair</w:t>
      </w:r>
      <w:r w:rsidRPr="00EE43C6">
        <w:rPr>
          <w:rFonts w:cs="Wingdings"/>
          <w:szCs w:val="22"/>
        </w:rPr>
        <w:t xml:space="preserve"> and </w:t>
      </w:r>
      <w:r w:rsidR="0077637A" w:rsidRPr="00EE43C6">
        <w:rPr>
          <w:rFonts w:cs="Wingdings"/>
          <w:szCs w:val="22"/>
        </w:rPr>
        <w:t>service</w:t>
      </w:r>
      <w:r w:rsidRPr="00EE43C6">
        <w:rPr>
          <w:rFonts w:cs="Wingdings"/>
          <w:szCs w:val="22"/>
        </w:rPr>
        <w:t xml:space="preserve"> of the machinery-equipment and vehicles to be used in the facilities. </w:t>
      </w:r>
      <w:r w:rsidR="007378CD" w:rsidRPr="00EE43C6">
        <w:rPr>
          <w:rFonts w:cs="Wingdings"/>
          <w:szCs w:val="22"/>
        </w:rPr>
        <w:t>Since the</w:t>
      </w:r>
      <w:r w:rsidR="0077637A" w:rsidRPr="00EE43C6">
        <w:rPr>
          <w:rFonts w:cs="Wingdings"/>
          <w:szCs w:val="22"/>
        </w:rPr>
        <w:t>se</w:t>
      </w:r>
      <w:r w:rsidR="007378CD" w:rsidRPr="00EE43C6">
        <w:rPr>
          <w:rFonts w:cs="Wingdings"/>
          <w:szCs w:val="22"/>
        </w:rPr>
        <w:t xml:space="preserve"> operations of the vehicles to be used during the operation phase of the </w:t>
      </w:r>
      <w:r w:rsidR="004D3727" w:rsidRPr="00EE43C6">
        <w:rPr>
          <w:rFonts w:cs="Wingdings"/>
          <w:szCs w:val="22"/>
        </w:rPr>
        <w:t>OIZ</w:t>
      </w:r>
      <w:r w:rsidR="007378CD" w:rsidRPr="00EE43C6">
        <w:rPr>
          <w:rFonts w:cs="Wingdings"/>
          <w:szCs w:val="22"/>
        </w:rPr>
        <w:t xml:space="preserve"> will be carried out at authorized services</w:t>
      </w:r>
      <w:r w:rsidR="007A655D" w:rsidRPr="00EE43C6">
        <w:rPr>
          <w:rFonts w:cs="Wingdings"/>
          <w:szCs w:val="22"/>
        </w:rPr>
        <w:t>, no waste oil will be generated in the OIZ Area</w:t>
      </w:r>
      <w:r w:rsidR="007378CD" w:rsidRPr="00EE43C6">
        <w:rPr>
          <w:rFonts w:cs="Wingdings"/>
          <w:szCs w:val="22"/>
        </w:rPr>
        <w:t>. If for any reason waste oil occurs, waste oil will be sent to authorized institutions and licensed waste oil recovery facilities.</w:t>
      </w:r>
    </w:p>
    <w:p w14:paraId="203E4931" w14:textId="25CE56AD" w:rsidR="00FC43F7" w:rsidRPr="00EE43C6" w:rsidRDefault="005C26E5" w:rsidP="009701FB">
      <w:pPr>
        <w:spacing w:after="120"/>
        <w:rPr>
          <w:rFonts w:cs="Wingdings"/>
          <w:szCs w:val="22"/>
          <w:u w:val="single"/>
        </w:rPr>
      </w:pPr>
      <w:r w:rsidRPr="00EE43C6">
        <w:rPr>
          <w:rFonts w:cs="Wingdings"/>
          <w:szCs w:val="22"/>
          <w:u w:val="single"/>
        </w:rPr>
        <w:t xml:space="preserve">Electronic </w:t>
      </w:r>
      <w:r w:rsidR="00E71BE4" w:rsidRPr="00EE43C6">
        <w:rPr>
          <w:rFonts w:cs="Wingdings"/>
          <w:szCs w:val="22"/>
          <w:u w:val="single"/>
        </w:rPr>
        <w:t>W</w:t>
      </w:r>
      <w:r w:rsidRPr="00EE43C6">
        <w:rPr>
          <w:rFonts w:cs="Wingdings"/>
          <w:szCs w:val="22"/>
          <w:u w:val="single"/>
        </w:rPr>
        <w:t>aste</w:t>
      </w:r>
    </w:p>
    <w:p w14:paraId="602FF283" w14:textId="42F6D384" w:rsidR="00E71BE4" w:rsidRPr="00EE43C6" w:rsidRDefault="002769B4" w:rsidP="009701FB">
      <w:pPr>
        <w:spacing w:after="120"/>
        <w:rPr>
          <w:rFonts w:cs="Wingdings"/>
          <w:szCs w:val="22"/>
        </w:rPr>
      </w:pPr>
      <w:r w:rsidRPr="00EE43C6">
        <w:rPr>
          <w:rFonts w:cs="Wingdings"/>
          <w:szCs w:val="22"/>
        </w:rPr>
        <w:t xml:space="preserve">In the OIZ Area, </w:t>
      </w:r>
      <w:r w:rsidR="00C85024" w:rsidRPr="00EE43C6">
        <w:rPr>
          <w:rFonts w:cs="Wingdings"/>
          <w:szCs w:val="22"/>
        </w:rPr>
        <w:t xml:space="preserve">due to maintenance, repair or replacing activities, </w:t>
      </w:r>
      <w:r w:rsidRPr="00EE43C6">
        <w:rPr>
          <w:rFonts w:cs="Wingdings"/>
          <w:szCs w:val="22"/>
        </w:rPr>
        <w:t xml:space="preserve">there will be generation of electronic wastes such as </w:t>
      </w:r>
      <w:r w:rsidR="00635356" w:rsidRPr="00EE43C6">
        <w:rPr>
          <w:rFonts w:cs="Wingdings"/>
          <w:szCs w:val="22"/>
        </w:rPr>
        <w:t xml:space="preserve">especially </w:t>
      </w:r>
      <w:r w:rsidRPr="00EE43C6">
        <w:rPr>
          <w:rFonts w:cs="Wingdings"/>
          <w:szCs w:val="22"/>
        </w:rPr>
        <w:t xml:space="preserve">cable components and mechanical equipment from </w:t>
      </w:r>
      <w:r w:rsidR="00004421" w:rsidRPr="00EE43C6">
        <w:rPr>
          <w:rFonts w:cs="Wingdings"/>
          <w:szCs w:val="22"/>
        </w:rPr>
        <w:t>fib</w:t>
      </w:r>
      <w:r w:rsidR="00004421">
        <w:rPr>
          <w:rFonts w:cs="Wingdings"/>
          <w:szCs w:val="22"/>
        </w:rPr>
        <w:t>re</w:t>
      </w:r>
      <w:r w:rsidR="00004421" w:rsidRPr="00EE43C6">
        <w:rPr>
          <w:rFonts w:cs="Wingdings"/>
          <w:szCs w:val="22"/>
        </w:rPr>
        <w:t xml:space="preserve"> </w:t>
      </w:r>
      <w:r w:rsidRPr="00EE43C6">
        <w:rPr>
          <w:rFonts w:cs="Wingdings"/>
          <w:szCs w:val="22"/>
        </w:rPr>
        <w:t>optic systems.</w:t>
      </w:r>
      <w:r w:rsidR="007325DA" w:rsidRPr="00EE43C6">
        <w:rPr>
          <w:rFonts w:cs="Wingdings"/>
          <w:szCs w:val="22"/>
        </w:rPr>
        <w:t xml:space="preserve"> According to whether it is hazardous or non-hazardous waste, they will be disposed of with the relevant licensed or authorized compan</w:t>
      </w:r>
      <w:r w:rsidR="00E330D0" w:rsidRPr="00EE43C6">
        <w:rPr>
          <w:rFonts w:cs="Wingdings"/>
          <w:szCs w:val="22"/>
        </w:rPr>
        <w:t>ies</w:t>
      </w:r>
      <w:r w:rsidR="007325DA" w:rsidRPr="00EE43C6">
        <w:rPr>
          <w:rFonts w:cs="Wingdings"/>
          <w:szCs w:val="22"/>
        </w:rPr>
        <w:t>.</w:t>
      </w:r>
    </w:p>
    <w:p w14:paraId="49C4AF78" w14:textId="49427974" w:rsidR="00182C63" w:rsidRPr="00EE43C6" w:rsidRDefault="001A3B69" w:rsidP="00182C63">
      <w:pPr>
        <w:spacing w:after="120"/>
        <w:rPr>
          <w:rFonts w:cs="Wingdings"/>
          <w:szCs w:val="22"/>
          <w:u w:val="single"/>
        </w:rPr>
      </w:pPr>
      <w:r w:rsidRPr="00EE43C6">
        <w:rPr>
          <w:rFonts w:cs="Wingdings"/>
          <w:szCs w:val="22"/>
          <w:u w:val="single"/>
        </w:rPr>
        <w:t>Waste Sludge</w:t>
      </w:r>
    </w:p>
    <w:p w14:paraId="0EE9DEC1" w14:textId="237DFFFF" w:rsidR="00043893" w:rsidRPr="00EE43C6" w:rsidRDefault="00182C63" w:rsidP="009701FB">
      <w:pPr>
        <w:spacing w:after="120"/>
        <w:rPr>
          <w:rFonts w:cs="Wingdings"/>
          <w:szCs w:val="22"/>
        </w:rPr>
      </w:pPr>
      <w:r w:rsidRPr="00EE43C6">
        <w:rPr>
          <w:rFonts w:cs="Wingdings"/>
          <w:szCs w:val="22"/>
        </w:rPr>
        <w:t xml:space="preserve">During the operation phase of the OIZ, </w:t>
      </w:r>
      <w:r w:rsidR="001A3B69" w:rsidRPr="00EE43C6">
        <w:rPr>
          <w:rFonts w:cs="Wingdings"/>
          <w:szCs w:val="22"/>
        </w:rPr>
        <w:t xml:space="preserve">waste </w:t>
      </w:r>
      <w:r w:rsidRPr="00EE43C6">
        <w:rPr>
          <w:rFonts w:cs="Wingdings"/>
          <w:szCs w:val="22"/>
        </w:rPr>
        <w:t xml:space="preserve">sludge will be formed in the </w:t>
      </w:r>
      <w:r w:rsidR="001A3B69" w:rsidRPr="00EE43C6">
        <w:rPr>
          <w:rFonts w:cs="Wingdings"/>
          <w:szCs w:val="22"/>
        </w:rPr>
        <w:t>WWTP t</w:t>
      </w:r>
      <w:r w:rsidRPr="00EE43C6">
        <w:rPr>
          <w:rFonts w:cs="Wingdings"/>
          <w:szCs w:val="22"/>
        </w:rPr>
        <w:t>o be established for the treatment of wastewater.</w:t>
      </w:r>
      <w:r w:rsidR="001A3B69" w:rsidRPr="00EE43C6">
        <w:rPr>
          <w:rFonts w:cs="Wingdings"/>
          <w:szCs w:val="22"/>
        </w:rPr>
        <w:t xml:space="preserve"> </w:t>
      </w:r>
      <w:r w:rsidRPr="00EE43C6">
        <w:rPr>
          <w:rFonts w:cs="Wingdings"/>
          <w:szCs w:val="22"/>
        </w:rPr>
        <w:t xml:space="preserve">Considering the </w:t>
      </w:r>
      <w:r w:rsidR="001A3B69" w:rsidRPr="00EE43C6">
        <w:rPr>
          <w:rFonts w:cs="Wingdings"/>
          <w:szCs w:val="22"/>
        </w:rPr>
        <w:t>quantity</w:t>
      </w:r>
      <w:r w:rsidRPr="00EE43C6">
        <w:rPr>
          <w:rFonts w:cs="Wingdings"/>
          <w:szCs w:val="22"/>
        </w:rPr>
        <w:t xml:space="preserve"> of wastewater from the process entering the </w:t>
      </w:r>
      <w:r w:rsidR="001A3B69" w:rsidRPr="00EE43C6">
        <w:rPr>
          <w:rFonts w:cs="Wingdings"/>
          <w:szCs w:val="22"/>
        </w:rPr>
        <w:t>WWTP</w:t>
      </w:r>
      <w:r w:rsidRPr="00EE43C6">
        <w:rPr>
          <w:rFonts w:cs="Wingdings"/>
          <w:szCs w:val="22"/>
        </w:rPr>
        <w:t>, the pollution load of the wastewater and the charging times</w:t>
      </w:r>
      <w:r w:rsidR="001A3B69" w:rsidRPr="00EE43C6">
        <w:rPr>
          <w:rFonts w:cs="Wingdings"/>
          <w:szCs w:val="22"/>
        </w:rPr>
        <w:t xml:space="preserve">. </w:t>
      </w:r>
      <w:r w:rsidRPr="00EE43C6">
        <w:rPr>
          <w:rFonts w:cs="Wingdings"/>
          <w:szCs w:val="22"/>
        </w:rPr>
        <w:t xml:space="preserve">It is 0.01 – 1% of the total wastewater entering the </w:t>
      </w:r>
      <w:r w:rsidR="001A3B69" w:rsidRPr="00EE43C6">
        <w:rPr>
          <w:rFonts w:cs="Wingdings"/>
          <w:szCs w:val="22"/>
        </w:rPr>
        <w:t>WWTP</w:t>
      </w:r>
      <w:r w:rsidRPr="00EE43C6">
        <w:rPr>
          <w:rFonts w:cs="Wingdings"/>
          <w:szCs w:val="22"/>
        </w:rPr>
        <w:t>.</w:t>
      </w:r>
    </w:p>
    <w:p w14:paraId="21CC3C4E" w14:textId="3D135613" w:rsidR="00182C63" w:rsidRPr="00EE43C6" w:rsidRDefault="00182C63" w:rsidP="009701FB">
      <w:pPr>
        <w:spacing w:after="120"/>
        <w:rPr>
          <w:rFonts w:cs="Wingdings"/>
          <w:szCs w:val="22"/>
        </w:rPr>
      </w:pPr>
      <w:r w:rsidRPr="00EE43C6">
        <w:rPr>
          <w:rFonts w:cs="Wingdings"/>
          <w:szCs w:val="22"/>
        </w:rPr>
        <w:t xml:space="preserve">In this </w:t>
      </w:r>
      <w:r w:rsidR="001A3B69" w:rsidRPr="00EE43C6">
        <w:rPr>
          <w:rFonts w:cs="Wingdings"/>
          <w:szCs w:val="22"/>
        </w:rPr>
        <w:t>case,</w:t>
      </w:r>
      <w:r w:rsidRPr="00EE43C6">
        <w:rPr>
          <w:rFonts w:cs="Wingdings"/>
          <w:szCs w:val="22"/>
        </w:rPr>
        <w:t xml:space="preserve"> </w:t>
      </w:r>
      <w:r w:rsidR="001A3B69" w:rsidRPr="00EE43C6">
        <w:rPr>
          <w:rFonts w:cs="Wingdings"/>
          <w:szCs w:val="22"/>
        </w:rPr>
        <w:t>t</w:t>
      </w:r>
      <w:r w:rsidRPr="00EE43C6">
        <w:rPr>
          <w:rFonts w:cs="Wingdings"/>
          <w:szCs w:val="22"/>
        </w:rPr>
        <w:t xml:space="preserve">he maximum amount of </w:t>
      </w:r>
      <w:r w:rsidR="001A3B69" w:rsidRPr="00EE43C6">
        <w:rPr>
          <w:rFonts w:cs="Wingdings"/>
          <w:szCs w:val="22"/>
        </w:rPr>
        <w:t xml:space="preserve">waste </w:t>
      </w:r>
      <w:r w:rsidRPr="00EE43C6">
        <w:rPr>
          <w:rFonts w:cs="Wingdings"/>
          <w:szCs w:val="22"/>
        </w:rPr>
        <w:t>sludge to be formed daily is =</w:t>
      </w:r>
      <w:r w:rsidR="00043893" w:rsidRPr="00EE43C6">
        <w:rPr>
          <w:rFonts w:cs="Wingdings"/>
          <w:szCs w:val="22"/>
        </w:rPr>
        <w:t xml:space="preserve"> </w:t>
      </w:r>
      <w:r w:rsidRPr="00EE43C6">
        <w:rPr>
          <w:rFonts w:cs="Wingdings"/>
          <w:szCs w:val="22"/>
        </w:rPr>
        <w:t>3</w:t>
      </w:r>
      <w:r w:rsidR="00043893" w:rsidRPr="00EE43C6">
        <w:rPr>
          <w:rFonts w:cs="Wingdings"/>
          <w:szCs w:val="22"/>
        </w:rPr>
        <w:t>,</w:t>
      </w:r>
      <w:r w:rsidRPr="00EE43C6">
        <w:rPr>
          <w:rFonts w:cs="Wingdings"/>
          <w:szCs w:val="22"/>
        </w:rPr>
        <w:t>300 m</w:t>
      </w:r>
      <w:r w:rsidRPr="00EE43C6">
        <w:rPr>
          <w:rFonts w:cs="Wingdings"/>
          <w:szCs w:val="22"/>
          <w:vertAlign w:val="superscript"/>
        </w:rPr>
        <w:t>3</w:t>
      </w:r>
      <w:r w:rsidRPr="00EE43C6">
        <w:rPr>
          <w:rFonts w:cs="Wingdings"/>
          <w:szCs w:val="22"/>
        </w:rPr>
        <w:t xml:space="preserve"> x 1 = 3</w:t>
      </w:r>
      <w:r w:rsidR="00043893" w:rsidRPr="00EE43C6">
        <w:rPr>
          <w:rFonts w:cs="Wingdings"/>
          <w:szCs w:val="22"/>
        </w:rPr>
        <w:t>,</w:t>
      </w:r>
      <w:r w:rsidRPr="00EE43C6">
        <w:rPr>
          <w:rFonts w:cs="Wingdings"/>
          <w:szCs w:val="22"/>
        </w:rPr>
        <w:t>300kg/day (containing 17-22% moisture).</w:t>
      </w:r>
    </w:p>
    <w:p w14:paraId="73A61965" w14:textId="6D56AAD5" w:rsidR="00804C13" w:rsidRPr="00EE43C6" w:rsidRDefault="00804C13" w:rsidP="009701FB">
      <w:pPr>
        <w:spacing w:after="120"/>
        <w:rPr>
          <w:rFonts w:cs="Wingdings"/>
          <w:szCs w:val="22"/>
        </w:rPr>
      </w:pPr>
      <w:r w:rsidRPr="00EE43C6">
        <w:rPr>
          <w:rFonts w:cs="Wingdings"/>
          <w:szCs w:val="22"/>
        </w:rPr>
        <w:lastRenderedPageBreak/>
        <w:t xml:space="preserve">The facilities to be established within the scope of the OIZ are classified as non-hazardous according to the </w:t>
      </w:r>
      <w:r w:rsidR="000175D1" w:rsidRPr="00EE43C6">
        <w:rPr>
          <w:rFonts w:cs="Wingdings"/>
          <w:szCs w:val="22"/>
        </w:rPr>
        <w:t xml:space="preserve">Regulation on </w:t>
      </w:r>
      <w:r w:rsidRPr="00EE43C6">
        <w:rPr>
          <w:rFonts w:cs="Wingdings"/>
          <w:szCs w:val="22"/>
        </w:rPr>
        <w:t xml:space="preserve">Waste Management on a sectoral basis. </w:t>
      </w:r>
      <w:r w:rsidR="00F8013F" w:rsidRPr="00EE43C6">
        <w:rPr>
          <w:rFonts w:cs="Wingdings"/>
          <w:szCs w:val="22"/>
        </w:rPr>
        <w:t>On the other hand, d</w:t>
      </w:r>
      <w:r w:rsidR="00752040" w:rsidRPr="00EE43C6">
        <w:rPr>
          <w:rFonts w:cs="Wingdings"/>
          <w:szCs w:val="22"/>
        </w:rPr>
        <w:t>ue to the</w:t>
      </w:r>
      <w:r w:rsidR="005C7103" w:rsidRPr="00EE43C6">
        <w:rPr>
          <w:rFonts w:cs="Wingdings"/>
          <w:szCs w:val="22"/>
        </w:rPr>
        <w:t xml:space="preserve"> </w:t>
      </w:r>
      <w:r w:rsidR="00752040" w:rsidRPr="00EE43C6">
        <w:rPr>
          <w:rFonts w:cs="Wingdings"/>
          <w:szCs w:val="22"/>
        </w:rPr>
        <w:t>agricultural machinery</w:t>
      </w:r>
      <w:r w:rsidR="008D6140" w:rsidRPr="00EE43C6">
        <w:rPr>
          <w:rFonts w:cs="Wingdings"/>
          <w:szCs w:val="22"/>
        </w:rPr>
        <w:t xml:space="preserve"> </w:t>
      </w:r>
      <w:r w:rsidR="005C7103" w:rsidRPr="00EE43C6">
        <w:rPr>
          <w:rFonts w:cs="Wingdings"/>
          <w:szCs w:val="22"/>
        </w:rPr>
        <w:t xml:space="preserve">production facility to be established within </w:t>
      </w:r>
      <w:r w:rsidR="008D6140" w:rsidRPr="00EE43C6">
        <w:rPr>
          <w:rFonts w:cs="Wingdings"/>
          <w:szCs w:val="22"/>
        </w:rPr>
        <w:t>the OIZ</w:t>
      </w:r>
      <w:r w:rsidR="00752040" w:rsidRPr="00EE43C6">
        <w:rPr>
          <w:rFonts w:cs="Wingdings"/>
          <w:szCs w:val="22"/>
        </w:rPr>
        <w:t>, it covers mixed industrial wastewater within the scope of the Ro</w:t>
      </w:r>
      <w:r w:rsidR="005D0923" w:rsidRPr="00EE43C6">
        <w:rPr>
          <w:rFonts w:cs="Wingdings"/>
          <w:szCs w:val="22"/>
        </w:rPr>
        <w:t>CWP</w:t>
      </w:r>
      <w:r w:rsidR="00752040" w:rsidRPr="00EE43C6">
        <w:rPr>
          <w:rFonts w:cs="Wingdings"/>
          <w:szCs w:val="22"/>
        </w:rPr>
        <w:t xml:space="preserve"> regulation</w:t>
      </w:r>
      <w:r w:rsidR="00D42E3A" w:rsidRPr="00EE43C6">
        <w:rPr>
          <w:rFonts w:cs="Wingdings"/>
          <w:szCs w:val="22"/>
        </w:rPr>
        <w:t>.</w:t>
      </w:r>
      <w:r w:rsidR="000175D1" w:rsidRPr="00EE43C6">
        <w:rPr>
          <w:rFonts w:cs="Wingdings"/>
          <w:szCs w:val="22"/>
        </w:rPr>
        <w:t xml:space="preserve"> </w:t>
      </w:r>
      <w:r w:rsidR="00F8013F" w:rsidRPr="00EE43C6">
        <w:rPr>
          <w:rFonts w:cs="Wingdings"/>
          <w:szCs w:val="22"/>
        </w:rPr>
        <w:t>However</w:t>
      </w:r>
      <w:r w:rsidR="000175D1" w:rsidRPr="00EE43C6">
        <w:rPr>
          <w:rFonts w:cs="Wingdings"/>
          <w:szCs w:val="22"/>
        </w:rPr>
        <w:t>,</w:t>
      </w:r>
      <w:r w:rsidR="0069161A" w:rsidRPr="00EE43C6">
        <w:rPr>
          <w:rFonts w:cs="Wingdings"/>
          <w:szCs w:val="22"/>
        </w:rPr>
        <w:t xml:space="preserve"> </w:t>
      </w:r>
      <w:r w:rsidR="00752040" w:rsidRPr="00EE43C6">
        <w:rPr>
          <w:rFonts w:cs="Wingdings"/>
          <w:szCs w:val="22"/>
        </w:rPr>
        <w:t>n</w:t>
      </w:r>
      <w:r w:rsidRPr="00EE43C6">
        <w:rPr>
          <w:rFonts w:cs="Wingdings"/>
          <w:szCs w:val="22"/>
        </w:rPr>
        <w:t xml:space="preserve">o industrial wastewater will be generated from the agricultural machinery production </w:t>
      </w:r>
      <w:r w:rsidR="005C7103" w:rsidRPr="00EE43C6">
        <w:rPr>
          <w:rFonts w:cs="Wingdings"/>
          <w:szCs w:val="22"/>
        </w:rPr>
        <w:t>in</w:t>
      </w:r>
      <w:r w:rsidRPr="00EE43C6">
        <w:rPr>
          <w:rFonts w:cs="Wingdings"/>
          <w:szCs w:val="22"/>
        </w:rPr>
        <w:t xml:space="preserve"> the </w:t>
      </w:r>
      <w:r w:rsidR="00CF66FC" w:rsidRPr="00EE43C6">
        <w:rPr>
          <w:rFonts w:cs="Wingdings"/>
          <w:szCs w:val="22"/>
        </w:rPr>
        <w:t>OIZ;</w:t>
      </w:r>
      <w:r w:rsidRPr="00EE43C6">
        <w:rPr>
          <w:rFonts w:cs="Wingdings"/>
          <w:szCs w:val="22"/>
        </w:rPr>
        <w:t xml:space="preserve"> only domestic wastewater will be generated.</w:t>
      </w:r>
      <w:r w:rsidR="00CF66FC" w:rsidRPr="00EE43C6">
        <w:rPr>
          <w:rFonts w:cs="Wingdings"/>
          <w:szCs w:val="22"/>
        </w:rPr>
        <w:t xml:space="preserve"> </w:t>
      </w:r>
      <w:r w:rsidR="005B46BA" w:rsidRPr="00EE43C6">
        <w:rPr>
          <w:rFonts w:cs="Wingdings"/>
          <w:szCs w:val="22"/>
        </w:rPr>
        <w:t xml:space="preserve">Therefore, it is </w:t>
      </w:r>
      <w:r w:rsidR="00C00095" w:rsidRPr="00EE43C6">
        <w:rPr>
          <w:rFonts w:cs="Wingdings"/>
          <w:szCs w:val="22"/>
        </w:rPr>
        <w:t>expected</w:t>
      </w:r>
      <w:r w:rsidR="005B46BA" w:rsidRPr="00EE43C6">
        <w:rPr>
          <w:rFonts w:cs="Wingdings"/>
          <w:szCs w:val="22"/>
        </w:rPr>
        <w:t xml:space="preserve"> that the waste sludge generated as a result of the treatment of wastewater generated by OIZ activities will be non-hazardous.</w:t>
      </w:r>
      <w:r w:rsidR="00C00095" w:rsidRPr="00EE43C6">
        <w:rPr>
          <w:rFonts w:cs="Wingdings"/>
          <w:szCs w:val="22"/>
        </w:rPr>
        <w:t xml:space="preserve"> The concerned waste </w:t>
      </w:r>
      <w:r w:rsidR="00D104EB" w:rsidRPr="00EE43C6">
        <w:rPr>
          <w:rFonts w:cs="Wingdings"/>
          <w:szCs w:val="22"/>
        </w:rPr>
        <w:t>should</w:t>
      </w:r>
      <w:r w:rsidR="00A90025" w:rsidRPr="00EE43C6">
        <w:rPr>
          <w:rFonts w:cs="Wingdings"/>
          <w:szCs w:val="22"/>
        </w:rPr>
        <w:t xml:space="preserve"> be transferred to facilities that have </w:t>
      </w:r>
      <w:r w:rsidR="000011D6" w:rsidRPr="00EE43C6">
        <w:rPr>
          <w:rFonts w:cs="Wingdings"/>
          <w:szCs w:val="22"/>
        </w:rPr>
        <w:t>secured</w:t>
      </w:r>
      <w:r w:rsidR="00A90025" w:rsidRPr="00EE43C6">
        <w:rPr>
          <w:rFonts w:cs="Wingdings"/>
          <w:szCs w:val="22"/>
        </w:rPr>
        <w:t xml:space="preserve"> Waste Incineration and Co-incineration licenses from the M</w:t>
      </w:r>
      <w:r w:rsidR="00A049CB" w:rsidRPr="00EE43C6">
        <w:rPr>
          <w:rFonts w:cs="Wingdings"/>
          <w:szCs w:val="22"/>
        </w:rPr>
        <w:t>oEUCC</w:t>
      </w:r>
      <w:r w:rsidR="00A90025" w:rsidRPr="00EE43C6">
        <w:rPr>
          <w:rFonts w:cs="Wingdings"/>
          <w:szCs w:val="22"/>
        </w:rPr>
        <w:t>.</w:t>
      </w:r>
      <w:r w:rsidR="0012243D">
        <w:rPr>
          <w:rFonts w:cs="Wingdings"/>
          <w:szCs w:val="22"/>
        </w:rPr>
        <w:t xml:space="preserve"> In this context, Sludge Management Plan </w:t>
      </w:r>
      <w:r w:rsidR="00012C6D">
        <w:rPr>
          <w:rFonts w:cs="Wingdings"/>
          <w:szCs w:val="22"/>
        </w:rPr>
        <w:t xml:space="preserve">of the Project </w:t>
      </w:r>
      <w:r w:rsidR="0012243D">
        <w:rPr>
          <w:rFonts w:cs="Wingdings"/>
          <w:szCs w:val="22"/>
        </w:rPr>
        <w:t>will be implemented.</w:t>
      </w:r>
    </w:p>
    <w:p w14:paraId="7CEF0441" w14:textId="1B3DF9B5" w:rsidR="005F1C2F" w:rsidRPr="00EE43C6" w:rsidRDefault="000006EE" w:rsidP="001F438F">
      <w:pPr>
        <w:rPr>
          <w:lang w:eastAsia="en-US"/>
        </w:rPr>
      </w:pPr>
      <w:r w:rsidRPr="00EE43C6">
        <w:rPr>
          <w:lang w:eastAsia="en-US"/>
        </w:rPr>
        <w:t xml:space="preserve">During the operation phase of the OIZ, there </w:t>
      </w:r>
      <w:r w:rsidR="0035409B" w:rsidRPr="00EE43C6">
        <w:rPr>
          <w:lang w:eastAsia="en-US"/>
        </w:rPr>
        <w:t>will be</w:t>
      </w:r>
      <w:r w:rsidRPr="00EE43C6">
        <w:rPr>
          <w:lang w:eastAsia="en-US"/>
        </w:rPr>
        <w:t xml:space="preserve"> waste generation in each facility to be established in the </w:t>
      </w:r>
      <w:r w:rsidR="0048292A" w:rsidRPr="00EE43C6">
        <w:rPr>
          <w:lang w:eastAsia="en-US"/>
        </w:rPr>
        <w:t>TUIOSB</w:t>
      </w:r>
      <w:r w:rsidRPr="00EE43C6">
        <w:rPr>
          <w:lang w:eastAsia="en-US"/>
        </w:rPr>
        <w:t xml:space="preserve"> and </w:t>
      </w:r>
      <w:r w:rsidR="006C76A9" w:rsidRPr="00EE43C6">
        <w:rPr>
          <w:lang w:eastAsia="en-US"/>
        </w:rPr>
        <w:t>its</w:t>
      </w:r>
      <w:r w:rsidRPr="00EE43C6">
        <w:rPr>
          <w:lang w:eastAsia="en-US"/>
        </w:rPr>
        <w:t xml:space="preserve"> </w:t>
      </w:r>
      <w:r w:rsidR="006C76A9" w:rsidRPr="00EE43C6">
        <w:rPr>
          <w:lang w:eastAsia="en-US"/>
        </w:rPr>
        <w:t xml:space="preserve">facility </w:t>
      </w:r>
      <w:r w:rsidRPr="00EE43C6">
        <w:rPr>
          <w:lang w:eastAsia="en-US"/>
        </w:rPr>
        <w:t>parcel</w:t>
      </w:r>
      <w:r w:rsidR="006C76A9" w:rsidRPr="00EE43C6">
        <w:rPr>
          <w:lang w:eastAsia="en-US"/>
        </w:rPr>
        <w:t xml:space="preserve"> area</w:t>
      </w:r>
      <w:r w:rsidRPr="00EE43C6">
        <w:rPr>
          <w:lang w:eastAsia="en-US"/>
        </w:rPr>
        <w:t xml:space="preserve">s. </w:t>
      </w:r>
      <w:r w:rsidR="00A70EC3" w:rsidRPr="00EE43C6">
        <w:rPr>
          <w:lang w:eastAsia="en-US"/>
        </w:rPr>
        <w:t xml:space="preserve">As a result, </w:t>
      </w:r>
      <w:r w:rsidR="007045DE" w:rsidRPr="00EE43C6">
        <w:rPr>
          <w:lang w:eastAsia="en-US"/>
        </w:rPr>
        <w:t xml:space="preserve">it should be ensured that </w:t>
      </w:r>
      <w:r w:rsidR="00A70EC3" w:rsidRPr="00EE43C6">
        <w:rPr>
          <w:lang w:eastAsia="en-US"/>
        </w:rPr>
        <w:t xml:space="preserve">all waste types in the OIZ </w:t>
      </w:r>
      <w:r w:rsidR="007045DE" w:rsidRPr="00EE43C6">
        <w:rPr>
          <w:lang w:eastAsia="en-US"/>
        </w:rPr>
        <w:t>will</w:t>
      </w:r>
      <w:r w:rsidR="00A70EC3" w:rsidRPr="00EE43C6">
        <w:rPr>
          <w:lang w:eastAsia="en-US"/>
        </w:rPr>
        <w:t xml:space="preserve"> be managed </w:t>
      </w:r>
      <w:r w:rsidR="007045DE" w:rsidRPr="00EE43C6">
        <w:rPr>
          <w:lang w:eastAsia="en-US"/>
        </w:rPr>
        <w:t xml:space="preserve">in accordance with </w:t>
      </w:r>
      <w:r w:rsidR="0056594F" w:rsidRPr="00EE43C6">
        <w:rPr>
          <w:lang w:eastAsia="en-US"/>
        </w:rPr>
        <w:t xml:space="preserve">the concerned </w:t>
      </w:r>
      <w:r w:rsidR="00A70EC3" w:rsidRPr="00EE43C6">
        <w:rPr>
          <w:lang w:eastAsia="en-US"/>
        </w:rPr>
        <w:t>national regulations.</w:t>
      </w:r>
      <w:r w:rsidR="001C55EF" w:rsidRPr="00EE43C6">
        <w:rPr>
          <w:lang w:eastAsia="en-US"/>
        </w:rPr>
        <w:t xml:space="preserve"> Hence, considering the waste management in the operation phase of the OIZ, the waste impact significance in the AoI of the Project is determined as </w:t>
      </w:r>
      <w:r w:rsidR="00B05D4C" w:rsidRPr="00EE43C6">
        <w:rPr>
          <w:lang w:eastAsia="en-US"/>
        </w:rPr>
        <w:t>high</w:t>
      </w:r>
      <w:r w:rsidR="001C55EF" w:rsidRPr="00EE43C6">
        <w:rPr>
          <w:lang w:eastAsia="en-US"/>
        </w:rPr>
        <w:t>.</w:t>
      </w:r>
    </w:p>
    <w:p w14:paraId="288947BC" w14:textId="77777777" w:rsidR="004339AC" w:rsidRPr="00EE43C6" w:rsidRDefault="004339AC" w:rsidP="006A3316">
      <w:pPr>
        <w:pStyle w:val="Heading2"/>
        <w:ind w:hanging="718"/>
        <w:rPr>
          <w:lang w:val="en-GB"/>
        </w:rPr>
      </w:pPr>
      <w:bookmarkStart w:id="567" w:name="_Toc82779453"/>
      <w:bookmarkStart w:id="568" w:name="_Toc82704825"/>
      <w:bookmarkStart w:id="569" w:name="_Toc82779452"/>
      <w:bookmarkStart w:id="570" w:name="_Toc82704824"/>
      <w:bookmarkStart w:id="571" w:name="_Toc80633567"/>
      <w:bookmarkStart w:id="572" w:name="_Toc67676592"/>
      <w:bookmarkStart w:id="573" w:name="_Toc120016954"/>
      <w:bookmarkStart w:id="574" w:name="_Toc120004732"/>
      <w:bookmarkStart w:id="575" w:name="_Toc141445443"/>
      <w:bookmarkEnd w:id="567"/>
      <w:bookmarkEnd w:id="568"/>
      <w:bookmarkEnd w:id="569"/>
      <w:bookmarkEnd w:id="570"/>
      <w:r w:rsidRPr="00EE43C6">
        <w:rPr>
          <w:lang w:val="en-GB"/>
        </w:rPr>
        <w:t>Noise</w:t>
      </w:r>
      <w:bookmarkEnd w:id="571"/>
      <w:bookmarkEnd w:id="572"/>
      <w:bookmarkEnd w:id="573"/>
      <w:bookmarkEnd w:id="574"/>
      <w:bookmarkEnd w:id="575"/>
    </w:p>
    <w:p w14:paraId="3591C1ED" w14:textId="77777777" w:rsidR="004339AC" w:rsidRPr="00EE43C6" w:rsidRDefault="004339AC" w:rsidP="004339AC">
      <w:pPr>
        <w:pStyle w:val="Heading3"/>
        <w:spacing w:after="240"/>
        <w:rPr>
          <w:rFonts w:eastAsia="Arial TUR"/>
          <w:noProof w:val="0"/>
        </w:rPr>
      </w:pPr>
      <w:bookmarkStart w:id="576" w:name="_Toc80633568"/>
      <w:bookmarkStart w:id="577" w:name="_Toc67676593"/>
      <w:bookmarkStart w:id="578" w:name="_Toc120016955"/>
      <w:bookmarkStart w:id="579" w:name="_Toc120004733"/>
      <w:bookmarkStart w:id="580" w:name="_Toc141445444"/>
      <w:r w:rsidRPr="00EE43C6">
        <w:rPr>
          <w:rFonts w:eastAsia="Arial TUR"/>
          <w:noProof w:val="0"/>
        </w:rPr>
        <w:t>Construction Phase</w:t>
      </w:r>
      <w:bookmarkEnd w:id="576"/>
      <w:bookmarkEnd w:id="577"/>
      <w:bookmarkEnd w:id="578"/>
      <w:bookmarkEnd w:id="579"/>
      <w:bookmarkEnd w:id="580"/>
      <w:r w:rsidRPr="00EE43C6">
        <w:rPr>
          <w:rFonts w:eastAsia="Arial TUR"/>
          <w:noProof w:val="0"/>
        </w:rPr>
        <w:t xml:space="preserve"> </w:t>
      </w:r>
    </w:p>
    <w:p w14:paraId="26DD9DAA" w14:textId="06995387" w:rsidR="007108F3" w:rsidRPr="00EE43C6" w:rsidRDefault="00C80BDD" w:rsidP="006A3316">
      <w:pPr>
        <w:rPr>
          <w:rFonts w:eastAsia="Arial TUR"/>
          <w:lang w:eastAsia="en-US"/>
        </w:rPr>
      </w:pPr>
      <w:bookmarkStart w:id="581" w:name="_Toc82779456"/>
      <w:bookmarkStart w:id="582" w:name="_Toc80633569"/>
      <w:bookmarkEnd w:id="581"/>
      <w:r w:rsidRPr="00EE43C6">
        <w:rPr>
          <w:rFonts w:eastAsia="Arial TUR"/>
          <w:lang w:eastAsia="en-US"/>
        </w:rPr>
        <w:t xml:space="preserve">Within the scope of the Project, there will be noise generation from the construction </w:t>
      </w:r>
      <w:r w:rsidR="007017FA" w:rsidRPr="00EE43C6">
        <w:rPr>
          <w:rFonts w:eastAsia="Arial TUR"/>
          <w:lang w:eastAsia="en-US"/>
        </w:rPr>
        <w:t>vehicle</w:t>
      </w:r>
      <w:r w:rsidR="00DC0043" w:rsidRPr="00EE43C6">
        <w:rPr>
          <w:rFonts w:eastAsia="Arial TUR"/>
          <w:lang w:eastAsia="en-US"/>
        </w:rPr>
        <w:t>s</w:t>
      </w:r>
      <w:r w:rsidRPr="00EE43C6">
        <w:rPr>
          <w:rFonts w:eastAsia="Arial TUR"/>
          <w:lang w:eastAsia="en-US"/>
        </w:rPr>
        <w:t xml:space="preserve"> </w:t>
      </w:r>
      <w:r w:rsidR="004628F1" w:rsidRPr="00EE43C6">
        <w:rPr>
          <w:rFonts w:eastAsia="Arial TUR"/>
          <w:lang w:eastAsia="en-US"/>
        </w:rPr>
        <w:t xml:space="preserve">and equipment </w:t>
      </w:r>
      <w:r w:rsidRPr="00EE43C6">
        <w:rPr>
          <w:rFonts w:eastAsia="Arial TUR"/>
          <w:lang w:eastAsia="en-US"/>
        </w:rPr>
        <w:t>to be used in ground levelling and excavation works.</w:t>
      </w:r>
      <w:r w:rsidR="002F65F7" w:rsidRPr="00EE43C6">
        <w:rPr>
          <w:rFonts w:eastAsia="Arial TUR"/>
          <w:lang w:eastAsia="en-US"/>
        </w:rPr>
        <w:t xml:space="preserve"> </w:t>
      </w:r>
      <w:r w:rsidR="00924F1A" w:rsidRPr="00EE43C6">
        <w:rPr>
          <w:rFonts w:eastAsia="Arial TUR"/>
          <w:lang w:eastAsia="en-US"/>
        </w:rPr>
        <w:t>Accordingly</w:t>
      </w:r>
      <w:r w:rsidR="001C1A90" w:rsidRPr="00EE43C6">
        <w:rPr>
          <w:rFonts w:eastAsia="Arial TUR"/>
          <w:lang w:eastAsia="en-US"/>
        </w:rPr>
        <w:t xml:space="preserve">, </w:t>
      </w:r>
      <w:r w:rsidR="009702AF" w:rsidRPr="00EE43C6">
        <w:rPr>
          <w:rFonts w:eastAsia="Arial TUR"/>
          <w:lang w:eastAsia="en-US"/>
        </w:rPr>
        <w:t>e</w:t>
      </w:r>
      <w:r w:rsidR="008B122C" w:rsidRPr="00EE43C6">
        <w:rPr>
          <w:rFonts w:eastAsia="Arial TUR"/>
          <w:lang w:eastAsia="en-US"/>
        </w:rPr>
        <w:t xml:space="preserve">nvironmental </w:t>
      </w:r>
      <w:r w:rsidR="002913F4" w:rsidRPr="00EE43C6">
        <w:rPr>
          <w:rFonts w:eastAsia="Arial TUR"/>
          <w:lang w:eastAsia="en-US"/>
        </w:rPr>
        <w:t>n</w:t>
      </w:r>
      <w:r w:rsidR="008B122C" w:rsidRPr="00EE43C6">
        <w:rPr>
          <w:rFonts w:eastAsia="Arial TUR"/>
          <w:lang w:eastAsia="en-US"/>
        </w:rPr>
        <w:t xml:space="preserve">oise </w:t>
      </w:r>
      <w:r w:rsidR="002913F4" w:rsidRPr="00EE43C6">
        <w:rPr>
          <w:rFonts w:eastAsia="Arial TUR"/>
          <w:lang w:eastAsia="en-US"/>
        </w:rPr>
        <w:t>l</w:t>
      </w:r>
      <w:r w:rsidR="008B122C" w:rsidRPr="00EE43C6">
        <w:rPr>
          <w:rFonts w:eastAsia="Arial TUR"/>
          <w:lang w:eastAsia="en-US"/>
        </w:rPr>
        <w:t xml:space="preserve">imit </w:t>
      </w:r>
      <w:r w:rsidR="002913F4" w:rsidRPr="00EE43C6">
        <w:rPr>
          <w:rFonts w:eastAsia="Arial TUR"/>
          <w:lang w:eastAsia="en-US"/>
        </w:rPr>
        <w:t>v</w:t>
      </w:r>
      <w:r w:rsidR="008B122C" w:rsidRPr="00EE43C6">
        <w:rPr>
          <w:rFonts w:eastAsia="Arial TUR"/>
          <w:lang w:eastAsia="en-US"/>
        </w:rPr>
        <w:t xml:space="preserve">alues for the construction site </w:t>
      </w:r>
      <w:r w:rsidR="00060C37" w:rsidRPr="00EE43C6">
        <w:rPr>
          <w:rFonts w:eastAsia="Arial TUR"/>
          <w:lang w:eastAsia="en-US"/>
        </w:rPr>
        <w:t xml:space="preserve">that </w:t>
      </w:r>
      <w:r w:rsidR="007C46E4" w:rsidRPr="00EE43C6">
        <w:rPr>
          <w:rFonts w:eastAsia="Arial TUR"/>
          <w:lang w:eastAsia="en-US"/>
        </w:rPr>
        <w:t>are</w:t>
      </w:r>
      <w:r w:rsidR="00735FAA" w:rsidRPr="00EE43C6">
        <w:rPr>
          <w:rFonts w:eastAsia="Arial TUR"/>
          <w:lang w:eastAsia="en-US"/>
        </w:rPr>
        <w:t xml:space="preserve"> </w:t>
      </w:r>
      <w:r w:rsidR="00607DC0" w:rsidRPr="00EE43C6">
        <w:rPr>
          <w:rFonts w:eastAsia="Arial TUR"/>
          <w:lang w:eastAsia="en-US"/>
        </w:rPr>
        <w:t>specified</w:t>
      </w:r>
      <w:r w:rsidR="008B122C" w:rsidRPr="00EE43C6">
        <w:rPr>
          <w:rFonts w:eastAsia="Arial TUR"/>
          <w:lang w:eastAsia="en-US"/>
        </w:rPr>
        <w:t xml:space="preserve"> in </w:t>
      </w:r>
      <w:r w:rsidR="001C1A90" w:rsidRPr="00EE43C6">
        <w:rPr>
          <w:rFonts w:eastAsia="Arial TUR"/>
          <w:lang w:eastAsia="en-US"/>
        </w:rPr>
        <w:t xml:space="preserve">the national regulation named </w:t>
      </w:r>
      <w:r w:rsidR="008B122C" w:rsidRPr="00EE43C6">
        <w:rPr>
          <w:rFonts w:eastAsia="Arial TUR"/>
          <w:lang w:eastAsia="en-US"/>
        </w:rPr>
        <w:t xml:space="preserve">the Regulation on </w:t>
      </w:r>
      <w:r w:rsidR="00A926D7" w:rsidRPr="00EE43C6">
        <w:rPr>
          <w:rFonts w:eastAsia="Arial TUR"/>
          <w:lang w:eastAsia="en-US"/>
        </w:rPr>
        <w:t>Control</w:t>
      </w:r>
      <w:r w:rsidR="008B122C" w:rsidRPr="00EE43C6">
        <w:rPr>
          <w:rFonts w:eastAsia="Arial TUR"/>
          <w:lang w:eastAsia="en-US"/>
        </w:rPr>
        <w:t xml:space="preserve"> of </w:t>
      </w:r>
      <w:r w:rsidR="00A926D7" w:rsidRPr="00EE43C6">
        <w:rPr>
          <w:rFonts w:eastAsia="Arial TUR"/>
          <w:lang w:eastAsia="en-US"/>
        </w:rPr>
        <w:t xml:space="preserve">Ambient </w:t>
      </w:r>
      <w:r w:rsidR="008B122C" w:rsidRPr="00EE43C6">
        <w:rPr>
          <w:rFonts w:eastAsia="Arial TUR"/>
          <w:lang w:eastAsia="en-US"/>
        </w:rPr>
        <w:t xml:space="preserve">Noise </w:t>
      </w:r>
      <w:r w:rsidR="00170E8A" w:rsidRPr="00EE43C6">
        <w:rPr>
          <w:rFonts w:eastAsia="Arial TUR"/>
          <w:lang w:eastAsia="en-US"/>
        </w:rPr>
        <w:t>(Ro</w:t>
      </w:r>
      <w:r w:rsidR="005D0A90" w:rsidRPr="00EE43C6">
        <w:rPr>
          <w:rFonts w:eastAsia="Arial TUR"/>
          <w:lang w:eastAsia="en-US"/>
        </w:rPr>
        <w:t>C</w:t>
      </w:r>
      <w:r w:rsidR="00170E8A" w:rsidRPr="00EE43C6">
        <w:rPr>
          <w:rFonts w:eastAsia="Arial TUR"/>
          <w:lang w:eastAsia="en-US"/>
        </w:rPr>
        <w:t>AN)</w:t>
      </w:r>
      <w:r w:rsidR="00924F1A" w:rsidRPr="00EE43C6">
        <w:rPr>
          <w:rFonts w:eastAsia="Arial TUR"/>
          <w:lang w:eastAsia="en-US"/>
        </w:rPr>
        <w:t xml:space="preserve"> </w:t>
      </w:r>
      <w:r w:rsidR="000F73B3" w:rsidRPr="00EE43C6">
        <w:rPr>
          <w:rFonts w:eastAsia="Arial TUR"/>
          <w:lang w:eastAsia="en-US"/>
        </w:rPr>
        <w:t xml:space="preserve">and international </w:t>
      </w:r>
      <w:r w:rsidR="008A71DD" w:rsidRPr="00EE43C6">
        <w:rPr>
          <w:rFonts w:eastAsia="Arial TUR"/>
          <w:lang w:eastAsia="en-US"/>
        </w:rPr>
        <w:t xml:space="preserve">regulation as </w:t>
      </w:r>
      <w:r w:rsidR="00E50822" w:rsidRPr="00EE43C6">
        <w:rPr>
          <w:rFonts w:eastAsia="Arial TUR"/>
          <w:lang w:eastAsia="en-US"/>
        </w:rPr>
        <w:t xml:space="preserve">Noise Management of </w:t>
      </w:r>
      <w:r w:rsidR="00A610DE" w:rsidRPr="00EE43C6">
        <w:rPr>
          <w:rFonts w:eastAsia="Arial TUR"/>
          <w:lang w:eastAsia="en-US"/>
        </w:rPr>
        <w:t xml:space="preserve">IFC </w:t>
      </w:r>
      <w:r w:rsidR="009343B8" w:rsidRPr="00EE43C6">
        <w:rPr>
          <w:rFonts w:eastAsia="Arial TUR"/>
          <w:lang w:eastAsia="en-US"/>
        </w:rPr>
        <w:t xml:space="preserve">General </w:t>
      </w:r>
      <w:r w:rsidR="00A610DE" w:rsidRPr="00EE43C6">
        <w:rPr>
          <w:rFonts w:eastAsia="Arial TUR"/>
          <w:lang w:eastAsia="en-US"/>
        </w:rPr>
        <w:t>EHS</w:t>
      </w:r>
      <w:r w:rsidR="006F087B" w:rsidRPr="00EE43C6">
        <w:rPr>
          <w:rFonts w:eastAsia="Arial TUR"/>
          <w:lang w:eastAsia="en-US"/>
        </w:rPr>
        <w:t xml:space="preserve"> Guidelines</w:t>
      </w:r>
      <w:r w:rsidR="000F73B3" w:rsidRPr="00EE43C6">
        <w:rPr>
          <w:rFonts w:eastAsia="Arial TUR"/>
          <w:lang w:eastAsia="en-US"/>
        </w:rPr>
        <w:t xml:space="preserve"> </w:t>
      </w:r>
      <w:r w:rsidR="008B122C" w:rsidRPr="00EE43C6">
        <w:rPr>
          <w:rFonts w:eastAsia="Arial TUR"/>
          <w:lang w:eastAsia="en-US"/>
        </w:rPr>
        <w:t>are given in</w:t>
      </w:r>
      <w:r w:rsidR="00924F1A" w:rsidRPr="00EE43C6">
        <w:rPr>
          <w:rFonts w:eastAsia="Arial TUR"/>
          <w:lang w:eastAsia="en-US"/>
        </w:rPr>
        <w:t xml:space="preserve"> </w:t>
      </w:r>
      <w:r w:rsidR="00924F1A" w:rsidRPr="00EE43C6">
        <w:rPr>
          <w:rFonts w:eastAsia="Arial TUR"/>
          <w:lang w:eastAsia="en-US"/>
        </w:rPr>
        <w:fldChar w:fldCharType="begin"/>
      </w:r>
      <w:r w:rsidR="00924F1A" w:rsidRPr="00EE43C6">
        <w:rPr>
          <w:rFonts w:eastAsia="Arial TUR"/>
          <w:lang w:eastAsia="en-US"/>
        </w:rPr>
        <w:instrText xml:space="preserve"> REF _Ref127982070 \h </w:instrText>
      </w:r>
      <w:r w:rsidR="00924F1A" w:rsidRPr="00EE43C6">
        <w:rPr>
          <w:rFonts w:eastAsia="Arial TUR"/>
          <w:lang w:eastAsia="en-US"/>
        </w:rPr>
      </w:r>
      <w:r w:rsidR="00924F1A" w:rsidRPr="00EE43C6">
        <w:rPr>
          <w:rFonts w:eastAsia="Arial TUR"/>
          <w:lang w:eastAsia="en-US"/>
        </w:rPr>
        <w:fldChar w:fldCharType="separate"/>
      </w:r>
      <w:r w:rsidR="00D15614" w:rsidRPr="00EE43C6">
        <w:t xml:space="preserve">Table </w:t>
      </w:r>
      <w:r w:rsidR="00D15614">
        <w:t>6</w:t>
      </w:r>
      <w:r w:rsidR="00D15614">
        <w:noBreakHyphen/>
        <w:t>29</w:t>
      </w:r>
      <w:r w:rsidR="00924F1A" w:rsidRPr="00EE43C6">
        <w:rPr>
          <w:rFonts w:eastAsia="Arial TUR"/>
          <w:lang w:eastAsia="en-US"/>
        </w:rPr>
        <w:fldChar w:fldCharType="end"/>
      </w:r>
      <w:r w:rsidR="00A07A75" w:rsidRPr="00EE43C6">
        <w:rPr>
          <w:rFonts w:eastAsia="Arial TUR"/>
          <w:lang w:eastAsia="en-US"/>
        </w:rPr>
        <w:t>.</w:t>
      </w:r>
      <w:r w:rsidR="00FE36D7" w:rsidRPr="00EE43C6">
        <w:rPr>
          <w:rFonts w:eastAsia="Arial TUR"/>
          <w:lang w:eastAsia="en-US"/>
        </w:rPr>
        <w:t xml:space="preserve"> </w:t>
      </w:r>
      <w:r w:rsidR="00A328EC" w:rsidRPr="00EE43C6">
        <w:rPr>
          <w:rFonts w:eastAsia="Arial TUR"/>
          <w:lang w:eastAsia="en-US"/>
        </w:rPr>
        <w:t>Additionally</w:t>
      </w:r>
      <w:r w:rsidR="00FA5EE4" w:rsidRPr="00EE43C6">
        <w:rPr>
          <w:rFonts w:eastAsia="Arial TUR"/>
          <w:lang w:eastAsia="en-US"/>
        </w:rPr>
        <w:t>, the concerned regulation limits the permitted time period for outdoor construction activities in residential areas to between 10:00 and 22:00.</w:t>
      </w:r>
    </w:p>
    <w:p w14:paraId="0D917B7C" w14:textId="38E5309A" w:rsidR="006A3316" w:rsidRPr="00EE43C6" w:rsidRDefault="00013B6A" w:rsidP="00882EFF">
      <w:pPr>
        <w:spacing w:after="360"/>
        <w:rPr>
          <w:b/>
          <w:bCs/>
          <w:color w:val="4F81BD"/>
          <w:sz w:val="20"/>
          <w:szCs w:val="20"/>
          <w:lang w:eastAsia="en-US"/>
        </w:rPr>
      </w:pPr>
      <w:r w:rsidRPr="00EE43C6">
        <w:rPr>
          <w:rFonts w:eastAsia="Arial TUR"/>
          <w:lang w:eastAsia="en-US"/>
        </w:rPr>
        <w:t xml:space="preserve">The list of </w:t>
      </w:r>
      <w:r w:rsidR="007017FA" w:rsidRPr="00EE43C6">
        <w:rPr>
          <w:rFonts w:eastAsia="Arial TUR"/>
          <w:lang w:eastAsia="en-US"/>
        </w:rPr>
        <w:t>vehicles</w:t>
      </w:r>
      <w:r w:rsidRPr="00EE43C6">
        <w:rPr>
          <w:rFonts w:eastAsia="Arial TUR"/>
          <w:lang w:eastAsia="en-US"/>
        </w:rPr>
        <w:t xml:space="preserve"> and equipment to be used in the ground levelling and excavation works in the construction phase of the OIZ can be seen in</w:t>
      </w:r>
      <w:r w:rsidR="006A3316" w:rsidRPr="00EE43C6">
        <w:rPr>
          <w:rFonts w:eastAsia="Arial TUR"/>
          <w:lang w:eastAsia="en-US"/>
        </w:rPr>
        <w:t xml:space="preserve"> </w:t>
      </w:r>
      <w:r w:rsidR="006879B5" w:rsidRPr="00EE43C6">
        <w:rPr>
          <w:rFonts w:eastAsia="Arial TUR"/>
          <w:lang w:eastAsia="en-US"/>
        </w:rPr>
        <w:fldChar w:fldCharType="begin"/>
      </w:r>
      <w:r w:rsidR="006879B5" w:rsidRPr="00EE43C6">
        <w:rPr>
          <w:rFonts w:eastAsia="Arial TUR"/>
          <w:lang w:eastAsia="en-US"/>
        </w:rPr>
        <w:instrText xml:space="preserve"> REF _Ref127976015 \h </w:instrText>
      </w:r>
      <w:r w:rsidR="006879B5" w:rsidRPr="00EE43C6">
        <w:rPr>
          <w:rFonts w:eastAsia="Arial TUR"/>
          <w:lang w:eastAsia="en-US"/>
        </w:rPr>
      </w:r>
      <w:r w:rsidR="006879B5" w:rsidRPr="00EE43C6">
        <w:rPr>
          <w:rFonts w:eastAsia="Arial TUR"/>
          <w:lang w:eastAsia="en-US"/>
        </w:rPr>
        <w:fldChar w:fldCharType="separate"/>
      </w:r>
      <w:r w:rsidR="00DA3EF8" w:rsidRPr="00EE43C6">
        <w:t>Table 6</w:t>
      </w:r>
      <w:r w:rsidR="00DA3EF8" w:rsidRPr="00EE43C6">
        <w:noBreakHyphen/>
        <w:t>21</w:t>
      </w:r>
      <w:r w:rsidR="006879B5" w:rsidRPr="00EE43C6">
        <w:rPr>
          <w:rFonts w:eastAsia="Arial TUR"/>
          <w:lang w:eastAsia="en-US"/>
        </w:rPr>
        <w:fldChar w:fldCharType="end"/>
      </w:r>
      <w:r w:rsidR="006A3316" w:rsidRPr="00EE43C6">
        <w:rPr>
          <w:rFonts w:eastAsia="Arial TUR"/>
          <w:lang w:eastAsia="en-US"/>
        </w:rPr>
        <w:fldChar w:fldCharType="begin"/>
      </w:r>
      <w:r w:rsidR="006A3316" w:rsidRPr="00EE43C6">
        <w:rPr>
          <w:rFonts w:eastAsia="Arial TUR"/>
          <w:lang w:eastAsia="en-US"/>
        </w:rPr>
        <w:instrText xml:space="preserve"> REF _Ref126336909 \h </w:instrText>
      </w:r>
      <w:r w:rsidR="006A3316" w:rsidRPr="00EE43C6">
        <w:rPr>
          <w:rFonts w:eastAsia="Arial TUR"/>
          <w:lang w:eastAsia="en-US"/>
        </w:rPr>
      </w:r>
      <w:r w:rsidR="006A3316" w:rsidRPr="00EE43C6">
        <w:rPr>
          <w:rFonts w:eastAsia="Arial TUR"/>
          <w:lang w:eastAsia="en-US"/>
        </w:rPr>
        <w:fldChar w:fldCharType="end"/>
      </w:r>
      <w:r w:rsidRPr="00EE43C6">
        <w:rPr>
          <w:rFonts w:eastAsia="Arial TUR"/>
          <w:lang w:eastAsia="en-US"/>
        </w:rPr>
        <w:t>.</w:t>
      </w:r>
      <w:bookmarkStart w:id="583" w:name="_Ref126159756"/>
    </w:p>
    <w:p w14:paraId="3C7B69D3" w14:textId="7D81E6DA" w:rsidR="00013B6A" w:rsidRPr="00EE43C6" w:rsidRDefault="00013B6A" w:rsidP="00013B6A">
      <w:pPr>
        <w:pStyle w:val="Caption"/>
        <w:rPr>
          <w:rFonts w:eastAsia="Arial TUR"/>
          <w:noProof w:val="0"/>
        </w:rPr>
      </w:pPr>
      <w:bookmarkStart w:id="584" w:name="_Ref127976015"/>
      <w:bookmarkStart w:id="585" w:name="_Ref126336909"/>
      <w:bookmarkStart w:id="586" w:name="_Toc141445530"/>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21</w:t>
      </w:r>
      <w:r w:rsidR="006D2DE8">
        <w:rPr>
          <w:noProof w:val="0"/>
        </w:rPr>
        <w:fldChar w:fldCharType="end"/>
      </w:r>
      <w:bookmarkEnd w:id="583"/>
      <w:bookmarkEnd w:id="584"/>
      <w:bookmarkEnd w:id="585"/>
      <w:r w:rsidRPr="00EE43C6">
        <w:rPr>
          <w:noProof w:val="0"/>
        </w:rPr>
        <w:t xml:space="preserve">. </w:t>
      </w:r>
      <w:r w:rsidRPr="00EE43C6">
        <w:rPr>
          <w:rFonts w:eastAsia="Arial TUR"/>
          <w:b w:val="0"/>
          <w:bCs w:val="0"/>
          <w:noProof w:val="0"/>
          <w:color w:val="auto"/>
        </w:rPr>
        <w:t xml:space="preserve">The List of </w:t>
      </w:r>
      <w:r w:rsidR="00DC0043" w:rsidRPr="00EE43C6">
        <w:rPr>
          <w:rFonts w:eastAsia="Arial TUR"/>
          <w:b w:val="0"/>
          <w:bCs w:val="0"/>
          <w:noProof w:val="0"/>
          <w:color w:val="auto"/>
        </w:rPr>
        <w:t>Vehicles</w:t>
      </w:r>
      <w:r w:rsidRPr="00EE43C6">
        <w:rPr>
          <w:rFonts w:eastAsia="Arial TUR"/>
          <w:b w:val="0"/>
          <w:bCs w:val="0"/>
          <w:noProof w:val="0"/>
          <w:color w:val="auto"/>
        </w:rPr>
        <w:t xml:space="preserve"> and Equipment to be used in the Ground levelling and Excavation Works</w:t>
      </w:r>
      <w:bookmarkEnd w:id="586"/>
    </w:p>
    <w:tbl>
      <w:tblPr>
        <w:tblStyle w:val="TableGrid"/>
        <w:tblW w:w="5000" w:type="pct"/>
        <w:jc w:val="center"/>
        <w:tblLook w:val="04A0" w:firstRow="1" w:lastRow="0" w:firstColumn="1" w:lastColumn="0" w:noHBand="0" w:noVBand="1"/>
      </w:tblPr>
      <w:tblGrid>
        <w:gridCol w:w="5031"/>
        <w:gridCol w:w="4033"/>
      </w:tblGrid>
      <w:tr w:rsidR="00013B6A" w:rsidRPr="00EE43C6" w14:paraId="05E9CECB" w14:textId="77777777" w:rsidTr="006A3316">
        <w:trPr>
          <w:trHeight w:val="284"/>
          <w:tblHeader/>
          <w:jc w:val="center"/>
        </w:trPr>
        <w:tc>
          <w:tcPr>
            <w:tcW w:w="2775" w:type="pct"/>
            <w:shd w:val="clear" w:color="auto" w:fill="4F81BD"/>
            <w:vAlign w:val="center"/>
          </w:tcPr>
          <w:p w14:paraId="672F4E18" w14:textId="58E319DA" w:rsidR="00013B6A" w:rsidRPr="00EE43C6" w:rsidRDefault="004F0B70"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Noise Sources</w:t>
            </w:r>
          </w:p>
        </w:tc>
        <w:tc>
          <w:tcPr>
            <w:tcW w:w="2225" w:type="pct"/>
            <w:shd w:val="clear" w:color="auto" w:fill="4F81BD"/>
            <w:vAlign w:val="center"/>
          </w:tcPr>
          <w:p w14:paraId="1CD3D6F2" w14:textId="5F032AD4" w:rsidR="00013B6A" w:rsidRPr="00EE43C6" w:rsidRDefault="004F0B70"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Number</w:t>
            </w:r>
          </w:p>
        </w:tc>
      </w:tr>
      <w:tr w:rsidR="00013B6A" w:rsidRPr="00EE43C6" w14:paraId="18EE1B4B" w14:textId="77777777" w:rsidTr="006A3316">
        <w:trPr>
          <w:trHeight w:val="284"/>
          <w:jc w:val="center"/>
        </w:trPr>
        <w:tc>
          <w:tcPr>
            <w:tcW w:w="2775" w:type="pct"/>
            <w:vAlign w:val="center"/>
          </w:tcPr>
          <w:p w14:paraId="75AF0328" w14:textId="23B4948A" w:rsidR="00013B6A" w:rsidRPr="00EE43C6" w:rsidRDefault="00DD1015" w:rsidP="00B625EB">
            <w:pPr>
              <w:spacing w:before="0" w:after="0" w:line="240" w:lineRule="auto"/>
              <w:jc w:val="center"/>
              <w:rPr>
                <w:rFonts w:eastAsia="Arial TUR"/>
                <w:sz w:val="18"/>
                <w:szCs w:val="18"/>
                <w:lang w:eastAsia="en-US"/>
              </w:rPr>
            </w:pPr>
            <w:r w:rsidRPr="00EE43C6">
              <w:rPr>
                <w:rFonts w:eastAsia="Arial TUR"/>
                <w:sz w:val="18"/>
                <w:szCs w:val="18"/>
                <w:lang w:eastAsia="en-US"/>
              </w:rPr>
              <w:t>Excavator</w:t>
            </w:r>
          </w:p>
        </w:tc>
        <w:tc>
          <w:tcPr>
            <w:tcW w:w="2225" w:type="pct"/>
            <w:vAlign w:val="center"/>
          </w:tcPr>
          <w:p w14:paraId="56190553" w14:textId="34FC1B3C" w:rsidR="00013B6A" w:rsidRPr="00EE43C6" w:rsidRDefault="00DD1015" w:rsidP="00B625EB">
            <w:pPr>
              <w:spacing w:before="0" w:after="0" w:line="240" w:lineRule="auto"/>
              <w:jc w:val="center"/>
              <w:rPr>
                <w:rFonts w:eastAsia="Arial TUR"/>
                <w:sz w:val="18"/>
                <w:szCs w:val="18"/>
                <w:lang w:eastAsia="en-US"/>
              </w:rPr>
            </w:pPr>
            <w:r w:rsidRPr="00EE43C6">
              <w:rPr>
                <w:rFonts w:eastAsia="Arial TUR"/>
                <w:sz w:val="18"/>
                <w:szCs w:val="18"/>
                <w:lang w:eastAsia="en-US"/>
              </w:rPr>
              <w:t>6</w:t>
            </w:r>
          </w:p>
        </w:tc>
      </w:tr>
      <w:tr w:rsidR="00013B6A" w:rsidRPr="00EE43C6" w14:paraId="0C757360" w14:textId="77777777" w:rsidTr="006A3316">
        <w:trPr>
          <w:trHeight w:val="284"/>
          <w:jc w:val="center"/>
        </w:trPr>
        <w:tc>
          <w:tcPr>
            <w:tcW w:w="2775" w:type="pct"/>
            <w:vAlign w:val="center"/>
          </w:tcPr>
          <w:p w14:paraId="0199D36F" w14:textId="39FC255F" w:rsidR="00013B6A" w:rsidRPr="00EE43C6" w:rsidRDefault="00DD1015" w:rsidP="00B625EB">
            <w:pPr>
              <w:spacing w:before="0" w:after="0" w:line="240" w:lineRule="auto"/>
              <w:jc w:val="center"/>
              <w:rPr>
                <w:rFonts w:eastAsia="Arial TUR"/>
                <w:sz w:val="18"/>
                <w:szCs w:val="18"/>
                <w:lang w:eastAsia="en-US"/>
              </w:rPr>
            </w:pPr>
            <w:r w:rsidRPr="00EE43C6">
              <w:rPr>
                <w:rFonts w:eastAsia="Arial TUR"/>
                <w:sz w:val="18"/>
                <w:szCs w:val="18"/>
                <w:lang w:eastAsia="en-US"/>
              </w:rPr>
              <w:t>Cylinder</w:t>
            </w:r>
          </w:p>
        </w:tc>
        <w:tc>
          <w:tcPr>
            <w:tcW w:w="2225" w:type="pct"/>
            <w:vAlign w:val="center"/>
          </w:tcPr>
          <w:p w14:paraId="0550EBDF" w14:textId="4240B791" w:rsidR="00013B6A" w:rsidRPr="00EE43C6" w:rsidRDefault="00DD1015" w:rsidP="00B625EB">
            <w:pPr>
              <w:spacing w:before="0" w:after="0" w:line="240" w:lineRule="auto"/>
              <w:jc w:val="center"/>
              <w:rPr>
                <w:rFonts w:eastAsia="Arial TUR"/>
                <w:sz w:val="18"/>
                <w:szCs w:val="18"/>
                <w:lang w:eastAsia="en-US"/>
              </w:rPr>
            </w:pPr>
            <w:r w:rsidRPr="00EE43C6">
              <w:rPr>
                <w:rFonts w:eastAsia="Arial TUR"/>
                <w:sz w:val="18"/>
                <w:szCs w:val="18"/>
                <w:lang w:eastAsia="en-US"/>
              </w:rPr>
              <w:t>2</w:t>
            </w:r>
          </w:p>
        </w:tc>
      </w:tr>
      <w:tr w:rsidR="00013B6A" w:rsidRPr="00EE43C6" w14:paraId="039F5143" w14:textId="77777777" w:rsidTr="006A3316">
        <w:trPr>
          <w:trHeight w:val="284"/>
          <w:jc w:val="center"/>
        </w:trPr>
        <w:tc>
          <w:tcPr>
            <w:tcW w:w="2775" w:type="pct"/>
            <w:vAlign w:val="center"/>
          </w:tcPr>
          <w:p w14:paraId="10D7F30A" w14:textId="01DEC19E" w:rsidR="00013B6A" w:rsidRPr="00EE43C6" w:rsidRDefault="0067194E" w:rsidP="00B625EB">
            <w:pPr>
              <w:spacing w:before="0" w:after="0" w:line="240" w:lineRule="auto"/>
              <w:jc w:val="center"/>
              <w:rPr>
                <w:rFonts w:eastAsia="Arial TUR"/>
                <w:sz w:val="18"/>
                <w:szCs w:val="18"/>
                <w:lang w:eastAsia="en-US"/>
              </w:rPr>
            </w:pPr>
            <w:r w:rsidRPr="00EE43C6">
              <w:rPr>
                <w:rFonts w:eastAsia="Arial TUR"/>
                <w:sz w:val="18"/>
                <w:szCs w:val="18"/>
                <w:lang w:eastAsia="en-US"/>
              </w:rPr>
              <w:t>Dozer</w:t>
            </w:r>
          </w:p>
        </w:tc>
        <w:tc>
          <w:tcPr>
            <w:tcW w:w="2225" w:type="pct"/>
            <w:vAlign w:val="center"/>
          </w:tcPr>
          <w:p w14:paraId="479393F1" w14:textId="79EEAA15" w:rsidR="00013B6A" w:rsidRPr="00EE43C6" w:rsidRDefault="0067194E" w:rsidP="00B625EB">
            <w:pPr>
              <w:spacing w:before="0" w:after="0" w:line="240" w:lineRule="auto"/>
              <w:jc w:val="center"/>
              <w:rPr>
                <w:rFonts w:eastAsia="Arial TUR"/>
                <w:sz w:val="18"/>
                <w:szCs w:val="18"/>
                <w:lang w:eastAsia="en-US"/>
              </w:rPr>
            </w:pPr>
            <w:r w:rsidRPr="00EE43C6">
              <w:rPr>
                <w:rFonts w:eastAsia="Arial TUR"/>
                <w:sz w:val="18"/>
                <w:szCs w:val="18"/>
                <w:lang w:eastAsia="en-US"/>
              </w:rPr>
              <w:t>2</w:t>
            </w:r>
          </w:p>
        </w:tc>
      </w:tr>
      <w:tr w:rsidR="0067194E" w:rsidRPr="00EE43C6" w14:paraId="01420ADD" w14:textId="77777777" w:rsidTr="006A3316">
        <w:trPr>
          <w:trHeight w:val="284"/>
          <w:jc w:val="center"/>
        </w:trPr>
        <w:tc>
          <w:tcPr>
            <w:tcW w:w="2775" w:type="pct"/>
            <w:vAlign w:val="center"/>
          </w:tcPr>
          <w:p w14:paraId="50E084F1" w14:textId="795D7845" w:rsidR="0067194E" w:rsidRPr="00EE43C6" w:rsidRDefault="00872BEE" w:rsidP="00B625EB">
            <w:pPr>
              <w:spacing w:before="0" w:after="0" w:line="240" w:lineRule="auto"/>
              <w:jc w:val="center"/>
              <w:rPr>
                <w:rFonts w:eastAsia="Arial TUR"/>
                <w:sz w:val="18"/>
                <w:szCs w:val="18"/>
                <w:lang w:eastAsia="en-US"/>
              </w:rPr>
            </w:pPr>
            <w:r w:rsidRPr="00EE43C6">
              <w:rPr>
                <w:rFonts w:eastAsia="Arial TUR"/>
                <w:sz w:val="18"/>
                <w:szCs w:val="18"/>
                <w:lang w:eastAsia="en-US"/>
              </w:rPr>
              <w:t>Grader</w:t>
            </w:r>
          </w:p>
        </w:tc>
        <w:tc>
          <w:tcPr>
            <w:tcW w:w="2225" w:type="pct"/>
            <w:vAlign w:val="center"/>
          </w:tcPr>
          <w:p w14:paraId="5058FF2C" w14:textId="7C6E2829" w:rsidR="0067194E" w:rsidRPr="00EE43C6" w:rsidRDefault="0067194E" w:rsidP="00B625EB">
            <w:pPr>
              <w:spacing w:before="0" w:after="0" w:line="240" w:lineRule="auto"/>
              <w:jc w:val="center"/>
              <w:rPr>
                <w:rFonts w:eastAsia="Arial TUR"/>
                <w:sz w:val="18"/>
                <w:szCs w:val="18"/>
                <w:lang w:eastAsia="en-US"/>
              </w:rPr>
            </w:pPr>
            <w:r w:rsidRPr="00EE43C6">
              <w:rPr>
                <w:rFonts w:eastAsia="Arial TUR"/>
                <w:sz w:val="18"/>
                <w:szCs w:val="18"/>
                <w:lang w:eastAsia="en-US"/>
              </w:rPr>
              <w:t>1</w:t>
            </w:r>
          </w:p>
        </w:tc>
      </w:tr>
      <w:tr w:rsidR="0067194E" w:rsidRPr="00EE43C6" w14:paraId="54014AE3" w14:textId="77777777" w:rsidTr="006A3316">
        <w:trPr>
          <w:trHeight w:val="284"/>
          <w:jc w:val="center"/>
        </w:trPr>
        <w:tc>
          <w:tcPr>
            <w:tcW w:w="2775" w:type="pct"/>
            <w:vAlign w:val="center"/>
          </w:tcPr>
          <w:p w14:paraId="5ACF0810" w14:textId="57395677" w:rsidR="0067194E" w:rsidRPr="00EE43C6" w:rsidRDefault="00872BEE" w:rsidP="00B625EB">
            <w:pPr>
              <w:spacing w:before="0" w:after="0" w:line="240" w:lineRule="auto"/>
              <w:jc w:val="center"/>
              <w:rPr>
                <w:rFonts w:eastAsia="Arial TUR"/>
                <w:sz w:val="18"/>
                <w:szCs w:val="18"/>
                <w:lang w:eastAsia="en-US"/>
              </w:rPr>
            </w:pPr>
            <w:r w:rsidRPr="00EE43C6">
              <w:rPr>
                <w:rFonts w:eastAsia="Arial TUR"/>
                <w:sz w:val="18"/>
                <w:szCs w:val="18"/>
                <w:lang w:eastAsia="en-US"/>
              </w:rPr>
              <w:t>Concrete Mixer</w:t>
            </w:r>
          </w:p>
        </w:tc>
        <w:tc>
          <w:tcPr>
            <w:tcW w:w="2225" w:type="pct"/>
            <w:vAlign w:val="center"/>
          </w:tcPr>
          <w:p w14:paraId="53753F11" w14:textId="4DB7069F" w:rsidR="0067194E" w:rsidRPr="00EE43C6" w:rsidRDefault="00872BEE" w:rsidP="00B625EB">
            <w:pPr>
              <w:spacing w:before="0" w:after="0" w:line="240" w:lineRule="auto"/>
              <w:jc w:val="center"/>
              <w:rPr>
                <w:rFonts w:eastAsia="Arial TUR"/>
                <w:sz w:val="18"/>
                <w:szCs w:val="18"/>
                <w:lang w:eastAsia="en-US"/>
              </w:rPr>
            </w:pPr>
            <w:r w:rsidRPr="00EE43C6">
              <w:rPr>
                <w:rFonts w:eastAsia="Arial TUR"/>
                <w:sz w:val="18"/>
                <w:szCs w:val="18"/>
                <w:lang w:eastAsia="en-US"/>
              </w:rPr>
              <w:t>5</w:t>
            </w:r>
          </w:p>
        </w:tc>
      </w:tr>
      <w:tr w:rsidR="0067194E" w:rsidRPr="00EE43C6" w14:paraId="510D2923" w14:textId="77777777" w:rsidTr="006A3316">
        <w:trPr>
          <w:trHeight w:val="284"/>
          <w:jc w:val="center"/>
        </w:trPr>
        <w:tc>
          <w:tcPr>
            <w:tcW w:w="2775" w:type="pct"/>
            <w:vAlign w:val="center"/>
          </w:tcPr>
          <w:p w14:paraId="009618D7" w14:textId="052C14A0" w:rsidR="0067194E" w:rsidRPr="00EE43C6" w:rsidRDefault="00872BEE" w:rsidP="00B625EB">
            <w:pPr>
              <w:spacing w:before="0" w:after="0" w:line="240" w:lineRule="auto"/>
              <w:jc w:val="center"/>
              <w:rPr>
                <w:rFonts w:eastAsia="Arial TUR"/>
                <w:sz w:val="18"/>
                <w:szCs w:val="18"/>
                <w:lang w:eastAsia="en-US"/>
              </w:rPr>
            </w:pPr>
            <w:r w:rsidRPr="00EE43C6">
              <w:rPr>
                <w:rFonts w:eastAsia="Arial TUR"/>
                <w:sz w:val="18"/>
                <w:szCs w:val="18"/>
                <w:lang w:eastAsia="en-US"/>
              </w:rPr>
              <w:t>Concrete Pump</w:t>
            </w:r>
          </w:p>
        </w:tc>
        <w:tc>
          <w:tcPr>
            <w:tcW w:w="2225" w:type="pct"/>
            <w:vAlign w:val="center"/>
          </w:tcPr>
          <w:p w14:paraId="19439739" w14:textId="0D929F35" w:rsidR="0067194E" w:rsidRPr="00EE43C6" w:rsidRDefault="00872BEE" w:rsidP="00B625EB">
            <w:pPr>
              <w:spacing w:before="0" w:after="0" w:line="240" w:lineRule="auto"/>
              <w:jc w:val="center"/>
              <w:rPr>
                <w:rFonts w:eastAsia="Arial TUR"/>
                <w:sz w:val="18"/>
                <w:szCs w:val="18"/>
                <w:lang w:eastAsia="en-US"/>
              </w:rPr>
            </w:pPr>
            <w:r w:rsidRPr="00EE43C6">
              <w:rPr>
                <w:rFonts w:eastAsia="Arial TUR"/>
                <w:sz w:val="18"/>
                <w:szCs w:val="18"/>
                <w:lang w:eastAsia="en-US"/>
              </w:rPr>
              <w:t>5</w:t>
            </w:r>
          </w:p>
        </w:tc>
      </w:tr>
      <w:tr w:rsidR="0067194E" w:rsidRPr="00EE43C6" w14:paraId="6D449E0E" w14:textId="77777777" w:rsidTr="006A3316">
        <w:trPr>
          <w:trHeight w:val="284"/>
          <w:jc w:val="center"/>
        </w:trPr>
        <w:tc>
          <w:tcPr>
            <w:tcW w:w="2775" w:type="pct"/>
            <w:vAlign w:val="center"/>
          </w:tcPr>
          <w:p w14:paraId="50954A27" w14:textId="60097B6D" w:rsidR="0067194E" w:rsidRPr="00EE43C6" w:rsidRDefault="00FF60FF" w:rsidP="00B625EB">
            <w:pPr>
              <w:spacing w:before="0" w:after="0" w:line="240" w:lineRule="auto"/>
              <w:jc w:val="center"/>
              <w:rPr>
                <w:rFonts w:eastAsia="Arial TUR"/>
                <w:sz w:val="18"/>
                <w:szCs w:val="18"/>
                <w:lang w:eastAsia="en-US"/>
              </w:rPr>
            </w:pPr>
            <w:r w:rsidRPr="00EE43C6">
              <w:rPr>
                <w:rFonts w:eastAsia="Arial TUR"/>
                <w:sz w:val="18"/>
                <w:szCs w:val="18"/>
                <w:lang w:eastAsia="en-US"/>
              </w:rPr>
              <w:t>Truck</w:t>
            </w:r>
          </w:p>
        </w:tc>
        <w:tc>
          <w:tcPr>
            <w:tcW w:w="2225" w:type="pct"/>
            <w:vAlign w:val="center"/>
          </w:tcPr>
          <w:p w14:paraId="0A4AA911" w14:textId="28489606" w:rsidR="0067194E" w:rsidRPr="00EE43C6" w:rsidRDefault="00FF60FF" w:rsidP="00B625EB">
            <w:pPr>
              <w:spacing w:before="0" w:after="0" w:line="240" w:lineRule="auto"/>
              <w:jc w:val="center"/>
              <w:rPr>
                <w:rFonts w:eastAsia="Arial TUR"/>
                <w:sz w:val="18"/>
                <w:szCs w:val="18"/>
                <w:lang w:eastAsia="en-US"/>
              </w:rPr>
            </w:pPr>
            <w:r w:rsidRPr="00EE43C6">
              <w:rPr>
                <w:rFonts w:eastAsia="Arial TUR"/>
                <w:sz w:val="18"/>
                <w:szCs w:val="18"/>
                <w:lang w:eastAsia="en-US"/>
              </w:rPr>
              <w:t>15</w:t>
            </w:r>
          </w:p>
        </w:tc>
      </w:tr>
      <w:tr w:rsidR="0067194E" w:rsidRPr="00EE43C6" w14:paraId="4386D9AF" w14:textId="77777777" w:rsidTr="006A3316">
        <w:trPr>
          <w:trHeight w:val="284"/>
          <w:jc w:val="center"/>
        </w:trPr>
        <w:tc>
          <w:tcPr>
            <w:tcW w:w="2775" w:type="pct"/>
            <w:vAlign w:val="center"/>
          </w:tcPr>
          <w:p w14:paraId="0C0D1BE6" w14:textId="415E3848" w:rsidR="0067194E" w:rsidRPr="00EE43C6" w:rsidRDefault="00FF60FF" w:rsidP="00B625EB">
            <w:pPr>
              <w:spacing w:before="0" w:after="0" w:line="240" w:lineRule="auto"/>
              <w:jc w:val="center"/>
              <w:rPr>
                <w:rFonts w:eastAsia="Arial TUR"/>
                <w:sz w:val="18"/>
                <w:szCs w:val="18"/>
                <w:lang w:eastAsia="en-US"/>
              </w:rPr>
            </w:pPr>
            <w:r w:rsidRPr="00EE43C6">
              <w:rPr>
                <w:rFonts w:eastAsia="Arial TUR"/>
                <w:sz w:val="18"/>
                <w:szCs w:val="18"/>
                <w:lang w:eastAsia="en-US"/>
              </w:rPr>
              <w:t>Water Truck</w:t>
            </w:r>
          </w:p>
        </w:tc>
        <w:tc>
          <w:tcPr>
            <w:tcW w:w="2225" w:type="pct"/>
            <w:vAlign w:val="center"/>
          </w:tcPr>
          <w:p w14:paraId="6DF3F83B" w14:textId="5AE769F5" w:rsidR="0067194E" w:rsidRPr="00EE43C6" w:rsidRDefault="00FF60FF" w:rsidP="00B625EB">
            <w:pPr>
              <w:spacing w:before="0" w:after="0" w:line="240" w:lineRule="auto"/>
              <w:jc w:val="center"/>
              <w:rPr>
                <w:rFonts w:eastAsia="Arial TUR"/>
                <w:sz w:val="18"/>
                <w:szCs w:val="18"/>
                <w:lang w:eastAsia="en-US"/>
              </w:rPr>
            </w:pPr>
            <w:r w:rsidRPr="00EE43C6">
              <w:rPr>
                <w:rFonts w:eastAsia="Arial TUR"/>
                <w:sz w:val="18"/>
                <w:szCs w:val="18"/>
                <w:lang w:eastAsia="en-US"/>
              </w:rPr>
              <w:t>5</w:t>
            </w:r>
          </w:p>
        </w:tc>
      </w:tr>
    </w:tbl>
    <w:p w14:paraId="5C516B60" w14:textId="371D887E" w:rsidR="00013B6A" w:rsidRPr="00EE43C6" w:rsidRDefault="00892F2F" w:rsidP="00013B6A">
      <w:pPr>
        <w:rPr>
          <w:rFonts w:eastAsia="Arial TUR"/>
          <w:lang w:eastAsia="en-US"/>
        </w:rPr>
      </w:pPr>
      <w:r w:rsidRPr="00EE43C6">
        <w:rPr>
          <w:rFonts w:eastAsia="Arial TUR"/>
          <w:lang w:eastAsia="en-US"/>
        </w:rPr>
        <w:t xml:space="preserve">In order to calculate the total sound power levels of the concerned </w:t>
      </w:r>
      <w:r w:rsidR="007017FA" w:rsidRPr="00EE43C6">
        <w:rPr>
          <w:rFonts w:eastAsia="Arial TUR"/>
          <w:lang w:eastAsia="en-US"/>
        </w:rPr>
        <w:t>vehicles</w:t>
      </w:r>
      <w:r w:rsidRPr="00EE43C6">
        <w:rPr>
          <w:rFonts w:eastAsia="Arial TUR"/>
          <w:lang w:eastAsia="en-US"/>
        </w:rPr>
        <w:t xml:space="preserve"> and equipment in the four octave bands between 500-4,000 Hz</w:t>
      </w:r>
      <w:r w:rsidR="00F00D43" w:rsidRPr="00EE43C6">
        <w:rPr>
          <w:rFonts w:eastAsia="Arial TUR"/>
          <w:lang w:eastAsia="en-US"/>
        </w:rPr>
        <w:t>.</w:t>
      </w:r>
      <w:r w:rsidRPr="00EE43C6">
        <w:rPr>
          <w:rFonts w:eastAsia="Arial TUR"/>
          <w:lang w:eastAsia="en-US"/>
        </w:rPr>
        <w:t xml:space="preserve"> The formulas given according to the engine </w:t>
      </w:r>
      <w:r w:rsidRPr="00EE43C6">
        <w:rPr>
          <w:rFonts w:eastAsia="Arial TUR"/>
          <w:lang w:eastAsia="en-US"/>
        </w:rPr>
        <w:lastRenderedPageBreak/>
        <w:t>power levels are used in the 5</w:t>
      </w:r>
      <w:r w:rsidRPr="00EE43C6">
        <w:rPr>
          <w:rFonts w:eastAsia="Arial TUR"/>
          <w:vertAlign w:val="superscript"/>
          <w:lang w:eastAsia="en-US"/>
        </w:rPr>
        <w:t>th</w:t>
      </w:r>
      <w:r w:rsidRPr="00EE43C6">
        <w:rPr>
          <w:rFonts w:eastAsia="Arial TUR"/>
          <w:lang w:eastAsia="en-US"/>
        </w:rPr>
        <w:t xml:space="preserve"> article of titled Permissible Sound Power Levels and Noise Marking and Standards</w:t>
      </w:r>
      <w:r w:rsidR="00121574" w:rsidRPr="00EE43C6">
        <w:rPr>
          <w:rFonts w:eastAsia="Arial TUR"/>
          <w:lang w:eastAsia="en-US"/>
        </w:rPr>
        <w:t xml:space="preserve"> in the Regulation on the Ambient Noise Emission Caused by Equipment Used Outdoors</w:t>
      </w:r>
      <w:r w:rsidRPr="00EE43C6">
        <w:rPr>
          <w:rFonts w:eastAsia="Arial TUR"/>
          <w:lang w:eastAsia="en-US"/>
        </w:rPr>
        <w:t>.</w:t>
      </w:r>
      <w:r w:rsidR="00775A01" w:rsidRPr="00EE43C6">
        <w:rPr>
          <w:rFonts w:eastAsia="Arial TUR"/>
          <w:lang w:eastAsia="en-US"/>
        </w:rPr>
        <w:t xml:space="preserve"> </w:t>
      </w:r>
      <w:r w:rsidR="00AA293C" w:rsidRPr="00EE43C6">
        <w:rPr>
          <w:rFonts w:eastAsia="Arial TUR"/>
          <w:lang w:eastAsia="en-US"/>
        </w:rPr>
        <w:t>In this regard, t</w:t>
      </w:r>
      <w:r w:rsidR="00775A01" w:rsidRPr="00EE43C6">
        <w:rPr>
          <w:rFonts w:eastAsia="Arial TUR"/>
          <w:lang w:eastAsia="en-US"/>
        </w:rPr>
        <w:t xml:space="preserve">he engine </w:t>
      </w:r>
      <w:r w:rsidR="002178D1" w:rsidRPr="00EE43C6">
        <w:rPr>
          <w:rFonts w:eastAsia="Arial TUR"/>
          <w:lang w:eastAsia="en-US"/>
        </w:rPr>
        <w:t>sound</w:t>
      </w:r>
      <w:r w:rsidR="00775A01" w:rsidRPr="00EE43C6">
        <w:rPr>
          <w:rFonts w:eastAsia="Arial TUR"/>
          <w:lang w:eastAsia="en-US"/>
        </w:rPr>
        <w:t xml:space="preserve"> power levels of the vehicles and equipment to be used are given in </w:t>
      </w:r>
      <w:r w:rsidR="006879B5" w:rsidRPr="00EE43C6">
        <w:rPr>
          <w:rFonts w:eastAsia="Arial TUR"/>
          <w:lang w:eastAsia="en-US"/>
        </w:rPr>
        <w:fldChar w:fldCharType="begin"/>
      </w:r>
      <w:r w:rsidR="006879B5" w:rsidRPr="00EE43C6">
        <w:rPr>
          <w:rFonts w:eastAsia="Arial TUR"/>
          <w:lang w:eastAsia="en-US"/>
        </w:rPr>
        <w:instrText xml:space="preserve"> REF _Ref127981751 \h </w:instrText>
      </w:r>
      <w:r w:rsidR="006879B5" w:rsidRPr="00EE43C6">
        <w:rPr>
          <w:rFonts w:eastAsia="Arial TUR"/>
          <w:lang w:eastAsia="en-US"/>
        </w:rPr>
      </w:r>
      <w:r w:rsidR="006879B5" w:rsidRPr="00EE43C6">
        <w:rPr>
          <w:rFonts w:eastAsia="Arial TUR"/>
          <w:lang w:eastAsia="en-US"/>
        </w:rPr>
        <w:fldChar w:fldCharType="separate"/>
      </w:r>
      <w:r w:rsidR="00DA3EF8" w:rsidRPr="00EE43C6">
        <w:t>Table 6</w:t>
      </w:r>
      <w:r w:rsidR="00DA3EF8" w:rsidRPr="00EE43C6">
        <w:noBreakHyphen/>
        <w:t>22</w:t>
      </w:r>
      <w:r w:rsidR="006879B5" w:rsidRPr="00EE43C6">
        <w:rPr>
          <w:rFonts w:eastAsia="Arial TUR"/>
          <w:lang w:eastAsia="en-US"/>
        </w:rPr>
        <w:fldChar w:fldCharType="end"/>
      </w:r>
      <w:r w:rsidR="002178D1" w:rsidRPr="00EE43C6">
        <w:rPr>
          <w:rFonts w:eastAsia="Arial TUR"/>
          <w:lang w:eastAsia="en-US"/>
        </w:rPr>
        <w:fldChar w:fldCharType="begin"/>
      </w:r>
      <w:r w:rsidR="002178D1" w:rsidRPr="00EE43C6">
        <w:rPr>
          <w:rFonts w:eastAsia="Arial TUR"/>
          <w:lang w:eastAsia="en-US"/>
        </w:rPr>
        <w:instrText xml:space="preserve"> REF _Ref126159404 \h </w:instrText>
      </w:r>
      <w:r w:rsidR="002178D1" w:rsidRPr="00EE43C6">
        <w:rPr>
          <w:rFonts w:eastAsia="Arial TUR"/>
          <w:lang w:eastAsia="en-US"/>
        </w:rPr>
      </w:r>
      <w:r w:rsidR="002178D1" w:rsidRPr="00EE43C6">
        <w:rPr>
          <w:rFonts w:eastAsia="Arial TUR"/>
          <w:lang w:eastAsia="en-US"/>
        </w:rPr>
        <w:fldChar w:fldCharType="end"/>
      </w:r>
      <w:r w:rsidR="00775A01" w:rsidRPr="00EE43C6">
        <w:rPr>
          <w:rFonts w:eastAsia="Arial TUR"/>
          <w:lang w:eastAsia="en-US"/>
        </w:rPr>
        <w:t>.</w:t>
      </w:r>
    </w:p>
    <w:p w14:paraId="189255E4" w14:textId="2CC3AFC7" w:rsidR="007013EA" w:rsidRPr="00EE43C6" w:rsidRDefault="00BA3798" w:rsidP="00BA3798">
      <w:pPr>
        <w:pStyle w:val="Caption"/>
        <w:rPr>
          <w:rFonts w:eastAsia="Arial TUR"/>
          <w:noProof w:val="0"/>
        </w:rPr>
      </w:pPr>
      <w:bookmarkStart w:id="587" w:name="_Ref127981751"/>
      <w:bookmarkStart w:id="588" w:name="_Ref126159404"/>
      <w:bookmarkStart w:id="589" w:name="_Toc141445531"/>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22</w:t>
      </w:r>
      <w:r w:rsidR="006D2DE8">
        <w:rPr>
          <w:noProof w:val="0"/>
        </w:rPr>
        <w:fldChar w:fldCharType="end"/>
      </w:r>
      <w:bookmarkEnd w:id="587"/>
      <w:bookmarkEnd w:id="588"/>
      <w:r w:rsidRPr="00EE43C6">
        <w:rPr>
          <w:noProof w:val="0"/>
        </w:rPr>
        <w:t xml:space="preserve">. </w:t>
      </w:r>
      <w:r w:rsidR="00692EFA" w:rsidRPr="00EE43C6">
        <w:rPr>
          <w:rFonts w:eastAsia="Arial TUR"/>
          <w:b w:val="0"/>
          <w:noProof w:val="0"/>
          <w:color w:val="auto"/>
        </w:rPr>
        <w:t xml:space="preserve">Sound Power Levels of Vehicles and </w:t>
      </w:r>
      <w:r w:rsidR="00C10BB5" w:rsidRPr="00EE43C6">
        <w:rPr>
          <w:rFonts w:eastAsia="Arial TUR"/>
          <w:b w:val="0"/>
          <w:bCs w:val="0"/>
          <w:noProof w:val="0"/>
          <w:color w:val="auto"/>
        </w:rPr>
        <w:t>Equipment</w:t>
      </w:r>
      <w:r w:rsidR="00692EFA" w:rsidRPr="00EE43C6">
        <w:rPr>
          <w:rFonts w:eastAsia="Arial TUR"/>
          <w:b w:val="0"/>
          <w:noProof w:val="0"/>
          <w:color w:val="auto"/>
        </w:rPr>
        <w:t xml:space="preserve"> </w:t>
      </w:r>
      <w:r w:rsidR="00F64C8C" w:rsidRPr="00EE43C6">
        <w:rPr>
          <w:rFonts w:eastAsia="Arial TUR"/>
          <w:b w:val="0"/>
          <w:bCs w:val="0"/>
          <w:noProof w:val="0"/>
          <w:color w:val="auto"/>
        </w:rPr>
        <w:t>D</w:t>
      </w:r>
      <w:r w:rsidR="00692EFA" w:rsidRPr="00EE43C6">
        <w:rPr>
          <w:rFonts w:eastAsia="Arial TUR"/>
          <w:b w:val="0"/>
          <w:bCs w:val="0"/>
          <w:noProof w:val="0"/>
          <w:color w:val="auto"/>
        </w:rPr>
        <w:t xml:space="preserve">uring </w:t>
      </w:r>
      <w:r w:rsidR="00F64C8C" w:rsidRPr="00EE43C6">
        <w:rPr>
          <w:rFonts w:eastAsia="Arial TUR"/>
          <w:b w:val="0"/>
          <w:bCs w:val="0"/>
          <w:noProof w:val="0"/>
          <w:color w:val="auto"/>
        </w:rPr>
        <w:t>the</w:t>
      </w:r>
      <w:r w:rsidR="00692EFA" w:rsidRPr="00EE43C6">
        <w:rPr>
          <w:rFonts w:eastAsia="Arial TUR"/>
          <w:b w:val="0"/>
          <w:noProof w:val="0"/>
          <w:color w:val="auto"/>
        </w:rPr>
        <w:t xml:space="preserve"> Construction</w:t>
      </w:r>
      <w:bookmarkEnd w:id="589"/>
    </w:p>
    <w:tbl>
      <w:tblPr>
        <w:tblStyle w:val="TableGrid"/>
        <w:tblW w:w="5000" w:type="pct"/>
        <w:jc w:val="center"/>
        <w:tblLook w:val="04A0" w:firstRow="1" w:lastRow="0" w:firstColumn="1" w:lastColumn="0" w:noHBand="0" w:noVBand="1"/>
      </w:tblPr>
      <w:tblGrid>
        <w:gridCol w:w="3789"/>
        <w:gridCol w:w="1363"/>
        <w:gridCol w:w="3912"/>
      </w:tblGrid>
      <w:tr w:rsidR="002674C1" w:rsidRPr="00EE43C6" w14:paraId="5483EE71" w14:textId="77777777" w:rsidTr="006A3316">
        <w:trPr>
          <w:trHeight w:val="284"/>
          <w:tblHeader/>
          <w:jc w:val="center"/>
        </w:trPr>
        <w:tc>
          <w:tcPr>
            <w:tcW w:w="2090" w:type="pct"/>
            <w:shd w:val="clear" w:color="auto" w:fill="4F81BD"/>
            <w:vAlign w:val="center"/>
          </w:tcPr>
          <w:p w14:paraId="571A7180" w14:textId="4F3A0255" w:rsidR="002674C1" w:rsidRPr="00EE43C6" w:rsidRDefault="002674C1"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Noise Sources</w:t>
            </w:r>
          </w:p>
        </w:tc>
        <w:tc>
          <w:tcPr>
            <w:tcW w:w="752" w:type="pct"/>
            <w:shd w:val="clear" w:color="auto" w:fill="4F81BD"/>
            <w:vAlign w:val="center"/>
          </w:tcPr>
          <w:p w14:paraId="2C810D9F" w14:textId="4ED060C5" w:rsidR="002674C1" w:rsidRPr="00EE43C6" w:rsidRDefault="00996551"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Number</w:t>
            </w:r>
          </w:p>
        </w:tc>
        <w:tc>
          <w:tcPr>
            <w:tcW w:w="2158" w:type="pct"/>
            <w:shd w:val="clear" w:color="auto" w:fill="4F81BD"/>
            <w:vAlign w:val="center"/>
          </w:tcPr>
          <w:p w14:paraId="6DF46998" w14:textId="2F09BD79" w:rsidR="002674C1" w:rsidRPr="00EE43C6" w:rsidRDefault="00A63489"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Sound Power Level (dB)</w:t>
            </w:r>
          </w:p>
        </w:tc>
      </w:tr>
      <w:tr w:rsidR="002674C1" w:rsidRPr="00EE43C6" w14:paraId="5DBE6ED2" w14:textId="77777777" w:rsidTr="006A3316">
        <w:trPr>
          <w:trHeight w:val="284"/>
          <w:jc w:val="center"/>
        </w:trPr>
        <w:tc>
          <w:tcPr>
            <w:tcW w:w="2090" w:type="pct"/>
            <w:vAlign w:val="center"/>
          </w:tcPr>
          <w:p w14:paraId="1247474B" w14:textId="40BDC86D" w:rsidR="002674C1" w:rsidRPr="00EE43C6" w:rsidRDefault="002674C1" w:rsidP="00B625EB">
            <w:pPr>
              <w:spacing w:before="0" w:after="0" w:line="240" w:lineRule="auto"/>
              <w:jc w:val="center"/>
              <w:rPr>
                <w:rFonts w:eastAsia="Arial TUR"/>
                <w:sz w:val="18"/>
                <w:szCs w:val="18"/>
                <w:lang w:eastAsia="en-US"/>
              </w:rPr>
            </w:pPr>
            <w:r w:rsidRPr="00EE43C6">
              <w:rPr>
                <w:rFonts w:eastAsia="Arial TUR"/>
                <w:sz w:val="18"/>
                <w:szCs w:val="18"/>
                <w:lang w:eastAsia="en-US"/>
              </w:rPr>
              <w:t>Excavator (107 kW)</w:t>
            </w:r>
          </w:p>
        </w:tc>
        <w:tc>
          <w:tcPr>
            <w:tcW w:w="752" w:type="pct"/>
            <w:vAlign w:val="center"/>
          </w:tcPr>
          <w:p w14:paraId="5386C636" w14:textId="304CF198" w:rsidR="002674C1" w:rsidRPr="00EE43C6" w:rsidRDefault="00996551" w:rsidP="00B625EB">
            <w:pPr>
              <w:spacing w:before="0" w:after="0" w:line="240" w:lineRule="auto"/>
              <w:jc w:val="center"/>
              <w:rPr>
                <w:rFonts w:eastAsia="Arial TUR"/>
                <w:sz w:val="18"/>
                <w:szCs w:val="18"/>
                <w:lang w:eastAsia="en-US"/>
              </w:rPr>
            </w:pPr>
            <w:r w:rsidRPr="00EE43C6">
              <w:rPr>
                <w:rFonts w:eastAsia="Arial TUR"/>
                <w:sz w:val="18"/>
                <w:szCs w:val="18"/>
                <w:lang w:eastAsia="en-US"/>
              </w:rPr>
              <w:t>6</w:t>
            </w:r>
          </w:p>
        </w:tc>
        <w:tc>
          <w:tcPr>
            <w:tcW w:w="2158" w:type="pct"/>
            <w:vAlign w:val="center"/>
          </w:tcPr>
          <w:p w14:paraId="746EE7C5" w14:textId="57076988" w:rsidR="002674C1" w:rsidRPr="00C2662E" w:rsidRDefault="000B26CD" w:rsidP="00B625EB">
            <w:pPr>
              <w:spacing w:before="0" w:after="0" w:line="240" w:lineRule="auto"/>
              <w:jc w:val="center"/>
              <w:rPr>
                <w:rFonts w:eastAsia="Arial TUR"/>
                <w:sz w:val="18"/>
                <w:szCs w:val="18"/>
                <w:lang w:val="da-DK" w:eastAsia="en-US"/>
              </w:rPr>
            </w:pPr>
            <w:r w:rsidRPr="00C2662E">
              <w:rPr>
                <w:rFonts w:eastAsia="Arial TUR"/>
                <w:sz w:val="18"/>
                <w:szCs w:val="18"/>
                <w:lang w:val="da-DK" w:eastAsia="en-US"/>
              </w:rPr>
              <w:t>104 dBA (P &gt; 55 kw</w:t>
            </w:r>
            <w:r w:rsidR="00AC1570" w:rsidRPr="00C2662E">
              <w:rPr>
                <w:rFonts w:eastAsia="Arial TUR"/>
                <w:sz w:val="18"/>
                <w:szCs w:val="18"/>
                <w:lang w:val="da-DK" w:eastAsia="en-US"/>
              </w:rPr>
              <w:t>,</w:t>
            </w:r>
            <w:r w:rsidRPr="00C2662E">
              <w:rPr>
                <w:rFonts w:eastAsia="Arial TUR"/>
                <w:sz w:val="18"/>
                <w:szCs w:val="18"/>
                <w:lang w:val="da-DK" w:eastAsia="en-US"/>
              </w:rPr>
              <w:t xml:space="preserve"> 82 + 11 log P)</w:t>
            </w:r>
          </w:p>
        </w:tc>
      </w:tr>
      <w:tr w:rsidR="002674C1" w:rsidRPr="00EE43C6" w14:paraId="51371E3D" w14:textId="77777777" w:rsidTr="006A3316">
        <w:trPr>
          <w:trHeight w:val="284"/>
          <w:jc w:val="center"/>
        </w:trPr>
        <w:tc>
          <w:tcPr>
            <w:tcW w:w="2090" w:type="pct"/>
            <w:vAlign w:val="center"/>
          </w:tcPr>
          <w:p w14:paraId="645F5990" w14:textId="65D5BB70" w:rsidR="002674C1" w:rsidRPr="00EE43C6" w:rsidRDefault="002674C1" w:rsidP="00B625EB">
            <w:pPr>
              <w:spacing w:before="0" w:after="0" w:line="240" w:lineRule="auto"/>
              <w:jc w:val="center"/>
              <w:rPr>
                <w:rFonts w:eastAsia="Arial TUR"/>
                <w:sz w:val="18"/>
                <w:szCs w:val="18"/>
                <w:lang w:eastAsia="en-US"/>
              </w:rPr>
            </w:pPr>
            <w:r w:rsidRPr="00EE43C6">
              <w:rPr>
                <w:rFonts w:eastAsia="Arial TUR"/>
                <w:sz w:val="18"/>
                <w:szCs w:val="18"/>
                <w:lang w:eastAsia="en-US"/>
              </w:rPr>
              <w:t>Cylinder</w:t>
            </w:r>
            <w:r w:rsidR="004142E1" w:rsidRPr="00EE43C6">
              <w:rPr>
                <w:rFonts w:eastAsia="Arial TUR"/>
                <w:sz w:val="18"/>
                <w:szCs w:val="18"/>
                <w:lang w:eastAsia="en-US"/>
              </w:rPr>
              <w:t xml:space="preserve"> (98 kW)</w:t>
            </w:r>
          </w:p>
        </w:tc>
        <w:tc>
          <w:tcPr>
            <w:tcW w:w="752" w:type="pct"/>
            <w:vAlign w:val="center"/>
          </w:tcPr>
          <w:p w14:paraId="38FBD476" w14:textId="12DD1F26" w:rsidR="002674C1" w:rsidRPr="00EE43C6" w:rsidRDefault="00996551" w:rsidP="00B625EB">
            <w:pPr>
              <w:spacing w:before="0" w:after="0" w:line="240" w:lineRule="auto"/>
              <w:jc w:val="center"/>
              <w:rPr>
                <w:rFonts w:eastAsia="Arial TUR"/>
                <w:sz w:val="18"/>
                <w:szCs w:val="18"/>
                <w:lang w:eastAsia="en-US"/>
              </w:rPr>
            </w:pPr>
            <w:r w:rsidRPr="00EE43C6">
              <w:rPr>
                <w:rFonts w:eastAsia="Arial TUR"/>
                <w:sz w:val="18"/>
                <w:szCs w:val="18"/>
                <w:lang w:eastAsia="en-US"/>
              </w:rPr>
              <w:t>2</w:t>
            </w:r>
          </w:p>
        </w:tc>
        <w:tc>
          <w:tcPr>
            <w:tcW w:w="2158" w:type="pct"/>
            <w:vAlign w:val="center"/>
          </w:tcPr>
          <w:p w14:paraId="301282F8" w14:textId="78BEB036" w:rsidR="002674C1" w:rsidRPr="00C2662E" w:rsidRDefault="000B26CD" w:rsidP="00B625EB">
            <w:pPr>
              <w:spacing w:before="0" w:after="0" w:line="240" w:lineRule="auto"/>
              <w:jc w:val="center"/>
              <w:rPr>
                <w:rFonts w:eastAsia="Arial TUR"/>
                <w:sz w:val="18"/>
                <w:szCs w:val="18"/>
                <w:lang w:val="da-DK" w:eastAsia="en-US"/>
              </w:rPr>
            </w:pPr>
            <w:r w:rsidRPr="00C2662E">
              <w:rPr>
                <w:rFonts w:eastAsia="Arial TUR"/>
                <w:sz w:val="18"/>
                <w:szCs w:val="18"/>
                <w:lang w:val="da-DK" w:eastAsia="en-US"/>
              </w:rPr>
              <w:t>107 dBA (P &gt; 70 kw</w:t>
            </w:r>
            <w:r w:rsidR="00AC1570" w:rsidRPr="00C2662E">
              <w:rPr>
                <w:rFonts w:eastAsia="Arial TUR"/>
                <w:sz w:val="18"/>
                <w:szCs w:val="18"/>
                <w:lang w:val="da-DK" w:eastAsia="en-US"/>
              </w:rPr>
              <w:t>,</w:t>
            </w:r>
            <w:r w:rsidRPr="00C2662E">
              <w:rPr>
                <w:rFonts w:eastAsia="Arial TUR"/>
                <w:sz w:val="18"/>
                <w:szCs w:val="18"/>
                <w:lang w:val="da-DK" w:eastAsia="en-US"/>
              </w:rPr>
              <w:t xml:space="preserve"> 86 + 11 log P)</w:t>
            </w:r>
          </w:p>
        </w:tc>
      </w:tr>
      <w:tr w:rsidR="002674C1" w:rsidRPr="00EE43C6" w14:paraId="51F52ABC" w14:textId="77777777" w:rsidTr="006A3316">
        <w:trPr>
          <w:trHeight w:val="284"/>
          <w:jc w:val="center"/>
        </w:trPr>
        <w:tc>
          <w:tcPr>
            <w:tcW w:w="2090" w:type="pct"/>
            <w:vAlign w:val="center"/>
          </w:tcPr>
          <w:p w14:paraId="4A8FE233" w14:textId="6F1EECE7" w:rsidR="002674C1" w:rsidRPr="00EE43C6" w:rsidRDefault="002674C1" w:rsidP="00B625EB">
            <w:pPr>
              <w:spacing w:before="0" w:after="0" w:line="240" w:lineRule="auto"/>
              <w:jc w:val="center"/>
              <w:rPr>
                <w:rFonts w:eastAsia="Arial TUR"/>
                <w:sz w:val="18"/>
                <w:szCs w:val="18"/>
                <w:lang w:eastAsia="en-US"/>
              </w:rPr>
            </w:pPr>
            <w:r w:rsidRPr="00EE43C6">
              <w:rPr>
                <w:rFonts w:eastAsia="Arial TUR"/>
                <w:sz w:val="18"/>
                <w:szCs w:val="18"/>
                <w:lang w:eastAsia="en-US"/>
              </w:rPr>
              <w:t>Dozer</w:t>
            </w:r>
            <w:r w:rsidR="004142E1" w:rsidRPr="00EE43C6">
              <w:rPr>
                <w:rFonts w:eastAsia="Arial TUR"/>
                <w:sz w:val="18"/>
                <w:szCs w:val="18"/>
                <w:lang w:eastAsia="en-US"/>
              </w:rPr>
              <w:t xml:space="preserve"> (97 kW)</w:t>
            </w:r>
          </w:p>
        </w:tc>
        <w:tc>
          <w:tcPr>
            <w:tcW w:w="752" w:type="pct"/>
            <w:vAlign w:val="center"/>
          </w:tcPr>
          <w:p w14:paraId="0CE5A8C7" w14:textId="4800C0DB" w:rsidR="002674C1" w:rsidRPr="00EE43C6" w:rsidRDefault="00996551" w:rsidP="00B625EB">
            <w:pPr>
              <w:spacing w:before="0" w:after="0" w:line="240" w:lineRule="auto"/>
              <w:jc w:val="center"/>
              <w:rPr>
                <w:rFonts w:eastAsia="Arial TUR"/>
                <w:sz w:val="18"/>
                <w:szCs w:val="18"/>
                <w:lang w:eastAsia="en-US"/>
              </w:rPr>
            </w:pPr>
            <w:r w:rsidRPr="00EE43C6">
              <w:rPr>
                <w:rFonts w:eastAsia="Arial TUR"/>
                <w:sz w:val="18"/>
                <w:szCs w:val="18"/>
                <w:lang w:eastAsia="en-US"/>
              </w:rPr>
              <w:t>2</w:t>
            </w:r>
          </w:p>
        </w:tc>
        <w:tc>
          <w:tcPr>
            <w:tcW w:w="2158" w:type="pct"/>
            <w:vAlign w:val="center"/>
          </w:tcPr>
          <w:p w14:paraId="6188A37F" w14:textId="52686ABC" w:rsidR="002674C1" w:rsidRPr="00C2662E" w:rsidRDefault="00946DF2" w:rsidP="00B625EB">
            <w:pPr>
              <w:spacing w:before="0" w:after="0" w:line="240" w:lineRule="auto"/>
              <w:jc w:val="center"/>
              <w:rPr>
                <w:rFonts w:eastAsia="Arial TUR"/>
                <w:sz w:val="18"/>
                <w:szCs w:val="18"/>
                <w:lang w:val="da-DK" w:eastAsia="en-US"/>
              </w:rPr>
            </w:pPr>
            <w:r w:rsidRPr="00C2662E">
              <w:rPr>
                <w:rFonts w:eastAsia="Arial TUR"/>
                <w:sz w:val="18"/>
                <w:szCs w:val="18"/>
                <w:lang w:val="da-DK" w:eastAsia="en-US"/>
              </w:rPr>
              <w:t>104 dBA (P &gt; 55 kw</w:t>
            </w:r>
            <w:r w:rsidR="00AC1570" w:rsidRPr="00C2662E">
              <w:rPr>
                <w:rFonts w:eastAsia="Arial TUR"/>
                <w:sz w:val="18"/>
                <w:szCs w:val="18"/>
                <w:lang w:val="da-DK" w:eastAsia="en-US"/>
              </w:rPr>
              <w:t>,</w:t>
            </w:r>
            <w:r w:rsidRPr="00C2662E">
              <w:rPr>
                <w:rFonts w:eastAsia="Arial TUR"/>
                <w:sz w:val="18"/>
                <w:szCs w:val="18"/>
                <w:lang w:val="da-DK" w:eastAsia="en-US"/>
              </w:rPr>
              <w:t xml:space="preserve"> 82 + 11 log P)</w:t>
            </w:r>
          </w:p>
        </w:tc>
      </w:tr>
      <w:tr w:rsidR="002674C1" w:rsidRPr="00EE43C6" w14:paraId="55A1AB40" w14:textId="77777777" w:rsidTr="006A3316">
        <w:trPr>
          <w:trHeight w:val="284"/>
          <w:jc w:val="center"/>
        </w:trPr>
        <w:tc>
          <w:tcPr>
            <w:tcW w:w="2090" w:type="pct"/>
            <w:vAlign w:val="center"/>
          </w:tcPr>
          <w:p w14:paraId="457541D8" w14:textId="1F64EA8E" w:rsidR="002674C1" w:rsidRPr="00EE43C6" w:rsidRDefault="002674C1" w:rsidP="00B625EB">
            <w:pPr>
              <w:spacing w:before="0" w:after="0" w:line="240" w:lineRule="auto"/>
              <w:jc w:val="center"/>
              <w:rPr>
                <w:rFonts w:eastAsia="Arial TUR"/>
                <w:sz w:val="18"/>
                <w:szCs w:val="18"/>
                <w:lang w:eastAsia="en-US"/>
              </w:rPr>
            </w:pPr>
            <w:r w:rsidRPr="00EE43C6">
              <w:rPr>
                <w:rFonts w:eastAsia="Arial TUR"/>
                <w:sz w:val="18"/>
                <w:szCs w:val="18"/>
                <w:lang w:eastAsia="en-US"/>
              </w:rPr>
              <w:t>Grader</w:t>
            </w:r>
            <w:r w:rsidR="004142E1" w:rsidRPr="00EE43C6">
              <w:rPr>
                <w:rFonts w:eastAsia="Arial TUR"/>
                <w:sz w:val="18"/>
                <w:szCs w:val="18"/>
                <w:lang w:eastAsia="en-US"/>
              </w:rPr>
              <w:t xml:space="preserve"> (104 kW)</w:t>
            </w:r>
          </w:p>
        </w:tc>
        <w:tc>
          <w:tcPr>
            <w:tcW w:w="752" w:type="pct"/>
            <w:vAlign w:val="center"/>
          </w:tcPr>
          <w:p w14:paraId="3E6BC340" w14:textId="5FF37968" w:rsidR="002674C1" w:rsidRPr="00EE43C6" w:rsidRDefault="00996551" w:rsidP="00B625EB">
            <w:pPr>
              <w:spacing w:before="0" w:after="0" w:line="240" w:lineRule="auto"/>
              <w:jc w:val="center"/>
              <w:rPr>
                <w:rFonts w:eastAsia="Arial TUR"/>
                <w:sz w:val="18"/>
                <w:szCs w:val="18"/>
                <w:lang w:eastAsia="en-US"/>
              </w:rPr>
            </w:pPr>
            <w:r w:rsidRPr="00EE43C6">
              <w:rPr>
                <w:rFonts w:eastAsia="Arial TUR"/>
                <w:sz w:val="18"/>
                <w:szCs w:val="18"/>
                <w:lang w:eastAsia="en-US"/>
              </w:rPr>
              <w:t>1</w:t>
            </w:r>
          </w:p>
        </w:tc>
        <w:tc>
          <w:tcPr>
            <w:tcW w:w="2158" w:type="pct"/>
            <w:vAlign w:val="center"/>
          </w:tcPr>
          <w:p w14:paraId="472E488A" w14:textId="60CD9D4B" w:rsidR="002674C1" w:rsidRPr="00C2662E" w:rsidRDefault="00946DF2" w:rsidP="00B625EB">
            <w:pPr>
              <w:spacing w:before="0" w:after="0" w:line="240" w:lineRule="auto"/>
              <w:jc w:val="center"/>
              <w:rPr>
                <w:rFonts w:eastAsia="Arial TUR"/>
                <w:sz w:val="18"/>
                <w:szCs w:val="18"/>
                <w:lang w:val="da-DK" w:eastAsia="en-US"/>
              </w:rPr>
            </w:pPr>
            <w:r w:rsidRPr="00C2662E">
              <w:rPr>
                <w:rFonts w:eastAsia="Arial TUR"/>
                <w:sz w:val="18"/>
                <w:szCs w:val="18"/>
                <w:lang w:val="da-DK" w:eastAsia="en-US"/>
              </w:rPr>
              <w:t>104 dBA (P &gt; 55 kw</w:t>
            </w:r>
            <w:r w:rsidR="00AC1570" w:rsidRPr="00C2662E">
              <w:rPr>
                <w:rFonts w:eastAsia="Arial TUR"/>
                <w:sz w:val="18"/>
                <w:szCs w:val="18"/>
                <w:lang w:val="da-DK" w:eastAsia="en-US"/>
              </w:rPr>
              <w:t>,</w:t>
            </w:r>
            <w:r w:rsidRPr="00C2662E">
              <w:rPr>
                <w:rFonts w:eastAsia="Arial TUR"/>
                <w:sz w:val="18"/>
                <w:szCs w:val="18"/>
                <w:lang w:val="da-DK" w:eastAsia="en-US"/>
              </w:rPr>
              <w:t xml:space="preserve"> 82 + 11 log P)</w:t>
            </w:r>
          </w:p>
        </w:tc>
      </w:tr>
      <w:tr w:rsidR="002674C1" w:rsidRPr="00EE43C6" w14:paraId="492D27D0" w14:textId="77777777" w:rsidTr="006A3316">
        <w:trPr>
          <w:trHeight w:val="284"/>
          <w:jc w:val="center"/>
        </w:trPr>
        <w:tc>
          <w:tcPr>
            <w:tcW w:w="2090" w:type="pct"/>
            <w:vAlign w:val="center"/>
          </w:tcPr>
          <w:p w14:paraId="36339D47" w14:textId="62891E88" w:rsidR="002674C1" w:rsidRPr="00EE43C6" w:rsidRDefault="002674C1" w:rsidP="00B625EB">
            <w:pPr>
              <w:spacing w:before="0" w:after="0" w:line="240" w:lineRule="auto"/>
              <w:jc w:val="center"/>
              <w:rPr>
                <w:rFonts w:eastAsia="Arial TUR"/>
                <w:sz w:val="18"/>
                <w:szCs w:val="18"/>
                <w:lang w:eastAsia="en-US"/>
              </w:rPr>
            </w:pPr>
            <w:r w:rsidRPr="00EE43C6">
              <w:rPr>
                <w:rFonts w:eastAsia="Arial TUR"/>
                <w:sz w:val="18"/>
                <w:szCs w:val="18"/>
                <w:lang w:eastAsia="en-US"/>
              </w:rPr>
              <w:t>Concrete Mixer</w:t>
            </w:r>
            <w:r w:rsidR="00107030" w:rsidRPr="00EE43C6">
              <w:rPr>
                <w:rFonts w:eastAsia="Arial TUR"/>
                <w:sz w:val="18"/>
                <w:szCs w:val="18"/>
                <w:lang w:eastAsia="en-US"/>
              </w:rPr>
              <w:t xml:space="preserve"> (61 kW)</w:t>
            </w:r>
          </w:p>
        </w:tc>
        <w:tc>
          <w:tcPr>
            <w:tcW w:w="752" w:type="pct"/>
            <w:vAlign w:val="center"/>
          </w:tcPr>
          <w:p w14:paraId="75257D43" w14:textId="1A85818C" w:rsidR="002674C1" w:rsidRPr="00EE43C6" w:rsidRDefault="00996551" w:rsidP="00B625EB">
            <w:pPr>
              <w:spacing w:before="0" w:after="0" w:line="240" w:lineRule="auto"/>
              <w:jc w:val="center"/>
              <w:rPr>
                <w:rFonts w:eastAsia="Arial TUR"/>
                <w:sz w:val="18"/>
                <w:szCs w:val="18"/>
                <w:lang w:eastAsia="en-US"/>
              </w:rPr>
            </w:pPr>
            <w:r w:rsidRPr="00EE43C6">
              <w:rPr>
                <w:rFonts w:eastAsia="Arial TUR"/>
                <w:sz w:val="18"/>
                <w:szCs w:val="18"/>
                <w:lang w:eastAsia="en-US"/>
              </w:rPr>
              <w:t>5</w:t>
            </w:r>
          </w:p>
        </w:tc>
        <w:tc>
          <w:tcPr>
            <w:tcW w:w="2158" w:type="pct"/>
            <w:vAlign w:val="center"/>
          </w:tcPr>
          <w:p w14:paraId="3A4376B1" w14:textId="0AD39075" w:rsidR="002674C1" w:rsidRPr="00C2662E" w:rsidRDefault="00BC4DF1" w:rsidP="00B625EB">
            <w:pPr>
              <w:spacing w:before="0" w:after="0" w:line="240" w:lineRule="auto"/>
              <w:jc w:val="center"/>
              <w:rPr>
                <w:rFonts w:eastAsia="Arial TUR"/>
                <w:sz w:val="18"/>
                <w:szCs w:val="18"/>
                <w:lang w:val="da-DK" w:eastAsia="en-US"/>
              </w:rPr>
            </w:pPr>
            <w:r w:rsidRPr="00C2662E">
              <w:rPr>
                <w:rFonts w:eastAsia="Arial TUR"/>
                <w:sz w:val="18"/>
                <w:szCs w:val="18"/>
                <w:lang w:val="da-DK" w:eastAsia="en-US"/>
              </w:rPr>
              <w:t>101 dBA (P &gt; 55 kw</w:t>
            </w:r>
            <w:r w:rsidR="00AC1570" w:rsidRPr="00C2662E">
              <w:rPr>
                <w:rFonts w:eastAsia="Arial TUR"/>
                <w:sz w:val="18"/>
                <w:szCs w:val="18"/>
                <w:lang w:val="da-DK" w:eastAsia="en-US"/>
              </w:rPr>
              <w:t>,</w:t>
            </w:r>
            <w:r w:rsidRPr="00C2662E">
              <w:rPr>
                <w:rFonts w:eastAsia="Arial TUR"/>
                <w:sz w:val="18"/>
                <w:szCs w:val="18"/>
                <w:lang w:val="da-DK" w:eastAsia="en-US"/>
              </w:rPr>
              <w:t xml:space="preserve"> 82 + 11 log P)</w:t>
            </w:r>
          </w:p>
        </w:tc>
      </w:tr>
      <w:tr w:rsidR="002674C1" w:rsidRPr="00EE43C6" w14:paraId="1189D222" w14:textId="77777777" w:rsidTr="006A3316">
        <w:trPr>
          <w:trHeight w:val="284"/>
          <w:jc w:val="center"/>
        </w:trPr>
        <w:tc>
          <w:tcPr>
            <w:tcW w:w="2090" w:type="pct"/>
            <w:vAlign w:val="center"/>
          </w:tcPr>
          <w:p w14:paraId="645D234A" w14:textId="165F5CF6" w:rsidR="002674C1" w:rsidRPr="00EE43C6" w:rsidRDefault="002674C1" w:rsidP="00B625EB">
            <w:pPr>
              <w:spacing w:before="0" w:after="0" w:line="240" w:lineRule="auto"/>
              <w:jc w:val="center"/>
              <w:rPr>
                <w:rFonts w:eastAsia="Arial TUR"/>
                <w:sz w:val="18"/>
                <w:szCs w:val="18"/>
                <w:lang w:eastAsia="en-US"/>
              </w:rPr>
            </w:pPr>
            <w:r w:rsidRPr="00EE43C6">
              <w:rPr>
                <w:rFonts w:eastAsia="Arial TUR"/>
                <w:sz w:val="18"/>
                <w:szCs w:val="18"/>
                <w:lang w:eastAsia="en-US"/>
              </w:rPr>
              <w:t>Concrete Pump</w:t>
            </w:r>
            <w:r w:rsidR="00107030" w:rsidRPr="00EE43C6">
              <w:rPr>
                <w:rFonts w:eastAsia="Arial TUR"/>
                <w:sz w:val="18"/>
                <w:szCs w:val="18"/>
                <w:lang w:eastAsia="en-US"/>
              </w:rPr>
              <w:t xml:space="preserve"> (209 kW)</w:t>
            </w:r>
          </w:p>
        </w:tc>
        <w:tc>
          <w:tcPr>
            <w:tcW w:w="752" w:type="pct"/>
            <w:vAlign w:val="center"/>
          </w:tcPr>
          <w:p w14:paraId="641FA7B8" w14:textId="0EC78784" w:rsidR="002674C1" w:rsidRPr="00EE43C6" w:rsidRDefault="00996551" w:rsidP="00B625EB">
            <w:pPr>
              <w:spacing w:before="0" w:after="0" w:line="240" w:lineRule="auto"/>
              <w:jc w:val="center"/>
              <w:rPr>
                <w:rFonts w:eastAsia="Arial TUR"/>
                <w:sz w:val="18"/>
                <w:szCs w:val="18"/>
                <w:lang w:eastAsia="en-US"/>
              </w:rPr>
            </w:pPr>
            <w:r w:rsidRPr="00EE43C6">
              <w:rPr>
                <w:rFonts w:eastAsia="Arial TUR"/>
                <w:sz w:val="18"/>
                <w:szCs w:val="18"/>
                <w:lang w:eastAsia="en-US"/>
              </w:rPr>
              <w:t>5</w:t>
            </w:r>
          </w:p>
        </w:tc>
        <w:tc>
          <w:tcPr>
            <w:tcW w:w="2158" w:type="pct"/>
            <w:vAlign w:val="center"/>
          </w:tcPr>
          <w:p w14:paraId="2D7235E1" w14:textId="4F718532" w:rsidR="002674C1" w:rsidRPr="00C2662E" w:rsidRDefault="00706228" w:rsidP="00B625EB">
            <w:pPr>
              <w:spacing w:before="0" w:after="0" w:line="240" w:lineRule="auto"/>
              <w:jc w:val="center"/>
              <w:rPr>
                <w:rFonts w:eastAsia="Arial TUR"/>
                <w:sz w:val="18"/>
                <w:szCs w:val="18"/>
                <w:lang w:val="da-DK" w:eastAsia="en-US"/>
              </w:rPr>
            </w:pPr>
            <w:r w:rsidRPr="00C2662E">
              <w:rPr>
                <w:rFonts w:eastAsia="Arial TUR"/>
                <w:sz w:val="18"/>
                <w:szCs w:val="18"/>
                <w:lang w:val="da-DK" w:eastAsia="en-US"/>
              </w:rPr>
              <w:t>107 dBA (P &gt; 55 kw</w:t>
            </w:r>
            <w:r w:rsidR="00AC1570" w:rsidRPr="00C2662E">
              <w:rPr>
                <w:rFonts w:eastAsia="Arial TUR"/>
                <w:sz w:val="18"/>
                <w:szCs w:val="18"/>
                <w:lang w:val="da-DK" w:eastAsia="en-US"/>
              </w:rPr>
              <w:t>,</w:t>
            </w:r>
            <w:r w:rsidRPr="00C2662E">
              <w:rPr>
                <w:rFonts w:eastAsia="Arial TUR"/>
                <w:sz w:val="18"/>
                <w:szCs w:val="18"/>
                <w:lang w:val="da-DK" w:eastAsia="en-US"/>
              </w:rPr>
              <w:t xml:space="preserve"> 82 + 11 log P)</w:t>
            </w:r>
          </w:p>
        </w:tc>
      </w:tr>
      <w:tr w:rsidR="002674C1" w:rsidRPr="00EE43C6" w14:paraId="3A50992F" w14:textId="77777777" w:rsidTr="006A3316">
        <w:trPr>
          <w:trHeight w:val="284"/>
          <w:jc w:val="center"/>
        </w:trPr>
        <w:tc>
          <w:tcPr>
            <w:tcW w:w="2090" w:type="pct"/>
            <w:vAlign w:val="center"/>
          </w:tcPr>
          <w:p w14:paraId="6F4F0A36" w14:textId="183B7F5E" w:rsidR="002674C1" w:rsidRPr="00EE43C6" w:rsidRDefault="002674C1" w:rsidP="00B625EB">
            <w:pPr>
              <w:spacing w:before="0" w:after="0" w:line="240" w:lineRule="auto"/>
              <w:jc w:val="center"/>
              <w:rPr>
                <w:rFonts w:eastAsia="Arial TUR"/>
                <w:sz w:val="18"/>
                <w:szCs w:val="18"/>
                <w:lang w:eastAsia="en-US"/>
              </w:rPr>
            </w:pPr>
            <w:r w:rsidRPr="00EE43C6">
              <w:rPr>
                <w:rFonts w:eastAsia="Arial TUR"/>
                <w:sz w:val="18"/>
                <w:szCs w:val="18"/>
                <w:lang w:eastAsia="en-US"/>
              </w:rPr>
              <w:t>Truck</w:t>
            </w:r>
            <w:r w:rsidR="00996551" w:rsidRPr="00EE43C6">
              <w:rPr>
                <w:rFonts w:eastAsia="Arial TUR"/>
                <w:sz w:val="18"/>
                <w:szCs w:val="18"/>
                <w:lang w:eastAsia="en-US"/>
              </w:rPr>
              <w:t xml:space="preserve"> (356 kW)</w:t>
            </w:r>
          </w:p>
        </w:tc>
        <w:tc>
          <w:tcPr>
            <w:tcW w:w="752" w:type="pct"/>
            <w:vAlign w:val="center"/>
          </w:tcPr>
          <w:p w14:paraId="4647ABBC" w14:textId="17A69A83" w:rsidR="002674C1" w:rsidRPr="00EE43C6" w:rsidRDefault="00996551" w:rsidP="00B625EB">
            <w:pPr>
              <w:spacing w:before="0" w:after="0" w:line="240" w:lineRule="auto"/>
              <w:jc w:val="center"/>
              <w:rPr>
                <w:rFonts w:eastAsia="Arial TUR"/>
                <w:sz w:val="18"/>
                <w:szCs w:val="18"/>
                <w:lang w:eastAsia="en-US"/>
              </w:rPr>
            </w:pPr>
            <w:r w:rsidRPr="00EE43C6">
              <w:rPr>
                <w:rFonts w:eastAsia="Arial TUR"/>
                <w:sz w:val="18"/>
                <w:szCs w:val="18"/>
                <w:lang w:eastAsia="en-US"/>
              </w:rPr>
              <w:t>15</w:t>
            </w:r>
          </w:p>
        </w:tc>
        <w:tc>
          <w:tcPr>
            <w:tcW w:w="2158" w:type="pct"/>
            <w:vAlign w:val="center"/>
          </w:tcPr>
          <w:p w14:paraId="46941759" w14:textId="39F0826C" w:rsidR="002674C1" w:rsidRPr="00C2662E" w:rsidRDefault="00706228" w:rsidP="00B625EB">
            <w:pPr>
              <w:spacing w:before="0" w:after="0" w:line="240" w:lineRule="auto"/>
              <w:jc w:val="center"/>
              <w:rPr>
                <w:rFonts w:eastAsia="Arial TUR"/>
                <w:sz w:val="18"/>
                <w:szCs w:val="18"/>
                <w:lang w:val="da-DK" w:eastAsia="en-US"/>
              </w:rPr>
            </w:pPr>
            <w:r w:rsidRPr="00C2662E">
              <w:rPr>
                <w:rFonts w:eastAsia="Arial TUR"/>
                <w:sz w:val="18"/>
                <w:szCs w:val="18"/>
                <w:lang w:val="da-DK" w:eastAsia="en-US"/>
              </w:rPr>
              <w:t>110 dBA (P &gt; 55 kw</w:t>
            </w:r>
            <w:r w:rsidR="00AC1570" w:rsidRPr="00C2662E">
              <w:rPr>
                <w:rFonts w:eastAsia="Arial TUR"/>
                <w:sz w:val="18"/>
                <w:szCs w:val="18"/>
                <w:lang w:val="da-DK" w:eastAsia="en-US"/>
              </w:rPr>
              <w:t>,</w:t>
            </w:r>
            <w:r w:rsidRPr="00C2662E">
              <w:rPr>
                <w:rFonts w:eastAsia="Arial TUR"/>
                <w:sz w:val="18"/>
                <w:szCs w:val="18"/>
                <w:lang w:val="da-DK" w:eastAsia="en-US"/>
              </w:rPr>
              <w:t xml:space="preserve"> 82 + 11 log P)</w:t>
            </w:r>
          </w:p>
        </w:tc>
      </w:tr>
      <w:tr w:rsidR="002674C1" w:rsidRPr="00EE43C6" w14:paraId="1711F3A0" w14:textId="77777777" w:rsidTr="006A3316">
        <w:trPr>
          <w:trHeight w:val="284"/>
          <w:jc w:val="center"/>
        </w:trPr>
        <w:tc>
          <w:tcPr>
            <w:tcW w:w="2090" w:type="pct"/>
            <w:vAlign w:val="center"/>
          </w:tcPr>
          <w:p w14:paraId="41117079" w14:textId="66D4B89C" w:rsidR="002674C1" w:rsidRPr="00EE43C6" w:rsidRDefault="002674C1" w:rsidP="00B625EB">
            <w:pPr>
              <w:spacing w:before="0" w:after="0" w:line="240" w:lineRule="auto"/>
              <w:jc w:val="center"/>
              <w:rPr>
                <w:rFonts w:eastAsia="Arial TUR"/>
                <w:sz w:val="18"/>
                <w:szCs w:val="18"/>
                <w:lang w:eastAsia="en-US"/>
              </w:rPr>
            </w:pPr>
            <w:r w:rsidRPr="00EE43C6">
              <w:rPr>
                <w:rFonts w:eastAsia="Arial TUR"/>
                <w:sz w:val="18"/>
                <w:szCs w:val="18"/>
                <w:lang w:eastAsia="en-US"/>
              </w:rPr>
              <w:t>Water Truck</w:t>
            </w:r>
            <w:r w:rsidR="00996551" w:rsidRPr="00EE43C6">
              <w:rPr>
                <w:rFonts w:eastAsia="Arial TUR"/>
                <w:sz w:val="18"/>
                <w:szCs w:val="18"/>
                <w:lang w:eastAsia="en-US"/>
              </w:rPr>
              <w:t xml:space="preserve"> (60 kW)</w:t>
            </w:r>
          </w:p>
        </w:tc>
        <w:tc>
          <w:tcPr>
            <w:tcW w:w="752" w:type="pct"/>
            <w:vAlign w:val="center"/>
          </w:tcPr>
          <w:p w14:paraId="5514A7F9" w14:textId="6D8258F9" w:rsidR="002674C1" w:rsidRPr="00EE43C6" w:rsidRDefault="00996551" w:rsidP="00B625EB">
            <w:pPr>
              <w:spacing w:before="0" w:after="0" w:line="240" w:lineRule="auto"/>
              <w:jc w:val="center"/>
              <w:rPr>
                <w:rFonts w:eastAsia="Arial TUR"/>
                <w:sz w:val="18"/>
                <w:szCs w:val="18"/>
                <w:lang w:eastAsia="en-US"/>
              </w:rPr>
            </w:pPr>
            <w:r w:rsidRPr="00EE43C6">
              <w:rPr>
                <w:rFonts w:eastAsia="Arial TUR"/>
                <w:sz w:val="18"/>
                <w:szCs w:val="18"/>
                <w:lang w:eastAsia="en-US"/>
              </w:rPr>
              <w:t>5</w:t>
            </w:r>
          </w:p>
        </w:tc>
        <w:tc>
          <w:tcPr>
            <w:tcW w:w="2158" w:type="pct"/>
            <w:vAlign w:val="center"/>
          </w:tcPr>
          <w:p w14:paraId="147CE961" w14:textId="446831E7" w:rsidR="002674C1" w:rsidRPr="00C2662E" w:rsidRDefault="00563CCE" w:rsidP="00B625EB">
            <w:pPr>
              <w:spacing w:before="0" w:after="0" w:line="240" w:lineRule="auto"/>
              <w:jc w:val="center"/>
              <w:rPr>
                <w:rFonts w:eastAsia="Arial TUR"/>
                <w:sz w:val="18"/>
                <w:szCs w:val="18"/>
                <w:lang w:val="da-DK" w:eastAsia="en-US"/>
              </w:rPr>
            </w:pPr>
            <w:r w:rsidRPr="00C2662E">
              <w:rPr>
                <w:rFonts w:eastAsia="Arial TUR"/>
                <w:sz w:val="18"/>
                <w:szCs w:val="18"/>
                <w:lang w:val="da-DK" w:eastAsia="en-US"/>
              </w:rPr>
              <w:t>101 dBA (P &gt; 55 kw</w:t>
            </w:r>
            <w:r w:rsidR="00AC1570" w:rsidRPr="00C2662E">
              <w:rPr>
                <w:rFonts w:eastAsia="Arial TUR"/>
                <w:sz w:val="18"/>
                <w:szCs w:val="18"/>
                <w:lang w:val="da-DK" w:eastAsia="en-US"/>
              </w:rPr>
              <w:t>,</w:t>
            </w:r>
            <w:r w:rsidRPr="00C2662E">
              <w:rPr>
                <w:rFonts w:eastAsia="Arial TUR"/>
                <w:sz w:val="18"/>
                <w:szCs w:val="18"/>
                <w:lang w:val="da-DK" w:eastAsia="en-US"/>
              </w:rPr>
              <w:t xml:space="preserve"> 82 + 11 log P)</w:t>
            </w:r>
          </w:p>
        </w:tc>
      </w:tr>
    </w:tbl>
    <w:p w14:paraId="04F56D07" w14:textId="2065B581" w:rsidR="00692EFA" w:rsidRPr="00EE43C6" w:rsidRDefault="00C27D52" w:rsidP="00013B6A">
      <w:pPr>
        <w:rPr>
          <w:rFonts w:eastAsia="Arial TUR"/>
          <w:lang w:eastAsia="en-US"/>
        </w:rPr>
      </w:pPr>
      <w:r w:rsidRPr="00EE43C6">
        <w:rPr>
          <w:rFonts w:eastAsia="Arial TUR"/>
          <w:lang w:eastAsia="en-US"/>
        </w:rPr>
        <w:t>Assuming that the vehicle</w:t>
      </w:r>
      <w:r w:rsidR="00DC29DC" w:rsidRPr="00EE43C6">
        <w:rPr>
          <w:rFonts w:eastAsia="Arial TUR"/>
          <w:lang w:eastAsia="en-US"/>
        </w:rPr>
        <w:t>s</w:t>
      </w:r>
      <w:r w:rsidRPr="00EE43C6">
        <w:rPr>
          <w:rFonts w:eastAsia="Arial TUR"/>
          <w:lang w:eastAsia="en-US"/>
        </w:rPr>
        <w:t xml:space="preserve"> and equipment to be used within the scope of the </w:t>
      </w:r>
      <w:r w:rsidR="00863865" w:rsidRPr="00EE43C6">
        <w:rPr>
          <w:rFonts w:eastAsia="Arial TUR"/>
          <w:lang w:eastAsia="en-US"/>
        </w:rPr>
        <w:t>P</w:t>
      </w:r>
      <w:r w:rsidRPr="00EE43C6">
        <w:rPr>
          <w:rFonts w:eastAsia="Arial TUR"/>
          <w:lang w:eastAsia="en-US"/>
        </w:rPr>
        <w:t>roject operate at the same time and in the same place, the total sound pressure level that will emerge under the most adverse conditions has been calculated.</w:t>
      </w:r>
    </w:p>
    <w:p w14:paraId="5C1C1134" w14:textId="126FBFA5" w:rsidR="007E607E" w:rsidRPr="00EE43C6" w:rsidRDefault="007E607E" w:rsidP="007E607E">
      <w:pPr>
        <w:rPr>
          <w:rFonts w:eastAsia="Arial TUR"/>
          <w:lang w:eastAsia="en-US"/>
        </w:rPr>
      </w:pPr>
      <w:r w:rsidRPr="00EE43C6">
        <w:rPr>
          <w:rFonts w:eastAsia="Arial TUR"/>
          <w:i/>
          <w:lang w:eastAsia="en-US"/>
        </w:rPr>
        <w:t>L</w:t>
      </w:r>
      <w:r w:rsidR="00AD5158" w:rsidRPr="00EE43C6">
        <w:rPr>
          <w:rFonts w:eastAsia="Arial TUR"/>
          <w:vertAlign w:val="subscript"/>
          <w:lang w:eastAsia="en-US"/>
        </w:rPr>
        <w:t>W</w:t>
      </w:r>
      <w:r w:rsidRPr="00EE43C6">
        <w:rPr>
          <w:rFonts w:eastAsia="Arial TUR"/>
          <w:vertAlign w:val="subscript"/>
          <w:lang w:eastAsia="en-US"/>
        </w:rPr>
        <w:t>T</w:t>
      </w:r>
      <w:r w:rsidRPr="00EE43C6">
        <w:rPr>
          <w:rFonts w:eastAsia="Arial TUR"/>
          <w:lang w:eastAsia="en-US"/>
        </w:rPr>
        <w:t>= 10 log</w:t>
      </w:r>
      <w:r w:rsidR="004F3287" w:rsidRPr="00EE43C6">
        <w:rPr>
          <w:rFonts w:eastAsia="Arial TUR" w:cs="Arial"/>
          <w:lang w:eastAsia="en-US"/>
        </w:rPr>
        <w:t>∑</w:t>
      </w:r>
      <w:r w:rsidRPr="00EE43C6">
        <w:rPr>
          <w:rFonts w:eastAsia="Arial TUR"/>
          <w:lang w:eastAsia="en-US"/>
        </w:rPr>
        <w:t xml:space="preserve">10 </w:t>
      </w:r>
      <w:r w:rsidRPr="00EE43C6">
        <w:rPr>
          <w:rFonts w:eastAsia="Arial TUR"/>
          <w:vertAlign w:val="superscript"/>
          <w:lang w:eastAsia="en-US"/>
        </w:rPr>
        <w:t>Lwi/10</w:t>
      </w:r>
    </w:p>
    <w:p w14:paraId="3BCCE510" w14:textId="7E54C215" w:rsidR="007E607E" w:rsidRPr="00EE43C6" w:rsidRDefault="007E607E" w:rsidP="007E607E">
      <w:pPr>
        <w:rPr>
          <w:rFonts w:eastAsia="Arial TUR"/>
          <w:lang w:eastAsia="en-US"/>
        </w:rPr>
      </w:pPr>
      <w:r w:rsidRPr="00EE43C6">
        <w:rPr>
          <w:rFonts w:eastAsia="Arial TUR"/>
          <w:i/>
          <w:lang w:eastAsia="en-US"/>
        </w:rPr>
        <w:t>L</w:t>
      </w:r>
      <w:r w:rsidR="00AD5158" w:rsidRPr="00EE43C6">
        <w:rPr>
          <w:rFonts w:eastAsia="Arial TUR"/>
          <w:vertAlign w:val="subscript"/>
          <w:lang w:eastAsia="en-US"/>
        </w:rPr>
        <w:t>WT</w:t>
      </w:r>
      <w:r w:rsidRPr="00EE43C6">
        <w:rPr>
          <w:rFonts w:eastAsia="Arial TUR"/>
          <w:lang w:eastAsia="en-US"/>
        </w:rPr>
        <w:t>= 10 log 5(10</w:t>
      </w:r>
      <w:r w:rsidRPr="00EE43C6">
        <w:rPr>
          <w:rFonts w:eastAsia="Arial TUR"/>
          <w:vertAlign w:val="superscript"/>
          <w:lang w:eastAsia="en-US"/>
        </w:rPr>
        <w:t>107/10</w:t>
      </w:r>
      <w:r w:rsidR="00153632" w:rsidRPr="00EE43C6">
        <w:rPr>
          <w:rFonts w:eastAsia="Arial TUR"/>
          <w:lang w:eastAsia="en-US"/>
        </w:rPr>
        <w:t xml:space="preserve">) + </w:t>
      </w:r>
      <w:r w:rsidRPr="00EE43C6">
        <w:rPr>
          <w:rFonts w:eastAsia="Arial TUR"/>
          <w:lang w:eastAsia="en-US"/>
        </w:rPr>
        <w:t>5(10</w:t>
      </w:r>
      <w:r w:rsidRPr="00EE43C6">
        <w:rPr>
          <w:rFonts w:eastAsia="Arial TUR"/>
          <w:vertAlign w:val="superscript"/>
          <w:lang w:eastAsia="en-US"/>
        </w:rPr>
        <w:t>114/10</w:t>
      </w:r>
      <w:r w:rsidRPr="00EE43C6">
        <w:rPr>
          <w:rFonts w:eastAsia="Arial TUR"/>
          <w:lang w:eastAsia="en-US"/>
        </w:rPr>
        <w:t>) + 5(10</w:t>
      </w:r>
      <w:r w:rsidRPr="00EE43C6">
        <w:rPr>
          <w:rFonts w:eastAsia="Arial TUR"/>
          <w:vertAlign w:val="superscript"/>
          <w:lang w:eastAsia="en-US"/>
        </w:rPr>
        <w:t>109/10</w:t>
      </w:r>
      <w:r w:rsidRPr="00EE43C6">
        <w:rPr>
          <w:rFonts w:eastAsia="Arial TUR"/>
          <w:lang w:eastAsia="en-US"/>
        </w:rPr>
        <w:t>) +</w:t>
      </w:r>
      <w:r w:rsidR="00153632" w:rsidRPr="00EE43C6">
        <w:rPr>
          <w:rFonts w:eastAsia="Arial TUR"/>
          <w:lang w:eastAsia="en-US"/>
        </w:rPr>
        <w:t xml:space="preserve"> </w:t>
      </w:r>
      <w:r w:rsidRPr="00EE43C6">
        <w:rPr>
          <w:rFonts w:eastAsia="Arial TUR"/>
          <w:lang w:eastAsia="en-US"/>
        </w:rPr>
        <w:t>5(10</w:t>
      </w:r>
      <w:r w:rsidRPr="00EE43C6">
        <w:rPr>
          <w:rFonts w:eastAsia="Arial TUR"/>
          <w:vertAlign w:val="superscript"/>
          <w:lang w:eastAsia="en-US"/>
        </w:rPr>
        <w:t>108/10</w:t>
      </w:r>
      <w:r w:rsidRPr="00EE43C6">
        <w:rPr>
          <w:rFonts w:eastAsia="Arial TUR"/>
          <w:lang w:eastAsia="en-US"/>
        </w:rPr>
        <w:t>) +10(10</w:t>
      </w:r>
      <w:r w:rsidRPr="00EE43C6">
        <w:rPr>
          <w:rFonts w:eastAsia="Arial TUR"/>
          <w:vertAlign w:val="superscript"/>
          <w:lang w:eastAsia="en-US"/>
        </w:rPr>
        <w:t>109/10</w:t>
      </w:r>
      <w:r w:rsidRPr="00EE43C6">
        <w:rPr>
          <w:rFonts w:eastAsia="Arial TUR"/>
          <w:lang w:eastAsia="en-US"/>
        </w:rPr>
        <w:t>) +</w:t>
      </w:r>
      <w:r w:rsidR="00153632" w:rsidRPr="00EE43C6">
        <w:rPr>
          <w:rFonts w:eastAsia="Arial TUR"/>
          <w:lang w:eastAsia="en-US"/>
        </w:rPr>
        <w:t xml:space="preserve"> </w:t>
      </w:r>
      <w:r w:rsidRPr="00EE43C6">
        <w:rPr>
          <w:rFonts w:eastAsia="Arial TUR"/>
          <w:lang w:eastAsia="en-US"/>
        </w:rPr>
        <w:t>5(10</w:t>
      </w:r>
      <w:r w:rsidRPr="00EE43C6">
        <w:rPr>
          <w:rFonts w:eastAsia="Arial TUR"/>
          <w:vertAlign w:val="superscript"/>
          <w:lang w:eastAsia="en-US"/>
        </w:rPr>
        <w:t>102/10</w:t>
      </w:r>
      <w:r w:rsidRPr="00EE43C6">
        <w:rPr>
          <w:rFonts w:eastAsia="Arial TUR"/>
          <w:lang w:eastAsia="en-US"/>
        </w:rPr>
        <w:t xml:space="preserve">) </w:t>
      </w:r>
    </w:p>
    <w:p w14:paraId="6E919BD3" w14:textId="76CD7B0D" w:rsidR="00863865" w:rsidRPr="00EE43C6" w:rsidRDefault="007E607E" w:rsidP="007E607E">
      <w:pPr>
        <w:rPr>
          <w:rFonts w:eastAsia="Arial TUR"/>
          <w:lang w:eastAsia="en-US"/>
        </w:rPr>
      </w:pPr>
      <w:r w:rsidRPr="00EE43C6">
        <w:rPr>
          <w:rFonts w:eastAsia="Arial TUR"/>
          <w:i/>
          <w:lang w:eastAsia="en-US"/>
        </w:rPr>
        <w:t>L</w:t>
      </w:r>
      <w:r w:rsidR="00153632" w:rsidRPr="00EE43C6">
        <w:rPr>
          <w:rFonts w:eastAsia="Arial TUR"/>
          <w:vertAlign w:val="subscript"/>
          <w:lang w:eastAsia="en-US"/>
        </w:rPr>
        <w:t>WT</w:t>
      </w:r>
      <w:r w:rsidRPr="00EE43C6">
        <w:rPr>
          <w:rFonts w:eastAsia="Arial TUR"/>
          <w:lang w:eastAsia="en-US"/>
        </w:rPr>
        <w:t>= 118</w:t>
      </w:r>
      <w:r w:rsidR="00153632" w:rsidRPr="00EE43C6">
        <w:rPr>
          <w:rFonts w:eastAsia="Arial TUR"/>
          <w:lang w:eastAsia="en-US"/>
        </w:rPr>
        <w:t>.</w:t>
      </w:r>
      <w:r w:rsidRPr="00EE43C6">
        <w:rPr>
          <w:rFonts w:eastAsia="Arial TUR"/>
          <w:lang w:eastAsia="en-US"/>
        </w:rPr>
        <w:t>47 dBA</w:t>
      </w:r>
    </w:p>
    <w:p w14:paraId="57C17AF4" w14:textId="31404595" w:rsidR="00153632" w:rsidRPr="00EE43C6" w:rsidRDefault="00DD60C6" w:rsidP="007E607E">
      <w:pPr>
        <w:rPr>
          <w:rFonts w:eastAsia="Arial TUR"/>
          <w:lang w:eastAsia="en-US"/>
        </w:rPr>
      </w:pPr>
      <w:r w:rsidRPr="00EE43C6">
        <w:rPr>
          <w:rFonts w:eastAsia="Arial TUR"/>
          <w:lang w:eastAsia="en-US"/>
        </w:rPr>
        <w:t>The sound pressure level in the 4</w:t>
      </w:r>
      <w:r w:rsidR="00503C98" w:rsidRPr="00EE43C6">
        <w:rPr>
          <w:rFonts w:eastAsia="Arial TUR"/>
          <w:lang w:eastAsia="en-US"/>
        </w:rPr>
        <w:t>-</w:t>
      </w:r>
      <w:r w:rsidRPr="00EE43C6">
        <w:rPr>
          <w:rFonts w:eastAsia="Arial TUR"/>
          <w:lang w:eastAsia="en-US"/>
        </w:rPr>
        <w:t>octave band of the total sound power level was calculated according to the formula below and the results are given in</w:t>
      </w:r>
      <w:r w:rsidR="006A3316" w:rsidRPr="00EE43C6">
        <w:rPr>
          <w:rFonts w:eastAsia="Arial TUR"/>
          <w:lang w:eastAsia="en-US"/>
        </w:rPr>
        <w:t xml:space="preserve"> </w:t>
      </w:r>
      <w:r w:rsidR="006879B5" w:rsidRPr="00EE43C6">
        <w:rPr>
          <w:rFonts w:eastAsia="Arial TUR"/>
          <w:lang w:eastAsia="en-US"/>
        </w:rPr>
        <w:fldChar w:fldCharType="begin"/>
      </w:r>
      <w:r w:rsidR="006879B5" w:rsidRPr="00EE43C6">
        <w:rPr>
          <w:rFonts w:eastAsia="Arial TUR"/>
          <w:lang w:eastAsia="en-US"/>
        </w:rPr>
        <w:instrText xml:space="preserve"> REF _Ref127981766 \h </w:instrText>
      </w:r>
      <w:r w:rsidR="006879B5" w:rsidRPr="00EE43C6">
        <w:rPr>
          <w:rFonts w:eastAsia="Arial TUR"/>
          <w:lang w:eastAsia="en-US"/>
        </w:rPr>
      </w:r>
      <w:r w:rsidR="006879B5" w:rsidRPr="00EE43C6">
        <w:rPr>
          <w:rFonts w:eastAsia="Arial TUR"/>
          <w:lang w:eastAsia="en-US"/>
        </w:rPr>
        <w:fldChar w:fldCharType="separate"/>
      </w:r>
      <w:r w:rsidR="00DA3EF8" w:rsidRPr="00EE43C6">
        <w:t>Table 6</w:t>
      </w:r>
      <w:r w:rsidR="00DA3EF8" w:rsidRPr="00EE43C6">
        <w:noBreakHyphen/>
        <w:t>23</w:t>
      </w:r>
      <w:r w:rsidR="006879B5" w:rsidRPr="00EE43C6">
        <w:rPr>
          <w:rFonts w:eastAsia="Arial TUR"/>
          <w:lang w:eastAsia="en-US"/>
        </w:rPr>
        <w:fldChar w:fldCharType="end"/>
      </w:r>
      <w:r w:rsidR="006A3316" w:rsidRPr="00EE43C6">
        <w:rPr>
          <w:rFonts w:eastAsia="Arial TUR"/>
          <w:lang w:eastAsia="en-US"/>
        </w:rPr>
        <w:fldChar w:fldCharType="begin"/>
      </w:r>
      <w:r w:rsidR="006A3316" w:rsidRPr="00EE43C6">
        <w:rPr>
          <w:rFonts w:eastAsia="Arial TUR"/>
          <w:lang w:eastAsia="en-US"/>
        </w:rPr>
        <w:instrText xml:space="preserve"> REF _Ref126336941 \h </w:instrText>
      </w:r>
      <w:r w:rsidR="006A3316" w:rsidRPr="00EE43C6">
        <w:rPr>
          <w:rFonts w:eastAsia="Arial TUR"/>
          <w:lang w:eastAsia="en-US"/>
        </w:rPr>
      </w:r>
      <w:r w:rsidR="006A3316" w:rsidRPr="00EE43C6">
        <w:rPr>
          <w:rFonts w:eastAsia="Arial TUR"/>
          <w:lang w:eastAsia="en-US"/>
        </w:rPr>
        <w:fldChar w:fldCharType="end"/>
      </w:r>
      <w:r w:rsidRPr="00EE43C6">
        <w:rPr>
          <w:rFonts w:eastAsia="Arial TUR"/>
          <w:lang w:eastAsia="en-US"/>
        </w:rPr>
        <w:t>.</w:t>
      </w:r>
    </w:p>
    <w:p w14:paraId="740331C9" w14:textId="632DD37C" w:rsidR="00DD60C6" w:rsidRPr="00EE43C6" w:rsidRDefault="00BC0AB5" w:rsidP="004B65EE">
      <w:pPr>
        <w:spacing w:before="0" w:after="0"/>
        <w:rPr>
          <w:rFonts w:eastAsia="Arial TUR"/>
          <w:lang w:eastAsia="en-US"/>
        </w:rPr>
      </w:pPr>
      <w:r w:rsidRPr="00EE43C6">
        <w:rPr>
          <w:rFonts w:eastAsia="Arial TUR"/>
          <w:noProof/>
        </w:rPr>
        <w:drawing>
          <wp:inline distT="0" distB="0" distL="0" distR="0" wp14:anchorId="701736B4" wp14:editId="459A7E7E">
            <wp:extent cx="1552792" cy="581106"/>
            <wp:effectExtent l="0" t="0" r="9525" b="95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52792" cy="581106"/>
                    </a:xfrm>
                    <a:prstGeom prst="rect">
                      <a:avLst/>
                    </a:prstGeom>
                  </pic:spPr>
                </pic:pic>
              </a:graphicData>
            </a:graphic>
          </wp:inline>
        </w:drawing>
      </w:r>
    </w:p>
    <w:p w14:paraId="3E6284C4" w14:textId="4F89AC31" w:rsidR="004B5FD5" w:rsidRPr="00EE43C6" w:rsidRDefault="00CE48AB" w:rsidP="00CE48AB">
      <w:pPr>
        <w:pStyle w:val="Caption"/>
        <w:rPr>
          <w:rFonts w:eastAsia="Arial TUR"/>
          <w:noProof w:val="0"/>
        </w:rPr>
      </w:pPr>
      <w:bookmarkStart w:id="590" w:name="_Ref126160633"/>
      <w:bookmarkStart w:id="591" w:name="_Ref127981766"/>
      <w:bookmarkStart w:id="592" w:name="_Ref126336941"/>
      <w:bookmarkStart w:id="593" w:name="_Toc141445532"/>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23</w:t>
      </w:r>
      <w:r w:rsidR="006D2DE8">
        <w:rPr>
          <w:noProof w:val="0"/>
        </w:rPr>
        <w:fldChar w:fldCharType="end"/>
      </w:r>
      <w:bookmarkEnd w:id="590"/>
      <w:bookmarkEnd w:id="591"/>
      <w:bookmarkEnd w:id="592"/>
      <w:r w:rsidRPr="00EE43C6">
        <w:rPr>
          <w:noProof w:val="0"/>
        </w:rPr>
        <w:t xml:space="preserve">. </w:t>
      </w:r>
      <w:r w:rsidR="004B5FD5" w:rsidRPr="00EE43C6">
        <w:rPr>
          <w:rFonts w:eastAsia="Arial TUR"/>
          <w:b w:val="0"/>
          <w:bCs w:val="0"/>
          <w:noProof w:val="0"/>
          <w:color w:val="auto"/>
        </w:rPr>
        <w:t>Distribution of Sound Power Levels to Octave Bands</w:t>
      </w:r>
      <w:bookmarkEnd w:id="593"/>
    </w:p>
    <w:tbl>
      <w:tblPr>
        <w:tblStyle w:val="TableGrid"/>
        <w:tblW w:w="5000" w:type="pct"/>
        <w:jc w:val="center"/>
        <w:tblLook w:val="04A0" w:firstRow="1" w:lastRow="0" w:firstColumn="1" w:lastColumn="0" w:noHBand="0" w:noVBand="1"/>
      </w:tblPr>
      <w:tblGrid>
        <w:gridCol w:w="3195"/>
        <w:gridCol w:w="1351"/>
        <w:gridCol w:w="1494"/>
        <w:gridCol w:w="1423"/>
        <w:gridCol w:w="1601"/>
      </w:tblGrid>
      <w:tr w:rsidR="00B951F6" w:rsidRPr="00EE43C6" w14:paraId="20C658EB" w14:textId="77777777" w:rsidTr="006A3316">
        <w:trPr>
          <w:trHeight w:val="284"/>
          <w:tblHeader/>
          <w:jc w:val="center"/>
        </w:trPr>
        <w:tc>
          <w:tcPr>
            <w:tcW w:w="1763" w:type="pct"/>
            <w:vMerge w:val="restart"/>
            <w:shd w:val="clear" w:color="auto" w:fill="4F81BD"/>
            <w:vAlign w:val="center"/>
          </w:tcPr>
          <w:p w14:paraId="04E2EFB5" w14:textId="526D5E45" w:rsidR="00B951F6" w:rsidRPr="00EE43C6" w:rsidRDefault="00B951F6"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Noise Sources</w:t>
            </w:r>
          </w:p>
        </w:tc>
        <w:tc>
          <w:tcPr>
            <w:tcW w:w="3237" w:type="pct"/>
            <w:gridSpan w:val="4"/>
            <w:shd w:val="clear" w:color="auto" w:fill="4F81BD"/>
            <w:vAlign w:val="center"/>
          </w:tcPr>
          <w:p w14:paraId="5265A70C" w14:textId="27BB2C49" w:rsidR="00B951F6" w:rsidRPr="00EE43C6" w:rsidRDefault="00B951F6"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Sound Power Levels</w:t>
            </w:r>
            <w:r w:rsidR="00E7676C" w:rsidRPr="00EE43C6">
              <w:rPr>
                <w:rFonts w:eastAsia="Arial TUR"/>
                <w:b/>
                <w:bCs/>
                <w:color w:val="FFFFFF" w:themeColor="background1"/>
                <w:sz w:val="18"/>
                <w:szCs w:val="18"/>
                <w:lang w:eastAsia="en-US"/>
              </w:rPr>
              <w:t xml:space="preserve"> (dB)</w:t>
            </w:r>
          </w:p>
        </w:tc>
      </w:tr>
      <w:tr w:rsidR="00B951F6" w:rsidRPr="00EE43C6" w14:paraId="48492007" w14:textId="77777777" w:rsidTr="006A3316">
        <w:trPr>
          <w:trHeight w:val="284"/>
          <w:jc w:val="center"/>
        </w:trPr>
        <w:tc>
          <w:tcPr>
            <w:tcW w:w="1763" w:type="pct"/>
            <w:vMerge/>
            <w:vAlign w:val="center"/>
          </w:tcPr>
          <w:p w14:paraId="744DF5E0" w14:textId="77777777" w:rsidR="00B951F6" w:rsidRPr="00EE43C6" w:rsidRDefault="00B951F6" w:rsidP="00B625EB">
            <w:pPr>
              <w:spacing w:before="0" w:after="0" w:line="240" w:lineRule="auto"/>
              <w:jc w:val="center"/>
              <w:rPr>
                <w:rFonts w:eastAsia="Arial TUR"/>
                <w:sz w:val="18"/>
                <w:szCs w:val="18"/>
                <w:lang w:eastAsia="en-US"/>
              </w:rPr>
            </w:pPr>
          </w:p>
        </w:tc>
        <w:tc>
          <w:tcPr>
            <w:tcW w:w="745" w:type="pct"/>
            <w:vAlign w:val="center"/>
          </w:tcPr>
          <w:p w14:paraId="6DDE8FA7" w14:textId="1598579D" w:rsidR="00B951F6" w:rsidRPr="00EE43C6" w:rsidRDefault="00B951F6" w:rsidP="00B625EB">
            <w:pPr>
              <w:spacing w:before="0" w:after="0" w:line="240" w:lineRule="auto"/>
              <w:jc w:val="center"/>
              <w:rPr>
                <w:rFonts w:eastAsia="Arial TUR"/>
                <w:b/>
                <w:bCs/>
                <w:sz w:val="18"/>
                <w:szCs w:val="18"/>
                <w:lang w:eastAsia="en-US"/>
              </w:rPr>
            </w:pPr>
            <w:r w:rsidRPr="00EE43C6">
              <w:rPr>
                <w:rFonts w:eastAsia="Arial TUR"/>
                <w:b/>
                <w:bCs/>
                <w:sz w:val="18"/>
                <w:szCs w:val="18"/>
                <w:lang w:eastAsia="en-US"/>
              </w:rPr>
              <w:t>500 Hz</w:t>
            </w:r>
          </w:p>
        </w:tc>
        <w:tc>
          <w:tcPr>
            <w:tcW w:w="824" w:type="pct"/>
            <w:vAlign w:val="center"/>
          </w:tcPr>
          <w:p w14:paraId="0E39EE7C" w14:textId="50BC8C14" w:rsidR="00B951F6" w:rsidRPr="00EE43C6" w:rsidRDefault="00B951F6" w:rsidP="00B625EB">
            <w:pPr>
              <w:spacing w:before="0" w:after="0" w:line="240" w:lineRule="auto"/>
              <w:jc w:val="center"/>
              <w:rPr>
                <w:rFonts w:eastAsia="Arial TUR"/>
                <w:b/>
                <w:bCs/>
                <w:sz w:val="18"/>
                <w:szCs w:val="18"/>
                <w:lang w:eastAsia="en-US"/>
              </w:rPr>
            </w:pPr>
            <w:r w:rsidRPr="00EE43C6">
              <w:rPr>
                <w:rFonts w:eastAsia="Arial TUR"/>
                <w:b/>
                <w:bCs/>
                <w:sz w:val="18"/>
                <w:szCs w:val="18"/>
                <w:lang w:eastAsia="en-US"/>
              </w:rPr>
              <w:t>1,000 Hz</w:t>
            </w:r>
          </w:p>
        </w:tc>
        <w:tc>
          <w:tcPr>
            <w:tcW w:w="785" w:type="pct"/>
            <w:vAlign w:val="center"/>
          </w:tcPr>
          <w:p w14:paraId="5F7EC56A" w14:textId="0504FDCF" w:rsidR="00B951F6" w:rsidRPr="00EE43C6" w:rsidRDefault="00B951F6" w:rsidP="00B625EB">
            <w:pPr>
              <w:spacing w:before="0" w:after="0" w:line="240" w:lineRule="auto"/>
              <w:jc w:val="center"/>
              <w:rPr>
                <w:rFonts w:eastAsia="Arial TUR"/>
                <w:b/>
                <w:bCs/>
                <w:sz w:val="18"/>
                <w:szCs w:val="18"/>
                <w:lang w:eastAsia="en-US"/>
              </w:rPr>
            </w:pPr>
            <w:r w:rsidRPr="00EE43C6">
              <w:rPr>
                <w:rFonts w:eastAsia="Arial TUR"/>
                <w:b/>
                <w:bCs/>
                <w:sz w:val="18"/>
                <w:szCs w:val="18"/>
                <w:lang w:eastAsia="en-US"/>
              </w:rPr>
              <w:t>2,000 Hz</w:t>
            </w:r>
          </w:p>
        </w:tc>
        <w:tc>
          <w:tcPr>
            <w:tcW w:w="883" w:type="pct"/>
            <w:vAlign w:val="center"/>
          </w:tcPr>
          <w:p w14:paraId="1D686075" w14:textId="00A0546F" w:rsidR="00B951F6" w:rsidRPr="00EE43C6" w:rsidRDefault="00B951F6" w:rsidP="00B625EB">
            <w:pPr>
              <w:spacing w:before="0" w:after="0" w:line="240" w:lineRule="auto"/>
              <w:jc w:val="center"/>
              <w:rPr>
                <w:rFonts w:eastAsia="Arial TUR"/>
                <w:b/>
                <w:bCs/>
                <w:sz w:val="18"/>
                <w:szCs w:val="18"/>
                <w:lang w:eastAsia="en-US"/>
              </w:rPr>
            </w:pPr>
            <w:r w:rsidRPr="00EE43C6">
              <w:rPr>
                <w:rFonts w:eastAsia="Arial TUR"/>
                <w:b/>
                <w:bCs/>
                <w:sz w:val="18"/>
                <w:szCs w:val="18"/>
                <w:lang w:eastAsia="en-US"/>
              </w:rPr>
              <w:t>4,000 Hz</w:t>
            </w:r>
          </w:p>
        </w:tc>
      </w:tr>
      <w:tr w:rsidR="00151FAF" w:rsidRPr="00EE43C6" w14:paraId="257A3C1A" w14:textId="77777777" w:rsidTr="006A3316">
        <w:trPr>
          <w:trHeight w:val="284"/>
          <w:jc w:val="center"/>
        </w:trPr>
        <w:tc>
          <w:tcPr>
            <w:tcW w:w="1763" w:type="pct"/>
            <w:vAlign w:val="center"/>
          </w:tcPr>
          <w:p w14:paraId="385E76DF" w14:textId="4D9021D7"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Excavator-Dozer-Grader</w:t>
            </w:r>
          </w:p>
        </w:tc>
        <w:tc>
          <w:tcPr>
            <w:tcW w:w="745" w:type="pct"/>
            <w:vAlign w:val="center"/>
          </w:tcPr>
          <w:p w14:paraId="1B032A0C" w14:textId="3BFF864D"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97.98</w:t>
            </w:r>
          </w:p>
        </w:tc>
        <w:tc>
          <w:tcPr>
            <w:tcW w:w="824" w:type="pct"/>
            <w:vAlign w:val="center"/>
          </w:tcPr>
          <w:p w14:paraId="6370CA73" w14:textId="299626E7"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97.98</w:t>
            </w:r>
          </w:p>
        </w:tc>
        <w:tc>
          <w:tcPr>
            <w:tcW w:w="785" w:type="pct"/>
            <w:vAlign w:val="center"/>
          </w:tcPr>
          <w:p w14:paraId="7913918A" w14:textId="0ADD5DA8"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97.98</w:t>
            </w:r>
          </w:p>
        </w:tc>
        <w:tc>
          <w:tcPr>
            <w:tcW w:w="883" w:type="pct"/>
            <w:vAlign w:val="center"/>
          </w:tcPr>
          <w:p w14:paraId="7EC34D52" w14:textId="768CBCCE"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97.98</w:t>
            </w:r>
          </w:p>
        </w:tc>
      </w:tr>
      <w:tr w:rsidR="00151FAF" w:rsidRPr="00EE43C6" w14:paraId="6E1927BF" w14:textId="77777777" w:rsidTr="006A3316">
        <w:trPr>
          <w:trHeight w:val="284"/>
          <w:jc w:val="center"/>
        </w:trPr>
        <w:tc>
          <w:tcPr>
            <w:tcW w:w="1763" w:type="pct"/>
            <w:vAlign w:val="center"/>
          </w:tcPr>
          <w:p w14:paraId="5D6067EB" w14:textId="40BF4D36"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Cylinder-Concrete Pump</w:t>
            </w:r>
          </w:p>
        </w:tc>
        <w:tc>
          <w:tcPr>
            <w:tcW w:w="745" w:type="pct"/>
            <w:vAlign w:val="center"/>
          </w:tcPr>
          <w:p w14:paraId="567F7E3B" w14:textId="01D96406"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100.98</w:t>
            </w:r>
          </w:p>
        </w:tc>
        <w:tc>
          <w:tcPr>
            <w:tcW w:w="824" w:type="pct"/>
            <w:vAlign w:val="center"/>
          </w:tcPr>
          <w:p w14:paraId="741A91CB" w14:textId="06BB23E2"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100.98</w:t>
            </w:r>
          </w:p>
        </w:tc>
        <w:tc>
          <w:tcPr>
            <w:tcW w:w="785" w:type="pct"/>
            <w:vAlign w:val="center"/>
          </w:tcPr>
          <w:p w14:paraId="3A581C52" w14:textId="5BBF502B"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100.98</w:t>
            </w:r>
          </w:p>
        </w:tc>
        <w:tc>
          <w:tcPr>
            <w:tcW w:w="883" w:type="pct"/>
            <w:vAlign w:val="center"/>
          </w:tcPr>
          <w:p w14:paraId="61434E21" w14:textId="261B0D89"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100.98</w:t>
            </w:r>
          </w:p>
        </w:tc>
      </w:tr>
      <w:tr w:rsidR="00151FAF" w:rsidRPr="00EE43C6" w14:paraId="5CF29964" w14:textId="77777777" w:rsidTr="006A3316">
        <w:trPr>
          <w:trHeight w:val="284"/>
          <w:jc w:val="center"/>
        </w:trPr>
        <w:tc>
          <w:tcPr>
            <w:tcW w:w="1763" w:type="pct"/>
            <w:vAlign w:val="center"/>
          </w:tcPr>
          <w:p w14:paraId="5616A978" w14:textId="4CE0A5D5"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Concrete Mixer-Water Truck</w:t>
            </w:r>
          </w:p>
        </w:tc>
        <w:tc>
          <w:tcPr>
            <w:tcW w:w="745" w:type="pct"/>
            <w:vAlign w:val="center"/>
          </w:tcPr>
          <w:p w14:paraId="3E704DC4" w14:textId="7A41C7C1"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94.98</w:t>
            </w:r>
          </w:p>
        </w:tc>
        <w:tc>
          <w:tcPr>
            <w:tcW w:w="824" w:type="pct"/>
            <w:vAlign w:val="center"/>
          </w:tcPr>
          <w:p w14:paraId="756424A1" w14:textId="1CF489E7"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94.98</w:t>
            </w:r>
          </w:p>
        </w:tc>
        <w:tc>
          <w:tcPr>
            <w:tcW w:w="785" w:type="pct"/>
            <w:vAlign w:val="center"/>
          </w:tcPr>
          <w:p w14:paraId="1DDE18D2" w14:textId="735148F8"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94.98</w:t>
            </w:r>
          </w:p>
        </w:tc>
        <w:tc>
          <w:tcPr>
            <w:tcW w:w="883" w:type="pct"/>
            <w:vAlign w:val="center"/>
          </w:tcPr>
          <w:p w14:paraId="6C6AEC28" w14:textId="64512D28"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94.98</w:t>
            </w:r>
          </w:p>
        </w:tc>
      </w:tr>
      <w:tr w:rsidR="00151FAF" w:rsidRPr="00EE43C6" w14:paraId="68A685AF" w14:textId="77777777" w:rsidTr="006A3316">
        <w:trPr>
          <w:trHeight w:val="284"/>
          <w:jc w:val="center"/>
        </w:trPr>
        <w:tc>
          <w:tcPr>
            <w:tcW w:w="1763" w:type="pct"/>
            <w:vAlign w:val="center"/>
          </w:tcPr>
          <w:p w14:paraId="61F369AB" w14:textId="625881C5"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Truck</w:t>
            </w:r>
          </w:p>
        </w:tc>
        <w:tc>
          <w:tcPr>
            <w:tcW w:w="745" w:type="pct"/>
            <w:vAlign w:val="center"/>
          </w:tcPr>
          <w:p w14:paraId="5229A4E1" w14:textId="6E993188"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103.98</w:t>
            </w:r>
          </w:p>
        </w:tc>
        <w:tc>
          <w:tcPr>
            <w:tcW w:w="824" w:type="pct"/>
            <w:vAlign w:val="center"/>
          </w:tcPr>
          <w:p w14:paraId="22A72AD3" w14:textId="0E00AA47"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103.98</w:t>
            </w:r>
          </w:p>
        </w:tc>
        <w:tc>
          <w:tcPr>
            <w:tcW w:w="785" w:type="pct"/>
            <w:vAlign w:val="center"/>
          </w:tcPr>
          <w:p w14:paraId="0222A764" w14:textId="6DAA8C55"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103.98</w:t>
            </w:r>
          </w:p>
        </w:tc>
        <w:tc>
          <w:tcPr>
            <w:tcW w:w="883" w:type="pct"/>
            <w:vAlign w:val="center"/>
          </w:tcPr>
          <w:p w14:paraId="067C466D" w14:textId="36D022EE" w:rsidR="00151FAF" w:rsidRPr="00EE43C6" w:rsidRDefault="00151FAF" w:rsidP="00B625EB">
            <w:pPr>
              <w:spacing w:before="0" w:after="0" w:line="240" w:lineRule="auto"/>
              <w:jc w:val="center"/>
              <w:rPr>
                <w:rFonts w:eastAsia="Arial TUR"/>
                <w:sz w:val="18"/>
                <w:szCs w:val="18"/>
                <w:lang w:eastAsia="en-US"/>
              </w:rPr>
            </w:pPr>
            <w:r w:rsidRPr="00EE43C6">
              <w:rPr>
                <w:rFonts w:eastAsia="Arial TUR"/>
                <w:sz w:val="18"/>
                <w:szCs w:val="18"/>
                <w:lang w:eastAsia="en-US"/>
              </w:rPr>
              <w:t>103.98</w:t>
            </w:r>
          </w:p>
        </w:tc>
      </w:tr>
    </w:tbl>
    <w:p w14:paraId="1DBAB6E0" w14:textId="6CB04348" w:rsidR="000D4A2B" w:rsidRPr="00EE43C6" w:rsidRDefault="000D4A2B" w:rsidP="004B65EE">
      <w:pPr>
        <w:spacing w:before="120" w:after="0"/>
        <w:rPr>
          <w:rFonts w:eastAsia="Arial TUR"/>
          <w:lang w:eastAsia="en-US"/>
        </w:rPr>
      </w:pPr>
      <w:r w:rsidRPr="00EE43C6">
        <w:rPr>
          <w:rFonts w:eastAsia="Arial TUR"/>
          <w:noProof/>
        </w:rPr>
        <w:drawing>
          <wp:inline distT="0" distB="0" distL="0" distR="0" wp14:anchorId="4112251B" wp14:editId="702651B3">
            <wp:extent cx="1657581" cy="533474"/>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57581" cy="533474"/>
                    </a:xfrm>
                    <a:prstGeom prst="rect">
                      <a:avLst/>
                    </a:prstGeom>
                  </pic:spPr>
                </pic:pic>
              </a:graphicData>
            </a:graphic>
          </wp:inline>
        </w:drawing>
      </w:r>
    </w:p>
    <w:p w14:paraId="11E680C6" w14:textId="27CE1D55" w:rsidR="00B04D70" w:rsidRPr="00EE43C6" w:rsidRDefault="00B04D70" w:rsidP="00EE1DF3">
      <w:pPr>
        <w:spacing w:after="60"/>
        <w:rPr>
          <w:rFonts w:eastAsia="Arial TUR"/>
          <w:lang w:eastAsia="en-US"/>
        </w:rPr>
      </w:pPr>
      <w:r w:rsidRPr="00EE43C6">
        <w:rPr>
          <w:rFonts w:eastAsia="Arial TUR"/>
          <w:i/>
          <w:lang w:eastAsia="en-US"/>
        </w:rPr>
        <w:t>L</w:t>
      </w:r>
      <w:r w:rsidRPr="00EE43C6">
        <w:rPr>
          <w:rFonts w:eastAsia="Arial TUR"/>
          <w:lang w:eastAsia="en-US"/>
        </w:rPr>
        <w:t>p</w:t>
      </w:r>
      <w:r w:rsidR="00ED318E" w:rsidRPr="00EE43C6">
        <w:rPr>
          <w:rFonts w:eastAsia="Arial TUR"/>
          <w:lang w:eastAsia="en-US"/>
        </w:rPr>
        <w:tab/>
      </w:r>
      <w:r w:rsidRPr="00EE43C6">
        <w:rPr>
          <w:rFonts w:eastAsia="Arial TUR"/>
          <w:lang w:eastAsia="en-US"/>
        </w:rPr>
        <w:t>: Noise Level at x Distance</w:t>
      </w:r>
    </w:p>
    <w:p w14:paraId="52E6ECAB" w14:textId="3E444ABF" w:rsidR="00B04D70" w:rsidRPr="00EE43C6" w:rsidRDefault="00B04D70" w:rsidP="00EE1DF3">
      <w:pPr>
        <w:spacing w:before="60" w:after="60"/>
        <w:rPr>
          <w:rFonts w:eastAsia="Arial TUR"/>
          <w:lang w:eastAsia="en-US"/>
        </w:rPr>
      </w:pPr>
      <w:r w:rsidRPr="00EE43C6">
        <w:rPr>
          <w:rFonts w:eastAsia="Arial TUR"/>
          <w:lang w:eastAsia="en-US"/>
        </w:rPr>
        <w:t>Q</w:t>
      </w:r>
      <w:r w:rsidR="00ED318E" w:rsidRPr="00EE43C6">
        <w:rPr>
          <w:rFonts w:eastAsia="Arial TUR"/>
          <w:lang w:eastAsia="en-US"/>
        </w:rPr>
        <w:tab/>
      </w:r>
      <w:r w:rsidRPr="00EE43C6">
        <w:rPr>
          <w:rFonts w:eastAsia="Arial TUR"/>
          <w:lang w:eastAsia="en-US"/>
        </w:rPr>
        <w:t xml:space="preserve">: </w:t>
      </w:r>
      <w:r w:rsidR="00EE1DF3" w:rsidRPr="00EE43C6">
        <w:rPr>
          <w:rFonts w:eastAsia="Arial TUR"/>
          <w:lang w:eastAsia="en-US"/>
        </w:rPr>
        <w:t>Noise Level</w:t>
      </w:r>
      <w:r w:rsidRPr="00EE43C6">
        <w:rPr>
          <w:rFonts w:eastAsia="Arial TUR"/>
          <w:lang w:eastAsia="en-US"/>
        </w:rPr>
        <w:t xml:space="preserve"> Constant ( 2 is taken.)</w:t>
      </w:r>
    </w:p>
    <w:p w14:paraId="43EB3AF4" w14:textId="03A0EFC6" w:rsidR="00CE48AB" w:rsidRPr="00EE43C6" w:rsidRDefault="00ED318E" w:rsidP="00EE1DF3">
      <w:pPr>
        <w:spacing w:before="60"/>
        <w:rPr>
          <w:rFonts w:eastAsia="Arial TUR"/>
          <w:lang w:eastAsia="en-US"/>
        </w:rPr>
      </w:pPr>
      <w:r w:rsidRPr="00EE43C6">
        <w:rPr>
          <w:rFonts w:eastAsia="Arial TUR"/>
          <w:lang w:eastAsia="en-US"/>
        </w:rPr>
        <w:t>R</w:t>
      </w:r>
      <w:r w:rsidRPr="00EE43C6">
        <w:rPr>
          <w:rFonts w:eastAsia="Arial TUR"/>
          <w:lang w:eastAsia="en-US"/>
        </w:rPr>
        <w:tab/>
      </w:r>
      <w:r w:rsidR="00B04D70" w:rsidRPr="00EE43C6">
        <w:rPr>
          <w:rFonts w:eastAsia="Arial TUR"/>
          <w:lang w:eastAsia="en-US"/>
        </w:rPr>
        <w:t>: Radius at x Distance</w:t>
      </w:r>
    </w:p>
    <w:p w14:paraId="31F141C1" w14:textId="6E82DC0D" w:rsidR="00EE1DF3" w:rsidRPr="00EE43C6" w:rsidRDefault="0049639C" w:rsidP="0049639C">
      <w:pPr>
        <w:pStyle w:val="Caption"/>
        <w:rPr>
          <w:rFonts w:eastAsia="Arial TUR"/>
          <w:noProof w:val="0"/>
        </w:rPr>
      </w:pPr>
      <w:bookmarkStart w:id="594" w:name="_Ref127981797"/>
      <w:bookmarkStart w:id="595" w:name="_Toc141445533"/>
      <w:r w:rsidRPr="00EE43C6">
        <w:rPr>
          <w:noProof w:val="0"/>
        </w:rPr>
        <w:lastRenderedPageBreak/>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24</w:t>
      </w:r>
      <w:r w:rsidR="006D2DE8">
        <w:rPr>
          <w:noProof w:val="0"/>
        </w:rPr>
        <w:fldChar w:fldCharType="end"/>
      </w:r>
      <w:bookmarkEnd w:id="594"/>
      <w:r w:rsidRPr="00EE43C6">
        <w:rPr>
          <w:noProof w:val="0"/>
        </w:rPr>
        <w:t xml:space="preserve">. </w:t>
      </w:r>
      <w:r w:rsidR="001B2144" w:rsidRPr="00EE43C6">
        <w:rPr>
          <w:rFonts w:eastAsia="Arial TUR"/>
          <w:b w:val="0"/>
          <w:noProof w:val="0"/>
          <w:color w:val="auto"/>
        </w:rPr>
        <w:t>Sound Pressure Levels in 4 Octave Bands by Distance</w:t>
      </w:r>
      <w:bookmarkEnd w:id="595"/>
    </w:p>
    <w:tbl>
      <w:tblPr>
        <w:tblStyle w:val="TableGrid"/>
        <w:tblW w:w="5000" w:type="pct"/>
        <w:jc w:val="center"/>
        <w:tblLook w:val="04A0" w:firstRow="1" w:lastRow="0" w:firstColumn="1" w:lastColumn="0" w:noHBand="0" w:noVBand="1"/>
      </w:tblPr>
      <w:tblGrid>
        <w:gridCol w:w="3150"/>
        <w:gridCol w:w="1251"/>
        <w:gridCol w:w="1024"/>
        <w:gridCol w:w="1213"/>
        <w:gridCol w:w="1213"/>
        <w:gridCol w:w="1213"/>
      </w:tblGrid>
      <w:tr w:rsidR="000A4DEE" w:rsidRPr="00EE43C6" w14:paraId="3C4B8965" w14:textId="77777777" w:rsidTr="001E0229">
        <w:trPr>
          <w:trHeight w:val="284"/>
          <w:tblHeader/>
          <w:jc w:val="center"/>
        </w:trPr>
        <w:tc>
          <w:tcPr>
            <w:tcW w:w="1738" w:type="pct"/>
            <w:vMerge w:val="restart"/>
            <w:shd w:val="clear" w:color="auto" w:fill="4F81BD"/>
            <w:vAlign w:val="center"/>
          </w:tcPr>
          <w:p w14:paraId="79FA53BE" w14:textId="0CACAF68" w:rsidR="000A4DEE" w:rsidRPr="00EE43C6" w:rsidRDefault="000A4DEE" w:rsidP="00B625EB">
            <w:pPr>
              <w:spacing w:before="0" w:after="0" w:line="240" w:lineRule="auto"/>
              <w:jc w:val="center"/>
              <w:rPr>
                <w:rFonts w:eastAsia="Arial TUR" w:cs="Arial"/>
                <w:b/>
                <w:color w:val="FFFFFF" w:themeColor="background1"/>
                <w:sz w:val="18"/>
                <w:szCs w:val="18"/>
                <w:lang w:eastAsia="en-US"/>
              </w:rPr>
            </w:pPr>
            <w:r w:rsidRPr="00EE43C6">
              <w:rPr>
                <w:rFonts w:eastAsia="Arial TUR" w:cs="Arial"/>
                <w:b/>
                <w:color w:val="FFFFFF" w:themeColor="background1"/>
                <w:sz w:val="18"/>
                <w:szCs w:val="18"/>
                <w:lang w:eastAsia="en-US"/>
              </w:rPr>
              <w:t>Noise Sources</w:t>
            </w:r>
          </w:p>
        </w:tc>
        <w:tc>
          <w:tcPr>
            <w:tcW w:w="690" w:type="pct"/>
            <w:vMerge w:val="restart"/>
            <w:shd w:val="clear" w:color="auto" w:fill="4F81BD"/>
            <w:vAlign w:val="center"/>
          </w:tcPr>
          <w:p w14:paraId="00635311" w14:textId="77777777" w:rsidR="00C27A2F" w:rsidRPr="00EE43C6" w:rsidRDefault="000A4DEE" w:rsidP="00B625EB">
            <w:pPr>
              <w:spacing w:before="0" w:after="0" w:line="240" w:lineRule="auto"/>
              <w:jc w:val="center"/>
              <w:rPr>
                <w:rFonts w:eastAsia="Arial TUR" w:cs="Arial"/>
                <w:b/>
                <w:bCs/>
                <w:color w:val="FFFFFF" w:themeColor="background1"/>
                <w:sz w:val="18"/>
                <w:szCs w:val="18"/>
                <w:lang w:eastAsia="en-US"/>
              </w:rPr>
            </w:pPr>
            <w:r w:rsidRPr="00EE43C6">
              <w:rPr>
                <w:rFonts w:eastAsia="Arial TUR" w:cs="Arial"/>
                <w:b/>
                <w:color w:val="FFFFFF" w:themeColor="background1"/>
                <w:sz w:val="18"/>
                <w:szCs w:val="18"/>
                <w:lang w:eastAsia="en-US"/>
              </w:rPr>
              <w:t>Distance</w:t>
            </w:r>
          </w:p>
          <w:p w14:paraId="136B88B4" w14:textId="7429BDCD" w:rsidR="000A4DEE" w:rsidRPr="00EE43C6" w:rsidRDefault="00C27A2F" w:rsidP="00B625EB">
            <w:pPr>
              <w:spacing w:before="0" w:after="0" w:line="240" w:lineRule="auto"/>
              <w:jc w:val="center"/>
              <w:rPr>
                <w:rFonts w:eastAsia="Arial TUR" w:cs="Arial"/>
                <w:b/>
                <w:color w:val="FFFFFF" w:themeColor="background1"/>
                <w:sz w:val="18"/>
                <w:szCs w:val="18"/>
                <w:lang w:eastAsia="en-US"/>
              </w:rPr>
            </w:pPr>
            <w:r w:rsidRPr="00EE43C6">
              <w:rPr>
                <w:rFonts w:eastAsia="Arial TUR" w:cs="Arial"/>
                <w:b/>
                <w:bCs/>
                <w:color w:val="FFFFFF" w:themeColor="background1"/>
                <w:sz w:val="18"/>
                <w:szCs w:val="18"/>
                <w:lang w:eastAsia="en-US"/>
              </w:rPr>
              <w:t>(m)</w:t>
            </w:r>
          </w:p>
        </w:tc>
        <w:tc>
          <w:tcPr>
            <w:tcW w:w="2572" w:type="pct"/>
            <w:gridSpan w:val="4"/>
            <w:tcBorders>
              <w:bottom w:val="single" w:sz="4" w:space="0" w:color="auto"/>
            </w:tcBorders>
            <w:shd w:val="clear" w:color="auto" w:fill="4F81BD"/>
            <w:vAlign w:val="center"/>
          </w:tcPr>
          <w:p w14:paraId="3EED9A76" w14:textId="37350BBC" w:rsidR="000A4DEE" w:rsidRPr="00EE43C6" w:rsidRDefault="000A4DEE" w:rsidP="00B625EB">
            <w:pPr>
              <w:spacing w:before="0" w:after="0" w:line="240" w:lineRule="auto"/>
              <w:jc w:val="center"/>
              <w:rPr>
                <w:rFonts w:eastAsia="Arial TUR" w:cs="Arial"/>
                <w:b/>
                <w:color w:val="FFFFFF" w:themeColor="background1"/>
                <w:sz w:val="18"/>
                <w:szCs w:val="18"/>
                <w:lang w:eastAsia="en-US"/>
              </w:rPr>
            </w:pPr>
            <w:r w:rsidRPr="00EE43C6">
              <w:rPr>
                <w:rFonts w:eastAsia="Arial TUR" w:cs="Arial"/>
                <w:b/>
                <w:color w:val="FFFFFF" w:themeColor="background1"/>
                <w:sz w:val="18"/>
                <w:szCs w:val="18"/>
                <w:lang w:eastAsia="en-US"/>
              </w:rPr>
              <w:t>Sound Power Levels (dB)</w:t>
            </w:r>
          </w:p>
        </w:tc>
      </w:tr>
      <w:tr w:rsidR="000A4DEE" w:rsidRPr="00EE43C6" w14:paraId="66853DEC" w14:textId="77777777" w:rsidTr="001E0229">
        <w:trPr>
          <w:trHeight w:val="284"/>
          <w:jc w:val="center"/>
        </w:trPr>
        <w:tc>
          <w:tcPr>
            <w:tcW w:w="1738" w:type="pct"/>
            <w:vMerge/>
            <w:vAlign w:val="center"/>
          </w:tcPr>
          <w:p w14:paraId="38E2AA14" w14:textId="77777777" w:rsidR="000A4DEE" w:rsidRPr="00EE43C6" w:rsidRDefault="000A4DEE" w:rsidP="00B625EB">
            <w:pPr>
              <w:spacing w:before="0" w:after="0" w:line="240" w:lineRule="auto"/>
              <w:jc w:val="center"/>
              <w:rPr>
                <w:rFonts w:eastAsia="Arial TUR" w:cs="Arial"/>
                <w:sz w:val="18"/>
                <w:szCs w:val="18"/>
                <w:lang w:eastAsia="en-US"/>
              </w:rPr>
            </w:pPr>
          </w:p>
        </w:tc>
        <w:tc>
          <w:tcPr>
            <w:tcW w:w="690" w:type="pct"/>
            <w:vMerge/>
            <w:vAlign w:val="center"/>
          </w:tcPr>
          <w:p w14:paraId="6AA3988E" w14:textId="77777777" w:rsidR="000A4DEE" w:rsidRPr="00EE43C6" w:rsidRDefault="000A4DEE" w:rsidP="00B625EB">
            <w:pPr>
              <w:spacing w:before="0" w:after="0" w:line="240" w:lineRule="auto"/>
              <w:jc w:val="center"/>
              <w:rPr>
                <w:rFonts w:eastAsia="Arial TUR" w:cs="Arial"/>
                <w:sz w:val="18"/>
                <w:szCs w:val="18"/>
                <w:lang w:eastAsia="en-US"/>
              </w:rPr>
            </w:pPr>
          </w:p>
        </w:tc>
        <w:tc>
          <w:tcPr>
            <w:tcW w:w="565" w:type="pct"/>
            <w:shd w:val="clear" w:color="auto" w:fill="4F81BD"/>
            <w:vAlign w:val="center"/>
          </w:tcPr>
          <w:p w14:paraId="212070E1" w14:textId="0266A779" w:rsidR="000A4DEE" w:rsidRPr="00EE43C6" w:rsidRDefault="000A4DEE" w:rsidP="00B625EB">
            <w:pPr>
              <w:spacing w:before="0" w:after="0" w:line="240" w:lineRule="auto"/>
              <w:jc w:val="center"/>
              <w:rPr>
                <w:rFonts w:eastAsia="Arial TUR" w:cs="Arial"/>
                <w:color w:val="FFFFFF" w:themeColor="background1"/>
                <w:sz w:val="18"/>
                <w:szCs w:val="18"/>
                <w:lang w:eastAsia="en-US"/>
              </w:rPr>
            </w:pPr>
            <w:r w:rsidRPr="00EE43C6">
              <w:rPr>
                <w:rFonts w:eastAsia="Arial TUR" w:cs="Arial"/>
                <w:b/>
                <w:color w:val="FFFFFF" w:themeColor="background1"/>
                <w:sz w:val="18"/>
                <w:szCs w:val="18"/>
                <w:lang w:eastAsia="en-US"/>
              </w:rPr>
              <w:t>500 Hz</w:t>
            </w:r>
          </w:p>
        </w:tc>
        <w:tc>
          <w:tcPr>
            <w:tcW w:w="669" w:type="pct"/>
            <w:shd w:val="clear" w:color="auto" w:fill="4F81BD"/>
            <w:vAlign w:val="center"/>
          </w:tcPr>
          <w:p w14:paraId="749733CA" w14:textId="37337A70" w:rsidR="000A4DEE" w:rsidRPr="00EE43C6" w:rsidRDefault="000A4DEE" w:rsidP="00B625EB">
            <w:pPr>
              <w:spacing w:before="0" w:after="0" w:line="240" w:lineRule="auto"/>
              <w:jc w:val="center"/>
              <w:rPr>
                <w:rFonts w:eastAsia="Arial TUR" w:cs="Arial"/>
                <w:color w:val="FFFFFF" w:themeColor="background1"/>
                <w:sz w:val="18"/>
                <w:szCs w:val="18"/>
                <w:lang w:eastAsia="en-US"/>
              </w:rPr>
            </w:pPr>
            <w:r w:rsidRPr="00EE43C6">
              <w:rPr>
                <w:rFonts w:eastAsia="Arial TUR" w:cs="Arial"/>
                <w:b/>
                <w:color w:val="FFFFFF" w:themeColor="background1"/>
                <w:sz w:val="18"/>
                <w:szCs w:val="18"/>
                <w:lang w:eastAsia="en-US"/>
              </w:rPr>
              <w:t>1,000 Hz</w:t>
            </w:r>
          </w:p>
        </w:tc>
        <w:tc>
          <w:tcPr>
            <w:tcW w:w="669" w:type="pct"/>
            <w:shd w:val="clear" w:color="auto" w:fill="4F81BD"/>
            <w:vAlign w:val="center"/>
          </w:tcPr>
          <w:p w14:paraId="67AAB43B" w14:textId="4CECFE58" w:rsidR="000A4DEE" w:rsidRPr="00EE43C6" w:rsidRDefault="000A4DEE" w:rsidP="00B625EB">
            <w:pPr>
              <w:spacing w:before="0" w:after="0" w:line="240" w:lineRule="auto"/>
              <w:jc w:val="center"/>
              <w:rPr>
                <w:rFonts w:eastAsia="Arial TUR" w:cs="Arial"/>
                <w:color w:val="FFFFFF" w:themeColor="background1"/>
                <w:sz w:val="18"/>
                <w:szCs w:val="18"/>
                <w:lang w:eastAsia="en-US"/>
              </w:rPr>
            </w:pPr>
            <w:r w:rsidRPr="00EE43C6">
              <w:rPr>
                <w:rFonts w:eastAsia="Arial TUR" w:cs="Arial"/>
                <w:b/>
                <w:color w:val="FFFFFF" w:themeColor="background1"/>
                <w:sz w:val="18"/>
                <w:szCs w:val="18"/>
                <w:lang w:eastAsia="en-US"/>
              </w:rPr>
              <w:t>2,000 Hz</w:t>
            </w:r>
          </w:p>
        </w:tc>
        <w:tc>
          <w:tcPr>
            <w:tcW w:w="669" w:type="pct"/>
            <w:shd w:val="clear" w:color="auto" w:fill="4F81BD"/>
            <w:vAlign w:val="center"/>
          </w:tcPr>
          <w:p w14:paraId="1AD13259" w14:textId="3AE656C7" w:rsidR="000A4DEE" w:rsidRPr="00EE43C6" w:rsidRDefault="000A4DEE" w:rsidP="00B625EB">
            <w:pPr>
              <w:spacing w:before="0" w:after="0" w:line="240" w:lineRule="auto"/>
              <w:jc w:val="center"/>
              <w:rPr>
                <w:rFonts w:eastAsia="Arial TUR" w:cs="Arial"/>
                <w:color w:val="FFFFFF" w:themeColor="background1"/>
                <w:sz w:val="18"/>
                <w:szCs w:val="18"/>
                <w:lang w:eastAsia="en-US"/>
              </w:rPr>
            </w:pPr>
            <w:r w:rsidRPr="00EE43C6">
              <w:rPr>
                <w:rFonts w:eastAsia="Arial TUR" w:cs="Arial"/>
                <w:b/>
                <w:color w:val="FFFFFF" w:themeColor="background1"/>
                <w:sz w:val="18"/>
                <w:szCs w:val="18"/>
                <w:lang w:eastAsia="en-US"/>
              </w:rPr>
              <w:t>4,000 Hz</w:t>
            </w:r>
          </w:p>
        </w:tc>
      </w:tr>
      <w:tr w:rsidR="00627B4B" w:rsidRPr="00EE43C6" w14:paraId="019E7F02" w14:textId="77777777" w:rsidTr="001E0229">
        <w:trPr>
          <w:trHeight w:val="284"/>
          <w:jc w:val="center"/>
        </w:trPr>
        <w:tc>
          <w:tcPr>
            <w:tcW w:w="1738" w:type="pct"/>
            <w:vMerge w:val="restart"/>
            <w:vAlign w:val="center"/>
          </w:tcPr>
          <w:p w14:paraId="20A56C6A" w14:textId="47625624"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Excavator-Dozer-Grader</w:t>
            </w:r>
          </w:p>
        </w:tc>
        <w:tc>
          <w:tcPr>
            <w:tcW w:w="690" w:type="pct"/>
            <w:vAlign w:val="center"/>
          </w:tcPr>
          <w:p w14:paraId="053CE4A5" w14:textId="0818F416"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w:t>
            </w:r>
          </w:p>
        </w:tc>
        <w:tc>
          <w:tcPr>
            <w:tcW w:w="565" w:type="pct"/>
            <w:vAlign w:val="center"/>
          </w:tcPr>
          <w:p w14:paraId="0C1C4205" w14:textId="112C4851" w:rsidR="00627B4B" w:rsidRPr="00EE43C6" w:rsidRDefault="00C940C4"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56.02</w:t>
            </w:r>
          </w:p>
        </w:tc>
        <w:tc>
          <w:tcPr>
            <w:tcW w:w="669" w:type="pct"/>
            <w:vAlign w:val="center"/>
          </w:tcPr>
          <w:p w14:paraId="331D7682" w14:textId="5F6173EB" w:rsidR="00627B4B" w:rsidRPr="00EE43C6" w:rsidRDefault="00C940C4"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56.02</w:t>
            </w:r>
          </w:p>
        </w:tc>
        <w:tc>
          <w:tcPr>
            <w:tcW w:w="669" w:type="pct"/>
            <w:vAlign w:val="center"/>
          </w:tcPr>
          <w:p w14:paraId="0C583804" w14:textId="17ABE985" w:rsidR="00627B4B" w:rsidRPr="00EE43C6" w:rsidRDefault="00C940C4"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56.02</w:t>
            </w:r>
          </w:p>
        </w:tc>
        <w:tc>
          <w:tcPr>
            <w:tcW w:w="669" w:type="pct"/>
            <w:vAlign w:val="center"/>
          </w:tcPr>
          <w:p w14:paraId="2F699C50" w14:textId="10117C69" w:rsidR="00627B4B" w:rsidRPr="00EE43C6" w:rsidRDefault="00C940C4"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56.02</w:t>
            </w:r>
          </w:p>
        </w:tc>
      </w:tr>
      <w:tr w:rsidR="00627B4B" w:rsidRPr="00EE43C6" w14:paraId="0FC7CAD0" w14:textId="77777777" w:rsidTr="001E0229">
        <w:trPr>
          <w:trHeight w:val="284"/>
          <w:jc w:val="center"/>
        </w:trPr>
        <w:tc>
          <w:tcPr>
            <w:tcW w:w="1738" w:type="pct"/>
            <w:vMerge/>
            <w:vAlign w:val="center"/>
          </w:tcPr>
          <w:p w14:paraId="387B3051"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68F95CEE" w14:textId="675E9FD4"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w:t>
            </w:r>
          </w:p>
        </w:tc>
        <w:tc>
          <w:tcPr>
            <w:tcW w:w="565" w:type="pct"/>
            <w:vAlign w:val="center"/>
          </w:tcPr>
          <w:p w14:paraId="416F0308" w14:textId="1EDD36EA" w:rsidR="00627B4B" w:rsidRPr="00EE43C6" w:rsidRDefault="0041233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50.00</w:t>
            </w:r>
          </w:p>
        </w:tc>
        <w:tc>
          <w:tcPr>
            <w:tcW w:w="669" w:type="pct"/>
            <w:vAlign w:val="center"/>
          </w:tcPr>
          <w:p w14:paraId="5AD42B50" w14:textId="0228D1B3" w:rsidR="00627B4B" w:rsidRPr="00EE43C6" w:rsidRDefault="0041233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50.00</w:t>
            </w:r>
          </w:p>
        </w:tc>
        <w:tc>
          <w:tcPr>
            <w:tcW w:w="669" w:type="pct"/>
            <w:vAlign w:val="center"/>
          </w:tcPr>
          <w:p w14:paraId="188E7B00" w14:textId="6DF9D0CC" w:rsidR="00627B4B" w:rsidRPr="00EE43C6" w:rsidRDefault="0041233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50.00</w:t>
            </w:r>
          </w:p>
        </w:tc>
        <w:tc>
          <w:tcPr>
            <w:tcW w:w="669" w:type="pct"/>
            <w:vAlign w:val="center"/>
          </w:tcPr>
          <w:p w14:paraId="2D1167CC" w14:textId="147F0EB0" w:rsidR="00627B4B" w:rsidRPr="00EE43C6" w:rsidRDefault="0041233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50.00</w:t>
            </w:r>
          </w:p>
        </w:tc>
      </w:tr>
      <w:tr w:rsidR="00627B4B" w:rsidRPr="00EE43C6" w14:paraId="3BDF362B" w14:textId="77777777" w:rsidTr="001E0229">
        <w:trPr>
          <w:trHeight w:val="284"/>
          <w:jc w:val="center"/>
        </w:trPr>
        <w:tc>
          <w:tcPr>
            <w:tcW w:w="1738" w:type="pct"/>
            <w:vMerge/>
            <w:vAlign w:val="center"/>
          </w:tcPr>
          <w:p w14:paraId="7EBC4EE5"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192BB662" w14:textId="229B9C74"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w:t>
            </w:r>
          </w:p>
        </w:tc>
        <w:tc>
          <w:tcPr>
            <w:tcW w:w="565" w:type="pct"/>
            <w:vAlign w:val="center"/>
          </w:tcPr>
          <w:p w14:paraId="3D008593" w14:textId="74C90C82" w:rsidR="00627B4B" w:rsidRPr="00EE43C6" w:rsidRDefault="0041233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42.04</w:t>
            </w:r>
          </w:p>
        </w:tc>
        <w:tc>
          <w:tcPr>
            <w:tcW w:w="669" w:type="pct"/>
            <w:vAlign w:val="center"/>
          </w:tcPr>
          <w:p w14:paraId="5811262D" w14:textId="17981466" w:rsidR="00627B4B" w:rsidRPr="00EE43C6" w:rsidRDefault="0041233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42.04</w:t>
            </w:r>
          </w:p>
        </w:tc>
        <w:tc>
          <w:tcPr>
            <w:tcW w:w="669" w:type="pct"/>
            <w:vAlign w:val="center"/>
          </w:tcPr>
          <w:p w14:paraId="24F27B05" w14:textId="03CEA8C8" w:rsidR="00627B4B" w:rsidRPr="00EE43C6" w:rsidRDefault="0041233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42.04</w:t>
            </w:r>
          </w:p>
        </w:tc>
        <w:tc>
          <w:tcPr>
            <w:tcW w:w="669" w:type="pct"/>
            <w:vAlign w:val="center"/>
          </w:tcPr>
          <w:p w14:paraId="05662D29" w14:textId="04E980C1" w:rsidR="00627B4B" w:rsidRPr="00EE43C6" w:rsidRDefault="0041233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42.04</w:t>
            </w:r>
          </w:p>
        </w:tc>
      </w:tr>
      <w:tr w:rsidR="00627B4B" w:rsidRPr="00EE43C6" w14:paraId="54879DA5" w14:textId="77777777" w:rsidTr="001E0229">
        <w:trPr>
          <w:trHeight w:val="284"/>
          <w:jc w:val="center"/>
        </w:trPr>
        <w:tc>
          <w:tcPr>
            <w:tcW w:w="1738" w:type="pct"/>
            <w:vMerge/>
            <w:vAlign w:val="center"/>
          </w:tcPr>
          <w:p w14:paraId="7D2DD2E7"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6200EC77" w14:textId="4295D502"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w:t>
            </w:r>
          </w:p>
        </w:tc>
        <w:tc>
          <w:tcPr>
            <w:tcW w:w="565" w:type="pct"/>
            <w:vAlign w:val="center"/>
          </w:tcPr>
          <w:p w14:paraId="587C7782" w14:textId="296084DF" w:rsidR="00627B4B" w:rsidRPr="00EE43C6" w:rsidRDefault="00206F4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36.02</w:t>
            </w:r>
          </w:p>
        </w:tc>
        <w:tc>
          <w:tcPr>
            <w:tcW w:w="669" w:type="pct"/>
            <w:vAlign w:val="center"/>
          </w:tcPr>
          <w:p w14:paraId="3A018DBE" w14:textId="6290C317" w:rsidR="00627B4B" w:rsidRPr="00EE43C6" w:rsidRDefault="00206F4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36.02</w:t>
            </w:r>
          </w:p>
        </w:tc>
        <w:tc>
          <w:tcPr>
            <w:tcW w:w="669" w:type="pct"/>
            <w:vAlign w:val="center"/>
          </w:tcPr>
          <w:p w14:paraId="68A791DB" w14:textId="3C8E94C4" w:rsidR="00627B4B" w:rsidRPr="00EE43C6" w:rsidRDefault="00206F4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36.02</w:t>
            </w:r>
          </w:p>
        </w:tc>
        <w:tc>
          <w:tcPr>
            <w:tcW w:w="669" w:type="pct"/>
            <w:vAlign w:val="center"/>
          </w:tcPr>
          <w:p w14:paraId="7F93649B" w14:textId="42092458" w:rsidR="00627B4B" w:rsidRPr="00EE43C6" w:rsidRDefault="00206F4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36.02</w:t>
            </w:r>
          </w:p>
        </w:tc>
      </w:tr>
      <w:tr w:rsidR="00627B4B" w:rsidRPr="00EE43C6" w14:paraId="0FFC7DC7" w14:textId="77777777" w:rsidTr="001E0229">
        <w:trPr>
          <w:trHeight w:val="284"/>
          <w:jc w:val="center"/>
        </w:trPr>
        <w:tc>
          <w:tcPr>
            <w:tcW w:w="1738" w:type="pct"/>
            <w:vMerge/>
            <w:vAlign w:val="center"/>
          </w:tcPr>
          <w:p w14:paraId="71B7AF36"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2EC99684" w14:textId="7652370E"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750</w:t>
            </w:r>
          </w:p>
        </w:tc>
        <w:tc>
          <w:tcPr>
            <w:tcW w:w="565" w:type="pct"/>
            <w:vAlign w:val="center"/>
          </w:tcPr>
          <w:p w14:paraId="06A00F03" w14:textId="31E88F4D" w:rsidR="00627B4B" w:rsidRPr="00EE43C6" w:rsidRDefault="00206F4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32.50</w:t>
            </w:r>
          </w:p>
        </w:tc>
        <w:tc>
          <w:tcPr>
            <w:tcW w:w="669" w:type="pct"/>
            <w:vAlign w:val="center"/>
          </w:tcPr>
          <w:p w14:paraId="456C9D63" w14:textId="7E72C340"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32.50</w:t>
            </w:r>
          </w:p>
        </w:tc>
        <w:tc>
          <w:tcPr>
            <w:tcW w:w="669" w:type="pct"/>
            <w:vAlign w:val="center"/>
          </w:tcPr>
          <w:p w14:paraId="72DEBAC0" w14:textId="0158B26E"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32.50</w:t>
            </w:r>
          </w:p>
        </w:tc>
        <w:tc>
          <w:tcPr>
            <w:tcW w:w="669" w:type="pct"/>
            <w:vAlign w:val="center"/>
          </w:tcPr>
          <w:p w14:paraId="65AF4525" w14:textId="7D03CC81"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32.50</w:t>
            </w:r>
          </w:p>
        </w:tc>
      </w:tr>
      <w:tr w:rsidR="00627B4B" w:rsidRPr="00EE43C6" w14:paraId="2F7E23D7" w14:textId="77777777" w:rsidTr="001E0229">
        <w:trPr>
          <w:trHeight w:val="284"/>
          <w:jc w:val="center"/>
        </w:trPr>
        <w:tc>
          <w:tcPr>
            <w:tcW w:w="1738" w:type="pct"/>
            <w:vMerge/>
            <w:vAlign w:val="center"/>
          </w:tcPr>
          <w:p w14:paraId="6471ECE5"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0199F07A" w14:textId="768DADF9"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1,000</w:t>
            </w:r>
          </w:p>
        </w:tc>
        <w:tc>
          <w:tcPr>
            <w:tcW w:w="565" w:type="pct"/>
            <w:vAlign w:val="center"/>
          </w:tcPr>
          <w:p w14:paraId="09AB1F49" w14:textId="70F9F017"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30.00</w:t>
            </w:r>
          </w:p>
        </w:tc>
        <w:tc>
          <w:tcPr>
            <w:tcW w:w="669" w:type="pct"/>
            <w:vAlign w:val="center"/>
          </w:tcPr>
          <w:p w14:paraId="04DBF862" w14:textId="13B962FE"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30.00</w:t>
            </w:r>
          </w:p>
        </w:tc>
        <w:tc>
          <w:tcPr>
            <w:tcW w:w="669" w:type="pct"/>
            <w:vAlign w:val="center"/>
          </w:tcPr>
          <w:p w14:paraId="05D483CF" w14:textId="42C1E474"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30.00</w:t>
            </w:r>
          </w:p>
        </w:tc>
        <w:tc>
          <w:tcPr>
            <w:tcW w:w="669" w:type="pct"/>
            <w:vAlign w:val="center"/>
          </w:tcPr>
          <w:p w14:paraId="44D160DF" w14:textId="15C96AC6"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30.00</w:t>
            </w:r>
          </w:p>
        </w:tc>
      </w:tr>
      <w:tr w:rsidR="00627B4B" w:rsidRPr="00EE43C6" w14:paraId="4C9AAFAE" w14:textId="77777777" w:rsidTr="001E0229">
        <w:trPr>
          <w:trHeight w:val="284"/>
          <w:jc w:val="center"/>
        </w:trPr>
        <w:tc>
          <w:tcPr>
            <w:tcW w:w="1738" w:type="pct"/>
            <w:vMerge/>
            <w:vAlign w:val="center"/>
          </w:tcPr>
          <w:p w14:paraId="29547333"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27D43808" w14:textId="50A8154C"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2,000</w:t>
            </w:r>
          </w:p>
        </w:tc>
        <w:tc>
          <w:tcPr>
            <w:tcW w:w="565" w:type="pct"/>
            <w:vAlign w:val="center"/>
          </w:tcPr>
          <w:p w14:paraId="13764FD8" w14:textId="34D12BA6"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23.98</w:t>
            </w:r>
          </w:p>
        </w:tc>
        <w:tc>
          <w:tcPr>
            <w:tcW w:w="669" w:type="pct"/>
            <w:vAlign w:val="center"/>
          </w:tcPr>
          <w:p w14:paraId="3CE1C924" w14:textId="4A175DC0"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23.98</w:t>
            </w:r>
          </w:p>
        </w:tc>
        <w:tc>
          <w:tcPr>
            <w:tcW w:w="669" w:type="pct"/>
            <w:vAlign w:val="center"/>
          </w:tcPr>
          <w:p w14:paraId="3CEE4258" w14:textId="2365FC5A"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23.98</w:t>
            </w:r>
          </w:p>
        </w:tc>
        <w:tc>
          <w:tcPr>
            <w:tcW w:w="669" w:type="pct"/>
            <w:vAlign w:val="center"/>
          </w:tcPr>
          <w:p w14:paraId="1B7402C3" w14:textId="6B11F5C9"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23.98</w:t>
            </w:r>
          </w:p>
        </w:tc>
      </w:tr>
      <w:tr w:rsidR="00627B4B" w:rsidRPr="00EE43C6" w14:paraId="6528F1CA" w14:textId="77777777" w:rsidTr="001E0229">
        <w:trPr>
          <w:trHeight w:val="284"/>
          <w:jc w:val="center"/>
        </w:trPr>
        <w:tc>
          <w:tcPr>
            <w:tcW w:w="1738" w:type="pct"/>
            <w:vMerge w:val="restart"/>
            <w:vAlign w:val="center"/>
          </w:tcPr>
          <w:p w14:paraId="6978B157" w14:textId="13EA5BE6"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Cylinder-Concrete Pump</w:t>
            </w:r>
          </w:p>
        </w:tc>
        <w:tc>
          <w:tcPr>
            <w:tcW w:w="690" w:type="pct"/>
            <w:vAlign w:val="center"/>
          </w:tcPr>
          <w:p w14:paraId="56383B75"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w:t>
            </w:r>
          </w:p>
        </w:tc>
        <w:tc>
          <w:tcPr>
            <w:tcW w:w="565" w:type="pct"/>
            <w:vAlign w:val="center"/>
          </w:tcPr>
          <w:p w14:paraId="464DE413" w14:textId="5D5D8C3E"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59.02</w:t>
            </w:r>
          </w:p>
        </w:tc>
        <w:tc>
          <w:tcPr>
            <w:tcW w:w="669" w:type="pct"/>
            <w:vAlign w:val="center"/>
          </w:tcPr>
          <w:p w14:paraId="35338E4F" w14:textId="47F5D11F"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59.02</w:t>
            </w:r>
          </w:p>
        </w:tc>
        <w:tc>
          <w:tcPr>
            <w:tcW w:w="669" w:type="pct"/>
            <w:vAlign w:val="center"/>
          </w:tcPr>
          <w:p w14:paraId="15E74BA3" w14:textId="01A49E71"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59.02</w:t>
            </w:r>
          </w:p>
        </w:tc>
        <w:tc>
          <w:tcPr>
            <w:tcW w:w="669" w:type="pct"/>
            <w:vAlign w:val="center"/>
          </w:tcPr>
          <w:p w14:paraId="654D6502" w14:textId="59E312F0"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59.02</w:t>
            </w:r>
          </w:p>
        </w:tc>
      </w:tr>
      <w:tr w:rsidR="00627B4B" w:rsidRPr="00EE43C6" w14:paraId="685EDDC1" w14:textId="77777777" w:rsidTr="001E0229">
        <w:trPr>
          <w:trHeight w:val="284"/>
          <w:jc w:val="center"/>
        </w:trPr>
        <w:tc>
          <w:tcPr>
            <w:tcW w:w="1738" w:type="pct"/>
            <w:vMerge/>
            <w:vAlign w:val="center"/>
          </w:tcPr>
          <w:p w14:paraId="6ED0BA15"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587FA074"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w:t>
            </w:r>
          </w:p>
        </w:tc>
        <w:tc>
          <w:tcPr>
            <w:tcW w:w="565" w:type="pct"/>
            <w:vAlign w:val="center"/>
          </w:tcPr>
          <w:p w14:paraId="333B607A" w14:textId="4753065D"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53.00</w:t>
            </w:r>
          </w:p>
        </w:tc>
        <w:tc>
          <w:tcPr>
            <w:tcW w:w="669" w:type="pct"/>
            <w:vAlign w:val="center"/>
          </w:tcPr>
          <w:p w14:paraId="07F0F61A" w14:textId="3C6471CC"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53.00</w:t>
            </w:r>
          </w:p>
        </w:tc>
        <w:tc>
          <w:tcPr>
            <w:tcW w:w="669" w:type="pct"/>
            <w:vAlign w:val="center"/>
          </w:tcPr>
          <w:p w14:paraId="421DE563" w14:textId="235F0FF2"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53.00</w:t>
            </w:r>
          </w:p>
        </w:tc>
        <w:tc>
          <w:tcPr>
            <w:tcW w:w="669" w:type="pct"/>
            <w:vAlign w:val="center"/>
          </w:tcPr>
          <w:p w14:paraId="0FF5EBAC" w14:textId="775A73E6"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53.00</w:t>
            </w:r>
          </w:p>
        </w:tc>
      </w:tr>
      <w:tr w:rsidR="00627B4B" w:rsidRPr="00EE43C6" w14:paraId="53971EAA" w14:textId="77777777" w:rsidTr="001E0229">
        <w:trPr>
          <w:trHeight w:val="284"/>
          <w:jc w:val="center"/>
        </w:trPr>
        <w:tc>
          <w:tcPr>
            <w:tcW w:w="1738" w:type="pct"/>
            <w:vMerge/>
            <w:vAlign w:val="center"/>
          </w:tcPr>
          <w:p w14:paraId="1A6E1EC4"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0D9EFD07"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w:t>
            </w:r>
          </w:p>
        </w:tc>
        <w:tc>
          <w:tcPr>
            <w:tcW w:w="565" w:type="pct"/>
            <w:vAlign w:val="center"/>
          </w:tcPr>
          <w:p w14:paraId="275DB562" w14:textId="48CCAFF0"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45.04</w:t>
            </w:r>
          </w:p>
        </w:tc>
        <w:tc>
          <w:tcPr>
            <w:tcW w:w="669" w:type="pct"/>
            <w:vAlign w:val="center"/>
          </w:tcPr>
          <w:p w14:paraId="51044126" w14:textId="746E6949"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45.04</w:t>
            </w:r>
          </w:p>
        </w:tc>
        <w:tc>
          <w:tcPr>
            <w:tcW w:w="669" w:type="pct"/>
            <w:vAlign w:val="center"/>
          </w:tcPr>
          <w:p w14:paraId="2B4432C3" w14:textId="10F387EA"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45.04</w:t>
            </w:r>
          </w:p>
        </w:tc>
        <w:tc>
          <w:tcPr>
            <w:tcW w:w="669" w:type="pct"/>
            <w:vAlign w:val="center"/>
          </w:tcPr>
          <w:p w14:paraId="725C2227" w14:textId="641D4247"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45.04</w:t>
            </w:r>
          </w:p>
        </w:tc>
      </w:tr>
      <w:tr w:rsidR="00627B4B" w:rsidRPr="00EE43C6" w14:paraId="2747F96D" w14:textId="77777777" w:rsidTr="001E0229">
        <w:trPr>
          <w:trHeight w:val="284"/>
          <w:jc w:val="center"/>
        </w:trPr>
        <w:tc>
          <w:tcPr>
            <w:tcW w:w="1738" w:type="pct"/>
            <w:vMerge/>
            <w:vAlign w:val="center"/>
          </w:tcPr>
          <w:p w14:paraId="67803A32"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3D457338"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w:t>
            </w:r>
          </w:p>
        </w:tc>
        <w:tc>
          <w:tcPr>
            <w:tcW w:w="565" w:type="pct"/>
            <w:vAlign w:val="center"/>
          </w:tcPr>
          <w:p w14:paraId="2C620A21" w14:textId="58C2C61E"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39.02</w:t>
            </w:r>
          </w:p>
        </w:tc>
        <w:tc>
          <w:tcPr>
            <w:tcW w:w="669" w:type="pct"/>
            <w:vAlign w:val="center"/>
          </w:tcPr>
          <w:p w14:paraId="482B6536" w14:textId="4ACA0EFA"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39.02</w:t>
            </w:r>
          </w:p>
        </w:tc>
        <w:tc>
          <w:tcPr>
            <w:tcW w:w="669" w:type="pct"/>
            <w:vAlign w:val="center"/>
          </w:tcPr>
          <w:p w14:paraId="43D69E8F" w14:textId="69B1E88B"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39.02</w:t>
            </w:r>
          </w:p>
        </w:tc>
        <w:tc>
          <w:tcPr>
            <w:tcW w:w="669" w:type="pct"/>
            <w:vAlign w:val="center"/>
          </w:tcPr>
          <w:p w14:paraId="1B8DBAE7" w14:textId="51848438"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39.02</w:t>
            </w:r>
          </w:p>
        </w:tc>
      </w:tr>
      <w:tr w:rsidR="00627B4B" w:rsidRPr="00EE43C6" w14:paraId="55829715" w14:textId="77777777" w:rsidTr="001E0229">
        <w:trPr>
          <w:trHeight w:val="284"/>
          <w:jc w:val="center"/>
        </w:trPr>
        <w:tc>
          <w:tcPr>
            <w:tcW w:w="1738" w:type="pct"/>
            <w:vMerge/>
            <w:vAlign w:val="center"/>
          </w:tcPr>
          <w:p w14:paraId="0F388558"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06604409"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750</w:t>
            </w:r>
          </w:p>
        </w:tc>
        <w:tc>
          <w:tcPr>
            <w:tcW w:w="565" w:type="pct"/>
            <w:vAlign w:val="center"/>
          </w:tcPr>
          <w:p w14:paraId="361EB030" w14:textId="02A6D547"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35.50</w:t>
            </w:r>
          </w:p>
        </w:tc>
        <w:tc>
          <w:tcPr>
            <w:tcW w:w="669" w:type="pct"/>
            <w:vAlign w:val="center"/>
          </w:tcPr>
          <w:p w14:paraId="5259EDA4" w14:textId="44AD7798"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35.50</w:t>
            </w:r>
          </w:p>
        </w:tc>
        <w:tc>
          <w:tcPr>
            <w:tcW w:w="669" w:type="pct"/>
            <w:vAlign w:val="center"/>
          </w:tcPr>
          <w:p w14:paraId="5EFE7C00" w14:textId="69331E75"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35.50</w:t>
            </w:r>
          </w:p>
        </w:tc>
        <w:tc>
          <w:tcPr>
            <w:tcW w:w="669" w:type="pct"/>
            <w:vAlign w:val="center"/>
          </w:tcPr>
          <w:p w14:paraId="63E7FA84" w14:textId="63D13DCB"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35.50</w:t>
            </w:r>
          </w:p>
        </w:tc>
      </w:tr>
      <w:tr w:rsidR="00627B4B" w:rsidRPr="00EE43C6" w14:paraId="7E434C9E" w14:textId="77777777" w:rsidTr="001E0229">
        <w:trPr>
          <w:trHeight w:val="284"/>
          <w:jc w:val="center"/>
        </w:trPr>
        <w:tc>
          <w:tcPr>
            <w:tcW w:w="1738" w:type="pct"/>
            <w:vMerge/>
            <w:vAlign w:val="center"/>
          </w:tcPr>
          <w:p w14:paraId="0DEAE782"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07C028C4"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1,000</w:t>
            </w:r>
          </w:p>
        </w:tc>
        <w:tc>
          <w:tcPr>
            <w:tcW w:w="565" w:type="pct"/>
            <w:vAlign w:val="center"/>
          </w:tcPr>
          <w:p w14:paraId="71E8A611" w14:textId="77C80C0D"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33.00</w:t>
            </w:r>
          </w:p>
        </w:tc>
        <w:tc>
          <w:tcPr>
            <w:tcW w:w="669" w:type="pct"/>
            <w:vAlign w:val="center"/>
          </w:tcPr>
          <w:p w14:paraId="0537C33B" w14:textId="4DD1D5D7"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33.00</w:t>
            </w:r>
          </w:p>
        </w:tc>
        <w:tc>
          <w:tcPr>
            <w:tcW w:w="669" w:type="pct"/>
            <w:vAlign w:val="center"/>
          </w:tcPr>
          <w:p w14:paraId="47495506" w14:textId="69245DB2"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33.00</w:t>
            </w:r>
          </w:p>
        </w:tc>
        <w:tc>
          <w:tcPr>
            <w:tcW w:w="669" w:type="pct"/>
            <w:vAlign w:val="center"/>
          </w:tcPr>
          <w:p w14:paraId="634F8F8F" w14:textId="6D3C92B3"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33.00</w:t>
            </w:r>
          </w:p>
        </w:tc>
      </w:tr>
      <w:tr w:rsidR="00627B4B" w:rsidRPr="00EE43C6" w14:paraId="06184140" w14:textId="77777777" w:rsidTr="001E0229">
        <w:trPr>
          <w:trHeight w:val="284"/>
          <w:jc w:val="center"/>
        </w:trPr>
        <w:tc>
          <w:tcPr>
            <w:tcW w:w="1738" w:type="pct"/>
            <w:vMerge/>
            <w:vAlign w:val="center"/>
          </w:tcPr>
          <w:p w14:paraId="76DF4A46"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6F314973"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2,000</w:t>
            </w:r>
          </w:p>
        </w:tc>
        <w:tc>
          <w:tcPr>
            <w:tcW w:w="565" w:type="pct"/>
            <w:vAlign w:val="center"/>
          </w:tcPr>
          <w:p w14:paraId="50DBC1E1" w14:textId="36390D38"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26.98</w:t>
            </w:r>
          </w:p>
        </w:tc>
        <w:tc>
          <w:tcPr>
            <w:tcW w:w="669" w:type="pct"/>
            <w:vAlign w:val="center"/>
          </w:tcPr>
          <w:p w14:paraId="19A9AD62" w14:textId="060567DC"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26.98</w:t>
            </w:r>
          </w:p>
        </w:tc>
        <w:tc>
          <w:tcPr>
            <w:tcW w:w="669" w:type="pct"/>
            <w:vAlign w:val="center"/>
          </w:tcPr>
          <w:p w14:paraId="1D6D3782" w14:textId="332B64C9"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26.98</w:t>
            </w:r>
          </w:p>
        </w:tc>
        <w:tc>
          <w:tcPr>
            <w:tcW w:w="669" w:type="pct"/>
            <w:vAlign w:val="center"/>
          </w:tcPr>
          <w:p w14:paraId="01F744D5" w14:textId="47D4C3D4" w:rsidR="00627B4B" w:rsidRPr="00EE43C6" w:rsidRDefault="00A551E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26.98</w:t>
            </w:r>
          </w:p>
        </w:tc>
      </w:tr>
      <w:tr w:rsidR="00627B4B" w:rsidRPr="00EE43C6" w14:paraId="2D2C3758" w14:textId="77777777" w:rsidTr="001E0229">
        <w:trPr>
          <w:trHeight w:val="284"/>
          <w:jc w:val="center"/>
        </w:trPr>
        <w:tc>
          <w:tcPr>
            <w:tcW w:w="1738" w:type="pct"/>
            <w:vMerge w:val="restart"/>
            <w:vAlign w:val="center"/>
          </w:tcPr>
          <w:p w14:paraId="3396B757" w14:textId="4B446FC8"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Concrete Mixer-Water Truck</w:t>
            </w:r>
          </w:p>
        </w:tc>
        <w:tc>
          <w:tcPr>
            <w:tcW w:w="690" w:type="pct"/>
            <w:vAlign w:val="center"/>
          </w:tcPr>
          <w:p w14:paraId="38044CFD"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w:t>
            </w:r>
          </w:p>
        </w:tc>
        <w:tc>
          <w:tcPr>
            <w:tcW w:w="565" w:type="pct"/>
            <w:vAlign w:val="center"/>
          </w:tcPr>
          <w:p w14:paraId="180A4B39" w14:textId="44AF4A4E"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53.02</w:t>
            </w:r>
          </w:p>
        </w:tc>
        <w:tc>
          <w:tcPr>
            <w:tcW w:w="669" w:type="pct"/>
            <w:vAlign w:val="center"/>
          </w:tcPr>
          <w:p w14:paraId="5DF47DDB" w14:textId="3C71A836"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53.02</w:t>
            </w:r>
          </w:p>
        </w:tc>
        <w:tc>
          <w:tcPr>
            <w:tcW w:w="669" w:type="pct"/>
            <w:vAlign w:val="center"/>
          </w:tcPr>
          <w:p w14:paraId="078D2496" w14:textId="6D3B193C"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53.02</w:t>
            </w:r>
          </w:p>
        </w:tc>
        <w:tc>
          <w:tcPr>
            <w:tcW w:w="669" w:type="pct"/>
            <w:vAlign w:val="center"/>
          </w:tcPr>
          <w:p w14:paraId="4CC142CB" w14:textId="67000158"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53.02</w:t>
            </w:r>
          </w:p>
        </w:tc>
      </w:tr>
      <w:tr w:rsidR="00627B4B" w:rsidRPr="00EE43C6" w14:paraId="4D0D0193" w14:textId="77777777" w:rsidTr="001E0229">
        <w:trPr>
          <w:trHeight w:val="284"/>
          <w:jc w:val="center"/>
        </w:trPr>
        <w:tc>
          <w:tcPr>
            <w:tcW w:w="1738" w:type="pct"/>
            <w:vMerge/>
            <w:vAlign w:val="center"/>
          </w:tcPr>
          <w:p w14:paraId="1453FD65"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752CB7AC"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w:t>
            </w:r>
          </w:p>
        </w:tc>
        <w:tc>
          <w:tcPr>
            <w:tcW w:w="565" w:type="pct"/>
            <w:vAlign w:val="center"/>
          </w:tcPr>
          <w:p w14:paraId="4F8F333A" w14:textId="44F3DB17"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47.00</w:t>
            </w:r>
          </w:p>
        </w:tc>
        <w:tc>
          <w:tcPr>
            <w:tcW w:w="669" w:type="pct"/>
            <w:vAlign w:val="center"/>
          </w:tcPr>
          <w:p w14:paraId="43AD07B8" w14:textId="6F4EFC3A"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47.00</w:t>
            </w:r>
          </w:p>
        </w:tc>
        <w:tc>
          <w:tcPr>
            <w:tcW w:w="669" w:type="pct"/>
            <w:vAlign w:val="center"/>
          </w:tcPr>
          <w:p w14:paraId="600DFAE7" w14:textId="0F43FD20"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47.00</w:t>
            </w:r>
          </w:p>
        </w:tc>
        <w:tc>
          <w:tcPr>
            <w:tcW w:w="669" w:type="pct"/>
            <w:vAlign w:val="center"/>
          </w:tcPr>
          <w:p w14:paraId="135F60B0" w14:textId="06407E6A"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47.00</w:t>
            </w:r>
          </w:p>
        </w:tc>
      </w:tr>
      <w:tr w:rsidR="00627B4B" w:rsidRPr="00EE43C6" w14:paraId="36433FA9" w14:textId="77777777" w:rsidTr="001E0229">
        <w:trPr>
          <w:trHeight w:val="284"/>
          <w:jc w:val="center"/>
        </w:trPr>
        <w:tc>
          <w:tcPr>
            <w:tcW w:w="1738" w:type="pct"/>
            <w:vMerge/>
            <w:vAlign w:val="center"/>
          </w:tcPr>
          <w:p w14:paraId="070242BE"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7CC71A6F"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w:t>
            </w:r>
          </w:p>
        </w:tc>
        <w:tc>
          <w:tcPr>
            <w:tcW w:w="565" w:type="pct"/>
            <w:vAlign w:val="center"/>
          </w:tcPr>
          <w:p w14:paraId="7D4E02FD" w14:textId="11A44B68"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39.04</w:t>
            </w:r>
          </w:p>
        </w:tc>
        <w:tc>
          <w:tcPr>
            <w:tcW w:w="669" w:type="pct"/>
            <w:vAlign w:val="center"/>
          </w:tcPr>
          <w:p w14:paraId="34D5AF0E" w14:textId="442F2A64"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39.04</w:t>
            </w:r>
          </w:p>
        </w:tc>
        <w:tc>
          <w:tcPr>
            <w:tcW w:w="669" w:type="pct"/>
            <w:vAlign w:val="center"/>
          </w:tcPr>
          <w:p w14:paraId="04A96B67" w14:textId="3E525E83"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39.04</w:t>
            </w:r>
          </w:p>
        </w:tc>
        <w:tc>
          <w:tcPr>
            <w:tcW w:w="669" w:type="pct"/>
            <w:vAlign w:val="center"/>
          </w:tcPr>
          <w:p w14:paraId="728A148C" w14:textId="733E5C21"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39.04</w:t>
            </w:r>
          </w:p>
        </w:tc>
      </w:tr>
      <w:tr w:rsidR="00627B4B" w:rsidRPr="00EE43C6" w14:paraId="797C7141" w14:textId="77777777" w:rsidTr="001E0229">
        <w:trPr>
          <w:trHeight w:val="284"/>
          <w:jc w:val="center"/>
        </w:trPr>
        <w:tc>
          <w:tcPr>
            <w:tcW w:w="1738" w:type="pct"/>
            <w:vMerge/>
            <w:vAlign w:val="center"/>
          </w:tcPr>
          <w:p w14:paraId="4CEE1986"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65560F6E"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w:t>
            </w:r>
          </w:p>
        </w:tc>
        <w:tc>
          <w:tcPr>
            <w:tcW w:w="565" w:type="pct"/>
            <w:vAlign w:val="center"/>
          </w:tcPr>
          <w:p w14:paraId="319AE26D" w14:textId="1014A969"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33.02</w:t>
            </w:r>
          </w:p>
        </w:tc>
        <w:tc>
          <w:tcPr>
            <w:tcW w:w="669" w:type="pct"/>
            <w:vAlign w:val="center"/>
          </w:tcPr>
          <w:p w14:paraId="1DED45EB" w14:textId="607A18C4"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33.02</w:t>
            </w:r>
          </w:p>
        </w:tc>
        <w:tc>
          <w:tcPr>
            <w:tcW w:w="669" w:type="pct"/>
            <w:vAlign w:val="center"/>
          </w:tcPr>
          <w:p w14:paraId="32A00570" w14:textId="79008FAB"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33.02</w:t>
            </w:r>
          </w:p>
        </w:tc>
        <w:tc>
          <w:tcPr>
            <w:tcW w:w="669" w:type="pct"/>
            <w:vAlign w:val="center"/>
          </w:tcPr>
          <w:p w14:paraId="3FFD74F3" w14:textId="3A6163F6"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33.02</w:t>
            </w:r>
          </w:p>
        </w:tc>
      </w:tr>
      <w:tr w:rsidR="00627B4B" w:rsidRPr="00EE43C6" w14:paraId="57BE627C" w14:textId="77777777" w:rsidTr="001E0229">
        <w:trPr>
          <w:trHeight w:val="284"/>
          <w:jc w:val="center"/>
        </w:trPr>
        <w:tc>
          <w:tcPr>
            <w:tcW w:w="1738" w:type="pct"/>
            <w:vMerge/>
            <w:vAlign w:val="center"/>
          </w:tcPr>
          <w:p w14:paraId="3611C8CB"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6350E916"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750</w:t>
            </w:r>
          </w:p>
        </w:tc>
        <w:tc>
          <w:tcPr>
            <w:tcW w:w="565" w:type="pct"/>
            <w:vAlign w:val="center"/>
          </w:tcPr>
          <w:p w14:paraId="320AECED" w14:textId="49900E31"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29.50</w:t>
            </w:r>
          </w:p>
        </w:tc>
        <w:tc>
          <w:tcPr>
            <w:tcW w:w="669" w:type="pct"/>
            <w:vAlign w:val="center"/>
          </w:tcPr>
          <w:p w14:paraId="68300435" w14:textId="4714FA42"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29.50</w:t>
            </w:r>
          </w:p>
        </w:tc>
        <w:tc>
          <w:tcPr>
            <w:tcW w:w="669" w:type="pct"/>
            <w:vAlign w:val="center"/>
          </w:tcPr>
          <w:p w14:paraId="151E435E" w14:textId="25948949"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29.50</w:t>
            </w:r>
          </w:p>
        </w:tc>
        <w:tc>
          <w:tcPr>
            <w:tcW w:w="669" w:type="pct"/>
            <w:vAlign w:val="center"/>
          </w:tcPr>
          <w:p w14:paraId="450B2605" w14:textId="4544A584"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29.50</w:t>
            </w:r>
          </w:p>
        </w:tc>
      </w:tr>
      <w:tr w:rsidR="00627B4B" w:rsidRPr="00EE43C6" w14:paraId="4F51EA7E" w14:textId="77777777" w:rsidTr="001E0229">
        <w:trPr>
          <w:trHeight w:val="284"/>
          <w:jc w:val="center"/>
        </w:trPr>
        <w:tc>
          <w:tcPr>
            <w:tcW w:w="1738" w:type="pct"/>
            <w:vMerge/>
            <w:vAlign w:val="center"/>
          </w:tcPr>
          <w:p w14:paraId="3DD512A1"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32386D53"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1,000</w:t>
            </w:r>
          </w:p>
        </w:tc>
        <w:tc>
          <w:tcPr>
            <w:tcW w:w="565" w:type="pct"/>
            <w:vAlign w:val="center"/>
          </w:tcPr>
          <w:p w14:paraId="39C6E3E4" w14:textId="6B261D11"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27.00</w:t>
            </w:r>
          </w:p>
        </w:tc>
        <w:tc>
          <w:tcPr>
            <w:tcW w:w="669" w:type="pct"/>
            <w:vAlign w:val="center"/>
          </w:tcPr>
          <w:p w14:paraId="1E217A65" w14:textId="0AD194C4"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27.00</w:t>
            </w:r>
          </w:p>
        </w:tc>
        <w:tc>
          <w:tcPr>
            <w:tcW w:w="669" w:type="pct"/>
            <w:vAlign w:val="center"/>
          </w:tcPr>
          <w:p w14:paraId="056142FF" w14:textId="4E637A3A"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27.00</w:t>
            </w:r>
          </w:p>
        </w:tc>
        <w:tc>
          <w:tcPr>
            <w:tcW w:w="669" w:type="pct"/>
            <w:vAlign w:val="center"/>
          </w:tcPr>
          <w:p w14:paraId="7F53DCFE" w14:textId="758E87ED"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27.00</w:t>
            </w:r>
          </w:p>
        </w:tc>
      </w:tr>
      <w:tr w:rsidR="00627B4B" w:rsidRPr="00EE43C6" w14:paraId="0BF62C07" w14:textId="77777777" w:rsidTr="001E0229">
        <w:trPr>
          <w:trHeight w:val="284"/>
          <w:jc w:val="center"/>
        </w:trPr>
        <w:tc>
          <w:tcPr>
            <w:tcW w:w="1738" w:type="pct"/>
            <w:vMerge/>
            <w:vAlign w:val="center"/>
          </w:tcPr>
          <w:p w14:paraId="149DC51C"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039F74C7"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2,000</w:t>
            </w:r>
          </w:p>
        </w:tc>
        <w:tc>
          <w:tcPr>
            <w:tcW w:w="565" w:type="pct"/>
            <w:vAlign w:val="center"/>
          </w:tcPr>
          <w:p w14:paraId="174FB336" w14:textId="4E30F067"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20.98</w:t>
            </w:r>
          </w:p>
        </w:tc>
        <w:tc>
          <w:tcPr>
            <w:tcW w:w="669" w:type="pct"/>
            <w:vAlign w:val="center"/>
          </w:tcPr>
          <w:p w14:paraId="679AEBF1" w14:textId="2544CE10"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20.98</w:t>
            </w:r>
          </w:p>
        </w:tc>
        <w:tc>
          <w:tcPr>
            <w:tcW w:w="669" w:type="pct"/>
            <w:vAlign w:val="center"/>
          </w:tcPr>
          <w:p w14:paraId="3D5A67C6" w14:textId="5954F290"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20.98</w:t>
            </w:r>
          </w:p>
        </w:tc>
        <w:tc>
          <w:tcPr>
            <w:tcW w:w="669" w:type="pct"/>
            <w:vAlign w:val="center"/>
          </w:tcPr>
          <w:p w14:paraId="504BEDFF" w14:textId="78017A2B" w:rsidR="00627B4B" w:rsidRPr="00EE43C6" w:rsidRDefault="00123E5D"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20.98</w:t>
            </w:r>
          </w:p>
        </w:tc>
      </w:tr>
      <w:tr w:rsidR="00627B4B" w:rsidRPr="00EE43C6" w14:paraId="5CDA20B6" w14:textId="77777777" w:rsidTr="001E0229">
        <w:trPr>
          <w:trHeight w:val="284"/>
          <w:jc w:val="center"/>
        </w:trPr>
        <w:tc>
          <w:tcPr>
            <w:tcW w:w="1738" w:type="pct"/>
            <w:vMerge w:val="restart"/>
            <w:vAlign w:val="center"/>
          </w:tcPr>
          <w:p w14:paraId="3B8F99D7" w14:textId="430D3A59"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Truck</w:t>
            </w:r>
          </w:p>
        </w:tc>
        <w:tc>
          <w:tcPr>
            <w:tcW w:w="690" w:type="pct"/>
            <w:vAlign w:val="center"/>
          </w:tcPr>
          <w:p w14:paraId="0F0DAB38"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w:t>
            </w:r>
          </w:p>
        </w:tc>
        <w:tc>
          <w:tcPr>
            <w:tcW w:w="565" w:type="pct"/>
            <w:vAlign w:val="center"/>
          </w:tcPr>
          <w:p w14:paraId="1A6E3C38" w14:textId="2E340CF1" w:rsidR="00627B4B" w:rsidRPr="00EE43C6" w:rsidRDefault="00A024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62.02</w:t>
            </w:r>
          </w:p>
        </w:tc>
        <w:tc>
          <w:tcPr>
            <w:tcW w:w="669" w:type="pct"/>
            <w:vAlign w:val="center"/>
          </w:tcPr>
          <w:p w14:paraId="1208DEA7" w14:textId="7C954B6C"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62.02</w:t>
            </w:r>
          </w:p>
        </w:tc>
        <w:tc>
          <w:tcPr>
            <w:tcW w:w="669" w:type="pct"/>
            <w:vAlign w:val="center"/>
          </w:tcPr>
          <w:p w14:paraId="795269E2" w14:textId="4084C434"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62.02</w:t>
            </w:r>
          </w:p>
        </w:tc>
        <w:tc>
          <w:tcPr>
            <w:tcW w:w="669" w:type="pct"/>
            <w:vAlign w:val="center"/>
          </w:tcPr>
          <w:p w14:paraId="69B4EC4C" w14:textId="7EA3EFB1"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62.02</w:t>
            </w:r>
          </w:p>
        </w:tc>
      </w:tr>
      <w:tr w:rsidR="00627B4B" w:rsidRPr="00EE43C6" w14:paraId="0462148D" w14:textId="77777777" w:rsidTr="001E0229">
        <w:trPr>
          <w:trHeight w:val="284"/>
          <w:jc w:val="center"/>
        </w:trPr>
        <w:tc>
          <w:tcPr>
            <w:tcW w:w="1738" w:type="pct"/>
            <w:vMerge/>
            <w:vAlign w:val="center"/>
          </w:tcPr>
          <w:p w14:paraId="3725BEAF"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3E110DE0"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w:t>
            </w:r>
          </w:p>
        </w:tc>
        <w:tc>
          <w:tcPr>
            <w:tcW w:w="565" w:type="pct"/>
            <w:vAlign w:val="center"/>
          </w:tcPr>
          <w:p w14:paraId="2F4E1D19" w14:textId="0D8F44DE" w:rsidR="00627B4B" w:rsidRPr="00EE43C6" w:rsidRDefault="00A024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56.00</w:t>
            </w:r>
          </w:p>
        </w:tc>
        <w:tc>
          <w:tcPr>
            <w:tcW w:w="669" w:type="pct"/>
            <w:vAlign w:val="center"/>
          </w:tcPr>
          <w:p w14:paraId="62BF0FF0" w14:textId="067B7290"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56.00</w:t>
            </w:r>
          </w:p>
        </w:tc>
        <w:tc>
          <w:tcPr>
            <w:tcW w:w="669" w:type="pct"/>
            <w:vAlign w:val="center"/>
          </w:tcPr>
          <w:p w14:paraId="56D34B71" w14:textId="4067D210"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56.00</w:t>
            </w:r>
          </w:p>
        </w:tc>
        <w:tc>
          <w:tcPr>
            <w:tcW w:w="669" w:type="pct"/>
            <w:vAlign w:val="center"/>
          </w:tcPr>
          <w:p w14:paraId="0302256A" w14:textId="722F498A"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56.00</w:t>
            </w:r>
          </w:p>
        </w:tc>
      </w:tr>
      <w:tr w:rsidR="00627B4B" w:rsidRPr="00EE43C6" w14:paraId="57976B34" w14:textId="77777777" w:rsidTr="001E0229">
        <w:trPr>
          <w:trHeight w:val="284"/>
          <w:jc w:val="center"/>
        </w:trPr>
        <w:tc>
          <w:tcPr>
            <w:tcW w:w="1738" w:type="pct"/>
            <w:vMerge/>
            <w:vAlign w:val="center"/>
          </w:tcPr>
          <w:p w14:paraId="41BB0BD0"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3FC109F0"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w:t>
            </w:r>
          </w:p>
        </w:tc>
        <w:tc>
          <w:tcPr>
            <w:tcW w:w="565" w:type="pct"/>
            <w:vAlign w:val="center"/>
          </w:tcPr>
          <w:p w14:paraId="6BA70F81" w14:textId="6DD9A5A2" w:rsidR="00627B4B" w:rsidRPr="00EE43C6" w:rsidRDefault="00A024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48.04</w:t>
            </w:r>
          </w:p>
        </w:tc>
        <w:tc>
          <w:tcPr>
            <w:tcW w:w="669" w:type="pct"/>
            <w:vAlign w:val="center"/>
          </w:tcPr>
          <w:p w14:paraId="030AC778" w14:textId="48E6A965"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48.04</w:t>
            </w:r>
          </w:p>
        </w:tc>
        <w:tc>
          <w:tcPr>
            <w:tcW w:w="669" w:type="pct"/>
            <w:vAlign w:val="center"/>
          </w:tcPr>
          <w:p w14:paraId="4F9306F5" w14:textId="69F27B1D"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48.04</w:t>
            </w:r>
          </w:p>
        </w:tc>
        <w:tc>
          <w:tcPr>
            <w:tcW w:w="669" w:type="pct"/>
            <w:vAlign w:val="center"/>
          </w:tcPr>
          <w:p w14:paraId="567EBFF8" w14:textId="1B25373C"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48.04</w:t>
            </w:r>
          </w:p>
        </w:tc>
      </w:tr>
      <w:tr w:rsidR="00627B4B" w:rsidRPr="00EE43C6" w14:paraId="371CE0A1" w14:textId="77777777" w:rsidTr="001E0229">
        <w:trPr>
          <w:trHeight w:val="284"/>
          <w:jc w:val="center"/>
        </w:trPr>
        <w:tc>
          <w:tcPr>
            <w:tcW w:w="1738" w:type="pct"/>
            <w:vMerge/>
            <w:vAlign w:val="center"/>
          </w:tcPr>
          <w:p w14:paraId="66F8891F"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67B1654B"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w:t>
            </w:r>
          </w:p>
        </w:tc>
        <w:tc>
          <w:tcPr>
            <w:tcW w:w="565" w:type="pct"/>
            <w:vAlign w:val="center"/>
          </w:tcPr>
          <w:p w14:paraId="1B87D1D4" w14:textId="33100455" w:rsidR="00627B4B" w:rsidRPr="00EE43C6" w:rsidRDefault="00A024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42.02</w:t>
            </w:r>
          </w:p>
        </w:tc>
        <w:tc>
          <w:tcPr>
            <w:tcW w:w="669" w:type="pct"/>
            <w:vAlign w:val="center"/>
          </w:tcPr>
          <w:p w14:paraId="448974DA" w14:textId="53FD728A"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42.02</w:t>
            </w:r>
          </w:p>
        </w:tc>
        <w:tc>
          <w:tcPr>
            <w:tcW w:w="669" w:type="pct"/>
            <w:vAlign w:val="center"/>
          </w:tcPr>
          <w:p w14:paraId="6854A9EE" w14:textId="1669F66F"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42.02</w:t>
            </w:r>
          </w:p>
        </w:tc>
        <w:tc>
          <w:tcPr>
            <w:tcW w:w="669" w:type="pct"/>
            <w:vAlign w:val="center"/>
          </w:tcPr>
          <w:p w14:paraId="13080E64" w14:textId="7DC4B543"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42.02</w:t>
            </w:r>
          </w:p>
        </w:tc>
      </w:tr>
      <w:tr w:rsidR="00627B4B" w:rsidRPr="00EE43C6" w14:paraId="1D42CBC8" w14:textId="77777777" w:rsidTr="001E0229">
        <w:trPr>
          <w:trHeight w:val="284"/>
          <w:jc w:val="center"/>
        </w:trPr>
        <w:tc>
          <w:tcPr>
            <w:tcW w:w="1738" w:type="pct"/>
            <w:vMerge/>
            <w:vAlign w:val="center"/>
          </w:tcPr>
          <w:p w14:paraId="69E25335"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2A9F067A"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750</w:t>
            </w:r>
          </w:p>
        </w:tc>
        <w:tc>
          <w:tcPr>
            <w:tcW w:w="565" w:type="pct"/>
            <w:vAlign w:val="center"/>
          </w:tcPr>
          <w:p w14:paraId="31C83137" w14:textId="07B0FF5C" w:rsidR="00627B4B" w:rsidRPr="00EE43C6" w:rsidRDefault="002E320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38.50</w:t>
            </w:r>
          </w:p>
        </w:tc>
        <w:tc>
          <w:tcPr>
            <w:tcW w:w="669" w:type="pct"/>
            <w:vAlign w:val="center"/>
          </w:tcPr>
          <w:p w14:paraId="6814DBFA" w14:textId="3D1FF2B9"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38.50</w:t>
            </w:r>
          </w:p>
        </w:tc>
        <w:tc>
          <w:tcPr>
            <w:tcW w:w="669" w:type="pct"/>
            <w:vAlign w:val="center"/>
          </w:tcPr>
          <w:p w14:paraId="0347ED3A" w14:textId="7A1FAD34"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38.50</w:t>
            </w:r>
          </w:p>
        </w:tc>
        <w:tc>
          <w:tcPr>
            <w:tcW w:w="669" w:type="pct"/>
            <w:vAlign w:val="center"/>
          </w:tcPr>
          <w:p w14:paraId="796470A8" w14:textId="7E6ABB94"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38.50</w:t>
            </w:r>
          </w:p>
        </w:tc>
      </w:tr>
      <w:tr w:rsidR="00627B4B" w:rsidRPr="00EE43C6" w14:paraId="3CF17799" w14:textId="77777777" w:rsidTr="001E0229">
        <w:trPr>
          <w:trHeight w:val="284"/>
          <w:jc w:val="center"/>
        </w:trPr>
        <w:tc>
          <w:tcPr>
            <w:tcW w:w="1738" w:type="pct"/>
            <w:vMerge/>
            <w:vAlign w:val="center"/>
          </w:tcPr>
          <w:p w14:paraId="26906DAE"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0DCC84A1"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1,000</w:t>
            </w:r>
          </w:p>
        </w:tc>
        <w:tc>
          <w:tcPr>
            <w:tcW w:w="565" w:type="pct"/>
            <w:vAlign w:val="center"/>
          </w:tcPr>
          <w:p w14:paraId="7A08D4D9" w14:textId="68E876E2"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36.00</w:t>
            </w:r>
          </w:p>
        </w:tc>
        <w:tc>
          <w:tcPr>
            <w:tcW w:w="669" w:type="pct"/>
            <w:vAlign w:val="center"/>
          </w:tcPr>
          <w:p w14:paraId="3FDA8A29" w14:textId="0DAF6DD7"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36.00</w:t>
            </w:r>
          </w:p>
        </w:tc>
        <w:tc>
          <w:tcPr>
            <w:tcW w:w="669" w:type="pct"/>
            <w:vAlign w:val="center"/>
          </w:tcPr>
          <w:p w14:paraId="3DF30E27" w14:textId="2C449C87"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36.00</w:t>
            </w:r>
          </w:p>
        </w:tc>
        <w:tc>
          <w:tcPr>
            <w:tcW w:w="669" w:type="pct"/>
            <w:vAlign w:val="center"/>
          </w:tcPr>
          <w:p w14:paraId="3072BE0B" w14:textId="5FAB20DD"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36.00</w:t>
            </w:r>
          </w:p>
        </w:tc>
      </w:tr>
      <w:tr w:rsidR="00627B4B" w:rsidRPr="00EE43C6" w14:paraId="5D6ADA92" w14:textId="77777777" w:rsidTr="001E0229">
        <w:trPr>
          <w:trHeight w:val="284"/>
          <w:jc w:val="center"/>
        </w:trPr>
        <w:tc>
          <w:tcPr>
            <w:tcW w:w="1738" w:type="pct"/>
            <w:vMerge/>
            <w:vAlign w:val="center"/>
          </w:tcPr>
          <w:p w14:paraId="16860CFD" w14:textId="77777777" w:rsidR="00627B4B" w:rsidRPr="00EE43C6" w:rsidRDefault="00627B4B" w:rsidP="00B625EB">
            <w:pPr>
              <w:spacing w:before="0" w:after="0" w:line="240" w:lineRule="auto"/>
              <w:jc w:val="center"/>
              <w:rPr>
                <w:rFonts w:eastAsia="Arial TUR" w:cs="Arial"/>
                <w:sz w:val="18"/>
                <w:szCs w:val="18"/>
                <w:lang w:eastAsia="en-US"/>
              </w:rPr>
            </w:pPr>
          </w:p>
        </w:tc>
        <w:tc>
          <w:tcPr>
            <w:tcW w:w="690" w:type="pct"/>
            <w:vAlign w:val="center"/>
          </w:tcPr>
          <w:p w14:paraId="2FAD08AC" w14:textId="77777777" w:rsidR="00627B4B" w:rsidRPr="00EE43C6" w:rsidRDefault="00627B4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2,000</w:t>
            </w:r>
          </w:p>
        </w:tc>
        <w:tc>
          <w:tcPr>
            <w:tcW w:w="565" w:type="pct"/>
            <w:vAlign w:val="center"/>
          </w:tcPr>
          <w:p w14:paraId="1C328242" w14:textId="0B88F27D"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29.98</w:t>
            </w:r>
          </w:p>
        </w:tc>
        <w:tc>
          <w:tcPr>
            <w:tcW w:w="669" w:type="pct"/>
            <w:vAlign w:val="center"/>
          </w:tcPr>
          <w:p w14:paraId="58BBD44C" w14:textId="1E158149"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29.98</w:t>
            </w:r>
          </w:p>
        </w:tc>
        <w:tc>
          <w:tcPr>
            <w:tcW w:w="669" w:type="pct"/>
            <w:vAlign w:val="center"/>
          </w:tcPr>
          <w:p w14:paraId="38CC5BE6" w14:textId="5F35AB9A"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29.98</w:t>
            </w:r>
          </w:p>
        </w:tc>
        <w:tc>
          <w:tcPr>
            <w:tcW w:w="669" w:type="pct"/>
            <w:vAlign w:val="center"/>
          </w:tcPr>
          <w:p w14:paraId="12EE5CCD" w14:textId="4318A11E" w:rsidR="00627B4B" w:rsidRPr="00EE43C6" w:rsidRDefault="0049639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29.98</w:t>
            </w:r>
          </w:p>
        </w:tc>
      </w:tr>
    </w:tbl>
    <w:p w14:paraId="632AD879" w14:textId="7CF9EBDA" w:rsidR="001B2144" w:rsidRPr="00EE43C6" w:rsidRDefault="00E90B92" w:rsidP="00E90B92">
      <w:pPr>
        <w:rPr>
          <w:rFonts w:eastAsia="Arial TUR"/>
          <w:lang w:eastAsia="en-US"/>
        </w:rPr>
      </w:pPr>
      <w:r w:rsidRPr="00EE43C6">
        <w:rPr>
          <w:rFonts w:eastAsia="Arial TUR"/>
          <w:lang w:eastAsia="en-US"/>
        </w:rPr>
        <w:t>It is assumed that the total sound power level is equally distributed over 4 octave bands.</w:t>
      </w:r>
    </w:p>
    <w:p w14:paraId="386F0C94" w14:textId="531AE762" w:rsidR="008B38D2" w:rsidRPr="00EE43C6" w:rsidRDefault="008B38D2" w:rsidP="00E90B92">
      <w:pPr>
        <w:rPr>
          <w:rFonts w:eastAsia="Arial TUR"/>
          <w:lang w:eastAsia="en-US"/>
        </w:rPr>
      </w:pPr>
      <w:r w:rsidRPr="00EE43C6">
        <w:rPr>
          <w:rFonts w:eastAsia="Arial TUR"/>
          <w:lang w:eastAsia="en-US"/>
        </w:rPr>
        <w:t xml:space="preserve">The values calculated in the 4 octave band for the total sound power level are calculated with the formula and the sound pressure levels that will occur in the ambient as a result of the change with the distance are given in </w:t>
      </w:r>
      <w:r w:rsidR="00352B72" w:rsidRPr="00EE43C6">
        <w:rPr>
          <w:rFonts w:eastAsia="Arial TUR"/>
          <w:lang w:eastAsia="en-US"/>
        </w:rPr>
        <w:fldChar w:fldCharType="begin"/>
      </w:r>
      <w:r w:rsidR="00352B72" w:rsidRPr="00EE43C6">
        <w:rPr>
          <w:rFonts w:eastAsia="Arial TUR"/>
          <w:lang w:eastAsia="en-US"/>
        </w:rPr>
        <w:instrText xml:space="preserve"> REF _Ref127981797 \h </w:instrText>
      </w:r>
      <w:r w:rsidR="00352B72" w:rsidRPr="00EE43C6">
        <w:rPr>
          <w:rFonts w:eastAsia="Arial TUR"/>
          <w:lang w:eastAsia="en-US"/>
        </w:rPr>
      </w:r>
      <w:r w:rsidR="00352B72" w:rsidRPr="00EE43C6">
        <w:rPr>
          <w:rFonts w:eastAsia="Arial TUR"/>
          <w:lang w:eastAsia="en-US"/>
        </w:rPr>
        <w:fldChar w:fldCharType="separate"/>
      </w:r>
      <w:r w:rsidR="00DA3EF8" w:rsidRPr="00EE43C6">
        <w:t>Table 6</w:t>
      </w:r>
      <w:r w:rsidR="00DA3EF8" w:rsidRPr="00EE43C6">
        <w:noBreakHyphen/>
        <w:t>24</w:t>
      </w:r>
      <w:r w:rsidR="00352B72" w:rsidRPr="00EE43C6">
        <w:rPr>
          <w:rFonts w:eastAsia="Arial TUR"/>
          <w:lang w:eastAsia="en-US"/>
        </w:rPr>
        <w:fldChar w:fldCharType="end"/>
      </w:r>
      <w:r w:rsidR="00271680" w:rsidRPr="00EE43C6">
        <w:rPr>
          <w:rFonts w:eastAsia="Arial TUR"/>
          <w:lang w:eastAsia="en-US"/>
        </w:rPr>
        <w:fldChar w:fldCharType="begin"/>
      </w:r>
      <w:r w:rsidR="00271680" w:rsidRPr="00EE43C6">
        <w:rPr>
          <w:rFonts w:eastAsia="Arial TUR"/>
          <w:lang w:eastAsia="en-US"/>
        </w:rPr>
        <w:instrText xml:space="preserve"> REF _Ref126161564 \h </w:instrText>
      </w:r>
      <w:r w:rsidR="00271680" w:rsidRPr="00EE43C6">
        <w:rPr>
          <w:rFonts w:eastAsia="Arial TUR"/>
          <w:lang w:eastAsia="en-US"/>
        </w:rPr>
      </w:r>
      <w:r w:rsidR="00271680" w:rsidRPr="00EE43C6">
        <w:rPr>
          <w:rFonts w:eastAsia="Arial TUR"/>
          <w:lang w:eastAsia="en-US"/>
        </w:rPr>
        <w:fldChar w:fldCharType="end"/>
      </w:r>
      <w:r w:rsidRPr="00EE43C6">
        <w:rPr>
          <w:rFonts w:eastAsia="Arial TUR"/>
          <w:lang w:eastAsia="en-US"/>
        </w:rPr>
        <w:t xml:space="preserve">, taking into account the correction factor for each frequency given in </w:t>
      </w:r>
      <w:r w:rsidR="00352B72" w:rsidRPr="00EE43C6">
        <w:rPr>
          <w:rFonts w:eastAsia="Arial TUR"/>
          <w:lang w:eastAsia="en-US"/>
        </w:rPr>
        <w:fldChar w:fldCharType="begin"/>
      </w:r>
      <w:r w:rsidR="00352B72" w:rsidRPr="00EE43C6">
        <w:rPr>
          <w:rFonts w:eastAsia="Arial TUR"/>
          <w:lang w:eastAsia="en-US"/>
        </w:rPr>
        <w:instrText xml:space="preserve"> REF _Ref127981808 \h </w:instrText>
      </w:r>
      <w:r w:rsidR="00352B72" w:rsidRPr="00EE43C6">
        <w:rPr>
          <w:rFonts w:eastAsia="Arial TUR"/>
          <w:lang w:eastAsia="en-US"/>
        </w:rPr>
      </w:r>
      <w:r w:rsidR="00352B72" w:rsidRPr="00EE43C6">
        <w:rPr>
          <w:rFonts w:eastAsia="Arial TUR"/>
          <w:lang w:eastAsia="en-US"/>
        </w:rPr>
        <w:fldChar w:fldCharType="separate"/>
      </w:r>
      <w:r w:rsidR="00DA3EF8" w:rsidRPr="00EE43C6">
        <w:t>Table 6</w:t>
      </w:r>
      <w:r w:rsidR="00DA3EF8" w:rsidRPr="00EE43C6">
        <w:noBreakHyphen/>
        <w:t>25</w:t>
      </w:r>
      <w:r w:rsidR="00352B72" w:rsidRPr="00EE43C6">
        <w:rPr>
          <w:rFonts w:eastAsia="Arial TUR"/>
          <w:lang w:eastAsia="en-US"/>
        </w:rPr>
        <w:fldChar w:fldCharType="end"/>
      </w:r>
      <w:r w:rsidR="00C2430C" w:rsidRPr="00EE43C6">
        <w:rPr>
          <w:rFonts w:eastAsia="Arial TUR"/>
          <w:lang w:eastAsia="en-US"/>
        </w:rPr>
        <w:fldChar w:fldCharType="begin"/>
      </w:r>
      <w:r w:rsidR="00C2430C" w:rsidRPr="00EE43C6">
        <w:rPr>
          <w:rFonts w:eastAsia="Arial TUR"/>
          <w:lang w:eastAsia="en-US"/>
        </w:rPr>
        <w:instrText xml:space="preserve"> REF _Ref126162226 \h </w:instrText>
      </w:r>
      <w:r w:rsidR="00C2430C" w:rsidRPr="00EE43C6">
        <w:rPr>
          <w:rFonts w:eastAsia="Arial TUR"/>
          <w:lang w:eastAsia="en-US"/>
        </w:rPr>
      </w:r>
      <w:r w:rsidR="00C2430C" w:rsidRPr="00EE43C6">
        <w:rPr>
          <w:rFonts w:eastAsia="Arial TUR"/>
          <w:lang w:eastAsia="en-US"/>
        </w:rPr>
        <w:fldChar w:fldCharType="end"/>
      </w:r>
      <w:r w:rsidRPr="00EE43C6">
        <w:rPr>
          <w:rFonts w:eastAsia="Arial TUR"/>
          <w:lang w:eastAsia="en-US"/>
        </w:rPr>
        <w:t>.</w:t>
      </w:r>
    </w:p>
    <w:p w14:paraId="68540975" w14:textId="0A35C90D" w:rsidR="008B38D2" w:rsidRPr="00EE43C6" w:rsidRDefault="00271680" w:rsidP="00271680">
      <w:pPr>
        <w:pStyle w:val="Caption"/>
        <w:rPr>
          <w:rFonts w:eastAsia="Arial TUR"/>
          <w:noProof w:val="0"/>
        </w:rPr>
      </w:pPr>
      <w:bookmarkStart w:id="596" w:name="_Ref127981808"/>
      <w:bookmarkStart w:id="597" w:name="_Ref126161564"/>
      <w:bookmarkStart w:id="598" w:name="_Toc141445534"/>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25</w:t>
      </w:r>
      <w:r w:rsidR="006D2DE8">
        <w:rPr>
          <w:noProof w:val="0"/>
        </w:rPr>
        <w:fldChar w:fldCharType="end"/>
      </w:r>
      <w:bookmarkEnd w:id="596"/>
      <w:bookmarkEnd w:id="597"/>
      <w:r w:rsidRPr="00EE43C6">
        <w:rPr>
          <w:noProof w:val="0"/>
        </w:rPr>
        <w:t xml:space="preserve">. </w:t>
      </w:r>
      <w:r w:rsidR="008B38D2" w:rsidRPr="00EE43C6">
        <w:rPr>
          <w:rFonts w:eastAsia="Arial TUR"/>
          <w:b w:val="0"/>
          <w:noProof w:val="0"/>
          <w:color w:val="auto"/>
        </w:rPr>
        <w:t>Correction Factors</w:t>
      </w:r>
      <w:bookmarkEnd w:id="598"/>
    </w:p>
    <w:tbl>
      <w:tblPr>
        <w:tblStyle w:val="TableGrid"/>
        <w:tblW w:w="5000" w:type="pct"/>
        <w:jc w:val="center"/>
        <w:tblLook w:val="04A0" w:firstRow="1" w:lastRow="0" w:firstColumn="1" w:lastColumn="0" w:noHBand="0" w:noVBand="1"/>
      </w:tblPr>
      <w:tblGrid>
        <w:gridCol w:w="5012"/>
        <w:gridCol w:w="4052"/>
      </w:tblGrid>
      <w:tr w:rsidR="00BD7C8F" w:rsidRPr="00EE43C6" w14:paraId="644A1CB1" w14:textId="77777777" w:rsidTr="006A3316">
        <w:trPr>
          <w:trHeight w:val="284"/>
          <w:tblHeader/>
          <w:jc w:val="center"/>
        </w:trPr>
        <w:tc>
          <w:tcPr>
            <w:tcW w:w="2765" w:type="pct"/>
            <w:shd w:val="clear" w:color="auto" w:fill="4F81BD"/>
            <w:vAlign w:val="center"/>
          </w:tcPr>
          <w:p w14:paraId="58FA700A" w14:textId="018D9BA4" w:rsidR="00BD7C8F" w:rsidRPr="00EE43C6" w:rsidRDefault="002D0C9C" w:rsidP="00B625EB">
            <w:pPr>
              <w:spacing w:before="0" w:after="0" w:line="240" w:lineRule="auto"/>
              <w:jc w:val="center"/>
              <w:rPr>
                <w:rFonts w:eastAsia="Arial TUR"/>
                <w:b/>
                <w:color w:val="FFFFFF" w:themeColor="background1"/>
                <w:sz w:val="18"/>
                <w:szCs w:val="22"/>
                <w:lang w:eastAsia="en-US"/>
              </w:rPr>
            </w:pPr>
            <w:r w:rsidRPr="00EE43C6">
              <w:rPr>
                <w:rFonts w:eastAsia="Arial TUR"/>
                <w:b/>
                <w:color w:val="FFFFFF" w:themeColor="background1"/>
                <w:sz w:val="18"/>
                <w:szCs w:val="22"/>
                <w:lang w:eastAsia="en-US"/>
              </w:rPr>
              <w:t>Center Frequency (Hz)</w:t>
            </w:r>
          </w:p>
        </w:tc>
        <w:tc>
          <w:tcPr>
            <w:tcW w:w="2235" w:type="pct"/>
            <w:shd w:val="clear" w:color="auto" w:fill="4F81BD"/>
            <w:vAlign w:val="center"/>
          </w:tcPr>
          <w:p w14:paraId="1AA919A9" w14:textId="49B318FA" w:rsidR="00BD7C8F" w:rsidRPr="00EE43C6" w:rsidRDefault="00E518F0" w:rsidP="00B625EB">
            <w:pPr>
              <w:spacing w:before="0" w:after="0" w:line="240" w:lineRule="auto"/>
              <w:jc w:val="center"/>
              <w:rPr>
                <w:rFonts w:eastAsia="Arial TUR"/>
                <w:b/>
                <w:color w:val="FFFFFF" w:themeColor="background1"/>
                <w:sz w:val="18"/>
                <w:szCs w:val="22"/>
                <w:lang w:eastAsia="en-US"/>
              </w:rPr>
            </w:pPr>
            <w:r w:rsidRPr="00EE43C6">
              <w:rPr>
                <w:rFonts w:eastAsia="Arial TUR"/>
                <w:b/>
                <w:bCs/>
                <w:color w:val="FFFFFF" w:themeColor="background1"/>
                <w:sz w:val="18"/>
                <w:szCs w:val="22"/>
                <w:lang w:eastAsia="en-US"/>
              </w:rPr>
              <w:t>Correction Factor</w:t>
            </w:r>
          </w:p>
        </w:tc>
      </w:tr>
      <w:tr w:rsidR="00BD7C8F" w:rsidRPr="00EE43C6" w14:paraId="427A7130" w14:textId="77777777" w:rsidTr="006A3316">
        <w:trPr>
          <w:trHeight w:val="284"/>
          <w:jc w:val="center"/>
        </w:trPr>
        <w:tc>
          <w:tcPr>
            <w:tcW w:w="2765" w:type="pct"/>
            <w:vAlign w:val="center"/>
          </w:tcPr>
          <w:p w14:paraId="0A3BAA44" w14:textId="7AC5BDE7" w:rsidR="00BD7C8F" w:rsidRPr="00EE43C6" w:rsidRDefault="00C27FC7" w:rsidP="00B625EB">
            <w:pPr>
              <w:spacing w:before="0" w:after="0" w:line="240" w:lineRule="auto"/>
              <w:jc w:val="center"/>
              <w:rPr>
                <w:rFonts w:eastAsia="Arial TUR"/>
                <w:sz w:val="18"/>
                <w:szCs w:val="22"/>
                <w:lang w:eastAsia="en-US"/>
              </w:rPr>
            </w:pPr>
            <w:r w:rsidRPr="00EE43C6">
              <w:rPr>
                <w:rFonts w:eastAsia="Arial TUR"/>
                <w:sz w:val="18"/>
                <w:szCs w:val="22"/>
                <w:lang w:eastAsia="en-US"/>
              </w:rPr>
              <w:t>500</w:t>
            </w:r>
          </w:p>
        </w:tc>
        <w:tc>
          <w:tcPr>
            <w:tcW w:w="2235" w:type="pct"/>
            <w:vAlign w:val="center"/>
          </w:tcPr>
          <w:p w14:paraId="2DFF9EC3" w14:textId="21909D00" w:rsidR="00BD7C8F" w:rsidRPr="00EE43C6" w:rsidRDefault="00C27FC7" w:rsidP="00B625EB">
            <w:pPr>
              <w:spacing w:before="0" w:after="0" w:line="240" w:lineRule="auto"/>
              <w:jc w:val="center"/>
              <w:rPr>
                <w:rFonts w:eastAsia="Arial TUR"/>
                <w:sz w:val="18"/>
                <w:szCs w:val="22"/>
                <w:lang w:eastAsia="en-US"/>
              </w:rPr>
            </w:pPr>
            <w:r w:rsidRPr="00EE43C6">
              <w:rPr>
                <w:rFonts w:eastAsia="Arial TUR"/>
                <w:sz w:val="18"/>
                <w:szCs w:val="22"/>
                <w:lang w:eastAsia="en-US"/>
              </w:rPr>
              <w:t>-</w:t>
            </w:r>
            <w:r w:rsidR="00271680" w:rsidRPr="00EE43C6">
              <w:rPr>
                <w:rFonts w:eastAsia="Arial TUR"/>
                <w:sz w:val="18"/>
                <w:szCs w:val="22"/>
                <w:lang w:eastAsia="en-US"/>
              </w:rPr>
              <w:t xml:space="preserve"> </w:t>
            </w:r>
            <w:r w:rsidRPr="00EE43C6">
              <w:rPr>
                <w:rFonts w:eastAsia="Arial TUR"/>
                <w:sz w:val="18"/>
                <w:szCs w:val="22"/>
                <w:lang w:eastAsia="en-US"/>
              </w:rPr>
              <w:t>3.2</w:t>
            </w:r>
          </w:p>
        </w:tc>
      </w:tr>
      <w:tr w:rsidR="00BD7C8F" w:rsidRPr="00EE43C6" w14:paraId="267432CC" w14:textId="77777777" w:rsidTr="006A3316">
        <w:trPr>
          <w:trHeight w:val="284"/>
          <w:jc w:val="center"/>
        </w:trPr>
        <w:tc>
          <w:tcPr>
            <w:tcW w:w="2765" w:type="pct"/>
            <w:vAlign w:val="center"/>
          </w:tcPr>
          <w:p w14:paraId="6E5509D0" w14:textId="73FBF3AB" w:rsidR="00BD7C8F" w:rsidRPr="00EE43C6" w:rsidRDefault="00C27FC7" w:rsidP="00B625EB">
            <w:pPr>
              <w:spacing w:before="0" w:after="0" w:line="240" w:lineRule="auto"/>
              <w:jc w:val="center"/>
              <w:rPr>
                <w:rFonts w:eastAsia="Arial TUR"/>
                <w:sz w:val="18"/>
                <w:szCs w:val="22"/>
                <w:lang w:eastAsia="en-US"/>
              </w:rPr>
            </w:pPr>
            <w:r w:rsidRPr="00EE43C6">
              <w:rPr>
                <w:rFonts w:eastAsia="Arial TUR"/>
                <w:sz w:val="18"/>
                <w:szCs w:val="22"/>
                <w:lang w:eastAsia="en-US"/>
              </w:rPr>
              <w:t>1,000</w:t>
            </w:r>
          </w:p>
        </w:tc>
        <w:tc>
          <w:tcPr>
            <w:tcW w:w="2235" w:type="pct"/>
            <w:vAlign w:val="center"/>
          </w:tcPr>
          <w:p w14:paraId="4F66666D" w14:textId="63D11C87" w:rsidR="00BD7C8F" w:rsidRPr="00EE43C6" w:rsidRDefault="00C27FC7" w:rsidP="00B625EB">
            <w:pPr>
              <w:spacing w:before="0" w:after="0" w:line="240" w:lineRule="auto"/>
              <w:jc w:val="center"/>
              <w:rPr>
                <w:rFonts w:eastAsia="Arial TUR"/>
                <w:sz w:val="18"/>
                <w:szCs w:val="22"/>
                <w:lang w:eastAsia="en-US"/>
              </w:rPr>
            </w:pPr>
            <w:r w:rsidRPr="00EE43C6">
              <w:rPr>
                <w:rFonts w:eastAsia="Arial TUR"/>
                <w:sz w:val="18"/>
                <w:szCs w:val="22"/>
                <w:lang w:eastAsia="en-US"/>
              </w:rPr>
              <w:t>0.0</w:t>
            </w:r>
          </w:p>
        </w:tc>
      </w:tr>
      <w:tr w:rsidR="00BD7C8F" w:rsidRPr="00EE43C6" w14:paraId="756D71FE" w14:textId="77777777" w:rsidTr="006A3316">
        <w:trPr>
          <w:trHeight w:val="284"/>
          <w:jc w:val="center"/>
        </w:trPr>
        <w:tc>
          <w:tcPr>
            <w:tcW w:w="2765" w:type="pct"/>
            <w:vAlign w:val="center"/>
          </w:tcPr>
          <w:p w14:paraId="52CD95B9" w14:textId="0C225414" w:rsidR="00BD7C8F" w:rsidRPr="00EE43C6" w:rsidRDefault="00C27FC7" w:rsidP="00B625EB">
            <w:pPr>
              <w:spacing w:before="0" w:after="0" w:line="240" w:lineRule="auto"/>
              <w:jc w:val="center"/>
              <w:rPr>
                <w:rFonts w:eastAsia="Arial TUR"/>
                <w:sz w:val="18"/>
                <w:szCs w:val="22"/>
                <w:lang w:eastAsia="en-US"/>
              </w:rPr>
            </w:pPr>
            <w:r w:rsidRPr="00EE43C6">
              <w:rPr>
                <w:rFonts w:eastAsia="Arial TUR"/>
                <w:sz w:val="18"/>
                <w:szCs w:val="22"/>
                <w:lang w:eastAsia="en-US"/>
              </w:rPr>
              <w:t>2,000</w:t>
            </w:r>
          </w:p>
        </w:tc>
        <w:tc>
          <w:tcPr>
            <w:tcW w:w="2235" w:type="pct"/>
            <w:vAlign w:val="center"/>
          </w:tcPr>
          <w:p w14:paraId="33F5BD57" w14:textId="51535927" w:rsidR="00BD7C8F" w:rsidRPr="00EE43C6" w:rsidRDefault="00271680" w:rsidP="00B625EB">
            <w:pPr>
              <w:spacing w:before="0" w:after="0" w:line="240" w:lineRule="auto"/>
              <w:jc w:val="center"/>
              <w:rPr>
                <w:rFonts w:eastAsia="Arial TUR"/>
                <w:sz w:val="18"/>
                <w:szCs w:val="22"/>
                <w:lang w:eastAsia="en-US"/>
              </w:rPr>
            </w:pPr>
            <w:r w:rsidRPr="00EE43C6">
              <w:rPr>
                <w:rFonts w:eastAsia="Arial TUR"/>
                <w:sz w:val="18"/>
                <w:szCs w:val="22"/>
                <w:lang w:eastAsia="en-US"/>
              </w:rPr>
              <w:t>+1.2</w:t>
            </w:r>
          </w:p>
        </w:tc>
      </w:tr>
      <w:tr w:rsidR="00BD7C8F" w:rsidRPr="00EE43C6" w14:paraId="44C85220" w14:textId="77777777" w:rsidTr="006A3316">
        <w:trPr>
          <w:trHeight w:val="284"/>
          <w:jc w:val="center"/>
        </w:trPr>
        <w:tc>
          <w:tcPr>
            <w:tcW w:w="2765" w:type="pct"/>
            <w:vAlign w:val="center"/>
          </w:tcPr>
          <w:p w14:paraId="02BB10BE" w14:textId="2DE799B5" w:rsidR="00BD7C8F" w:rsidRPr="00EE43C6" w:rsidRDefault="00C27FC7" w:rsidP="00B625EB">
            <w:pPr>
              <w:spacing w:before="0" w:after="0" w:line="240" w:lineRule="auto"/>
              <w:jc w:val="center"/>
              <w:rPr>
                <w:rFonts w:eastAsia="Arial TUR"/>
                <w:sz w:val="18"/>
                <w:szCs w:val="22"/>
                <w:lang w:eastAsia="en-US"/>
              </w:rPr>
            </w:pPr>
            <w:r w:rsidRPr="00EE43C6">
              <w:rPr>
                <w:rFonts w:eastAsia="Arial TUR"/>
                <w:sz w:val="18"/>
                <w:szCs w:val="22"/>
                <w:lang w:eastAsia="en-US"/>
              </w:rPr>
              <w:t>4,000</w:t>
            </w:r>
          </w:p>
        </w:tc>
        <w:tc>
          <w:tcPr>
            <w:tcW w:w="2235" w:type="pct"/>
            <w:vAlign w:val="center"/>
          </w:tcPr>
          <w:p w14:paraId="5D7DF90D" w14:textId="059011F3" w:rsidR="00BD7C8F" w:rsidRPr="00EE43C6" w:rsidRDefault="00271680" w:rsidP="00B625EB">
            <w:pPr>
              <w:spacing w:before="0" w:after="0" w:line="240" w:lineRule="auto"/>
              <w:jc w:val="center"/>
              <w:rPr>
                <w:rFonts w:eastAsia="Arial TUR"/>
                <w:sz w:val="18"/>
                <w:szCs w:val="22"/>
                <w:lang w:eastAsia="en-US"/>
              </w:rPr>
            </w:pPr>
            <w:r w:rsidRPr="00EE43C6">
              <w:rPr>
                <w:rFonts w:eastAsia="Arial TUR"/>
                <w:sz w:val="18"/>
                <w:szCs w:val="22"/>
                <w:lang w:eastAsia="en-US"/>
              </w:rPr>
              <w:t>+1</w:t>
            </w:r>
          </w:p>
        </w:tc>
      </w:tr>
    </w:tbl>
    <w:p w14:paraId="779BB831" w14:textId="6475EADC" w:rsidR="008B38D2" w:rsidRPr="00EE43C6" w:rsidRDefault="00747330" w:rsidP="00E90B92">
      <w:pPr>
        <w:rPr>
          <w:rFonts w:eastAsia="Arial TUR"/>
          <w:lang w:eastAsia="en-US"/>
        </w:rPr>
      </w:pPr>
      <w:r w:rsidRPr="00EE43C6">
        <w:rPr>
          <w:rFonts w:eastAsia="Arial TUR"/>
          <w:lang w:eastAsia="en-US"/>
        </w:rPr>
        <w:lastRenderedPageBreak/>
        <w:t>Atmospheric absorption values for each frequency were calculated regarding to the formula below and relative humidity (Q) was taken as 75%.</w:t>
      </w:r>
    </w:p>
    <w:p w14:paraId="62AEC1E8" w14:textId="56A664CC" w:rsidR="00C7222A" w:rsidRPr="00EE43C6" w:rsidRDefault="001A263B" w:rsidP="00E90B92">
      <w:pPr>
        <w:rPr>
          <w:rFonts w:eastAsia="Arial TUR"/>
          <w:lang w:eastAsia="en-US"/>
        </w:rPr>
      </w:pPr>
      <w:r w:rsidRPr="00EE43C6">
        <w:rPr>
          <w:rFonts w:eastAsia="Arial TUR"/>
          <w:lang w:eastAsia="en-US"/>
        </w:rPr>
        <w:t>Atmospheric absorption in the area is;</w:t>
      </w:r>
    </w:p>
    <w:p w14:paraId="6C81CEB5" w14:textId="497F32F9" w:rsidR="001A263B" w:rsidRPr="00EE43C6" w:rsidRDefault="00894C96" w:rsidP="004B65EE">
      <w:pPr>
        <w:spacing w:before="0" w:after="0"/>
        <w:rPr>
          <w:rFonts w:eastAsia="Arial TUR"/>
          <w:lang w:eastAsia="en-US"/>
        </w:rPr>
      </w:pPr>
      <w:r w:rsidRPr="00EE43C6">
        <w:rPr>
          <w:rFonts w:eastAsia="Arial TUR"/>
          <w:noProof/>
        </w:rPr>
        <w:drawing>
          <wp:inline distT="0" distB="0" distL="0" distR="0" wp14:anchorId="48A450FF" wp14:editId="62C42365">
            <wp:extent cx="1657581" cy="409632"/>
            <wp:effectExtent l="0" t="0" r="0" b="952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57581" cy="409632"/>
                    </a:xfrm>
                    <a:prstGeom prst="rect">
                      <a:avLst/>
                    </a:prstGeom>
                  </pic:spPr>
                </pic:pic>
              </a:graphicData>
            </a:graphic>
          </wp:inline>
        </w:drawing>
      </w:r>
    </w:p>
    <w:p w14:paraId="16201EF0" w14:textId="079C68B9" w:rsidR="002E63D0" w:rsidRPr="00EE43C6" w:rsidRDefault="002E63D0" w:rsidP="002E63D0">
      <w:pPr>
        <w:spacing w:before="60" w:after="60"/>
        <w:rPr>
          <w:rFonts w:eastAsia="Arial TUR"/>
          <w:lang w:eastAsia="en-US"/>
        </w:rPr>
      </w:pPr>
      <w:r w:rsidRPr="00EE43C6">
        <w:rPr>
          <w:rFonts w:eastAsia="Arial TUR"/>
          <w:lang w:eastAsia="en-US"/>
        </w:rPr>
        <w:t>It is calculated with the formula.</w:t>
      </w:r>
    </w:p>
    <w:p w14:paraId="694F9C5A" w14:textId="252DDD64" w:rsidR="002E63D0" w:rsidRPr="00EE43C6" w:rsidRDefault="0094163A" w:rsidP="002E63D0">
      <w:pPr>
        <w:spacing w:before="60" w:after="60"/>
        <w:rPr>
          <w:rFonts w:eastAsia="Arial TUR"/>
          <w:lang w:eastAsia="en-US"/>
        </w:rPr>
      </w:pPr>
      <w:r w:rsidRPr="00EE43C6">
        <w:rPr>
          <w:rFonts w:eastAsia="Arial TUR"/>
          <w:lang w:eastAsia="en-US"/>
        </w:rPr>
        <w:t>F</w:t>
      </w:r>
      <w:r w:rsidRPr="00EE43C6">
        <w:rPr>
          <w:rFonts w:eastAsia="Arial TUR"/>
          <w:lang w:eastAsia="en-US"/>
        </w:rPr>
        <w:tab/>
      </w:r>
      <w:r w:rsidR="002E63D0" w:rsidRPr="00EE43C6">
        <w:rPr>
          <w:rFonts w:eastAsia="Arial TUR"/>
          <w:lang w:eastAsia="en-US"/>
        </w:rPr>
        <w:t>:</w:t>
      </w:r>
      <w:r w:rsidRPr="00EE43C6">
        <w:rPr>
          <w:rFonts w:eastAsia="Arial TUR"/>
          <w:lang w:eastAsia="en-US"/>
        </w:rPr>
        <w:t xml:space="preserve"> </w:t>
      </w:r>
      <w:r w:rsidR="002E63D0" w:rsidRPr="00EE43C6">
        <w:rPr>
          <w:rFonts w:eastAsia="Arial TUR"/>
          <w:lang w:eastAsia="en-US"/>
        </w:rPr>
        <w:t xml:space="preserve">Frequency (500 </w:t>
      </w:r>
      <w:r w:rsidRPr="00EE43C6">
        <w:rPr>
          <w:rFonts w:eastAsia="Arial TUR"/>
          <w:lang w:eastAsia="en-US"/>
        </w:rPr>
        <w:t>–</w:t>
      </w:r>
      <w:r w:rsidR="002E63D0" w:rsidRPr="00EE43C6">
        <w:rPr>
          <w:rFonts w:eastAsia="Arial TUR"/>
          <w:lang w:eastAsia="en-US"/>
        </w:rPr>
        <w:t xml:space="preserve"> 4</w:t>
      </w:r>
      <w:r w:rsidRPr="00EE43C6">
        <w:rPr>
          <w:rFonts w:eastAsia="Arial TUR"/>
          <w:lang w:eastAsia="en-US"/>
        </w:rPr>
        <w:t>,</w:t>
      </w:r>
      <w:r w:rsidR="002E63D0" w:rsidRPr="00EE43C6">
        <w:rPr>
          <w:rFonts w:eastAsia="Arial TUR"/>
          <w:lang w:eastAsia="en-US"/>
        </w:rPr>
        <w:t>000 Hz),</w:t>
      </w:r>
    </w:p>
    <w:p w14:paraId="2E2E0742" w14:textId="01FAD605" w:rsidR="002E63D0" w:rsidRPr="00EE43C6" w:rsidRDefault="002E63D0" w:rsidP="002E63D0">
      <w:pPr>
        <w:spacing w:before="60" w:after="60"/>
        <w:rPr>
          <w:rFonts w:eastAsia="Arial TUR"/>
          <w:lang w:eastAsia="en-US"/>
        </w:rPr>
      </w:pPr>
      <w:r w:rsidRPr="00EE43C6">
        <w:rPr>
          <w:rFonts w:eastAsia="Arial TUR"/>
          <w:lang w:eastAsia="en-US"/>
        </w:rPr>
        <w:t>Q</w:t>
      </w:r>
      <w:r w:rsidR="0094163A" w:rsidRPr="00EE43C6">
        <w:rPr>
          <w:rFonts w:eastAsia="Arial TUR"/>
          <w:lang w:eastAsia="en-US"/>
        </w:rPr>
        <w:tab/>
      </w:r>
      <w:r w:rsidRPr="00EE43C6">
        <w:rPr>
          <w:rFonts w:eastAsia="Arial TUR"/>
          <w:lang w:eastAsia="en-US"/>
        </w:rPr>
        <w:t>:</w:t>
      </w:r>
      <w:r w:rsidR="0094163A" w:rsidRPr="00EE43C6">
        <w:rPr>
          <w:rFonts w:eastAsia="Arial TUR"/>
          <w:lang w:eastAsia="en-US"/>
        </w:rPr>
        <w:t xml:space="preserve"> </w:t>
      </w:r>
      <w:r w:rsidRPr="00EE43C6">
        <w:rPr>
          <w:rFonts w:eastAsia="Arial TUR"/>
          <w:lang w:eastAsia="en-US"/>
        </w:rPr>
        <w:t>Relative humidity (75% taken),</w:t>
      </w:r>
    </w:p>
    <w:p w14:paraId="6947CF73" w14:textId="53DAB47E" w:rsidR="00894C96" w:rsidRPr="00EE43C6" w:rsidRDefault="002E63D0" w:rsidP="002E63D0">
      <w:pPr>
        <w:spacing w:before="60"/>
        <w:rPr>
          <w:rFonts w:eastAsia="Arial TUR"/>
          <w:lang w:eastAsia="en-US"/>
        </w:rPr>
      </w:pPr>
      <w:r w:rsidRPr="00EE43C6">
        <w:rPr>
          <w:rFonts w:eastAsia="Arial TUR"/>
          <w:lang w:eastAsia="en-US"/>
        </w:rPr>
        <w:t>r</w:t>
      </w:r>
      <w:r w:rsidR="0094163A" w:rsidRPr="00EE43C6">
        <w:rPr>
          <w:rFonts w:eastAsia="Arial TUR"/>
          <w:lang w:eastAsia="en-US"/>
        </w:rPr>
        <w:tab/>
        <w:t>: D</w:t>
      </w:r>
      <w:r w:rsidRPr="00EE43C6">
        <w:rPr>
          <w:rFonts w:eastAsia="Arial TUR"/>
          <w:lang w:eastAsia="en-US"/>
        </w:rPr>
        <w:t>istance (m)</w:t>
      </w:r>
    </w:p>
    <w:p w14:paraId="0EA76131" w14:textId="3BDFD80C" w:rsidR="002E63D0" w:rsidRPr="00EE43C6" w:rsidRDefault="00D40030" w:rsidP="00D40030">
      <w:pPr>
        <w:pStyle w:val="Caption"/>
        <w:rPr>
          <w:rFonts w:eastAsia="Arial TUR"/>
          <w:noProof w:val="0"/>
        </w:rPr>
      </w:pPr>
      <w:bookmarkStart w:id="599" w:name="_Ref126162226"/>
      <w:bookmarkStart w:id="600" w:name="_Toc141445535"/>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26</w:t>
      </w:r>
      <w:r w:rsidR="006D2DE8">
        <w:rPr>
          <w:noProof w:val="0"/>
        </w:rPr>
        <w:fldChar w:fldCharType="end"/>
      </w:r>
      <w:bookmarkEnd w:id="599"/>
      <w:r w:rsidRPr="00EE43C6">
        <w:rPr>
          <w:noProof w:val="0"/>
        </w:rPr>
        <w:t xml:space="preserve">. </w:t>
      </w:r>
      <w:r w:rsidR="0094163A" w:rsidRPr="00EE43C6">
        <w:rPr>
          <w:rFonts w:eastAsia="Arial TUR"/>
          <w:b w:val="0"/>
          <w:noProof w:val="0"/>
          <w:color w:val="auto"/>
        </w:rPr>
        <w:t>Atmospheric Absorption</w:t>
      </w:r>
      <w:bookmarkEnd w:id="600"/>
    </w:p>
    <w:tbl>
      <w:tblPr>
        <w:tblStyle w:val="TableGrid"/>
        <w:tblW w:w="5000" w:type="pct"/>
        <w:jc w:val="center"/>
        <w:tblLook w:val="04A0" w:firstRow="1" w:lastRow="0" w:firstColumn="1" w:lastColumn="0" w:noHBand="0" w:noVBand="1"/>
      </w:tblPr>
      <w:tblGrid>
        <w:gridCol w:w="3048"/>
        <w:gridCol w:w="1317"/>
        <w:gridCol w:w="1567"/>
        <w:gridCol w:w="1566"/>
        <w:gridCol w:w="1566"/>
      </w:tblGrid>
      <w:tr w:rsidR="0094163A" w:rsidRPr="00EE43C6" w14:paraId="07CC0F4F" w14:textId="77777777" w:rsidTr="006A3316">
        <w:trPr>
          <w:trHeight w:val="284"/>
          <w:jc w:val="center"/>
        </w:trPr>
        <w:tc>
          <w:tcPr>
            <w:tcW w:w="1681" w:type="pct"/>
            <w:shd w:val="clear" w:color="auto" w:fill="4F81BD"/>
            <w:vAlign w:val="center"/>
          </w:tcPr>
          <w:p w14:paraId="2F65E52D" w14:textId="689EB0F8" w:rsidR="0094163A" w:rsidRPr="00EE43C6" w:rsidRDefault="0094163A"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Distance</w:t>
            </w:r>
            <w:r w:rsidR="00C27A2F" w:rsidRPr="00EE43C6">
              <w:rPr>
                <w:rFonts w:eastAsia="Arial TUR"/>
                <w:b/>
                <w:bCs/>
                <w:color w:val="FFFFFF" w:themeColor="background1"/>
                <w:sz w:val="18"/>
                <w:szCs w:val="18"/>
                <w:lang w:eastAsia="en-US"/>
              </w:rPr>
              <w:t xml:space="preserve"> (m)</w:t>
            </w:r>
          </w:p>
        </w:tc>
        <w:tc>
          <w:tcPr>
            <w:tcW w:w="726" w:type="pct"/>
            <w:shd w:val="clear" w:color="auto" w:fill="4F81BD"/>
            <w:vAlign w:val="center"/>
          </w:tcPr>
          <w:p w14:paraId="7315B69A" w14:textId="36523655" w:rsidR="0094163A" w:rsidRPr="00EE43C6" w:rsidRDefault="0094163A" w:rsidP="00B625EB">
            <w:pPr>
              <w:spacing w:before="0" w:after="0" w:line="240" w:lineRule="auto"/>
              <w:jc w:val="center"/>
              <w:rPr>
                <w:rFonts w:eastAsia="Arial TUR"/>
                <w:b/>
                <w:bCs/>
                <w:color w:val="FFFFFF" w:themeColor="background1"/>
                <w:sz w:val="18"/>
                <w:szCs w:val="18"/>
                <w:lang w:eastAsia="en-US"/>
              </w:rPr>
            </w:pPr>
            <w:r w:rsidRPr="00EE43C6">
              <w:rPr>
                <w:rFonts w:eastAsia="Arial TUR" w:cs="Arial"/>
                <w:b/>
                <w:bCs/>
                <w:color w:val="FFFFFF" w:themeColor="background1"/>
                <w:sz w:val="18"/>
                <w:szCs w:val="18"/>
                <w:lang w:eastAsia="en-US"/>
              </w:rPr>
              <w:t>500 Hz</w:t>
            </w:r>
          </w:p>
        </w:tc>
        <w:tc>
          <w:tcPr>
            <w:tcW w:w="864" w:type="pct"/>
            <w:shd w:val="clear" w:color="auto" w:fill="4F81BD"/>
            <w:vAlign w:val="center"/>
          </w:tcPr>
          <w:p w14:paraId="230B282F" w14:textId="0AFB3DB6" w:rsidR="0094163A" w:rsidRPr="00EE43C6" w:rsidRDefault="0094163A" w:rsidP="00B625EB">
            <w:pPr>
              <w:spacing w:before="0" w:after="0" w:line="240" w:lineRule="auto"/>
              <w:jc w:val="center"/>
              <w:rPr>
                <w:rFonts w:eastAsia="Arial TUR"/>
                <w:b/>
                <w:bCs/>
                <w:color w:val="FFFFFF" w:themeColor="background1"/>
                <w:sz w:val="18"/>
                <w:szCs w:val="18"/>
                <w:lang w:eastAsia="en-US"/>
              </w:rPr>
            </w:pPr>
            <w:r w:rsidRPr="00EE43C6">
              <w:rPr>
                <w:rFonts w:eastAsia="Arial TUR" w:cs="Arial"/>
                <w:b/>
                <w:bCs/>
                <w:color w:val="FFFFFF" w:themeColor="background1"/>
                <w:sz w:val="18"/>
                <w:szCs w:val="18"/>
                <w:lang w:eastAsia="en-US"/>
              </w:rPr>
              <w:t>1,000 Hz</w:t>
            </w:r>
          </w:p>
        </w:tc>
        <w:tc>
          <w:tcPr>
            <w:tcW w:w="864" w:type="pct"/>
            <w:shd w:val="clear" w:color="auto" w:fill="4F81BD"/>
            <w:vAlign w:val="center"/>
          </w:tcPr>
          <w:p w14:paraId="7E115ED3" w14:textId="637B38FF" w:rsidR="0094163A" w:rsidRPr="00EE43C6" w:rsidRDefault="0094163A" w:rsidP="00B625EB">
            <w:pPr>
              <w:spacing w:before="0" w:after="0" w:line="240" w:lineRule="auto"/>
              <w:jc w:val="center"/>
              <w:rPr>
                <w:rFonts w:eastAsia="Arial TUR"/>
                <w:b/>
                <w:bCs/>
                <w:color w:val="FFFFFF" w:themeColor="background1"/>
                <w:sz w:val="18"/>
                <w:szCs w:val="18"/>
                <w:lang w:eastAsia="en-US"/>
              </w:rPr>
            </w:pPr>
            <w:r w:rsidRPr="00EE43C6">
              <w:rPr>
                <w:rFonts w:eastAsia="Arial TUR" w:cs="Arial"/>
                <w:b/>
                <w:bCs/>
                <w:color w:val="FFFFFF" w:themeColor="background1"/>
                <w:sz w:val="18"/>
                <w:szCs w:val="18"/>
                <w:lang w:eastAsia="en-US"/>
              </w:rPr>
              <w:t>2,000 Hz</w:t>
            </w:r>
          </w:p>
        </w:tc>
        <w:tc>
          <w:tcPr>
            <w:tcW w:w="864" w:type="pct"/>
            <w:shd w:val="clear" w:color="auto" w:fill="4F81BD"/>
            <w:vAlign w:val="center"/>
          </w:tcPr>
          <w:p w14:paraId="7B6FB6FD" w14:textId="09466C3A" w:rsidR="0094163A" w:rsidRPr="00EE43C6" w:rsidRDefault="0094163A" w:rsidP="00B625EB">
            <w:pPr>
              <w:spacing w:before="0" w:after="0" w:line="240" w:lineRule="auto"/>
              <w:jc w:val="center"/>
              <w:rPr>
                <w:rFonts w:eastAsia="Arial TUR"/>
                <w:b/>
                <w:bCs/>
                <w:color w:val="FFFFFF" w:themeColor="background1"/>
                <w:sz w:val="18"/>
                <w:szCs w:val="18"/>
                <w:lang w:eastAsia="en-US"/>
              </w:rPr>
            </w:pPr>
            <w:r w:rsidRPr="00EE43C6">
              <w:rPr>
                <w:rFonts w:eastAsia="Arial TUR" w:cs="Arial"/>
                <w:b/>
                <w:bCs/>
                <w:color w:val="FFFFFF" w:themeColor="background1"/>
                <w:sz w:val="18"/>
                <w:szCs w:val="18"/>
                <w:lang w:eastAsia="en-US"/>
              </w:rPr>
              <w:t>4,000 Hz</w:t>
            </w:r>
          </w:p>
        </w:tc>
      </w:tr>
      <w:tr w:rsidR="0094163A" w:rsidRPr="00EE43C6" w14:paraId="7896B4CF" w14:textId="77777777" w:rsidTr="006A3316">
        <w:trPr>
          <w:trHeight w:val="284"/>
          <w:jc w:val="center"/>
        </w:trPr>
        <w:tc>
          <w:tcPr>
            <w:tcW w:w="1681" w:type="pct"/>
            <w:vAlign w:val="center"/>
          </w:tcPr>
          <w:p w14:paraId="3A7405DE" w14:textId="5657650E"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50</w:t>
            </w:r>
          </w:p>
        </w:tc>
        <w:tc>
          <w:tcPr>
            <w:tcW w:w="726" w:type="pct"/>
            <w:vAlign w:val="center"/>
          </w:tcPr>
          <w:p w14:paraId="1011EA05" w14:textId="4489265A"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0.01</w:t>
            </w:r>
          </w:p>
        </w:tc>
        <w:tc>
          <w:tcPr>
            <w:tcW w:w="864" w:type="pct"/>
            <w:vAlign w:val="center"/>
          </w:tcPr>
          <w:p w14:paraId="1A4B8987" w14:textId="3320674E"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0.05</w:t>
            </w:r>
          </w:p>
        </w:tc>
        <w:tc>
          <w:tcPr>
            <w:tcW w:w="864" w:type="pct"/>
            <w:vAlign w:val="center"/>
          </w:tcPr>
          <w:p w14:paraId="5EE7AD00" w14:textId="2FC4317A" w:rsidR="0094163A" w:rsidRPr="00EE43C6" w:rsidRDefault="00555FF3" w:rsidP="00B625EB">
            <w:pPr>
              <w:spacing w:before="0" w:after="0" w:line="240" w:lineRule="auto"/>
              <w:jc w:val="center"/>
              <w:rPr>
                <w:rFonts w:eastAsia="Arial TUR"/>
                <w:sz w:val="18"/>
                <w:szCs w:val="18"/>
                <w:lang w:eastAsia="en-US"/>
              </w:rPr>
            </w:pPr>
            <w:r w:rsidRPr="00EE43C6">
              <w:rPr>
                <w:rFonts w:eastAsia="Arial TUR"/>
                <w:sz w:val="18"/>
                <w:szCs w:val="18"/>
                <w:lang w:eastAsia="en-US"/>
              </w:rPr>
              <w:t>0.20</w:t>
            </w:r>
          </w:p>
        </w:tc>
        <w:tc>
          <w:tcPr>
            <w:tcW w:w="864" w:type="pct"/>
            <w:vAlign w:val="center"/>
          </w:tcPr>
          <w:p w14:paraId="78E4B23D" w14:textId="10A5596E" w:rsidR="0094163A" w:rsidRPr="00EE43C6" w:rsidRDefault="00C726E9" w:rsidP="00B625EB">
            <w:pPr>
              <w:spacing w:before="0" w:after="0" w:line="240" w:lineRule="auto"/>
              <w:jc w:val="center"/>
              <w:rPr>
                <w:rFonts w:eastAsia="Arial TUR"/>
                <w:sz w:val="18"/>
                <w:szCs w:val="18"/>
                <w:lang w:eastAsia="en-US"/>
              </w:rPr>
            </w:pPr>
            <w:r w:rsidRPr="00EE43C6">
              <w:rPr>
                <w:rFonts w:eastAsia="Arial TUR"/>
                <w:sz w:val="18"/>
                <w:szCs w:val="18"/>
                <w:lang w:eastAsia="en-US"/>
              </w:rPr>
              <w:t>0.79</w:t>
            </w:r>
          </w:p>
        </w:tc>
      </w:tr>
      <w:tr w:rsidR="0094163A" w:rsidRPr="00EE43C6" w14:paraId="715607B5" w14:textId="77777777" w:rsidTr="006A3316">
        <w:trPr>
          <w:trHeight w:val="284"/>
          <w:jc w:val="center"/>
        </w:trPr>
        <w:tc>
          <w:tcPr>
            <w:tcW w:w="1681" w:type="pct"/>
            <w:vAlign w:val="center"/>
          </w:tcPr>
          <w:p w14:paraId="48A363B5" w14:textId="647AFB04"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100</w:t>
            </w:r>
          </w:p>
        </w:tc>
        <w:tc>
          <w:tcPr>
            <w:tcW w:w="726" w:type="pct"/>
            <w:vAlign w:val="center"/>
          </w:tcPr>
          <w:p w14:paraId="3F34EFFE" w14:textId="2AFAD42D"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0.02</w:t>
            </w:r>
          </w:p>
        </w:tc>
        <w:tc>
          <w:tcPr>
            <w:tcW w:w="864" w:type="pct"/>
            <w:vAlign w:val="center"/>
          </w:tcPr>
          <w:p w14:paraId="6CE7C9EC" w14:textId="694D5C14" w:rsidR="0094163A" w:rsidRPr="00EE43C6" w:rsidRDefault="00555FF3" w:rsidP="00B625EB">
            <w:pPr>
              <w:spacing w:before="0" w:after="0" w:line="240" w:lineRule="auto"/>
              <w:jc w:val="center"/>
              <w:rPr>
                <w:rFonts w:eastAsia="Arial TUR"/>
                <w:sz w:val="18"/>
                <w:szCs w:val="18"/>
                <w:lang w:eastAsia="en-US"/>
              </w:rPr>
            </w:pPr>
            <w:r w:rsidRPr="00EE43C6">
              <w:rPr>
                <w:rFonts w:eastAsia="Arial TUR"/>
                <w:sz w:val="18"/>
                <w:szCs w:val="18"/>
                <w:lang w:eastAsia="en-US"/>
              </w:rPr>
              <w:t>0.10</w:t>
            </w:r>
          </w:p>
        </w:tc>
        <w:tc>
          <w:tcPr>
            <w:tcW w:w="864" w:type="pct"/>
            <w:vAlign w:val="center"/>
          </w:tcPr>
          <w:p w14:paraId="133A5D18" w14:textId="59EAC88B" w:rsidR="0094163A" w:rsidRPr="00EE43C6" w:rsidRDefault="00555FF3" w:rsidP="00B625EB">
            <w:pPr>
              <w:spacing w:before="0" w:after="0" w:line="240" w:lineRule="auto"/>
              <w:jc w:val="center"/>
              <w:rPr>
                <w:rFonts w:eastAsia="Arial TUR"/>
                <w:sz w:val="18"/>
                <w:szCs w:val="18"/>
                <w:lang w:eastAsia="en-US"/>
              </w:rPr>
            </w:pPr>
            <w:r w:rsidRPr="00EE43C6">
              <w:rPr>
                <w:rFonts w:eastAsia="Arial TUR"/>
                <w:sz w:val="18"/>
                <w:szCs w:val="18"/>
                <w:lang w:eastAsia="en-US"/>
              </w:rPr>
              <w:t>0.39</w:t>
            </w:r>
          </w:p>
        </w:tc>
        <w:tc>
          <w:tcPr>
            <w:tcW w:w="864" w:type="pct"/>
            <w:vAlign w:val="center"/>
          </w:tcPr>
          <w:p w14:paraId="41122D06" w14:textId="268FA1F5" w:rsidR="0094163A" w:rsidRPr="00EE43C6" w:rsidRDefault="00C726E9" w:rsidP="00B625EB">
            <w:pPr>
              <w:spacing w:before="0" w:after="0" w:line="240" w:lineRule="auto"/>
              <w:jc w:val="center"/>
              <w:rPr>
                <w:rFonts w:eastAsia="Arial TUR"/>
                <w:sz w:val="18"/>
                <w:szCs w:val="18"/>
                <w:lang w:eastAsia="en-US"/>
              </w:rPr>
            </w:pPr>
            <w:r w:rsidRPr="00EE43C6">
              <w:rPr>
                <w:rFonts w:eastAsia="Arial TUR"/>
                <w:sz w:val="18"/>
                <w:szCs w:val="18"/>
                <w:lang w:eastAsia="en-US"/>
              </w:rPr>
              <w:t>1.58</w:t>
            </w:r>
          </w:p>
        </w:tc>
      </w:tr>
      <w:tr w:rsidR="0094163A" w:rsidRPr="00EE43C6" w14:paraId="240FFD6D" w14:textId="77777777" w:rsidTr="006A3316">
        <w:trPr>
          <w:trHeight w:val="284"/>
          <w:jc w:val="center"/>
        </w:trPr>
        <w:tc>
          <w:tcPr>
            <w:tcW w:w="1681" w:type="pct"/>
            <w:vAlign w:val="center"/>
          </w:tcPr>
          <w:p w14:paraId="0C72A45E" w14:textId="298C7379"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350</w:t>
            </w:r>
          </w:p>
        </w:tc>
        <w:tc>
          <w:tcPr>
            <w:tcW w:w="726" w:type="pct"/>
            <w:vAlign w:val="center"/>
          </w:tcPr>
          <w:p w14:paraId="25185622" w14:textId="7BF4B2F8"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0.06</w:t>
            </w:r>
          </w:p>
        </w:tc>
        <w:tc>
          <w:tcPr>
            <w:tcW w:w="864" w:type="pct"/>
            <w:vAlign w:val="center"/>
          </w:tcPr>
          <w:p w14:paraId="31AD21BB" w14:textId="7CF31A99" w:rsidR="0094163A" w:rsidRPr="00EE43C6" w:rsidRDefault="00555FF3" w:rsidP="00B625EB">
            <w:pPr>
              <w:spacing w:before="0" w:after="0" w:line="240" w:lineRule="auto"/>
              <w:jc w:val="center"/>
              <w:rPr>
                <w:rFonts w:eastAsia="Arial TUR"/>
                <w:sz w:val="18"/>
                <w:szCs w:val="18"/>
                <w:lang w:eastAsia="en-US"/>
              </w:rPr>
            </w:pPr>
            <w:r w:rsidRPr="00EE43C6">
              <w:rPr>
                <w:rFonts w:eastAsia="Arial TUR"/>
                <w:sz w:val="18"/>
                <w:szCs w:val="18"/>
                <w:lang w:eastAsia="en-US"/>
              </w:rPr>
              <w:t>0.25</w:t>
            </w:r>
          </w:p>
        </w:tc>
        <w:tc>
          <w:tcPr>
            <w:tcW w:w="864" w:type="pct"/>
            <w:vAlign w:val="center"/>
          </w:tcPr>
          <w:p w14:paraId="59F3D26E" w14:textId="2C2298E7" w:rsidR="0094163A" w:rsidRPr="00EE43C6" w:rsidRDefault="00555FF3" w:rsidP="00B625EB">
            <w:pPr>
              <w:spacing w:before="0" w:after="0" w:line="240" w:lineRule="auto"/>
              <w:jc w:val="center"/>
              <w:rPr>
                <w:rFonts w:eastAsia="Arial TUR"/>
                <w:sz w:val="18"/>
                <w:szCs w:val="18"/>
                <w:lang w:eastAsia="en-US"/>
              </w:rPr>
            </w:pPr>
            <w:r w:rsidRPr="00EE43C6">
              <w:rPr>
                <w:rFonts w:eastAsia="Arial TUR"/>
                <w:sz w:val="18"/>
                <w:szCs w:val="18"/>
                <w:lang w:eastAsia="en-US"/>
              </w:rPr>
              <w:t>0.99</w:t>
            </w:r>
          </w:p>
        </w:tc>
        <w:tc>
          <w:tcPr>
            <w:tcW w:w="864" w:type="pct"/>
            <w:vAlign w:val="center"/>
          </w:tcPr>
          <w:p w14:paraId="79DCBB72" w14:textId="02770199" w:rsidR="0094163A" w:rsidRPr="00EE43C6" w:rsidRDefault="00C726E9" w:rsidP="00B625EB">
            <w:pPr>
              <w:spacing w:before="0" w:after="0" w:line="240" w:lineRule="auto"/>
              <w:jc w:val="center"/>
              <w:rPr>
                <w:rFonts w:eastAsia="Arial TUR"/>
                <w:sz w:val="18"/>
                <w:szCs w:val="18"/>
                <w:lang w:eastAsia="en-US"/>
              </w:rPr>
            </w:pPr>
            <w:r w:rsidRPr="00EE43C6">
              <w:rPr>
                <w:rFonts w:eastAsia="Arial TUR"/>
                <w:sz w:val="18"/>
                <w:szCs w:val="18"/>
                <w:lang w:eastAsia="en-US"/>
              </w:rPr>
              <w:t>3.95</w:t>
            </w:r>
          </w:p>
        </w:tc>
      </w:tr>
      <w:tr w:rsidR="0094163A" w:rsidRPr="00EE43C6" w14:paraId="23D80FC1" w14:textId="77777777" w:rsidTr="006A3316">
        <w:trPr>
          <w:trHeight w:val="284"/>
          <w:jc w:val="center"/>
        </w:trPr>
        <w:tc>
          <w:tcPr>
            <w:tcW w:w="1681" w:type="pct"/>
            <w:vAlign w:val="center"/>
          </w:tcPr>
          <w:p w14:paraId="1479FF90" w14:textId="117CF383"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500</w:t>
            </w:r>
          </w:p>
        </w:tc>
        <w:tc>
          <w:tcPr>
            <w:tcW w:w="726" w:type="pct"/>
            <w:vAlign w:val="center"/>
          </w:tcPr>
          <w:p w14:paraId="274DFD4C" w14:textId="55D7D0B7"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0.12</w:t>
            </w:r>
          </w:p>
        </w:tc>
        <w:tc>
          <w:tcPr>
            <w:tcW w:w="864" w:type="pct"/>
            <w:vAlign w:val="center"/>
          </w:tcPr>
          <w:p w14:paraId="75FB191C" w14:textId="7D3D932B" w:rsidR="0094163A" w:rsidRPr="00EE43C6" w:rsidRDefault="00555FF3" w:rsidP="00B625EB">
            <w:pPr>
              <w:spacing w:before="0" w:after="0" w:line="240" w:lineRule="auto"/>
              <w:jc w:val="center"/>
              <w:rPr>
                <w:rFonts w:eastAsia="Arial TUR"/>
                <w:sz w:val="18"/>
                <w:szCs w:val="18"/>
                <w:lang w:eastAsia="en-US"/>
              </w:rPr>
            </w:pPr>
            <w:r w:rsidRPr="00EE43C6">
              <w:rPr>
                <w:rFonts w:eastAsia="Arial TUR"/>
                <w:sz w:val="18"/>
                <w:szCs w:val="18"/>
                <w:lang w:eastAsia="en-US"/>
              </w:rPr>
              <w:t>0.49</w:t>
            </w:r>
          </w:p>
        </w:tc>
        <w:tc>
          <w:tcPr>
            <w:tcW w:w="864" w:type="pct"/>
            <w:vAlign w:val="center"/>
          </w:tcPr>
          <w:p w14:paraId="3CFF3278" w14:textId="6DEF2269" w:rsidR="0094163A" w:rsidRPr="00EE43C6" w:rsidRDefault="00C726E9" w:rsidP="00B625EB">
            <w:pPr>
              <w:spacing w:before="0" w:after="0" w:line="240" w:lineRule="auto"/>
              <w:jc w:val="center"/>
              <w:rPr>
                <w:rFonts w:eastAsia="Arial TUR"/>
                <w:sz w:val="18"/>
                <w:szCs w:val="18"/>
                <w:lang w:eastAsia="en-US"/>
              </w:rPr>
            </w:pPr>
            <w:r w:rsidRPr="00EE43C6">
              <w:rPr>
                <w:rFonts w:eastAsia="Arial TUR"/>
                <w:sz w:val="18"/>
                <w:szCs w:val="18"/>
                <w:lang w:eastAsia="en-US"/>
              </w:rPr>
              <w:t>1.97</w:t>
            </w:r>
          </w:p>
        </w:tc>
        <w:tc>
          <w:tcPr>
            <w:tcW w:w="864" w:type="pct"/>
            <w:vAlign w:val="center"/>
          </w:tcPr>
          <w:p w14:paraId="254003A1" w14:textId="1E6EEE7B" w:rsidR="0094163A" w:rsidRPr="00EE43C6" w:rsidRDefault="00D40030" w:rsidP="00B625EB">
            <w:pPr>
              <w:spacing w:before="0" w:after="0" w:line="240" w:lineRule="auto"/>
              <w:jc w:val="center"/>
              <w:rPr>
                <w:rFonts w:eastAsia="Arial TUR"/>
                <w:sz w:val="18"/>
                <w:szCs w:val="18"/>
                <w:lang w:eastAsia="en-US"/>
              </w:rPr>
            </w:pPr>
            <w:r w:rsidRPr="00EE43C6">
              <w:rPr>
                <w:rFonts w:eastAsia="Arial TUR"/>
                <w:sz w:val="18"/>
                <w:szCs w:val="18"/>
                <w:lang w:eastAsia="en-US"/>
              </w:rPr>
              <w:t>7.89</w:t>
            </w:r>
          </w:p>
        </w:tc>
      </w:tr>
      <w:tr w:rsidR="0094163A" w:rsidRPr="00EE43C6" w14:paraId="11F13648" w14:textId="77777777" w:rsidTr="006A3316">
        <w:trPr>
          <w:trHeight w:val="284"/>
          <w:jc w:val="center"/>
        </w:trPr>
        <w:tc>
          <w:tcPr>
            <w:tcW w:w="1681" w:type="pct"/>
            <w:vAlign w:val="center"/>
          </w:tcPr>
          <w:p w14:paraId="32E137E8" w14:textId="583A5088"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750</w:t>
            </w:r>
          </w:p>
        </w:tc>
        <w:tc>
          <w:tcPr>
            <w:tcW w:w="726" w:type="pct"/>
            <w:vAlign w:val="center"/>
          </w:tcPr>
          <w:p w14:paraId="052A7C20" w14:textId="58D8E7C6"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0.19</w:t>
            </w:r>
          </w:p>
        </w:tc>
        <w:tc>
          <w:tcPr>
            <w:tcW w:w="864" w:type="pct"/>
            <w:vAlign w:val="center"/>
          </w:tcPr>
          <w:p w14:paraId="49E89DFB" w14:textId="3172D084" w:rsidR="0094163A" w:rsidRPr="00EE43C6" w:rsidRDefault="00555FF3" w:rsidP="00B625EB">
            <w:pPr>
              <w:spacing w:before="0" w:after="0" w:line="240" w:lineRule="auto"/>
              <w:jc w:val="center"/>
              <w:rPr>
                <w:rFonts w:eastAsia="Arial TUR"/>
                <w:sz w:val="18"/>
                <w:szCs w:val="18"/>
                <w:lang w:eastAsia="en-US"/>
              </w:rPr>
            </w:pPr>
            <w:r w:rsidRPr="00EE43C6">
              <w:rPr>
                <w:rFonts w:eastAsia="Arial TUR"/>
                <w:sz w:val="18"/>
                <w:szCs w:val="18"/>
                <w:lang w:eastAsia="en-US"/>
              </w:rPr>
              <w:t>0.74</w:t>
            </w:r>
          </w:p>
        </w:tc>
        <w:tc>
          <w:tcPr>
            <w:tcW w:w="864" w:type="pct"/>
            <w:vAlign w:val="center"/>
          </w:tcPr>
          <w:p w14:paraId="7C019586" w14:textId="53789553" w:rsidR="0094163A" w:rsidRPr="00EE43C6" w:rsidRDefault="00C726E9" w:rsidP="00B625EB">
            <w:pPr>
              <w:spacing w:before="0" w:after="0" w:line="240" w:lineRule="auto"/>
              <w:jc w:val="center"/>
              <w:rPr>
                <w:rFonts w:eastAsia="Arial TUR"/>
                <w:sz w:val="18"/>
                <w:szCs w:val="18"/>
                <w:lang w:eastAsia="en-US"/>
              </w:rPr>
            </w:pPr>
            <w:r w:rsidRPr="00EE43C6">
              <w:rPr>
                <w:rFonts w:eastAsia="Arial TUR"/>
                <w:sz w:val="18"/>
                <w:szCs w:val="18"/>
                <w:lang w:eastAsia="en-US"/>
              </w:rPr>
              <w:t>2.96</w:t>
            </w:r>
          </w:p>
        </w:tc>
        <w:tc>
          <w:tcPr>
            <w:tcW w:w="864" w:type="pct"/>
            <w:vAlign w:val="center"/>
          </w:tcPr>
          <w:p w14:paraId="63D232BC" w14:textId="124328EB" w:rsidR="0094163A" w:rsidRPr="00EE43C6" w:rsidRDefault="00D40030" w:rsidP="00B625EB">
            <w:pPr>
              <w:spacing w:before="0" w:after="0" w:line="240" w:lineRule="auto"/>
              <w:jc w:val="center"/>
              <w:rPr>
                <w:rFonts w:eastAsia="Arial TUR"/>
                <w:sz w:val="18"/>
                <w:szCs w:val="18"/>
                <w:lang w:eastAsia="en-US"/>
              </w:rPr>
            </w:pPr>
            <w:r w:rsidRPr="00EE43C6">
              <w:rPr>
                <w:rFonts w:eastAsia="Arial TUR"/>
                <w:sz w:val="18"/>
                <w:szCs w:val="18"/>
                <w:lang w:eastAsia="en-US"/>
              </w:rPr>
              <w:t>11.84</w:t>
            </w:r>
          </w:p>
        </w:tc>
      </w:tr>
      <w:tr w:rsidR="0094163A" w:rsidRPr="00EE43C6" w14:paraId="39A3C846" w14:textId="77777777" w:rsidTr="006A3316">
        <w:trPr>
          <w:trHeight w:val="284"/>
          <w:jc w:val="center"/>
        </w:trPr>
        <w:tc>
          <w:tcPr>
            <w:tcW w:w="1681" w:type="pct"/>
            <w:vAlign w:val="center"/>
          </w:tcPr>
          <w:p w14:paraId="6DBC35C8" w14:textId="1D5A7D0E"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1,000</w:t>
            </w:r>
          </w:p>
        </w:tc>
        <w:tc>
          <w:tcPr>
            <w:tcW w:w="726" w:type="pct"/>
            <w:vAlign w:val="center"/>
          </w:tcPr>
          <w:p w14:paraId="68681A63" w14:textId="5EF6F15D"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0.25</w:t>
            </w:r>
          </w:p>
        </w:tc>
        <w:tc>
          <w:tcPr>
            <w:tcW w:w="864" w:type="pct"/>
            <w:vAlign w:val="center"/>
          </w:tcPr>
          <w:p w14:paraId="7CC934FB" w14:textId="1C526A7C" w:rsidR="0094163A" w:rsidRPr="00EE43C6" w:rsidRDefault="00555FF3" w:rsidP="00B625EB">
            <w:pPr>
              <w:spacing w:before="0" w:after="0" w:line="240" w:lineRule="auto"/>
              <w:jc w:val="center"/>
              <w:rPr>
                <w:rFonts w:eastAsia="Arial TUR"/>
                <w:sz w:val="18"/>
                <w:szCs w:val="18"/>
                <w:lang w:eastAsia="en-US"/>
              </w:rPr>
            </w:pPr>
            <w:r w:rsidRPr="00EE43C6">
              <w:rPr>
                <w:rFonts w:eastAsia="Arial TUR"/>
                <w:sz w:val="18"/>
                <w:szCs w:val="18"/>
                <w:lang w:eastAsia="en-US"/>
              </w:rPr>
              <w:t>0.99</w:t>
            </w:r>
          </w:p>
        </w:tc>
        <w:tc>
          <w:tcPr>
            <w:tcW w:w="864" w:type="pct"/>
            <w:vAlign w:val="center"/>
          </w:tcPr>
          <w:p w14:paraId="4E028C66" w14:textId="1A7F9FB5" w:rsidR="0094163A" w:rsidRPr="00EE43C6" w:rsidRDefault="00C726E9" w:rsidP="00B625EB">
            <w:pPr>
              <w:spacing w:before="0" w:after="0" w:line="240" w:lineRule="auto"/>
              <w:jc w:val="center"/>
              <w:rPr>
                <w:rFonts w:eastAsia="Arial TUR"/>
                <w:sz w:val="18"/>
                <w:szCs w:val="18"/>
                <w:lang w:eastAsia="en-US"/>
              </w:rPr>
            </w:pPr>
            <w:r w:rsidRPr="00EE43C6">
              <w:rPr>
                <w:rFonts w:eastAsia="Arial TUR"/>
                <w:sz w:val="18"/>
                <w:szCs w:val="18"/>
                <w:lang w:eastAsia="en-US"/>
              </w:rPr>
              <w:t>3.95</w:t>
            </w:r>
          </w:p>
        </w:tc>
        <w:tc>
          <w:tcPr>
            <w:tcW w:w="864" w:type="pct"/>
            <w:vAlign w:val="center"/>
          </w:tcPr>
          <w:p w14:paraId="52D111C6" w14:textId="7EB9BAE9" w:rsidR="0094163A" w:rsidRPr="00EE43C6" w:rsidRDefault="00D40030" w:rsidP="00B625EB">
            <w:pPr>
              <w:spacing w:before="0" w:after="0" w:line="240" w:lineRule="auto"/>
              <w:jc w:val="center"/>
              <w:rPr>
                <w:rFonts w:eastAsia="Arial TUR"/>
                <w:sz w:val="18"/>
                <w:szCs w:val="18"/>
                <w:lang w:eastAsia="en-US"/>
              </w:rPr>
            </w:pPr>
            <w:r w:rsidRPr="00EE43C6">
              <w:rPr>
                <w:rFonts w:eastAsia="Arial TUR"/>
                <w:sz w:val="18"/>
                <w:szCs w:val="18"/>
                <w:lang w:eastAsia="en-US"/>
              </w:rPr>
              <w:t>15.79</w:t>
            </w:r>
          </w:p>
        </w:tc>
      </w:tr>
      <w:tr w:rsidR="0094163A" w:rsidRPr="00EE43C6" w14:paraId="26ABF9D1" w14:textId="77777777" w:rsidTr="006A3316">
        <w:trPr>
          <w:trHeight w:val="284"/>
          <w:jc w:val="center"/>
        </w:trPr>
        <w:tc>
          <w:tcPr>
            <w:tcW w:w="1681" w:type="pct"/>
            <w:vAlign w:val="center"/>
          </w:tcPr>
          <w:p w14:paraId="5B46FC1F" w14:textId="0C867B23"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2,000</w:t>
            </w:r>
          </w:p>
        </w:tc>
        <w:tc>
          <w:tcPr>
            <w:tcW w:w="726" w:type="pct"/>
            <w:vAlign w:val="center"/>
          </w:tcPr>
          <w:p w14:paraId="4D43112B" w14:textId="09AFF4E0" w:rsidR="0094163A" w:rsidRPr="00EE43C6" w:rsidRDefault="0094163A" w:rsidP="00B625EB">
            <w:pPr>
              <w:spacing w:before="0" w:after="0" w:line="240" w:lineRule="auto"/>
              <w:jc w:val="center"/>
              <w:rPr>
                <w:rFonts w:eastAsia="Arial TUR"/>
                <w:sz w:val="18"/>
                <w:szCs w:val="18"/>
                <w:lang w:eastAsia="en-US"/>
              </w:rPr>
            </w:pPr>
            <w:r w:rsidRPr="00EE43C6">
              <w:rPr>
                <w:rFonts w:eastAsia="Arial TUR"/>
                <w:sz w:val="18"/>
                <w:szCs w:val="18"/>
                <w:lang w:eastAsia="en-US"/>
              </w:rPr>
              <w:t>0.49</w:t>
            </w:r>
          </w:p>
        </w:tc>
        <w:tc>
          <w:tcPr>
            <w:tcW w:w="864" w:type="pct"/>
            <w:vAlign w:val="center"/>
          </w:tcPr>
          <w:p w14:paraId="20F68BA5" w14:textId="6AA0100D" w:rsidR="0094163A" w:rsidRPr="00EE43C6" w:rsidRDefault="00555FF3" w:rsidP="00B625EB">
            <w:pPr>
              <w:spacing w:before="0" w:after="0" w:line="240" w:lineRule="auto"/>
              <w:jc w:val="center"/>
              <w:rPr>
                <w:rFonts w:eastAsia="Arial TUR"/>
                <w:sz w:val="18"/>
                <w:szCs w:val="18"/>
                <w:lang w:eastAsia="en-US"/>
              </w:rPr>
            </w:pPr>
            <w:r w:rsidRPr="00EE43C6">
              <w:rPr>
                <w:rFonts w:eastAsia="Arial TUR"/>
                <w:sz w:val="18"/>
                <w:szCs w:val="18"/>
                <w:lang w:eastAsia="en-US"/>
              </w:rPr>
              <w:t>1.97</w:t>
            </w:r>
          </w:p>
        </w:tc>
        <w:tc>
          <w:tcPr>
            <w:tcW w:w="864" w:type="pct"/>
            <w:vAlign w:val="center"/>
          </w:tcPr>
          <w:p w14:paraId="2D57F76F" w14:textId="52B48464" w:rsidR="0094163A" w:rsidRPr="00EE43C6" w:rsidRDefault="00C726E9" w:rsidP="00B625EB">
            <w:pPr>
              <w:spacing w:before="0" w:after="0" w:line="240" w:lineRule="auto"/>
              <w:jc w:val="center"/>
              <w:rPr>
                <w:rFonts w:eastAsia="Arial TUR"/>
                <w:sz w:val="18"/>
                <w:szCs w:val="18"/>
                <w:lang w:eastAsia="en-US"/>
              </w:rPr>
            </w:pPr>
            <w:r w:rsidRPr="00EE43C6">
              <w:rPr>
                <w:rFonts w:eastAsia="Arial TUR"/>
                <w:sz w:val="18"/>
                <w:szCs w:val="18"/>
                <w:lang w:eastAsia="en-US"/>
              </w:rPr>
              <w:t>7.89</w:t>
            </w:r>
          </w:p>
        </w:tc>
        <w:tc>
          <w:tcPr>
            <w:tcW w:w="864" w:type="pct"/>
            <w:vAlign w:val="center"/>
          </w:tcPr>
          <w:p w14:paraId="22BC2389" w14:textId="16E5461F" w:rsidR="0094163A" w:rsidRPr="00EE43C6" w:rsidRDefault="00D40030" w:rsidP="00B625EB">
            <w:pPr>
              <w:spacing w:before="0" w:after="0" w:line="240" w:lineRule="auto"/>
              <w:jc w:val="center"/>
              <w:rPr>
                <w:rFonts w:eastAsia="Arial TUR"/>
                <w:sz w:val="18"/>
                <w:szCs w:val="18"/>
                <w:lang w:eastAsia="en-US"/>
              </w:rPr>
            </w:pPr>
            <w:r w:rsidRPr="00EE43C6">
              <w:rPr>
                <w:rFonts w:eastAsia="Arial TUR"/>
                <w:sz w:val="18"/>
                <w:szCs w:val="18"/>
                <w:lang w:eastAsia="en-US"/>
              </w:rPr>
              <w:t>31.57</w:t>
            </w:r>
          </w:p>
        </w:tc>
      </w:tr>
    </w:tbl>
    <w:p w14:paraId="76488F8D" w14:textId="14045DD7" w:rsidR="0094163A" w:rsidRPr="00EE43C6" w:rsidRDefault="004573A0" w:rsidP="006A3316">
      <w:pPr>
        <w:spacing w:before="360" w:after="360"/>
        <w:rPr>
          <w:rFonts w:eastAsia="Arial TUR"/>
          <w:lang w:eastAsia="en-US"/>
        </w:rPr>
      </w:pPr>
      <w:r w:rsidRPr="00EE43C6">
        <w:rPr>
          <w:rFonts w:eastAsia="Arial TUR"/>
          <w:lang w:eastAsia="en-US"/>
        </w:rPr>
        <w:t xml:space="preserve">After deducting the atmospheric absorption values, the final sound pressure level in the </w:t>
      </w:r>
      <w:r w:rsidR="00CF0E26" w:rsidRPr="00EE43C6">
        <w:rPr>
          <w:rFonts w:eastAsia="Arial TUR"/>
          <w:lang w:eastAsia="en-US"/>
        </w:rPr>
        <w:t>4-octave</w:t>
      </w:r>
      <w:r w:rsidRPr="00EE43C6">
        <w:rPr>
          <w:rFonts w:eastAsia="Arial TUR"/>
          <w:lang w:eastAsia="en-US"/>
        </w:rPr>
        <w:t xml:space="preserve"> band of each noise source was calculated regarding to the formula below, and the results are given in</w:t>
      </w:r>
      <w:r w:rsidR="006A3316" w:rsidRPr="00EE43C6">
        <w:rPr>
          <w:rFonts w:eastAsia="Arial TUR"/>
          <w:lang w:eastAsia="en-US"/>
        </w:rPr>
        <w:t xml:space="preserve"> </w:t>
      </w:r>
      <w:r w:rsidR="00FF7C36" w:rsidRPr="00EE43C6">
        <w:rPr>
          <w:rFonts w:eastAsia="Arial TUR"/>
          <w:lang w:eastAsia="en-US"/>
        </w:rPr>
        <w:fldChar w:fldCharType="begin"/>
      </w:r>
      <w:r w:rsidR="00FF7C36" w:rsidRPr="00EE43C6">
        <w:rPr>
          <w:rFonts w:eastAsia="Arial TUR"/>
          <w:lang w:eastAsia="en-US"/>
        </w:rPr>
        <w:instrText xml:space="preserve"> REF _Ref127981865 \h </w:instrText>
      </w:r>
      <w:r w:rsidR="00FF7C36" w:rsidRPr="00EE43C6">
        <w:rPr>
          <w:rFonts w:eastAsia="Arial TUR"/>
          <w:lang w:eastAsia="en-US"/>
        </w:rPr>
      </w:r>
      <w:r w:rsidR="00FF7C36" w:rsidRPr="00EE43C6">
        <w:rPr>
          <w:rFonts w:eastAsia="Arial TUR"/>
          <w:lang w:eastAsia="en-US"/>
        </w:rPr>
        <w:fldChar w:fldCharType="separate"/>
      </w:r>
      <w:r w:rsidR="00DA3EF8" w:rsidRPr="00EE43C6">
        <w:t>Table 6</w:t>
      </w:r>
      <w:r w:rsidR="00DA3EF8" w:rsidRPr="00EE43C6">
        <w:noBreakHyphen/>
        <w:t>27</w:t>
      </w:r>
      <w:r w:rsidR="00FF7C36" w:rsidRPr="00EE43C6">
        <w:rPr>
          <w:rFonts w:eastAsia="Arial TUR"/>
          <w:lang w:eastAsia="en-US"/>
        </w:rPr>
        <w:fldChar w:fldCharType="end"/>
      </w:r>
      <w:r w:rsidR="006A3316" w:rsidRPr="00EE43C6">
        <w:rPr>
          <w:rFonts w:eastAsia="Arial TUR"/>
          <w:lang w:eastAsia="en-US"/>
        </w:rPr>
        <w:fldChar w:fldCharType="begin"/>
      </w:r>
      <w:r w:rsidR="006A3316" w:rsidRPr="00EE43C6">
        <w:rPr>
          <w:rFonts w:eastAsia="Arial TUR"/>
          <w:lang w:eastAsia="en-US"/>
        </w:rPr>
        <w:instrText xml:space="preserve"> REF _Ref126337006 \h </w:instrText>
      </w:r>
      <w:r w:rsidR="006A3316" w:rsidRPr="00EE43C6">
        <w:rPr>
          <w:rFonts w:eastAsia="Arial TUR"/>
          <w:lang w:eastAsia="en-US"/>
        </w:rPr>
      </w:r>
      <w:r w:rsidR="006A3316" w:rsidRPr="00EE43C6">
        <w:rPr>
          <w:rFonts w:eastAsia="Arial TUR"/>
          <w:lang w:eastAsia="en-US"/>
        </w:rPr>
        <w:fldChar w:fldCharType="end"/>
      </w:r>
      <w:r w:rsidRPr="00EE43C6">
        <w:rPr>
          <w:rFonts w:eastAsia="Arial TUR"/>
          <w:lang w:eastAsia="en-US"/>
        </w:rPr>
        <w:t>.</w:t>
      </w:r>
    </w:p>
    <w:p w14:paraId="2BE5CC83" w14:textId="6F328067" w:rsidR="009858C3" w:rsidRPr="00EE43C6" w:rsidRDefault="008A6A65" w:rsidP="004B65EE">
      <w:pPr>
        <w:spacing w:after="0"/>
        <w:rPr>
          <w:rFonts w:eastAsia="Arial TUR"/>
          <w:lang w:eastAsia="en-US"/>
        </w:rPr>
      </w:pPr>
      <w:r w:rsidRPr="00EE43C6">
        <w:rPr>
          <w:rFonts w:eastAsia="Arial TUR"/>
          <w:i/>
          <w:lang w:eastAsia="en-US"/>
        </w:rPr>
        <w:t>L</w:t>
      </w:r>
      <w:r w:rsidRPr="00EE43C6">
        <w:rPr>
          <w:rFonts w:eastAsia="Arial TUR"/>
          <w:lang w:eastAsia="en-US"/>
        </w:rPr>
        <w:t xml:space="preserve">p = </w:t>
      </w:r>
      <w:r w:rsidRPr="00EE43C6">
        <w:rPr>
          <w:rFonts w:eastAsia="Arial TUR"/>
          <w:i/>
          <w:lang w:eastAsia="en-US"/>
        </w:rPr>
        <w:t>L</w:t>
      </w:r>
      <w:r w:rsidRPr="00EE43C6">
        <w:rPr>
          <w:rFonts w:eastAsia="Arial TUR"/>
          <w:lang w:eastAsia="en-US"/>
        </w:rPr>
        <w:t>p – Aatm</w:t>
      </w:r>
    </w:p>
    <w:p w14:paraId="6D2E5707" w14:textId="7476F5D1" w:rsidR="008A6A65" w:rsidRPr="00EE43C6" w:rsidRDefault="00B93F4A" w:rsidP="001E0229">
      <w:pPr>
        <w:pStyle w:val="Caption"/>
        <w:spacing w:before="360"/>
        <w:rPr>
          <w:rFonts w:eastAsia="Arial TUR"/>
          <w:noProof w:val="0"/>
        </w:rPr>
      </w:pPr>
      <w:bookmarkStart w:id="601" w:name="_Ref126162332"/>
      <w:bookmarkStart w:id="602" w:name="_Ref127981865"/>
      <w:bookmarkStart w:id="603" w:name="_Ref126337006"/>
      <w:bookmarkStart w:id="604" w:name="_Toc141445536"/>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27</w:t>
      </w:r>
      <w:r w:rsidR="006D2DE8">
        <w:rPr>
          <w:noProof w:val="0"/>
        </w:rPr>
        <w:fldChar w:fldCharType="end"/>
      </w:r>
      <w:bookmarkEnd w:id="601"/>
      <w:bookmarkEnd w:id="602"/>
      <w:bookmarkEnd w:id="603"/>
      <w:r w:rsidRPr="00EE43C6">
        <w:rPr>
          <w:noProof w:val="0"/>
        </w:rPr>
        <w:t xml:space="preserve">. </w:t>
      </w:r>
      <w:bookmarkStart w:id="605" w:name="_Hlk126163074"/>
      <w:r w:rsidR="008A6A65" w:rsidRPr="00EE43C6">
        <w:rPr>
          <w:rFonts w:eastAsia="Arial TUR"/>
          <w:b w:val="0"/>
          <w:noProof w:val="0"/>
          <w:color w:val="auto"/>
        </w:rPr>
        <w:t>The Final Sound Pressure Levels</w:t>
      </w:r>
      <w:bookmarkEnd w:id="605"/>
      <w:r w:rsidR="00027EF0" w:rsidRPr="00EE43C6">
        <w:rPr>
          <w:rFonts w:eastAsia="Arial TUR"/>
          <w:b w:val="0"/>
          <w:bCs w:val="0"/>
          <w:noProof w:val="0"/>
          <w:color w:val="auto"/>
        </w:rPr>
        <w:t xml:space="preserve"> </w:t>
      </w:r>
      <w:r w:rsidR="000D6441" w:rsidRPr="00EE43C6">
        <w:rPr>
          <w:rFonts w:eastAsia="Arial TUR"/>
          <w:b w:val="0"/>
          <w:bCs w:val="0"/>
          <w:noProof w:val="0"/>
          <w:color w:val="auto"/>
        </w:rPr>
        <w:t>in the 4</w:t>
      </w:r>
      <w:r w:rsidR="00CF0E26" w:rsidRPr="00EE43C6">
        <w:rPr>
          <w:rFonts w:eastAsia="Arial TUR"/>
          <w:b w:val="0"/>
          <w:bCs w:val="0"/>
          <w:noProof w:val="0"/>
          <w:color w:val="auto"/>
        </w:rPr>
        <w:t>-</w:t>
      </w:r>
      <w:r w:rsidR="000D6441" w:rsidRPr="00EE43C6">
        <w:rPr>
          <w:rFonts w:eastAsia="Arial TUR"/>
          <w:b w:val="0"/>
          <w:bCs w:val="0"/>
          <w:noProof w:val="0"/>
          <w:color w:val="auto"/>
        </w:rPr>
        <w:t>Oc</w:t>
      </w:r>
      <w:r w:rsidR="00CF0E26" w:rsidRPr="00EE43C6">
        <w:rPr>
          <w:rFonts w:eastAsia="Arial TUR"/>
          <w:b w:val="0"/>
          <w:bCs w:val="0"/>
          <w:noProof w:val="0"/>
          <w:color w:val="auto"/>
        </w:rPr>
        <w:t>tave Band</w:t>
      </w:r>
      <w:bookmarkEnd w:id="604"/>
    </w:p>
    <w:tbl>
      <w:tblPr>
        <w:tblStyle w:val="TableGrid"/>
        <w:tblW w:w="5000" w:type="pct"/>
        <w:jc w:val="center"/>
        <w:tblLook w:val="04A0" w:firstRow="1" w:lastRow="0" w:firstColumn="1" w:lastColumn="0" w:noHBand="0" w:noVBand="1"/>
      </w:tblPr>
      <w:tblGrid>
        <w:gridCol w:w="3150"/>
        <w:gridCol w:w="1251"/>
        <w:gridCol w:w="1024"/>
        <w:gridCol w:w="1213"/>
        <w:gridCol w:w="1213"/>
        <w:gridCol w:w="1213"/>
      </w:tblGrid>
      <w:tr w:rsidR="00AB2C1A" w:rsidRPr="00EE43C6" w14:paraId="2038652B" w14:textId="77777777" w:rsidTr="006A3316">
        <w:trPr>
          <w:trHeight w:val="284"/>
          <w:tblHeader/>
          <w:jc w:val="center"/>
        </w:trPr>
        <w:tc>
          <w:tcPr>
            <w:tcW w:w="1738" w:type="pct"/>
            <w:vMerge w:val="restart"/>
            <w:shd w:val="clear" w:color="auto" w:fill="4F81BD"/>
            <w:vAlign w:val="center"/>
          </w:tcPr>
          <w:p w14:paraId="100D826E" w14:textId="77777777" w:rsidR="00AB2C1A" w:rsidRPr="00EE43C6" w:rsidRDefault="00AB2C1A" w:rsidP="00B625EB">
            <w:pPr>
              <w:spacing w:before="0" w:after="0" w:line="240" w:lineRule="auto"/>
              <w:jc w:val="center"/>
              <w:rPr>
                <w:rFonts w:eastAsia="Arial TUR" w:cs="Arial"/>
                <w:b/>
                <w:bCs/>
                <w:color w:val="FFFFFF" w:themeColor="background1"/>
                <w:sz w:val="18"/>
                <w:szCs w:val="18"/>
                <w:lang w:eastAsia="en-US"/>
              </w:rPr>
            </w:pPr>
            <w:r w:rsidRPr="00EE43C6">
              <w:rPr>
                <w:rFonts w:eastAsia="Arial TUR" w:cs="Arial"/>
                <w:b/>
                <w:bCs/>
                <w:color w:val="FFFFFF" w:themeColor="background1"/>
                <w:sz w:val="18"/>
                <w:szCs w:val="18"/>
                <w:lang w:eastAsia="en-US"/>
              </w:rPr>
              <w:t>Noise Sources</w:t>
            </w:r>
          </w:p>
        </w:tc>
        <w:tc>
          <w:tcPr>
            <w:tcW w:w="690" w:type="pct"/>
            <w:vMerge w:val="restart"/>
            <w:shd w:val="clear" w:color="auto" w:fill="4F81BD"/>
            <w:vAlign w:val="center"/>
          </w:tcPr>
          <w:p w14:paraId="344F7A16" w14:textId="77777777" w:rsidR="00C27A2F" w:rsidRPr="00EE43C6" w:rsidRDefault="00AB2C1A" w:rsidP="00B625EB">
            <w:pPr>
              <w:spacing w:before="0" w:after="0" w:line="240" w:lineRule="auto"/>
              <w:jc w:val="center"/>
              <w:rPr>
                <w:rFonts w:eastAsia="Arial TUR" w:cs="Arial"/>
                <w:b/>
                <w:bCs/>
                <w:color w:val="FFFFFF" w:themeColor="background1"/>
                <w:sz w:val="18"/>
                <w:szCs w:val="18"/>
                <w:lang w:eastAsia="en-US"/>
              </w:rPr>
            </w:pPr>
            <w:r w:rsidRPr="00EE43C6">
              <w:rPr>
                <w:rFonts w:eastAsia="Arial TUR" w:cs="Arial"/>
                <w:b/>
                <w:bCs/>
                <w:color w:val="FFFFFF" w:themeColor="background1"/>
                <w:sz w:val="18"/>
                <w:szCs w:val="18"/>
                <w:lang w:eastAsia="en-US"/>
              </w:rPr>
              <w:t>Distance</w:t>
            </w:r>
          </w:p>
          <w:p w14:paraId="71517D11" w14:textId="48A31AFF" w:rsidR="00AB2C1A" w:rsidRPr="00EE43C6" w:rsidRDefault="00C27A2F" w:rsidP="00B625EB">
            <w:pPr>
              <w:spacing w:before="0" w:after="0" w:line="240" w:lineRule="auto"/>
              <w:jc w:val="center"/>
              <w:rPr>
                <w:rFonts w:eastAsia="Arial TUR" w:cs="Arial"/>
                <w:b/>
                <w:bCs/>
                <w:color w:val="FFFFFF" w:themeColor="background1"/>
                <w:sz w:val="18"/>
                <w:szCs w:val="18"/>
                <w:lang w:eastAsia="en-US"/>
              </w:rPr>
            </w:pPr>
            <w:r w:rsidRPr="00EE43C6">
              <w:rPr>
                <w:rFonts w:eastAsia="Arial TUR" w:cs="Arial"/>
                <w:b/>
                <w:bCs/>
                <w:color w:val="FFFFFF" w:themeColor="background1"/>
                <w:sz w:val="18"/>
                <w:szCs w:val="18"/>
                <w:lang w:eastAsia="en-US"/>
              </w:rPr>
              <w:t xml:space="preserve"> (m)</w:t>
            </w:r>
          </w:p>
        </w:tc>
        <w:tc>
          <w:tcPr>
            <w:tcW w:w="2572" w:type="pct"/>
            <w:gridSpan w:val="4"/>
            <w:tcBorders>
              <w:bottom w:val="single" w:sz="4" w:space="0" w:color="auto"/>
            </w:tcBorders>
            <w:shd w:val="clear" w:color="auto" w:fill="4F81BD"/>
            <w:vAlign w:val="center"/>
          </w:tcPr>
          <w:p w14:paraId="5E37DD79" w14:textId="77777777" w:rsidR="00AB2C1A" w:rsidRPr="00EE43C6" w:rsidRDefault="00AB2C1A" w:rsidP="00B625EB">
            <w:pPr>
              <w:spacing w:before="0" w:after="0" w:line="240" w:lineRule="auto"/>
              <w:jc w:val="center"/>
              <w:rPr>
                <w:rFonts w:eastAsia="Arial TUR" w:cs="Arial"/>
                <w:b/>
                <w:bCs/>
                <w:color w:val="FFFFFF" w:themeColor="background1"/>
                <w:sz w:val="18"/>
                <w:szCs w:val="18"/>
                <w:lang w:eastAsia="en-US"/>
              </w:rPr>
            </w:pPr>
            <w:r w:rsidRPr="00EE43C6">
              <w:rPr>
                <w:rFonts w:eastAsia="Arial TUR" w:cs="Arial"/>
                <w:b/>
                <w:bCs/>
                <w:color w:val="FFFFFF" w:themeColor="background1"/>
                <w:sz w:val="18"/>
                <w:szCs w:val="18"/>
                <w:lang w:eastAsia="en-US"/>
              </w:rPr>
              <w:t>Sound Power Levels (dB)</w:t>
            </w:r>
          </w:p>
        </w:tc>
      </w:tr>
      <w:tr w:rsidR="00AB2C1A" w:rsidRPr="00EE43C6" w14:paraId="183C94EC" w14:textId="77777777" w:rsidTr="006A3316">
        <w:trPr>
          <w:trHeight w:val="284"/>
          <w:jc w:val="center"/>
        </w:trPr>
        <w:tc>
          <w:tcPr>
            <w:tcW w:w="1738" w:type="pct"/>
            <w:vMerge/>
            <w:vAlign w:val="center"/>
          </w:tcPr>
          <w:p w14:paraId="2E8DDFEA"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Merge/>
            <w:vAlign w:val="center"/>
          </w:tcPr>
          <w:p w14:paraId="13D3DDD1" w14:textId="77777777" w:rsidR="00AB2C1A" w:rsidRPr="00EE43C6" w:rsidRDefault="00AB2C1A" w:rsidP="00B625EB">
            <w:pPr>
              <w:spacing w:before="0" w:after="0" w:line="240" w:lineRule="auto"/>
              <w:jc w:val="center"/>
              <w:rPr>
                <w:rFonts w:eastAsia="Arial TUR" w:cs="Arial"/>
                <w:sz w:val="18"/>
                <w:szCs w:val="18"/>
                <w:lang w:eastAsia="en-US"/>
              </w:rPr>
            </w:pPr>
          </w:p>
        </w:tc>
        <w:tc>
          <w:tcPr>
            <w:tcW w:w="565" w:type="pct"/>
            <w:shd w:val="clear" w:color="auto" w:fill="4F81BD"/>
            <w:vAlign w:val="center"/>
          </w:tcPr>
          <w:p w14:paraId="41F14B2E" w14:textId="77777777" w:rsidR="00AB2C1A" w:rsidRPr="00EE43C6" w:rsidRDefault="00AB2C1A" w:rsidP="00B625EB">
            <w:pPr>
              <w:spacing w:before="0" w:after="0" w:line="240" w:lineRule="auto"/>
              <w:jc w:val="center"/>
              <w:rPr>
                <w:rFonts w:eastAsia="Arial TUR" w:cs="Arial"/>
                <w:color w:val="FFFFFF" w:themeColor="background1"/>
                <w:sz w:val="18"/>
                <w:szCs w:val="18"/>
                <w:lang w:eastAsia="en-US"/>
              </w:rPr>
            </w:pPr>
            <w:r w:rsidRPr="00EE43C6">
              <w:rPr>
                <w:rFonts w:eastAsia="Arial TUR" w:cs="Arial"/>
                <w:b/>
                <w:bCs/>
                <w:color w:val="FFFFFF" w:themeColor="background1"/>
                <w:sz w:val="18"/>
                <w:szCs w:val="18"/>
                <w:lang w:eastAsia="en-US"/>
              </w:rPr>
              <w:t>500 Hz</w:t>
            </w:r>
          </w:p>
        </w:tc>
        <w:tc>
          <w:tcPr>
            <w:tcW w:w="669" w:type="pct"/>
            <w:shd w:val="clear" w:color="auto" w:fill="4F81BD"/>
            <w:vAlign w:val="center"/>
          </w:tcPr>
          <w:p w14:paraId="60DDFCA6" w14:textId="77777777" w:rsidR="00AB2C1A" w:rsidRPr="00EE43C6" w:rsidRDefault="00AB2C1A" w:rsidP="00B625EB">
            <w:pPr>
              <w:spacing w:before="0" w:after="0" w:line="240" w:lineRule="auto"/>
              <w:jc w:val="center"/>
              <w:rPr>
                <w:rFonts w:eastAsia="Arial TUR" w:cs="Arial"/>
                <w:color w:val="FFFFFF" w:themeColor="background1"/>
                <w:sz w:val="18"/>
                <w:szCs w:val="18"/>
                <w:lang w:eastAsia="en-US"/>
              </w:rPr>
            </w:pPr>
            <w:r w:rsidRPr="00EE43C6">
              <w:rPr>
                <w:rFonts w:eastAsia="Arial TUR" w:cs="Arial"/>
                <w:b/>
                <w:bCs/>
                <w:color w:val="FFFFFF" w:themeColor="background1"/>
                <w:sz w:val="18"/>
                <w:szCs w:val="18"/>
                <w:lang w:eastAsia="en-US"/>
              </w:rPr>
              <w:t>1,000 Hz</w:t>
            </w:r>
          </w:p>
        </w:tc>
        <w:tc>
          <w:tcPr>
            <w:tcW w:w="669" w:type="pct"/>
            <w:shd w:val="clear" w:color="auto" w:fill="4F81BD"/>
            <w:vAlign w:val="center"/>
          </w:tcPr>
          <w:p w14:paraId="3F325D72" w14:textId="77777777" w:rsidR="00AB2C1A" w:rsidRPr="00EE43C6" w:rsidRDefault="00AB2C1A" w:rsidP="00B625EB">
            <w:pPr>
              <w:spacing w:before="0" w:after="0" w:line="240" w:lineRule="auto"/>
              <w:jc w:val="center"/>
              <w:rPr>
                <w:rFonts w:eastAsia="Arial TUR" w:cs="Arial"/>
                <w:color w:val="FFFFFF" w:themeColor="background1"/>
                <w:sz w:val="18"/>
                <w:szCs w:val="18"/>
                <w:lang w:eastAsia="en-US"/>
              </w:rPr>
            </w:pPr>
            <w:r w:rsidRPr="00EE43C6">
              <w:rPr>
                <w:rFonts w:eastAsia="Arial TUR" w:cs="Arial"/>
                <w:b/>
                <w:bCs/>
                <w:color w:val="FFFFFF" w:themeColor="background1"/>
                <w:sz w:val="18"/>
                <w:szCs w:val="18"/>
                <w:lang w:eastAsia="en-US"/>
              </w:rPr>
              <w:t>2,000 Hz</w:t>
            </w:r>
          </w:p>
        </w:tc>
        <w:tc>
          <w:tcPr>
            <w:tcW w:w="669" w:type="pct"/>
            <w:shd w:val="clear" w:color="auto" w:fill="4F81BD"/>
            <w:vAlign w:val="center"/>
          </w:tcPr>
          <w:p w14:paraId="0A37C2E6" w14:textId="77777777" w:rsidR="00AB2C1A" w:rsidRPr="00EE43C6" w:rsidRDefault="00AB2C1A" w:rsidP="00B625EB">
            <w:pPr>
              <w:spacing w:before="0" w:after="0" w:line="240" w:lineRule="auto"/>
              <w:jc w:val="center"/>
              <w:rPr>
                <w:rFonts w:eastAsia="Arial TUR" w:cs="Arial"/>
                <w:color w:val="FFFFFF" w:themeColor="background1"/>
                <w:sz w:val="18"/>
                <w:szCs w:val="18"/>
                <w:lang w:eastAsia="en-US"/>
              </w:rPr>
            </w:pPr>
            <w:r w:rsidRPr="00EE43C6">
              <w:rPr>
                <w:rFonts w:eastAsia="Arial TUR" w:cs="Arial"/>
                <w:b/>
                <w:bCs/>
                <w:color w:val="FFFFFF" w:themeColor="background1"/>
                <w:sz w:val="18"/>
                <w:szCs w:val="18"/>
                <w:lang w:eastAsia="en-US"/>
              </w:rPr>
              <w:t>4,000 Hz</w:t>
            </w:r>
          </w:p>
        </w:tc>
      </w:tr>
      <w:tr w:rsidR="00AB2C1A" w:rsidRPr="00EE43C6" w14:paraId="4FACF498" w14:textId="77777777" w:rsidTr="006A3316">
        <w:trPr>
          <w:trHeight w:val="284"/>
          <w:jc w:val="center"/>
        </w:trPr>
        <w:tc>
          <w:tcPr>
            <w:tcW w:w="1738" w:type="pct"/>
            <w:vMerge w:val="restart"/>
            <w:vAlign w:val="center"/>
          </w:tcPr>
          <w:p w14:paraId="6729F162"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Excavator-Dozer-Grader</w:t>
            </w:r>
          </w:p>
        </w:tc>
        <w:tc>
          <w:tcPr>
            <w:tcW w:w="690" w:type="pct"/>
            <w:vAlign w:val="center"/>
          </w:tcPr>
          <w:p w14:paraId="4F1E19A9"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w:t>
            </w:r>
          </w:p>
        </w:tc>
        <w:tc>
          <w:tcPr>
            <w:tcW w:w="565" w:type="pct"/>
            <w:vAlign w:val="center"/>
          </w:tcPr>
          <w:p w14:paraId="50CB5929" w14:textId="74714EE6" w:rsidR="00AB2C1A" w:rsidRPr="00EE43C6" w:rsidRDefault="00B93F4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52.82</w:t>
            </w:r>
          </w:p>
        </w:tc>
        <w:tc>
          <w:tcPr>
            <w:tcW w:w="669" w:type="pct"/>
            <w:vAlign w:val="center"/>
          </w:tcPr>
          <w:p w14:paraId="242861E6" w14:textId="398896C9" w:rsidR="00AB2C1A" w:rsidRPr="00EE43C6" w:rsidRDefault="001800F3"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56.02</w:t>
            </w:r>
          </w:p>
        </w:tc>
        <w:tc>
          <w:tcPr>
            <w:tcW w:w="669" w:type="pct"/>
            <w:vAlign w:val="center"/>
          </w:tcPr>
          <w:p w14:paraId="3C406C87" w14:textId="177BCB1F" w:rsidR="00AB2C1A" w:rsidRPr="00EE43C6" w:rsidRDefault="001800F3"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57.22</w:t>
            </w:r>
          </w:p>
        </w:tc>
        <w:tc>
          <w:tcPr>
            <w:tcW w:w="669" w:type="pct"/>
            <w:vAlign w:val="center"/>
          </w:tcPr>
          <w:p w14:paraId="0E9044D2" w14:textId="20F690C6" w:rsidR="00AB2C1A" w:rsidRPr="00EE43C6" w:rsidRDefault="001800F3"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57.02</w:t>
            </w:r>
          </w:p>
        </w:tc>
      </w:tr>
      <w:tr w:rsidR="00AB2C1A" w:rsidRPr="00EE43C6" w14:paraId="0531CD1C" w14:textId="77777777" w:rsidTr="006A3316">
        <w:trPr>
          <w:trHeight w:val="284"/>
          <w:jc w:val="center"/>
        </w:trPr>
        <w:tc>
          <w:tcPr>
            <w:tcW w:w="1738" w:type="pct"/>
            <w:vMerge/>
            <w:vAlign w:val="center"/>
          </w:tcPr>
          <w:p w14:paraId="39304FEC"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0D76EF5F"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w:t>
            </w:r>
          </w:p>
        </w:tc>
        <w:tc>
          <w:tcPr>
            <w:tcW w:w="565" w:type="pct"/>
            <w:vAlign w:val="center"/>
          </w:tcPr>
          <w:p w14:paraId="26C9D2CD" w14:textId="49963D1C" w:rsidR="00AB2C1A" w:rsidRPr="00EE43C6" w:rsidRDefault="00554E6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46.80</w:t>
            </w:r>
          </w:p>
        </w:tc>
        <w:tc>
          <w:tcPr>
            <w:tcW w:w="669" w:type="pct"/>
            <w:vAlign w:val="center"/>
          </w:tcPr>
          <w:p w14:paraId="27A8BA4C" w14:textId="2AC6CC53" w:rsidR="00AB2C1A" w:rsidRPr="00EE43C6" w:rsidRDefault="00554E6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50.00</w:t>
            </w:r>
          </w:p>
        </w:tc>
        <w:tc>
          <w:tcPr>
            <w:tcW w:w="669" w:type="pct"/>
            <w:vAlign w:val="center"/>
          </w:tcPr>
          <w:p w14:paraId="0EFFB574" w14:textId="4A8782C6" w:rsidR="00AB2C1A" w:rsidRPr="00EE43C6" w:rsidRDefault="00554E6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51.20</w:t>
            </w:r>
          </w:p>
        </w:tc>
        <w:tc>
          <w:tcPr>
            <w:tcW w:w="669" w:type="pct"/>
            <w:vAlign w:val="center"/>
          </w:tcPr>
          <w:p w14:paraId="02E0CD54" w14:textId="74D98318" w:rsidR="00AB2C1A" w:rsidRPr="00EE43C6" w:rsidRDefault="00554E6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51.00</w:t>
            </w:r>
          </w:p>
        </w:tc>
      </w:tr>
      <w:tr w:rsidR="00AB2C1A" w:rsidRPr="00EE43C6" w14:paraId="6B8EE202" w14:textId="77777777" w:rsidTr="006A3316">
        <w:trPr>
          <w:trHeight w:val="284"/>
          <w:jc w:val="center"/>
        </w:trPr>
        <w:tc>
          <w:tcPr>
            <w:tcW w:w="1738" w:type="pct"/>
            <w:vMerge/>
            <w:vAlign w:val="center"/>
          </w:tcPr>
          <w:p w14:paraId="62966A7D"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3F801A89"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w:t>
            </w:r>
          </w:p>
        </w:tc>
        <w:tc>
          <w:tcPr>
            <w:tcW w:w="565" w:type="pct"/>
            <w:vAlign w:val="center"/>
          </w:tcPr>
          <w:p w14:paraId="3086E239" w14:textId="68FE521B" w:rsidR="00AB2C1A" w:rsidRPr="00EE43C6" w:rsidRDefault="00E14C5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38.84</w:t>
            </w:r>
          </w:p>
        </w:tc>
        <w:tc>
          <w:tcPr>
            <w:tcW w:w="669" w:type="pct"/>
            <w:vAlign w:val="center"/>
          </w:tcPr>
          <w:p w14:paraId="41A16020" w14:textId="7996223C" w:rsidR="00AB2C1A" w:rsidRPr="00EE43C6" w:rsidRDefault="00E14C5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42.04</w:t>
            </w:r>
          </w:p>
        </w:tc>
        <w:tc>
          <w:tcPr>
            <w:tcW w:w="669" w:type="pct"/>
            <w:vAlign w:val="center"/>
          </w:tcPr>
          <w:p w14:paraId="66F18709" w14:textId="7EB3A89F" w:rsidR="00AB2C1A" w:rsidRPr="00EE43C6" w:rsidRDefault="009B3E9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43.24</w:t>
            </w:r>
          </w:p>
        </w:tc>
        <w:tc>
          <w:tcPr>
            <w:tcW w:w="669" w:type="pct"/>
            <w:vAlign w:val="center"/>
          </w:tcPr>
          <w:p w14:paraId="5AD6552F" w14:textId="269A2A5F" w:rsidR="00AB2C1A" w:rsidRPr="00EE43C6" w:rsidRDefault="009B3E9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43.04</w:t>
            </w:r>
          </w:p>
        </w:tc>
      </w:tr>
      <w:tr w:rsidR="00AB2C1A" w:rsidRPr="00EE43C6" w14:paraId="671630AB" w14:textId="77777777" w:rsidTr="006A3316">
        <w:trPr>
          <w:trHeight w:val="284"/>
          <w:jc w:val="center"/>
        </w:trPr>
        <w:tc>
          <w:tcPr>
            <w:tcW w:w="1738" w:type="pct"/>
            <w:vMerge/>
            <w:vAlign w:val="center"/>
          </w:tcPr>
          <w:p w14:paraId="6381632E"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75C6D0AC"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w:t>
            </w:r>
          </w:p>
        </w:tc>
        <w:tc>
          <w:tcPr>
            <w:tcW w:w="565" w:type="pct"/>
            <w:vAlign w:val="center"/>
          </w:tcPr>
          <w:p w14:paraId="67404514" w14:textId="2C94894C" w:rsidR="00AB2C1A" w:rsidRPr="00EE43C6" w:rsidRDefault="009B3E9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32.82</w:t>
            </w:r>
          </w:p>
        </w:tc>
        <w:tc>
          <w:tcPr>
            <w:tcW w:w="669" w:type="pct"/>
            <w:vAlign w:val="center"/>
          </w:tcPr>
          <w:p w14:paraId="27A6EE01" w14:textId="422323E0" w:rsidR="00AB2C1A" w:rsidRPr="00EE43C6" w:rsidRDefault="004222A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36.02</w:t>
            </w:r>
          </w:p>
        </w:tc>
        <w:tc>
          <w:tcPr>
            <w:tcW w:w="669" w:type="pct"/>
            <w:vAlign w:val="center"/>
          </w:tcPr>
          <w:p w14:paraId="4A0558C1" w14:textId="588E12B5" w:rsidR="00AB2C1A" w:rsidRPr="00EE43C6" w:rsidRDefault="004222A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37.22</w:t>
            </w:r>
          </w:p>
        </w:tc>
        <w:tc>
          <w:tcPr>
            <w:tcW w:w="669" w:type="pct"/>
            <w:vAlign w:val="center"/>
          </w:tcPr>
          <w:p w14:paraId="4A2ACD63" w14:textId="0C21A5F8" w:rsidR="00AB2C1A" w:rsidRPr="00EE43C6" w:rsidRDefault="004222A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37.02</w:t>
            </w:r>
          </w:p>
        </w:tc>
      </w:tr>
      <w:tr w:rsidR="00AB2C1A" w:rsidRPr="00EE43C6" w14:paraId="53C7053B" w14:textId="77777777" w:rsidTr="006A3316">
        <w:trPr>
          <w:trHeight w:val="284"/>
          <w:jc w:val="center"/>
        </w:trPr>
        <w:tc>
          <w:tcPr>
            <w:tcW w:w="1738" w:type="pct"/>
            <w:vMerge/>
            <w:vAlign w:val="center"/>
          </w:tcPr>
          <w:p w14:paraId="59560AED"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54EE1B22"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750</w:t>
            </w:r>
          </w:p>
        </w:tc>
        <w:tc>
          <w:tcPr>
            <w:tcW w:w="565" w:type="pct"/>
            <w:vAlign w:val="center"/>
          </w:tcPr>
          <w:p w14:paraId="4D93DCEA" w14:textId="662E1EB7" w:rsidR="00AB2C1A" w:rsidRPr="00EE43C6" w:rsidRDefault="004222A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29.30</w:t>
            </w:r>
          </w:p>
        </w:tc>
        <w:tc>
          <w:tcPr>
            <w:tcW w:w="669" w:type="pct"/>
            <w:vAlign w:val="center"/>
          </w:tcPr>
          <w:p w14:paraId="3C8ED69F" w14:textId="69B42C24" w:rsidR="00AB2C1A" w:rsidRPr="00EE43C6" w:rsidRDefault="00D9674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32.50</w:t>
            </w:r>
          </w:p>
        </w:tc>
        <w:tc>
          <w:tcPr>
            <w:tcW w:w="669" w:type="pct"/>
            <w:vAlign w:val="center"/>
          </w:tcPr>
          <w:p w14:paraId="4ECC74E4" w14:textId="30B006BF" w:rsidR="00AB2C1A" w:rsidRPr="00EE43C6" w:rsidRDefault="00D9674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33.70</w:t>
            </w:r>
          </w:p>
        </w:tc>
        <w:tc>
          <w:tcPr>
            <w:tcW w:w="669" w:type="pct"/>
            <w:vAlign w:val="center"/>
          </w:tcPr>
          <w:p w14:paraId="14AD3495" w14:textId="6D99870B" w:rsidR="00AB2C1A" w:rsidRPr="00EE43C6" w:rsidRDefault="00D9674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33.50</w:t>
            </w:r>
          </w:p>
        </w:tc>
      </w:tr>
      <w:tr w:rsidR="00AB2C1A" w:rsidRPr="00EE43C6" w14:paraId="036759D3" w14:textId="77777777" w:rsidTr="006A3316">
        <w:trPr>
          <w:trHeight w:val="284"/>
          <w:jc w:val="center"/>
        </w:trPr>
        <w:tc>
          <w:tcPr>
            <w:tcW w:w="1738" w:type="pct"/>
            <w:vMerge/>
            <w:vAlign w:val="center"/>
          </w:tcPr>
          <w:p w14:paraId="15207EC1"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1AAB6F2F"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1,000</w:t>
            </w:r>
          </w:p>
        </w:tc>
        <w:tc>
          <w:tcPr>
            <w:tcW w:w="565" w:type="pct"/>
            <w:vAlign w:val="center"/>
          </w:tcPr>
          <w:p w14:paraId="3DD512F9" w14:textId="009CA0ED" w:rsidR="00AB2C1A" w:rsidRPr="00EE43C6" w:rsidRDefault="00AF468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26.80</w:t>
            </w:r>
          </w:p>
        </w:tc>
        <w:tc>
          <w:tcPr>
            <w:tcW w:w="669" w:type="pct"/>
            <w:vAlign w:val="center"/>
          </w:tcPr>
          <w:p w14:paraId="3245BD70" w14:textId="1BB0C16C" w:rsidR="00AB2C1A" w:rsidRPr="00EE43C6" w:rsidRDefault="00AF468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30.00</w:t>
            </w:r>
          </w:p>
        </w:tc>
        <w:tc>
          <w:tcPr>
            <w:tcW w:w="669" w:type="pct"/>
            <w:vAlign w:val="center"/>
          </w:tcPr>
          <w:p w14:paraId="38814981" w14:textId="54120DB5" w:rsidR="00AB2C1A" w:rsidRPr="00EE43C6" w:rsidRDefault="00AF468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31.20</w:t>
            </w:r>
          </w:p>
        </w:tc>
        <w:tc>
          <w:tcPr>
            <w:tcW w:w="669" w:type="pct"/>
            <w:vAlign w:val="center"/>
          </w:tcPr>
          <w:p w14:paraId="52EDAF35" w14:textId="45AFE6C8" w:rsidR="00AB2C1A" w:rsidRPr="00EE43C6" w:rsidRDefault="00AF468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31.00</w:t>
            </w:r>
          </w:p>
        </w:tc>
      </w:tr>
      <w:tr w:rsidR="00AB2C1A" w:rsidRPr="00EE43C6" w14:paraId="38431CF6" w14:textId="77777777" w:rsidTr="006A3316">
        <w:trPr>
          <w:trHeight w:val="284"/>
          <w:jc w:val="center"/>
        </w:trPr>
        <w:tc>
          <w:tcPr>
            <w:tcW w:w="1738" w:type="pct"/>
            <w:vMerge/>
            <w:vAlign w:val="center"/>
          </w:tcPr>
          <w:p w14:paraId="2EEDB7C3"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70AF91F2"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2,000</w:t>
            </w:r>
          </w:p>
        </w:tc>
        <w:tc>
          <w:tcPr>
            <w:tcW w:w="565" w:type="pct"/>
            <w:vAlign w:val="center"/>
          </w:tcPr>
          <w:p w14:paraId="1A7EF684" w14:textId="696964B8" w:rsidR="00AB2C1A" w:rsidRPr="00EE43C6" w:rsidRDefault="00AF468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20.78</w:t>
            </w:r>
          </w:p>
        </w:tc>
        <w:tc>
          <w:tcPr>
            <w:tcW w:w="669" w:type="pct"/>
            <w:vAlign w:val="center"/>
          </w:tcPr>
          <w:p w14:paraId="13C3D456" w14:textId="6296E9F8" w:rsidR="00AB2C1A" w:rsidRPr="00EE43C6" w:rsidRDefault="002014F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23.98</w:t>
            </w:r>
          </w:p>
        </w:tc>
        <w:tc>
          <w:tcPr>
            <w:tcW w:w="669" w:type="pct"/>
            <w:vAlign w:val="center"/>
          </w:tcPr>
          <w:p w14:paraId="5AB5AB6D" w14:textId="60FFC94D" w:rsidR="00AB2C1A" w:rsidRPr="00EE43C6" w:rsidRDefault="002014F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25.18</w:t>
            </w:r>
          </w:p>
        </w:tc>
        <w:tc>
          <w:tcPr>
            <w:tcW w:w="669" w:type="pct"/>
            <w:vAlign w:val="center"/>
          </w:tcPr>
          <w:p w14:paraId="067E59AE" w14:textId="4EE7AE68" w:rsidR="00AB2C1A" w:rsidRPr="00EE43C6" w:rsidRDefault="002014F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24.98</w:t>
            </w:r>
          </w:p>
        </w:tc>
      </w:tr>
      <w:tr w:rsidR="00AB2C1A" w:rsidRPr="00EE43C6" w14:paraId="258B6CCA" w14:textId="77777777" w:rsidTr="006A3316">
        <w:trPr>
          <w:trHeight w:val="284"/>
          <w:jc w:val="center"/>
        </w:trPr>
        <w:tc>
          <w:tcPr>
            <w:tcW w:w="1738" w:type="pct"/>
            <w:vMerge w:val="restart"/>
            <w:vAlign w:val="center"/>
          </w:tcPr>
          <w:p w14:paraId="01BADE6A"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Cylinder-Concrete Pump</w:t>
            </w:r>
          </w:p>
        </w:tc>
        <w:tc>
          <w:tcPr>
            <w:tcW w:w="690" w:type="pct"/>
            <w:vAlign w:val="center"/>
          </w:tcPr>
          <w:p w14:paraId="78F34233"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w:t>
            </w:r>
          </w:p>
        </w:tc>
        <w:tc>
          <w:tcPr>
            <w:tcW w:w="565" w:type="pct"/>
            <w:vAlign w:val="center"/>
          </w:tcPr>
          <w:p w14:paraId="273F997D" w14:textId="1FB21ED0" w:rsidR="00AB2C1A" w:rsidRPr="00EE43C6" w:rsidRDefault="002014F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55.82</w:t>
            </w:r>
          </w:p>
        </w:tc>
        <w:tc>
          <w:tcPr>
            <w:tcW w:w="669" w:type="pct"/>
            <w:vAlign w:val="center"/>
          </w:tcPr>
          <w:p w14:paraId="4DF01DA9" w14:textId="01BA3D62" w:rsidR="00AB2C1A" w:rsidRPr="00EE43C6" w:rsidRDefault="00A25BF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59.02</w:t>
            </w:r>
          </w:p>
        </w:tc>
        <w:tc>
          <w:tcPr>
            <w:tcW w:w="669" w:type="pct"/>
            <w:vAlign w:val="center"/>
          </w:tcPr>
          <w:p w14:paraId="0FAEC0A7" w14:textId="5887757A" w:rsidR="00AB2C1A" w:rsidRPr="00EE43C6" w:rsidRDefault="00A25BF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60.22</w:t>
            </w:r>
          </w:p>
        </w:tc>
        <w:tc>
          <w:tcPr>
            <w:tcW w:w="669" w:type="pct"/>
            <w:vAlign w:val="center"/>
          </w:tcPr>
          <w:p w14:paraId="3E217B7E" w14:textId="59567F2D" w:rsidR="00AB2C1A" w:rsidRPr="00EE43C6" w:rsidRDefault="00A25BF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60.</w:t>
            </w:r>
            <w:r w:rsidR="00243DFF" w:rsidRPr="00EE43C6">
              <w:rPr>
                <w:rFonts w:eastAsia="Arial TUR" w:cs="Arial"/>
                <w:sz w:val="18"/>
                <w:szCs w:val="18"/>
                <w:lang w:eastAsia="en-US"/>
              </w:rPr>
              <w:t>02</w:t>
            </w:r>
          </w:p>
        </w:tc>
      </w:tr>
      <w:tr w:rsidR="00AB2C1A" w:rsidRPr="00EE43C6" w14:paraId="75D184A9" w14:textId="77777777" w:rsidTr="006A3316">
        <w:trPr>
          <w:trHeight w:val="284"/>
          <w:jc w:val="center"/>
        </w:trPr>
        <w:tc>
          <w:tcPr>
            <w:tcW w:w="1738" w:type="pct"/>
            <w:vMerge/>
            <w:vAlign w:val="center"/>
          </w:tcPr>
          <w:p w14:paraId="70D936F4"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581E29F9"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w:t>
            </w:r>
          </w:p>
        </w:tc>
        <w:tc>
          <w:tcPr>
            <w:tcW w:w="565" w:type="pct"/>
            <w:vAlign w:val="center"/>
          </w:tcPr>
          <w:p w14:paraId="183D0EB3" w14:textId="4A1A6A0B" w:rsidR="00AB2C1A" w:rsidRPr="00EE43C6" w:rsidRDefault="00243DF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49.80</w:t>
            </w:r>
          </w:p>
        </w:tc>
        <w:tc>
          <w:tcPr>
            <w:tcW w:w="669" w:type="pct"/>
            <w:vAlign w:val="center"/>
          </w:tcPr>
          <w:p w14:paraId="7969A950" w14:textId="24F8A54D" w:rsidR="00AB2C1A" w:rsidRPr="00EE43C6" w:rsidRDefault="00243DF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53.00</w:t>
            </w:r>
          </w:p>
        </w:tc>
        <w:tc>
          <w:tcPr>
            <w:tcW w:w="669" w:type="pct"/>
            <w:vAlign w:val="center"/>
          </w:tcPr>
          <w:p w14:paraId="65915C6B" w14:textId="0D0AD589" w:rsidR="00AB2C1A" w:rsidRPr="00EE43C6" w:rsidRDefault="00243DF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54.20</w:t>
            </w:r>
          </w:p>
        </w:tc>
        <w:tc>
          <w:tcPr>
            <w:tcW w:w="669" w:type="pct"/>
            <w:vAlign w:val="center"/>
          </w:tcPr>
          <w:p w14:paraId="1493668A" w14:textId="649CC4F0" w:rsidR="00AB2C1A" w:rsidRPr="00EE43C6" w:rsidRDefault="005F489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54.00</w:t>
            </w:r>
          </w:p>
        </w:tc>
      </w:tr>
      <w:tr w:rsidR="00AB2C1A" w:rsidRPr="00EE43C6" w14:paraId="10AEB9C1" w14:textId="77777777" w:rsidTr="006A3316">
        <w:trPr>
          <w:trHeight w:val="284"/>
          <w:jc w:val="center"/>
        </w:trPr>
        <w:tc>
          <w:tcPr>
            <w:tcW w:w="1738" w:type="pct"/>
            <w:vMerge/>
            <w:vAlign w:val="center"/>
          </w:tcPr>
          <w:p w14:paraId="01DB4102"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535995B5"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w:t>
            </w:r>
          </w:p>
        </w:tc>
        <w:tc>
          <w:tcPr>
            <w:tcW w:w="565" w:type="pct"/>
            <w:vAlign w:val="center"/>
          </w:tcPr>
          <w:p w14:paraId="2ED13280" w14:textId="5FFFCAFB" w:rsidR="00AB2C1A" w:rsidRPr="00EE43C6" w:rsidRDefault="005F489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41.84</w:t>
            </w:r>
          </w:p>
        </w:tc>
        <w:tc>
          <w:tcPr>
            <w:tcW w:w="669" w:type="pct"/>
            <w:vAlign w:val="center"/>
          </w:tcPr>
          <w:p w14:paraId="2A8B18A4" w14:textId="23B24E42" w:rsidR="00AB2C1A" w:rsidRPr="00EE43C6" w:rsidRDefault="005F489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45.04</w:t>
            </w:r>
          </w:p>
        </w:tc>
        <w:tc>
          <w:tcPr>
            <w:tcW w:w="669" w:type="pct"/>
            <w:vAlign w:val="center"/>
          </w:tcPr>
          <w:p w14:paraId="353D11A3" w14:textId="7E859E0F" w:rsidR="00AB2C1A" w:rsidRPr="00EE43C6" w:rsidRDefault="005F489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46.24</w:t>
            </w:r>
          </w:p>
        </w:tc>
        <w:tc>
          <w:tcPr>
            <w:tcW w:w="669" w:type="pct"/>
            <w:vAlign w:val="center"/>
          </w:tcPr>
          <w:p w14:paraId="02DA6DB0" w14:textId="48554A06" w:rsidR="00AB2C1A" w:rsidRPr="00EE43C6" w:rsidRDefault="002F2B5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46.04</w:t>
            </w:r>
          </w:p>
        </w:tc>
      </w:tr>
      <w:tr w:rsidR="00AB2C1A" w:rsidRPr="00EE43C6" w14:paraId="5573F910" w14:textId="77777777" w:rsidTr="006A3316">
        <w:trPr>
          <w:trHeight w:val="284"/>
          <w:jc w:val="center"/>
        </w:trPr>
        <w:tc>
          <w:tcPr>
            <w:tcW w:w="1738" w:type="pct"/>
            <w:vMerge/>
            <w:vAlign w:val="center"/>
          </w:tcPr>
          <w:p w14:paraId="1A18D92A"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464FE5A4"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w:t>
            </w:r>
          </w:p>
        </w:tc>
        <w:tc>
          <w:tcPr>
            <w:tcW w:w="565" w:type="pct"/>
            <w:vAlign w:val="center"/>
          </w:tcPr>
          <w:p w14:paraId="0229A610" w14:textId="7CD1F0FF" w:rsidR="00AB2C1A" w:rsidRPr="00EE43C6" w:rsidRDefault="002F2B5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35.82</w:t>
            </w:r>
          </w:p>
        </w:tc>
        <w:tc>
          <w:tcPr>
            <w:tcW w:w="669" w:type="pct"/>
            <w:vAlign w:val="center"/>
          </w:tcPr>
          <w:p w14:paraId="12D4735B" w14:textId="3358777B" w:rsidR="00AB2C1A" w:rsidRPr="00EE43C6" w:rsidRDefault="0065000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39.02</w:t>
            </w:r>
          </w:p>
        </w:tc>
        <w:tc>
          <w:tcPr>
            <w:tcW w:w="669" w:type="pct"/>
            <w:vAlign w:val="center"/>
          </w:tcPr>
          <w:p w14:paraId="7B5A1EBB" w14:textId="003F461A" w:rsidR="00AB2C1A" w:rsidRPr="00EE43C6" w:rsidRDefault="0065000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40.22</w:t>
            </w:r>
          </w:p>
        </w:tc>
        <w:tc>
          <w:tcPr>
            <w:tcW w:w="669" w:type="pct"/>
            <w:vAlign w:val="center"/>
          </w:tcPr>
          <w:p w14:paraId="4B59F760" w14:textId="0A8370A5" w:rsidR="00AB2C1A" w:rsidRPr="00EE43C6" w:rsidRDefault="0065000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40.02</w:t>
            </w:r>
          </w:p>
        </w:tc>
      </w:tr>
      <w:tr w:rsidR="00AB2C1A" w:rsidRPr="00EE43C6" w14:paraId="177F2109" w14:textId="77777777" w:rsidTr="006A3316">
        <w:trPr>
          <w:trHeight w:val="284"/>
          <w:jc w:val="center"/>
        </w:trPr>
        <w:tc>
          <w:tcPr>
            <w:tcW w:w="1738" w:type="pct"/>
            <w:vMerge/>
            <w:vAlign w:val="center"/>
          </w:tcPr>
          <w:p w14:paraId="5D26B6D3"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31409897"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750</w:t>
            </w:r>
          </w:p>
        </w:tc>
        <w:tc>
          <w:tcPr>
            <w:tcW w:w="565" w:type="pct"/>
            <w:vAlign w:val="center"/>
          </w:tcPr>
          <w:p w14:paraId="162AADD4" w14:textId="4B5C27B0" w:rsidR="00AB2C1A" w:rsidRPr="00EE43C6" w:rsidRDefault="006011A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32.30</w:t>
            </w:r>
          </w:p>
        </w:tc>
        <w:tc>
          <w:tcPr>
            <w:tcW w:w="669" w:type="pct"/>
            <w:vAlign w:val="center"/>
          </w:tcPr>
          <w:p w14:paraId="7E5B50BD" w14:textId="322D764B" w:rsidR="00AB2C1A" w:rsidRPr="00EE43C6" w:rsidRDefault="006011A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35.50</w:t>
            </w:r>
          </w:p>
        </w:tc>
        <w:tc>
          <w:tcPr>
            <w:tcW w:w="669" w:type="pct"/>
            <w:vAlign w:val="center"/>
          </w:tcPr>
          <w:p w14:paraId="103561BE" w14:textId="7BE4F934" w:rsidR="00AB2C1A" w:rsidRPr="00EE43C6" w:rsidRDefault="008E33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36.70</w:t>
            </w:r>
          </w:p>
        </w:tc>
        <w:tc>
          <w:tcPr>
            <w:tcW w:w="669" w:type="pct"/>
            <w:vAlign w:val="center"/>
          </w:tcPr>
          <w:p w14:paraId="6AF36BE5" w14:textId="3AD2B68B" w:rsidR="00AB2C1A" w:rsidRPr="00EE43C6" w:rsidRDefault="008E33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36.50</w:t>
            </w:r>
          </w:p>
        </w:tc>
      </w:tr>
      <w:tr w:rsidR="00AB2C1A" w:rsidRPr="00EE43C6" w14:paraId="37A6523A" w14:textId="77777777" w:rsidTr="006A3316">
        <w:trPr>
          <w:trHeight w:val="284"/>
          <w:jc w:val="center"/>
        </w:trPr>
        <w:tc>
          <w:tcPr>
            <w:tcW w:w="1738" w:type="pct"/>
            <w:vMerge/>
            <w:vAlign w:val="center"/>
          </w:tcPr>
          <w:p w14:paraId="03231F07"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756A1154"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1,000</w:t>
            </w:r>
          </w:p>
        </w:tc>
        <w:tc>
          <w:tcPr>
            <w:tcW w:w="565" w:type="pct"/>
            <w:vAlign w:val="center"/>
          </w:tcPr>
          <w:p w14:paraId="0127AFCB" w14:textId="2490C682" w:rsidR="00AB2C1A" w:rsidRPr="00EE43C6" w:rsidRDefault="002C1A1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29.80</w:t>
            </w:r>
          </w:p>
        </w:tc>
        <w:tc>
          <w:tcPr>
            <w:tcW w:w="669" w:type="pct"/>
            <w:vAlign w:val="center"/>
          </w:tcPr>
          <w:p w14:paraId="6A8FB4EB" w14:textId="6F93F9C8" w:rsidR="00AB2C1A" w:rsidRPr="00EE43C6" w:rsidRDefault="002C1A1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33.00</w:t>
            </w:r>
          </w:p>
        </w:tc>
        <w:tc>
          <w:tcPr>
            <w:tcW w:w="669" w:type="pct"/>
            <w:vAlign w:val="center"/>
          </w:tcPr>
          <w:p w14:paraId="261C81BA" w14:textId="25BA3DCF" w:rsidR="00AB2C1A" w:rsidRPr="00EE43C6" w:rsidRDefault="00605F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34.20</w:t>
            </w:r>
          </w:p>
        </w:tc>
        <w:tc>
          <w:tcPr>
            <w:tcW w:w="669" w:type="pct"/>
            <w:vAlign w:val="center"/>
          </w:tcPr>
          <w:p w14:paraId="2EA98028" w14:textId="105785E9" w:rsidR="00AB2C1A" w:rsidRPr="00EE43C6" w:rsidRDefault="00605F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34.00</w:t>
            </w:r>
          </w:p>
        </w:tc>
      </w:tr>
      <w:tr w:rsidR="00AB2C1A" w:rsidRPr="00EE43C6" w14:paraId="0FD99442" w14:textId="77777777" w:rsidTr="006A3316">
        <w:trPr>
          <w:trHeight w:val="284"/>
          <w:jc w:val="center"/>
        </w:trPr>
        <w:tc>
          <w:tcPr>
            <w:tcW w:w="1738" w:type="pct"/>
            <w:vMerge/>
            <w:vAlign w:val="center"/>
          </w:tcPr>
          <w:p w14:paraId="02AD50CB"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4E01276E"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2,000</w:t>
            </w:r>
          </w:p>
        </w:tc>
        <w:tc>
          <w:tcPr>
            <w:tcW w:w="565" w:type="pct"/>
            <w:vAlign w:val="center"/>
          </w:tcPr>
          <w:p w14:paraId="1D527CD5" w14:textId="44852750" w:rsidR="00AB2C1A" w:rsidRPr="00EE43C6" w:rsidRDefault="0084692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23.78</w:t>
            </w:r>
          </w:p>
        </w:tc>
        <w:tc>
          <w:tcPr>
            <w:tcW w:w="669" w:type="pct"/>
            <w:vAlign w:val="center"/>
          </w:tcPr>
          <w:p w14:paraId="008BC802" w14:textId="0AD49EA5" w:rsidR="00AB2C1A" w:rsidRPr="00EE43C6" w:rsidRDefault="00702DF4"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26.98</w:t>
            </w:r>
          </w:p>
        </w:tc>
        <w:tc>
          <w:tcPr>
            <w:tcW w:w="669" w:type="pct"/>
            <w:vAlign w:val="center"/>
          </w:tcPr>
          <w:p w14:paraId="0D8492ED" w14:textId="3216AC31" w:rsidR="00AB2C1A" w:rsidRPr="00EE43C6" w:rsidRDefault="00ED025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28.18</w:t>
            </w:r>
          </w:p>
        </w:tc>
        <w:tc>
          <w:tcPr>
            <w:tcW w:w="669" w:type="pct"/>
            <w:vAlign w:val="center"/>
          </w:tcPr>
          <w:p w14:paraId="3205494B" w14:textId="1B909277" w:rsidR="00AB2C1A" w:rsidRPr="00EE43C6" w:rsidRDefault="00ED025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27.98</w:t>
            </w:r>
          </w:p>
        </w:tc>
      </w:tr>
      <w:tr w:rsidR="00AB2C1A" w:rsidRPr="00EE43C6" w14:paraId="396886A5" w14:textId="77777777" w:rsidTr="006A3316">
        <w:trPr>
          <w:trHeight w:val="284"/>
          <w:jc w:val="center"/>
        </w:trPr>
        <w:tc>
          <w:tcPr>
            <w:tcW w:w="1738" w:type="pct"/>
            <w:vMerge w:val="restart"/>
            <w:vAlign w:val="center"/>
          </w:tcPr>
          <w:p w14:paraId="2919672E"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Concrete Mixer-Water Truck</w:t>
            </w:r>
          </w:p>
        </w:tc>
        <w:tc>
          <w:tcPr>
            <w:tcW w:w="690" w:type="pct"/>
            <w:vAlign w:val="center"/>
          </w:tcPr>
          <w:p w14:paraId="4E981E93"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w:t>
            </w:r>
          </w:p>
        </w:tc>
        <w:tc>
          <w:tcPr>
            <w:tcW w:w="565" w:type="pct"/>
            <w:vAlign w:val="center"/>
          </w:tcPr>
          <w:p w14:paraId="3CD9BAD7" w14:textId="4FE8DC8F" w:rsidR="00AB2C1A" w:rsidRPr="00EE43C6" w:rsidRDefault="00E7129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49.82</w:t>
            </w:r>
          </w:p>
        </w:tc>
        <w:tc>
          <w:tcPr>
            <w:tcW w:w="669" w:type="pct"/>
            <w:vAlign w:val="center"/>
          </w:tcPr>
          <w:p w14:paraId="07E1AC91" w14:textId="28EF4A4B" w:rsidR="00AB2C1A" w:rsidRPr="00EE43C6" w:rsidRDefault="00E7129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53.02</w:t>
            </w:r>
          </w:p>
        </w:tc>
        <w:tc>
          <w:tcPr>
            <w:tcW w:w="669" w:type="pct"/>
            <w:vAlign w:val="center"/>
          </w:tcPr>
          <w:p w14:paraId="77A5DDB6" w14:textId="5C455E2E" w:rsidR="00AB2C1A" w:rsidRPr="00EE43C6" w:rsidRDefault="00E7129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54.22</w:t>
            </w:r>
          </w:p>
        </w:tc>
        <w:tc>
          <w:tcPr>
            <w:tcW w:w="669" w:type="pct"/>
            <w:vAlign w:val="center"/>
          </w:tcPr>
          <w:p w14:paraId="3137814F" w14:textId="75AD4BC2" w:rsidR="00AB2C1A" w:rsidRPr="00EE43C6" w:rsidRDefault="00E7129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54.02</w:t>
            </w:r>
          </w:p>
        </w:tc>
      </w:tr>
      <w:tr w:rsidR="00AB2C1A" w:rsidRPr="00EE43C6" w14:paraId="3F301252" w14:textId="77777777" w:rsidTr="006A3316">
        <w:trPr>
          <w:trHeight w:val="284"/>
          <w:jc w:val="center"/>
        </w:trPr>
        <w:tc>
          <w:tcPr>
            <w:tcW w:w="1738" w:type="pct"/>
            <w:vMerge/>
            <w:vAlign w:val="center"/>
          </w:tcPr>
          <w:p w14:paraId="7A0244B3"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44128249"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w:t>
            </w:r>
          </w:p>
        </w:tc>
        <w:tc>
          <w:tcPr>
            <w:tcW w:w="565" w:type="pct"/>
            <w:vAlign w:val="center"/>
          </w:tcPr>
          <w:p w14:paraId="151CFCB8" w14:textId="7B7CC78B" w:rsidR="00AB2C1A" w:rsidRPr="00EE43C6" w:rsidRDefault="00E7129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43.80</w:t>
            </w:r>
          </w:p>
        </w:tc>
        <w:tc>
          <w:tcPr>
            <w:tcW w:w="669" w:type="pct"/>
            <w:vAlign w:val="center"/>
          </w:tcPr>
          <w:p w14:paraId="1417DC4A" w14:textId="07EC7D95" w:rsidR="00AB2C1A" w:rsidRPr="00EE43C6" w:rsidRDefault="00E7129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47.00</w:t>
            </w:r>
          </w:p>
        </w:tc>
        <w:tc>
          <w:tcPr>
            <w:tcW w:w="669" w:type="pct"/>
            <w:vAlign w:val="center"/>
          </w:tcPr>
          <w:p w14:paraId="726AB442" w14:textId="342E49F7" w:rsidR="00AB2C1A" w:rsidRPr="00EE43C6" w:rsidRDefault="00E7129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48.20</w:t>
            </w:r>
          </w:p>
        </w:tc>
        <w:tc>
          <w:tcPr>
            <w:tcW w:w="669" w:type="pct"/>
            <w:vAlign w:val="center"/>
          </w:tcPr>
          <w:p w14:paraId="02923CB8" w14:textId="51B2FB16" w:rsidR="00AB2C1A" w:rsidRPr="00EE43C6" w:rsidRDefault="008F2872"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48.00</w:t>
            </w:r>
          </w:p>
        </w:tc>
      </w:tr>
      <w:tr w:rsidR="00AB2C1A" w:rsidRPr="00EE43C6" w14:paraId="7C2E1847" w14:textId="77777777" w:rsidTr="006A3316">
        <w:trPr>
          <w:trHeight w:val="284"/>
          <w:jc w:val="center"/>
        </w:trPr>
        <w:tc>
          <w:tcPr>
            <w:tcW w:w="1738" w:type="pct"/>
            <w:vMerge/>
            <w:vAlign w:val="center"/>
          </w:tcPr>
          <w:p w14:paraId="323BA577"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35479043"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w:t>
            </w:r>
          </w:p>
        </w:tc>
        <w:tc>
          <w:tcPr>
            <w:tcW w:w="565" w:type="pct"/>
            <w:vAlign w:val="center"/>
          </w:tcPr>
          <w:p w14:paraId="15761F80" w14:textId="707EB9D5" w:rsidR="00AB2C1A" w:rsidRPr="00EE43C6" w:rsidRDefault="008F2872"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35.84</w:t>
            </w:r>
          </w:p>
        </w:tc>
        <w:tc>
          <w:tcPr>
            <w:tcW w:w="669" w:type="pct"/>
            <w:vAlign w:val="center"/>
          </w:tcPr>
          <w:p w14:paraId="6FA33E13" w14:textId="4A6DAA3D" w:rsidR="00AB2C1A" w:rsidRPr="00EE43C6" w:rsidRDefault="008F2872"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39.04</w:t>
            </w:r>
          </w:p>
        </w:tc>
        <w:tc>
          <w:tcPr>
            <w:tcW w:w="669" w:type="pct"/>
            <w:vAlign w:val="center"/>
          </w:tcPr>
          <w:p w14:paraId="6491512B" w14:textId="0D86EBB9" w:rsidR="00AB2C1A" w:rsidRPr="00EE43C6" w:rsidRDefault="008F2872"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40.24</w:t>
            </w:r>
          </w:p>
        </w:tc>
        <w:tc>
          <w:tcPr>
            <w:tcW w:w="669" w:type="pct"/>
            <w:vAlign w:val="center"/>
          </w:tcPr>
          <w:p w14:paraId="35E3B89C" w14:textId="63E406CA" w:rsidR="00AB2C1A" w:rsidRPr="00EE43C6" w:rsidRDefault="008F2872"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40.04</w:t>
            </w:r>
          </w:p>
        </w:tc>
      </w:tr>
      <w:tr w:rsidR="00AB2C1A" w:rsidRPr="00EE43C6" w14:paraId="5A0B6523" w14:textId="77777777" w:rsidTr="006A3316">
        <w:trPr>
          <w:trHeight w:val="284"/>
          <w:jc w:val="center"/>
        </w:trPr>
        <w:tc>
          <w:tcPr>
            <w:tcW w:w="1738" w:type="pct"/>
            <w:vMerge/>
            <w:vAlign w:val="center"/>
          </w:tcPr>
          <w:p w14:paraId="0F66534F"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6396A662"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w:t>
            </w:r>
          </w:p>
        </w:tc>
        <w:tc>
          <w:tcPr>
            <w:tcW w:w="565" w:type="pct"/>
            <w:vAlign w:val="center"/>
          </w:tcPr>
          <w:p w14:paraId="2579EFA5" w14:textId="7A5E8E62" w:rsidR="00AB2C1A" w:rsidRPr="00EE43C6" w:rsidRDefault="00C73A8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29.82</w:t>
            </w:r>
          </w:p>
        </w:tc>
        <w:tc>
          <w:tcPr>
            <w:tcW w:w="669" w:type="pct"/>
            <w:vAlign w:val="center"/>
          </w:tcPr>
          <w:p w14:paraId="51EB51F3" w14:textId="4016C640" w:rsidR="00AB2C1A" w:rsidRPr="00EE43C6" w:rsidRDefault="00EE2FB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33.02</w:t>
            </w:r>
          </w:p>
        </w:tc>
        <w:tc>
          <w:tcPr>
            <w:tcW w:w="669" w:type="pct"/>
            <w:vAlign w:val="center"/>
          </w:tcPr>
          <w:p w14:paraId="4BB3BC48" w14:textId="4E0F68EF" w:rsidR="00AB2C1A" w:rsidRPr="00EE43C6" w:rsidRDefault="00EE2FB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34.22</w:t>
            </w:r>
          </w:p>
        </w:tc>
        <w:tc>
          <w:tcPr>
            <w:tcW w:w="669" w:type="pct"/>
            <w:vAlign w:val="center"/>
          </w:tcPr>
          <w:p w14:paraId="494AEA4D" w14:textId="01D4187C" w:rsidR="00AB2C1A" w:rsidRPr="00EE43C6" w:rsidRDefault="00EE2FB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34.02</w:t>
            </w:r>
          </w:p>
        </w:tc>
      </w:tr>
      <w:tr w:rsidR="00AB2C1A" w:rsidRPr="00EE43C6" w14:paraId="4A41D169" w14:textId="77777777" w:rsidTr="006A3316">
        <w:trPr>
          <w:trHeight w:val="284"/>
          <w:jc w:val="center"/>
        </w:trPr>
        <w:tc>
          <w:tcPr>
            <w:tcW w:w="1738" w:type="pct"/>
            <w:vMerge/>
            <w:vAlign w:val="center"/>
          </w:tcPr>
          <w:p w14:paraId="0233CF67"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18A8542C"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750</w:t>
            </w:r>
          </w:p>
        </w:tc>
        <w:tc>
          <w:tcPr>
            <w:tcW w:w="565" w:type="pct"/>
            <w:vAlign w:val="center"/>
          </w:tcPr>
          <w:p w14:paraId="0CB1E6D8" w14:textId="16D35DBB" w:rsidR="00AB2C1A" w:rsidRPr="00EE43C6" w:rsidRDefault="00EE2FB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26.30</w:t>
            </w:r>
          </w:p>
        </w:tc>
        <w:tc>
          <w:tcPr>
            <w:tcW w:w="669" w:type="pct"/>
            <w:vAlign w:val="center"/>
          </w:tcPr>
          <w:p w14:paraId="1FF1A232" w14:textId="203E3B41" w:rsidR="00AB2C1A" w:rsidRPr="00EE43C6" w:rsidRDefault="00EE2FB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29.50</w:t>
            </w:r>
          </w:p>
        </w:tc>
        <w:tc>
          <w:tcPr>
            <w:tcW w:w="669" w:type="pct"/>
            <w:vAlign w:val="center"/>
          </w:tcPr>
          <w:p w14:paraId="13E814B6" w14:textId="3BFAA020" w:rsidR="00AB2C1A" w:rsidRPr="00EE43C6" w:rsidRDefault="00EE2FB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30.70</w:t>
            </w:r>
          </w:p>
        </w:tc>
        <w:tc>
          <w:tcPr>
            <w:tcW w:w="669" w:type="pct"/>
            <w:vAlign w:val="center"/>
          </w:tcPr>
          <w:p w14:paraId="496F349A" w14:textId="266B5178" w:rsidR="00AB2C1A" w:rsidRPr="00EE43C6" w:rsidRDefault="00EE2FB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30.50</w:t>
            </w:r>
          </w:p>
        </w:tc>
      </w:tr>
      <w:tr w:rsidR="00AB2C1A" w:rsidRPr="00EE43C6" w14:paraId="3BD1DD0F" w14:textId="77777777" w:rsidTr="006A3316">
        <w:trPr>
          <w:trHeight w:val="284"/>
          <w:jc w:val="center"/>
        </w:trPr>
        <w:tc>
          <w:tcPr>
            <w:tcW w:w="1738" w:type="pct"/>
            <w:vMerge/>
            <w:vAlign w:val="center"/>
          </w:tcPr>
          <w:p w14:paraId="5A0B7E56"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05FA973E"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1,000</w:t>
            </w:r>
          </w:p>
        </w:tc>
        <w:tc>
          <w:tcPr>
            <w:tcW w:w="565" w:type="pct"/>
            <w:vAlign w:val="center"/>
          </w:tcPr>
          <w:p w14:paraId="7988CB82" w14:textId="1A3A9FBD" w:rsidR="00AB2C1A" w:rsidRPr="00EE43C6" w:rsidRDefault="00E0714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23.80</w:t>
            </w:r>
          </w:p>
        </w:tc>
        <w:tc>
          <w:tcPr>
            <w:tcW w:w="669" w:type="pct"/>
            <w:vAlign w:val="center"/>
          </w:tcPr>
          <w:p w14:paraId="0FF43DF4" w14:textId="2E841CDF" w:rsidR="00AB2C1A" w:rsidRPr="00EE43C6" w:rsidRDefault="00E0714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27.00</w:t>
            </w:r>
          </w:p>
        </w:tc>
        <w:tc>
          <w:tcPr>
            <w:tcW w:w="669" w:type="pct"/>
            <w:vAlign w:val="center"/>
          </w:tcPr>
          <w:p w14:paraId="27F979B5" w14:textId="4BF3D101" w:rsidR="00AB2C1A" w:rsidRPr="00EE43C6" w:rsidRDefault="00E07141"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28.20</w:t>
            </w:r>
          </w:p>
        </w:tc>
        <w:tc>
          <w:tcPr>
            <w:tcW w:w="669" w:type="pct"/>
            <w:vAlign w:val="center"/>
          </w:tcPr>
          <w:p w14:paraId="28BED3D8" w14:textId="647CC91A" w:rsidR="00AB2C1A" w:rsidRPr="00EE43C6" w:rsidRDefault="008A127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28.00</w:t>
            </w:r>
          </w:p>
        </w:tc>
      </w:tr>
      <w:tr w:rsidR="00AB2C1A" w:rsidRPr="00EE43C6" w14:paraId="12A7C3C5" w14:textId="77777777" w:rsidTr="006A3316">
        <w:trPr>
          <w:trHeight w:val="284"/>
          <w:jc w:val="center"/>
        </w:trPr>
        <w:tc>
          <w:tcPr>
            <w:tcW w:w="1738" w:type="pct"/>
            <w:vMerge/>
            <w:vAlign w:val="center"/>
          </w:tcPr>
          <w:p w14:paraId="7D1A6F3F"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7A2ACC2E"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2,000</w:t>
            </w:r>
          </w:p>
        </w:tc>
        <w:tc>
          <w:tcPr>
            <w:tcW w:w="565" w:type="pct"/>
            <w:vAlign w:val="center"/>
          </w:tcPr>
          <w:p w14:paraId="56E7EA22" w14:textId="6C250713" w:rsidR="00AB2C1A" w:rsidRPr="00EE43C6" w:rsidRDefault="00B64FB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17.78</w:t>
            </w:r>
          </w:p>
        </w:tc>
        <w:tc>
          <w:tcPr>
            <w:tcW w:w="669" w:type="pct"/>
            <w:vAlign w:val="center"/>
          </w:tcPr>
          <w:p w14:paraId="1A0E0A13" w14:textId="14E8EFFD" w:rsidR="00AB2C1A" w:rsidRPr="00EE43C6" w:rsidRDefault="00B64FB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20.98</w:t>
            </w:r>
          </w:p>
        </w:tc>
        <w:tc>
          <w:tcPr>
            <w:tcW w:w="669" w:type="pct"/>
            <w:vAlign w:val="center"/>
          </w:tcPr>
          <w:p w14:paraId="27A527B6" w14:textId="651E5CC6" w:rsidR="00AB2C1A" w:rsidRPr="00EE43C6" w:rsidRDefault="00137430"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22.18</w:t>
            </w:r>
          </w:p>
        </w:tc>
        <w:tc>
          <w:tcPr>
            <w:tcW w:w="669" w:type="pct"/>
            <w:vAlign w:val="center"/>
          </w:tcPr>
          <w:p w14:paraId="05F13C6D" w14:textId="200E7562" w:rsidR="00AB2C1A" w:rsidRPr="00EE43C6" w:rsidRDefault="004C5BB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21.98</w:t>
            </w:r>
          </w:p>
        </w:tc>
      </w:tr>
      <w:tr w:rsidR="00AB2C1A" w:rsidRPr="00EE43C6" w14:paraId="05D07BBB" w14:textId="77777777" w:rsidTr="006A3316">
        <w:trPr>
          <w:trHeight w:val="284"/>
          <w:jc w:val="center"/>
        </w:trPr>
        <w:tc>
          <w:tcPr>
            <w:tcW w:w="1738" w:type="pct"/>
            <w:vMerge w:val="restart"/>
            <w:vAlign w:val="center"/>
          </w:tcPr>
          <w:p w14:paraId="490E0973"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Truck</w:t>
            </w:r>
          </w:p>
        </w:tc>
        <w:tc>
          <w:tcPr>
            <w:tcW w:w="690" w:type="pct"/>
            <w:vAlign w:val="center"/>
          </w:tcPr>
          <w:p w14:paraId="3A8D530D"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w:t>
            </w:r>
          </w:p>
        </w:tc>
        <w:tc>
          <w:tcPr>
            <w:tcW w:w="565" w:type="pct"/>
            <w:vAlign w:val="center"/>
          </w:tcPr>
          <w:p w14:paraId="5AB7DE22" w14:textId="3DF2AE71" w:rsidR="00AB2C1A" w:rsidRPr="00EE43C6" w:rsidRDefault="00EB696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58.82</w:t>
            </w:r>
          </w:p>
        </w:tc>
        <w:tc>
          <w:tcPr>
            <w:tcW w:w="669" w:type="pct"/>
            <w:vAlign w:val="center"/>
          </w:tcPr>
          <w:p w14:paraId="5AD191F8" w14:textId="15939534" w:rsidR="00AB2C1A" w:rsidRPr="00EE43C6" w:rsidRDefault="001A6F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62.02</w:t>
            </w:r>
          </w:p>
        </w:tc>
        <w:tc>
          <w:tcPr>
            <w:tcW w:w="669" w:type="pct"/>
            <w:vAlign w:val="center"/>
          </w:tcPr>
          <w:p w14:paraId="34D9CC35" w14:textId="5424CD43" w:rsidR="00AB2C1A" w:rsidRPr="00EE43C6" w:rsidRDefault="00CB62B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63.22</w:t>
            </w:r>
          </w:p>
        </w:tc>
        <w:tc>
          <w:tcPr>
            <w:tcW w:w="669" w:type="pct"/>
            <w:vAlign w:val="center"/>
          </w:tcPr>
          <w:p w14:paraId="227BE36C" w14:textId="6549F065" w:rsidR="00AB2C1A" w:rsidRPr="00EE43C6" w:rsidRDefault="00CB62B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63.02</w:t>
            </w:r>
          </w:p>
        </w:tc>
      </w:tr>
      <w:tr w:rsidR="00AB2C1A" w:rsidRPr="00EE43C6" w14:paraId="3E835E6D" w14:textId="77777777" w:rsidTr="006A3316">
        <w:trPr>
          <w:trHeight w:val="284"/>
          <w:jc w:val="center"/>
        </w:trPr>
        <w:tc>
          <w:tcPr>
            <w:tcW w:w="1738" w:type="pct"/>
            <w:vMerge/>
            <w:vAlign w:val="center"/>
          </w:tcPr>
          <w:p w14:paraId="2A277214"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46502522"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w:t>
            </w:r>
          </w:p>
        </w:tc>
        <w:tc>
          <w:tcPr>
            <w:tcW w:w="565" w:type="pct"/>
            <w:vAlign w:val="center"/>
          </w:tcPr>
          <w:p w14:paraId="0BAD6837" w14:textId="3C70C642" w:rsidR="00AB2C1A" w:rsidRPr="00EE43C6" w:rsidRDefault="003D34A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52.80</w:t>
            </w:r>
          </w:p>
        </w:tc>
        <w:tc>
          <w:tcPr>
            <w:tcW w:w="669" w:type="pct"/>
            <w:vAlign w:val="center"/>
          </w:tcPr>
          <w:p w14:paraId="1683B7D0" w14:textId="4D96D149" w:rsidR="00AB2C1A" w:rsidRPr="00EE43C6" w:rsidRDefault="00E35EE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56.00</w:t>
            </w:r>
          </w:p>
        </w:tc>
        <w:tc>
          <w:tcPr>
            <w:tcW w:w="669" w:type="pct"/>
            <w:vAlign w:val="center"/>
          </w:tcPr>
          <w:p w14:paraId="562F5205" w14:textId="69F39362" w:rsidR="00AB2C1A" w:rsidRPr="00EE43C6" w:rsidRDefault="00E35EE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57.20</w:t>
            </w:r>
          </w:p>
        </w:tc>
        <w:tc>
          <w:tcPr>
            <w:tcW w:w="669" w:type="pct"/>
            <w:vAlign w:val="center"/>
          </w:tcPr>
          <w:p w14:paraId="706A7124" w14:textId="4E372BDC" w:rsidR="00AB2C1A" w:rsidRPr="00EE43C6" w:rsidRDefault="00E35EE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57.00</w:t>
            </w:r>
          </w:p>
        </w:tc>
      </w:tr>
      <w:tr w:rsidR="00AB2C1A" w:rsidRPr="00EE43C6" w14:paraId="7D389533" w14:textId="77777777" w:rsidTr="006A3316">
        <w:trPr>
          <w:trHeight w:val="284"/>
          <w:jc w:val="center"/>
        </w:trPr>
        <w:tc>
          <w:tcPr>
            <w:tcW w:w="1738" w:type="pct"/>
            <w:vMerge/>
            <w:vAlign w:val="center"/>
          </w:tcPr>
          <w:p w14:paraId="50CA4840"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7B42921E"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w:t>
            </w:r>
          </w:p>
        </w:tc>
        <w:tc>
          <w:tcPr>
            <w:tcW w:w="565" w:type="pct"/>
            <w:vAlign w:val="center"/>
          </w:tcPr>
          <w:p w14:paraId="43EC850E" w14:textId="7C106C43" w:rsidR="00AB2C1A" w:rsidRPr="00EE43C6" w:rsidRDefault="00E35EE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44.84</w:t>
            </w:r>
          </w:p>
        </w:tc>
        <w:tc>
          <w:tcPr>
            <w:tcW w:w="669" w:type="pct"/>
            <w:vAlign w:val="center"/>
          </w:tcPr>
          <w:p w14:paraId="63B9432C" w14:textId="2457ACBA" w:rsidR="00AB2C1A" w:rsidRPr="00EE43C6" w:rsidRDefault="00E35EE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48.04</w:t>
            </w:r>
          </w:p>
        </w:tc>
        <w:tc>
          <w:tcPr>
            <w:tcW w:w="669" w:type="pct"/>
            <w:vAlign w:val="center"/>
          </w:tcPr>
          <w:p w14:paraId="5552EE10" w14:textId="0CF1312F" w:rsidR="00AB2C1A" w:rsidRPr="00EE43C6" w:rsidRDefault="000B1812"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49.24</w:t>
            </w:r>
          </w:p>
        </w:tc>
        <w:tc>
          <w:tcPr>
            <w:tcW w:w="669" w:type="pct"/>
            <w:vAlign w:val="center"/>
          </w:tcPr>
          <w:p w14:paraId="6983B80C" w14:textId="35094971" w:rsidR="00AB2C1A" w:rsidRPr="00EE43C6" w:rsidRDefault="000B1812"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49.04</w:t>
            </w:r>
          </w:p>
        </w:tc>
      </w:tr>
      <w:tr w:rsidR="00AB2C1A" w:rsidRPr="00EE43C6" w14:paraId="25D7BE42" w14:textId="77777777" w:rsidTr="006A3316">
        <w:trPr>
          <w:trHeight w:val="284"/>
          <w:jc w:val="center"/>
        </w:trPr>
        <w:tc>
          <w:tcPr>
            <w:tcW w:w="1738" w:type="pct"/>
            <w:vMerge/>
            <w:vAlign w:val="center"/>
          </w:tcPr>
          <w:p w14:paraId="7EC0B47E"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41D9466D"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w:t>
            </w:r>
          </w:p>
        </w:tc>
        <w:tc>
          <w:tcPr>
            <w:tcW w:w="565" w:type="pct"/>
            <w:vAlign w:val="center"/>
          </w:tcPr>
          <w:p w14:paraId="476F98CA" w14:textId="5A16E410" w:rsidR="00AB2C1A" w:rsidRPr="00EE43C6" w:rsidRDefault="008F013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38.82</w:t>
            </w:r>
          </w:p>
        </w:tc>
        <w:tc>
          <w:tcPr>
            <w:tcW w:w="669" w:type="pct"/>
            <w:vAlign w:val="center"/>
          </w:tcPr>
          <w:p w14:paraId="1F456B61" w14:textId="5427932E" w:rsidR="00AB2C1A" w:rsidRPr="00EE43C6" w:rsidRDefault="00BB4F36"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42.02</w:t>
            </w:r>
          </w:p>
        </w:tc>
        <w:tc>
          <w:tcPr>
            <w:tcW w:w="669" w:type="pct"/>
            <w:vAlign w:val="center"/>
          </w:tcPr>
          <w:p w14:paraId="45353497" w14:textId="21D0451F" w:rsidR="00AB2C1A" w:rsidRPr="00EE43C6" w:rsidRDefault="00BB4F36"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43.22</w:t>
            </w:r>
          </w:p>
        </w:tc>
        <w:tc>
          <w:tcPr>
            <w:tcW w:w="669" w:type="pct"/>
            <w:vAlign w:val="center"/>
          </w:tcPr>
          <w:p w14:paraId="252F6238" w14:textId="0A90DA9C" w:rsidR="00AB2C1A" w:rsidRPr="00EE43C6" w:rsidRDefault="00BB4F36"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43.02</w:t>
            </w:r>
          </w:p>
        </w:tc>
      </w:tr>
      <w:tr w:rsidR="00AB2C1A" w:rsidRPr="00EE43C6" w14:paraId="3BABB2F1" w14:textId="77777777" w:rsidTr="006A3316">
        <w:trPr>
          <w:trHeight w:val="284"/>
          <w:jc w:val="center"/>
        </w:trPr>
        <w:tc>
          <w:tcPr>
            <w:tcW w:w="1738" w:type="pct"/>
            <w:vMerge/>
            <w:vAlign w:val="center"/>
          </w:tcPr>
          <w:p w14:paraId="60AAC17E"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11CDDE9C"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750</w:t>
            </w:r>
          </w:p>
        </w:tc>
        <w:tc>
          <w:tcPr>
            <w:tcW w:w="565" w:type="pct"/>
            <w:vAlign w:val="center"/>
          </w:tcPr>
          <w:p w14:paraId="21E1C65D" w14:textId="608DDDE4" w:rsidR="00AB2C1A" w:rsidRPr="00EE43C6" w:rsidRDefault="00E7176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35.30</w:t>
            </w:r>
          </w:p>
        </w:tc>
        <w:tc>
          <w:tcPr>
            <w:tcW w:w="669" w:type="pct"/>
            <w:vAlign w:val="center"/>
          </w:tcPr>
          <w:p w14:paraId="6D83A065" w14:textId="2ABDBE9D" w:rsidR="00AB2C1A" w:rsidRPr="00EE43C6" w:rsidRDefault="00E7176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w:t>
            </w:r>
            <w:r w:rsidR="000029D9" w:rsidRPr="00EE43C6">
              <w:rPr>
                <w:rFonts w:eastAsia="Arial TUR" w:cs="Arial"/>
                <w:sz w:val="18"/>
                <w:szCs w:val="18"/>
                <w:lang w:eastAsia="en-US"/>
              </w:rPr>
              <w:t>8.50</w:t>
            </w:r>
          </w:p>
        </w:tc>
        <w:tc>
          <w:tcPr>
            <w:tcW w:w="669" w:type="pct"/>
            <w:vAlign w:val="center"/>
          </w:tcPr>
          <w:p w14:paraId="6DAD2EE3" w14:textId="1B83C7A8" w:rsidR="00AB2C1A" w:rsidRPr="00EE43C6" w:rsidRDefault="003269C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39.70</w:t>
            </w:r>
          </w:p>
        </w:tc>
        <w:tc>
          <w:tcPr>
            <w:tcW w:w="669" w:type="pct"/>
            <w:vAlign w:val="center"/>
          </w:tcPr>
          <w:p w14:paraId="27EC9F65" w14:textId="3C3416F5" w:rsidR="00AB2C1A" w:rsidRPr="00EE43C6" w:rsidRDefault="003269CC"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39.50</w:t>
            </w:r>
          </w:p>
        </w:tc>
      </w:tr>
      <w:tr w:rsidR="00AB2C1A" w:rsidRPr="00EE43C6" w14:paraId="08D8608F" w14:textId="77777777" w:rsidTr="006A3316">
        <w:trPr>
          <w:trHeight w:val="284"/>
          <w:jc w:val="center"/>
        </w:trPr>
        <w:tc>
          <w:tcPr>
            <w:tcW w:w="1738" w:type="pct"/>
            <w:vMerge/>
            <w:vAlign w:val="center"/>
          </w:tcPr>
          <w:p w14:paraId="44FCABCE"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2C57D906"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1,000</w:t>
            </w:r>
          </w:p>
        </w:tc>
        <w:tc>
          <w:tcPr>
            <w:tcW w:w="565" w:type="pct"/>
            <w:vAlign w:val="center"/>
          </w:tcPr>
          <w:p w14:paraId="412D9731" w14:textId="36CE33FB" w:rsidR="00AB2C1A" w:rsidRPr="00EE43C6" w:rsidRDefault="0010661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32.80</w:t>
            </w:r>
          </w:p>
        </w:tc>
        <w:tc>
          <w:tcPr>
            <w:tcW w:w="669" w:type="pct"/>
            <w:vAlign w:val="center"/>
          </w:tcPr>
          <w:p w14:paraId="0D0E0EBE" w14:textId="11679103" w:rsidR="00AB2C1A" w:rsidRPr="00EE43C6" w:rsidRDefault="0010661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36.00</w:t>
            </w:r>
          </w:p>
        </w:tc>
        <w:tc>
          <w:tcPr>
            <w:tcW w:w="669" w:type="pct"/>
            <w:vAlign w:val="center"/>
          </w:tcPr>
          <w:p w14:paraId="6F583DA0" w14:textId="38BA1150" w:rsidR="00AB2C1A" w:rsidRPr="00EE43C6" w:rsidRDefault="0010661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37.20</w:t>
            </w:r>
          </w:p>
        </w:tc>
        <w:tc>
          <w:tcPr>
            <w:tcW w:w="669" w:type="pct"/>
            <w:vAlign w:val="center"/>
          </w:tcPr>
          <w:p w14:paraId="27412294" w14:textId="12C1827F" w:rsidR="00AB2C1A" w:rsidRPr="00EE43C6" w:rsidRDefault="0010661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37.00</w:t>
            </w:r>
          </w:p>
        </w:tc>
      </w:tr>
      <w:tr w:rsidR="00AB2C1A" w:rsidRPr="00EE43C6" w14:paraId="66146690" w14:textId="77777777" w:rsidTr="006A3316">
        <w:trPr>
          <w:trHeight w:val="284"/>
          <w:jc w:val="center"/>
        </w:trPr>
        <w:tc>
          <w:tcPr>
            <w:tcW w:w="1738" w:type="pct"/>
            <w:vMerge/>
            <w:vAlign w:val="center"/>
          </w:tcPr>
          <w:p w14:paraId="6FFD0ACA" w14:textId="77777777" w:rsidR="00AB2C1A" w:rsidRPr="00EE43C6" w:rsidRDefault="00AB2C1A" w:rsidP="00B625EB">
            <w:pPr>
              <w:spacing w:before="0" w:after="0" w:line="240" w:lineRule="auto"/>
              <w:jc w:val="center"/>
              <w:rPr>
                <w:rFonts w:eastAsia="Arial TUR" w:cs="Arial"/>
                <w:sz w:val="18"/>
                <w:szCs w:val="18"/>
                <w:lang w:eastAsia="en-US"/>
              </w:rPr>
            </w:pPr>
          </w:p>
        </w:tc>
        <w:tc>
          <w:tcPr>
            <w:tcW w:w="690" w:type="pct"/>
            <w:vAlign w:val="center"/>
          </w:tcPr>
          <w:p w14:paraId="5993D41A" w14:textId="77777777" w:rsidR="00AB2C1A" w:rsidRPr="00EE43C6" w:rsidRDefault="00AB2C1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2,000</w:t>
            </w:r>
          </w:p>
        </w:tc>
        <w:tc>
          <w:tcPr>
            <w:tcW w:w="565" w:type="pct"/>
            <w:vAlign w:val="center"/>
          </w:tcPr>
          <w:p w14:paraId="173CD8DE" w14:textId="33A28D87" w:rsidR="00AB2C1A" w:rsidRPr="00EE43C6" w:rsidRDefault="0010661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26.78</w:t>
            </w:r>
          </w:p>
        </w:tc>
        <w:tc>
          <w:tcPr>
            <w:tcW w:w="669" w:type="pct"/>
            <w:vAlign w:val="center"/>
          </w:tcPr>
          <w:p w14:paraId="145873F3" w14:textId="0413D666" w:rsidR="00AB2C1A" w:rsidRPr="00EE43C6" w:rsidRDefault="0010661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29.98</w:t>
            </w:r>
          </w:p>
        </w:tc>
        <w:tc>
          <w:tcPr>
            <w:tcW w:w="669" w:type="pct"/>
            <w:vAlign w:val="center"/>
          </w:tcPr>
          <w:p w14:paraId="2064E6B4" w14:textId="6062114A" w:rsidR="00AB2C1A" w:rsidRPr="00EE43C6" w:rsidRDefault="00106619"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31.18</w:t>
            </w:r>
          </w:p>
        </w:tc>
        <w:tc>
          <w:tcPr>
            <w:tcW w:w="669" w:type="pct"/>
            <w:vAlign w:val="center"/>
          </w:tcPr>
          <w:p w14:paraId="59F34E6C" w14:textId="4D57F0F6" w:rsidR="00AB2C1A" w:rsidRPr="00EE43C6" w:rsidRDefault="002F16FB"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30.98</w:t>
            </w:r>
          </w:p>
        </w:tc>
      </w:tr>
    </w:tbl>
    <w:p w14:paraId="1C2ADD5A" w14:textId="6AF72EEF" w:rsidR="00AB2C1A" w:rsidRPr="00EE43C6" w:rsidRDefault="00502304" w:rsidP="004B65EE">
      <w:pPr>
        <w:spacing w:before="120" w:after="0"/>
        <w:rPr>
          <w:rFonts w:eastAsia="Arial TUR"/>
          <w:lang w:eastAsia="en-US"/>
        </w:rPr>
      </w:pPr>
      <w:r w:rsidRPr="00EE43C6">
        <w:rPr>
          <w:rFonts w:eastAsia="Arial TUR"/>
          <w:noProof/>
        </w:rPr>
        <w:drawing>
          <wp:inline distT="0" distB="0" distL="0" distR="0" wp14:anchorId="3E50CD0B" wp14:editId="3CD70653">
            <wp:extent cx="1438476" cy="466790"/>
            <wp:effectExtent l="0" t="0" r="9525" b="9525"/>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38476" cy="466790"/>
                    </a:xfrm>
                    <a:prstGeom prst="rect">
                      <a:avLst/>
                    </a:prstGeom>
                  </pic:spPr>
                </pic:pic>
              </a:graphicData>
            </a:graphic>
          </wp:inline>
        </w:drawing>
      </w:r>
    </w:p>
    <w:p w14:paraId="29101661" w14:textId="6BD7E334" w:rsidR="00502304" w:rsidRPr="00EE43C6" w:rsidRDefault="00502304" w:rsidP="004B65EE">
      <w:pPr>
        <w:spacing w:after="0"/>
        <w:rPr>
          <w:rFonts w:eastAsia="Arial TUR"/>
          <w:lang w:eastAsia="en-US"/>
        </w:rPr>
      </w:pPr>
      <w:r w:rsidRPr="00EE43C6">
        <w:rPr>
          <w:rFonts w:eastAsia="Arial TUR"/>
          <w:i/>
          <w:lang w:eastAsia="en-US"/>
        </w:rPr>
        <w:t>L</w:t>
      </w:r>
      <w:r w:rsidRPr="00EE43C6">
        <w:rPr>
          <w:rFonts w:eastAsia="Arial TUR"/>
          <w:lang w:eastAsia="en-US"/>
        </w:rPr>
        <w:t xml:space="preserve">day= </w:t>
      </w:r>
      <w:r w:rsidRPr="00EE43C6">
        <w:rPr>
          <w:rFonts w:eastAsia="Arial TUR"/>
          <w:i/>
          <w:lang w:eastAsia="en-US"/>
        </w:rPr>
        <w:t>L</w:t>
      </w:r>
      <w:r w:rsidRPr="00EE43C6">
        <w:rPr>
          <w:rFonts w:eastAsia="Arial TUR"/>
          <w:lang w:eastAsia="en-US"/>
        </w:rPr>
        <w:t>eq</w:t>
      </w:r>
    </w:p>
    <w:p w14:paraId="2C4AD379" w14:textId="45CE3DC0" w:rsidR="007257A1" w:rsidRPr="00EE43C6" w:rsidRDefault="00C27A2F" w:rsidP="006A3316">
      <w:pPr>
        <w:pStyle w:val="Caption"/>
        <w:spacing w:before="360"/>
        <w:rPr>
          <w:rFonts w:eastAsia="Arial TUR"/>
          <w:noProof w:val="0"/>
        </w:rPr>
      </w:pPr>
      <w:bookmarkStart w:id="606" w:name="_Ref127981906"/>
      <w:bookmarkStart w:id="607" w:name="_Toc141445537"/>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28</w:t>
      </w:r>
      <w:r w:rsidR="006D2DE8">
        <w:rPr>
          <w:noProof w:val="0"/>
        </w:rPr>
        <w:fldChar w:fldCharType="end"/>
      </w:r>
      <w:bookmarkEnd w:id="606"/>
      <w:r w:rsidRPr="00EE43C6">
        <w:rPr>
          <w:noProof w:val="0"/>
        </w:rPr>
        <w:t xml:space="preserve">. </w:t>
      </w:r>
      <w:r w:rsidR="007257A1" w:rsidRPr="00EE43C6">
        <w:rPr>
          <w:rFonts w:eastAsia="Arial TUR"/>
          <w:b w:val="0"/>
          <w:noProof w:val="0"/>
          <w:color w:val="auto"/>
        </w:rPr>
        <w:t>The Final Sound Pressure Levels</w:t>
      </w:r>
      <w:bookmarkEnd w:id="607"/>
    </w:p>
    <w:tbl>
      <w:tblPr>
        <w:tblStyle w:val="TableGrid"/>
        <w:tblW w:w="5000" w:type="pct"/>
        <w:jc w:val="center"/>
        <w:tblLook w:val="04A0" w:firstRow="1" w:lastRow="0" w:firstColumn="1" w:lastColumn="0" w:noHBand="0" w:noVBand="1"/>
      </w:tblPr>
      <w:tblGrid>
        <w:gridCol w:w="3540"/>
        <w:gridCol w:w="2801"/>
        <w:gridCol w:w="2723"/>
      </w:tblGrid>
      <w:tr w:rsidR="00C27A2F" w:rsidRPr="00EE43C6" w14:paraId="7755AC8D" w14:textId="77777777" w:rsidTr="006A3316">
        <w:trPr>
          <w:trHeight w:val="284"/>
          <w:tblHeader/>
          <w:jc w:val="center"/>
        </w:trPr>
        <w:tc>
          <w:tcPr>
            <w:tcW w:w="1953" w:type="pct"/>
            <w:shd w:val="clear" w:color="auto" w:fill="4F81BD"/>
            <w:vAlign w:val="center"/>
          </w:tcPr>
          <w:p w14:paraId="3CE39C7A" w14:textId="351BCAA2" w:rsidR="00C27A2F" w:rsidRPr="00EE43C6" w:rsidRDefault="00C27A2F" w:rsidP="00B625EB">
            <w:pPr>
              <w:spacing w:before="0" w:after="0" w:line="240" w:lineRule="auto"/>
              <w:jc w:val="center"/>
              <w:rPr>
                <w:rFonts w:eastAsia="Arial TUR" w:cs="Arial"/>
                <w:b/>
                <w:color w:val="FFFFFF" w:themeColor="background1"/>
                <w:sz w:val="18"/>
                <w:szCs w:val="18"/>
                <w:lang w:eastAsia="en-US"/>
              </w:rPr>
            </w:pPr>
            <w:r w:rsidRPr="00EE43C6">
              <w:rPr>
                <w:rFonts w:eastAsia="Arial TUR" w:cs="Arial"/>
                <w:b/>
                <w:color w:val="FFFFFF" w:themeColor="background1"/>
                <w:sz w:val="18"/>
                <w:szCs w:val="18"/>
                <w:lang w:eastAsia="en-US"/>
              </w:rPr>
              <w:t>Noise Sources</w:t>
            </w:r>
          </w:p>
        </w:tc>
        <w:tc>
          <w:tcPr>
            <w:tcW w:w="1545" w:type="pct"/>
            <w:shd w:val="clear" w:color="auto" w:fill="4F81BD"/>
            <w:vAlign w:val="center"/>
          </w:tcPr>
          <w:p w14:paraId="02F6D4AF" w14:textId="3617911F" w:rsidR="00C27A2F" w:rsidRPr="00EE43C6" w:rsidRDefault="0022630A" w:rsidP="00B625EB">
            <w:pPr>
              <w:spacing w:before="0" w:after="0" w:line="240" w:lineRule="auto"/>
              <w:jc w:val="center"/>
              <w:rPr>
                <w:rFonts w:eastAsia="Arial TUR" w:cs="Arial"/>
                <w:b/>
                <w:color w:val="FFFFFF" w:themeColor="background1"/>
                <w:sz w:val="18"/>
                <w:szCs w:val="18"/>
                <w:lang w:eastAsia="en-US"/>
              </w:rPr>
            </w:pPr>
            <w:r w:rsidRPr="00EE43C6">
              <w:rPr>
                <w:rFonts w:eastAsia="Arial TUR" w:cs="Arial"/>
                <w:b/>
                <w:color w:val="FFFFFF" w:themeColor="background1"/>
                <w:sz w:val="18"/>
                <w:szCs w:val="18"/>
                <w:lang w:eastAsia="en-US"/>
              </w:rPr>
              <w:t>Distance (m)</w:t>
            </w:r>
          </w:p>
        </w:tc>
        <w:tc>
          <w:tcPr>
            <w:tcW w:w="1502" w:type="pct"/>
            <w:shd w:val="clear" w:color="auto" w:fill="4F81BD"/>
            <w:vAlign w:val="center"/>
          </w:tcPr>
          <w:p w14:paraId="41D36BAD" w14:textId="324944D3" w:rsidR="0022630A" w:rsidRPr="00EE43C6" w:rsidRDefault="0022630A" w:rsidP="00B625EB">
            <w:pPr>
              <w:spacing w:before="0" w:after="0" w:line="240" w:lineRule="auto"/>
              <w:jc w:val="center"/>
              <w:rPr>
                <w:rFonts w:eastAsia="Arial TUR" w:cs="Arial"/>
                <w:b/>
                <w:color w:val="FFFFFF" w:themeColor="background1"/>
                <w:sz w:val="18"/>
                <w:szCs w:val="18"/>
                <w:lang w:eastAsia="en-US"/>
              </w:rPr>
            </w:pPr>
            <w:r w:rsidRPr="00EE43C6">
              <w:rPr>
                <w:rFonts w:eastAsia="Arial TUR" w:cs="Arial"/>
                <w:b/>
                <w:color w:val="FFFFFF" w:themeColor="background1"/>
                <w:sz w:val="18"/>
                <w:szCs w:val="18"/>
                <w:lang w:eastAsia="en-US"/>
              </w:rPr>
              <w:t>Total Sound Level</w:t>
            </w:r>
            <w:r w:rsidR="007C7F44" w:rsidRPr="00EE43C6">
              <w:rPr>
                <w:rFonts w:eastAsia="Arial TUR" w:cs="Arial"/>
                <w:b/>
                <w:color w:val="FFFFFF" w:themeColor="background1"/>
                <w:sz w:val="18"/>
                <w:szCs w:val="18"/>
                <w:lang w:eastAsia="en-US"/>
              </w:rPr>
              <w:t xml:space="preserve"> </w:t>
            </w:r>
            <w:r w:rsidR="007C7F44" w:rsidRPr="00EE43C6">
              <w:rPr>
                <w:rFonts w:eastAsia="Arial TUR" w:cs="Arial"/>
                <w:b/>
                <w:bCs/>
                <w:color w:val="FFFFFF" w:themeColor="background1"/>
                <w:sz w:val="18"/>
                <w:szCs w:val="18"/>
                <w:lang w:eastAsia="en-US"/>
              </w:rPr>
              <w:t>(dB)</w:t>
            </w:r>
          </w:p>
        </w:tc>
      </w:tr>
      <w:tr w:rsidR="00C27A2F" w:rsidRPr="00EE43C6" w14:paraId="69D9C9B7" w14:textId="6F312587" w:rsidTr="006A3316">
        <w:trPr>
          <w:trHeight w:val="284"/>
          <w:jc w:val="center"/>
        </w:trPr>
        <w:tc>
          <w:tcPr>
            <w:tcW w:w="1953" w:type="pct"/>
            <w:vMerge w:val="restart"/>
            <w:vAlign w:val="center"/>
          </w:tcPr>
          <w:p w14:paraId="2CC9A30C" w14:textId="36D74543" w:rsidR="00C27A2F" w:rsidRPr="00EE43C6" w:rsidRDefault="00C27A2F"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Excavator-Dozer-Grader</w:t>
            </w:r>
          </w:p>
        </w:tc>
        <w:tc>
          <w:tcPr>
            <w:tcW w:w="1545" w:type="pct"/>
            <w:vAlign w:val="center"/>
          </w:tcPr>
          <w:p w14:paraId="3D5465FF" w14:textId="642C7EFB" w:rsidR="00C27A2F"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w:t>
            </w:r>
          </w:p>
        </w:tc>
        <w:tc>
          <w:tcPr>
            <w:tcW w:w="1502" w:type="pct"/>
            <w:vAlign w:val="center"/>
          </w:tcPr>
          <w:p w14:paraId="6EEA4911" w14:textId="7F3CB084" w:rsidR="0022630A"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61.79</w:t>
            </w:r>
          </w:p>
        </w:tc>
      </w:tr>
      <w:tr w:rsidR="00C27A2F" w:rsidRPr="00EE43C6" w14:paraId="5D4FE3E3" w14:textId="42829601" w:rsidTr="006A3316">
        <w:trPr>
          <w:trHeight w:val="284"/>
          <w:jc w:val="center"/>
        </w:trPr>
        <w:tc>
          <w:tcPr>
            <w:tcW w:w="1953" w:type="pct"/>
            <w:vMerge/>
            <w:vAlign w:val="center"/>
          </w:tcPr>
          <w:p w14:paraId="631C68C4" w14:textId="77777777" w:rsidR="00C27A2F" w:rsidRPr="00EE43C6" w:rsidRDefault="00C27A2F" w:rsidP="00B625EB">
            <w:pPr>
              <w:spacing w:before="0" w:after="0" w:line="240" w:lineRule="auto"/>
              <w:jc w:val="center"/>
              <w:rPr>
                <w:rFonts w:eastAsia="Arial TUR" w:cs="Arial"/>
                <w:sz w:val="18"/>
                <w:szCs w:val="18"/>
                <w:lang w:eastAsia="en-US"/>
              </w:rPr>
            </w:pPr>
          </w:p>
        </w:tc>
        <w:tc>
          <w:tcPr>
            <w:tcW w:w="1545" w:type="pct"/>
            <w:vAlign w:val="center"/>
          </w:tcPr>
          <w:p w14:paraId="20EDC94A" w14:textId="7F187485" w:rsidR="00C27A2F"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w:t>
            </w:r>
          </w:p>
        </w:tc>
        <w:tc>
          <w:tcPr>
            <w:tcW w:w="1502" w:type="pct"/>
            <w:vAlign w:val="center"/>
          </w:tcPr>
          <w:p w14:paraId="1E183C47" w14:textId="564CA293" w:rsidR="0022630A"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55.48</w:t>
            </w:r>
          </w:p>
        </w:tc>
      </w:tr>
      <w:tr w:rsidR="00C27A2F" w:rsidRPr="00EE43C6" w14:paraId="3C911FEA" w14:textId="715B2131" w:rsidTr="006A3316">
        <w:trPr>
          <w:trHeight w:val="284"/>
          <w:jc w:val="center"/>
        </w:trPr>
        <w:tc>
          <w:tcPr>
            <w:tcW w:w="1953" w:type="pct"/>
            <w:vMerge/>
            <w:vAlign w:val="center"/>
          </w:tcPr>
          <w:p w14:paraId="5CE66AA8" w14:textId="77777777" w:rsidR="00C27A2F" w:rsidRPr="00EE43C6" w:rsidRDefault="00C27A2F" w:rsidP="00B625EB">
            <w:pPr>
              <w:spacing w:before="0" w:after="0" w:line="240" w:lineRule="auto"/>
              <w:jc w:val="center"/>
              <w:rPr>
                <w:rFonts w:eastAsia="Arial TUR" w:cs="Arial"/>
                <w:sz w:val="18"/>
                <w:szCs w:val="18"/>
                <w:lang w:eastAsia="en-US"/>
              </w:rPr>
            </w:pPr>
          </w:p>
        </w:tc>
        <w:tc>
          <w:tcPr>
            <w:tcW w:w="1545" w:type="pct"/>
            <w:vAlign w:val="center"/>
          </w:tcPr>
          <w:p w14:paraId="433DFFF5" w14:textId="44EB4CBE" w:rsidR="00C27A2F"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w:t>
            </w:r>
          </w:p>
        </w:tc>
        <w:tc>
          <w:tcPr>
            <w:tcW w:w="1502" w:type="pct"/>
            <w:vAlign w:val="center"/>
          </w:tcPr>
          <w:p w14:paraId="289A4498" w14:textId="5505CD86" w:rsidR="0022630A"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46.77</w:t>
            </w:r>
          </w:p>
        </w:tc>
      </w:tr>
      <w:tr w:rsidR="00C27A2F" w:rsidRPr="00EE43C6" w14:paraId="429BC1E4" w14:textId="7C7E272B" w:rsidTr="006A3316">
        <w:trPr>
          <w:trHeight w:val="284"/>
          <w:jc w:val="center"/>
        </w:trPr>
        <w:tc>
          <w:tcPr>
            <w:tcW w:w="1953" w:type="pct"/>
            <w:vMerge/>
            <w:vAlign w:val="center"/>
          </w:tcPr>
          <w:p w14:paraId="2682198B" w14:textId="77777777" w:rsidR="00C27A2F" w:rsidRPr="00EE43C6" w:rsidRDefault="00C27A2F" w:rsidP="00B625EB">
            <w:pPr>
              <w:spacing w:before="0" w:after="0" w:line="240" w:lineRule="auto"/>
              <w:jc w:val="center"/>
              <w:rPr>
                <w:rFonts w:eastAsia="Arial TUR" w:cs="Arial"/>
                <w:sz w:val="18"/>
                <w:szCs w:val="18"/>
                <w:lang w:eastAsia="en-US"/>
              </w:rPr>
            </w:pPr>
          </w:p>
        </w:tc>
        <w:tc>
          <w:tcPr>
            <w:tcW w:w="1545" w:type="pct"/>
            <w:vAlign w:val="center"/>
          </w:tcPr>
          <w:p w14:paraId="6340A8E2" w14:textId="20AF146B" w:rsidR="00C27A2F"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w:t>
            </w:r>
          </w:p>
        </w:tc>
        <w:tc>
          <w:tcPr>
            <w:tcW w:w="1502" w:type="pct"/>
            <w:vAlign w:val="center"/>
          </w:tcPr>
          <w:p w14:paraId="67021DAF" w14:textId="5AAA6BA3" w:rsidR="0022630A"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39.82</w:t>
            </w:r>
          </w:p>
        </w:tc>
      </w:tr>
      <w:tr w:rsidR="00C27A2F" w:rsidRPr="00EE43C6" w14:paraId="66AEB8EA" w14:textId="34330F43" w:rsidTr="006A3316">
        <w:trPr>
          <w:trHeight w:val="284"/>
          <w:jc w:val="center"/>
        </w:trPr>
        <w:tc>
          <w:tcPr>
            <w:tcW w:w="1953" w:type="pct"/>
            <w:vMerge/>
            <w:vAlign w:val="center"/>
          </w:tcPr>
          <w:p w14:paraId="6C6A0EDC" w14:textId="77777777" w:rsidR="00C27A2F" w:rsidRPr="00EE43C6" w:rsidRDefault="00C27A2F" w:rsidP="00B625EB">
            <w:pPr>
              <w:spacing w:before="0" w:after="0" w:line="240" w:lineRule="auto"/>
              <w:jc w:val="center"/>
              <w:rPr>
                <w:rFonts w:eastAsia="Arial TUR" w:cs="Arial"/>
                <w:sz w:val="18"/>
                <w:szCs w:val="18"/>
                <w:lang w:eastAsia="en-US"/>
              </w:rPr>
            </w:pPr>
          </w:p>
        </w:tc>
        <w:tc>
          <w:tcPr>
            <w:tcW w:w="1545" w:type="pct"/>
            <w:vAlign w:val="center"/>
          </w:tcPr>
          <w:p w14:paraId="268F68A8" w14:textId="302BCD7C" w:rsidR="00C27A2F"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750</w:t>
            </w:r>
          </w:p>
        </w:tc>
        <w:tc>
          <w:tcPr>
            <w:tcW w:w="1502" w:type="pct"/>
            <w:vAlign w:val="center"/>
          </w:tcPr>
          <w:p w14:paraId="5D296F9B" w14:textId="56F043E0" w:rsidR="0022630A"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35.62</w:t>
            </w:r>
          </w:p>
        </w:tc>
      </w:tr>
      <w:tr w:rsidR="00C27A2F" w:rsidRPr="00EE43C6" w14:paraId="67906CA4" w14:textId="1857040C" w:rsidTr="006A3316">
        <w:trPr>
          <w:trHeight w:val="284"/>
          <w:jc w:val="center"/>
        </w:trPr>
        <w:tc>
          <w:tcPr>
            <w:tcW w:w="1953" w:type="pct"/>
            <w:vMerge/>
            <w:vAlign w:val="center"/>
          </w:tcPr>
          <w:p w14:paraId="57F8D893" w14:textId="77777777" w:rsidR="00C27A2F" w:rsidRPr="00EE43C6" w:rsidRDefault="00C27A2F" w:rsidP="00B625EB">
            <w:pPr>
              <w:spacing w:before="0" w:after="0" w:line="240" w:lineRule="auto"/>
              <w:jc w:val="center"/>
              <w:rPr>
                <w:rFonts w:eastAsia="Arial TUR" w:cs="Arial"/>
                <w:sz w:val="18"/>
                <w:szCs w:val="18"/>
                <w:lang w:eastAsia="en-US"/>
              </w:rPr>
            </w:pPr>
          </w:p>
        </w:tc>
        <w:tc>
          <w:tcPr>
            <w:tcW w:w="1545" w:type="pct"/>
            <w:vAlign w:val="center"/>
          </w:tcPr>
          <w:p w14:paraId="18AAB28C" w14:textId="13C816C5" w:rsidR="00C27A2F"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1,000</w:t>
            </w:r>
          </w:p>
        </w:tc>
        <w:tc>
          <w:tcPr>
            <w:tcW w:w="1502" w:type="pct"/>
            <w:vAlign w:val="center"/>
          </w:tcPr>
          <w:p w14:paraId="763865A5" w14:textId="5A68C549" w:rsidR="0022630A"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32.58</w:t>
            </w:r>
          </w:p>
        </w:tc>
      </w:tr>
      <w:tr w:rsidR="00C27A2F" w:rsidRPr="00EE43C6" w14:paraId="7C204FF9" w14:textId="19C66408" w:rsidTr="006A3316">
        <w:trPr>
          <w:trHeight w:val="284"/>
          <w:jc w:val="center"/>
        </w:trPr>
        <w:tc>
          <w:tcPr>
            <w:tcW w:w="1953" w:type="pct"/>
            <w:vMerge/>
            <w:vAlign w:val="center"/>
          </w:tcPr>
          <w:p w14:paraId="2AA4B55F" w14:textId="77777777" w:rsidR="00C27A2F" w:rsidRPr="00EE43C6" w:rsidRDefault="00C27A2F" w:rsidP="00B625EB">
            <w:pPr>
              <w:spacing w:before="0" w:after="0" w:line="240" w:lineRule="auto"/>
              <w:jc w:val="center"/>
              <w:rPr>
                <w:rFonts w:eastAsia="Arial TUR" w:cs="Arial"/>
                <w:sz w:val="18"/>
                <w:szCs w:val="18"/>
                <w:lang w:eastAsia="en-US"/>
              </w:rPr>
            </w:pPr>
          </w:p>
        </w:tc>
        <w:tc>
          <w:tcPr>
            <w:tcW w:w="1545" w:type="pct"/>
            <w:vAlign w:val="center"/>
          </w:tcPr>
          <w:p w14:paraId="14E6FA62" w14:textId="1BCF51CF" w:rsidR="00C27A2F"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2,000</w:t>
            </w:r>
          </w:p>
        </w:tc>
        <w:tc>
          <w:tcPr>
            <w:tcW w:w="1502" w:type="pct"/>
            <w:vAlign w:val="center"/>
          </w:tcPr>
          <w:p w14:paraId="31D9F4D4" w14:textId="0065645B" w:rsidR="0022630A" w:rsidRPr="00EE43C6" w:rsidRDefault="0022630A"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25.04</w:t>
            </w:r>
          </w:p>
        </w:tc>
      </w:tr>
      <w:tr w:rsidR="008469D5" w:rsidRPr="00EE43C6" w14:paraId="733CB6AA" w14:textId="77777777" w:rsidTr="006A3316">
        <w:trPr>
          <w:trHeight w:val="284"/>
          <w:jc w:val="center"/>
        </w:trPr>
        <w:tc>
          <w:tcPr>
            <w:tcW w:w="1953" w:type="pct"/>
            <w:vMerge w:val="restart"/>
            <w:vAlign w:val="center"/>
          </w:tcPr>
          <w:p w14:paraId="0CE85652" w14:textId="08016EFD"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Cylinder-Concrete Pump</w:t>
            </w:r>
          </w:p>
        </w:tc>
        <w:tc>
          <w:tcPr>
            <w:tcW w:w="1545" w:type="pct"/>
            <w:vAlign w:val="center"/>
          </w:tcPr>
          <w:p w14:paraId="484434D2"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w:t>
            </w:r>
          </w:p>
        </w:tc>
        <w:tc>
          <w:tcPr>
            <w:tcW w:w="1502" w:type="pct"/>
            <w:vAlign w:val="center"/>
          </w:tcPr>
          <w:p w14:paraId="3E91A1CE" w14:textId="1C927E01"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64.79</w:t>
            </w:r>
          </w:p>
        </w:tc>
      </w:tr>
      <w:tr w:rsidR="008469D5" w:rsidRPr="00EE43C6" w14:paraId="3D951E91" w14:textId="77777777" w:rsidTr="006A3316">
        <w:trPr>
          <w:trHeight w:val="284"/>
          <w:jc w:val="center"/>
        </w:trPr>
        <w:tc>
          <w:tcPr>
            <w:tcW w:w="1953" w:type="pct"/>
            <w:vMerge/>
            <w:vAlign w:val="center"/>
          </w:tcPr>
          <w:p w14:paraId="7B389290"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445B936D"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w:t>
            </w:r>
          </w:p>
        </w:tc>
        <w:tc>
          <w:tcPr>
            <w:tcW w:w="1502" w:type="pct"/>
            <w:vAlign w:val="center"/>
          </w:tcPr>
          <w:p w14:paraId="46BD8A69" w14:textId="3AF8C082"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58.48</w:t>
            </w:r>
          </w:p>
        </w:tc>
      </w:tr>
      <w:tr w:rsidR="008469D5" w:rsidRPr="00EE43C6" w14:paraId="748BEF41" w14:textId="77777777" w:rsidTr="006A3316">
        <w:trPr>
          <w:trHeight w:val="284"/>
          <w:jc w:val="center"/>
        </w:trPr>
        <w:tc>
          <w:tcPr>
            <w:tcW w:w="1953" w:type="pct"/>
            <w:vMerge/>
            <w:vAlign w:val="center"/>
          </w:tcPr>
          <w:p w14:paraId="1CC28010"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6CB7A20D"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w:t>
            </w:r>
          </w:p>
        </w:tc>
        <w:tc>
          <w:tcPr>
            <w:tcW w:w="1502" w:type="pct"/>
            <w:vAlign w:val="center"/>
          </w:tcPr>
          <w:p w14:paraId="6DFA338E" w14:textId="73FE1463"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49.77</w:t>
            </w:r>
          </w:p>
        </w:tc>
      </w:tr>
      <w:tr w:rsidR="008469D5" w:rsidRPr="00EE43C6" w14:paraId="35689DD8" w14:textId="77777777" w:rsidTr="006A3316">
        <w:trPr>
          <w:trHeight w:val="284"/>
          <w:jc w:val="center"/>
        </w:trPr>
        <w:tc>
          <w:tcPr>
            <w:tcW w:w="1953" w:type="pct"/>
            <w:vMerge/>
            <w:vAlign w:val="center"/>
          </w:tcPr>
          <w:p w14:paraId="376691A4"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74EE1252"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w:t>
            </w:r>
          </w:p>
        </w:tc>
        <w:tc>
          <w:tcPr>
            <w:tcW w:w="1502" w:type="pct"/>
            <w:vAlign w:val="center"/>
          </w:tcPr>
          <w:p w14:paraId="65282CD1" w14:textId="75612002"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42.82</w:t>
            </w:r>
          </w:p>
        </w:tc>
      </w:tr>
      <w:tr w:rsidR="008469D5" w:rsidRPr="00EE43C6" w14:paraId="2DEE7B08" w14:textId="77777777" w:rsidTr="006A3316">
        <w:trPr>
          <w:trHeight w:val="284"/>
          <w:jc w:val="center"/>
        </w:trPr>
        <w:tc>
          <w:tcPr>
            <w:tcW w:w="1953" w:type="pct"/>
            <w:vMerge/>
            <w:vAlign w:val="center"/>
          </w:tcPr>
          <w:p w14:paraId="097C419C"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7EEDC4DA"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750</w:t>
            </w:r>
          </w:p>
        </w:tc>
        <w:tc>
          <w:tcPr>
            <w:tcW w:w="1502" w:type="pct"/>
            <w:vAlign w:val="center"/>
          </w:tcPr>
          <w:p w14:paraId="3C68CF0E" w14:textId="2A15EB48"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38.62</w:t>
            </w:r>
          </w:p>
        </w:tc>
      </w:tr>
      <w:tr w:rsidR="008469D5" w:rsidRPr="00EE43C6" w14:paraId="39197162" w14:textId="77777777" w:rsidTr="006A3316">
        <w:trPr>
          <w:trHeight w:val="284"/>
          <w:jc w:val="center"/>
        </w:trPr>
        <w:tc>
          <w:tcPr>
            <w:tcW w:w="1953" w:type="pct"/>
            <w:vMerge/>
            <w:vAlign w:val="center"/>
          </w:tcPr>
          <w:p w14:paraId="30F2A68B"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67EBFBA9"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1,000</w:t>
            </w:r>
          </w:p>
        </w:tc>
        <w:tc>
          <w:tcPr>
            <w:tcW w:w="1502" w:type="pct"/>
            <w:vAlign w:val="center"/>
          </w:tcPr>
          <w:p w14:paraId="76C3E47D" w14:textId="25EFFB0E"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35.58</w:t>
            </w:r>
          </w:p>
        </w:tc>
      </w:tr>
      <w:tr w:rsidR="008469D5" w:rsidRPr="00EE43C6" w14:paraId="5BD7CB54" w14:textId="77777777" w:rsidTr="006A3316">
        <w:trPr>
          <w:trHeight w:val="284"/>
          <w:jc w:val="center"/>
        </w:trPr>
        <w:tc>
          <w:tcPr>
            <w:tcW w:w="1953" w:type="pct"/>
            <w:vMerge/>
            <w:vAlign w:val="center"/>
          </w:tcPr>
          <w:p w14:paraId="201F8775"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749C5896"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2,000</w:t>
            </w:r>
          </w:p>
        </w:tc>
        <w:tc>
          <w:tcPr>
            <w:tcW w:w="1502" w:type="pct"/>
            <w:vAlign w:val="center"/>
          </w:tcPr>
          <w:p w14:paraId="35916C53" w14:textId="027F1005"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28.04</w:t>
            </w:r>
          </w:p>
        </w:tc>
      </w:tr>
      <w:tr w:rsidR="008469D5" w:rsidRPr="00EE43C6" w14:paraId="0509552D" w14:textId="77777777" w:rsidTr="006A3316">
        <w:trPr>
          <w:trHeight w:val="284"/>
          <w:jc w:val="center"/>
        </w:trPr>
        <w:tc>
          <w:tcPr>
            <w:tcW w:w="1953" w:type="pct"/>
            <w:vMerge w:val="restart"/>
            <w:vAlign w:val="center"/>
          </w:tcPr>
          <w:p w14:paraId="28F7A70F" w14:textId="55C328A1"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Concrete Mixer-Water Truck</w:t>
            </w:r>
          </w:p>
        </w:tc>
        <w:tc>
          <w:tcPr>
            <w:tcW w:w="1545" w:type="pct"/>
            <w:vAlign w:val="center"/>
          </w:tcPr>
          <w:p w14:paraId="3FD0B514"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w:t>
            </w:r>
          </w:p>
        </w:tc>
        <w:tc>
          <w:tcPr>
            <w:tcW w:w="1502" w:type="pct"/>
            <w:vAlign w:val="center"/>
          </w:tcPr>
          <w:p w14:paraId="5736D341" w14:textId="5F9651AD"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58.79</w:t>
            </w:r>
          </w:p>
        </w:tc>
      </w:tr>
      <w:tr w:rsidR="008469D5" w:rsidRPr="00EE43C6" w14:paraId="5FAFF41E" w14:textId="77777777" w:rsidTr="006A3316">
        <w:trPr>
          <w:trHeight w:val="284"/>
          <w:jc w:val="center"/>
        </w:trPr>
        <w:tc>
          <w:tcPr>
            <w:tcW w:w="1953" w:type="pct"/>
            <w:vMerge/>
            <w:vAlign w:val="center"/>
          </w:tcPr>
          <w:p w14:paraId="521547E2"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15738D35"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w:t>
            </w:r>
          </w:p>
        </w:tc>
        <w:tc>
          <w:tcPr>
            <w:tcW w:w="1502" w:type="pct"/>
            <w:vAlign w:val="center"/>
          </w:tcPr>
          <w:p w14:paraId="3CB13FB3" w14:textId="24C84D17"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52.48</w:t>
            </w:r>
          </w:p>
        </w:tc>
      </w:tr>
      <w:tr w:rsidR="008469D5" w:rsidRPr="00EE43C6" w14:paraId="0FCE76F2" w14:textId="77777777" w:rsidTr="006A3316">
        <w:trPr>
          <w:trHeight w:val="284"/>
          <w:jc w:val="center"/>
        </w:trPr>
        <w:tc>
          <w:tcPr>
            <w:tcW w:w="1953" w:type="pct"/>
            <w:vMerge/>
            <w:vAlign w:val="center"/>
          </w:tcPr>
          <w:p w14:paraId="7C34FE15"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18046E02"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w:t>
            </w:r>
          </w:p>
        </w:tc>
        <w:tc>
          <w:tcPr>
            <w:tcW w:w="1502" w:type="pct"/>
            <w:vAlign w:val="center"/>
          </w:tcPr>
          <w:p w14:paraId="78F0BA29" w14:textId="334243C6"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43.77</w:t>
            </w:r>
          </w:p>
        </w:tc>
      </w:tr>
      <w:tr w:rsidR="008469D5" w:rsidRPr="00EE43C6" w14:paraId="557FC4AC" w14:textId="77777777" w:rsidTr="006A3316">
        <w:trPr>
          <w:trHeight w:val="284"/>
          <w:jc w:val="center"/>
        </w:trPr>
        <w:tc>
          <w:tcPr>
            <w:tcW w:w="1953" w:type="pct"/>
            <w:vMerge/>
            <w:vAlign w:val="center"/>
          </w:tcPr>
          <w:p w14:paraId="7EB5D4C9"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20B13009"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w:t>
            </w:r>
          </w:p>
        </w:tc>
        <w:tc>
          <w:tcPr>
            <w:tcW w:w="1502" w:type="pct"/>
            <w:vAlign w:val="center"/>
          </w:tcPr>
          <w:p w14:paraId="04DEECAB" w14:textId="102EC34C"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36.82</w:t>
            </w:r>
          </w:p>
        </w:tc>
      </w:tr>
      <w:tr w:rsidR="008469D5" w:rsidRPr="00EE43C6" w14:paraId="4A03A909" w14:textId="77777777" w:rsidTr="006A3316">
        <w:trPr>
          <w:trHeight w:val="284"/>
          <w:jc w:val="center"/>
        </w:trPr>
        <w:tc>
          <w:tcPr>
            <w:tcW w:w="1953" w:type="pct"/>
            <w:vMerge/>
            <w:vAlign w:val="center"/>
          </w:tcPr>
          <w:p w14:paraId="21A8DA2C"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65C67BBC"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750</w:t>
            </w:r>
          </w:p>
        </w:tc>
        <w:tc>
          <w:tcPr>
            <w:tcW w:w="1502" w:type="pct"/>
            <w:vAlign w:val="center"/>
          </w:tcPr>
          <w:p w14:paraId="37647365" w14:textId="6D06EF35"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32.62</w:t>
            </w:r>
          </w:p>
        </w:tc>
      </w:tr>
      <w:tr w:rsidR="008469D5" w:rsidRPr="00EE43C6" w14:paraId="0995E54C" w14:textId="77777777" w:rsidTr="006A3316">
        <w:trPr>
          <w:trHeight w:val="284"/>
          <w:jc w:val="center"/>
        </w:trPr>
        <w:tc>
          <w:tcPr>
            <w:tcW w:w="1953" w:type="pct"/>
            <w:vMerge/>
            <w:vAlign w:val="center"/>
          </w:tcPr>
          <w:p w14:paraId="0978AA3F"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7527DC8B"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1,000</w:t>
            </w:r>
          </w:p>
        </w:tc>
        <w:tc>
          <w:tcPr>
            <w:tcW w:w="1502" w:type="pct"/>
            <w:vAlign w:val="center"/>
          </w:tcPr>
          <w:p w14:paraId="42624D42" w14:textId="3E13B1B9"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29.58</w:t>
            </w:r>
          </w:p>
        </w:tc>
      </w:tr>
      <w:tr w:rsidR="008469D5" w:rsidRPr="00EE43C6" w14:paraId="5D379A76" w14:textId="77777777" w:rsidTr="006A3316">
        <w:trPr>
          <w:trHeight w:val="284"/>
          <w:jc w:val="center"/>
        </w:trPr>
        <w:tc>
          <w:tcPr>
            <w:tcW w:w="1953" w:type="pct"/>
            <w:vMerge/>
            <w:vAlign w:val="center"/>
          </w:tcPr>
          <w:p w14:paraId="568A38B9"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0FAF002E"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2,000</w:t>
            </w:r>
          </w:p>
        </w:tc>
        <w:tc>
          <w:tcPr>
            <w:tcW w:w="1502" w:type="pct"/>
            <w:vAlign w:val="center"/>
          </w:tcPr>
          <w:p w14:paraId="545E2FA3" w14:textId="6737CFC4"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22.04</w:t>
            </w:r>
          </w:p>
        </w:tc>
      </w:tr>
      <w:tr w:rsidR="008469D5" w:rsidRPr="00EE43C6" w14:paraId="22CB264E" w14:textId="77777777" w:rsidTr="006A3316">
        <w:trPr>
          <w:trHeight w:val="284"/>
          <w:jc w:val="center"/>
        </w:trPr>
        <w:tc>
          <w:tcPr>
            <w:tcW w:w="1953" w:type="pct"/>
            <w:vMerge w:val="restart"/>
            <w:vAlign w:val="center"/>
          </w:tcPr>
          <w:p w14:paraId="0F58DDC6" w14:textId="3D9A9AC4"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lastRenderedPageBreak/>
              <w:t>Truck</w:t>
            </w:r>
          </w:p>
        </w:tc>
        <w:tc>
          <w:tcPr>
            <w:tcW w:w="1545" w:type="pct"/>
            <w:vAlign w:val="center"/>
          </w:tcPr>
          <w:p w14:paraId="5F40B58E"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w:t>
            </w:r>
          </w:p>
        </w:tc>
        <w:tc>
          <w:tcPr>
            <w:tcW w:w="1502" w:type="pct"/>
            <w:vAlign w:val="center"/>
          </w:tcPr>
          <w:p w14:paraId="55C98560" w14:textId="632A896A"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67.79</w:t>
            </w:r>
          </w:p>
        </w:tc>
      </w:tr>
      <w:tr w:rsidR="008469D5" w:rsidRPr="00EE43C6" w14:paraId="3D6949D3" w14:textId="77777777" w:rsidTr="006A3316">
        <w:trPr>
          <w:trHeight w:val="284"/>
          <w:jc w:val="center"/>
        </w:trPr>
        <w:tc>
          <w:tcPr>
            <w:tcW w:w="1953" w:type="pct"/>
            <w:vMerge/>
            <w:vAlign w:val="center"/>
          </w:tcPr>
          <w:p w14:paraId="66895148"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3D0013EB"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w:t>
            </w:r>
          </w:p>
        </w:tc>
        <w:tc>
          <w:tcPr>
            <w:tcW w:w="1502" w:type="pct"/>
            <w:vAlign w:val="center"/>
          </w:tcPr>
          <w:p w14:paraId="1113E0B6" w14:textId="71E680F8"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61.48</w:t>
            </w:r>
          </w:p>
        </w:tc>
      </w:tr>
      <w:tr w:rsidR="008469D5" w:rsidRPr="00EE43C6" w14:paraId="7748273E" w14:textId="77777777" w:rsidTr="006A3316">
        <w:trPr>
          <w:trHeight w:val="284"/>
          <w:jc w:val="center"/>
        </w:trPr>
        <w:tc>
          <w:tcPr>
            <w:tcW w:w="1953" w:type="pct"/>
            <w:vMerge/>
            <w:vAlign w:val="center"/>
          </w:tcPr>
          <w:p w14:paraId="0B42007E"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7E199745"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250</w:t>
            </w:r>
          </w:p>
        </w:tc>
        <w:tc>
          <w:tcPr>
            <w:tcW w:w="1502" w:type="pct"/>
            <w:vAlign w:val="center"/>
          </w:tcPr>
          <w:p w14:paraId="5C125250" w14:textId="32EEA5A7"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52.77</w:t>
            </w:r>
          </w:p>
        </w:tc>
      </w:tr>
      <w:tr w:rsidR="008469D5" w:rsidRPr="00EE43C6" w14:paraId="51A7B709" w14:textId="77777777" w:rsidTr="006A3316">
        <w:trPr>
          <w:trHeight w:val="284"/>
          <w:jc w:val="center"/>
        </w:trPr>
        <w:tc>
          <w:tcPr>
            <w:tcW w:w="1953" w:type="pct"/>
            <w:vMerge/>
            <w:vAlign w:val="center"/>
          </w:tcPr>
          <w:p w14:paraId="26167B33"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478108CD"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500</w:t>
            </w:r>
          </w:p>
        </w:tc>
        <w:tc>
          <w:tcPr>
            <w:tcW w:w="1502" w:type="pct"/>
            <w:vAlign w:val="center"/>
          </w:tcPr>
          <w:p w14:paraId="1B45D01D" w14:textId="0855BF61"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45.82</w:t>
            </w:r>
          </w:p>
        </w:tc>
      </w:tr>
      <w:tr w:rsidR="008469D5" w:rsidRPr="00EE43C6" w14:paraId="76948B0D" w14:textId="77777777" w:rsidTr="006A3316">
        <w:trPr>
          <w:trHeight w:val="284"/>
          <w:jc w:val="center"/>
        </w:trPr>
        <w:tc>
          <w:tcPr>
            <w:tcW w:w="1953" w:type="pct"/>
            <w:vMerge/>
            <w:vAlign w:val="center"/>
          </w:tcPr>
          <w:p w14:paraId="2A25AB7D"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02309E60"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750</w:t>
            </w:r>
          </w:p>
        </w:tc>
        <w:tc>
          <w:tcPr>
            <w:tcW w:w="1502" w:type="pct"/>
            <w:vAlign w:val="center"/>
          </w:tcPr>
          <w:p w14:paraId="55AC7263" w14:textId="5C9B9932"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41.62</w:t>
            </w:r>
          </w:p>
        </w:tc>
      </w:tr>
      <w:tr w:rsidR="008469D5" w:rsidRPr="00EE43C6" w14:paraId="19680D89" w14:textId="77777777" w:rsidTr="006A3316">
        <w:trPr>
          <w:trHeight w:val="284"/>
          <w:jc w:val="center"/>
        </w:trPr>
        <w:tc>
          <w:tcPr>
            <w:tcW w:w="1953" w:type="pct"/>
            <w:vMerge/>
            <w:vAlign w:val="center"/>
          </w:tcPr>
          <w:p w14:paraId="3BA75CA5"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1E9A0793"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1,000</w:t>
            </w:r>
          </w:p>
        </w:tc>
        <w:tc>
          <w:tcPr>
            <w:tcW w:w="1502" w:type="pct"/>
            <w:vAlign w:val="center"/>
          </w:tcPr>
          <w:p w14:paraId="50EE7F47" w14:textId="5850EC67"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38.58</w:t>
            </w:r>
          </w:p>
        </w:tc>
      </w:tr>
      <w:tr w:rsidR="008469D5" w:rsidRPr="00EE43C6" w14:paraId="0C0592D8" w14:textId="77777777" w:rsidTr="006A3316">
        <w:trPr>
          <w:trHeight w:val="284"/>
          <w:jc w:val="center"/>
        </w:trPr>
        <w:tc>
          <w:tcPr>
            <w:tcW w:w="1953" w:type="pct"/>
            <w:vMerge/>
            <w:vAlign w:val="center"/>
          </w:tcPr>
          <w:p w14:paraId="47DC0F98" w14:textId="77777777" w:rsidR="008469D5" w:rsidRPr="00EE43C6" w:rsidRDefault="008469D5" w:rsidP="00B625EB">
            <w:pPr>
              <w:spacing w:before="0" w:after="0" w:line="240" w:lineRule="auto"/>
              <w:jc w:val="center"/>
              <w:rPr>
                <w:rFonts w:eastAsia="Arial TUR" w:cs="Arial"/>
                <w:sz w:val="18"/>
                <w:szCs w:val="18"/>
                <w:lang w:eastAsia="en-US"/>
              </w:rPr>
            </w:pPr>
          </w:p>
        </w:tc>
        <w:tc>
          <w:tcPr>
            <w:tcW w:w="1545" w:type="pct"/>
            <w:vAlign w:val="center"/>
          </w:tcPr>
          <w:p w14:paraId="604F175A" w14:textId="77777777" w:rsidR="008469D5" w:rsidRPr="00EE43C6" w:rsidRDefault="008469D5"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2,000</w:t>
            </w:r>
          </w:p>
        </w:tc>
        <w:tc>
          <w:tcPr>
            <w:tcW w:w="1502" w:type="pct"/>
            <w:vAlign w:val="center"/>
          </w:tcPr>
          <w:p w14:paraId="59EB41EA" w14:textId="338A1212" w:rsidR="0022630A" w:rsidRPr="00EE43C6" w:rsidRDefault="00283D07" w:rsidP="00B625EB">
            <w:pPr>
              <w:spacing w:before="0" w:after="0" w:line="240" w:lineRule="auto"/>
              <w:jc w:val="center"/>
              <w:rPr>
                <w:rFonts w:eastAsia="Arial TUR" w:cs="Arial"/>
                <w:sz w:val="18"/>
                <w:szCs w:val="18"/>
                <w:lang w:eastAsia="en-US"/>
              </w:rPr>
            </w:pPr>
            <w:r w:rsidRPr="00EE43C6">
              <w:rPr>
                <w:rFonts w:eastAsia="Arial TUR" w:cs="Arial"/>
                <w:sz w:val="18"/>
                <w:szCs w:val="18"/>
                <w:lang w:eastAsia="en-US"/>
              </w:rPr>
              <w:t>31.04</w:t>
            </w:r>
          </w:p>
        </w:tc>
      </w:tr>
    </w:tbl>
    <w:p w14:paraId="25374EA9" w14:textId="1888B5AF" w:rsidR="00C27A2F" w:rsidRPr="00EE43C6" w:rsidRDefault="001A5949" w:rsidP="002E63D0">
      <w:pPr>
        <w:rPr>
          <w:rFonts w:eastAsia="Arial TUR"/>
          <w:lang w:eastAsia="en-US"/>
        </w:rPr>
      </w:pPr>
      <w:r w:rsidRPr="00EE43C6">
        <w:rPr>
          <w:rFonts w:eastAsia="Arial TUR"/>
          <w:lang w:eastAsia="en-US"/>
        </w:rPr>
        <w:t xml:space="preserve">Equivalent noise levels that will occur if each noise source operates at the same time with the worst-case scenario assumption are calculated and given in </w:t>
      </w:r>
      <w:r w:rsidR="007876C7" w:rsidRPr="00EE43C6">
        <w:rPr>
          <w:rFonts w:eastAsia="Arial TUR"/>
          <w:lang w:eastAsia="en-US"/>
        </w:rPr>
        <w:fldChar w:fldCharType="begin"/>
      </w:r>
      <w:r w:rsidR="007876C7" w:rsidRPr="00EE43C6">
        <w:rPr>
          <w:rFonts w:eastAsia="Arial TUR"/>
          <w:lang w:eastAsia="en-US"/>
        </w:rPr>
        <w:instrText xml:space="preserve"> REF _Ref127981906 \h </w:instrText>
      </w:r>
      <w:r w:rsidR="007876C7" w:rsidRPr="00EE43C6">
        <w:rPr>
          <w:rFonts w:eastAsia="Arial TUR"/>
          <w:lang w:eastAsia="en-US"/>
        </w:rPr>
      </w:r>
      <w:r w:rsidR="007876C7" w:rsidRPr="00EE43C6">
        <w:rPr>
          <w:rFonts w:eastAsia="Arial TUR"/>
          <w:lang w:eastAsia="en-US"/>
        </w:rPr>
        <w:fldChar w:fldCharType="separate"/>
      </w:r>
      <w:r w:rsidR="00DA3EF8" w:rsidRPr="00EE43C6">
        <w:t>Table 6</w:t>
      </w:r>
      <w:r w:rsidR="00DA3EF8" w:rsidRPr="00EE43C6">
        <w:noBreakHyphen/>
        <w:t>28</w:t>
      </w:r>
      <w:r w:rsidR="007876C7" w:rsidRPr="00EE43C6">
        <w:rPr>
          <w:rFonts w:eastAsia="Arial TUR"/>
          <w:lang w:eastAsia="en-US"/>
        </w:rPr>
        <w:fldChar w:fldCharType="end"/>
      </w:r>
      <w:r w:rsidR="001D7A03" w:rsidRPr="00EE43C6">
        <w:rPr>
          <w:rFonts w:eastAsia="Arial TUR"/>
          <w:lang w:eastAsia="en-US"/>
        </w:rPr>
        <w:fldChar w:fldCharType="begin"/>
      </w:r>
      <w:r w:rsidR="001D7A03" w:rsidRPr="00EE43C6">
        <w:rPr>
          <w:rFonts w:eastAsia="Arial TUR"/>
          <w:lang w:eastAsia="en-US"/>
        </w:rPr>
        <w:instrText xml:space="preserve"> REF _Ref126163871 \h </w:instrText>
      </w:r>
      <w:r w:rsidR="001D7A03" w:rsidRPr="00EE43C6">
        <w:rPr>
          <w:rFonts w:eastAsia="Arial TUR"/>
          <w:lang w:eastAsia="en-US"/>
        </w:rPr>
      </w:r>
      <w:r w:rsidR="001D7A03" w:rsidRPr="00EE43C6">
        <w:rPr>
          <w:rFonts w:eastAsia="Arial TUR"/>
          <w:lang w:eastAsia="en-US"/>
        </w:rPr>
        <w:fldChar w:fldCharType="end"/>
      </w:r>
      <w:r w:rsidRPr="00EE43C6">
        <w:rPr>
          <w:rFonts w:eastAsia="Arial TUR"/>
          <w:lang w:eastAsia="en-US"/>
        </w:rPr>
        <w:t>.</w:t>
      </w:r>
    </w:p>
    <w:p w14:paraId="2F805F38" w14:textId="7895705E" w:rsidR="00502304" w:rsidRPr="00EE43C6" w:rsidRDefault="003008ED" w:rsidP="004B65EE">
      <w:pPr>
        <w:spacing w:before="0" w:after="0"/>
        <w:rPr>
          <w:rFonts w:eastAsia="Arial TUR"/>
          <w:lang w:eastAsia="en-US"/>
        </w:rPr>
      </w:pPr>
      <w:r w:rsidRPr="00EE43C6">
        <w:rPr>
          <w:rFonts w:eastAsia="Arial TUR"/>
          <w:noProof/>
        </w:rPr>
        <w:drawing>
          <wp:inline distT="0" distB="0" distL="0" distR="0" wp14:anchorId="5E573A3B" wp14:editId="5361CDD6">
            <wp:extent cx="1505160" cy="543001"/>
            <wp:effectExtent l="0" t="0" r="0" b="9525"/>
            <wp:docPr id="98" name="Resim 9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diagram&#10;&#10;Description automatically generated"/>
                    <pic:cNvPicPr/>
                  </pic:nvPicPr>
                  <pic:blipFill>
                    <a:blip r:embed="rId68"/>
                    <a:stretch>
                      <a:fillRect/>
                    </a:stretch>
                  </pic:blipFill>
                  <pic:spPr>
                    <a:xfrm>
                      <a:off x="0" y="0"/>
                      <a:ext cx="1505160" cy="543001"/>
                    </a:xfrm>
                    <a:prstGeom prst="rect">
                      <a:avLst/>
                    </a:prstGeom>
                  </pic:spPr>
                </pic:pic>
              </a:graphicData>
            </a:graphic>
          </wp:inline>
        </w:drawing>
      </w:r>
    </w:p>
    <w:p w14:paraId="1804B0C6" w14:textId="77777777" w:rsidR="006A3316" w:rsidRPr="00EE43C6" w:rsidRDefault="006A3316" w:rsidP="004B65EE">
      <w:pPr>
        <w:spacing w:before="0" w:after="0"/>
        <w:rPr>
          <w:rFonts w:eastAsia="Arial TUR"/>
          <w:lang w:eastAsia="en-US"/>
        </w:rPr>
      </w:pPr>
    </w:p>
    <w:p w14:paraId="46C3DF6B" w14:textId="4D104CF9" w:rsidR="003008ED" w:rsidRPr="00EE43C6" w:rsidRDefault="001D7A03" w:rsidP="001D7A03">
      <w:pPr>
        <w:pStyle w:val="Caption"/>
        <w:rPr>
          <w:rFonts w:eastAsia="Arial TUR"/>
          <w:noProof w:val="0"/>
        </w:rPr>
      </w:pPr>
      <w:bookmarkStart w:id="608" w:name="_Ref127982070"/>
      <w:bookmarkStart w:id="609" w:name="_Ref126163871"/>
      <w:bookmarkStart w:id="610" w:name="_Toc141445538"/>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6D2DE8">
        <w:t>6</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6D2DE8">
        <w:t>29</w:t>
      </w:r>
      <w:r w:rsidR="006D2DE8">
        <w:rPr>
          <w:noProof w:val="0"/>
        </w:rPr>
        <w:fldChar w:fldCharType="end"/>
      </w:r>
      <w:bookmarkEnd w:id="608"/>
      <w:bookmarkEnd w:id="609"/>
      <w:r w:rsidRPr="00EE43C6">
        <w:rPr>
          <w:noProof w:val="0"/>
        </w:rPr>
        <w:t xml:space="preserve">. </w:t>
      </w:r>
      <w:r w:rsidR="004C1411" w:rsidRPr="00EE43C6">
        <w:rPr>
          <w:b w:val="0"/>
          <w:bCs w:val="0"/>
          <w:noProof w:val="0"/>
          <w:color w:val="auto"/>
        </w:rPr>
        <w:t xml:space="preserve">Estimated </w:t>
      </w:r>
      <w:r w:rsidR="00332DE3" w:rsidRPr="00EE43C6">
        <w:rPr>
          <w:rFonts w:eastAsia="Arial TUR"/>
          <w:b w:val="0"/>
          <w:bCs w:val="0"/>
          <w:noProof w:val="0"/>
          <w:color w:val="auto"/>
        </w:rPr>
        <w:t>L</w:t>
      </w:r>
      <w:r w:rsidR="00332DE3" w:rsidRPr="00EE43C6">
        <w:rPr>
          <w:rFonts w:eastAsia="Arial TUR"/>
          <w:b w:val="0"/>
          <w:noProof w:val="0"/>
          <w:color w:val="auto"/>
        </w:rPr>
        <w:t>day</w:t>
      </w:r>
      <w:r w:rsidR="00332DE3" w:rsidRPr="00EE43C6">
        <w:rPr>
          <w:rFonts w:eastAsia="Arial TUR"/>
          <w:b w:val="0"/>
          <w:bCs w:val="0"/>
          <w:noProof w:val="0"/>
          <w:color w:val="auto"/>
        </w:rPr>
        <w:t xml:space="preserve"> </w:t>
      </w:r>
      <w:r w:rsidR="004B65EE" w:rsidRPr="00EE43C6">
        <w:rPr>
          <w:rFonts w:eastAsia="Arial TUR"/>
          <w:b w:val="0"/>
          <w:bCs w:val="0"/>
          <w:noProof w:val="0"/>
          <w:color w:val="auto"/>
        </w:rPr>
        <w:t xml:space="preserve">Sound Level </w:t>
      </w:r>
      <w:r w:rsidR="00503C98" w:rsidRPr="00EE43C6">
        <w:rPr>
          <w:rFonts w:eastAsia="Arial TUR"/>
          <w:b w:val="0"/>
          <w:bCs w:val="0"/>
          <w:noProof w:val="0"/>
          <w:color w:val="auto"/>
        </w:rPr>
        <w:t>V</w:t>
      </w:r>
      <w:r w:rsidR="00332DE3" w:rsidRPr="00EE43C6">
        <w:rPr>
          <w:rFonts w:eastAsia="Arial TUR"/>
          <w:b w:val="0"/>
          <w:bCs w:val="0"/>
          <w:noProof w:val="0"/>
          <w:color w:val="auto"/>
        </w:rPr>
        <w:t>alues</w:t>
      </w:r>
      <w:r w:rsidR="004C1411" w:rsidRPr="00EE43C6">
        <w:rPr>
          <w:rFonts w:eastAsia="Arial TUR"/>
          <w:b w:val="0"/>
          <w:bCs w:val="0"/>
          <w:noProof w:val="0"/>
          <w:color w:val="auto"/>
        </w:rPr>
        <w:t xml:space="preserve"> and the National and In</w:t>
      </w:r>
      <w:r w:rsidR="00DB009E" w:rsidRPr="00EE43C6">
        <w:rPr>
          <w:rFonts w:eastAsia="Arial TUR"/>
          <w:b w:val="0"/>
          <w:bCs w:val="0"/>
          <w:noProof w:val="0"/>
          <w:color w:val="auto"/>
        </w:rPr>
        <w:t>t</w:t>
      </w:r>
      <w:r w:rsidR="004C1411" w:rsidRPr="00EE43C6">
        <w:rPr>
          <w:rFonts w:eastAsia="Arial TUR"/>
          <w:b w:val="0"/>
          <w:bCs w:val="0"/>
          <w:noProof w:val="0"/>
          <w:color w:val="auto"/>
        </w:rPr>
        <w:t xml:space="preserve">ernational </w:t>
      </w:r>
      <w:r w:rsidR="00090A8E" w:rsidRPr="00EE43C6">
        <w:rPr>
          <w:rFonts w:eastAsia="Arial TUR"/>
          <w:b w:val="0"/>
          <w:bCs w:val="0"/>
          <w:noProof w:val="0"/>
          <w:color w:val="auto"/>
        </w:rPr>
        <w:t xml:space="preserve">Noise </w:t>
      </w:r>
      <w:r w:rsidR="004C1411" w:rsidRPr="00EE43C6">
        <w:rPr>
          <w:rFonts w:eastAsia="Arial TUR"/>
          <w:b w:val="0"/>
          <w:bCs w:val="0"/>
          <w:noProof w:val="0"/>
          <w:color w:val="auto"/>
        </w:rPr>
        <w:t>Limit Value</w:t>
      </w:r>
      <w:r w:rsidR="00B002DC" w:rsidRPr="00EE43C6">
        <w:rPr>
          <w:rFonts w:eastAsia="Arial TUR"/>
          <w:b w:val="0"/>
          <w:bCs w:val="0"/>
          <w:noProof w:val="0"/>
          <w:color w:val="auto"/>
        </w:rPr>
        <w:t>s</w:t>
      </w:r>
      <w:bookmarkEnd w:id="610"/>
    </w:p>
    <w:tbl>
      <w:tblPr>
        <w:tblStyle w:val="TableGrid"/>
        <w:tblW w:w="5000" w:type="pct"/>
        <w:jc w:val="center"/>
        <w:tblLook w:val="04A0" w:firstRow="1" w:lastRow="0" w:firstColumn="1" w:lastColumn="0" w:noHBand="0" w:noVBand="1"/>
      </w:tblPr>
      <w:tblGrid>
        <w:gridCol w:w="1641"/>
        <w:gridCol w:w="1189"/>
        <w:gridCol w:w="3118"/>
        <w:gridCol w:w="3116"/>
      </w:tblGrid>
      <w:tr w:rsidR="00A75629" w:rsidRPr="00EE43C6" w14:paraId="457A9B3C" w14:textId="5835A2AD" w:rsidTr="001E0229">
        <w:trPr>
          <w:trHeight w:val="284"/>
          <w:tblHeader/>
          <w:jc w:val="center"/>
        </w:trPr>
        <w:tc>
          <w:tcPr>
            <w:tcW w:w="905" w:type="pct"/>
            <w:shd w:val="clear" w:color="auto" w:fill="4F81BD"/>
            <w:vAlign w:val="center"/>
          </w:tcPr>
          <w:p w14:paraId="6A80765A" w14:textId="0E7277B5" w:rsidR="00A75629" w:rsidRPr="00EE43C6" w:rsidRDefault="00A75629"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Distance (m)</w:t>
            </w:r>
          </w:p>
        </w:tc>
        <w:tc>
          <w:tcPr>
            <w:tcW w:w="656" w:type="pct"/>
            <w:shd w:val="clear" w:color="auto" w:fill="4F81BD"/>
            <w:vAlign w:val="center"/>
          </w:tcPr>
          <w:p w14:paraId="5D495175" w14:textId="169B0244" w:rsidR="00A75629" w:rsidRPr="00EE43C6" w:rsidRDefault="00A75629"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L</w:t>
            </w:r>
            <w:r w:rsidRPr="00EE43C6">
              <w:rPr>
                <w:rFonts w:eastAsia="Arial TUR"/>
                <w:b/>
                <w:bCs/>
                <w:color w:val="FFFFFF" w:themeColor="background1"/>
                <w:sz w:val="18"/>
                <w:szCs w:val="18"/>
                <w:vertAlign w:val="subscript"/>
                <w:lang w:eastAsia="en-US"/>
              </w:rPr>
              <w:t>day</w:t>
            </w:r>
            <w:r w:rsidRPr="00EE43C6">
              <w:rPr>
                <w:rFonts w:eastAsia="Arial TUR"/>
                <w:b/>
                <w:bCs/>
                <w:color w:val="FFFFFF" w:themeColor="background1"/>
                <w:sz w:val="18"/>
                <w:szCs w:val="18"/>
                <w:lang w:eastAsia="en-US"/>
              </w:rPr>
              <w:t xml:space="preserve"> (dBA)</w:t>
            </w:r>
            <w:r w:rsidR="009B0158" w:rsidRPr="00EE43C6">
              <w:rPr>
                <w:rFonts w:eastAsia="Arial TUR"/>
                <w:b/>
                <w:bCs/>
                <w:color w:val="FFFFFF" w:themeColor="background1"/>
                <w:sz w:val="18"/>
                <w:szCs w:val="18"/>
                <w:lang w:eastAsia="en-US"/>
              </w:rPr>
              <w:t>**</w:t>
            </w:r>
          </w:p>
        </w:tc>
        <w:tc>
          <w:tcPr>
            <w:tcW w:w="1720" w:type="pct"/>
            <w:shd w:val="clear" w:color="auto" w:fill="4F81BD"/>
          </w:tcPr>
          <w:p w14:paraId="617F868F" w14:textId="77777777" w:rsidR="008118F2" w:rsidRPr="00EE43C6" w:rsidRDefault="00A75629"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National Noise Limit Value</w:t>
            </w:r>
          </w:p>
          <w:p w14:paraId="3A37D63D" w14:textId="77777777" w:rsidR="00A75629" w:rsidRPr="00C2662E" w:rsidRDefault="008118F2" w:rsidP="008118F2">
            <w:pPr>
              <w:spacing w:before="0" w:after="0" w:line="240" w:lineRule="auto"/>
              <w:jc w:val="center"/>
              <w:rPr>
                <w:rFonts w:eastAsia="Arial TUR"/>
                <w:b/>
                <w:color w:val="FFFFFF" w:themeColor="background1"/>
                <w:sz w:val="18"/>
                <w:szCs w:val="18"/>
                <w:lang w:eastAsia="en-US"/>
              </w:rPr>
            </w:pPr>
            <w:r w:rsidRPr="00C2662E">
              <w:rPr>
                <w:rFonts w:eastAsia="Arial TUR"/>
                <w:b/>
                <w:color w:val="FFFFFF" w:themeColor="background1"/>
                <w:sz w:val="18"/>
                <w:szCs w:val="18"/>
                <w:lang w:eastAsia="en-US"/>
              </w:rPr>
              <w:t>(dBC)</w:t>
            </w:r>
            <w:r w:rsidR="00662BFD" w:rsidRPr="00C2662E">
              <w:rPr>
                <w:rFonts w:eastAsia="Arial TUR"/>
                <w:b/>
                <w:color w:val="FFFFFF" w:themeColor="background1"/>
                <w:sz w:val="18"/>
                <w:szCs w:val="18"/>
                <w:lang w:eastAsia="en-US"/>
              </w:rPr>
              <w:t>*</w:t>
            </w:r>
          </w:p>
          <w:p w14:paraId="57E5DD17" w14:textId="03338778" w:rsidR="0053016A" w:rsidRPr="00EE43C6" w:rsidRDefault="0053016A" w:rsidP="008118F2">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Daytime (10:00 and 22:00)</w:t>
            </w:r>
          </w:p>
        </w:tc>
        <w:tc>
          <w:tcPr>
            <w:tcW w:w="1720" w:type="pct"/>
            <w:shd w:val="clear" w:color="auto" w:fill="4F81BD"/>
          </w:tcPr>
          <w:p w14:paraId="6E9B9BDA" w14:textId="02F3AABA" w:rsidR="00A75629" w:rsidRPr="00EE43C6" w:rsidRDefault="00A75629"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IFC</w:t>
            </w:r>
            <w:r w:rsidR="00924F1A" w:rsidRPr="00EE43C6">
              <w:rPr>
                <w:rFonts w:eastAsia="Arial TUR"/>
                <w:b/>
                <w:bCs/>
                <w:color w:val="FFFFFF" w:themeColor="background1"/>
                <w:sz w:val="18"/>
                <w:szCs w:val="18"/>
                <w:lang w:eastAsia="en-US"/>
              </w:rPr>
              <w:t xml:space="preserve"> Noise</w:t>
            </w:r>
            <w:r w:rsidRPr="00EE43C6">
              <w:rPr>
                <w:rFonts w:eastAsia="Arial TUR"/>
                <w:b/>
                <w:bCs/>
                <w:color w:val="FFFFFF" w:themeColor="background1"/>
                <w:sz w:val="18"/>
                <w:szCs w:val="18"/>
                <w:lang w:eastAsia="en-US"/>
              </w:rPr>
              <w:t xml:space="preserve"> limit Value, One Hour L</w:t>
            </w:r>
            <w:r w:rsidRPr="00EE43C6">
              <w:rPr>
                <w:rFonts w:eastAsia="Arial TUR"/>
                <w:b/>
                <w:color w:val="FFFFFF" w:themeColor="background1"/>
                <w:sz w:val="18"/>
                <w:szCs w:val="18"/>
                <w:vertAlign w:val="subscript"/>
                <w:lang w:eastAsia="en-US"/>
              </w:rPr>
              <w:t>Aeq</w:t>
            </w:r>
            <w:r w:rsidRPr="00EE43C6">
              <w:rPr>
                <w:rFonts w:eastAsia="Arial TUR"/>
                <w:b/>
                <w:bCs/>
                <w:color w:val="FFFFFF" w:themeColor="background1"/>
                <w:sz w:val="18"/>
                <w:szCs w:val="18"/>
                <w:lang w:eastAsia="en-US"/>
              </w:rPr>
              <w:t xml:space="preserve"> (dBA)</w:t>
            </w:r>
          </w:p>
          <w:p w14:paraId="4CC0E2B7" w14:textId="7F662C54" w:rsidR="00A75629" w:rsidRPr="00EE43C6" w:rsidRDefault="00A75629" w:rsidP="00B625EB">
            <w:pPr>
              <w:spacing w:before="0" w:after="0" w:line="240" w:lineRule="auto"/>
              <w:jc w:val="center"/>
              <w:rPr>
                <w:rFonts w:eastAsia="Arial TUR"/>
                <w:b/>
                <w:bCs/>
                <w:color w:val="FFFFFF" w:themeColor="background1"/>
                <w:sz w:val="18"/>
                <w:szCs w:val="18"/>
                <w:lang w:eastAsia="en-US"/>
              </w:rPr>
            </w:pPr>
            <w:r w:rsidRPr="00EE43C6">
              <w:rPr>
                <w:rFonts w:eastAsia="Arial TUR"/>
                <w:b/>
                <w:bCs/>
                <w:color w:val="FFFFFF" w:themeColor="background1"/>
                <w:sz w:val="18"/>
                <w:szCs w:val="18"/>
                <w:lang w:eastAsia="en-US"/>
              </w:rPr>
              <w:t>Daytime (07:00 – 22:00)</w:t>
            </w:r>
          </w:p>
        </w:tc>
      </w:tr>
      <w:tr w:rsidR="00D2284F" w:rsidRPr="00EE43C6" w14:paraId="4F1F353F" w14:textId="49687D49" w:rsidTr="001E0229">
        <w:trPr>
          <w:trHeight w:val="284"/>
          <w:jc w:val="center"/>
        </w:trPr>
        <w:tc>
          <w:tcPr>
            <w:tcW w:w="905" w:type="pct"/>
            <w:vAlign w:val="center"/>
          </w:tcPr>
          <w:p w14:paraId="0BA2388C" w14:textId="211508DE"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50</w:t>
            </w:r>
          </w:p>
        </w:tc>
        <w:tc>
          <w:tcPr>
            <w:tcW w:w="656" w:type="pct"/>
            <w:vAlign w:val="center"/>
          </w:tcPr>
          <w:p w14:paraId="69600DFA" w14:textId="4CE22B11"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67.22</w:t>
            </w:r>
          </w:p>
        </w:tc>
        <w:tc>
          <w:tcPr>
            <w:tcW w:w="1720" w:type="pct"/>
            <w:vMerge w:val="restart"/>
            <w:vAlign w:val="center"/>
          </w:tcPr>
          <w:p w14:paraId="4AFC987D" w14:textId="43095294" w:rsidR="00D2284F" w:rsidRPr="00EE43C6" w:rsidRDefault="008118F2" w:rsidP="00D2284F">
            <w:pPr>
              <w:spacing w:before="0" w:after="0" w:line="240" w:lineRule="auto"/>
              <w:jc w:val="center"/>
              <w:rPr>
                <w:rFonts w:eastAsia="Arial TUR"/>
                <w:sz w:val="18"/>
                <w:szCs w:val="18"/>
                <w:lang w:eastAsia="en-US"/>
              </w:rPr>
            </w:pPr>
            <w:r w:rsidRPr="00EE43C6">
              <w:rPr>
                <w:rFonts w:eastAsia="Arial TUR"/>
                <w:sz w:val="18"/>
                <w:szCs w:val="18"/>
                <w:lang w:eastAsia="en-US"/>
              </w:rPr>
              <w:t>100</w:t>
            </w:r>
          </w:p>
        </w:tc>
        <w:tc>
          <w:tcPr>
            <w:tcW w:w="1720" w:type="pct"/>
            <w:vMerge w:val="restart"/>
            <w:vAlign w:val="center"/>
          </w:tcPr>
          <w:p w14:paraId="250515BA" w14:textId="2CC9570D"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55*</w:t>
            </w:r>
            <w:r w:rsidR="00BB4D8A" w:rsidRPr="00EE43C6">
              <w:rPr>
                <w:rFonts w:eastAsia="Arial TUR"/>
                <w:sz w:val="18"/>
                <w:szCs w:val="18"/>
                <w:lang w:eastAsia="en-US"/>
              </w:rPr>
              <w:t>**</w:t>
            </w:r>
          </w:p>
        </w:tc>
      </w:tr>
      <w:tr w:rsidR="00D2284F" w:rsidRPr="00EE43C6" w14:paraId="584EF658" w14:textId="2B561453" w:rsidTr="001E0229">
        <w:trPr>
          <w:trHeight w:val="284"/>
          <w:jc w:val="center"/>
        </w:trPr>
        <w:tc>
          <w:tcPr>
            <w:tcW w:w="905" w:type="pct"/>
            <w:vAlign w:val="center"/>
          </w:tcPr>
          <w:p w14:paraId="7B4A7FF5" w14:textId="48BECC48"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100</w:t>
            </w:r>
          </w:p>
        </w:tc>
        <w:tc>
          <w:tcPr>
            <w:tcW w:w="656" w:type="pct"/>
            <w:vAlign w:val="center"/>
          </w:tcPr>
          <w:p w14:paraId="741BE48B" w14:textId="0A3F079D"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60.91</w:t>
            </w:r>
          </w:p>
        </w:tc>
        <w:tc>
          <w:tcPr>
            <w:tcW w:w="1720" w:type="pct"/>
            <w:vMerge/>
          </w:tcPr>
          <w:p w14:paraId="689A7513" w14:textId="77777777" w:rsidR="00D2284F" w:rsidRPr="00EE43C6" w:rsidRDefault="00D2284F" w:rsidP="00B625EB">
            <w:pPr>
              <w:spacing w:before="0" w:after="0" w:line="240" w:lineRule="auto"/>
              <w:jc w:val="center"/>
              <w:rPr>
                <w:rFonts w:eastAsia="Arial TUR"/>
                <w:sz w:val="18"/>
                <w:szCs w:val="18"/>
                <w:lang w:eastAsia="en-US"/>
              </w:rPr>
            </w:pPr>
          </w:p>
        </w:tc>
        <w:tc>
          <w:tcPr>
            <w:tcW w:w="1720" w:type="pct"/>
            <w:vMerge/>
          </w:tcPr>
          <w:p w14:paraId="15210741" w14:textId="77777777" w:rsidR="00D2284F" w:rsidRPr="00EE43C6" w:rsidRDefault="00D2284F" w:rsidP="00B625EB">
            <w:pPr>
              <w:spacing w:before="0" w:after="0" w:line="240" w:lineRule="auto"/>
              <w:jc w:val="center"/>
              <w:rPr>
                <w:rFonts w:eastAsia="Arial TUR"/>
                <w:sz w:val="18"/>
                <w:szCs w:val="18"/>
                <w:lang w:eastAsia="en-US"/>
              </w:rPr>
            </w:pPr>
          </w:p>
        </w:tc>
      </w:tr>
      <w:tr w:rsidR="00D2284F" w:rsidRPr="00EE43C6" w14:paraId="68E2674A" w14:textId="36BE7CE1" w:rsidTr="001E0229">
        <w:trPr>
          <w:trHeight w:val="284"/>
          <w:jc w:val="center"/>
        </w:trPr>
        <w:tc>
          <w:tcPr>
            <w:tcW w:w="905" w:type="pct"/>
            <w:vAlign w:val="center"/>
          </w:tcPr>
          <w:p w14:paraId="684D6C74" w14:textId="4D619160"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350</w:t>
            </w:r>
          </w:p>
        </w:tc>
        <w:tc>
          <w:tcPr>
            <w:tcW w:w="656" w:type="pct"/>
            <w:vAlign w:val="center"/>
          </w:tcPr>
          <w:p w14:paraId="7D4679D9" w14:textId="5D553FE7"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52.21</w:t>
            </w:r>
          </w:p>
        </w:tc>
        <w:tc>
          <w:tcPr>
            <w:tcW w:w="1720" w:type="pct"/>
            <w:vMerge/>
          </w:tcPr>
          <w:p w14:paraId="1AFA561D" w14:textId="77777777" w:rsidR="00D2284F" w:rsidRPr="00EE43C6" w:rsidRDefault="00D2284F" w:rsidP="00B625EB">
            <w:pPr>
              <w:spacing w:before="0" w:after="0" w:line="240" w:lineRule="auto"/>
              <w:jc w:val="center"/>
              <w:rPr>
                <w:rFonts w:eastAsia="Arial TUR"/>
                <w:sz w:val="18"/>
                <w:szCs w:val="18"/>
                <w:lang w:eastAsia="en-US"/>
              </w:rPr>
            </w:pPr>
          </w:p>
        </w:tc>
        <w:tc>
          <w:tcPr>
            <w:tcW w:w="1720" w:type="pct"/>
            <w:vMerge/>
          </w:tcPr>
          <w:p w14:paraId="687774E8" w14:textId="77777777" w:rsidR="00D2284F" w:rsidRPr="00EE43C6" w:rsidRDefault="00D2284F" w:rsidP="00B625EB">
            <w:pPr>
              <w:spacing w:before="0" w:after="0" w:line="240" w:lineRule="auto"/>
              <w:jc w:val="center"/>
              <w:rPr>
                <w:rFonts w:eastAsia="Arial TUR"/>
                <w:sz w:val="18"/>
                <w:szCs w:val="18"/>
                <w:lang w:eastAsia="en-US"/>
              </w:rPr>
            </w:pPr>
          </w:p>
        </w:tc>
      </w:tr>
      <w:tr w:rsidR="00D2284F" w:rsidRPr="00EE43C6" w14:paraId="0E3F4AFE" w14:textId="7B9C4F15" w:rsidTr="001E0229">
        <w:trPr>
          <w:trHeight w:val="284"/>
          <w:jc w:val="center"/>
        </w:trPr>
        <w:tc>
          <w:tcPr>
            <w:tcW w:w="905" w:type="pct"/>
            <w:vAlign w:val="center"/>
          </w:tcPr>
          <w:p w14:paraId="50A16071" w14:textId="72184EEB"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500</w:t>
            </w:r>
          </w:p>
        </w:tc>
        <w:tc>
          <w:tcPr>
            <w:tcW w:w="656" w:type="pct"/>
            <w:vAlign w:val="center"/>
          </w:tcPr>
          <w:p w14:paraId="59FDB1BB" w14:textId="2E540CA0"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45.26</w:t>
            </w:r>
          </w:p>
        </w:tc>
        <w:tc>
          <w:tcPr>
            <w:tcW w:w="1720" w:type="pct"/>
            <w:vMerge/>
          </w:tcPr>
          <w:p w14:paraId="75C189B1" w14:textId="77777777" w:rsidR="00D2284F" w:rsidRPr="00EE43C6" w:rsidRDefault="00D2284F" w:rsidP="00B625EB">
            <w:pPr>
              <w:spacing w:before="0" w:after="0" w:line="240" w:lineRule="auto"/>
              <w:jc w:val="center"/>
              <w:rPr>
                <w:rFonts w:eastAsia="Arial TUR"/>
                <w:sz w:val="18"/>
                <w:szCs w:val="18"/>
                <w:lang w:eastAsia="en-US"/>
              </w:rPr>
            </w:pPr>
          </w:p>
        </w:tc>
        <w:tc>
          <w:tcPr>
            <w:tcW w:w="1720" w:type="pct"/>
            <w:vMerge/>
          </w:tcPr>
          <w:p w14:paraId="4A8DA6C7" w14:textId="77777777" w:rsidR="00D2284F" w:rsidRPr="00EE43C6" w:rsidRDefault="00D2284F" w:rsidP="00B625EB">
            <w:pPr>
              <w:spacing w:before="0" w:after="0" w:line="240" w:lineRule="auto"/>
              <w:jc w:val="center"/>
              <w:rPr>
                <w:rFonts w:eastAsia="Arial TUR"/>
                <w:sz w:val="18"/>
                <w:szCs w:val="18"/>
                <w:lang w:eastAsia="en-US"/>
              </w:rPr>
            </w:pPr>
          </w:p>
        </w:tc>
      </w:tr>
      <w:tr w:rsidR="00D2284F" w:rsidRPr="00EE43C6" w14:paraId="3C22A8F1" w14:textId="0C41D698" w:rsidTr="001E0229">
        <w:trPr>
          <w:trHeight w:val="284"/>
          <w:jc w:val="center"/>
        </w:trPr>
        <w:tc>
          <w:tcPr>
            <w:tcW w:w="905" w:type="pct"/>
            <w:vAlign w:val="center"/>
          </w:tcPr>
          <w:p w14:paraId="2D2CA00E" w14:textId="4C04F6EA"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750</w:t>
            </w:r>
          </w:p>
        </w:tc>
        <w:tc>
          <w:tcPr>
            <w:tcW w:w="656" w:type="pct"/>
            <w:vAlign w:val="center"/>
          </w:tcPr>
          <w:p w14:paraId="24051241" w14:textId="1A622731"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41.05</w:t>
            </w:r>
          </w:p>
        </w:tc>
        <w:tc>
          <w:tcPr>
            <w:tcW w:w="1720" w:type="pct"/>
            <w:vMerge/>
          </w:tcPr>
          <w:p w14:paraId="1AEE5231" w14:textId="77777777" w:rsidR="00D2284F" w:rsidRPr="00EE43C6" w:rsidRDefault="00D2284F" w:rsidP="00B625EB">
            <w:pPr>
              <w:spacing w:before="0" w:after="0" w:line="240" w:lineRule="auto"/>
              <w:jc w:val="center"/>
              <w:rPr>
                <w:rFonts w:eastAsia="Arial TUR"/>
                <w:sz w:val="18"/>
                <w:szCs w:val="18"/>
                <w:lang w:eastAsia="en-US"/>
              </w:rPr>
            </w:pPr>
          </w:p>
        </w:tc>
        <w:tc>
          <w:tcPr>
            <w:tcW w:w="1720" w:type="pct"/>
            <w:vMerge/>
          </w:tcPr>
          <w:p w14:paraId="6C39207E" w14:textId="77777777" w:rsidR="00D2284F" w:rsidRPr="00EE43C6" w:rsidRDefault="00D2284F" w:rsidP="00B625EB">
            <w:pPr>
              <w:spacing w:before="0" w:after="0" w:line="240" w:lineRule="auto"/>
              <w:jc w:val="center"/>
              <w:rPr>
                <w:rFonts w:eastAsia="Arial TUR"/>
                <w:sz w:val="18"/>
                <w:szCs w:val="18"/>
                <w:lang w:eastAsia="en-US"/>
              </w:rPr>
            </w:pPr>
          </w:p>
        </w:tc>
      </w:tr>
      <w:tr w:rsidR="00D2284F" w:rsidRPr="00EE43C6" w14:paraId="2D18B000" w14:textId="17B8F344" w:rsidTr="001E0229">
        <w:trPr>
          <w:trHeight w:val="284"/>
          <w:jc w:val="center"/>
        </w:trPr>
        <w:tc>
          <w:tcPr>
            <w:tcW w:w="905" w:type="pct"/>
            <w:vAlign w:val="center"/>
          </w:tcPr>
          <w:p w14:paraId="18B7F068" w14:textId="39AC33CD"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1,000</w:t>
            </w:r>
          </w:p>
        </w:tc>
        <w:tc>
          <w:tcPr>
            <w:tcW w:w="656" w:type="pct"/>
            <w:vAlign w:val="center"/>
          </w:tcPr>
          <w:p w14:paraId="638E8ADD" w14:textId="4D0CC190"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38.02</w:t>
            </w:r>
          </w:p>
        </w:tc>
        <w:tc>
          <w:tcPr>
            <w:tcW w:w="1720" w:type="pct"/>
            <w:vMerge/>
          </w:tcPr>
          <w:p w14:paraId="00071112" w14:textId="77777777" w:rsidR="00D2284F" w:rsidRPr="00EE43C6" w:rsidRDefault="00D2284F" w:rsidP="00B625EB">
            <w:pPr>
              <w:spacing w:before="0" w:after="0" w:line="240" w:lineRule="auto"/>
              <w:jc w:val="center"/>
              <w:rPr>
                <w:rFonts w:eastAsia="Arial TUR"/>
                <w:sz w:val="18"/>
                <w:szCs w:val="18"/>
                <w:lang w:eastAsia="en-US"/>
              </w:rPr>
            </w:pPr>
          </w:p>
        </w:tc>
        <w:tc>
          <w:tcPr>
            <w:tcW w:w="1720" w:type="pct"/>
            <w:vMerge/>
          </w:tcPr>
          <w:p w14:paraId="0AF35872" w14:textId="77777777" w:rsidR="00D2284F" w:rsidRPr="00EE43C6" w:rsidRDefault="00D2284F" w:rsidP="00B625EB">
            <w:pPr>
              <w:spacing w:before="0" w:after="0" w:line="240" w:lineRule="auto"/>
              <w:jc w:val="center"/>
              <w:rPr>
                <w:rFonts w:eastAsia="Arial TUR"/>
                <w:sz w:val="18"/>
                <w:szCs w:val="18"/>
                <w:lang w:eastAsia="en-US"/>
              </w:rPr>
            </w:pPr>
          </w:p>
        </w:tc>
      </w:tr>
      <w:tr w:rsidR="00D2284F" w:rsidRPr="00EE43C6" w14:paraId="3A98E3FD" w14:textId="4B30A652" w:rsidTr="001E0229">
        <w:trPr>
          <w:trHeight w:val="284"/>
          <w:jc w:val="center"/>
        </w:trPr>
        <w:tc>
          <w:tcPr>
            <w:tcW w:w="905" w:type="pct"/>
            <w:vAlign w:val="center"/>
          </w:tcPr>
          <w:p w14:paraId="2724C98B" w14:textId="1569750D"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2,000</w:t>
            </w:r>
          </w:p>
        </w:tc>
        <w:tc>
          <w:tcPr>
            <w:tcW w:w="656" w:type="pct"/>
            <w:vAlign w:val="center"/>
          </w:tcPr>
          <w:p w14:paraId="49548F4B" w14:textId="211EF57E" w:rsidR="00D2284F" w:rsidRPr="00EE43C6" w:rsidRDefault="00D2284F" w:rsidP="00B625EB">
            <w:pPr>
              <w:spacing w:before="0" w:after="0" w:line="240" w:lineRule="auto"/>
              <w:jc w:val="center"/>
              <w:rPr>
                <w:rFonts w:eastAsia="Arial TUR"/>
                <w:sz w:val="18"/>
                <w:szCs w:val="18"/>
                <w:lang w:eastAsia="en-US"/>
              </w:rPr>
            </w:pPr>
            <w:r w:rsidRPr="00EE43C6">
              <w:rPr>
                <w:rFonts w:eastAsia="Arial TUR"/>
                <w:sz w:val="18"/>
                <w:szCs w:val="18"/>
                <w:lang w:eastAsia="en-US"/>
              </w:rPr>
              <w:t>30.48</w:t>
            </w:r>
          </w:p>
        </w:tc>
        <w:tc>
          <w:tcPr>
            <w:tcW w:w="1720" w:type="pct"/>
            <w:vMerge/>
          </w:tcPr>
          <w:p w14:paraId="07449965" w14:textId="77777777" w:rsidR="00D2284F" w:rsidRPr="00EE43C6" w:rsidRDefault="00D2284F" w:rsidP="00B625EB">
            <w:pPr>
              <w:spacing w:before="0" w:after="0" w:line="240" w:lineRule="auto"/>
              <w:jc w:val="center"/>
              <w:rPr>
                <w:rFonts w:eastAsia="Arial TUR"/>
                <w:sz w:val="18"/>
                <w:szCs w:val="18"/>
                <w:lang w:eastAsia="en-US"/>
              </w:rPr>
            </w:pPr>
          </w:p>
        </w:tc>
        <w:tc>
          <w:tcPr>
            <w:tcW w:w="1720" w:type="pct"/>
            <w:vMerge/>
          </w:tcPr>
          <w:p w14:paraId="038A0BD6" w14:textId="77777777" w:rsidR="00D2284F" w:rsidRPr="00EE43C6" w:rsidRDefault="00D2284F" w:rsidP="00B625EB">
            <w:pPr>
              <w:spacing w:before="0" w:after="0" w:line="240" w:lineRule="auto"/>
              <w:jc w:val="center"/>
              <w:rPr>
                <w:rFonts w:eastAsia="Arial TUR"/>
                <w:sz w:val="18"/>
                <w:szCs w:val="18"/>
                <w:lang w:eastAsia="en-US"/>
              </w:rPr>
            </w:pPr>
          </w:p>
        </w:tc>
      </w:tr>
    </w:tbl>
    <w:p w14:paraId="7D389141" w14:textId="5539E3EF" w:rsidR="00BB4D8A" w:rsidRPr="001E0229" w:rsidRDefault="00EB0BC9" w:rsidP="001E0229">
      <w:pPr>
        <w:spacing w:before="60" w:after="60" w:line="240" w:lineRule="auto"/>
        <w:rPr>
          <w:rFonts w:eastAsia="Arial TUR"/>
          <w:i/>
          <w:iCs/>
          <w:sz w:val="16"/>
          <w:szCs w:val="16"/>
          <w:lang w:eastAsia="en-US"/>
        </w:rPr>
      </w:pPr>
      <w:r w:rsidRPr="001E0229">
        <w:rPr>
          <w:rFonts w:eastAsia="Arial TUR"/>
          <w:i/>
          <w:iCs/>
          <w:sz w:val="16"/>
          <w:szCs w:val="16"/>
          <w:lang w:eastAsia="en-US"/>
        </w:rPr>
        <w:t>* Maximum impact noise: The largest value of the C-weighted rms-based sound level during the measurement period, measured in dBC,</w:t>
      </w:r>
    </w:p>
    <w:p w14:paraId="565CF1A3" w14:textId="14BEB5D1" w:rsidR="00662BFD" w:rsidRPr="001E0229" w:rsidRDefault="00662BFD" w:rsidP="001E0229">
      <w:pPr>
        <w:spacing w:before="60" w:after="60" w:line="240" w:lineRule="auto"/>
        <w:rPr>
          <w:rFonts w:eastAsia="Arial TUR"/>
          <w:i/>
          <w:iCs/>
          <w:sz w:val="16"/>
          <w:szCs w:val="16"/>
          <w:lang w:eastAsia="en-US"/>
        </w:rPr>
      </w:pPr>
      <w:r w:rsidRPr="001E0229">
        <w:rPr>
          <w:rFonts w:eastAsia="Arial TUR"/>
          <w:i/>
          <w:iCs/>
          <w:sz w:val="16"/>
          <w:szCs w:val="16"/>
          <w:lang w:eastAsia="en-US"/>
        </w:rPr>
        <w:t xml:space="preserve">** A-weighted sound pressure level: An odd-numbered sound </w:t>
      </w:r>
      <w:r w:rsidR="00036B86" w:rsidRPr="001E0229">
        <w:rPr>
          <w:rFonts w:eastAsia="Arial TUR"/>
          <w:i/>
          <w:iCs/>
          <w:sz w:val="16"/>
          <w:szCs w:val="16"/>
          <w:lang w:eastAsia="en-US"/>
        </w:rPr>
        <w:t xml:space="preserve">level unit </w:t>
      </w:r>
      <w:r w:rsidRPr="001E0229">
        <w:rPr>
          <w:rFonts w:eastAsia="Arial TUR"/>
          <w:i/>
          <w:iCs/>
          <w:sz w:val="16"/>
          <w:szCs w:val="16"/>
          <w:lang w:eastAsia="en-US"/>
        </w:rPr>
        <w:t xml:space="preserve">obtained with the help of the A-weighting network, which is widely used in noise control and gives more weight to the middle and high frequencies, where the human hearing system is most sensitive to low-pressure </w:t>
      </w:r>
      <w:r w:rsidR="00036B86" w:rsidRPr="001E0229">
        <w:rPr>
          <w:rFonts w:eastAsia="Arial TUR"/>
          <w:i/>
          <w:iCs/>
          <w:sz w:val="16"/>
          <w:szCs w:val="16"/>
          <w:lang w:eastAsia="en-US"/>
        </w:rPr>
        <w:t>sounds and</w:t>
      </w:r>
      <w:r w:rsidRPr="001E0229">
        <w:rPr>
          <w:rFonts w:eastAsia="Arial TUR"/>
          <w:i/>
          <w:iCs/>
          <w:sz w:val="16"/>
          <w:szCs w:val="16"/>
          <w:lang w:eastAsia="en-US"/>
        </w:rPr>
        <w:t xml:space="preserve"> determines the effect from noise.</w:t>
      </w:r>
    </w:p>
    <w:p w14:paraId="68D056F8" w14:textId="3001D7B3" w:rsidR="00A64251" w:rsidRPr="001E0229" w:rsidRDefault="00A64251" w:rsidP="001E0229">
      <w:pPr>
        <w:spacing w:before="60" w:line="240" w:lineRule="auto"/>
        <w:rPr>
          <w:rFonts w:eastAsia="Arial TUR"/>
          <w:i/>
          <w:iCs/>
          <w:sz w:val="16"/>
          <w:szCs w:val="16"/>
          <w:lang w:eastAsia="en-US"/>
        </w:rPr>
      </w:pPr>
      <w:r w:rsidRPr="001E0229">
        <w:rPr>
          <w:rFonts w:eastAsia="Arial TUR"/>
          <w:i/>
          <w:iCs/>
          <w:sz w:val="16"/>
          <w:szCs w:val="16"/>
          <w:lang w:eastAsia="en-US"/>
        </w:rPr>
        <w:t>*</w:t>
      </w:r>
      <w:r w:rsidR="00BB4D8A" w:rsidRPr="001E0229">
        <w:rPr>
          <w:rFonts w:eastAsia="Arial TUR"/>
          <w:i/>
          <w:iCs/>
          <w:sz w:val="16"/>
          <w:szCs w:val="16"/>
          <w:lang w:eastAsia="en-US"/>
        </w:rPr>
        <w:t>**</w:t>
      </w:r>
      <w:r w:rsidRPr="001E0229">
        <w:rPr>
          <w:i/>
          <w:iCs/>
          <w:sz w:val="16"/>
          <w:szCs w:val="16"/>
        </w:rPr>
        <w:t xml:space="preserve"> </w:t>
      </w:r>
      <w:r w:rsidRPr="001E0229">
        <w:rPr>
          <w:rFonts w:eastAsia="Arial TUR"/>
          <w:i/>
          <w:iCs/>
          <w:sz w:val="16"/>
          <w:szCs w:val="16"/>
          <w:lang w:eastAsia="en-US"/>
        </w:rPr>
        <w:t xml:space="preserve">Noise impacts should not exceed the level presented in </w:t>
      </w:r>
      <w:r w:rsidR="00FE30C6" w:rsidRPr="001E0229">
        <w:rPr>
          <w:rFonts w:eastAsia="Arial TUR"/>
          <w:i/>
          <w:iCs/>
          <w:sz w:val="16"/>
          <w:szCs w:val="16"/>
          <w:lang w:eastAsia="en-US"/>
        </w:rPr>
        <w:fldChar w:fldCharType="begin"/>
      </w:r>
      <w:r w:rsidR="00FE30C6" w:rsidRPr="001E0229">
        <w:rPr>
          <w:rFonts w:eastAsia="Arial TUR"/>
          <w:i/>
          <w:iCs/>
          <w:sz w:val="16"/>
          <w:szCs w:val="16"/>
          <w:lang w:eastAsia="en-US"/>
        </w:rPr>
        <w:instrText xml:space="preserve"> REF _Ref126163871 \h </w:instrText>
      </w:r>
      <w:r w:rsidR="00D301BB" w:rsidRPr="001E0229">
        <w:rPr>
          <w:rFonts w:eastAsia="Arial TUR"/>
          <w:i/>
          <w:iCs/>
          <w:sz w:val="16"/>
          <w:szCs w:val="16"/>
          <w:lang w:eastAsia="en-US"/>
        </w:rPr>
        <w:instrText xml:space="preserve"> \* MERGEFORMAT </w:instrText>
      </w:r>
      <w:r w:rsidR="00FE30C6" w:rsidRPr="001E0229">
        <w:rPr>
          <w:rFonts w:eastAsia="Arial TUR"/>
          <w:i/>
          <w:iCs/>
          <w:sz w:val="16"/>
          <w:szCs w:val="16"/>
          <w:lang w:eastAsia="en-US"/>
        </w:rPr>
      </w:r>
      <w:r w:rsidR="00FE30C6" w:rsidRPr="001E0229">
        <w:rPr>
          <w:rFonts w:eastAsia="Arial TUR"/>
          <w:i/>
          <w:iCs/>
          <w:sz w:val="16"/>
          <w:szCs w:val="16"/>
          <w:lang w:eastAsia="en-US"/>
        </w:rPr>
        <w:fldChar w:fldCharType="separate"/>
      </w:r>
      <w:r w:rsidR="001E0229" w:rsidRPr="001E0229">
        <w:rPr>
          <w:i/>
          <w:iCs/>
          <w:sz w:val="16"/>
          <w:szCs w:val="16"/>
        </w:rPr>
        <w:t>Table 6</w:t>
      </w:r>
      <w:r w:rsidR="001E0229" w:rsidRPr="001E0229">
        <w:rPr>
          <w:i/>
          <w:iCs/>
          <w:sz w:val="16"/>
          <w:szCs w:val="16"/>
        </w:rPr>
        <w:noBreakHyphen/>
        <w:t>29</w:t>
      </w:r>
      <w:r w:rsidR="00FE30C6" w:rsidRPr="001E0229">
        <w:rPr>
          <w:rFonts w:eastAsia="Arial TUR"/>
          <w:i/>
          <w:iCs/>
          <w:sz w:val="16"/>
          <w:szCs w:val="16"/>
          <w:lang w:eastAsia="en-US"/>
        </w:rPr>
        <w:fldChar w:fldCharType="end"/>
      </w:r>
      <w:r w:rsidRPr="001E0229">
        <w:rPr>
          <w:rFonts w:eastAsia="Arial TUR"/>
          <w:i/>
          <w:iCs/>
          <w:sz w:val="16"/>
          <w:szCs w:val="16"/>
          <w:lang w:eastAsia="en-US"/>
        </w:rPr>
        <w:t>, or result in a maximum increase in background levels of 3 dB at the nearest receptor location off-site</w:t>
      </w:r>
      <w:r w:rsidR="00D301BB" w:rsidRPr="001E0229">
        <w:rPr>
          <w:rFonts w:eastAsia="Arial TUR"/>
          <w:i/>
          <w:iCs/>
          <w:sz w:val="16"/>
          <w:szCs w:val="16"/>
          <w:lang w:eastAsia="en-US"/>
        </w:rPr>
        <w:t>.</w:t>
      </w:r>
    </w:p>
    <w:p w14:paraId="5A844955" w14:textId="5BBE2294" w:rsidR="006547E2" w:rsidRPr="00EE43C6" w:rsidRDefault="006547E2" w:rsidP="006547E2">
      <w:pPr>
        <w:rPr>
          <w:rFonts w:eastAsia="Arial TUR"/>
          <w:lang w:eastAsia="en-US"/>
        </w:rPr>
      </w:pPr>
      <w:r w:rsidRPr="00EE43C6">
        <w:rPr>
          <w:rFonts w:eastAsia="Arial TUR"/>
          <w:lang w:eastAsia="en-US"/>
        </w:rPr>
        <w:t>The closest settlements to</w:t>
      </w:r>
      <w:r w:rsidR="00E60AEE" w:rsidRPr="00EE43C6">
        <w:rPr>
          <w:rFonts w:eastAsia="Arial TUR"/>
          <w:lang w:eastAsia="en-US"/>
        </w:rPr>
        <w:t xml:space="preserve"> the </w:t>
      </w:r>
      <w:r w:rsidRPr="00EE43C6">
        <w:rPr>
          <w:rFonts w:eastAsia="Arial TUR"/>
          <w:lang w:eastAsia="en-US"/>
        </w:rPr>
        <w:t xml:space="preserve">Project Area are Kurbanlı </w:t>
      </w:r>
      <w:r w:rsidR="00640757" w:rsidRPr="00EE43C6">
        <w:rPr>
          <w:rFonts w:eastAsia="Arial TUR"/>
          <w:lang w:eastAsia="en-US"/>
        </w:rPr>
        <w:t>Neighbourhood</w:t>
      </w:r>
      <w:r w:rsidRPr="00EE43C6">
        <w:rPr>
          <w:rFonts w:eastAsia="Arial TUR"/>
          <w:lang w:eastAsia="en-US"/>
        </w:rPr>
        <w:t xml:space="preserve"> approximately 375 meters </w:t>
      </w:r>
      <w:r w:rsidR="4B0DB91E" w:rsidRPr="00EE43C6">
        <w:rPr>
          <w:rFonts w:eastAsia="Arial TUR"/>
          <w:lang w:eastAsia="en-US"/>
        </w:rPr>
        <w:t xml:space="preserve">to the </w:t>
      </w:r>
      <w:r w:rsidRPr="00EE43C6">
        <w:rPr>
          <w:rFonts w:eastAsia="Arial TUR"/>
          <w:lang w:eastAsia="en-US"/>
        </w:rPr>
        <w:t xml:space="preserve"> south, Sağlıklı </w:t>
      </w:r>
      <w:r w:rsidR="00640757" w:rsidRPr="00EE43C6">
        <w:rPr>
          <w:rFonts w:eastAsia="Arial TUR"/>
          <w:lang w:eastAsia="en-US"/>
        </w:rPr>
        <w:t>Neighbourhood</w:t>
      </w:r>
      <w:r w:rsidRPr="00EE43C6">
        <w:rPr>
          <w:rFonts w:eastAsia="Arial TUR"/>
          <w:lang w:eastAsia="en-US"/>
        </w:rPr>
        <w:t xml:space="preserve"> approximately 465 meters </w:t>
      </w:r>
      <w:r w:rsidR="478F1247" w:rsidRPr="00EE43C6">
        <w:rPr>
          <w:rFonts w:eastAsia="Arial TUR"/>
          <w:lang w:eastAsia="en-US"/>
        </w:rPr>
        <w:t xml:space="preserve">to the </w:t>
      </w:r>
      <w:r w:rsidRPr="00EE43C6">
        <w:rPr>
          <w:rFonts w:eastAsia="Arial TUR"/>
          <w:lang w:eastAsia="en-US"/>
        </w:rPr>
        <w:t xml:space="preserve"> west and Eskişehir </w:t>
      </w:r>
      <w:r w:rsidR="00640757" w:rsidRPr="00EE43C6">
        <w:rPr>
          <w:rFonts w:eastAsia="Arial TUR"/>
          <w:lang w:eastAsia="en-US"/>
        </w:rPr>
        <w:t>Neighbourhood</w:t>
      </w:r>
      <w:r w:rsidRPr="00EE43C6">
        <w:rPr>
          <w:rFonts w:eastAsia="Arial TUR"/>
          <w:lang w:eastAsia="en-US"/>
        </w:rPr>
        <w:t xml:space="preserve"> 702 meters </w:t>
      </w:r>
      <w:r w:rsidR="0C17DEEC" w:rsidRPr="00EE43C6">
        <w:rPr>
          <w:rFonts w:eastAsia="Arial TUR"/>
          <w:lang w:eastAsia="en-US"/>
        </w:rPr>
        <w:t xml:space="preserve">to the </w:t>
      </w:r>
      <w:r w:rsidRPr="00EE43C6">
        <w:rPr>
          <w:rFonts w:eastAsia="Arial TUR"/>
          <w:lang w:eastAsia="en-US"/>
        </w:rPr>
        <w:t xml:space="preserve"> east. The quarries operate at </w:t>
      </w:r>
      <w:r w:rsidR="034C07EC" w:rsidRPr="00EE43C6">
        <w:rPr>
          <w:rFonts w:eastAsia="Arial TUR"/>
          <w:lang w:eastAsia="en-US"/>
        </w:rPr>
        <w:t xml:space="preserve">least </w:t>
      </w:r>
      <w:r w:rsidRPr="00EE43C6">
        <w:rPr>
          <w:rFonts w:eastAsia="Arial TUR"/>
          <w:lang w:eastAsia="en-US"/>
        </w:rPr>
        <w:t xml:space="preserve"> 30 meters west of the Project Area and the house </w:t>
      </w:r>
      <w:r w:rsidR="16560795" w:rsidRPr="00EE43C6">
        <w:rPr>
          <w:rFonts w:eastAsia="Arial TUR"/>
          <w:lang w:eastAsia="en-US"/>
        </w:rPr>
        <w:t xml:space="preserve">identified </w:t>
      </w:r>
      <w:r w:rsidRPr="00EE43C6">
        <w:rPr>
          <w:rFonts w:eastAsia="Arial TUR"/>
          <w:lang w:eastAsia="en-US"/>
        </w:rPr>
        <w:t xml:space="preserve">as closest sensitive receptor  </w:t>
      </w:r>
      <w:r w:rsidR="622E685F" w:rsidRPr="00EE43C6">
        <w:rPr>
          <w:rFonts w:eastAsia="Arial TUR"/>
          <w:lang w:eastAsia="en-US"/>
        </w:rPr>
        <w:t>i</w:t>
      </w:r>
      <w:r w:rsidRPr="00EE43C6">
        <w:rPr>
          <w:rFonts w:eastAsia="Arial TUR"/>
          <w:lang w:eastAsia="en-US"/>
        </w:rPr>
        <w:t xml:space="preserve">s </w:t>
      </w:r>
      <w:r w:rsidR="4978C6F1" w:rsidRPr="00EE43C6">
        <w:rPr>
          <w:rFonts w:eastAsia="Arial TUR"/>
          <w:lang w:eastAsia="en-US"/>
        </w:rPr>
        <w:t xml:space="preserve">located </w:t>
      </w:r>
      <w:r w:rsidRPr="00EE43C6">
        <w:rPr>
          <w:rFonts w:eastAsia="Arial TUR"/>
          <w:lang w:eastAsia="en-US"/>
        </w:rPr>
        <w:t xml:space="preserve"> 23 meters southwest of the Project Area (see </w:t>
      </w:r>
      <w:r w:rsidRPr="00EE43C6">
        <w:rPr>
          <w:rFonts w:eastAsia="Arial TUR"/>
          <w:lang w:eastAsia="en-US"/>
        </w:rPr>
        <w:fldChar w:fldCharType="begin"/>
      </w:r>
      <w:r w:rsidRPr="00EE43C6">
        <w:rPr>
          <w:rFonts w:eastAsia="Arial TUR"/>
          <w:lang w:eastAsia="en-US"/>
        </w:rPr>
        <w:instrText xml:space="preserve"> REF _Ref124778818 \h  \* MERGEFORMAT </w:instrText>
      </w:r>
      <w:r w:rsidRPr="00EE43C6">
        <w:rPr>
          <w:rFonts w:eastAsia="Arial TUR"/>
          <w:lang w:eastAsia="en-US"/>
        </w:rPr>
      </w:r>
      <w:r w:rsidRPr="00EE43C6">
        <w:rPr>
          <w:rFonts w:eastAsia="Arial TUR"/>
          <w:lang w:eastAsia="en-US"/>
        </w:rPr>
        <w:fldChar w:fldCharType="separate"/>
      </w:r>
      <w:r w:rsidR="00D26BA9" w:rsidRPr="00EE43C6">
        <w:rPr>
          <w:rFonts w:eastAsia="Arial TUR"/>
          <w:lang w:eastAsia="en-US"/>
        </w:rPr>
        <w:t>Figure 2</w:t>
      </w:r>
      <w:r w:rsidR="00D26BA9" w:rsidRPr="00EE43C6">
        <w:rPr>
          <w:rFonts w:eastAsia="Arial TUR"/>
          <w:lang w:eastAsia="en-US"/>
        </w:rPr>
        <w:noBreakHyphen/>
        <w:t>5</w:t>
      </w:r>
      <w:r w:rsidRPr="00EE43C6">
        <w:rPr>
          <w:rFonts w:eastAsia="Arial TUR"/>
          <w:lang w:eastAsia="en-US"/>
        </w:rPr>
        <w:fldChar w:fldCharType="end"/>
      </w:r>
      <w:r w:rsidRPr="00EE43C6">
        <w:rPr>
          <w:rFonts w:eastAsia="Arial TUR"/>
          <w:lang w:eastAsia="en-US"/>
        </w:rPr>
        <w:t>).</w:t>
      </w:r>
    </w:p>
    <w:p w14:paraId="751E3236" w14:textId="1E6488C8" w:rsidR="00E60AEE" w:rsidRPr="00EE43C6" w:rsidRDefault="00C46E18" w:rsidP="002E63D0">
      <w:pPr>
        <w:rPr>
          <w:rFonts w:eastAsia="Arial TUR"/>
          <w:lang w:eastAsia="en-US"/>
        </w:rPr>
      </w:pPr>
      <w:r w:rsidRPr="00EE43C6">
        <w:rPr>
          <w:rFonts w:eastAsia="Arial TUR"/>
          <w:lang w:eastAsia="en-US"/>
        </w:rPr>
        <w:t xml:space="preserve">As seen in </w:t>
      </w:r>
      <w:r w:rsidR="00D26BA9" w:rsidRPr="00EE43C6">
        <w:rPr>
          <w:rFonts w:eastAsia="Arial TUR"/>
          <w:lang w:eastAsia="en-US"/>
        </w:rPr>
        <w:fldChar w:fldCharType="begin"/>
      </w:r>
      <w:r w:rsidR="00D26BA9" w:rsidRPr="00EE43C6">
        <w:rPr>
          <w:rFonts w:eastAsia="Arial TUR"/>
          <w:lang w:eastAsia="en-US"/>
        </w:rPr>
        <w:instrText xml:space="preserve"> REF _Ref127982070 \h </w:instrText>
      </w:r>
      <w:r w:rsidR="00D26BA9" w:rsidRPr="00EE43C6">
        <w:rPr>
          <w:rFonts w:eastAsia="Arial TUR"/>
          <w:lang w:eastAsia="en-US"/>
        </w:rPr>
      </w:r>
      <w:r w:rsidR="00D26BA9" w:rsidRPr="00EE43C6">
        <w:rPr>
          <w:rFonts w:eastAsia="Arial TUR"/>
          <w:lang w:eastAsia="en-US"/>
        </w:rPr>
        <w:fldChar w:fldCharType="separate"/>
      </w:r>
      <w:r w:rsidR="00EE2108" w:rsidRPr="00EE43C6">
        <w:t>Table 6</w:t>
      </w:r>
      <w:r w:rsidR="00EE2108" w:rsidRPr="00EE43C6">
        <w:noBreakHyphen/>
        <w:t>29</w:t>
      </w:r>
      <w:r w:rsidR="00D26BA9" w:rsidRPr="00EE43C6">
        <w:rPr>
          <w:rFonts w:eastAsia="Arial TUR"/>
          <w:lang w:eastAsia="en-US"/>
        </w:rPr>
        <w:fldChar w:fldCharType="end"/>
      </w:r>
      <w:r w:rsidRPr="00EE43C6">
        <w:rPr>
          <w:rFonts w:eastAsia="Arial TUR"/>
          <w:lang w:eastAsia="en-US"/>
        </w:rPr>
        <w:fldChar w:fldCharType="begin"/>
      </w:r>
      <w:r w:rsidRPr="00EE43C6">
        <w:rPr>
          <w:rFonts w:eastAsia="Arial TUR"/>
          <w:lang w:eastAsia="en-US"/>
        </w:rPr>
        <w:instrText xml:space="preserve"> REF _Ref126163871 \h </w:instrText>
      </w:r>
      <w:r w:rsidRPr="00EE43C6">
        <w:rPr>
          <w:rFonts w:eastAsia="Arial TUR"/>
          <w:lang w:eastAsia="en-US"/>
        </w:rPr>
      </w:r>
      <w:r w:rsidRPr="00EE43C6">
        <w:rPr>
          <w:rFonts w:eastAsia="Arial TUR"/>
          <w:lang w:eastAsia="en-US"/>
        </w:rPr>
        <w:fldChar w:fldCharType="end"/>
      </w:r>
      <w:r w:rsidRPr="00EE43C6">
        <w:rPr>
          <w:rFonts w:eastAsia="Arial TUR"/>
          <w:lang w:eastAsia="en-US"/>
        </w:rPr>
        <w:t xml:space="preserve">, </w:t>
      </w:r>
      <w:r w:rsidR="00E60AEE" w:rsidRPr="00EE43C6">
        <w:rPr>
          <w:rFonts w:eastAsia="Arial TUR"/>
          <w:lang w:eastAsia="en-US"/>
        </w:rPr>
        <w:t xml:space="preserve">it is estimated that the </w:t>
      </w:r>
      <w:r w:rsidR="00C27DBB" w:rsidRPr="00EE43C6">
        <w:rPr>
          <w:rFonts w:eastAsia="Arial TUR"/>
          <w:lang w:eastAsia="en-US"/>
        </w:rPr>
        <w:t xml:space="preserve">national and </w:t>
      </w:r>
      <w:r w:rsidR="00E60AEE" w:rsidRPr="00EE43C6">
        <w:rPr>
          <w:rFonts w:eastAsia="Arial TUR"/>
          <w:lang w:eastAsia="en-US"/>
        </w:rPr>
        <w:t xml:space="preserve">international daytime noise limit value </w:t>
      </w:r>
      <w:r w:rsidR="004714D5">
        <w:rPr>
          <w:rFonts w:eastAsia="Arial TUR"/>
          <w:lang w:eastAsia="en-US"/>
        </w:rPr>
        <w:t>(</w:t>
      </w:r>
      <w:r w:rsidR="004714D5" w:rsidRPr="00EE43C6">
        <w:rPr>
          <w:rFonts w:eastAsia="Arial TUR"/>
          <w:lang w:eastAsia="en-US"/>
        </w:rPr>
        <w:t>or result in a maximum increase in background levels of 3 dB</w:t>
      </w:r>
      <w:r w:rsidR="004714D5">
        <w:rPr>
          <w:rFonts w:eastAsia="Arial TUR"/>
          <w:lang w:eastAsia="en-US"/>
        </w:rPr>
        <w:t>)</w:t>
      </w:r>
      <w:r w:rsidR="004714D5" w:rsidRPr="00EE43C6">
        <w:rPr>
          <w:rFonts w:eastAsia="Arial TUR"/>
          <w:lang w:eastAsia="en-US"/>
        </w:rPr>
        <w:t xml:space="preserve"> </w:t>
      </w:r>
      <w:r w:rsidR="00E60AEE" w:rsidRPr="00EE43C6">
        <w:rPr>
          <w:rFonts w:eastAsia="Arial TUR"/>
          <w:lang w:eastAsia="en-US"/>
        </w:rPr>
        <w:t>cannot be exceeded</w:t>
      </w:r>
      <w:r w:rsidR="00BD0BAA" w:rsidRPr="00EE43C6">
        <w:rPr>
          <w:rFonts w:eastAsia="Arial TUR"/>
          <w:lang w:eastAsia="en-US"/>
        </w:rPr>
        <w:t xml:space="preserve"> </w:t>
      </w:r>
      <w:r w:rsidR="00E60AEE" w:rsidRPr="00EE43C6">
        <w:rPr>
          <w:rFonts w:eastAsia="Arial TUR"/>
          <w:lang w:eastAsia="en-US"/>
        </w:rPr>
        <w:t>for the nearest settlement</w:t>
      </w:r>
      <w:r w:rsidR="00E42D77" w:rsidRPr="00EE43C6">
        <w:rPr>
          <w:rFonts w:eastAsia="Arial TUR"/>
          <w:lang w:eastAsia="en-US"/>
        </w:rPr>
        <w:t>. On the other hand</w:t>
      </w:r>
      <w:r w:rsidR="001D763F" w:rsidRPr="00EE43C6">
        <w:rPr>
          <w:rFonts w:eastAsia="Arial TUR"/>
          <w:lang w:eastAsia="en-US"/>
        </w:rPr>
        <w:t>,</w:t>
      </w:r>
      <w:r w:rsidR="00CD352A" w:rsidRPr="00EE43C6">
        <w:rPr>
          <w:rFonts w:eastAsia="Arial TUR"/>
          <w:lang w:eastAsia="en-US"/>
        </w:rPr>
        <w:t xml:space="preserve"> </w:t>
      </w:r>
      <w:r w:rsidR="005964F3" w:rsidRPr="00EE43C6">
        <w:rPr>
          <w:rFonts w:eastAsia="Arial TUR"/>
          <w:lang w:eastAsia="en-US"/>
        </w:rPr>
        <w:t xml:space="preserve">it can be easily said that </w:t>
      </w:r>
      <w:r w:rsidR="000B24A7" w:rsidRPr="00EE43C6">
        <w:rPr>
          <w:rFonts w:eastAsia="Arial TUR"/>
          <w:lang w:eastAsia="en-US"/>
        </w:rPr>
        <w:t>t</w:t>
      </w:r>
      <w:r w:rsidR="00A52D7C" w:rsidRPr="00EE43C6">
        <w:rPr>
          <w:rFonts w:eastAsia="Arial TUR"/>
          <w:lang w:eastAsia="en-US"/>
        </w:rPr>
        <w:t>he house as sensitive receptor</w:t>
      </w:r>
      <w:r w:rsidR="00D71D14" w:rsidRPr="00EE43C6">
        <w:rPr>
          <w:rFonts w:eastAsia="Arial TUR"/>
          <w:lang w:eastAsia="en-US"/>
        </w:rPr>
        <w:t xml:space="preserve"> </w:t>
      </w:r>
      <w:r w:rsidR="0077745F" w:rsidRPr="0077745F">
        <w:rPr>
          <w:rFonts w:eastAsia="Arial TUR"/>
          <w:lang w:eastAsia="en-US"/>
        </w:rPr>
        <w:t>was exposed to high noise levels before the construction phase of the Project due to the proximity of the quarries</w:t>
      </w:r>
      <w:r w:rsidR="00FE1DC5" w:rsidRPr="00EE43C6">
        <w:rPr>
          <w:rFonts w:eastAsia="Arial TUR"/>
          <w:lang w:eastAsia="en-US"/>
        </w:rPr>
        <w:t>.</w:t>
      </w:r>
      <w:r w:rsidR="00596961" w:rsidRPr="00EE43C6">
        <w:rPr>
          <w:rFonts w:eastAsia="Arial TUR"/>
          <w:lang w:eastAsia="en-US"/>
        </w:rPr>
        <w:t xml:space="preserve"> </w:t>
      </w:r>
      <w:r w:rsidR="0017441B">
        <w:rPr>
          <w:rFonts w:eastAsia="Arial TUR"/>
          <w:lang w:eastAsia="en-US"/>
        </w:rPr>
        <w:t>However, i</w:t>
      </w:r>
      <w:r w:rsidR="0017441B" w:rsidRPr="0017441B">
        <w:rPr>
          <w:rFonts w:eastAsia="Arial TUR"/>
          <w:lang w:eastAsia="en-US"/>
        </w:rPr>
        <w:t>n the current situation when the construction works have started</w:t>
      </w:r>
      <w:r w:rsidR="00E2369A">
        <w:rPr>
          <w:rFonts w:eastAsia="Arial TUR"/>
          <w:lang w:eastAsia="en-US"/>
        </w:rPr>
        <w:t xml:space="preserve"> and</w:t>
      </w:r>
      <w:r w:rsidR="0017441B" w:rsidRPr="0017441B">
        <w:rPr>
          <w:rFonts w:eastAsia="Arial TUR"/>
          <w:lang w:eastAsia="en-US"/>
        </w:rPr>
        <w:t xml:space="preserve"> there are no complaints about noise, including the closest sensitive receptor</w:t>
      </w:r>
      <w:r w:rsidR="00E2369A">
        <w:rPr>
          <w:rFonts w:eastAsia="Arial TUR"/>
          <w:lang w:eastAsia="en-US"/>
        </w:rPr>
        <w:t>.</w:t>
      </w:r>
      <w:r w:rsidR="0017441B">
        <w:rPr>
          <w:rFonts w:eastAsia="Arial TUR"/>
          <w:lang w:eastAsia="en-US"/>
        </w:rPr>
        <w:t xml:space="preserve"> </w:t>
      </w:r>
      <w:r w:rsidR="00596961" w:rsidRPr="00EE43C6">
        <w:rPr>
          <w:rFonts w:eastAsia="Cambria"/>
        </w:rPr>
        <w:t xml:space="preserve">Hence, </w:t>
      </w:r>
      <w:r w:rsidR="002A40C1">
        <w:rPr>
          <w:rFonts w:eastAsia="Cambria"/>
        </w:rPr>
        <w:t>as</w:t>
      </w:r>
      <w:r w:rsidR="002B6DC7" w:rsidRPr="002B6DC7">
        <w:rPr>
          <w:rFonts w:eastAsia="Cambria"/>
        </w:rPr>
        <w:t xml:space="preserve"> this sensitive receptor point is currently in a noise area due to quarries and the </w:t>
      </w:r>
      <w:r w:rsidR="002A40C1">
        <w:rPr>
          <w:rFonts w:eastAsia="Cambria"/>
        </w:rPr>
        <w:t>P</w:t>
      </w:r>
      <w:r w:rsidR="002B6DC7" w:rsidRPr="002B6DC7">
        <w:rPr>
          <w:rFonts w:eastAsia="Cambria"/>
        </w:rPr>
        <w:t xml:space="preserve">roject construction works, which will include piping and excavation works close to the area, </w:t>
      </w:r>
      <w:r w:rsidR="002B6DC7" w:rsidRPr="002B6DC7">
        <w:rPr>
          <w:rFonts w:eastAsia="Cambria"/>
        </w:rPr>
        <w:lastRenderedPageBreak/>
        <w:t>will have a relatively low impact on noise</w:t>
      </w:r>
      <w:r w:rsidR="0059702D">
        <w:rPr>
          <w:rFonts w:eastAsia="Cambria"/>
        </w:rPr>
        <w:t xml:space="preserve">. Thus, </w:t>
      </w:r>
      <w:r w:rsidR="006657BD" w:rsidRPr="00EE43C6">
        <w:rPr>
          <w:rFonts w:eastAsia="Cambria"/>
        </w:rPr>
        <w:t>the</w:t>
      </w:r>
      <w:r w:rsidR="00596961" w:rsidRPr="00EE43C6">
        <w:rPr>
          <w:rFonts w:eastAsia="Cambria"/>
        </w:rPr>
        <w:t xml:space="preserve"> </w:t>
      </w:r>
      <w:r w:rsidR="00BF46E5" w:rsidRPr="00EE43C6">
        <w:rPr>
          <w:rFonts w:eastAsia="Cambria"/>
        </w:rPr>
        <w:t xml:space="preserve">noise </w:t>
      </w:r>
      <w:r w:rsidR="00596961" w:rsidRPr="00EE43C6">
        <w:rPr>
          <w:rFonts w:eastAsia="Cambria"/>
        </w:rPr>
        <w:t xml:space="preserve">impact significance </w:t>
      </w:r>
      <w:r w:rsidR="003B71A9" w:rsidRPr="00EE43C6">
        <w:rPr>
          <w:rFonts w:eastAsia="Cambria"/>
        </w:rPr>
        <w:t>in the AoI of the Project</w:t>
      </w:r>
      <w:r w:rsidR="00BF46E5" w:rsidRPr="00EE43C6">
        <w:rPr>
          <w:rFonts w:eastAsia="Cambria"/>
        </w:rPr>
        <w:t xml:space="preserve"> </w:t>
      </w:r>
      <w:r w:rsidR="00596961" w:rsidRPr="00EE43C6">
        <w:rPr>
          <w:rFonts w:eastAsia="Cambria"/>
        </w:rPr>
        <w:t xml:space="preserve">is determined as </w:t>
      </w:r>
      <w:r w:rsidR="00E2369A">
        <w:rPr>
          <w:rFonts w:eastAsia="Cambria"/>
        </w:rPr>
        <w:t>medium</w:t>
      </w:r>
      <w:r w:rsidR="00596961" w:rsidRPr="00EE43C6">
        <w:rPr>
          <w:rFonts w:eastAsia="Cambria"/>
        </w:rPr>
        <w:t>.</w:t>
      </w:r>
    </w:p>
    <w:p w14:paraId="52FFA08D" w14:textId="1B510885" w:rsidR="004339AC" w:rsidRPr="00EE43C6" w:rsidRDefault="004339AC" w:rsidP="004339AC">
      <w:pPr>
        <w:pStyle w:val="Heading3"/>
        <w:spacing w:after="240"/>
        <w:rPr>
          <w:rFonts w:eastAsia="Arial TUR"/>
          <w:noProof w:val="0"/>
        </w:rPr>
      </w:pPr>
      <w:bookmarkStart w:id="611" w:name="_Toc120016956"/>
      <w:bookmarkStart w:id="612" w:name="_Toc120004734"/>
      <w:bookmarkStart w:id="613" w:name="_Toc141445445"/>
      <w:r w:rsidRPr="00EE43C6">
        <w:rPr>
          <w:rFonts w:eastAsia="Arial TUR"/>
          <w:noProof w:val="0"/>
        </w:rPr>
        <w:t>Operation Phase</w:t>
      </w:r>
      <w:bookmarkEnd w:id="582"/>
      <w:bookmarkEnd w:id="611"/>
      <w:bookmarkEnd w:id="612"/>
      <w:bookmarkEnd w:id="613"/>
    </w:p>
    <w:p w14:paraId="75015E06" w14:textId="69F03B51" w:rsidR="00CC671D" w:rsidRPr="00EE43C6" w:rsidRDefault="000F4D36" w:rsidP="00CC671D">
      <w:pPr>
        <w:rPr>
          <w:rFonts w:eastAsia="Arial TUR"/>
          <w:lang w:eastAsia="en-US"/>
        </w:rPr>
      </w:pPr>
      <w:r>
        <w:rPr>
          <w:rFonts w:eastAsiaTheme="minorHAnsi"/>
          <w:lang w:eastAsia="en-US"/>
        </w:rPr>
        <w:t>D</w:t>
      </w:r>
      <w:r w:rsidR="00152861" w:rsidRPr="00EE43C6">
        <w:rPr>
          <w:rFonts w:eastAsia="Arial TUR"/>
          <w:lang w:eastAsia="en-US"/>
        </w:rPr>
        <w:t>uring the operation phase of the facilities that will operate within the OIZ, there is noise generation caused by the machines</w:t>
      </w:r>
      <w:r w:rsidR="001F1733" w:rsidRPr="00EE43C6">
        <w:rPr>
          <w:rFonts w:eastAsia="Arial TUR"/>
          <w:lang w:eastAsia="en-US"/>
        </w:rPr>
        <w:t xml:space="preserve"> and equipment</w:t>
      </w:r>
      <w:r w:rsidR="00152861" w:rsidRPr="00EE43C6">
        <w:rPr>
          <w:rFonts w:eastAsia="Arial TUR"/>
          <w:lang w:eastAsia="en-US"/>
        </w:rPr>
        <w:t xml:space="preserve">. However, since all the facilities to be established </w:t>
      </w:r>
      <w:r w:rsidR="00C22CA5" w:rsidRPr="00EE43C6">
        <w:rPr>
          <w:rFonts w:eastAsia="Arial TUR"/>
          <w:lang w:eastAsia="en-US"/>
        </w:rPr>
        <w:t>in OIZ</w:t>
      </w:r>
      <w:r w:rsidR="00152861" w:rsidRPr="00EE43C6">
        <w:rPr>
          <w:rFonts w:eastAsia="Arial TUR"/>
          <w:lang w:eastAsia="en-US"/>
        </w:rPr>
        <w:t xml:space="preserve"> will be built indoors, it is not expected that the noise will have an environmental impact.</w:t>
      </w:r>
      <w:r w:rsidR="00351374" w:rsidRPr="00EE43C6">
        <w:rPr>
          <w:rFonts w:eastAsia="Arial TUR"/>
          <w:lang w:eastAsia="en-US"/>
        </w:rPr>
        <w:t xml:space="preserve"> </w:t>
      </w:r>
      <w:r w:rsidR="00351374" w:rsidRPr="00EE43C6">
        <w:rPr>
          <w:rFonts w:eastAsia="Cambria"/>
        </w:rPr>
        <w:t xml:space="preserve">Therefore, the </w:t>
      </w:r>
      <w:r w:rsidR="00BF46E5" w:rsidRPr="00EE43C6">
        <w:rPr>
          <w:rFonts w:eastAsia="Cambria"/>
        </w:rPr>
        <w:t xml:space="preserve">noise </w:t>
      </w:r>
      <w:r w:rsidR="00351374" w:rsidRPr="00EE43C6">
        <w:rPr>
          <w:rFonts w:eastAsia="Cambria"/>
        </w:rPr>
        <w:t xml:space="preserve">impact significance </w:t>
      </w:r>
      <w:r w:rsidR="006657BD" w:rsidRPr="00EE43C6">
        <w:rPr>
          <w:rFonts w:eastAsia="Cambria"/>
        </w:rPr>
        <w:t>for Project’s AoI</w:t>
      </w:r>
      <w:r w:rsidR="00351374" w:rsidRPr="00EE43C6">
        <w:rPr>
          <w:rFonts w:eastAsia="Cambria"/>
        </w:rPr>
        <w:t xml:space="preserve"> </w:t>
      </w:r>
      <w:r w:rsidR="00633EA2" w:rsidRPr="00EE43C6">
        <w:rPr>
          <w:rFonts w:eastAsia="Cambria"/>
        </w:rPr>
        <w:t xml:space="preserve">in this phase of the OIZ </w:t>
      </w:r>
      <w:r w:rsidR="00351374" w:rsidRPr="00EE43C6">
        <w:rPr>
          <w:rFonts w:eastAsia="Cambria"/>
        </w:rPr>
        <w:t>is determined as low.</w:t>
      </w:r>
    </w:p>
    <w:p w14:paraId="199FB61A" w14:textId="77777777" w:rsidR="004B0A1B" w:rsidRPr="00EE43C6" w:rsidRDefault="004B0A1B" w:rsidP="006A3316">
      <w:pPr>
        <w:pStyle w:val="Heading2"/>
        <w:ind w:hanging="718"/>
        <w:rPr>
          <w:rFonts w:eastAsia="Cambria"/>
          <w:lang w:val="en-GB"/>
        </w:rPr>
      </w:pPr>
      <w:bookmarkStart w:id="614" w:name="_Toc97306989"/>
      <w:bookmarkStart w:id="615" w:name="_Toc120016957"/>
      <w:bookmarkStart w:id="616" w:name="_Toc120004735"/>
      <w:bookmarkStart w:id="617" w:name="_Toc141445446"/>
      <w:r w:rsidRPr="00EE43C6">
        <w:rPr>
          <w:rFonts w:eastAsia="Cambria"/>
          <w:lang w:val="en-GB"/>
        </w:rPr>
        <w:t>Land Use and Soil Quality</w:t>
      </w:r>
      <w:bookmarkEnd w:id="614"/>
      <w:bookmarkEnd w:id="615"/>
      <w:bookmarkEnd w:id="616"/>
      <w:bookmarkEnd w:id="617"/>
    </w:p>
    <w:p w14:paraId="1F19BE6B" w14:textId="7EFF4751" w:rsidR="004B0A1B" w:rsidRPr="00EE43C6" w:rsidRDefault="004B0A1B" w:rsidP="004B0A1B">
      <w:pPr>
        <w:pStyle w:val="Heading3"/>
        <w:rPr>
          <w:rFonts w:eastAsia="Cambria"/>
          <w:noProof w:val="0"/>
        </w:rPr>
      </w:pPr>
      <w:bookmarkStart w:id="618" w:name="_Toc97306990"/>
      <w:bookmarkStart w:id="619" w:name="_Toc120016958"/>
      <w:bookmarkStart w:id="620" w:name="_Toc120004736"/>
      <w:bookmarkStart w:id="621" w:name="_Toc141445447"/>
      <w:r w:rsidRPr="00EE43C6">
        <w:rPr>
          <w:rFonts w:eastAsia="Cambria"/>
          <w:noProof w:val="0"/>
        </w:rPr>
        <w:t>Construction Phase</w:t>
      </w:r>
      <w:bookmarkEnd w:id="618"/>
      <w:bookmarkEnd w:id="619"/>
      <w:bookmarkEnd w:id="620"/>
      <w:bookmarkEnd w:id="621"/>
    </w:p>
    <w:p w14:paraId="5E8F7A43" w14:textId="6E46B8D7" w:rsidR="00564A8E" w:rsidRPr="00EE43C6" w:rsidRDefault="00174776" w:rsidP="007A5519">
      <w:pPr>
        <w:rPr>
          <w:rFonts w:eastAsiaTheme="minorHAnsi"/>
          <w:lang w:eastAsia="en-US"/>
        </w:rPr>
      </w:pPr>
      <w:r w:rsidRPr="00EE43C6">
        <w:rPr>
          <w:rFonts w:eastAsiaTheme="minorHAnsi"/>
        </w:rPr>
        <w:t>2U1K</w:t>
      </w:r>
      <w:r w:rsidR="00564A8E" w:rsidRPr="00EE43C6">
        <w:rPr>
          <w:rFonts w:eastAsiaTheme="minorHAnsi"/>
        </w:rPr>
        <w:t xml:space="preserve"> observed that ground levelling activities of the Project have been completed except for </w:t>
      </w:r>
      <w:r w:rsidR="00564A8E" w:rsidRPr="00EE43C6">
        <w:rPr>
          <w:rFonts w:cs="Wingdings"/>
          <w:szCs w:val="22"/>
        </w:rPr>
        <w:t>lot 105: parcel no. 1 and 2</w:t>
      </w:r>
      <w:r w:rsidR="00564A8E" w:rsidRPr="00EE43C6">
        <w:rPr>
          <w:rFonts w:eastAsiaTheme="minorHAnsi" w:cs="Wingdings"/>
          <w:szCs w:val="22"/>
        </w:rPr>
        <w:t xml:space="preserve"> </w:t>
      </w:r>
      <w:r w:rsidR="00564A8E" w:rsidRPr="00EE43C6">
        <w:rPr>
          <w:rFonts w:eastAsiaTheme="minorHAnsi"/>
        </w:rPr>
        <w:t>of the Project Area</w:t>
      </w:r>
      <w:r w:rsidR="008D68C4" w:rsidRPr="00EE43C6">
        <w:rPr>
          <w:rFonts w:eastAsiaTheme="minorHAnsi"/>
        </w:rPr>
        <w:t xml:space="preserve"> in the current situation</w:t>
      </w:r>
      <w:r w:rsidR="00564A8E" w:rsidRPr="00EE43C6">
        <w:rPr>
          <w:rFonts w:eastAsiaTheme="minorHAnsi"/>
        </w:rPr>
        <w:t xml:space="preserve">. </w:t>
      </w:r>
      <w:r w:rsidR="00131E3A" w:rsidRPr="00131E3A">
        <w:rPr>
          <w:rFonts w:eastAsiaTheme="minorHAnsi"/>
        </w:rPr>
        <w:t>It has been learnt that the previous owner of parcels 105/1 and 105/2 used this area as a repair and maintenance workshop and refuelling place for trucks working in quarries.</w:t>
      </w:r>
      <w:r w:rsidR="00131E3A">
        <w:rPr>
          <w:rFonts w:eastAsiaTheme="minorHAnsi"/>
        </w:rPr>
        <w:t xml:space="preserve"> </w:t>
      </w:r>
      <w:r w:rsidR="00564A8E" w:rsidRPr="00EE43C6">
        <w:rPr>
          <w:rFonts w:eastAsiaTheme="minorHAnsi"/>
        </w:rPr>
        <w:t>But, during the site visit of 2U1K, as the title deed processes of the concerned area o</w:t>
      </w:r>
      <w:r w:rsidR="00FE6E4F" w:rsidRPr="00EE43C6">
        <w:rPr>
          <w:rFonts w:eastAsiaTheme="minorHAnsi"/>
        </w:rPr>
        <w:t>f</w:t>
      </w:r>
      <w:r w:rsidR="00564A8E" w:rsidRPr="00EE43C6">
        <w:rPr>
          <w:rFonts w:eastAsiaTheme="minorHAnsi"/>
        </w:rPr>
        <w:t xml:space="preserve"> the Project </w:t>
      </w:r>
      <w:r w:rsidR="001A5B74" w:rsidRPr="00EE43C6">
        <w:rPr>
          <w:rFonts w:eastAsiaTheme="minorHAnsi"/>
        </w:rPr>
        <w:t>ha</w:t>
      </w:r>
      <w:r w:rsidR="00A90AFE" w:rsidRPr="00EE43C6">
        <w:rPr>
          <w:rFonts w:eastAsiaTheme="minorHAnsi"/>
        </w:rPr>
        <w:t>d</w:t>
      </w:r>
      <w:r w:rsidR="001A5B74" w:rsidRPr="00EE43C6">
        <w:rPr>
          <w:rFonts w:eastAsiaTheme="minorHAnsi"/>
        </w:rPr>
        <w:t xml:space="preserve"> been not </w:t>
      </w:r>
      <w:r w:rsidR="0014717E" w:rsidRPr="00EE43C6">
        <w:rPr>
          <w:rFonts w:eastAsiaTheme="minorHAnsi"/>
        </w:rPr>
        <w:t>finalized</w:t>
      </w:r>
      <w:r w:rsidR="00564A8E" w:rsidRPr="00EE43C6">
        <w:rPr>
          <w:rFonts w:eastAsiaTheme="minorHAnsi"/>
        </w:rPr>
        <w:t xml:space="preserve">, structures belonging to the gas station that </w:t>
      </w:r>
      <w:r w:rsidR="00402C67" w:rsidRPr="00EE43C6">
        <w:rPr>
          <w:rFonts w:eastAsiaTheme="minorHAnsi"/>
        </w:rPr>
        <w:t>was</w:t>
      </w:r>
      <w:r w:rsidR="00564A8E" w:rsidRPr="00EE43C6">
        <w:rPr>
          <w:rFonts w:eastAsiaTheme="minorHAnsi"/>
        </w:rPr>
        <w:t xml:space="preserve"> previously operating in this area </w:t>
      </w:r>
      <w:r w:rsidR="00204681" w:rsidRPr="00EE43C6">
        <w:rPr>
          <w:rFonts w:eastAsiaTheme="minorHAnsi"/>
        </w:rPr>
        <w:t>were</w:t>
      </w:r>
      <w:r w:rsidR="00564A8E" w:rsidRPr="00EE43C6">
        <w:rPr>
          <w:rFonts w:eastAsiaTheme="minorHAnsi"/>
        </w:rPr>
        <w:t xml:space="preserve"> observed.</w:t>
      </w:r>
      <w:r w:rsidR="00FB4EFB">
        <w:rPr>
          <w:rFonts w:eastAsiaTheme="minorHAnsi"/>
        </w:rPr>
        <w:t xml:space="preserve"> </w:t>
      </w:r>
    </w:p>
    <w:p w14:paraId="33339F2E" w14:textId="2BAF5C3A" w:rsidR="00FD2854" w:rsidRDefault="007A5519" w:rsidP="007A5519">
      <w:pPr>
        <w:rPr>
          <w:rFonts w:eastAsiaTheme="minorHAnsi"/>
          <w:lang w:eastAsia="en-US"/>
        </w:rPr>
      </w:pPr>
      <w:r w:rsidRPr="00EE43C6">
        <w:rPr>
          <w:rFonts w:eastAsiaTheme="minorHAnsi"/>
          <w:lang w:eastAsia="en-US"/>
        </w:rPr>
        <w:t>In this context, there is an obligation to manage wastes within the scope of national regulations in the entire Project Area, primarily in this area.</w:t>
      </w:r>
      <w:r w:rsidR="00857646" w:rsidRPr="00857646">
        <w:t xml:space="preserve"> </w:t>
      </w:r>
      <w:r w:rsidR="00857646" w:rsidRPr="00857646">
        <w:rPr>
          <w:rFonts w:eastAsiaTheme="minorHAnsi"/>
          <w:lang w:eastAsia="en-US"/>
        </w:rPr>
        <w:t xml:space="preserve">It has been learned that the repair and maintenance shop operated by the previous owner of this area was being used as a fuel filling location. As small spot fuel and oil spills were observed at relevant area, </w:t>
      </w:r>
      <w:r w:rsidR="00E82A5C">
        <w:rPr>
          <w:rFonts w:eastAsiaTheme="minorHAnsi"/>
          <w:lang w:eastAsia="en-US"/>
        </w:rPr>
        <w:t>the TUIOSB will</w:t>
      </w:r>
      <w:r w:rsidR="00857646" w:rsidRPr="00857646">
        <w:rPr>
          <w:rFonts w:eastAsiaTheme="minorHAnsi"/>
          <w:lang w:eastAsia="en-US"/>
        </w:rPr>
        <w:t xml:space="preserve"> take </w:t>
      </w:r>
      <w:r w:rsidR="00BE0A25">
        <w:rPr>
          <w:rFonts w:eastAsiaTheme="minorHAnsi"/>
          <w:lang w:eastAsia="en-US"/>
        </w:rPr>
        <w:t xml:space="preserve">a total of </w:t>
      </w:r>
      <w:r w:rsidR="00021117">
        <w:rPr>
          <w:rFonts w:eastAsiaTheme="minorHAnsi"/>
          <w:lang w:eastAsia="en-US"/>
        </w:rPr>
        <w:t>ten</w:t>
      </w:r>
      <w:r w:rsidR="00BE0A25">
        <w:rPr>
          <w:rFonts w:eastAsiaTheme="minorHAnsi"/>
          <w:lang w:eastAsia="en-US"/>
        </w:rPr>
        <w:t xml:space="preserve"> </w:t>
      </w:r>
      <w:r w:rsidR="00857646" w:rsidRPr="00857646">
        <w:rPr>
          <w:rFonts w:eastAsiaTheme="minorHAnsi"/>
          <w:lang w:eastAsia="en-US"/>
        </w:rPr>
        <w:t>soil samples</w:t>
      </w:r>
      <w:r w:rsidR="00BE0A25">
        <w:rPr>
          <w:rFonts w:eastAsiaTheme="minorHAnsi"/>
          <w:lang w:eastAsia="en-US"/>
        </w:rPr>
        <w:t xml:space="preserve">, </w:t>
      </w:r>
      <w:r w:rsidR="00957259">
        <w:rPr>
          <w:rFonts w:eastAsiaTheme="minorHAnsi"/>
          <w:lang w:eastAsia="en-US"/>
        </w:rPr>
        <w:t>(</w:t>
      </w:r>
      <w:r w:rsidR="00EC2BE8">
        <w:rPr>
          <w:rFonts w:eastAsiaTheme="minorHAnsi"/>
          <w:lang w:eastAsia="en-US"/>
        </w:rPr>
        <w:t xml:space="preserve">one at 0-30 cm and </w:t>
      </w:r>
      <w:r w:rsidR="003B47A2">
        <w:rPr>
          <w:rFonts w:eastAsiaTheme="minorHAnsi"/>
          <w:lang w:eastAsia="en-US"/>
        </w:rPr>
        <w:t>the other at 80-100 cm</w:t>
      </w:r>
      <w:r w:rsidR="0090790C">
        <w:rPr>
          <w:rFonts w:eastAsiaTheme="minorHAnsi"/>
          <w:lang w:eastAsia="en-US"/>
        </w:rPr>
        <w:t xml:space="preserve"> depth</w:t>
      </w:r>
      <w:r w:rsidR="0083144C">
        <w:rPr>
          <w:rFonts w:eastAsiaTheme="minorHAnsi"/>
          <w:lang w:eastAsia="en-US"/>
        </w:rPr>
        <w:t>s</w:t>
      </w:r>
      <w:r w:rsidR="00957259">
        <w:rPr>
          <w:rFonts w:eastAsiaTheme="minorHAnsi"/>
          <w:lang w:eastAsia="en-US"/>
        </w:rPr>
        <w:t>)</w:t>
      </w:r>
      <w:r w:rsidR="003B47A2">
        <w:rPr>
          <w:rFonts w:eastAsiaTheme="minorHAnsi"/>
          <w:lang w:eastAsia="en-US"/>
        </w:rPr>
        <w:t xml:space="preserve">, </w:t>
      </w:r>
      <w:r w:rsidR="009C60D4">
        <w:rPr>
          <w:rFonts w:eastAsiaTheme="minorHAnsi"/>
          <w:lang w:eastAsia="en-US"/>
        </w:rPr>
        <w:t>two (2)</w:t>
      </w:r>
      <w:r w:rsidR="00857646" w:rsidRPr="00857646">
        <w:rPr>
          <w:rFonts w:eastAsiaTheme="minorHAnsi"/>
          <w:lang w:eastAsia="en-US"/>
        </w:rPr>
        <w:t xml:space="preserve"> </w:t>
      </w:r>
      <w:r w:rsidR="009C60D4">
        <w:rPr>
          <w:rFonts w:eastAsiaTheme="minorHAnsi"/>
          <w:lang w:eastAsia="en-US"/>
        </w:rPr>
        <w:t xml:space="preserve">from each of the five (5) </w:t>
      </w:r>
      <w:r w:rsidR="00857646" w:rsidRPr="00857646">
        <w:rPr>
          <w:rFonts w:eastAsiaTheme="minorHAnsi"/>
          <w:lang w:eastAsia="en-US"/>
        </w:rPr>
        <w:t xml:space="preserve">points in the </w:t>
      </w:r>
      <w:r w:rsidR="00102E14">
        <w:rPr>
          <w:rFonts w:eastAsiaTheme="minorHAnsi"/>
          <w:lang w:eastAsia="en-US"/>
        </w:rPr>
        <w:t xml:space="preserve">concerned </w:t>
      </w:r>
      <w:r w:rsidR="00857646" w:rsidRPr="00857646">
        <w:rPr>
          <w:rFonts w:eastAsiaTheme="minorHAnsi"/>
          <w:lang w:eastAsia="en-US"/>
        </w:rPr>
        <w:t xml:space="preserve">area to be able to </w:t>
      </w:r>
      <w:r w:rsidR="00EB56AF" w:rsidRPr="00857646">
        <w:rPr>
          <w:rFonts w:eastAsiaTheme="minorHAnsi"/>
          <w:lang w:eastAsia="en-US"/>
        </w:rPr>
        <w:t>assess</w:t>
      </w:r>
      <w:r w:rsidR="00857646" w:rsidRPr="00857646">
        <w:rPr>
          <w:rFonts w:eastAsiaTheme="minorHAnsi"/>
          <w:lang w:eastAsia="en-US"/>
        </w:rPr>
        <w:t xml:space="preserve"> possible soil </w:t>
      </w:r>
      <w:r w:rsidR="009F689C">
        <w:rPr>
          <w:rFonts w:eastAsiaTheme="minorHAnsi"/>
          <w:lang w:eastAsia="en-US"/>
        </w:rPr>
        <w:t>contamination</w:t>
      </w:r>
      <w:r w:rsidR="00857646" w:rsidRPr="00857646">
        <w:rPr>
          <w:rFonts w:eastAsiaTheme="minorHAnsi"/>
          <w:lang w:eastAsia="en-US"/>
        </w:rPr>
        <w:t xml:space="preserve"> in accordance with Regulation on Control of Soil Pollution and Point Source Contaminated Lands</w:t>
      </w:r>
      <w:r w:rsidR="00957259">
        <w:rPr>
          <w:rFonts w:eastAsiaTheme="minorHAnsi"/>
          <w:lang w:eastAsia="en-US"/>
        </w:rPr>
        <w:t xml:space="preserve">. </w:t>
      </w:r>
      <w:r w:rsidR="0095359B">
        <w:rPr>
          <w:rFonts w:eastAsiaTheme="minorHAnsi"/>
          <w:lang w:eastAsia="en-US"/>
        </w:rPr>
        <w:fldChar w:fldCharType="begin"/>
      </w:r>
      <w:r w:rsidR="0095359B">
        <w:rPr>
          <w:rFonts w:eastAsiaTheme="minorHAnsi"/>
          <w:lang w:eastAsia="en-US"/>
        </w:rPr>
        <w:instrText xml:space="preserve"> REF _Ref136333735 \h </w:instrText>
      </w:r>
      <w:r w:rsidR="0095359B">
        <w:rPr>
          <w:rFonts w:eastAsiaTheme="minorHAnsi"/>
          <w:lang w:eastAsia="en-US"/>
        </w:rPr>
      </w:r>
      <w:r w:rsidR="0095359B">
        <w:rPr>
          <w:rFonts w:eastAsiaTheme="minorHAnsi"/>
          <w:lang w:eastAsia="en-US"/>
        </w:rPr>
        <w:fldChar w:fldCharType="separate"/>
      </w:r>
      <w:r w:rsidR="0095359B">
        <w:t xml:space="preserve">Table </w:t>
      </w:r>
      <w:r w:rsidR="0095359B">
        <w:rPr>
          <w:noProof/>
        </w:rPr>
        <w:t>6</w:t>
      </w:r>
      <w:r w:rsidR="0095359B">
        <w:noBreakHyphen/>
      </w:r>
      <w:r w:rsidR="0095359B">
        <w:rPr>
          <w:noProof/>
        </w:rPr>
        <w:t>30</w:t>
      </w:r>
      <w:r w:rsidR="0095359B">
        <w:rPr>
          <w:rFonts w:eastAsiaTheme="minorHAnsi"/>
          <w:lang w:eastAsia="en-US"/>
        </w:rPr>
        <w:fldChar w:fldCharType="end"/>
      </w:r>
      <w:r w:rsidR="0095359B">
        <w:rPr>
          <w:rFonts w:eastAsiaTheme="minorHAnsi"/>
          <w:lang w:eastAsia="en-US"/>
        </w:rPr>
        <w:t xml:space="preserve"> shows c</w:t>
      </w:r>
      <w:r w:rsidR="00957259">
        <w:rPr>
          <w:rFonts w:eastAsiaTheme="minorHAnsi"/>
          <w:lang w:eastAsia="en-US"/>
        </w:rPr>
        <w:t xml:space="preserve">oordinates of the </w:t>
      </w:r>
      <w:r w:rsidR="0095359B">
        <w:rPr>
          <w:rFonts w:eastAsiaTheme="minorHAnsi"/>
          <w:lang w:eastAsia="en-US"/>
        </w:rPr>
        <w:t>concerned points for soil sampling</w:t>
      </w:r>
      <w:r w:rsidR="00E97E77">
        <w:rPr>
          <w:rFonts w:eastAsiaTheme="minorHAnsi"/>
          <w:lang w:eastAsia="en-US"/>
        </w:rPr>
        <w:t xml:space="preserve">. Also, </w:t>
      </w:r>
      <w:r w:rsidR="003748FF">
        <w:rPr>
          <w:rFonts w:eastAsiaTheme="minorHAnsi"/>
          <w:lang w:eastAsia="en-US"/>
        </w:rPr>
        <w:t>the map showing the</w:t>
      </w:r>
      <w:r w:rsidR="004E0CAC">
        <w:rPr>
          <w:rFonts w:eastAsiaTheme="minorHAnsi"/>
          <w:lang w:eastAsia="en-US"/>
        </w:rPr>
        <w:t xml:space="preserve"> soil</w:t>
      </w:r>
      <w:r w:rsidR="003748FF">
        <w:rPr>
          <w:rFonts w:eastAsiaTheme="minorHAnsi"/>
          <w:lang w:eastAsia="en-US"/>
        </w:rPr>
        <w:t xml:space="preserve"> </w:t>
      </w:r>
      <w:r w:rsidR="004E0CAC">
        <w:rPr>
          <w:rFonts w:eastAsiaTheme="minorHAnsi"/>
          <w:lang w:eastAsia="en-US"/>
        </w:rPr>
        <w:t>sampling locations</w:t>
      </w:r>
      <w:r w:rsidR="00E97E77">
        <w:rPr>
          <w:rFonts w:eastAsiaTheme="minorHAnsi"/>
          <w:lang w:eastAsia="en-US"/>
        </w:rPr>
        <w:t xml:space="preserve"> is </w:t>
      </w:r>
      <w:r w:rsidR="003748FF">
        <w:rPr>
          <w:rFonts w:eastAsiaTheme="minorHAnsi"/>
          <w:lang w:eastAsia="en-US"/>
        </w:rPr>
        <w:t xml:space="preserve">in </w:t>
      </w:r>
      <w:r w:rsidR="00EF1E64">
        <w:rPr>
          <w:rFonts w:eastAsiaTheme="minorHAnsi"/>
          <w:lang w:eastAsia="en-US"/>
        </w:rPr>
        <w:fldChar w:fldCharType="begin"/>
      </w:r>
      <w:r w:rsidR="00EF1E64">
        <w:rPr>
          <w:rFonts w:eastAsiaTheme="minorHAnsi"/>
          <w:lang w:eastAsia="en-US"/>
        </w:rPr>
        <w:instrText xml:space="preserve"> REF _Ref136332452 \h  \* MERGEFORMAT </w:instrText>
      </w:r>
      <w:r w:rsidR="00EF1E64">
        <w:rPr>
          <w:rFonts w:eastAsiaTheme="minorHAnsi"/>
          <w:lang w:eastAsia="en-US"/>
        </w:rPr>
      </w:r>
      <w:r w:rsidR="00EF1E64">
        <w:rPr>
          <w:rFonts w:eastAsiaTheme="minorHAnsi"/>
          <w:lang w:eastAsia="en-US"/>
        </w:rPr>
        <w:fldChar w:fldCharType="separate"/>
      </w:r>
      <w:r w:rsidR="00EF1E64" w:rsidRPr="002F52ED">
        <w:rPr>
          <w:rFonts w:eastAsiaTheme="minorHAnsi"/>
          <w:lang w:eastAsia="en-US"/>
        </w:rPr>
        <w:t>Figure 6</w:t>
      </w:r>
      <w:r w:rsidR="00EF1E64" w:rsidRPr="002F52ED">
        <w:rPr>
          <w:rFonts w:eastAsiaTheme="minorHAnsi"/>
          <w:lang w:eastAsia="en-US"/>
        </w:rPr>
        <w:noBreakHyphen/>
        <w:t>2</w:t>
      </w:r>
      <w:r w:rsidR="00EF1E64">
        <w:rPr>
          <w:rFonts w:eastAsiaTheme="minorHAnsi"/>
          <w:lang w:eastAsia="en-US"/>
        </w:rPr>
        <w:fldChar w:fldCharType="end"/>
      </w:r>
      <w:r w:rsidR="00EF1E64">
        <w:rPr>
          <w:rFonts w:eastAsiaTheme="minorHAnsi"/>
          <w:lang w:eastAsia="en-US"/>
        </w:rPr>
        <w:t>.</w:t>
      </w:r>
    </w:p>
    <w:p w14:paraId="2A6D26B5" w14:textId="0BBD6582" w:rsidR="00DB51D5" w:rsidRDefault="006D2DE8" w:rsidP="002F52ED">
      <w:pPr>
        <w:pStyle w:val="Caption"/>
        <w:rPr>
          <w:rFonts w:eastAsiaTheme="minorHAnsi"/>
        </w:rPr>
      </w:pPr>
      <w:bookmarkStart w:id="622" w:name="_Ref136333735"/>
      <w:bookmarkStart w:id="623" w:name="_Toc141445539"/>
      <w:r>
        <w:t xml:space="preserve">Table </w:t>
      </w:r>
      <w:r>
        <w:fldChar w:fldCharType="begin"/>
      </w:r>
      <w:r>
        <w:instrText xml:space="preserve"> STYLEREF 1 \s </w:instrText>
      </w:r>
      <w:r>
        <w:fldChar w:fldCharType="separate"/>
      </w:r>
      <w:r>
        <w:t>6</w:t>
      </w:r>
      <w:r>
        <w:fldChar w:fldCharType="end"/>
      </w:r>
      <w:r>
        <w:noBreakHyphen/>
      </w:r>
      <w:r>
        <w:fldChar w:fldCharType="begin"/>
      </w:r>
      <w:r>
        <w:instrText xml:space="preserve"> SEQ Table \* ARABIC \s 1 </w:instrText>
      </w:r>
      <w:r>
        <w:fldChar w:fldCharType="separate"/>
      </w:r>
      <w:r>
        <w:t>30</w:t>
      </w:r>
      <w:r>
        <w:fldChar w:fldCharType="end"/>
      </w:r>
      <w:bookmarkEnd w:id="622"/>
      <w:r>
        <w:t xml:space="preserve">. </w:t>
      </w:r>
      <w:r w:rsidR="003447DB" w:rsidRPr="002F52ED">
        <w:rPr>
          <w:rFonts w:eastAsiaTheme="minorHAnsi"/>
          <w:b w:val="0"/>
          <w:bCs w:val="0"/>
          <w:color w:val="auto"/>
        </w:rPr>
        <w:t>Coordinates</w:t>
      </w:r>
      <w:r w:rsidR="008065F5" w:rsidRPr="002F52ED">
        <w:rPr>
          <w:rFonts w:eastAsiaTheme="minorHAnsi"/>
          <w:b w:val="0"/>
          <w:bCs w:val="0"/>
          <w:color w:val="auto"/>
        </w:rPr>
        <w:t xml:space="preserve"> of the </w:t>
      </w:r>
      <w:r w:rsidR="00937861" w:rsidRPr="002F52ED">
        <w:rPr>
          <w:rFonts w:eastAsiaTheme="minorHAnsi"/>
          <w:b w:val="0"/>
          <w:bCs w:val="0"/>
          <w:color w:val="auto"/>
        </w:rPr>
        <w:t>P</w:t>
      </w:r>
      <w:r w:rsidR="008065F5" w:rsidRPr="002F52ED">
        <w:rPr>
          <w:rFonts w:eastAsiaTheme="minorHAnsi"/>
          <w:b w:val="0"/>
          <w:bCs w:val="0"/>
          <w:color w:val="auto"/>
        </w:rPr>
        <w:t xml:space="preserve">oints </w:t>
      </w:r>
      <w:r w:rsidR="003447DB" w:rsidRPr="002F52ED">
        <w:rPr>
          <w:rFonts w:eastAsiaTheme="minorHAnsi"/>
          <w:b w:val="0"/>
          <w:bCs w:val="0"/>
          <w:color w:val="auto"/>
        </w:rPr>
        <w:t>for Soil Sampling</w:t>
      </w:r>
      <w:bookmarkEnd w:id="623"/>
    </w:p>
    <w:tbl>
      <w:tblPr>
        <w:tblStyle w:val="TableGrid"/>
        <w:tblW w:w="5000" w:type="pct"/>
        <w:jc w:val="center"/>
        <w:tblLook w:val="04A0" w:firstRow="1" w:lastRow="0" w:firstColumn="1" w:lastColumn="0" w:noHBand="0" w:noVBand="1"/>
      </w:tblPr>
      <w:tblGrid>
        <w:gridCol w:w="3534"/>
        <w:gridCol w:w="2765"/>
        <w:gridCol w:w="2765"/>
      </w:tblGrid>
      <w:tr w:rsidR="00E51AE3" w:rsidRPr="001E0229" w14:paraId="35AE96F2" w14:textId="77777777" w:rsidTr="001E0229">
        <w:trPr>
          <w:trHeight w:val="284"/>
          <w:jc w:val="center"/>
        </w:trPr>
        <w:tc>
          <w:tcPr>
            <w:tcW w:w="1950" w:type="pct"/>
            <w:vMerge w:val="restart"/>
            <w:shd w:val="clear" w:color="auto" w:fill="4F81BD"/>
            <w:vAlign w:val="center"/>
          </w:tcPr>
          <w:p w14:paraId="6B14664B" w14:textId="09F2C1DD" w:rsidR="00E16F66" w:rsidRPr="001E0229" w:rsidRDefault="00E16F66" w:rsidP="001E0229">
            <w:pPr>
              <w:spacing w:before="0" w:after="0" w:line="240" w:lineRule="auto"/>
              <w:jc w:val="center"/>
              <w:rPr>
                <w:rFonts w:eastAsiaTheme="minorHAnsi"/>
                <w:color w:val="FFFFFF" w:themeColor="background1"/>
                <w:sz w:val="18"/>
                <w:szCs w:val="18"/>
                <w:lang w:eastAsia="en-US"/>
              </w:rPr>
            </w:pPr>
            <w:r w:rsidRPr="001E0229">
              <w:rPr>
                <w:rFonts w:eastAsia="Arial TUR" w:cs="Arial"/>
                <w:b/>
                <w:color w:val="FFFFFF" w:themeColor="background1"/>
                <w:sz w:val="18"/>
                <w:szCs w:val="18"/>
                <w:lang w:eastAsia="en-US"/>
              </w:rPr>
              <w:t>Sample Points</w:t>
            </w:r>
          </w:p>
        </w:tc>
        <w:tc>
          <w:tcPr>
            <w:tcW w:w="3050" w:type="pct"/>
            <w:gridSpan w:val="2"/>
            <w:shd w:val="clear" w:color="auto" w:fill="4F81BD"/>
            <w:vAlign w:val="center"/>
          </w:tcPr>
          <w:p w14:paraId="44587A0C" w14:textId="5F9254E2" w:rsidR="00E16F66" w:rsidRPr="001E0229" w:rsidRDefault="00E16F66" w:rsidP="001E0229">
            <w:pPr>
              <w:spacing w:before="0" w:after="0" w:line="240" w:lineRule="auto"/>
              <w:jc w:val="center"/>
              <w:rPr>
                <w:rFonts w:eastAsiaTheme="minorHAnsi"/>
                <w:color w:val="FFFFFF" w:themeColor="background1"/>
                <w:sz w:val="18"/>
                <w:szCs w:val="18"/>
                <w:lang w:eastAsia="en-US"/>
              </w:rPr>
            </w:pPr>
            <w:r w:rsidRPr="001E0229">
              <w:rPr>
                <w:rFonts w:eastAsia="Arial TUR" w:cs="Arial"/>
                <w:b/>
                <w:color w:val="FFFFFF" w:themeColor="background1"/>
                <w:sz w:val="18"/>
                <w:szCs w:val="18"/>
                <w:lang w:eastAsia="en-US"/>
              </w:rPr>
              <w:t>Coordinates</w:t>
            </w:r>
          </w:p>
        </w:tc>
      </w:tr>
      <w:tr w:rsidR="00CD0AD3" w:rsidRPr="001E0229" w14:paraId="7CDB1D6D" w14:textId="77777777" w:rsidTr="001E0229">
        <w:trPr>
          <w:trHeight w:val="284"/>
          <w:jc w:val="center"/>
        </w:trPr>
        <w:tc>
          <w:tcPr>
            <w:tcW w:w="1950" w:type="pct"/>
            <w:vMerge/>
            <w:shd w:val="clear" w:color="auto" w:fill="4F81BD"/>
            <w:vAlign w:val="center"/>
          </w:tcPr>
          <w:p w14:paraId="1DA3A972" w14:textId="77777777" w:rsidR="00E16F66" w:rsidRPr="001E0229" w:rsidRDefault="00E16F66" w:rsidP="001E0229">
            <w:pPr>
              <w:spacing w:before="0" w:after="0" w:line="240" w:lineRule="auto"/>
              <w:jc w:val="center"/>
              <w:rPr>
                <w:rFonts w:eastAsia="Arial TUR" w:cs="Arial"/>
                <w:b/>
                <w:color w:val="FFFFFF" w:themeColor="background1"/>
                <w:sz w:val="18"/>
                <w:szCs w:val="18"/>
                <w:lang w:eastAsia="en-US"/>
              </w:rPr>
            </w:pPr>
          </w:p>
        </w:tc>
        <w:tc>
          <w:tcPr>
            <w:tcW w:w="1525" w:type="pct"/>
            <w:shd w:val="clear" w:color="auto" w:fill="4F81BD"/>
            <w:vAlign w:val="center"/>
          </w:tcPr>
          <w:p w14:paraId="2AA82C51" w14:textId="5A1A6131" w:rsidR="00E16F66" w:rsidRPr="001E0229" w:rsidRDefault="00E16F66" w:rsidP="001E0229">
            <w:pPr>
              <w:spacing w:before="0" w:after="0" w:line="240" w:lineRule="auto"/>
              <w:jc w:val="center"/>
              <w:rPr>
                <w:rFonts w:eastAsiaTheme="minorHAnsi"/>
                <w:color w:val="FFFFFF" w:themeColor="background1"/>
                <w:sz w:val="18"/>
                <w:szCs w:val="18"/>
                <w:lang w:eastAsia="en-US"/>
              </w:rPr>
            </w:pPr>
            <w:r w:rsidRPr="001E0229">
              <w:rPr>
                <w:rFonts w:eastAsia="Arial TUR" w:cs="Arial"/>
                <w:b/>
                <w:color w:val="FFFFFF" w:themeColor="background1"/>
                <w:sz w:val="18"/>
                <w:szCs w:val="18"/>
                <w:lang w:eastAsia="en-US"/>
              </w:rPr>
              <w:t>Latitude</w:t>
            </w:r>
          </w:p>
        </w:tc>
        <w:tc>
          <w:tcPr>
            <w:tcW w:w="1525" w:type="pct"/>
            <w:shd w:val="clear" w:color="auto" w:fill="4F81BD"/>
            <w:vAlign w:val="center"/>
          </w:tcPr>
          <w:p w14:paraId="10B8F838" w14:textId="5EC02CEC" w:rsidR="00E16F66" w:rsidRPr="001E0229" w:rsidRDefault="00E16F66" w:rsidP="001E0229">
            <w:pPr>
              <w:spacing w:before="0" w:after="0" w:line="240" w:lineRule="auto"/>
              <w:jc w:val="center"/>
              <w:rPr>
                <w:rFonts w:eastAsiaTheme="minorHAnsi"/>
                <w:color w:val="FFFFFF" w:themeColor="background1"/>
                <w:sz w:val="18"/>
                <w:szCs w:val="18"/>
                <w:lang w:eastAsia="en-US"/>
              </w:rPr>
            </w:pPr>
            <w:r w:rsidRPr="001E0229">
              <w:rPr>
                <w:rFonts w:eastAsia="Arial TUR" w:cs="Arial"/>
                <w:b/>
                <w:color w:val="FFFFFF" w:themeColor="background1"/>
                <w:sz w:val="18"/>
                <w:szCs w:val="18"/>
                <w:lang w:eastAsia="en-US"/>
              </w:rPr>
              <w:t>Longitude</w:t>
            </w:r>
          </w:p>
        </w:tc>
      </w:tr>
      <w:tr w:rsidR="00E16F66" w:rsidRPr="001E0229" w14:paraId="7337A877" w14:textId="77777777" w:rsidTr="001E0229">
        <w:trPr>
          <w:trHeight w:val="284"/>
          <w:jc w:val="center"/>
        </w:trPr>
        <w:tc>
          <w:tcPr>
            <w:tcW w:w="1950" w:type="pct"/>
            <w:vAlign w:val="center"/>
          </w:tcPr>
          <w:p w14:paraId="40D1D78D" w14:textId="660078B4"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SSP-1</w:t>
            </w:r>
          </w:p>
        </w:tc>
        <w:tc>
          <w:tcPr>
            <w:tcW w:w="1525" w:type="pct"/>
            <w:vAlign w:val="center"/>
          </w:tcPr>
          <w:p w14:paraId="4D47129D" w14:textId="21F995EA"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37.045943°</w:t>
            </w:r>
          </w:p>
        </w:tc>
        <w:tc>
          <w:tcPr>
            <w:tcW w:w="1525" w:type="pct"/>
            <w:vAlign w:val="center"/>
          </w:tcPr>
          <w:p w14:paraId="3AA1FB6F" w14:textId="6E268CB1"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34.922327°</w:t>
            </w:r>
          </w:p>
        </w:tc>
      </w:tr>
      <w:tr w:rsidR="00E16F66" w:rsidRPr="001E0229" w14:paraId="3111EBFF" w14:textId="77777777" w:rsidTr="001E0229">
        <w:trPr>
          <w:trHeight w:val="284"/>
          <w:jc w:val="center"/>
        </w:trPr>
        <w:tc>
          <w:tcPr>
            <w:tcW w:w="1950" w:type="pct"/>
            <w:vAlign w:val="center"/>
          </w:tcPr>
          <w:p w14:paraId="3D48FA6B" w14:textId="4AA9B8F4"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SSP-2</w:t>
            </w:r>
          </w:p>
        </w:tc>
        <w:tc>
          <w:tcPr>
            <w:tcW w:w="1525" w:type="pct"/>
            <w:vAlign w:val="center"/>
          </w:tcPr>
          <w:p w14:paraId="33BBBE27" w14:textId="0E5DD9EF"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37.045888°</w:t>
            </w:r>
          </w:p>
        </w:tc>
        <w:tc>
          <w:tcPr>
            <w:tcW w:w="1525" w:type="pct"/>
            <w:vAlign w:val="center"/>
          </w:tcPr>
          <w:p w14:paraId="447AAB7E" w14:textId="2D48CD0A"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34.922359°</w:t>
            </w:r>
          </w:p>
        </w:tc>
      </w:tr>
      <w:tr w:rsidR="00E16F66" w:rsidRPr="001E0229" w14:paraId="3AC0217B" w14:textId="77777777" w:rsidTr="001E0229">
        <w:trPr>
          <w:trHeight w:val="284"/>
          <w:jc w:val="center"/>
        </w:trPr>
        <w:tc>
          <w:tcPr>
            <w:tcW w:w="1950" w:type="pct"/>
            <w:vAlign w:val="center"/>
          </w:tcPr>
          <w:p w14:paraId="17976CB5" w14:textId="7400D135"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SSP-3</w:t>
            </w:r>
          </w:p>
        </w:tc>
        <w:tc>
          <w:tcPr>
            <w:tcW w:w="1525" w:type="pct"/>
            <w:vAlign w:val="center"/>
          </w:tcPr>
          <w:p w14:paraId="273211C7" w14:textId="67C40DFD"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37.045934°</w:t>
            </w:r>
          </w:p>
        </w:tc>
        <w:tc>
          <w:tcPr>
            <w:tcW w:w="1525" w:type="pct"/>
            <w:vAlign w:val="center"/>
          </w:tcPr>
          <w:p w14:paraId="46E0D7B5" w14:textId="0012EFA7"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34.922282°</w:t>
            </w:r>
          </w:p>
        </w:tc>
      </w:tr>
      <w:tr w:rsidR="00E16F66" w:rsidRPr="001E0229" w14:paraId="7281DA20" w14:textId="77777777" w:rsidTr="001E0229">
        <w:trPr>
          <w:trHeight w:val="284"/>
          <w:jc w:val="center"/>
        </w:trPr>
        <w:tc>
          <w:tcPr>
            <w:tcW w:w="1950" w:type="pct"/>
            <w:vAlign w:val="center"/>
          </w:tcPr>
          <w:p w14:paraId="77D146A5" w14:textId="708ABF2D"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SSP-4</w:t>
            </w:r>
          </w:p>
        </w:tc>
        <w:tc>
          <w:tcPr>
            <w:tcW w:w="1525" w:type="pct"/>
            <w:vAlign w:val="center"/>
          </w:tcPr>
          <w:p w14:paraId="3290156A" w14:textId="2B3FBFB1"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37.046080°</w:t>
            </w:r>
          </w:p>
        </w:tc>
        <w:tc>
          <w:tcPr>
            <w:tcW w:w="1525" w:type="pct"/>
            <w:vAlign w:val="center"/>
          </w:tcPr>
          <w:p w14:paraId="5C924585" w14:textId="08C27955"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34.922173°</w:t>
            </w:r>
          </w:p>
        </w:tc>
      </w:tr>
      <w:tr w:rsidR="00E16F66" w:rsidRPr="001E0229" w14:paraId="1829E9EB" w14:textId="77777777" w:rsidTr="001E0229">
        <w:trPr>
          <w:trHeight w:val="284"/>
          <w:jc w:val="center"/>
        </w:trPr>
        <w:tc>
          <w:tcPr>
            <w:tcW w:w="1950" w:type="pct"/>
            <w:vAlign w:val="center"/>
          </w:tcPr>
          <w:p w14:paraId="7A9A0385" w14:textId="3C26790B"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SSP-5</w:t>
            </w:r>
          </w:p>
        </w:tc>
        <w:tc>
          <w:tcPr>
            <w:tcW w:w="1525" w:type="pct"/>
            <w:vAlign w:val="center"/>
          </w:tcPr>
          <w:p w14:paraId="0185F5F0" w14:textId="237AEE1F"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37.045767°</w:t>
            </w:r>
          </w:p>
        </w:tc>
        <w:tc>
          <w:tcPr>
            <w:tcW w:w="1525" w:type="pct"/>
            <w:vAlign w:val="center"/>
          </w:tcPr>
          <w:p w14:paraId="0B38ABF7" w14:textId="746AF36D" w:rsidR="00E16F66" w:rsidRPr="001E0229" w:rsidRDefault="00E16F66" w:rsidP="001E0229">
            <w:pPr>
              <w:spacing w:before="0" w:after="0" w:line="240" w:lineRule="auto"/>
              <w:jc w:val="center"/>
              <w:rPr>
                <w:rFonts w:eastAsiaTheme="minorHAnsi"/>
                <w:sz w:val="18"/>
                <w:szCs w:val="18"/>
                <w:lang w:eastAsia="en-US"/>
              </w:rPr>
            </w:pPr>
            <w:r w:rsidRPr="001E0229">
              <w:rPr>
                <w:rFonts w:eastAsiaTheme="minorHAnsi"/>
                <w:sz w:val="18"/>
                <w:szCs w:val="18"/>
                <w:lang w:eastAsia="en-US"/>
              </w:rPr>
              <w:t>34.922581°</w:t>
            </w:r>
          </w:p>
        </w:tc>
      </w:tr>
    </w:tbl>
    <w:p w14:paraId="54B46270" w14:textId="77777777" w:rsidR="00937861" w:rsidRDefault="00937861" w:rsidP="007A5519">
      <w:pPr>
        <w:rPr>
          <w:rFonts w:eastAsiaTheme="minorHAnsi"/>
          <w:lang w:eastAsia="en-US"/>
        </w:rPr>
      </w:pPr>
    </w:p>
    <w:p w14:paraId="12DA3EDE" w14:textId="4FE38ACF" w:rsidR="00FD2854" w:rsidRDefault="003B560C" w:rsidP="002F52ED">
      <w:pPr>
        <w:spacing w:after="0"/>
        <w:rPr>
          <w:rFonts w:eastAsiaTheme="minorHAnsi"/>
          <w:lang w:eastAsia="en-US"/>
        </w:rPr>
      </w:pPr>
      <w:r>
        <w:rPr>
          <w:rFonts w:eastAsiaTheme="minorHAnsi"/>
          <w:noProof/>
          <w:lang w:eastAsia="en-US"/>
        </w:rPr>
        <w:lastRenderedPageBreak/>
        <w:drawing>
          <wp:inline distT="0" distB="0" distL="0" distR="0" wp14:anchorId="6750F439" wp14:editId="726924EC">
            <wp:extent cx="5761704" cy="4077335"/>
            <wp:effectExtent l="38100" t="38100" r="29845" b="37465"/>
            <wp:docPr id="554261227" name="Resim 55426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61227" name="Picture 55426122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1704" cy="4077335"/>
                    </a:xfrm>
                    <a:prstGeom prst="rect">
                      <a:avLst/>
                    </a:prstGeom>
                    <a:ln w="38100">
                      <a:solidFill>
                        <a:sysClr val="windowText" lastClr="000000"/>
                      </a:solidFill>
                    </a:ln>
                  </pic:spPr>
                </pic:pic>
              </a:graphicData>
            </a:graphic>
          </wp:inline>
        </w:drawing>
      </w:r>
    </w:p>
    <w:p w14:paraId="764401D0" w14:textId="649247EB" w:rsidR="0096150F" w:rsidRDefault="0096150F" w:rsidP="002F52ED">
      <w:pPr>
        <w:pStyle w:val="Caption"/>
        <w:rPr>
          <w:rFonts w:eastAsiaTheme="minorHAnsi"/>
        </w:rPr>
      </w:pPr>
      <w:bookmarkStart w:id="624" w:name="_Ref136332452"/>
      <w:bookmarkStart w:id="625" w:name="_Toc141445577"/>
      <w:r w:rsidRPr="002F52ED">
        <w:rPr>
          <w:color w:val="00B050"/>
        </w:rPr>
        <w:t xml:space="preserve">Figure </w:t>
      </w:r>
      <w:r>
        <w:rPr>
          <w:color w:val="00B050"/>
        </w:rPr>
        <w:fldChar w:fldCharType="begin"/>
      </w:r>
      <w:r>
        <w:rPr>
          <w:color w:val="00B050"/>
        </w:rPr>
        <w:instrText xml:space="preserve"> STYLEREF 1 \s </w:instrText>
      </w:r>
      <w:r>
        <w:rPr>
          <w:color w:val="00B050"/>
        </w:rPr>
        <w:fldChar w:fldCharType="separate"/>
      </w:r>
      <w:r>
        <w:rPr>
          <w:color w:val="00B050"/>
        </w:rPr>
        <w:t>6</w:t>
      </w:r>
      <w:r>
        <w:rPr>
          <w:color w:val="00B050"/>
        </w:rPr>
        <w:fldChar w:fldCharType="end"/>
      </w:r>
      <w:r>
        <w:rPr>
          <w:color w:val="00B050"/>
        </w:rPr>
        <w:noBreakHyphen/>
      </w:r>
      <w:r>
        <w:rPr>
          <w:color w:val="00B050"/>
        </w:rPr>
        <w:fldChar w:fldCharType="begin"/>
      </w:r>
      <w:r>
        <w:rPr>
          <w:color w:val="00B050"/>
        </w:rPr>
        <w:instrText xml:space="preserve"> SEQ Figure \* ARABIC \s 1 </w:instrText>
      </w:r>
      <w:r>
        <w:rPr>
          <w:color w:val="00B050"/>
        </w:rPr>
        <w:fldChar w:fldCharType="separate"/>
      </w:r>
      <w:r>
        <w:rPr>
          <w:color w:val="00B050"/>
        </w:rPr>
        <w:t>2</w:t>
      </w:r>
      <w:r>
        <w:rPr>
          <w:color w:val="00B050"/>
        </w:rPr>
        <w:fldChar w:fldCharType="end"/>
      </w:r>
      <w:bookmarkEnd w:id="624"/>
      <w:r w:rsidRPr="002F52ED">
        <w:rPr>
          <w:color w:val="00B050"/>
        </w:rPr>
        <w:t xml:space="preserve">. </w:t>
      </w:r>
      <w:r w:rsidRPr="002F52ED">
        <w:rPr>
          <w:b w:val="0"/>
          <w:bCs w:val="0"/>
          <w:color w:val="auto"/>
        </w:rPr>
        <w:t>Soil Sampl</w:t>
      </w:r>
      <w:r w:rsidR="00E93FD4">
        <w:rPr>
          <w:b w:val="0"/>
          <w:bCs w:val="0"/>
          <w:color w:val="auto"/>
        </w:rPr>
        <w:t>ing Locations</w:t>
      </w:r>
      <w:bookmarkEnd w:id="625"/>
    </w:p>
    <w:p w14:paraId="651CEE73" w14:textId="5ADDDDC8" w:rsidR="007A5519" w:rsidRPr="00EE43C6" w:rsidRDefault="00857646" w:rsidP="007A5519">
      <w:pPr>
        <w:rPr>
          <w:rFonts w:eastAsiaTheme="minorHAnsi"/>
          <w:lang w:eastAsia="en-US"/>
        </w:rPr>
      </w:pPr>
      <w:r w:rsidRPr="00857646">
        <w:rPr>
          <w:rFonts w:eastAsiaTheme="minorHAnsi"/>
          <w:lang w:eastAsia="en-US"/>
        </w:rPr>
        <w:t xml:space="preserve">If soil </w:t>
      </w:r>
      <w:r w:rsidR="009F689C">
        <w:rPr>
          <w:rFonts w:eastAsiaTheme="minorHAnsi"/>
          <w:lang w:eastAsia="en-US"/>
        </w:rPr>
        <w:t>contamination</w:t>
      </w:r>
      <w:r w:rsidRPr="00857646">
        <w:rPr>
          <w:rFonts w:eastAsiaTheme="minorHAnsi"/>
          <w:lang w:eastAsia="en-US"/>
        </w:rPr>
        <w:t xml:space="preserve"> is detected at the area, </w:t>
      </w:r>
      <w:r w:rsidR="00A31155">
        <w:rPr>
          <w:rFonts w:eastAsiaTheme="minorHAnsi"/>
          <w:lang w:eastAsia="en-US"/>
        </w:rPr>
        <w:t xml:space="preserve">Soil Management Plan </w:t>
      </w:r>
      <w:r w:rsidR="00A31766" w:rsidRPr="00A31766">
        <w:rPr>
          <w:rFonts w:eastAsiaTheme="minorHAnsi"/>
          <w:lang w:eastAsia="en-US"/>
        </w:rPr>
        <w:t>includ</w:t>
      </w:r>
      <w:r w:rsidR="00A31766">
        <w:rPr>
          <w:rFonts w:eastAsiaTheme="minorHAnsi"/>
          <w:lang w:eastAsia="en-US"/>
        </w:rPr>
        <w:t>ing</w:t>
      </w:r>
      <w:r w:rsidR="00A31766" w:rsidRPr="00A31766">
        <w:rPr>
          <w:rFonts w:eastAsiaTheme="minorHAnsi"/>
          <w:lang w:eastAsia="en-US"/>
        </w:rPr>
        <w:t xml:space="preserve"> studies to be carried out in this</w:t>
      </w:r>
      <w:r w:rsidR="00A31766">
        <w:rPr>
          <w:rFonts w:eastAsiaTheme="minorHAnsi"/>
          <w:lang w:eastAsia="en-US"/>
        </w:rPr>
        <w:t xml:space="preserve"> area </w:t>
      </w:r>
      <w:r w:rsidR="00A31155">
        <w:rPr>
          <w:rFonts w:eastAsiaTheme="minorHAnsi"/>
          <w:lang w:eastAsia="en-US"/>
        </w:rPr>
        <w:t xml:space="preserve">will be prepared and </w:t>
      </w:r>
      <w:r w:rsidR="003933DA">
        <w:rPr>
          <w:rFonts w:eastAsiaTheme="minorHAnsi"/>
          <w:lang w:eastAsia="en-US"/>
        </w:rPr>
        <w:t>g</w:t>
      </w:r>
      <w:r w:rsidR="003933DA" w:rsidRPr="003933DA">
        <w:rPr>
          <w:rFonts w:eastAsiaTheme="minorHAnsi"/>
          <w:lang w:eastAsia="en-US"/>
        </w:rPr>
        <w:t xml:space="preserve">round levelling works within the area will only be started </w:t>
      </w:r>
      <w:r w:rsidR="005B4BDA">
        <w:rPr>
          <w:rFonts w:eastAsiaTheme="minorHAnsi"/>
          <w:lang w:eastAsia="en-US"/>
        </w:rPr>
        <w:t xml:space="preserve">by the contractor </w:t>
      </w:r>
      <w:r w:rsidR="003933DA" w:rsidRPr="003933DA">
        <w:rPr>
          <w:rFonts w:eastAsiaTheme="minorHAnsi"/>
          <w:lang w:eastAsia="en-US"/>
        </w:rPr>
        <w:t xml:space="preserve">after the </w:t>
      </w:r>
      <w:r w:rsidRPr="00857646">
        <w:rPr>
          <w:rFonts w:eastAsiaTheme="minorHAnsi"/>
          <w:lang w:eastAsia="en-US"/>
        </w:rPr>
        <w:t xml:space="preserve">rehabilitation of the </w:t>
      </w:r>
      <w:r w:rsidR="003933DA" w:rsidRPr="003933DA">
        <w:rPr>
          <w:rFonts w:eastAsiaTheme="minorHAnsi"/>
          <w:lang w:eastAsia="en-US"/>
        </w:rPr>
        <w:t xml:space="preserve">area </w:t>
      </w:r>
      <w:r w:rsidR="003933DA">
        <w:rPr>
          <w:rFonts w:eastAsiaTheme="minorHAnsi"/>
          <w:lang w:eastAsia="en-US"/>
        </w:rPr>
        <w:t>in line with</w:t>
      </w:r>
      <w:r w:rsidRPr="00857646">
        <w:rPr>
          <w:rFonts w:eastAsiaTheme="minorHAnsi"/>
          <w:lang w:eastAsia="en-US"/>
        </w:rPr>
        <w:t xml:space="preserve"> the relevant regulation.</w:t>
      </w:r>
      <w:r w:rsidR="00F41C5E" w:rsidRPr="00EE43C6">
        <w:rPr>
          <w:rFonts w:eastAsiaTheme="minorHAnsi"/>
          <w:lang w:eastAsia="en-US"/>
        </w:rPr>
        <w:t xml:space="preserve"> </w:t>
      </w:r>
      <w:r w:rsidR="008D5E23" w:rsidRPr="00EE43C6">
        <w:rPr>
          <w:rFonts w:eastAsiaTheme="minorHAnsi"/>
          <w:lang w:eastAsia="en-US"/>
        </w:rPr>
        <w:t>Consequently</w:t>
      </w:r>
      <w:r w:rsidR="00F41C5E" w:rsidRPr="00EE43C6">
        <w:rPr>
          <w:rFonts w:eastAsiaTheme="minorHAnsi"/>
          <w:lang w:eastAsia="en-US"/>
        </w:rPr>
        <w:t xml:space="preserve">, </w:t>
      </w:r>
      <w:r w:rsidR="00E82596" w:rsidRPr="00EE43C6">
        <w:rPr>
          <w:rFonts w:eastAsiaTheme="minorHAnsi"/>
          <w:lang w:eastAsia="en-US"/>
        </w:rPr>
        <w:t>considering the land use and soil quality</w:t>
      </w:r>
      <w:r w:rsidR="00C1238A" w:rsidRPr="00EE43C6">
        <w:rPr>
          <w:rFonts w:eastAsiaTheme="minorHAnsi"/>
          <w:lang w:eastAsia="en-US"/>
        </w:rPr>
        <w:t xml:space="preserve"> assessment for</w:t>
      </w:r>
      <w:r w:rsidR="00E82596" w:rsidRPr="00EE43C6">
        <w:rPr>
          <w:rFonts w:eastAsiaTheme="minorHAnsi"/>
          <w:lang w:eastAsia="en-US"/>
        </w:rPr>
        <w:t xml:space="preserve"> the construction phase of the Project, </w:t>
      </w:r>
      <w:r w:rsidR="00F41C5E" w:rsidRPr="00EE43C6">
        <w:rPr>
          <w:rFonts w:eastAsiaTheme="minorHAnsi"/>
          <w:lang w:eastAsia="en-US"/>
        </w:rPr>
        <w:t xml:space="preserve">the concerned impact significance in the </w:t>
      </w:r>
      <w:r w:rsidR="00C1238A" w:rsidRPr="00EE43C6">
        <w:rPr>
          <w:rFonts w:eastAsiaTheme="minorHAnsi"/>
          <w:lang w:eastAsia="en-US"/>
        </w:rPr>
        <w:t>AoI</w:t>
      </w:r>
      <w:r w:rsidR="00837D0C" w:rsidRPr="00EE43C6">
        <w:rPr>
          <w:rFonts w:eastAsiaTheme="minorHAnsi"/>
          <w:lang w:eastAsia="en-US"/>
        </w:rPr>
        <w:t xml:space="preserve"> </w:t>
      </w:r>
      <w:r w:rsidR="00F41C5E" w:rsidRPr="00EE43C6">
        <w:rPr>
          <w:rFonts w:eastAsiaTheme="minorHAnsi"/>
          <w:lang w:eastAsia="en-US"/>
        </w:rPr>
        <w:t xml:space="preserve">of the </w:t>
      </w:r>
      <w:r w:rsidR="00837D0C" w:rsidRPr="00EE43C6">
        <w:rPr>
          <w:rFonts w:eastAsiaTheme="minorHAnsi"/>
          <w:lang w:eastAsia="en-US"/>
        </w:rPr>
        <w:t>Project</w:t>
      </w:r>
      <w:r w:rsidR="00F41C5E" w:rsidRPr="00EE43C6">
        <w:rPr>
          <w:rFonts w:eastAsiaTheme="minorHAnsi"/>
          <w:lang w:eastAsia="en-US"/>
        </w:rPr>
        <w:t xml:space="preserve"> is determined as </w:t>
      </w:r>
      <w:r w:rsidR="00837D0C" w:rsidRPr="00EE43C6">
        <w:rPr>
          <w:rFonts w:eastAsiaTheme="minorHAnsi"/>
          <w:lang w:eastAsia="en-US"/>
        </w:rPr>
        <w:t>high</w:t>
      </w:r>
      <w:r w:rsidR="00F41C5E" w:rsidRPr="00EE43C6">
        <w:rPr>
          <w:rFonts w:eastAsiaTheme="minorHAnsi"/>
          <w:lang w:eastAsia="en-US"/>
        </w:rPr>
        <w:t>.</w:t>
      </w:r>
    </w:p>
    <w:p w14:paraId="66A6C53C" w14:textId="77777777" w:rsidR="004B0A1B" w:rsidRPr="00EE43C6" w:rsidRDefault="004B0A1B" w:rsidP="004B0A1B">
      <w:pPr>
        <w:pStyle w:val="Heading3"/>
        <w:spacing w:after="240"/>
        <w:rPr>
          <w:rFonts w:eastAsia="Cambria"/>
          <w:noProof w:val="0"/>
        </w:rPr>
      </w:pPr>
      <w:bookmarkStart w:id="626" w:name="_Toc97306991"/>
      <w:bookmarkStart w:id="627" w:name="_Toc120016959"/>
      <w:bookmarkStart w:id="628" w:name="_Toc120004737"/>
      <w:bookmarkStart w:id="629" w:name="_Toc141445448"/>
      <w:r w:rsidRPr="00EE43C6">
        <w:rPr>
          <w:rFonts w:eastAsia="Cambria"/>
          <w:noProof w:val="0"/>
        </w:rPr>
        <w:t>Operation Phase</w:t>
      </w:r>
      <w:bookmarkEnd w:id="626"/>
      <w:bookmarkEnd w:id="627"/>
      <w:bookmarkEnd w:id="628"/>
      <w:bookmarkEnd w:id="629"/>
    </w:p>
    <w:p w14:paraId="58550839" w14:textId="6BCCD28A" w:rsidR="00146CDD" w:rsidRPr="00EE43C6" w:rsidRDefault="00BC1BFC" w:rsidP="00146CDD">
      <w:pPr>
        <w:rPr>
          <w:rFonts w:eastAsia="Cambria"/>
        </w:rPr>
      </w:pPr>
      <w:r w:rsidRPr="00EE43C6">
        <w:rPr>
          <w:rFonts w:eastAsia="Cambria"/>
        </w:rPr>
        <w:t xml:space="preserve">During operation phase of the </w:t>
      </w:r>
      <w:r w:rsidR="00B935E5" w:rsidRPr="00EE43C6">
        <w:rPr>
          <w:rFonts w:eastAsia="Cambria"/>
        </w:rPr>
        <w:t>OIZ</w:t>
      </w:r>
      <w:r w:rsidRPr="00EE43C6">
        <w:rPr>
          <w:rFonts w:eastAsia="Cambria"/>
        </w:rPr>
        <w:t xml:space="preserve">, operational activities will be performed with limited physical interaction with soil environment. In the operation phase of the </w:t>
      </w:r>
      <w:r w:rsidR="00B935E5" w:rsidRPr="00EE43C6">
        <w:rPr>
          <w:rFonts w:eastAsia="Cambria"/>
        </w:rPr>
        <w:t>OIZ</w:t>
      </w:r>
      <w:r w:rsidRPr="00EE43C6">
        <w:rPr>
          <w:rFonts w:eastAsia="Cambria"/>
        </w:rPr>
        <w:t xml:space="preserve">, no significant direct impacts on soil are anticipated under normal operating conditions. In general, impacts of operation phase are related with the risks arise during repair and maintenance works. These risks are spillage/leakage of wastewater, oil, and chemicals to soil and the permanent land use change at the Project Area, which is not used for any purpose before </w:t>
      </w:r>
      <w:r w:rsidR="008850CB" w:rsidRPr="00EE43C6">
        <w:rPr>
          <w:rFonts w:eastAsia="Cambria"/>
        </w:rPr>
        <w:t>the OIZ</w:t>
      </w:r>
      <w:r w:rsidRPr="00EE43C6">
        <w:rPr>
          <w:rFonts w:eastAsia="Cambria"/>
        </w:rPr>
        <w:t xml:space="preserve">. Therefore, the </w:t>
      </w:r>
      <w:r w:rsidR="00C83555" w:rsidRPr="00EE43C6">
        <w:rPr>
          <w:rFonts w:eastAsia="Cambria"/>
        </w:rPr>
        <w:t xml:space="preserve">concerned </w:t>
      </w:r>
      <w:r w:rsidRPr="00EE43C6">
        <w:rPr>
          <w:rFonts w:eastAsia="Cambria"/>
        </w:rPr>
        <w:t xml:space="preserve">impact significance </w:t>
      </w:r>
      <w:r w:rsidR="00606DB7" w:rsidRPr="00EE43C6">
        <w:rPr>
          <w:rFonts w:eastAsiaTheme="minorHAnsi"/>
          <w:lang w:eastAsia="en-US"/>
        </w:rPr>
        <w:t xml:space="preserve">the AoI of the Project </w:t>
      </w:r>
      <w:r w:rsidRPr="00EE43C6">
        <w:rPr>
          <w:rFonts w:eastAsia="Cambria"/>
        </w:rPr>
        <w:t>is determined as low.</w:t>
      </w:r>
    </w:p>
    <w:p w14:paraId="3ADF5F29" w14:textId="7627F16C" w:rsidR="007C20C3" w:rsidRPr="00EE43C6" w:rsidRDefault="007C20C3" w:rsidP="006A3316">
      <w:pPr>
        <w:pStyle w:val="Heading2"/>
        <w:ind w:hanging="718"/>
        <w:rPr>
          <w:rFonts w:eastAsia="Cambria"/>
          <w:lang w:val="en-GB"/>
        </w:rPr>
      </w:pPr>
      <w:bookmarkStart w:id="630" w:name="_Toc120016960"/>
      <w:bookmarkStart w:id="631" w:name="_Toc120004738"/>
      <w:bookmarkStart w:id="632" w:name="_Toc141445449"/>
      <w:r w:rsidRPr="00EE43C6">
        <w:rPr>
          <w:rFonts w:eastAsia="Cambria"/>
          <w:lang w:val="en-GB"/>
        </w:rPr>
        <w:lastRenderedPageBreak/>
        <w:t>Landscape</w:t>
      </w:r>
      <w:bookmarkEnd w:id="630"/>
      <w:bookmarkEnd w:id="631"/>
      <w:bookmarkEnd w:id="632"/>
      <w:r w:rsidRPr="00EE43C6">
        <w:rPr>
          <w:rFonts w:eastAsia="Cambria"/>
          <w:lang w:val="en-GB"/>
        </w:rPr>
        <w:t xml:space="preserve"> </w:t>
      </w:r>
    </w:p>
    <w:p w14:paraId="56EB217D" w14:textId="77D5406D" w:rsidR="006A4372" w:rsidRPr="00EE43C6" w:rsidRDefault="007C20C3" w:rsidP="007C20C3">
      <w:pPr>
        <w:pStyle w:val="Heading3"/>
        <w:spacing w:after="240"/>
        <w:rPr>
          <w:rFonts w:eastAsia="Cambria"/>
          <w:noProof w:val="0"/>
        </w:rPr>
      </w:pPr>
      <w:bookmarkStart w:id="633" w:name="_Toc120016961"/>
      <w:bookmarkStart w:id="634" w:name="_Toc120004739"/>
      <w:bookmarkStart w:id="635" w:name="_Toc141445450"/>
      <w:r w:rsidRPr="00EE43C6">
        <w:rPr>
          <w:rFonts w:eastAsia="Cambria"/>
          <w:noProof w:val="0"/>
        </w:rPr>
        <w:t xml:space="preserve">Construction </w:t>
      </w:r>
      <w:r w:rsidR="003943C3" w:rsidRPr="00EE43C6">
        <w:rPr>
          <w:rFonts w:eastAsia="Cambria"/>
          <w:noProof w:val="0"/>
        </w:rPr>
        <w:t xml:space="preserve">and Operation </w:t>
      </w:r>
      <w:r w:rsidRPr="00EE43C6">
        <w:rPr>
          <w:rFonts w:eastAsia="Cambria"/>
          <w:noProof w:val="0"/>
        </w:rPr>
        <w:t>Phase</w:t>
      </w:r>
      <w:r w:rsidR="003943C3" w:rsidRPr="00EE43C6">
        <w:rPr>
          <w:rFonts w:eastAsia="Cambria"/>
          <w:noProof w:val="0"/>
        </w:rPr>
        <w:t>s</w:t>
      </w:r>
      <w:bookmarkEnd w:id="633"/>
      <w:bookmarkEnd w:id="634"/>
      <w:bookmarkEnd w:id="635"/>
    </w:p>
    <w:p w14:paraId="58DE7EBF" w14:textId="7C642B3F" w:rsidR="007C20C3" w:rsidRDefault="00D35FAA" w:rsidP="007C20C3">
      <w:r w:rsidRPr="00EE43C6">
        <w:t>The Project includes the basic infrastructure of the OIZ. In this sense,</w:t>
      </w:r>
      <w:r w:rsidR="00681375" w:rsidRPr="00EE43C6">
        <w:t xml:space="preserve"> there is a landscape change </w:t>
      </w:r>
      <w:r w:rsidR="00EA763C" w:rsidRPr="00EE43C6">
        <w:t>that covers a large area</w:t>
      </w:r>
      <w:r w:rsidR="002B1FFE" w:rsidRPr="00EE43C6">
        <w:t xml:space="preserve"> within the AoI of the Project</w:t>
      </w:r>
      <w:r w:rsidR="00681375" w:rsidRPr="00EE43C6">
        <w:t>.</w:t>
      </w:r>
      <w:r w:rsidRPr="00EE43C6">
        <w:t xml:space="preserve"> The </w:t>
      </w:r>
      <w:r w:rsidR="00AB6DC4" w:rsidRPr="00EE43C6">
        <w:t xml:space="preserve">all </w:t>
      </w:r>
      <w:r w:rsidRPr="00EE43C6">
        <w:t xml:space="preserve">units to be built will be realized in accordance with the planning of the </w:t>
      </w:r>
      <w:r w:rsidR="00AB6DC4" w:rsidRPr="00EE43C6">
        <w:t xml:space="preserve">OIZ. </w:t>
      </w:r>
      <w:r w:rsidRPr="00EE43C6">
        <w:t>For this reason, no effect on the visual effect is expected, and the residual impact for landscape and visual will be negligible throughout the construction and operation phases.</w:t>
      </w:r>
    </w:p>
    <w:p w14:paraId="1E4645D9" w14:textId="2F376CEA" w:rsidR="006F4D98" w:rsidRDefault="006F4D98" w:rsidP="007C20C3">
      <w:pPr>
        <w:rPr>
          <w:b/>
          <w:bCs/>
          <w:u w:val="single"/>
        </w:rPr>
      </w:pPr>
      <w:r w:rsidRPr="002F52ED">
        <w:rPr>
          <w:b/>
          <w:bCs/>
          <w:u w:val="single"/>
        </w:rPr>
        <w:t xml:space="preserve">Use of </w:t>
      </w:r>
      <w:r w:rsidR="00C22F81" w:rsidRPr="002F52ED">
        <w:rPr>
          <w:b/>
          <w:bCs/>
          <w:u w:val="single"/>
        </w:rPr>
        <w:t>Pesticides</w:t>
      </w:r>
    </w:p>
    <w:p w14:paraId="7AAD0A53" w14:textId="3D8FF808" w:rsidR="00BC334A" w:rsidRDefault="00724183" w:rsidP="00BC334A">
      <w:r w:rsidRPr="00724183">
        <w:t xml:space="preserve">In case of pesticide use during the landscaping works for the operation phase of the </w:t>
      </w:r>
      <w:r>
        <w:t>P</w:t>
      </w:r>
      <w:r w:rsidRPr="00724183">
        <w:t>roject,</w:t>
      </w:r>
      <w:r w:rsidR="004033A7">
        <w:t xml:space="preserve"> </w:t>
      </w:r>
      <w:r w:rsidR="00C757EA">
        <w:t xml:space="preserve">in </w:t>
      </w:r>
      <w:r w:rsidR="00452C19">
        <w:t xml:space="preserve">order to ensure compliance </w:t>
      </w:r>
      <w:r w:rsidR="00C05FAB">
        <w:t xml:space="preserve">with </w:t>
      </w:r>
      <w:r w:rsidR="004A5E08">
        <w:t xml:space="preserve">WB </w:t>
      </w:r>
      <w:r w:rsidR="00C05FAB">
        <w:t xml:space="preserve">ESS 3, </w:t>
      </w:r>
      <w:r w:rsidR="0036479A" w:rsidRPr="0036479A">
        <w:t>the following items shall be taken into consideration</w:t>
      </w:r>
      <w:r w:rsidR="0036479A">
        <w:t>.</w:t>
      </w:r>
      <w:r w:rsidR="00C05FAB">
        <w:t xml:space="preserve"> </w:t>
      </w:r>
    </w:p>
    <w:p w14:paraId="531DFBB7" w14:textId="77777777" w:rsidR="00BC334A" w:rsidRDefault="004033A7" w:rsidP="001E0229">
      <w:pPr>
        <w:pStyle w:val="ListParagraph"/>
        <w:numPr>
          <w:ilvl w:val="0"/>
          <w:numId w:val="59"/>
        </w:numPr>
        <w:spacing w:before="120"/>
        <w:ind w:left="714" w:hanging="357"/>
        <w:contextualSpacing w:val="0"/>
      </w:pPr>
      <w:r>
        <w:t>w</w:t>
      </w:r>
      <w:r w:rsidRPr="004033A7">
        <w:t>here practicable, avoiding or minimizing the use of</w:t>
      </w:r>
      <w:r>
        <w:t xml:space="preserve"> </w:t>
      </w:r>
      <w:r w:rsidR="005660B2">
        <w:t>persistent organic pollutants (POPs) in pesticides formulation.</w:t>
      </w:r>
    </w:p>
    <w:p w14:paraId="2BEFD44B" w14:textId="525D6FAE" w:rsidR="00C22F81" w:rsidRDefault="00BC334A" w:rsidP="001E0229">
      <w:pPr>
        <w:pStyle w:val="ListParagraph"/>
        <w:numPr>
          <w:ilvl w:val="0"/>
          <w:numId w:val="59"/>
        </w:numPr>
        <w:spacing w:before="120"/>
        <w:ind w:left="714" w:hanging="357"/>
        <w:contextualSpacing w:val="0"/>
      </w:pPr>
      <w:r>
        <w:t>Following safety guidelines for the storage, transport, and distribution of pesticides to minimize the potential for misuse, spills, and accidental human exposure</w:t>
      </w:r>
      <w:r w:rsidR="002F59CC">
        <w:t>.</w:t>
      </w:r>
    </w:p>
    <w:p w14:paraId="0644F24C" w14:textId="640F6C8F" w:rsidR="007E642D" w:rsidRPr="00C22F81" w:rsidRDefault="000D6860" w:rsidP="001E0229">
      <w:pPr>
        <w:pStyle w:val="ListParagraph"/>
        <w:numPr>
          <w:ilvl w:val="0"/>
          <w:numId w:val="59"/>
        </w:numPr>
        <w:spacing w:before="120"/>
        <w:ind w:left="714" w:hanging="357"/>
        <w:contextualSpacing w:val="0"/>
      </w:pPr>
      <w:r>
        <w:t>Usage of p</w:t>
      </w:r>
      <w:r w:rsidRPr="002539CA">
        <w:t xml:space="preserve">esticides containing the chemicals listed in </w:t>
      </w:r>
      <w:r w:rsidR="007E642D" w:rsidRPr="002539CA">
        <w:t xml:space="preserve">The Rotterdam Convention on the Prior Informed Consent Procedure for Certain Hazardous Chemicals and Pesticides in International Trade, Annex III, </w:t>
      </w:r>
      <w:r w:rsidRPr="002539CA">
        <w:t xml:space="preserve">will be </w:t>
      </w:r>
      <w:r w:rsidR="007E642D" w:rsidRPr="002539CA">
        <w:t>avoided.</w:t>
      </w:r>
    </w:p>
    <w:p w14:paraId="43DA595E" w14:textId="21A81BD4" w:rsidR="004339AC" w:rsidRPr="00EE43C6" w:rsidRDefault="21C7EA33" w:rsidP="006A3316">
      <w:pPr>
        <w:pStyle w:val="Heading2"/>
        <w:ind w:hanging="718"/>
        <w:rPr>
          <w:rFonts w:eastAsia="Cambria"/>
          <w:lang w:val="en-GB"/>
        </w:rPr>
      </w:pPr>
      <w:bookmarkStart w:id="636" w:name="_Toc82779458"/>
      <w:bookmarkStart w:id="637" w:name="_Toc83648125"/>
      <w:bookmarkStart w:id="638" w:name="_Toc80633571"/>
      <w:bookmarkStart w:id="639" w:name="_Toc120016963"/>
      <w:bookmarkStart w:id="640" w:name="_Toc120004740"/>
      <w:bookmarkStart w:id="641" w:name="_Toc141445451"/>
      <w:bookmarkEnd w:id="636"/>
      <w:bookmarkEnd w:id="637"/>
      <w:r w:rsidRPr="00EE43C6">
        <w:rPr>
          <w:rFonts w:eastAsia="Cambria"/>
          <w:lang w:val="en-GB"/>
        </w:rPr>
        <w:t>Biodiversity</w:t>
      </w:r>
      <w:bookmarkEnd w:id="638"/>
      <w:r w:rsidR="1D0BE5F3" w:rsidRPr="00EE43C6">
        <w:rPr>
          <w:rFonts w:eastAsia="Cambria"/>
          <w:lang w:val="en-GB"/>
        </w:rPr>
        <w:t xml:space="preserve"> and Protected Areas</w:t>
      </w:r>
      <w:bookmarkEnd w:id="639"/>
      <w:bookmarkEnd w:id="640"/>
      <w:bookmarkEnd w:id="641"/>
    </w:p>
    <w:p w14:paraId="7A88CB48" w14:textId="77777777" w:rsidR="0057306C" w:rsidRPr="00EE43C6" w:rsidRDefault="0057306C" w:rsidP="0057306C">
      <w:pPr>
        <w:pStyle w:val="Heading3"/>
        <w:spacing w:after="240"/>
        <w:rPr>
          <w:rFonts w:eastAsia="Cambria"/>
          <w:noProof w:val="0"/>
        </w:rPr>
      </w:pPr>
      <w:bookmarkStart w:id="642" w:name="_Toc141445452"/>
      <w:bookmarkStart w:id="643" w:name="_Toc80278351"/>
      <w:r w:rsidRPr="00EE43C6">
        <w:rPr>
          <w:rFonts w:eastAsia="Cambria"/>
          <w:noProof w:val="0"/>
        </w:rPr>
        <w:t>Construction and Operation Phases</w:t>
      </w:r>
      <w:bookmarkEnd w:id="642"/>
    </w:p>
    <w:p w14:paraId="0C7FCB39" w14:textId="26C1A193" w:rsidR="6B11CD1A" w:rsidRPr="00EE43C6" w:rsidRDefault="6B11CD1A" w:rsidP="1C429C64">
      <w:r w:rsidRPr="00EE43C6">
        <w:t xml:space="preserve">The Project </w:t>
      </w:r>
      <w:r w:rsidRPr="00EE43C6">
        <w:rPr>
          <w:rFonts w:cs="Arial"/>
        </w:rPr>
        <w:t xml:space="preserve">will be located within a modified habitat. </w:t>
      </w:r>
      <w:r w:rsidRPr="00EE43C6">
        <w:t xml:space="preserve">The distribution of natural flora and fauna in the project area is very limited. </w:t>
      </w:r>
      <w:r w:rsidR="79363017" w:rsidRPr="00EE43C6">
        <w:t xml:space="preserve">However, according to the IUCN red list; </w:t>
      </w:r>
      <w:r w:rsidR="004421E4">
        <w:t xml:space="preserve">as fauna species </w:t>
      </w:r>
      <w:r w:rsidR="79363017" w:rsidRPr="00EE43C6">
        <w:rPr>
          <w:i/>
          <w:iCs/>
        </w:rPr>
        <w:t>Aquila nipalensis</w:t>
      </w:r>
      <w:r w:rsidR="79363017" w:rsidRPr="00EE43C6">
        <w:t xml:space="preserve"> and </w:t>
      </w:r>
      <w:r w:rsidR="79363017" w:rsidRPr="00EE43C6">
        <w:rPr>
          <w:i/>
          <w:iCs/>
        </w:rPr>
        <w:t>Neophron percnopterus</w:t>
      </w:r>
      <w:r w:rsidR="79363017" w:rsidRPr="00EE43C6">
        <w:t xml:space="preserve"> in the EN category and </w:t>
      </w:r>
      <w:r w:rsidR="79363017" w:rsidRPr="00EE43C6">
        <w:rPr>
          <w:i/>
          <w:iCs/>
        </w:rPr>
        <w:t>Streptopelia turtur, Emberiza rustica</w:t>
      </w:r>
      <w:r w:rsidR="79363017" w:rsidRPr="00EE43C6">
        <w:t xml:space="preserve"> and </w:t>
      </w:r>
      <w:r w:rsidR="79363017" w:rsidRPr="00EE43C6">
        <w:rPr>
          <w:i/>
          <w:iCs/>
        </w:rPr>
        <w:t>Testudo graeca</w:t>
      </w:r>
      <w:r w:rsidR="79363017" w:rsidRPr="00EE43C6">
        <w:t xml:space="preserve"> in the VU category are located in the project impact area. In addition, the endemic flora species </w:t>
      </w:r>
      <w:r w:rsidR="79363017" w:rsidRPr="00EE43C6">
        <w:rPr>
          <w:i/>
          <w:iCs/>
        </w:rPr>
        <w:t>Arabis aubrietioides, Aubrieta canescens, Astragalus condensatus</w:t>
      </w:r>
      <w:r w:rsidR="79363017" w:rsidRPr="00EE43C6">
        <w:t xml:space="preserve"> and </w:t>
      </w:r>
      <w:r w:rsidR="79363017" w:rsidRPr="00EE43C6">
        <w:rPr>
          <w:i/>
          <w:iCs/>
        </w:rPr>
        <w:t>Marrubium globosum</w:t>
      </w:r>
      <w:r w:rsidR="79363017" w:rsidRPr="00EE43C6">
        <w:t xml:space="preserve"> subsp. </w:t>
      </w:r>
      <w:r w:rsidR="79363017" w:rsidRPr="00EE43C6">
        <w:rPr>
          <w:i/>
          <w:iCs/>
        </w:rPr>
        <w:t xml:space="preserve">globosum </w:t>
      </w:r>
      <w:r w:rsidR="79363017" w:rsidRPr="00EE43C6">
        <w:t xml:space="preserve">and the reptilian species </w:t>
      </w:r>
      <w:r w:rsidR="79363017" w:rsidRPr="00EE43C6">
        <w:rPr>
          <w:i/>
          <w:iCs/>
        </w:rPr>
        <w:t>Anatolacerta danfordi</w:t>
      </w:r>
      <w:r w:rsidR="79363017" w:rsidRPr="00EE43C6">
        <w:t xml:space="preserve"> are known to spread in the project impact area.</w:t>
      </w:r>
    </w:p>
    <w:p w14:paraId="64720F3B" w14:textId="572B2CC3" w:rsidR="1B4E1004" w:rsidRPr="00EE43C6" w:rsidRDefault="1B4E1004" w:rsidP="1C429C64">
      <w:r w:rsidRPr="00EE43C6">
        <w:t xml:space="preserve">Vegetation clearing during the construction phase may result in the destruction of floral species of conservation </w:t>
      </w:r>
      <w:r w:rsidR="00155E7A">
        <w:t>interest</w:t>
      </w:r>
      <w:r w:rsidRPr="00EE43C6">
        <w:t>.</w:t>
      </w:r>
    </w:p>
    <w:p w14:paraId="076F7BF3" w14:textId="5F6442F8" w:rsidR="1B4E1004" w:rsidRPr="00EE43C6" w:rsidRDefault="1B4E1004" w:rsidP="1C429C64">
      <w:r w:rsidRPr="00EE43C6">
        <w:t>Small and less mobile species can become trapped, injured and killed during vegetation clearing and earth works.</w:t>
      </w:r>
    </w:p>
    <w:p w14:paraId="29232172" w14:textId="77777777" w:rsidR="001E0229" w:rsidRDefault="001E0229">
      <w:pPr>
        <w:spacing w:before="0" w:after="200" w:line="276" w:lineRule="auto"/>
        <w:jc w:val="left"/>
      </w:pPr>
      <w:r>
        <w:br w:type="page"/>
      </w:r>
    </w:p>
    <w:p w14:paraId="47669965" w14:textId="594437F2" w:rsidR="6AAE578D" w:rsidRPr="00EE43C6" w:rsidRDefault="6AAE578D" w:rsidP="1C429C64">
      <w:r w:rsidRPr="00EE43C6">
        <w:lastRenderedPageBreak/>
        <w:t xml:space="preserve">Fauna of particular concern in this context include: </w:t>
      </w:r>
    </w:p>
    <w:p w14:paraId="3DB25775" w14:textId="5DC2ECC8" w:rsidR="6AAE578D" w:rsidRPr="00EE43C6" w:rsidRDefault="6AAE578D" w:rsidP="00854BE8">
      <w:pPr>
        <w:pStyle w:val="ListParagraph"/>
        <w:numPr>
          <w:ilvl w:val="0"/>
          <w:numId w:val="33"/>
        </w:numPr>
        <w:spacing w:after="240"/>
        <w:rPr>
          <w:noProof w:val="0"/>
        </w:rPr>
      </w:pPr>
      <w:r w:rsidRPr="00EE43C6">
        <w:rPr>
          <w:noProof w:val="0"/>
        </w:rPr>
        <w:t xml:space="preserve">Fossorial mammals (e.g. moles, rodents);  </w:t>
      </w:r>
    </w:p>
    <w:p w14:paraId="40B67C56" w14:textId="7ECCC745" w:rsidR="6AAE578D" w:rsidRPr="00EE43C6" w:rsidRDefault="6AAE578D" w:rsidP="00854BE8">
      <w:pPr>
        <w:pStyle w:val="ListParagraph"/>
        <w:numPr>
          <w:ilvl w:val="0"/>
          <w:numId w:val="33"/>
        </w:numPr>
        <w:spacing w:after="240"/>
        <w:rPr>
          <w:noProof w:val="0"/>
        </w:rPr>
      </w:pPr>
      <w:r w:rsidRPr="00EE43C6">
        <w:rPr>
          <w:noProof w:val="0"/>
        </w:rPr>
        <w:t xml:space="preserve">Nesting birds (ground and tree nesting); and </w:t>
      </w:r>
    </w:p>
    <w:p w14:paraId="7273900C" w14:textId="2AD733C1" w:rsidR="6AAE578D" w:rsidRPr="00EE43C6" w:rsidRDefault="6AAE578D" w:rsidP="00854BE8">
      <w:pPr>
        <w:pStyle w:val="ListParagraph"/>
        <w:numPr>
          <w:ilvl w:val="0"/>
          <w:numId w:val="33"/>
        </w:numPr>
        <w:spacing w:after="240"/>
        <w:rPr>
          <w:noProof w:val="0"/>
        </w:rPr>
      </w:pPr>
      <w:r w:rsidRPr="00EE43C6">
        <w:rPr>
          <w:noProof w:val="0"/>
        </w:rPr>
        <w:t xml:space="preserve">Reptiles and amphibians.  </w:t>
      </w:r>
    </w:p>
    <w:p w14:paraId="304900CB" w14:textId="4F61668C" w:rsidR="1B4E1004" w:rsidRPr="00EE43C6" w:rsidRDefault="1B4E1004" w:rsidP="1C429C64">
      <w:r w:rsidRPr="00EE43C6">
        <w:t>Other common causes of fauna injury, death or disturbance during the construction include:</w:t>
      </w:r>
    </w:p>
    <w:p w14:paraId="5698E14C" w14:textId="5619FDA0" w:rsidR="1B4E1004" w:rsidRPr="00EE43C6" w:rsidRDefault="1B4E1004" w:rsidP="1C429C64">
      <w:pPr>
        <w:pStyle w:val="ListParagraph"/>
        <w:numPr>
          <w:ilvl w:val="0"/>
          <w:numId w:val="1"/>
        </w:numPr>
        <w:spacing w:after="240"/>
        <w:rPr>
          <w:noProof w:val="0"/>
        </w:rPr>
      </w:pPr>
      <w:r w:rsidRPr="00EE43C6">
        <w:rPr>
          <w:noProof w:val="0"/>
        </w:rPr>
        <w:t>Vehicle-wildlife collisions access roads;</w:t>
      </w:r>
    </w:p>
    <w:p w14:paraId="45A34528" w14:textId="38841795" w:rsidR="1B4E1004" w:rsidRPr="00EE43C6" w:rsidRDefault="1B4E1004" w:rsidP="1C429C64">
      <w:pPr>
        <w:pStyle w:val="ListParagraph"/>
        <w:numPr>
          <w:ilvl w:val="0"/>
          <w:numId w:val="1"/>
        </w:numPr>
        <w:spacing w:after="240"/>
        <w:rPr>
          <w:noProof w:val="0"/>
        </w:rPr>
      </w:pPr>
      <w:r w:rsidRPr="00EE43C6">
        <w:rPr>
          <w:noProof w:val="0"/>
        </w:rPr>
        <w:t>Hunting, trapping and poisoning of larger fauna by construction workers and contractors; and</w:t>
      </w:r>
    </w:p>
    <w:p w14:paraId="533938C3" w14:textId="553667E4" w:rsidR="1B4E1004" w:rsidRPr="00EE43C6" w:rsidRDefault="1B4E1004" w:rsidP="1C429C64">
      <w:pPr>
        <w:pStyle w:val="ListParagraph"/>
        <w:numPr>
          <w:ilvl w:val="0"/>
          <w:numId w:val="1"/>
        </w:numPr>
        <w:spacing w:after="240"/>
        <w:rPr>
          <w:noProof w:val="0"/>
        </w:rPr>
      </w:pPr>
      <w:r w:rsidRPr="00EE43C6">
        <w:rPr>
          <w:noProof w:val="0"/>
        </w:rPr>
        <w:t>Fauna trapped/caught in infrastructure, such as fences and excavations</w:t>
      </w:r>
    </w:p>
    <w:p w14:paraId="3747484F" w14:textId="5FFF953F" w:rsidR="5DE1E41B" w:rsidRPr="00EE43C6" w:rsidRDefault="5DE1E41B" w:rsidP="1C429C64">
      <w:r w:rsidRPr="00EE43C6">
        <w:t xml:space="preserve">The disturbance and displacement of resident fauna species within the footprint will primarily be caused by light, noise and vibration impacts during construction.  </w:t>
      </w:r>
    </w:p>
    <w:p w14:paraId="3ECB53EC" w14:textId="18F98C9B" w:rsidR="5DE1E41B" w:rsidRPr="00EE43C6" w:rsidRDefault="5DE1E41B" w:rsidP="1C429C64">
      <w:r w:rsidRPr="00EE43C6">
        <w:t>Noise, light and vibration disturbances have the potential to influence breeding, roosting or foraging behaviour of fauna. During the construction phase temporary impacts from the Project are expected. Noise will be the primary disturbance of this nature due to vegetation clearing, excavation, movement of materials and general construction activities. These activities will introduce noise sources to areas not currently exposed to these disturbances. In addition, there may be vibration associated with activities and the movement of any vehicles/machinery</w:t>
      </w:r>
    </w:p>
    <w:p w14:paraId="333715C0" w14:textId="69C3CEE6" w:rsidR="1B4E1004" w:rsidRPr="00EE43C6" w:rsidRDefault="1B4E1004" w:rsidP="1C429C64">
      <w:r w:rsidRPr="00EE43C6">
        <w:t>Land preparation has the potential to generate dust which may settle on vegetation adjacent to the construction area (including access roads). Excessive dust deposition on flora may act to suppress growth through limiting photosynthesis and the dusted foliage may also become unpalatable to foraging fauna</w:t>
      </w:r>
      <w:r w:rsidR="004C0F67" w:rsidRPr="00EE43C6">
        <w:t>.</w:t>
      </w:r>
    </w:p>
    <w:p w14:paraId="209DB745" w14:textId="5316BF2E" w:rsidR="1B4E1004" w:rsidRPr="00EE43C6" w:rsidRDefault="1B4E1004" w:rsidP="1C429C64">
      <w:r w:rsidRPr="00EE43C6">
        <w:t xml:space="preserve">There may be habitat pollution from wastes from construction works. </w:t>
      </w:r>
    </w:p>
    <w:p w14:paraId="6E270027" w14:textId="65061C3D" w:rsidR="1B4E1004" w:rsidRPr="00EE43C6" w:rsidRDefault="1B4E1004" w:rsidP="1C429C64">
      <w:r w:rsidRPr="00EE43C6">
        <w:t>The clearing of new areas may provide opportunities for the introduction of alien invasive species</w:t>
      </w:r>
      <w:r w:rsidR="3091FCDC" w:rsidRPr="00EE43C6">
        <w:t xml:space="preserve">. </w:t>
      </w:r>
      <w:r w:rsidRPr="00EE43C6">
        <w:t xml:space="preserve">Clearance of vegetation and disturbances caused by earthworks can create conditions conducive to the establishment and rapid spread of alien invasive vegetation. If left uncontrolled, alien species can spread exponentially, </w:t>
      </w:r>
      <w:r w:rsidR="00840470" w:rsidRPr="00EE43C6">
        <w:t>suppressing,</w:t>
      </w:r>
      <w:r w:rsidRPr="00EE43C6">
        <w:t xml:space="preserve"> or replacing native vegetation. This may lead to disruption of ecosystem functioning and loss of biodiversity.</w:t>
      </w:r>
    </w:p>
    <w:p w14:paraId="4C8E7E86" w14:textId="1889BDDD" w:rsidR="1B4E1004" w:rsidRPr="00EE43C6" w:rsidRDefault="1B4E1004" w:rsidP="1C429C64">
      <w:r w:rsidRPr="00EE43C6">
        <w:t xml:space="preserve">Alien invasive plants can potentially be established in all areas where construction activities will disrupt existing vegetation. </w:t>
      </w:r>
    </w:p>
    <w:p w14:paraId="481AA11A" w14:textId="0E4299A7" w:rsidR="00C136EF" w:rsidRDefault="6B11CD1A" w:rsidP="1C429C64">
      <w:pPr>
        <w:rPr>
          <w:rFonts w:cs="Wingdings"/>
          <w:szCs w:val="18"/>
        </w:rPr>
      </w:pPr>
      <w:r w:rsidRPr="00EE43C6">
        <w:t xml:space="preserve">Since the activities to be carried out will be limited to the project area, </w:t>
      </w:r>
      <w:r w:rsidRPr="00EE43C6">
        <w:rPr>
          <w:rFonts w:eastAsia="Wingdings" w:cs="Wingdings"/>
        </w:rPr>
        <w:t>no impact will be of concern for the Nationally Protected Areas and the Internationally Recognized Areas.</w:t>
      </w:r>
      <w:r w:rsidRPr="00EE43C6">
        <w:t xml:space="preserve"> In addition, the B</w:t>
      </w:r>
      <w:r w:rsidR="518AF054" w:rsidRPr="00EE43C6">
        <w:t xml:space="preserve">olkar Mountains </w:t>
      </w:r>
      <w:r w:rsidRPr="00EE43C6">
        <w:t xml:space="preserve">KBA located at a distance of approximately </w:t>
      </w:r>
      <w:r w:rsidR="646F7101" w:rsidRPr="00EE43C6">
        <w:t>11</w:t>
      </w:r>
      <w:r w:rsidRPr="00EE43C6">
        <w:t xml:space="preserve"> km is not likely to be affected.</w:t>
      </w:r>
    </w:p>
    <w:p w14:paraId="7CC81CB4" w14:textId="20371C6D" w:rsidR="002A38E9" w:rsidRPr="002A38E9" w:rsidRDefault="002A38E9" w:rsidP="1C429C64">
      <w:pPr>
        <w:rPr>
          <w:rFonts w:cs="Wingdings"/>
          <w:szCs w:val="18"/>
        </w:rPr>
      </w:pPr>
      <w:r w:rsidRPr="0020792F">
        <w:rPr>
          <w:rFonts w:cs="Wingdings"/>
          <w:szCs w:val="18"/>
        </w:rPr>
        <w:t>Considering the evaluations made, the impact significance of the Project on biodiversity during the construction and operation phases has been determined as medium.</w:t>
      </w:r>
    </w:p>
    <w:p w14:paraId="52B7854F" w14:textId="77777777" w:rsidR="004339AC" w:rsidRPr="00EE43C6" w:rsidRDefault="004339AC" w:rsidP="006A3316">
      <w:pPr>
        <w:pStyle w:val="Heading2"/>
        <w:ind w:hanging="718"/>
        <w:rPr>
          <w:rFonts w:eastAsia="Cambria"/>
          <w:lang w:val="en-GB"/>
        </w:rPr>
      </w:pPr>
      <w:bookmarkStart w:id="644" w:name="_Toc120016964"/>
      <w:bookmarkStart w:id="645" w:name="_Toc120004741"/>
      <w:bookmarkStart w:id="646" w:name="_Toc141445453"/>
      <w:r w:rsidRPr="00EE43C6">
        <w:rPr>
          <w:rFonts w:eastAsia="Cambria"/>
          <w:lang w:val="en-GB"/>
        </w:rPr>
        <w:lastRenderedPageBreak/>
        <w:t>Population / Demography</w:t>
      </w:r>
      <w:bookmarkEnd w:id="643"/>
      <w:bookmarkEnd w:id="644"/>
      <w:bookmarkEnd w:id="645"/>
      <w:bookmarkEnd w:id="646"/>
      <w:r w:rsidRPr="00EE43C6">
        <w:rPr>
          <w:rFonts w:eastAsia="Cambria"/>
          <w:lang w:val="en-GB"/>
        </w:rPr>
        <w:t xml:space="preserve"> </w:t>
      </w:r>
    </w:p>
    <w:p w14:paraId="658202E3" w14:textId="77777777" w:rsidR="004339AC" w:rsidRPr="00EE43C6" w:rsidRDefault="004339AC" w:rsidP="004339AC">
      <w:pPr>
        <w:pStyle w:val="Heading3"/>
        <w:spacing w:after="240"/>
        <w:rPr>
          <w:rFonts w:eastAsia="Arial TUR"/>
          <w:noProof w:val="0"/>
        </w:rPr>
      </w:pPr>
      <w:bookmarkStart w:id="647" w:name="_Toc80278352"/>
      <w:bookmarkStart w:id="648" w:name="_Toc120016965"/>
      <w:bookmarkStart w:id="649" w:name="_Toc120004742"/>
      <w:bookmarkStart w:id="650" w:name="_Toc141445454"/>
      <w:r w:rsidRPr="00EE43C6">
        <w:rPr>
          <w:rFonts w:eastAsia="Arial TUR"/>
          <w:noProof w:val="0"/>
        </w:rPr>
        <w:t>Construction and Operational Phases</w:t>
      </w:r>
      <w:bookmarkEnd w:id="647"/>
      <w:bookmarkEnd w:id="648"/>
      <w:bookmarkEnd w:id="649"/>
      <w:bookmarkEnd w:id="650"/>
      <w:r w:rsidRPr="00EE43C6">
        <w:rPr>
          <w:rFonts w:eastAsia="Arial TUR"/>
          <w:noProof w:val="0"/>
        </w:rPr>
        <w:t xml:space="preserve"> </w:t>
      </w:r>
    </w:p>
    <w:p w14:paraId="4C557A7C" w14:textId="753B74B5" w:rsidR="00B5274C" w:rsidRPr="00EE43C6" w:rsidRDefault="00F401F1" w:rsidP="2DB09FEA">
      <w:pPr>
        <w:rPr>
          <w:rFonts w:cs="Arial"/>
        </w:rPr>
      </w:pPr>
      <w:r w:rsidRPr="2DB09FEA">
        <w:rPr>
          <w:rFonts w:cs="Wingdings"/>
        </w:rPr>
        <w:t xml:space="preserve">It is foreseen that no accommodation facilities will </w:t>
      </w:r>
      <w:r w:rsidR="56070FC8" w:rsidRPr="2DB09FEA">
        <w:rPr>
          <w:rFonts w:cs="Wingdings"/>
        </w:rPr>
        <w:t xml:space="preserve">need to </w:t>
      </w:r>
      <w:r w:rsidRPr="2DB09FEA">
        <w:rPr>
          <w:rFonts w:cs="Wingdings"/>
        </w:rPr>
        <w:t xml:space="preserve">be constructed during the construction activities of the Project. </w:t>
      </w:r>
      <w:r w:rsidR="00B5274C" w:rsidRPr="2DB09FEA">
        <w:rPr>
          <w:rFonts w:cs="Arial"/>
        </w:rPr>
        <w:t xml:space="preserve">However, containers can be placed on the </w:t>
      </w:r>
      <w:r w:rsidR="00D528B1" w:rsidRPr="2DB09FEA">
        <w:rPr>
          <w:rFonts w:cs="Arial"/>
        </w:rPr>
        <w:t>P</w:t>
      </w:r>
      <w:r w:rsidR="00B5274C" w:rsidRPr="2DB09FEA">
        <w:rPr>
          <w:rFonts w:cs="Arial"/>
        </w:rPr>
        <w:t xml:space="preserve">roject </w:t>
      </w:r>
      <w:r w:rsidR="00D528B1" w:rsidRPr="2DB09FEA">
        <w:rPr>
          <w:rFonts w:cs="Arial"/>
        </w:rPr>
        <w:t>area</w:t>
      </w:r>
      <w:r w:rsidR="00B5274C" w:rsidRPr="2DB09FEA">
        <w:rPr>
          <w:rFonts w:cs="Arial"/>
        </w:rPr>
        <w:t xml:space="preserve"> for those who will work on the </w:t>
      </w:r>
      <w:r w:rsidR="00D528B1" w:rsidRPr="2DB09FEA">
        <w:rPr>
          <w:rFonts w:cs="Arial"/>
        </w:rPr>
        <w:t>P</w:t>
      </w:r>
      <w:r w:rsidR="00B5274C" w:rsidRPr="2DB09FEA">
        <w:rPr>
          <w:rFonts w:cs="Arial"/>
        </w:rPr>
        <w:t xml:space="preserve">roject to rest, eat </w:t>
      </w:r>
      <w:r w:rsidR="00D528B1" w:rsidRPr="2DB09FEA">
        <w:rPr>
          <w:rFonts w:cs="Arial"/>
        </w:rPr>
        <w:t>and</w:t>
      </w:r>
      <w:r w:rsidR="00B5274C" w:rsidRPr="2DB09FEA">
        <w:rPr>
          <w:rFonts w:cs="Arial"/>
        </w:rPr>
        <w:t xml:space="preserve"> for sanitary facilities. These containers will meet standards for worker accommodation prepared by International Finance Corporation (IFC) and European Bank for Reconstruction and Development (EBRD) and approved by the WB</w:t>
      </w:r>
      <w:r w:rsidR="00B5274C" w:rsidRPr="2DB09FEA">
        <w:rPr>
          <w:rStyle w:val="FootnoteReference"/>
          <w:rFonts w:cs="Arial"/>
        </w:rPr>
        <w:footnoteReference w:id="25"/>
      </w:r>
      <w:r w:rsidR="00B5274C" w:rsidRPr="2DB09FEA">
        <w:rPr>
          <w:rFonts w:cs="Arial"/>
        </w:rPr>
        <w:t xml:space="preserve">. </w:t>
      </w:r>
    </w:p>
    <w:p w14:paraId="3FE5F998" w14:textId="46A0DED6" w:rsidR="00F401F1" w:rsidRPr="00EE43C6" w:rsidRDefault="00F401F1" w:rsidP="00F401F1">
      <w:pPr>
        <w:rPr>
          <w:rFonts w:cs="Wingdings"/>
          <w:szCs w:val="22"/>
        </w:rPr>
      </w:pPr>
      <w:r w:rsidRPr="00EE43C6">
        <w:rPr>
          <w:rFonts w:cs="Wingdings"/>
          <w:szCs w:val="22"/>
        </w:rPr>
        <w:t>No negative impact is expected from the Project in terms of population level in settlements expected to be affected during the construction phase of the Project.</w:t>
      </w:r>
    </w:p>
    <w:p w14:paraId="74A50D70" w14:textId="4FEA0E67" w:rsidR="00F401F1" w:rsidRPr="00EE43C6" w:rsidRDefault="00F401F1" w:rsidP="00F401F1">
      <w:pPr>
        <w:rPr>
          <w:rFonts w:cs="Wingdings"/>
          <w:szCs w:val="22"/>
        </w:rPr>
      </w:pPr>
      <w:r w:rsidRPr="00EE43C6">
        <w:rPr>
          <w:rFonts w:cs="Wingdings"/>
          <w:szCs w:val="22"/>
        </w:rPr>
        <w:t>Work permits of the workers to be employed within the operational scope of the Project will be monitored by TUIO</w:t>
      </w:r>
      <w:r w:rsidR="00C21561" w:rsidRPr="00EE43C6">
        <w:rPr>
          <w:rFonts w:cs="Wingdings"/>
          <w:szCs w:val="22"/>
        </w:rPr>
        <w:t>SB</w:t>
      </w:r>
      <w:r w:rsidRPr="00EE43C6">
        <w:rPr>
          <w:rFonts w:cs="Wingdings"/>
          <w:szCs w:val="22"/>
        </w:rPr>
        <w:t xml:space="preserve"> and recruitment will be carried out within the framework of legal practices. Legal work permits will be checked</w:t>
      </w:r>
      <w:r w:rsidR="00FF34D1" w:rsidRPr="00EE43C6">
        <w:rPr>
          <w:rFonts w:cs="Wingdings"/>
          <w:szCs w:val="22"/>
        </w:rPr>
        <w:t>,</w:t>
      </w:r>
      <w:r w:rsidRPr="00EE43C6">
        <w:rPr>
          <w:rFonts w:cs="Wingdings"/>
          <w:szCs w:val="22"/>
        </w:rPr>
        <w:t xml:space="preserve"> and recruitment will be carried out to ensure the working conditions detailed in Section 6.14.1 during construction and operation phases. Unregistered, child or forced </w:t>
      </w:r>
      <w:r w:rsidR="007F69EF" w:rsidRPr="00EE43C6">
        <w:rPr>
          <w:rFonts w:cs="Wingdings"/>
          <w:szCs w:val="22"/>
        </w:rPr>
        <w:t>labour</w:t>
      </w:r>
      <w:r w:rsidRPr="00EE43C6">
        <w:rPr>
          <w:rFonts w:cs="Wingdings"/>
          <w:szCs w:val="22"/>
        </w:rPr>
        <w:t xml:space="preserve"> will not be allowed.</w:t>
      </w:r>
    </w:p>
    <w:p w14:paraId="78516884" w14:textId="77777777" w:rsidR="00BB6C47" w:rsidRPr="00BB6C47" w:rsidRDefault="00BB6C47" w:rsidP="00BB6C47">
      <w:pPr>
        <w:rPr>
          <w:rFonts w:cs="Wingdings"/>
        </w:rPr>
      </w:pPr>
      <w:r w:rsidRPr="00BB6C47">
        <w:rPr>
          <w:rFonts w:cs="Wingdings"/>
        </w:rPr>
        <w:t>To avoid any negative impact on the local community due to the presence of workers during the construction phase and their potential interaction with the local community, contractors are responsible for providing code of conduct training to each worker. Since the proportion  of workers to be hired locally is not clear, it will be determined later in the project. The contractor will inform all workers verbally and in writing about the code of conduct during the recruitment phase and a code of conduct document will be signed. TUIOSB will ensure that contractors establish the code of conduct and check that workers are trained in communicating with the public before starting work.</w:t>
      </w:r>
    </w:p>
    <w:p w14:paraId="66237EEC" w14:textId="77777777" w:rsidR="00BB6C47" w:rsidRPr="00BB6C47" w:rsidRDefault="00BB6C47" w:rsidP="00BB6C47">
      <w:pPr>
        <w:rPr>
          <w:rFonts w:cs="Wingdings"/>
        </w:rPr>
      </w:pPr>
      <w:r w:rsidRPr="00BB6C47">
        <w:rPr>
          <w:rFonts w:cs="Wingdings"/>
        </w:rPr>
        <w:t>In order manage the workforce influx, which can be observed in any project, people who will work on the project  should be quickly accommodated in the region, to avoid  a negative impact on the local population (especially where the area is rural, remote, and small). If the workers who will work in the project settle quickly and in a controlled manner in the camp area to be established in case of any settlement need, any negative interaction with the local people will be prevented.</w:t>
      </w:r>
    </w:p>
    <w:p w14:paraId="5B8C697B" w14:textId="7AC8FE05" w:rsidR="00BB6C47" w:rsidRDefault="00BB6C47" w:rsidP="00BB6C47">
      <w:pPr>
        <w:rPr>
          <w:rFonts w:cs="Wingdings"/>
        </w:rPr>
      </w:pPr>
      <w:r w:rsidRPr="00BB6C47">
        <w:rPr>
          <w:rFonts w:cs="Wingdings"/>
        </w:rPr>
        <w:t xml:space="preserve">In order to avoid the negative impacts of any  workforce influx, TUIOSB and facility owners will give priority to the local people in recruitment, and this will be added to the terms of the contracts of the Contractor and possible subcontractors in order to ensure this. Facility owners will give employment priority to people residing in the settlements in the project AoI, neighbouring districts and Mersin. In contract process, TUIOSB will request the contractor to plan the workforce and request from the contractor to prepare a Workforce Management Plan if the requirement for a workforce other than the one specified in this ESMP is seen. There will </w:t>
      </w:r>
      <w:r w:rsidRPr="00BB6C47">
        <w:rPr>
          <w:rFonts w:cs="Wingdings"/>
        </w:rPr>
        <w:lastRenderedPageBreak/>
        <w:t>be no accommodation within the scope of the project. In case accommodation is provided, it will be in accordance with World Bank standards.TUIOSB and the Contractor shall ensure that Code of Conduct (CoC) and public communication trainings are given to all employees as an orientation training to prevent a possible future dispute.</w:t>
      </w:r>
    </w:p>
    <w:p w14:paraId="7EC5DEC2" w14:textId="77777777" w:rsidR="00BB6C47" w:rsidRPr="00EE43C6" w:rsidRDefault="00BB6C47" w:rsidP="00F401F1">
      <w:pPr>
        <w:rPr>
          <w:rFonts w:cs="Wingdings"/>
        </w:rPr>
      </w:pPr>
    </w:p>
    <w:p w14:paraId="3F4D0C2A" w14:textId="21CE7638" w:rsidR="001242BB" w:rsidRPr="00EE43C6" w:rsidRDefault="001242BB" w:rsidP="006A3316">
      <w:pPr>
        <w:pStyle w:val="Heading2"/>
        <w:ind w:hanging="718"/>
        <w:rPr>
          <w:rFonts w:eastAsia="Cambria"/>
          <w:lang w:val="en-GB"/>
        </w:rPr>
      </w:pPr>
      <w:bookmarkStart w:id="651" w:name="_Toc97306995"/>
      <w:bookmarkStart w:id="652" w:name="_Toc120016966"/>
      <w:bookmarkStart w:id="653" w:name="_Toc120004743"/>
      <w:bookmarkStart w:id="654" w:name="_Toc141445455"/>
      <w:r w:rsidRPr="00EE43C6">
        <w:rPr>
          <w:rFonts w:eastAsia="Cambria"/>
          <w:lang w:val="en-GB"/>
        </w:rPr>
        <w:t>Cultural Heritage</w:t>
      </w:r>
      <w:bookmarkEnd w:id="651"/>
      <w:bookmarkEnd w:id="652"/>
      <w:bookmarkEnd w:id="653"/>
      <w:bookmarkEnd w:id="654"/>
    </w:p>
    <w:p w14:paraId="5CBD16BE" w14:textId="032FE2C6" w:rsidR="00063ECA" w:rsidRPr="00EE43C6" w:rsidRDefault="006B0F95" w:rsidP="00063ECA">
      <w:r w:rsidRPr="00EE43C6">
        <w:t xml:space="preserve">As a result of the evaluations made, no cultural assets or archaeological artefacts have been identified in the project area. </w:t>
      </w:r>
      <w:r w:rsidR="00E16D56" w:rsidRPr="00EE43C6">
        <w:t xml:space="preserve">There are </w:t>
      </w:r>
      <w:r w:rsidR="00F63F4C" w:rsidRPr="00EE43C6">
        <w:t>ancient</w:t>
      </w:r>
      <w:r w:rsidR="00E16D56" w:rsidRPr="00EE43C6">
        <w:t xml:space="preserve"> Roman Roads within 1</w:t>
      </w:r>
      <w:r w:rsidR="00A865CE">
        <w:t>,</w:t>
      </w:r>
      <w:r w:rsidR="00E16D56" w:rsidRPr="00EE43C6">
        <w:t xml:space="preserve">300 meters of the Project boundary, but Project activities are not expected to impact this area. </w:t>
      </w:r>
      <w:r w:rsidRPr="00EE43C6">
        <w:t>If any archaeological remains or artefacts are found during construction, all activities will be stopped, and the Museum Directorate will be informed in accordance with Article 4 of Law No. 2863.</w:t>
      </w:r>
      <w:r w:rsidR="00D54BB8" w:rsidRPr="00D54BB8">
        <w:t xml:space="preserve"> In addition to this, in case of any unexpected event of chance finds during construction, a Chance Find Procedure is prepared. It is presented in Appendix D.</w:t>
      </w:r>
    </w:p>
    <w:p w14:paraId="5275D25D" w14:textId="3AF800D1" w:rsidR="001242BB" w:rsidRPr="00EE43C6" w:rsidRDefault="001242BB" w:rsidP="006A3316">
      <w:pPr>
        <w:pStyle w:val="Heading2"/>
        <w:ind w:hanging="718"/>
        <w:rPr>
          <w:rFonts w:eastAsia="Cambria"/>
          <w:lang w:val="en-GB"/>
        </w:rPr>
      </w:pPr>
      <w:bookmarkStart w:id="655" w:name="_Toc97306996"/>
      <w:bookmarkStart w:id="656" w:name="_Toc120016967"/>
      <w:bookmarkStart w:id="657" w:name="_Toc120004744"/>
      <w:bookmarkStart w:id="658" w:name="_Toc141445456"/>
      <w:r w:rsidRPr="00EE43C6">
        <w:rPr>
          <w:rFonts w:eastAsia="Cambria"/>
          <w:lang w:val="en-GB"/>
        </w:rPr>
        <w:t>Vulnerable</w:t>
      </w:r>
      <w:r w:rsidR="00B229A8" w:rsidRPr="00EE43C6">
        <w:rPr>
          <w:rFonts w:eastAsia="Cambria"/>
          <w:lang w:val="en-GB"/>
        </w:rPr>
        <w:t xml:space="preserve">/Disadvantaged </w:t>
      </w:r>
      <w:r w:rsidRPr="00EE43C6">
        <w:rPr>
          <w:rFonts w:eastAsia="Cambria"/>
          <w:lang w:val="en-GB"/>
        </w:rPr>
        <w:t>Groups</w:t>
      </w:r>
      <w:bookmarkEnd w:id="655"/>
      <w:bookmarkEnd w:id="656"/>
      <w:bookmarkEnd w:id="657"/>
      <w:bookmarkEnd w:id="658"/>
    </w:p>
    <w:p w14:paraId="2FB0BD07" w14:textId="2E4C124A" w:rsidR="00095C62" w:rsidRPr="00EE43C6" w:rsidRDefault="00095C62" w:rsidP="00095C62">
      <w:r w:rsidRPr="00EE43C6">
        <w:t xml:space="preserve">Vulnerable groups </w:t>
      </w:r>
      <w:r w:rsidR="2036051E">
        <w:t xml:space="preserve">refer </w:t>
      </w:r>
      <w:r w:rsidR="00B961F1">
        <w:t xml:space="preserve">to </w:t>
      </w:r>
      <w:r w:rsidR="00B961F1" w:rsidRPr="00EE43C6">
        <w:t>people</w:t>
      </w:r>
      <w:r w:rsidRPr="00EE43C6">
        <w:t xml:space="preserve"> who may be more affected by the potential negative impacts of the project</w:t>
      </w:r>
      <w:r w:rsidR="68921A7D">
        <w:t xml:space="preserve"> or are less able to access information or get their voice heard and concerns raised</w:t>
      </w:r>
      <w:r w:rsidR="41777FAA">
        <w:t>.</w:t>
      </w:r>
      <w:r w:rsidRPr="00EE43C6">
        <w:t xml:space="preserve"> Project specific vulnerable groups are given in </w:t>
      </w:r>
      <w:r w:rsidR="00840470" w:rsidRPr="00EE43C6">
        <w:t xml:space="preserve">Section </w:t>
      </w:r>
      <w:r w:rsidRPr="00EE43C6">
        <w:t>5.</w:t>
      </w:r>
      <w:r w:rsidR="002C5EB1" w:rsidRPr="00EE43C6">
        <w:t>6</w:t>
      </w:r>
      <w:r w:rsidRPr="00EE43C6">
        <w:t>.</w:t>
      </w:r>
    </w:p>
    <w:p w14:paraId="6C5F2E91" w14:textId="7C515506" w:rsidR="001242BB" w:rsidRPr="00EE43C6" w:rsidRDefault="007236DB" w:rsidP="00095C62">
      <w:r w:rsidRPr="00EE43C6">
        <w:t xml:space="preserve">There are traffic, dust, noise, </w:t>
      </w:r>
      <w:r w:rsidR="00686329" w:rsidRPr="00EE43C6">
        <w:t>labour</w:t>
      </w:r>
      <w:r w:rsidRPr="00EE43C6">
        <w:t xml:space="preserve"> influx and </w:t>
      </w:r>
      <w:r w:rsidR="002E0A9B" w:rsidRPr="00EE43C6">
        <w:t>SEA</w:t>
      </w:r>
      <w:r w:rsidRPr="00EE43C6">
        <w:t>/</w:t>
      </w:r>
      <w:r w:rsidR="002E0A9B" w:rsidRPr="00EE43C6">
        <w:t>SH</w:t>
      </w:r>
      <w:r w:rsidRPr="00EE43C6">
        <w:t xml:space="preserve"> risks that will occur under the Project</w:t>
      </w:r>
      <w:r w:rsidR="00095C62" w:rsidRPr="00EE43C6">
        <w:t>.</w:t>
      </w:r>
      <w:r w:rsidR="00521D4B" w:rsidRPr="00EE43C6">
        <w:t xml:space="preserve"> Therefore, </w:t>
      </w:r>
      <w:r w:rsidR="273DBAFE">
        <w:t>I</w:t>
      </w:r>
      <w:r w:rsidR="00521D4B" w:rsidRPr="00EE43C6">
        <w:t xml:space="preserve">t is not expected that vulnerable/ disadvantaged groups within the Project's AoI will be </w:t>
      </w:r>
      <w:r w:rsidR="1A5F7FF5">
        <w:t xml:space="preserve">particularly </w:t>
      </w:r>
      <w:r w:rsidR="52B75597">
        <w:t>adversely</w:t>
      </w:r>
      <w:r w:rsidR="00521D4B" w:rsidRPr="00EE43C6">
        <w:t xml:space="preserve"> affected by the </w:t>
      </w:r>
      <w:r w:rsidR="00140084" w:rsidRPr="00EE43C6">
        <w:t>P</w:t>
      </w:r>
      <w:r w:rsidR="00521D4B" w:rsidRPr="00EE43C6">
        <w:t>roject.</w:t>
      </w:r>
      <w:r w:rsidR="00E64B58" w:rsidRPr="00EE43C6">
        <w:t xml:space="preserve"> All mitigations</w:t>
      </w:r>
      <w:r w:rsidR="00087B00" w:rsidRPr="00EE43C6">
        <w:t xml:space="preserve"> measures</w:t>
      </w:r>
      <w:r w:rsidR="00E64B58" w:rsidRPr="00EE43C6">
        <w:t xml:space="preserve"> given in the community health and safety section will be </w:t>
      </w:r>
      <w:r w:rsidR="00DF7F70" w:rsidRPr="00EE43C6">
        <w:t>implemented</w:t>
      </w:r>
      <w:r w:rsidR="00E64B58" w:rsidRPr="00EE43C6">
        <w:t xml:space="preserve"> to </w:t>
      </w:r>
      <w:r w:rsidR="00116BE1" w:rsidRPr="00EE43C6">
        <w:t>mitigate</w:t>
      </w:r>
      <w:r w:rsidR="00E64B58" w:rsidRPr="00EE43C6">
        <w:t xml:space="preserve"> the impact on vulnerable groups</w:t>
      </w:r>
      <w:r w:rsidR="5B17D0E6">
        <w:t xml:space="preserve"> as well</w:t>
      </w:r>
      <w:r w:rsidR="00E64B58" w:rsidRPr="00EE43C6">
        <w:t>.</w:t>
      </w:r>
      <w:r w:rsidR="00521D4B" w:rsidRPr="00EE43C6">
        <w:t xml:space="preserve"> </w:t>
      </w:r>
    </w:p>
    <w:p w14:paraId="2BA53B01" w14:textId="77777777" w:rsidR="004339AC" w:rsidRPr="00EE43C6" w:rsidRDefault="004339AC" w:rsidP="006A3316">
      <w:pPr>
        <w:pStyle w:val="Heading2"/>
        <w:ind w:hanging="718"/>
        <w:rPr>
          <w:rFonts w:eastAsia="Cambria"/>
          <w:lang w:val="en-GB"/>
        </w:rPr>
      </w:pPr>
      <w:bookmarkStart w:id="659" w:name="_Toc80278353"/>
      <w:bookmarkStart w:id="660" w:name="_Toc120016968"/>
      <w:bookmarkStart w:id="661" w:name="_Toc120004745"/>
      <w:bookmarkStart w:id="662" w:name="_Toc141445457"/>
      <w:r w:rsidRPr="00EE43C6">
        <w:rPr>
          <w:rFonts w:eastAsia="Cambria"/>
          <w:lang w:val="en-GB"/>
        </w:rPr>
        <w:t>Economy / Employment</w:t>
      </w:r>
      <w:bookmarkEnd w:id="659"/>
      <w:bookmarkEnd w:id="660"/>
      <w:bookmarkEnd w:id="661"/>
      <w:bookmarkEnd w:id="662"/>
      <w:r w:rsidRPr="00EE43C6">
        <w:rPr>
          <w:rFonts w:eastAsia="Cambria"/>
          <w:lang w:val="en-GB"/>
        </w:rPr>
        <w:t xml:space="preserve"> </w:t>
      </w:r>
    </w:p>
    <w:p w14:paraId="7CD56E13" w14:textId="3E1FC1EA" w:rsidR="004339AC" w:rsidRPr="00EE43C6" w:rsidRDefault="004339AC" w:rsidP="004339AC">
      <w:pPr>
        <w:pStyle w:val="Heading3"/>
        <w:spacing w:after="240"/>
        <w:rPr>
          <w:rFonts w:eastAsia="Arial TUR"/>
          <w:noProof w:val="0"/>
        </w:rPr>
      </w:pPr>
      <w:bookmarkStart w:id="663" w:name="_Toc120016969"/>
      <w:bookmarkStart w:id="664" w:name="_Toc120004746"/>
      <w:bookmarkStart w:id="665" w:name="_Toc141445458"/>
      <w:bookmarkStart w:id="666" w:name="_Toc80278354"/>
      <w:r w:rsidRPr="00EE43C6">
        <w:rPr>
          <w:rFonts w:eastAsia="Arial TUR"/>
          <w:noProof w:val="0"/>
        </w:rPr>
        <w:t xml:space="preserve">Construction </w:t>
      </w:r>
      <w:r w:rsidR="00284A66" w:rsidRPr="00EE43C6">
        <w:rPr>
          <w:rFonts w:eastAsia="Arial TUR"/>
          <w:noProof w:val="0"/>
        </w:rPr>
        <w:t xml:space="preserve">and Operation </w:t>
      </w:r>
      <w:r w:rsidRPr="00EE43C6">
        <w:rPr>
          <w:rFonts w:eastAsia="Arial TUR"/>
          <w:noProof w:val="0"/>
        </w:rPr>
        <w:t>Phase</w:t>
      </w:r>
      <w:bookmarkEnd w:id="663"/>
      <w:bookmarkEnd w:id="664"/>
      <w:bookmarkEnd w:id="665"/>
      <w:r w:rsidRPr="00EE43C6">
        <w:rPr>
          <w:rFonts w:eastAsia="Arial TUR"/>
          <w:noProof w:val="0"/>
        </w:rPr>
        <w:t xml:space="preserve"> </w:t>
      </w:r>
      <w:bookmarkEnd w:id="666"/>
    </w:p>
    <w:p w14:paraId="6B9F3471" w14:textId="035704AE" w:rsidR="00F4194F" w:rsidRPr="00EE43C6" w:rsidRDefault="002A6710" w:rsidP="00D7511F">
      <w:pPr>
        <w:rPr>
          <w:rFonts w:cs="Wingdings"/>
        </w:rPr>
      </w:pPr>
      <w:r w:rsidRPr="4D1A86A2">
        <w:rPr>
          <w:rFonts w:cs="Wingdings"/>
        </w:rPr>
        <w:t>The Project is expected to create temporary employment during construction and permanent employment during operation. Priority will be given to contributing to the local economy through the use of local materials and local procurement of various goods and services during the construction and operation periods. During the operational period, permanent jobs will be created in the local and regional communities. It is planned to employ 250 personnel</w:t>
      </w:r>
      <w:r w:rsidR="006E4E08" w:rsidRPr="4D1A86A2">
        <w:rPr>
          <w:rFonts w:cs="Wingdings"/>
        </w:rPr>
        <w:t xml:space="preserve"> at peak time </w:t>
      </w:r>
      <w:r w:rsidRPr="4D1A86A2">
        <w:rPr>
          <w:rFonts w:cs="Wingdings"/>
        </w:rPr>
        <w:t xml:space="preserve">during the construction phase of the Project. </w:t>
      </w:r>
      <w:r w:rsidR="00CA56F9" w:rsidRPr="5F58EB95">
        <w:rPr>
          <w:rFonts w:cs="Wingdings"/>
        </w:rPr>
        <w:t>AoI radius is 2 km as it seen at</w:t>
      </w:r>
      <w:r w:rsidR="00F50014" w:rsidRPr="5F58EB95">
        <w:rPr>
          <w:rFonts w:cs="Wingdings"/>
        </w:rPr>
        <w:t xml:space="preserve"> </w:t>
      </w:r>
      <w:r w:rsidRPr="5F58EB95">
        <w:rPr>
          <w:rFonts w:cs="Wingdings"/>
        </w:rPr>
        <w:fldChar w:fldCharType="begin"/>
      </w:r>
      <w:r w:rsidR="00F50014" w:rsidRPr="00F50014">
        <w:rPr>
          <w:rFonts w:cs="Wingdings"/>
        </w:rPr>
        <w:instrText xml:space="preserve"> REF _Ref136451611 \h </w:instrText>
      </w:r>
      <w:r w:rsidRPr="5F58EB95">
        <w:rPr>
          <w:rFonts w:cs="Wingdings"/>
        </w:rPr>
      </w:r>
      <w:r w:rsidRPr="5F58EB95">
        <w:rPr>
          <w:rFonts w:cs="Wingdings"/>
        </w:rPr>
        <w:fldChar w:fldCharType="separate"/>
      </w:r>
      <w:r w:rsidR="00F50014">
        <w:t>Figure 61</w:t>
      </w:r>
      <w:r w:rsidRPr="5F58EB95">
        <w:rPr>
          <w:rFonts w:cs="Wingdings"/>
        </w:rPr>
        <w:fldChar w:fldCharType="end"/>
      </w:r>
      <w:r w:rsidR="00CA56F9" w:rsidRPr="5F58EB95">
        <w:rPr>
          <w:rFonts w:cs="Wingdings"/>
        </w:rPr>
        <w:t xml:space="preserve">. Kurbanlı, Eskişehir and Sağlıklı Neighborhoods are in this area. Efforts will be </w:t>
      </w:r>
      <w:r w:rsidR="4231E19E" w:rsidRPr="5F58EB95">
        <w:rPr>
          <w:rFonts w:cs="Wingdings"/>
        </w:rPr>
        <w:t xml:space="preserve">made </w:t>
      </w:r>
      <w:r w:rsidR="00CA56F9" w:rsidRPr="5F58EB95">
        <w:rPr>
          <w:rFonts w:cs="Wingdings"/>
        </w:rPr>
        <w:t xml:space="preserve"> to allocate employment opportunities to the local parties and the settlements within the AoI. </w:t>
      </w:r>
      <w:r w:rsidR="3406B917" w:rsidRPr="5F58EB95">
        <w:rPr>
          <w:rFonts w:cs="Wingdings"/>
        </w:rPr>
        <w:t>However,</w:t>
      </w:r>
      <w:r w:rsidR="00227CB1" w:rsidRPr="5F58EB95">
        <w:rPr>
          <w:rFonts w:cs="Wingdings"/>
        </w:rPr>
        <w:t xml:space="preserve">the </w:t>
      </w:r>
      <w:r w:rsidR="2358D34D" w:rsidRPr="5F58EB95">
        <w:rPr>
          <w:rFonts w:cs="Wingdings"/>
        </w:rPr>
        <w:t xml:space="preserve">proportion </w:t>
      </w:r>
      <w:r w:rsidR="00227CB1" w:rsidRPr="5F58EB95">
        <w:rPr>
          <w:rFonts w:cs="Wingdings"/>
        </w:rPr>
        <w:t xml:space="preserve">of workers to be hired locally is not clear, it will be determined later in the project. </w:t>
      </w:r>
      <w:r w:rsidR="00CA56F9" w:rsidRPr="5F58EB95">
        <w:rPr>
          <w:rFonts w:cs="Wingdings"/>
        </w:rPr>
        <w:t xml:space="preserve">Therefore, local employment will be provided from these settlements. </w:t>
      </w:r>
      <w:r w:rsidRPr="4D1A86A2">
        <w:rPr>
          <w:rFonts w:cs="Wingdings"/>
        </w:rPr>
        <w:t>The number of people who will work in the facilities during the operation period is expected to be around 3</w:t>
      </w:r>
      <w:r w:rsidR="00E04800" w:rsidRPr="4D1A86A2">
        <w:rPr>
          <w:rFonts w:cs="Wingdings"/>
        </w:rPr>
        <w:t>,</w:t>
      </w:r>
      <w:r w:rsidRPr="4D1A86A2">
        <w:rPr>
          <w:rFonts w:cs="Wingdings"/>
        </w:rPr>
        <w:t>500.</w:t>
      </w:r>
      <w:r w:rsidR="00CA56F9" w:rsidRPr="5F58EB95">
        <w:rPr>
          <w:rFonts w:cs="Wingdings"/>
        </w:rPr>
        <w:t xml:space="preserve"> </w:t>
      </w:r>
    </w:p>
    <w:p w14:paraId="409074BA" w14:textId="77777777" w:rsidR="001E0229" w:rsidRDefault="001E0229">
      <w:pPr>
        <w:spacing w:before="0" w:after="200" w:line="276" w:lineRule="auto"/>
        <w:jc w:val="left"/>
        <w:rPr>
          <w:rFonts w:eastAsia="Cambria" w:cs="Arial"/>
          <w:b/>
          <w:bCs/>
          <w:color w:val="4F81BD"/>
          <w:sz w:val="24"/>
        </w:rPr>
      </w:pPr>
      <w:bookmarkStart w:id="667" w:name="_Toc80278356"/>
      <w:bookmarkStart w:id="668" w:name="_Toc120016971"/>
      <w:bookmarkStart w:id="669" w:name="_Toc120004748"/>
      <w:r>
        <w:rPr>
          <w:rFonts w:eastAsia="Cambria"/>
        </w:rPr>
        <w:br w:type="page"/>
      </w:r>
    </w:p>
    <w:p w14:paraId="55ABCFA8" w14:textId="43C6E6C9" w:rsidR="004339AC" w:rsidRPr="00EE43C6" w:rsidRDefault="004339AC" w:rsidP="006A3316">
      <w:pPr>
        <w:pStyle w:val="Heading2"/>
        <w:ind w:hanging="718"/>
        <w:rPr>
          <w:rFonts w:eastAsia="Cambria"/>
          <w:lang w:val="en-GB"/>
        </w:rPr>
      </w:pPr>
      <w:bookmarkStart w:id="670" w:name="_Toc141445459"/>
      <w:r w:rsidRPr="00EE43C6">
        <w:rPr>
          <w:rFonts w:eastAsia="Cambria"/>
          <w:lang w:val="en-GB"/>
        </w:rPr>
        <w:lastRenderedPageBreak/>
        <w:t>Land Acquisition</w:t>
      </w:r>
      <w:bookmarkEnd w:id="667"/>
      <w:bookmarkEnd w:id="668"/>
      <w:bookmarkEnd w:id="669"/>
      <w:bookmarkEnd w:id="670"/>
    </w:p>
    <w:p w14:paraId="16DEFAD3" w14:textId="40F58A09" w:rsidR="00885CB0" w:rsidRPr="00EE43C6" w:rsidRDefault="00885CB0" w:rsidP="003D57FD">
      <w:pPr>
        <w:rPr>
          <w:rFonts w:cs="Arial"/>
          <w:lang w:eastAsia="tr-TR"/>
        </w:rPr>
      </w:pPr>
      <w:bookmarkStart w:id="671" w:name="_Toc80278358"/>
      <w:bookmarkStart w:id="672" w:name="_Toc80278357"/>
      <w:bookmarkStart w:id="673" w:name="_Hlk118882026"/>
      <w:bookmarkEnd w:id="671"/>
      <w:bookmarkEnd w:id="672"/>
      <w:r w:rsidRPr="5F58EB95">
        <w:rPr>
          <w:rFonts w:cs="Wingdings"/>
        </w:rPr>
        <w:t xml:space="preserve">As it </w:t>
      </w:r>
      <w:r w:rsidR="00E5261B" w:rsidRPr="5F58EB95">
        <w:rPr>
          <w:rFonts w:cs="Wingdings"/>
        </w:rPr>
        <w:t xml:space="preserve">is explained in the project description given in Section </w:t>
      </w:r>
      <w:r w:rsidR="003D7538" w:rsidRPr="5F58EB95">
        <w:rPr>
          <w:rFonts w:cs="Wingdings"/>
        </w:rPr>
        <w:t>2, the</w:t>
      </w:r>
      <w:r w:rsidRPr="5F58EB95">
        <w:rPr>
          <w:rFonts w:cs="Wingdings"/>
        </w:rPr>
        <w:t xml:space="preserve"> Project will be implemented in two phases as Phase 1 and Phase 2. TUIOSB will use loan only for Project’s Phase 1. </w:t>
      </w:r>
      <w:r w:rsidR="27EDF8FC" w:rsidRPr="5F58EB95">
        <w:rPr>
          <w:rFonts w:cs="Wingdings"/>
        </w:rPr>
        <w:t>For t</w:t>
      </w:r>
      <w:r w:rsidRPr="5F58EB95">
        <w:rPr>
          <w:rFonts w:cs="Wingdings"/>
        </w:rPr>
        <w:t>he Project’s Phase 2  Mersin Tarsus Agricultural Product Processing Specialized Organized Industrial Zone (OIZ)’s own equity</w:t>
      </w:r>
      <w:r w:rsidR="0ACBBFA7" w:rsidRPr="5F58EB95">
        <w:rPr>
          <w:rFonts w:cs="Wingdings"/>
        </w:rPr>
        <w:t xml:space="preserve"> will be invested</w:t>
      </w:r>
      <w:r w:rsidRPr="5F58EB95">
        <w:rPr>
          <w:rFonts w:cs="Wingdings"/>
        </w:rPr>
        <w:t xml:space="preserve">. In addition, investments will not be made in the Project’s Phase 2 area until the expropriation process of the Project’s Phase 2 area is completed. </w:t>
      </w:r>
    </w:p>
    <w:p w14:paraId="059432CF" w14:textId="4ABE6A97" w:rsidR="003D57FD" w:rsidRPr="00EE43C6" w:rsidRDefault="003D57FD" w:rsidP="003D57FD">
      <w:pPr>
        <w:rPr>
          <w:rFonts w:cs="Arial"/>
          <w:lang w:eastAsia="tr-TR"/>
        </w:rPr>
      </w:pPr>
      <w:r w:rsidRPr="5F58EB95">
        <w:rPr>
          <w:rFonts w:cs="Arial"/>
          <w:lang w:eastAsia="tr-TR"/>
        </w:rPr>
        <w:t xml:space="preserve">In the land acquisition process of the </w:t>
      </w:r>
      <w:r w:rsidR="00113603" w:rsidRPr="5F58EB95">
        <w:rPr>
          <w:rFonts w:cs="Arial"/>
          <w:lang w:eastAsia="tr-TR"/>
        </w:rPr>
        <w:t>P</w:t>
      </w:r>
      <w:r w:rsidRPr="5F58EB95">
        <w:rPr>
          <w:rFonts w:cs="Arial"/>
          <w:lang w:eastAsia="tr-TR"/>
        </w:rPr>
        <w:t>roject, purchasing, expropriation and urgent expropriation methods were used together</w:t>
      </w:r>
      <w:r w:rsidR="00B91DD1" w:rsidRPr="5F58EB95">
        <w:rPr>
          <w:rFonts w:cs="Arial"/>
          <w:lang w:eastAsia="tr-TR"/>
        </w:rPr>
        <w:t xml:space="preserve"> in</w:t>
      </w:r>
      <w:r w:rsidR="006D2F2E" w:rsidRPr="5F58EB95">
        <w:rPr>
          <w:rFonts w:cs="Arial"/>
          <w:lang w:eastAsia="tr-TR"/>
        </w:rPr>
        <w:t xml:space="preserve"> </w:t>
      </w:r>
      <w:r w:rsidR="00B91DD1" w:rsidRPr="5F58EB95">
        <w:rPr>
          <w:rFonts w:cs="Arial"/>
          <w:lang w:eastAsia="tr-TR"/>
        </w:rPr>
        <w:t>Phase 1</w:t>
      </w:r>
      <w:r w:rsidRPr="5F58EB95">
        <w:rPr>
          <w:rFonts w:cs="Arial"/>
          <w:lang w:eastAsia="tr-TR"/>
        </w:rPr>
        <w:t xml:space="preserve">. </w:t>
      </w:r>
      <w:r w:rsidR="00D35E43" w:rsidRPr="5F58EB95">
        <w:rPr>
          <w:rFonts w:cs="Arial"/>
          <w:lang w:eastAsia="tr-TR"/>
        </w:rPr>
        <w:t>D</w:t>
      </w:r>
      <w:r w:rsidRPr="5F58EB95">
        <w:rPr>
          <w:rFonts w:cs="Arial"/>
          <w:lang w:eastAsia="tr-TR"/>
        </w:rPr>
        <w:t>espite all these tools, the agreements were reached with all the accessible shareholders of the private lands, and the shares were acquired with consent. Treasury lands were purchased.</w:t>
      </w:r>
    </w:p>
    <w:p w14:paraId="216DD856" w14:textId="6674AC6D" w:rsidR="003D57FD" w:rsidRPr="00EE43C6" w:rsidRDefault="003D57FD" w:rsidP="003D57FD">
      <w:pPr>
        <w:rPr>
          <w:rFonts w:cs="Arial"/>
          <w:color w:val="FF0000"/>
          <w:lang w:eastAsia="tr-TR"/>
        </w:rPr>
      </w:pPr>
      <w:r w:rsidRPr="00EE43C6">
        <w:rPr>
          <w:rFonts w:cs="Arial"/>
          <w:lang w:eastAsia="tr-TR"/>
        </w:rPr>
        <w:t>At the stage of determination of expropriation costs -under the Turkish legal framework- a valuation committee consisting of a minimum of three persons internally appointed by the agency responsible for land acquisition determines the estimated value of the immovable property to be expropriated, having regard to the information and documents to be obtained from expert persons, institutions</w:t>
      </w:r>
      <w:r w:rsidR="003D7538" w:rsidRPr="00EE43C6">
        <w:rPr>
          <w:rFonts w:cs="Arial"/>
          <w:lang w:eastAsia="tr-TR"/>
        </w:rPr>
        <w:t>,</w:t>
      </w:r>
      <w:r w:rsidRPr="00EE43C6">
        <w:rPr>
          <w:rFonts w:cs="Arial"/>
          <w:lang w:eastAsia="tr-TR"/>
        </w:rPr>
        <w:t xml:space="preserve"> and authorities. A Valuation Commission was established by the Investment Monitoring Coordination Presidency within the Governorship of Mersin Province. Detailed information on the process is provided in </w:t>
      </w:r>
      <w:r w:rsidR="000E15E4" w:rsidRPr="00EE43C6">
        <w:rPr>
          <w:rFonts w:cs="Arial"/>
          <w:lang w:eastAsia="tr-TR"/>
        </w:rPr>
        <w:t>Ex-post Social Assessment Report.</w:t>
      </w:r>
    </w:p>
    <w:p w14:paraId="0E112A5F" w14:textId="6C2605AE" w:rsidR="003D57FD" w:rsidRPr="00EE43C6" w:rsidRDefault="003D57FD" w:rsidP="003D57FD">
      <w:pPr>
        <w:rPr>
          <w:rFonts w:cs="Arial"/>
          <w:lang w:eastAsia="tr-TR"/>
        </w:rPr>
      </w:pPr>
      <w:r w:rsidRPr="00EE43C6">
        <w:rPr>
          <w:rFonts w:cs="Arial"/>
          <w:lang w:eastAsia="tr-TR"/>
        </w:rPr>
        <w:t xml:space="preserve">The land valuation procedure is based on the Expropriation Law. The Valuation Commission consisted of the members of </w:t>
      </w:r>
      <w:r w:rsidR="004A0A96" w:rsidRPr="00EE43C6">
        <w:rPr>
          <w:rFonts w:cs="Arial"/>
          <w:lang w:eastAsia="tr-TR"/>
        </w:rPr>
        <w:t>the following</w:t>
      </w:r>
      <w:r w:rsidRPr="00EE43C6">
        <w:rPr>
          <w:rFonts w:cs="Arial"/>
          <w:lang w:eastAsia="tr-TR"/>
        </w:rPr>
        <w:t xml:space="preserve"> institutions:</w:t>
      </w:r>
    </w:p>
    <w:p w14:paraId="43932ACB" w14:textId="77777777" w:rsidR="003D57FD" w:rsidRPr="00EE43C6" w:rsidRDefault="003D57FD" w:rsidP="003D57FD">
      <w:pPr>
        <w:pStyle w:val="ListParagraph"/>
        <w:numPr>
          <w:ilvl w:val="0"/>
          <w:numId w:val="47"/>
        </w:numPr>
        <w:spacing w:before="120"/>
        <w:rPr>
          <w:noProof w:val="0"/>
          <w:lang w:eastAsia="tr-TR"/>
        </w:rPr>
      </w:pPr>
      <w:r w:rsidRPr="00EE43C6">
        <w:rPr>
          <w:noProof w:val="0"/>
          <w:lang w:eastAsia="tr-TR"/>
        </w:rPr>
        <w:t>Monitoring Coordination Presidency of Mersin Governorship,</w:t>
      </w:r>
    </w:p>
    <w:p w14:paraId="7FDD94FE" w14:textId="77777777" w:rsidR="003D57FD" w:rsidRPr="00EE43C6" w:rsidRDefault="003D57FD" w:rsidP="003D57FD">
      <w:pPr>
        <w:pStyle w:val="ListParagraph"/>
        <w:numPr>
          <w:ilvl w:val="0"/>
          <w:numId w:val="47"/>
        </w:numPr>
        <w:spacing w:before="120"/>
        <w:rPr>
          <w:noProof w:val="0"/>
          <w:lang w:eastAsia="tr-TR"/>
        </w:rPr>
      </w:pPr>
      <w:r w:rsidRPr="00EE43C6">
        <w:rPr>
          <w:noProof w:val="0"/>
          <w:lang w:eastAsia="tr-TR"/>
        </w:rPr>
        <w:t>Tarsus District Municipality</w:t>
      </w:r>
    </w:p>
    <w:p w14:paraId="72A9E003" w14:textId="5EE027BD" w:rsidR="003D57FD" w:rsidRPr="00EE43C6" w:rsidRDefault="00A5624E" w:rsidP="003D57FD">
      <w:pPr>
        <w:pStyle w:val="ListParagraph"/>
        <w:numPr>
          <w:ilvl w:val="0"/>
          <w:numId w:val="47"/>
        </w:numPr>
        <w:spacing w:before="120"/>
        <w:rPr>
          <w:noProof w:val="0"/>
          <w:lang w:eastAsia="tr-TR"/>
        </w:rPr>
      </w:pPr>
      <w:r w:rsidRPr="00EE43C6">
        <w:rPr>
          <w:noProof w:val="0"/>
          <w:lang w:eastAsia="tr-TR"/>
        </w:rPr>
        <w:t>Mersin Tarsus Agricultural Product Processing Specialized Organized Industrial Zone</w:t>
      </w:r>
    </w:p>
    <w:p w14:paraId="7FF3F4A7" w14:textId="5CE60CBA" w:rsidR="003D57FD" w:rsidRPr="00EE43C6" w:rsidRDefault="003D57FD" w:rsidP="005E6023">
      <w:pPr>
        <w:pStyle w:val="ListParagraph"/>
        <w:numPr>
          <w:ilvl w:val="0"/>
          <w:numId w:val="47"/>
        </w:numPr>
        <w:spacing w:before="120"/>
        <w:rPr>
          <w:noProof w:val="0"/>
          <w:lang w:eastAsia="tr-TR"/>
        </w:rPr>
      </w:pPr>
      <w:r w:rsidRPr="00EE43C6">
        <w:rPr>
          <w:noProof w:val="0"/>
          <w:lang w:eastAsia="tr-TR"/>
        </w:rPr>
        <w:t>Tarsus District Directorate of Agriculture and Forest</w:t>
      </w:r>
    </w:p>
    <w:bookmarkEnd w:id="673"/>
    <w:p w14:paraId="4D676009" w14:textId="23435DF0" w:rsidR="00A126DC" w:rsidRDefault="338B2CCA" w:rsidP="00D3596E">
      <w:r>
        <w:t>In t</w:t>
      </w:r>
      <w:r w:rsidR="4E4F7FA9">
        <w:t>he</w:t>
      </w:r>
      <w:r>
        <w:t xml:space="preserve"> P</w:t>
      </w:r>
      <w:r w:rsidR="4E4F7FA9">
        <w:t xml:space="preserve">roject </w:t>
      </w:r>
      <w:r>
        <w:t>A</w:t>
      </w:r>
      <w:r w:rsidR="4E4F7FA9">
        <w:t xml:space="preserve">rea </w:t>
      </w:r>
      <w:r w:rsidR="1D72EC82">
        <w:t xml:space="preserve">covering </w:t>
      </w:r>
      <w:r>
        <w:t>P</w:t>
      </w:r>
      <w:r w:rsidR="1D72EC82">
        <w:t>hase 1</w:t>
      </w:r>
      <w:r w:rsidR="521ECBD8">
        <w:t>,</w:t>
      </w:r>
      <w:r w:rsidR="458C5E7C">
        <w:t xml:space="preserve"> </w:t>
      </w:r>
      <w:r w:rsidR="027AE80A">
        <w:t>three (</w:t>
      </w:r>
      <w:r w:rsidR="458C5E7C">
        <w:t>3</w:t>
      </w:r>
      <w:r w:rsidR="027AE80A">
        <w:t>)</w:t>
      </w:r>
      <w:r w:rsidR="458C5E7C">
        <w:t xml:space="preserve"> private </w:t>
      </w:r>
      <w:r w:rsidR="66361694">
        <w:t xml:space="preserve">plots </w:t>
      </w:r>
      <w:r w:rsidR="458C5E7C">
        <w:t>and 1</w:t>
      </w:r>
      <w:r w:rsidR="43917B33">
        <w:t>3</w:t>
      </w:r>
      <w:r w:rsidR="458C5E7C">
        <w:t xml:space="preserve"> public </w:t>
      </w:r>
      <w:r w:rsidR="66361694">
        <w:t>plots</w:t>
      </w:r>
      <w:r w:rsidR="458C5E7C">
        <w:t xml:space="preserve"> (Treasury)</w:t>
      </w:r>
      <w:r w:rsidR="51F63A00">
        <w:t xml:space="preserve"> are affected by the Project</w:t>
      </w:r>
      <w:r w:rsidR="458C5E7C">
        <w:t>.</w:t>
      </w:r>
      <w:r w:rsidR="00DE6255">
        <w:t xml:space="preserve"> It is presented in </w:t>
      </w:r>
      <w:r>
        <w:fldChar w:fldCharType="begin"/>
      </w:r>
      <w:r>
        <w:instrText xml:space="preserve"> REF _Ref135992984 \h </w:instrText>
      </w:r>
      <w:r>
        <w:fldChar w:fldCharType="separate"/>
      </w:r>
      <w:r w:rsidR="00ED74EB">
        <w:t>Table 631</w:t>
      </w:r>
      <w:r>
        <w:fldChar w:fldCharType="end"/>
      </w:r>
      <w:r w:rsidR="00DE6255">
        <w:fldChar w:fldCharType="begin"/>
      </w:r>
      <w:r w:rsidR="00DE6255">
        <w:instrText xml:space="preserve"> REF _Ref135992984 \h </w:instrText>
      </w:r>
      <w:r w:rsidR="00EC509A">
        <w:fldChar w:fldCharType="separate"/>
      </w:r>
      <w:r w:rsidR="00DE6255">
        <w:fldChar w:fldCharType="end"/>
      </w:r>
      <w:r w:rsidR="00DE6255">
        <w:t>.</w:t>
      </w:r>
    </w:p>
    <w:p w14:paraId="7D0979E6" w14:textId="4CE49BD7" w:rsidR="006E75EF" w:rsidRDefault="006E75EF" w:rsidP="00D3596E"/>
    <w:p w14:paraId="59719300" w14:textId="77777777" w:rsidR="00F17F60" w:rsidRDefault="00F17F60" w:rsidP="00D3596E">
      <w:pPr>
        <w:sectPr w:rsidR="00F17F60" w:rsidSect="00D76ED4">
          <w:headerReference w:type="default" r:id="rId70"/>
          <w:footerReference w:type="default" r:id="rId71"/>
          <w:pgSz w:w="11910" w:h="16840" w:code="9"/>
          <w:pgMar w:top="1418" w:right="1418" w:bottom="1418" w:left="1418" w:header="709" w:footer="709" w:gutter="0"/>
          <w:cols w:space="708"/>
          <w:docGrid w:linePitch="299"/>
        </w:sectPr>
      </w:pPr>
    </w:p>
    <w:p w14:paraId="3119B49D" w14:textId="69F51C0F" w:rsidR="00BA14DD" w:rsidRDefault="00BA14DD" w:rsidP="2DB09FEA">
      <w:pPr>
        <w:pStyle w:val="Caption"/>
        <w:keepNext/>
        <w:rPr>
          <w:rFonts w:eastAsia="Calibri" w:cs="Arial"/>
          <w:b w:val="0"/>
          <w:bCs w:val="0"/>
          <w:noProof w:val="0"/>
          <w:color w:val="auto"/>
          <w:lang w:eastAsia="tr-TR"/>
        </w:rPr>
      </w:pPr>
      <w:bookmarkStart w:id="674" w:name="_Ref135992984"/>
      <w:bookmarkStart w:id="675" w:name="_Toc141445540"/>
      <w:r>
        <w:lastRenderedPageBreak/>
        <w:t xml:space="preserve">Table </w:t>
      </w:r>
      <w:r w:rsidR="006D2DE8">
        <w:fldChar w:fldCharType="begin"/>
      </w:r>
      <w:r w:rsidR="006D2DE8">
        <w:instrText xml:space="preserve"> STYLEREF 1 \s </w:instrText>
      </w:r>
      <w:r w:rsidR="006D2DE8">
        <w:fldChar w:fldCharType="separate"/>
      </w:r>
      <w:r w:rsidR="006D2DE8">
        <w:t>6</w:t>
      </w:r>
      <w:r w:rsidR="006D2DE8">
        <w:fldChar w:fldCharType="end"/>
      </w:r>
      <w:r w:rsidR="006D2DE8">
        <w:noBreakHyphen/>
      </w:r>
      <w:r w:rsidR="006D2DE8">
        <w:fldChar w:fldCharType="begin"/>
      </w:r>
      <w:r w:rsidR="006D2DE8">
        <w:instrText xml:space="preserve"> SEQ Table \* ARABIC \s 1 </w:instrText>
      </w:r>
      <w:r w:rsidR="006D2DE8">
        <w:fldChar w:fldCharType="separate"/>
      </w:r>
      <w:r w:rsidR="006D2DE8">
        <w:t>31</w:t>
      </w:r>
      <w:r w:rsidR="006D2DE8">
        <w:fldChar w:fldCharType="end"/>
      </w:r>
      <w:bookmarkEnd w:id="674"/>
      <w:r>
        <w:t xml:space="preserve">. </w:t>
      </w:r>
      <w:r w:rsidRPr="00BA14DD">
        <w:rPr>
          <w:rFonts w:eastAsia="Calibri" w:cs="Arial"/>
          <w:b w:val="0"/>
          <w:bCs w:val="0"/>
          <w:noProof w:val="0"/>
          <w:color w:val="auto"/>
          <w:lang w:eastAsia="tr-TR"/>
        </w:rPr>
        <w:t>Characteristics of the affected parcels before acquisition in Phase 1 area of the Sub-project</w:t>
      </w:r>
      <w:bookmarkEnd w:id="675"/>
    </w:p>
    <w:tbl>
      <w:tblPr>
        <w:tblStyle w:val="TabloKlavuzu2"/>
        <w:tblW w:w="5069" w:type="pct"/>
        <w:jc w:val="center"/>
        <w:tblLook w:val="04A0" w:firstRow="1" w:lastRow="0" w:firstColumn="1" w:lastColumn="0" w:noHBand="0" w:noVBand="1"/>
      </w:tblPr>
      <w:tblGrid>
        <w:gridCol w:w="430"/>
        <w:gridCol w:w="892"/>
        <w:gridCol w:w="768"/>
        <w:gridCol w:w="1034"/>
        <w:gridCol w:w="706"/>
        <w:gridCol w:w="1141"/>
        <w:gridCol w:w="866"/>
        <w:gridCol w:w="1043"/>
        <w:gridCol w:w="1586"/>
        <w:gridCol w:w="1088"/>
        <w:gridCol w:w="910"/>
        <w:gridCol w:w="883"/>
        <w:gridCol w:w="1070"/>
        <w:gridCol w:w="884"/>
        <w:gridCol w:w="1328"/>
      </w:tblGrid>
      <w:tr w:rsidR="001E0229" w:rsidRPr="001E0229" w14:paraId="220CFC2A" w14:textId="77777777" w:rsidTr="00E961E6">
        <w:trPr>
          <w:trHeight w:val="284"/>
          <w:tblHeader/>
          <w:jc w:val="center"/>
        </w:trPr>
        <w:tc>
          <w:tcPr>
            <w:tcW w:w="148" w:type="pct"/>
            <w:shd w:val="clear" w:color="auto" w:fill="4F81BD"/>
            <w:vAlign w:val="center"/>
          </w:tcPr>
          <w:p w14:paraId="288B8569" w14:textId="77777777" w:rsidR="00924706" w:rsidRPr="001E0229" w:rsidRDefault="00924706" w:rsidP="001E0229">
            <w:pPr>
              <w:spacing w:before="0" w:after="0"/>
              <w:ind w:right="-113"/>
              <w:jc w:val="left"/>
              <w:rPr>
                <w:rFonts w:cs="Arial"/>
                <w:b/>
                <w:bCs/>
                <w:color w:val="FFFFFF" w:themeColor="background1"/>
                <w:sz w:val="16"/>
                <w:szCs w:val="16"/>
                <w:lang w:val="en-US"/>
              </w:rPr>
            </w:pPr>
            <w:bookmarkStart w:id="676" w:name="_Hlk123830181"/>
            <w:r w:rsidRPr="001E0229">
              <w:rPr>
                <w:rFonts w:cs="Arial"/>
                <w:b/>
                <w:bCs/>
                <w:color w:val="FFFFFF" w:themeColor="background1"/>
                <w:sz w:val="16"/>
                <w:szCs w:val="16"/>
                <w:lang w:val="en-US"/>
              </w:rPr>
              <w:t>No</w:t>
            </w:r>
          </w:p>
        </w:tc>
        <w:tc>
          <w:tcPr>
            <w:tcW w:w="301" w:type="pct"/>
            <w:shd w:val="clear" w:color="auto" w:fill="4F81BD"/>
            <w:vAlign w:val="center"/>
          </w:tcPr>
          <w:p w14:paraId="0B89CB90" w14:textId="77777777" w:rsidR="00924706" w:rsidRPr="001E0229" w:rsidRDefault="00924706" w:rsidP="001E0229">
            <w:pPr>
              <w:spacing w:before="0" w:after="0"/>
              <w:ind w:right="-108"/>
              <w:jc w:val="left"/>
              <w:rPr>
                <w:rFonts w:cs="Arial"/>
                <w:b/>
                <w:bCs/>
                <w:color w:val="FFFFFF" w:themeColor="background1"/>
                <w:sz w:val="16"/>
                <w:szCs w:val="16"/>
                <w:lang w:val="en-US"/>
              </w:rPr>
            </w:pPr>
            <w:r w:rsidRPr="001E0229">
              <w:rPr>
                <w:rFonts w:cs="Arial"/>
                <w:b/>
                <w:bCs/>
                <w:color w:val="FFFFFF" w:themeColor="background1"/>
                <w:sz w:val="16"/>
                <w:szCs w:val="16"/>
                <w:lang w:val="en-US"/>
              </w:rPr>
              <w:t>Province</w:t>
            </w:r>
          </w:p>
        </w:tc>
        <w:tc>
          <w:tcPr>
            <w:tcW w:w="260" w:type="pct"/>
            <w:shd w:val="clear" w:color="auto" w:fill="4F81BD"/>
            <w:vAlign w:val="center"/>
          </w:tcPr>
          <w:p w14:paraId="4053128D" w14:textId="77777777" w:rsidR="00924706" w:rsidRPr="001E0229" w:rsidRDefault="00924706" w:rsidP="001E0229">
            <w:pPr>
              <w:spacing w:before="0" w:after="0"/>
              <w:ind w:right="-108"/>
              <w:jc w:val="left"/>
              <w:rPr>
                <w:rFonts w:cs="Arial"/>
                <w:b/>
                <w:bCs/>
                <w:color w:val="FFFFFF" w:themeColor="background1"/>
                <w:sz w:val="16"/>
                <w:szCs w:val="16"/>
                <w:lang w:val="en-US"/>
              </w:rPr>
            </w:pPr>
            <w:r w:rsidRPr="001E0229">
              <w:rPr>
                <w:rFonts w:cs="Arial"/>
                <w:b/>
                <w:bCs/>
                <w:color w:val="FFFFFF" w:themeColor="background1"/>
                <w:sz w:val="16"/>
                <w:szCs w:val="16"/>
                <w:lang w:val="en-US"/>
              </w:rPr>
              <w:t>District</w:t>
            </w:r>
          </w:p>
        </w:tc>
        <w:tc>
          <w:tcPr>
            <w:tcW w:w="348" w:type="pct"/>
            <w:shd w:val="clear" w:color="auto" w:fill="4F81BD"/>
            <w:vAlign w:val="center"/>
          </w:tcPr>
          <w:p w14:paraId="4DFB90C0" w14:textId="77777777" w:rsidR="00924706" w:rsidRPr="001E0229" w:rsidRDefault="00924706" w:rsidP="001E0229">
            <w:pPr>
              <w:spacing w:before="0" w:after="0"/>
              <w:ind w:right="-108"/>
              <w:jc w:val="left"/>
              <w:rPr>
                <w:rFonts w:cs="Arial"/>
                <w:b/>
                <w:bCs/>
                <w:color w:val="FFFFFF" w:themeColor="background1"/>
                <w:sz w:val="16"/>
                <w:szCs w:val="16"/>
                <w:lang w:val="en-US"/>
              </w:rPr>
            </w:pPr>
            <w:r w:rsidRPr="001E0229">
              <w:rPr>
                <w:rFonts w:cs="Arial"/>
                <w:b/>
                <w:bCs/>
                <w:color w:val="FFFFFF" w:themeColor="background1"/>
                <w:sz w:val="16"/>
                <w:szCs w:val="16"/>
                <w:lang w:val="en-US"/>
              </w:rPr>
              <w:t>Settlement</w:t>
            </w:r>
          </w:p>
        </w:tc>
        <w:tc>
          <w:tcPr>
            <w:tcW w:w="239" w:type="pct"/>
            <w:shd w:val="clear" w:color="auto" w:fill="4F81BD"/>
            <w:vAlign w:val="center"/>
          </w:tcPr>
          <w:p w14:paraId="46ECF44F" w14:textId="77777777" w:rsidR="00924706" w:rsidRPr="001E0229" w:rsidRDefault="00924706" w:rsidP="001E0229">
            <w:pPr>
              <w:spacing w:before="0" w:after="0"/>
              <w:ind w:right="-108"/>
              <w:jc w:val="left"/>
              <w:rPr>
                <w:rFonts w:cs="Arial"/>
                <w:b/>
                <w:bCs/>
                <w:color w:val="FFFFFF" w:themeColor="background1"/>
                <w:sz w:val="16"/>
                <w:szCs w:val="16"/>
                <w:lang w:val="en-US"/>
              </w:rPr>
            </w:pPr>
            <w:r w:rsidRPr="001E0229">
              <w:rPr>
                <w:rFonts w:cs="Arial"/>
                <w:b/>
                <w:bCs/>
                <w:color w:val="FFFFFF" w:themeColor="background1"/>
                <w:sz w:val="16"/>
                <w:szCs w:val="16"/>
                <w:lang w:val="en-US"/>
              </w:rPr>
              <w:t>Parcel no</w:t>
            </w:r>
          </w:p>
        </w:tc>
        <w:tc>
          <w:tcPr>
            <w:tcW w:w="384" w:type="pct"/>
            <w:shd w:val="clear" w:color="auto" w:fill="4F81BD"/>
            <w:vAlign w:val="center"/>
          </w:tcPr>
          <w:p w14:paraId="0B655D62" w14:textId="77777777" w:rsidR="00924706" w:rsidRPr="001E0229" w:rsidRDefault="00924706">
            <w:pPr>
              <w:spacing w:before="0" w:after="0"/>
              <w:jc w:val="left"/>
              <w:rPr>
                <w:rFonts w:cs="Arial"/>
                <w:b/>
                <w:bCs/>
                <w:color w:val="FFFFFF" w:themeColor="background1"/>
                <w:sz w:val="16"/>
                <w:szCs w:val="16"/>
                <w:lang w:val="en-US"/>
              </w:rPr>
            </w:pPr>
            <w:r w:rsidRPr="001E0229">
              <w:rPr>
                <w:rFonts w:cs="Arial"/>
                <w:b/>
                <w:bCs/>
                <w:color w:val="FFFFFF" w:themeColor="background1"/>
                <w:sz w:val="16"/>
                <w:szCs w:val="16"/>
                <w:lang w:val="en-US"/>
              </w:rPr>
              <w:t>Owner</w:t>
            </w:r>
          </w:p>
        </w:tc>
        <w:tc>
          <w:tcPr>
            <w:tcW w:w="293" w:type="pct"/>
            <w:shd w:val="clear" w:color="auto" w:fill="4F81BD"/>
            <w:vAlign w:val="center"/>
          </w:tcPr>
          <w:p w14:paraId="4ABC348B" w14:textId="77777777" w:rsidR="00924706" w:rsidRPr="001E0229" w:rsidRDefault="00924706">
            <w:pPr>
              <w:spacing w:before="0" w:after="0"/>
              <w:jc w:val="left"/>
              <w:rPr>
                <w:rFonts w:cs="Arial"/>
                <w:b/>
                <w:bCs/>
                <w:color w:val="FFFFFF" w:themeColor="background1"/>
                <w:sz w:val="16"/>
                <w:szCs w:val="16"/>
                <w:lang w:val="en-US"/>
              </w:rPr>
            </w:pPr>
            <w:r w:rsidRPr="001E0229">
              <w:rPr>
                <w:rFonts w:cs="Arial"/>
                <w:b/>
                <w:bCs/>
                <w:color w:val="FFFFFF" w:themeColor="background1"/>
                <w:sz w:val="16"/>
                <w:szCs w:val="16"/>
                <w:lang w:val="en-US"/>
              </w:rPr>
              <w:t>Type</w:t>
            </w:r>
          </w:p>
        </w:tc>
        <w:tc>
          <w:tcPr>
            <w:tcW w:w="351" w:type="pct"/>
            <w:shd w:val="clear" w:color="auto" w:fill="4F81BD"/>
            <w:vAlign w:val="center"/>
          </w:tcPr>
          <w:p w14:paraId="31389E53" w14:textId="77777777" w:rsidR="00924706" w:rsidRPr="001E0229" w:rsidRDefault="00924706">
            <w:pPr>
              <w:spacing w:before="0" w:after="0"/>
              <w:jc w:val="left"/>
              <w:rPr>
                <w:rFonts w:cs="Arial"/>
                <w:b/>
                <w:bCs/>
                <w:color w:val="FFFFFF" w:themeColor="background1"/>
                <w:sz w:val="16"/>
                <w:szCs w:val="16"/>
                <w:lang w:val="en-US"/>
              </w:rPr>
            </w:pPr>
            <w:r w:rsidRPr="001E0229">
              <w:rPr>
                <w:rFonts w:cs="Arial"/>
                <w:b/>
                <w:bCs/>
                <w:color w:val="FFFFFF" w:themeColor="background1"/>
                <w:sz w:val="16"/>
                <w:szCs w:val="16"/>
                <w:lang w:val="en-US"/>
              </w:rPr>
              <w:t>Ownership status</w:t>
            </w:r>
          </w:p>
        </w:tc>
        <w:tc>
          <w:tcPr>
            <w:tcW w:w="532" w:type="pct"/>
            <w:shd w:val="clear" w:color="auto" w:fill="4F81BD"/>
            <w:vAlign w:val="center"/>
          </w:tcPr>
          <w:p w14:paraId="641EAA38" w14:textId="77777777" w:rsidR="00924706" w:rsidRPr="001E0229" w:rsidRDefault="00924706">
            <w:pPr>
              <w:spacing w:before="0" w:after="0"/>
              <w:jc w:val="left"/>
              <w:rPr>
                <w:rFonts w:cs="Arial"/>
                <w:b/>
                <w:bCs/>
                <w:color w:val="FFFFFF" w:themeColor="background1"/>
                <w:sz w:val="16"/>
                <w:szCs w:val="16"/>
                <w:lang w:val="en-US"/>
              </w:rPr>
            </w:pPr>
            <w:r w:rsidRPr="001E0229">
              <w:rPr>
                <w:rFonts w:cs="Arial"/>
                <w:b/>
                <w:bCs/>
                <w:color w:val="FFFFFF" w:themeColor="background1"/>
                <w:sz w:val="16"/>
                <w:szCs w:val="16"/>
                <w:lang w:val="en-US"/>
              </w:rPr>
              <w:t>Acquisition method</w:t>
            </w:r>
          </w:p>
        </w:tc>
        <w:tc>
          <w:tcPr>
            <w:tcW w:w="366" w:type="pct"/>
            <w:shd w:val="clear" w:color="auto" w:fill="4F81BD"/>
            <w:vAlign w:val="center"/>
          </w:tcPr>
          <w:p w14:paraId="07751EE8" w14:textId="77777777" w:rsidR="00924706" w:rsidRPr="001E0229" w:rsidRDefault="00924706">
            <w:pPr>
              <w:spacing w:before="0" w:after="0"/>
              <w:jc w:val="left"/>
              <w:rPr>
                <w:rFonts w:cs="Arial"/>
                <w:b/>
                <w:bCs/>
                <w:color w:val="FFFFFF" w:themeColor="background1"/>
                <w:sz w:val="16"/>
                <w:szCs w:val="16"/>
                <w:lang w:val="en-US"/>
              </w:rPr>
            </w:pPr>
            <w:r w:rsidRPr="001E0229">
              <w:rPr>
                <w:rFonts w:cs="Arial"/>
                <w:b/>
                <w:bCs/>
                <w:color w:val="FFFFFF" w:themeColor="background1"/>
                <w:sz w:val="16"/>
                <w:szCs w:val="16"/>
                <w:lang w:val="en-US"/>
              </w:rPr>
              <w:t>Acquisition status</w:t>
            </w:r>
          </w:p>
        </w:tc>
        <w:tc>
          <w:tcPr>
            <w:tcW w:w="307" w:type="pct"/>
            <w:shd w:val="clear" w:color="auto" w:fill="4F81BD"/>
            <w:vAlign w:val="center"/>
          </w:tcPr>
          <w:p w14:paraId="332F67B9" w14:textId="77777777" w:rsidR="00924706" w:rsidRPr="001E0229" w:rsidRDefault="00924706">
            <w:pPr>
              <w:spacing w:before="0" w:after="0"/>
              <w:jc w:val="left"/>
              <w:rPr>
                <w:rFonts w:cs="Arial"/>
                <w:b/>
                <w:bCs/>
                <w:color w:val="FFFFFF" w:themeColor="background1"/>
                <w:sz w:val="16"/>
                <w:szCs w:val="16"/>
                <w:lang w:val="en-US"/>
              </w:rPr>
            </w:pPr>
            <w:r w:rsidRPr="001E0229">
              <w:rPr>
                <w:rFonts w:cs="Arial"/>
                <w:b/>
                <w:bCs/>
                <w:color w:val="FFFFFF" w:themeColor="background1"/>
                <w:sz w:val="16"/>
                <w:szCs w:val="16"/>
                <w:lang w:val="en-US"/>
              </w:rPr>
              <w:t>Affected fixed asset</w:t>
            </w:r>
          </w:p>
        </w:tc>
        <w:tc>
          <w:tcPr>
            <w:tcW w:w="366" w:type="pct"/>
            <w:shd w:val="clear" w:color="auto" w:fill="4F81BD"/>
            <w:vAlign w:val="center"/>
          </w:tcPr>
          <w:p w14:paraId="3CAAFBF3" w14:textId="77777777" w:rsidR="00924706" w:rsidRPr="001E0229" w:rsidRDefault="00924706">
            <w:pPr>
              <w:spacing w:before="0" w:after="0"/>
              <w:jc w:val="left"/>
              <w:rPr>
                <w:rFonts w:cs="Arial"/>
                <w:b/>
                <w:bCs/>
                <w:color w:val="FFFFFF" w:themeColor="background1"/>
                <w:sz w:val="16"/>
                <w:szCs w:val="16"/>
                <w:lang w:val="en-US"/>
              </w:rPr>
            </w:pPr>
            <w:r w:rsidRPr="001E0229">
              <w:rPr>
                <w:rFonts w:cs="Arial"/>
                <w:b/>
                <w:bCs/>
                <w:color w:val="FFFFFF" w:themeColor="background1"/>
                <w:sz w:val="16"/>
                <w:szCs w:val="16"/>
                <w:lang w:val="en-US"/>
              </w:rPr>
              <w:t xml:space="preserve">User, if any </w:t>
            </w:r>
          </w:p>
        </w:tc>
        <w:tc>
          <w:tcPr>
            <w:tcW w:w="360" w:type="pct"/>
            <w:shd w:val="clear" w:color="auto" w:fill="4F81BD"/>
            <w:vAlign w:val="center"/>
          </w:tcPr>
          <w:p w14:paraId="069067A8" w14:textId="77777777" w:rsidR="00924706" w:rsidRPr="001E0229" w:rsidRDefault="00924706">
            <w:pPr>
              <w:spacing w:before="0" w:after="0"/>
              <w:jc w:val="left"/>
              <w:rPr>
                <w:rFonts w:cs="Arial"/>
                <w:b/>
                <w:bCs/>
                <w:color w:val="FFFFFF" w:themeColor="background1"/>
                <w:sz w:val="16"/>
                <w:szCs w:val="16"/>
                <w:lang w:val="en-US"/>
              </w:rPr>
            </w:pPr>
            <w:r w:rsidRPr="001E0229">
              <w:rPr>
                <w:rFonts w:cs="Arial"/>
                <w:b/>
                <w:bCs/>
                <w:color w:val="FFFFFF" w:themeColor="background1"/>
                <w:sz w:val="16"/>
                <w:szCs w:val="16"/>
                <w:lang w:val="en-US"/>
              </w:rPr>
              <w:t xml:space="preserve">Usage </w:t>
            </w:r>
          </w:p>
        </w:tc>
        <w:tc>
          <w:tcPr>
            <w:tcW w:w="299" w:type="pct"/>
            <w:shd w:val="clear" w:color="auto" w:fill="4F81BD"/>
          </w:tcPr>
          <w:p w14:paraId="6CE54B5B" w14:textId="7AAD1B5A" w:rsidR="00924706" w:rsidRPr="001E0229" w:rsidRDefault="00924706">
            <w:pPr>
              <w:spacing w:before="0" w:after="0"/>
              <w:jc w:val="left"/>
              <w:rPr>
                <w:rFonts w:cs="Arial"/>
                <w:b/>
                <w:bCs/>
                <w:color w:val="FFFFFF" w:themeColor="background1"/>
                <w:sz w:val="16"/>
                <w:szCs w:val="16"/>
                <w:lang w:val="en-US"/>
              </w:rPr>
            </w:pPr>
            <w:r w:rsidRPr="001E0229">
              <w:rPr>
                <w:rFonts w:cs="Arial"/>
                <w:b/>
                <w:bCs/>
                <w:color w:val="FFFFFF" w:themeColor="background1"/>
                <w:sz w:val="16"/>
                <w:szCs w:val="16"/>
                <w:lang w:val="en-US"/>
              </w:rPr>
              <w:t>Size (m</w:t>
            </w:r>
            <w:r w:rsidRPr="00E961E6">
              <w:rPr>
                <w:rFonts w:cs="Arial"/>
                <w:b/>
                <w:bCs/>
                <w:color w:val="FFFFFF" w:themeColor="background1"/>
                <w:sz w:val="16"/>
                <w:szCs w:val="16"/>
                <w:vertAlign w:val="superscript"/>
                <w:lang w:val="en-US"/>
              </w:rPr>
              <w:t>2</w:t>
            </w:r>
            <w:r w:rsidRPr="001E0229">
              <w:rPr>
                <w:rFonts w:cs="Arial"/>
                <w:b/>
                <w:bCs/>
                <w:color w:val="FFFFFF" w:themeColor="background1"/>
                <w:sz w:val="16"/>
                <w:szCs w:val="16"/>
                <w:lang w:val="en-US"/>
              </w:rPr>
              <w:t>)</w:t>
            </w:r>
            <w:r w:rsidR="002239DF" w:rsidRPr="001E0229">
              <w:rPr>
                <w:rStyle w:val="FootnoteReference"/>
                <w:rFonts w:cs="Arial"/>
                <w:b/>
                <w:bCs/>
                <w:color w:val="FFFFFF" w:themeColor="background1"/>
                <w:sz w:val="16"/>
                <w:szCs w:val="16"/>
                <w:lang w:val="en-US"/>
              </w:rPr>
              <w:footnoteReference w:id="26"/>
            </w:r>
          </w:p>
        </w:tc>
        <w:tc>
          <w:tcPr>
            <w:tcW w:w="446" w:type="pct"/>
            <w:shd w:val="clear" w:color="auto" w:fill="4F81BD"/>
          </w:tcPr>
          <w:p w14:paraId="3388CC28" w14:textId="77777777" w:rsidR="00924706" w:rsidRPr="001E0229" w:rsidRDefault="00924706">
            <w:pPr>
              <w:spacing w:before="0" w:after="0"/>
              <w:jc w:val="left"/>
              <w:rPr>
                <w:rFonts w:cs="Arial"/>
                <w:b/>
                <w:bCs/>
                <w:color w:val="FFFFFF" w:themeColor="background1"/>
                <w:sz w:val="16"/>
                <w:szCs w:val="16"/>
                <w:lang w:val="en-US"/>
              </w:rPr>
            </w:pPr>
            <w:r w:rsidRPr="001E0229">
              <w:rPr>
                <w:rFonts w:cs="Arial"/>
                <w:b/>
                <w:bCs/>
                <w:color w:val="FFFFFF" w:themeColor="background1"/>
                <w:sz w:val="16"/>
                <w:szCs w:val="16"/>
                <w:lang w:val="en-US"/>
              </w:rPr>
              <w:t>Compensation amount (TRY)</w:t>
            </w:r>
          </w:p>
        </w:tc>
      </w:tr>
      <w:tr w:rsidR="00E961E6" w:rsidRPr="001E0229" w14:paraId="18F23F40" w14:textId="77777777" w:rsidTr="00E961E6">
        <w:trPr>
          <w:trHeight w:val="284"/>
          <w:jc w:val="center"/>
        </w:trPr>
        <w:tc>
          <w:tcPr>
            <w:tcW w:w="148" w:type="pct"/>
            <w:vMerge w:val="restart"/>
            <w:vAlign w:val="center"/>
          </w:tcPr>
          <w:p w14:paraId="6732A4BB"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1</w:t>
            </w:r>
          </w:p>
        </w:tc>
        <w:tc>
          <w:tcPr>
            <w:tcW w:w="301" w:type="pct"/>
            <w:vMerge w:val="restart"/>
            <w:vAlign w:val="center"/>
          </w:tcPr>
          <w:p w14:paraId="1CE69318"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Merge w:val="restart"/>
            <w:vAlign w:val="center"/>
          </w:tcPr>
          <w:p w14:paraId="54A5CE8B"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Merge w:val="restart"/>
            <w:vAlign w:val="center"/>
          </w:tcPr>
          <w:p w14:paraId="77F187A1"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Merge w:val="restart"/>
            <w:vAlign w:val="center"/>
          </w:tcPr>
          <w:p w14:paraId="07ED233A" w14:textId="77777777" w:rsidR="00924706" w:rsidRPr="001E0229" w:rsidRDefault="00924706">
            <w:pPr>
              <w:spacing w:before="0" w:after="0"/>
              <w:jc w:val="left"/>
              <w:rPr>
                <w:rFonts w:cs="Arial"/>
                <w:sz w:val="16"/>
                <w:szCs w:val="16"/>
                <w:lang w:val="en-US"/>
              </w:rPr>
            </w:pPr>
            <w:r w:rsidRPr="001E0229">
              <w:rPr>
                <w:rFonts w:cs="Arial"/>
                <w:sz w:val="16"/>
                <w:szCs w:val="16"/>
                <w:lang w:val="en-US"/>
              </w:rPr>
              <w:t>102/5</w:t>
            </w:r>
          </w:p>
        </w:tc>
        <w:tc>
          <w:tcPr>
            <w:tcW w:w="384" w:type="pct"/>
            <w:vAlign w:val="center"/>
          </w:tcPr>
          <w:p w14:paraId="2F6D25BD" w14:textId="77777777" w:rsidR="00924706" w:rsidRPr="001E0229" w:rsidRDefault="00924706">
            <w:pPr>
              <w:spacing w:before="0" w:after="0"/>
              <w:jc w:val="left"/>
              <w:rPr>
                <w:rFonts w:cs="Arial"/>
                <w:sz w:val="16"/>
                <w:szCs w:val="16"/>
                <w:lang w:val="en-US"/>
              </w:rPr>
            </w:pPr>
            <w:r w:rsidRPr="001E0229">
              <w:rPr>
                <w:rFonts w:cs="Arial"/>
                <w:sz w:val="16"/>
                <w:szCs w:val="16"/>
                <w:lang w:val="en-US"/>
              </w:rPr>
              <w:t>36 shareholders (See Appendix A5)</w:t>
            </w:r>
          </w:p>
        </w:tc>
        <w:tc>
          <w:tcPr>
            <w:tcW w:w="293" w:type="pct"/>
            <w:vMerge w:val="restart"/>
            <w:vAlign w:val="center"/>
          </w:tcPr>
          <w:p w14:paraId="094D89F2" w14:textId="77777777" w:rsidR="00924706" w:rsidRPr="001E0229" w:rsidRDefault="00924706">
            <w:pPr>
              <w:spacing w:before="0" w:after="0"/>
              <w:jc w:val="left"/>
              <w:rPr>
                <w:rFonts w:cs="Arial"/>
                <w:sz w:val="16"/>
                <w:szCs w:val="16"/>
                <w:lang w:val="en-US"/>
              </w:rPr>
            </w:pPr>
            <w:r w:rsidRPr="001E0229">
              <w:rPr>
                <w:rFonts w:cs="Arial"/>
                <w:sz w:val="16"/>
                <w:szCs w:val="16"/>
                <w:lang w:val="en-US"/>
              </w:rPr>
              <w:t>Field</w:t>
            </w:r>
          </w:p>
        </w:tc>
        <w:tc>
          <w:tcPr>
            <w:tcW w:w="351" w:type="pct"/>
            <w:vMerge w:val="restart"/>
            <w:vAlign w:val="center"/>
          </w:tcPr>
          <w:p w14:paraId="7EB1CAEC" w14:textId="77777777" w:rsidR="00924706" w:rsidRPr="001E0229" w:rsidRDefault="00924706">
            <w:pPr>
              <w:spacing w:before="0" w:after="0"/>
              <w:jc w:val="left"/>
              <w:rPr>
                <w:rFonts w:cs="Arial"/>
                <w:sz w:val="16"/>
                <w:szCs w:val="16"/>
                <w:lang w:val="en-US"/>
              </w:rPr>
            </w:pPr>
            <w:r w:rsidRPr="001E0229">
              <w:rPr>
                <w:rFonts w:cs="Arial"/>
                <w:sz w:val="16"/>
                <w:szCs w:val="16"/>
                <w:lang w:val="en-US"/>
              </w:rPr>
              <w:t>Private</w:t>
            </w:r>
          </w:p>
        </w:tc>
        <w:tc>
          <w:tcPr>
            <w:tcW w:w="532" w:type="pct"/>
            <w:vAlign w:val="center"/>
          </w:tcPr>
          <w:p w14:paraId="05C2C0EA" w14:textId="77777777" w:rsidR="00924706" w:rsidRPr="001E0229" w:rsidRDefault="00924706">
            <w:pPr>
              <w:spacing w:before="0" w:after="0"/>
              <w:jc w:val="left"/>
              <w:rPr>
                <w:rFonts w:cs="Arial"/>
                <w:sz w:val="16"/>
                <w:szCs w:val="16"/>
                <w:lang w:val="en-US"/>
              </w:rPr>
            </w:pPr>
            <w:r w:rsidRPr="001E0229">
              <w:rPr>
                <w:rFonts w:cs="Arial"/>
                <w:sz w:val="16"/>
                <w:szCs w:val="16"/>
                <w:lang w:val="en-US"/>
              </w:rPr>
              <w:t>Acquired by agreement/consent</w:t>
            </w:r>
          </w:p>
        </w:tc>
        <w:tc>
          <w:tcPr>
            <w:tcW w:w="366" w:type="pct"/>
            <w:vAlign w:val="center"/>
          </w:tcPr>
          <w:p w14:paraId="1B6F8A2E"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2114D0E4"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369E8DED"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0" w:type="pct"/>
            <w:vAlign w:val="center"/>
          </w:tcPr>
          <w:p w14:paraId="7BB7816E" w14:textId="77777777" w:rsidR="00924706" w:rsidRPr="001E0229" w:rsidRDefault="00924706">
            <w:pPr>
              <w:spacing w:before="0" w:after="0"/>
              <w:jc w:val="left"/>
              <w:rPr>
                <w:rFonts w:cs="Arial"/>
                <w:sz w:val="16"/>
                <w:szCs w:val="16"/>
                <w:lang w:val="en-US"/>
              </w:rPr>
            </w:pPr>
            <w:r w:rsidRPr="001E0229">
              <w:rPr>
                <w:rFonts w:cs="Arial"/>
                <w:sz w:val="16"/>
                <w:szCs w:val="16"/>
                <w:lang w:val="en-US"/>
              </w:rPr>
              <w:t>NA</w:t>
            </w:r>
          </w:p>
        </w:tc>
        <w:tc>
          <w:tcPr>
            <w:tcW w:w="299" w:type="pct"/>
            <w:vMerge w:val="restart"/>
            <w:vAlign w:val="center"/>
          </w:tcPr>
          <w:p w14:paraId="2F8888C4" w14:textId="53252EC3" w:rsidR="00924706" w:rsidRPr="00E961E6" w:rsidRDefault="00924706" w:rsidP="00E961E6">
            <w:pPr>
              <w:spacing w:before="0" w:after="0"/>
              <w:jc w:val="center"/>
              <w:rPr>
                <w:sz w:val="16"/>
                <w:szCs w:val="16"/>
              </w:rPr>
            </w:pPr>
            <w:r w:rsidRPr="001E0229">
              <w:rPr>
                <w:sz w:val="16"/>
                <w:szCs w:val="16"/>
              </w:rPr>
              <w:t>7696,21</w:t>
            </w:r>
          </w:p>
        </w:tc>
        <w:tc>
          <w:tcPr>
            <w:tcW w:w="446" w:type="pct"/>
            <w:vMerge w:val="restart"/>
            <w:vAlign w:val="center"/>
          </w:tcPr>
          <w:p w14:paraId="54E60FA0" w14:textId="547FDB1C" w:rsidR="00924706" w:rsidRPr="00E961E6" w:rsidRDefault="00924706" w:rsidP="00E961E6">
            <w:pPr>
              <w:spacing w:before="0" w:after="0"/>
              <w:jc w:val="center"/>
              <w:rPr>
                <w:rFonts w:cs="Arial"/>
                <w:sz w:val="16"/>
                <w:szCs w:val="16"/>
              </w:rPr>
            </w:pPr>
            <w:r w:rsidRPr="001E0229">
              <w:rPr>
                <w:rFonts w:cs="Arial"/>
                <w:sz w:val="16"/>
                <w:szCs w:val="16"/>
              </w:rPr>
              <w:t>169.434,16</w:t>
            </w:r>
          </w:p>
        </w:tc>
      </w:tr>
      <w:tr w:rsidR="00E961E6" w:rsidRPr="001E0229" w14:paraId="4EF66649" w14:textId="77777777" w:rsidTr="00E961E6">
        <w:trPr>
          <w:trHeight w:val="284"/>
          <w:jc w:val="center"/>
        </w:trPr>
        <w:tc>
          <w:tcPr>
            <w:tcW w:w="148" w:type="pct"/>
            <w:vMerge/>
            <w:vAlign w:val="center"/>
          </w:tcPr>
          <w:p w14:paraId="207130BA" w14:textId="77777777" w:rsidR="00924706" w:rsidRPr="001E0229" w:rsidRDefault="00924706" w:rsidP="001E0229">
            <w:pPr>
              <w:spacing w:before="0" w:after="0"/>
              <w:ind w:right="-113"/>
              <w:jc w:val="left"/>
              <w:rPr>
                <w:rFonts w:cs="Arial"/>
                <w:sz w:val="16"/>
                <w:szCs w:val="16"/>
                <w:lang w:val="en-US"/>
              </w:rPr>
            </w:pPr>
          </w:p>
        </w:tc>
        <w:tc>
          <w:tcPr>
            <w:tcW w:w="301" w:type="pct"/>
            <w:vMerge/>
            <w:vAlign w:val="center"/>
          </w:tcPr>
          <w:p w14:paraId="31670512" w14:textId="77777777" w:rsidR="00924706" w:rsidRPr="001E0229" w:rsidRDefault="00924706">
            <w:pPr>
              <w:spacing w:before="0" w:after="0"/>
              <w:jc w:val="left"/>
              <w:rPr>
                <w:rFonts w:cs="Arial"/>
                <w:sz w:val="16"/>
                <w:szCs w:val="16"/>
                <w:lang w:val="en-US"/>
              </w:rPr>
            </w:pPr>
          </w:p>
        </w:tc>
        <w:tc>
          <w:tcPr>
            <w:tcW w:w="260" w:type="pct"/>
            <w:vMerge/>
            <w:vAlign w:val="center"/>
          </w:tcPr>
          <w:p w14:paraId="583A518A" w14:textId="77777777" w:rsidR="00924706" w:rsidRPr="001E0229" w:rsidRDefault="00924706">
            <w:pPr>
              <w:spacing w:before="0" w:after="0"/>
              <w:jc w:val="left"/>
              <w:rPr>
                <w:rFonts w:cs="Arial"/>
                <w:sz w:val="16"/>
                <w:szCs w:val="16"/>
                <w:lang w:val="en-US"/>
              </w:rPr>
            </w:pPr>
          </w:p>
        </w:tc>
        <w:tc>
          <w:tcPr>
            <w:tcW w:w="348" w:type="pct"/>
            <w:vMerge/>
            <w:vAlign w:val="center"/>
          </w:tcPr>
          <w:p w14:paraId="5056F858" w14:textId="77777777" w:rsidR="00924706" w:rsidRPr="001E0229" w:rsidRDefault="00924706">
            <w:pPr>
              <w:spacing w:before="0" w:after="0"/>
              <w:jc w:val="left"/>
              <w:rPr>
                <w:rFonts w:cs="Arial"/>
                <w:sz w:val="16"/>
                <w:szCs w:val="16"/>
                <w:lang w:val="en-US"/>
              </w:rPr>
            </w:pPr>
          </w:p>
        </w:tc>
        <w:tc>
          <w:tcPr>
            <w:tcW w:w="239" w:type="pct"/>
            <w:vMerge/>
            <w:vAlign w:val="center"/>
          </w:tcPr>
          <w:p w14:paraId="3382204F" w14:textId="77777777" w:rsidR="00924706" w:rsidRPr="001E0229" w:rsidRDefault="00924706">
            <w:pPr>
              <w:spacing w:before="0" w:after="0"/>
              <w:jc w:val="left"/>
              <w:rPr>
                <w:rFonts w:cs="Arial"/>
                <w:sz w:val="16"/>
                <w:szCs w:val="16"/>
                <w:lang w:val="en-US"/>
              </w:rPr>
            </w:pPr>
          </w:p>
        </w:tc>
        <w:tc>
          <w:tcPr>
            <w:tcW w:w="384" w:type="pct"/>
            <w:vAlign w:val="center"/>
          </w:tcPr>
          <w:p w14:paraId="221E5676" w14:textId="77777777" w:rsidR="00924706" w:rsidRPr="001E0229" w:rsidRDefault="00924706">
            <w:pPr>
              <w:spacing w:before="0" w:after="0"/>
              <w:jc w:val="left"/>
              <w:rPr>
                <w:rFonts w:cs="Arial"/>
                <w:sz w:val="16"/>
                <w:szCs w:val="16"/>
                <w:lang w:val="en-US"/>
              </w:rPr>
            </w:pPr>
            <w:r w:rsidRPr="001E0229">
              <w:rPr>
                <w:rFonts w:cs="Arial"/>
                <w:sz w:val="16"/>
                <w:szCs w:val="16"/>
                <w:lang w:val="en-US"/>
              </w:rPr>
              <w:t>22 shareholders (See Appendix A6)</w:t>
            </w:r>
          </w:p>
        </w:tc>
        <w:tc>
          <w:tcPr>
            <w:tcW w:w="293" w:type="pct"/>
            <w:vMerge/>
            <w:vAlign w:val="center"/>
          </w:tcPr>
          <w:p w14:paraId="00E7A598" w14:textId="77777777" w:rsidR="00924706" w:rsidRPr="001E0229" w:rsidRDefault="00924706">
            <w:pPr>
              <w:spacing w:before="0" w:after="0"/>
              <w:jc w:val="left"/>
              <w:rPr>
                <w:rFonts w:cs="Arial"/>
                <w:sz w:val="16"/>
                <w:szCs w:val="16"/>
                <w:lang w:val="en-US"/>
              </w:rPr>
            </w:pPr>
          </w:p>
        </w:tc>
        <w:tc>
          <w:tcPr>
            <w:tcW w:w="351" w:type="pct"/>
            <w:vMerge/>
            <w:vAlign w:val="center"/>
          </w:tcPr>
          <w:p w14:paraId="51C85896" w14:textId="77777777" w:rsidR="00924706" w:rsidRPr="001E0229" w:rsidRDefault="00924706">
            <w:pPr>
              <w:spacing w:before="0" w:after="0"/>
              <w:jc w:val="left"/>
              <w:rPr>
                <w:rFonts w:cs="Arial"/>
                <w:sz w:val="16"/>
                <w:szCs w:val="16"/>
                <w:lang w:val="en-US"/>
              </w:rPr>
            </w:pPr>
          </w:p>
        </w:tc>
        <w:tc>
          <w:tcPr>
            <w:tcW w:w="532" w:type="pct"/>
            <w:vAlign w:val="center"/>
          </w:tcPr>
          <w:p w14:paraId="0DFB5E52" w14:textId="77777777" w:rsidR="00924706" w:rsidRPr="001E0229" w:rsidRDefault="00924706">
            <w:pPr>
              <w:spacing w:before="0" w:after="0"/>
              <w:jc w:val="left"/>
              <w:rPr>
                <w:rFonts w:cs="Arial"/>
                <w:sz w:val="16"/>
                <w:szCs w:val="16"/>
                <w:lang w:val="en-US"/>
              </w:rPr>
            </w:pPr>
            <w:r w:rsidRPr="001E0229">
              <w:rPr>
                <w:rFonts w:cs="Arial"/>
                <w:sz w:val="16"/>
                <w:szCs w:val="16"/>
                <w:lang w:val="en-US"/>
              </w:rPr>
              <w:t>Expropriation</w:t>
            </w:r>
            <w:r w:rsidRPr="001E0229">
              <w:rPr>
                <w:rStyle w:val="FootnoteReference"/>
                <w:rFonts w:cs="Arial"/>
                <w:sz w:val="16"/>
                <w:szCs w:val="16"/>
                <w:lang w:val="en-US"/>
              </w:rPr>
              <w:footnoteReference w:id="27"/>
            </w:r>
          </w:p>
        </w:tc>
        <w:tc>
          <w:tcPr>
            <w:tcW w:w="366" w:type="pct"/>
            <w:vAlign w:val="center"/>
          </w:tcPr>
          <w:p w14:paraId="7F5E16F9"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57A44E95"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55679B58"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0" w:type="pct"/>
            <w:vAlign w:val="center"/>
          </w:tcPr>
          <w:p w14:paraId="02BF6A6C" w14:textId="77777777" w:rsidR="00924706" w:rsidRPr="001E0229" w:rsidRDefault="00924706">
            <w:pPr>
              <w:spacing w:before="0" w:after="0"/>
              <w:jc w:val="left"/>
              <w:rPr>
                <w:rFonts w:cs="Arial"/>
                <w:sz w:val="16"/>
                <w:szCs w:val="16"/>
                <w:lang w:val="en-US"/>
              </w:rPr>
            </w:pPr>
            <w:r w:rsidRPr="001E0229">
              <w:rPr>
                <w:rFonts w:cs="Arial"/>
                <w:sz w:val="16"/>
                <w:szCs w:val="16"/>
                <w:lang w:val="en-US"/>
              </w:rPr>
              <w:t>NA</w:t>
            </w:r>
          </w:p>
        </w:tc>
        <w:tc>
          <w:tcPr>
            <w:tcW w:w="299" w:type="pct"/>
            <w:vMerge/>
            <w:vAlign w:val="center"/>
          </w:tcPr>
          <w:p w14:paraId="0462507C" w14:textId="77777777" w:rsidR="00924706" w:rsidRPr="001E0229" w:rsidRDefault="00924706">
            <w:pPr>
              <w:spacing w:before="0" w:after="0"/>
              <w:jc w:val="center"/>
              <w:rPr>
                <w:rFonts w:cs="Arial"/>
                <w:sz w:val="16"/>
                <w:szCs w:val="16"/>
                <w:lang w:val="en-US"/>
              </w:rPr>
            </w:pPr>
          </w:p>
        </w:tc>
        <w:tc>
          <w:tcPr>
            <w:tcW w:w="446" w:type="pct"/>
            <w:vMerge/>
            <w:vAlign w:val="center"/>
          </w:tcPr>
          <w:p w14:paraId="4AB64EB6" w14:textId="77777777" w:rsidR="00924706" w:rsidRPr="001E0229" w:rsidRDefault="00924706">
            <w:pPr>
              <w:spacing w:before="0" w:after="0"/>
              <w:jc w:val="center"/>
              <w:rPr>
                <w:rFonts w:cs="Arial"/>
                <w:sz w:val="16"/>
                <w:szCs w:val="16"/>
                <w:lang w:val="en-US"/>
              </w:rPr>
            </w:pPr>
          </w:p>
        </w:tc>
      </w:tr>
      <w:bookmarkEnd w:id="676"/>
      <w:tr w:rsidR="00E961E6" w:rsidRPr="001E0229" w14:paraId="506219B5" w14:textId="77777777" w:rsidTr="00E961E6">
        <w:trPr>
          <w:trHeight w:val="284"/>
          <w:jc w:val="center"/>
        </w:trPr>
        <w:tc>
          <w:tcPr>
            <w:tcW w:w="148" w:type="pct"/>
            <w:vAlign w:val="center"/>
          </w:tcPr>
          <w:p w14:paraId="5DBEE8B1"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2</w:t>
            </w:r>
          </w:p>
        </w:tc>
        <w:tc>
          <w:tcPr>
            <w:tcW w:w="301" w:type="pct"/>
            <w:vAlign w:val="center"/>
          </w:tcPr>
          <w:p w14:paraId="7FF1B6E6"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77028545"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36BFA1AD"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70AA3C31" w14:textId="77777777" w:rsidR="00924706" w:rsidRPr="001E0229" w:rsidRDefault="00924706">
            <w:pPr>
              <w:spacing w:before="0" w:after="0"/>
              <w:jc w:val="left"/>
              <w:rPr>
                <w:rFonts w:cs="Arial"/>
                <w:sz w:val="16"/>
                <w:szCs w:val="16"/>
                <w:lang w:val="en-US"/>
              </w:rPr>
            </w:pPr>
            <w:r w:rsidRPr="001E0229">
              <w:rPr>
                <w:rFonts w:cs="Arial"/>
                <w:sz w:val="16"/>
                <w:szCs w:val="16"/>
                <w:lang w:val="en-US"/>
              </w:rPr>
              <w:t>189/3</w:t>
            </w:r>
          </w:p>
        </w:tc>
        <w:tc>
          <w:tcPr>
            <w:tcW w:w="384" w:type="pct"/>
            <w:vAlign w:val="center"/>
          </w:tcPr>
          <w:p w14:paraId="4DD4158B"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5C4B4525" w14:textId="77777777" w:rsidR="00924706" w:rsidRPr="001E0229" w:rsidRDefault="00924706">
            <w:pPr>
              <w:spacing w:before="0" w:after="0"/>
              <w:jc w:val="left"/>
              <w:rPr>
                <w:rFonts w:cs="Arial"/>
                <w:sz w:val="16"/>
                <w:szCs w:val="16"/>
                <w:lang w:val="en-US"/>
              </w:rPr>
            </w:pPr>
            <w:r w:rsidRPr="001E0229">
              <w:rPr>
                <w:rFonts w:cs="Arial"/>
                <w:sz w:val="16"/>
                <w:szCs w:val="16"/>
                <w:lang w:val="en-US"/>
              </w:rPr>
              <w:t>Stony, brush</w:t>
            </w:r>
          </w:p>
        </w:tc>
        <w:tc>
          <w:tcPr>
            <w:tcW w:w="351" w:type="pct"/>
            <w:vAlign w:val="center"/>
          </w:tcPr>
          <w:p w14:paraId="4EA87980"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304A1445"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24F85CB5"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670943B9"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69780458"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0" w:type="pct"/>
            <w:vAlign w:val="center"/>
          </w:tcPr>
          <w:p w14:paraId="3C4B92A3" w14:textId="77777777" w:rsidR="00924706" w:rsidRPr="001E0229" w:rsidRDefault="00924706">
            <w:pPr>
              <w:spacing w:before="0" w:after="0"/>
              <w:jc w:val="left"/>
              <w:rPr>
                <w:rFonts w:cs="Arial"/>
                <w:sz w:val="16"/>
                <w:szCs w:val="16"/>
                <w:lang w:val="en-US"/>
              </w:rPr>
            </w:pPr>
            <w:r w:rsidRPr="001E0229">
              <w:rPr>
                <w:rFonts w:cs="Arial"/>
                <w:sz w:val="16"/>
                <w:szCs w:val="16"/>
                <w:lang w:val="en-US"/>
              </w:rPr>
              <w:t>NA</w:t>
            </w:r>
          </w:p>
        </w:tc>
        <w:tc>
          <w:tcPr>
            <w:tcW w:w="299" w:type="pct"/>
            <w:vAlign w:val="center"/>
          </w:tcPr>
          <w:p w14:paraId="11E42502" w14:textId="11F4D10A" w:rsidR="00924706" w:rsidRPr="00E961E6" w:rsidRDefault="00924706" w:rsidP="00E961E6">
            <w:pPr>
              <w:spacing w:before="0" w:after="0"/>
              <w:ind w:right="-124" w:hanging="162"/>
              <w:jc w:val="center"/>
              <w:rPr>
                <w:sz w:val="16"/>
                <w:szCs w:val="16"/>
              </w:rPr>
            </w:pPr>
            <w:r w:rsidRPr="001E0229">
              <w:rPr>
                <w:sz w:val="16"/>
                <w:szCs w:val="16"/>
              </w:rPr>
              <w:t>148588,92</w:t>
            </w:r>
          </w:p>
        </w:tc>
        <w:tc>
          <w:tcPr>
            <w:tcW w:w="446" w:type="pct"/>
            <w:vAlign w:val="center"/>
          </w:tcPr>
          <w:p w14:paraId="759E2E46" w14:textId="78042C52" w:rsidR="00924706" w:rsidRPr="00E961E6" w:rsidRDefault="00924706" w:rsidP="00E961E6">
            <w:pPr>
              <w:spacing w:before="0" w:after="0"/>
              <w:jc w:val="center"/>
              <w:rPr>
                <w:rFonts w:cs="Arial"/>
                <w:sz w:val="16"/>
                <w:szCs w:val="16"/>
              </w:rPr>
            </w:pPr>
            <w:r w:rsidRPr="001E0229">
              <w:rPr>
                <w:rFonts w:cs="Arial"/>
                <w:sz w:val="16"/>
                <w:szCs w:val="16"/>
              </w:rPr>
              <w:t>57.949,68</w:t>
            </w:r>
          </w:p>
        </w:tc>
      </w:tr>
      <w:tr w:rsidR="00E961E6" w:rsidRPr="001E0229" w14:paraId="41D13BC1" w14:textId="77777777" w:rsidTr="00E961E6">
        <w:trPr>
          <w:trHeight w:val="284"/>
          <w:jc w:val="center"/>
        </w:trPr>
        <w:tc>
          <w:tcPr>
            <w:tcW w:w="148" w:type="pct"/>
            <w:vAlign w:val="center"/>
          </w:tcPr>
          <w:p w14:paraId="5E810C58"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3</w:t>
            </w:r>
          </w:p>
        </w:tc>
        <w:tc>
          <w:tcPr>
            <w:tcW w:w="301" w:type="pct"/>
            <w:vAlign w:val="center"/>
          </w:tcPr>
          <w:p w14:paraId="17C372C6"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4016D17F"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466FDE7C"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4CB723B9" w14:textId="77777777" w:rsidR="00924706" w:rsidRPr="001E0229" w:rsidRDefault="00924706">
            <w:pPr>
              <w:spacing w:before="0" w:after="0"/>
              <w:jc w:val="left"/>
              <w:rPr>
                <w:rFonts w:cs="Arial"/>
                <w:sz w:val="16"/>
                <w:szCs w:val="16"/>
                <w:lang w:val="en-US"/>
              </w:rPr>
            </w:pPr>
            <w:r w:rsidRPr="001E0229">
              <w:rPr>
                <w:rFonts w:cs="Arial"/>
                <w:sz w:val="16"/>
                <w:szCs w:val="16"/>
                <w:lang w:val="en-US"/>
              </w:rPr>
              <w:t>104/1</w:t>
            </w:r>
          </w:p>
        </w:tc>
        <w:tc>
          <w:tcPr>
            <w:tcW w:w="384" w:type="pct"/>
            <w:vAlign w:val="center"/>
          </w:tcPr>
          <w:p w14:paraId="28E24088"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0AD27076" w14:textId="3C084D4D" w:rsidR="00924706" w:rsidRPr="001E0229" w:rsidRDefault="00924706">
            <w:pPr>
              <w:spacing w:before="0" w:after="0"/>
              <w:jc w:val="left"/>
              <w:rPr>
                <w:rFonts w:cs="Arial"/>
                <w:sz w:val="16"/>
                <w:szCs w:val="16"/>
                <w:lang w:val="en-US"/>
              </w:rPr>
            </w:pPr>
            <w:r w:rsidRPr="001E0229">
              <w:rPr>
                <w:rFonts w:cs="Arial"/>
                <w:sz w:val="16"/>
                <w:szCs w:val="16"/>
                <w:lang w:val="en-US"/>
              </w:rPr>
              <w:t>Raw land</w:t>
            </w:r>
          </w:p>
        </w:tc>
        <w:tc>
          <w:tcPr>
            <w:tcW w:w="351" w:type="pct"/>
            <w:vAlign w:val="center"/>
          </w:tcPr>
          <w:p w14:paraId="4631042E"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617A4415"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2A92BEA2"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5AA820FF" w14:textId="77777777" w:rsidR="00924706" w:rsidRPr="001E0229" w:rsidRDefault="00924706">
            <w:pPr>
              <w:spacing w:before="0" w:after="0"/>
              <w:jc w:val="left"/>
              <w:rPr>
                <w:rFonts w:cs="Arial"/>
                <w:sz w:val="16"/>
                <w:szCs w:val="16"/>
                <w:lang w:val="en-US"/>
              </w:rPr>
            </w:pPr>
            <w:r w:rsidRPr="001E0229">
              <w:rPr>
                <w:rFonts w:cs="Arial"/>
                <w:sz w:val="16"/>
                <w:szCs w:val="16"/>
                <w:lang w:val="en-US"/>
              </w:rPr>
              <w:t>2 old buildings belonging to National Real Estate</w:t>
            </w:r>
          </w:p>
        </w:tc>
        <w:tc>
          <w:tcPr>
            <w:tcW w:w="366" w:type="pct"/>
            <w:vAlign w:val="center"/>
          </w:tcPr>
          <w:p w14:paraId="7F06AFCC" w14:textId="77777777" w:rsidR="00924706" w:rsidRPr="001E0229" w:rsidRDefault="00924706">
            <w:pPr>
              <w:spacing w:before="0" w:after="0"/>
              <w:jc w:val="left"/>
              <w:rPr>
                <w:rFonts w:cs="Arial"/>
                <w:sz w:val="16"/>
                <w:szCs w:val="16"/>
                <w:lang w:val="en-US"/>
              </w:rPr>
            </w:pPr>
            <w:r w:rsidRPr="001E0229">
              <w:rPr>
                <w:rFonts w:cs="Arial"/>
                <w:sz w:val="16"/>
                <w:szCs w:val="16"/>
                <w:lang w:val="en-US"/>
              </w:rPr>
              <w:t xml:space="preserve">A family (2 PAPs) as an informal user of the affected structure </w:t>
            </w:r>
          </w:p>
        </w:tc>
        <w:tc>
          <w:tcPr>
            <w:tcW w:w="360" w:type="pct"/>
            <w:vAlign w:val="center"/>
          </w:tcPr>
          <w:p w14:paraId="3E932B28" w14:textId="77777777" w:rsidR="00924706" w:rsidRPr="001E0229" w:rsidRDefault="00924706">
            <w:pPr>
              <w:spacing w:before="0" w:after="0"/>
              <w:jc w:val="left"/>
              <w:rPr>
                <w:rFonts w:cs="Arial"/>
                <w:sz w:val="16"/>
                <w:szCs w:val="16"/>
                <w:lang w:val="en-US"/>
              </w:rPr>
            </w:pPr>
            <w:r w:rsidRPr="001E0229">
              <w:rPr>
                <w:rFonts w:cs="Arial"/>
                <w:sz w:val="16"/>
                <w:szCs w:val="16"/>
                <w:lang w:val="en-US"/>
              </w:rPr>
              <w:t>House</w:t>
            </w:r>
          </w:p>
        </w:tc>
        <w:tc>
          <w:tcPr>
            <w:tcW w:w="299" w:type="pct"/>
            <w:vAlign w:val="center"/>
          </w:tcPr>
          <w:p w14:paraId="1A100C08" w14:textId="4805AD12" w:rsidR="00924706" w:rsidRPr="00E961E6" w:rsidRDefault="00924706" w:rsidP="00E961E6">
            <w:pPr>
              <w:spacing w:before="0" w:after="0"/>
              <w:jc w:val="center"/>
              <w:rPr>
                <w:sz w:val="16"/>
                <w:szCs w:val="16"/>
              </w:rPr>
            </w:pPr>
            <w:r w:rsidRPr="001E0229">
              <w:rPr>
                <w:sz w:val="16"/>
                <w:szCs w:val="16"/>
              </w:rPr>
              <w:t>2000,08</w:t>
            </w:r>
          </w:p>
        </w:tc>
        <w:tc>
          <w:tcPr>
            <w:tcW w:w="446" w:type="pct"/>
            <w:vAlign w:val="center"/>
          </w:tcPr>
          <w:p w14:paraId="1D257A4A" w14:textId="1CCD5499" w:rsidR="00924706" w:rsidRPr="00E961E6" w:rsidRDefault="00924706" w:rsidP="00E961E6">
            <w:pPr>
              <w:spacing w:before="0" w:after="0"/>
              <w:jc w:val="center"/>
              <w:rPr>
                <w:rFonts w:cs="Arial"/>
                <w:sz w:val="16"/>
                <w:szCs w:val="16"/>
              </w:rPr>
            </w:pPr>
            <w:r w:rsidRPr="001E0229">
              <w:rPr>
                <w:rFonts w:cs="Arial"/>
                <w:sz w:val="16"/>
                <w:szCs w:val="16"/>
              </w:rPr>
              <w:t>118.107,02</w:t>
            </w:r>
          </w:p>
        </w:tc>
      </w:tr>
      <w:tr w:rsidR="00E961E6" w:rsidRPr="001E0229" w14:paraId="1CB7E892" w14:textId="77777777" w:rsidTr="00E961E6">
        <w:trPr>
          <w:trHeight w:val="284"/>
          <w:jc w:val="center"/>
        </w:trPr>
        <w:tc>
          <w:tcPr>
            <w:tcW w:w="148" w:type="pct"/>
            <w:vAlign w:val="center"/>
          </w:tcPr>
          <w:p w14:paraId="12EE30E9"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4</w:t>
            </w:r>
          </w:p>
        </w:tc>
        <w:tc>
          <w:tcPr>
            <w:tcW w:w="301" w:type="pct"/>
            <w:vAlign w:val="center"/>
          </w:tcPr>
          <w:p w14:paraId="56D70D4C"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1325EE5C"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3135F96B"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7EAE47F9" w14:textId="77777777" w:rsidR="00924706" w:rsidRPr="001E0229" w:rsidRDefault="00924706">
            <w:pPr>
              <w:spacing w:before="0" w:after="0"/>
              <w:jc w:val="left"/>
              <w:rPr>
                <w:rFonts w:cs="Arial"/>
                <w:sz w:val="16"/>
                <w:szCs w:val="16"/>
                <w:lang w:val="en-US"/>
              </w:rPr>
            </w:pPr>
            <w:r w:rsidRPr="001E0229">
              <w:rPr>
                <w:rFonts w:cs="Arial"/>
                <w:sz w:val="16"/>
                <w:szCs w:val="16"/>
                <w:lang w:val="en-US"/>
              </w:rPr>
              <w:t>104/2</w:t>
            </w:r>
          </w:p>
        </w:tc>
        <w:tc>
          <w:tcPr>
            <w:tcW w:w="384" w:type="pct"/>
            <w:vAlign w:val="center"/>
          </w:tcPr>
          <w:p w14:paraId="7F0C0DF2"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0C7FEBBD" w14:textId="77777777" w:rsidR="00924706" w:rsidRPr="001E0229" w:rsidRDefault="00924706">
            <w:pPr>
              <w:spacing w:before="0" w:after="0"/>
              <w:jc w:val="left"/>
              <w:rPr>
                <w:rFonts w:cs="Arial"/>
                <w:sz w:val="16"/>
                <w:szCs w:val="16"/>
                <w:lang w:val="en-US"/>
              </w:rPr>
            </w:pPr>
            <w:r w:rsidRPr="001E0229">
              <w:rPr>
                <w:rFonts w:cs="Arial"/>
                <w:sz w:val="16"/>
                <w:szCs w:val="16"/>
                <w:lang w:val="en-US"/>
              </w:rPr>
              <w:t>Stony, brush</w:t>
            </w:r>
          </w:p>
        </w:tc>
        <w:tc>
          <w:tcPr>
            <w:tcW w:w="351" w:type="pct"/>
            <w:vAlign w:val="center"/>
          </w:tcPr>
          <w:p w14:paraId="228357A7"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23C658AB"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0B44580A"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57F228C9"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001386DB"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0" w:type="pct"/>
            <w:vAlign w:val="center"/>
          </w:tcPr>
          <w:p w14:paraId="08293F40" w14:textId="77777777" w:rsidR="00924706" w:rsidRPr="001E0229" w:rsidRDefault="00924706">
            <w:pPr>
              <w:spacing w:before="0" w:after="0"/>
              <w:jc w:val="left"/>
              <w:rPr>
                <w:rFonts w:cs="Arial"/>
                <w:sz w:val="16"/>
                <w:szCs w:val="16"/>
                <w:lang w:val="en-US"/>
              </w:rPr>
            </w:pPr>
            <w:r w:rsidRPr="001E0229">
              <w:rPr>
                <w:rFonts w:cs="Arial"/>
                <w:sz w:val="16"/>
                <w:szCs w:val="16"/>
                <w:lang w:val="en-US"/>
              </w:rPr>
              <w:t>NA</w:t>
            </w:r>
          </w:p>
        </w:tc>
        <w:tc>
          <w:tcPr>
            <w:tcW w:w="299" w:type="pct"/>
            <w:vAlign w:val="center"/>
          </w:tcPr>
          <w:p w14:paraId="2067BDC7" w14:textId="405D1D94" w:rsidR="00924706" w:rsidRPr="00E961E6" w:rsidRDefault="00924706" w:rsidP="00E961E6">
            <w:pPr>
              <w:spacing w:before="0" w:after="0"/>
              <w:jc w:val="center"/>
              <w:rPr>
                <w:sz w:val="16"/>
                <w:szCs w:val="16"/>
              </w:rPr>
            </w:pPr>
            <w:r w:rsidRPr="001E0229">
              <w:rPr>
                <w:sz w:val="16"/>
                <w:szCs w:val="16"/>
              </w:rPr>
              <w:t>43991,90</w:t>
            </w:r>
          </w:p>
        </w:tc>
        <w:tc>
          <w:tcPr>
            <w:tcW w:w="446" w:type="pct"/>
            <w:vAlign w:val="center"/>
          </w:tcPr>
          <w:p w14:paraId="5528E3CC" w14:textId="4F448DC2" w:rsidR="00924706" w:rsidRPr="00E961E6" w:rsidRDefault="00924706" w:rsidP="00E961E6">
            <w:pPr>
              <w:spacing w:before="0" w:after="0"/>
              <w:jc w:val="center"/>
              <w:rPr>
                <w:rFonts w:cs="Arial"/>
                <w:sz w:val="16"/>
                <w:szCs w:val="16"/>
              </w:rPr>
            </w:pPr>
            <w:r w:rsidRPr="001E0229">
              <w:rPr>
                <w:rFonts w:cs="Arial"/>
                <w:sz w:val="16"/>
                <w:szCs w:val="16"/>
              </w:rPr>
              <w:t>17.156,84</w:t>
            </w:r>
          </w:p>
        </w:tc>
      </w:tr>
      <w:tr w:rsidR="00E961E6" w:rsidRPr="001E0229" w14:paraId="31798C02" w14:textId="77777777" w:rsidTr="00E961E6">
        <w:trPr>
          <w:trHeight w:val="284"/>
          <w:jc w:val="center"/>
        </w:trPr>
        <w:tc>
          <w:tcPr>
            <w:tcW w:w="148" w:type="pct"/>
            <w:vAlign w:val="center"/>
          </w:tcPr>
          <w:p w14:paraId="5661EC40"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5</w:t>
            </w:r>
          </w:p>
        </w:tc>
        <w:tc>
          <w:tcPr>
            <w:tcW w:w="301" w:type="pct"/>
            <w:vAlign w:val="center"/>
          </w:tcPr>
          <w:p w14:paraId="05B12A78"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78B7018D"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1FC374C3"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28631E1B" w14:textId="77777777" w:rsidR="00924706" w:rsidRPr="001E0229" w:rsidRDefault="00924706">
            <w:pPr>
              <w:spacing w:before="0" w:after="0"/>
              <w:jc w:val="left"/>
              <w:rPr>
                <w:rFonts w:cs="Arial"/>
                <w:sz w:val="16"/>
                <w:szCs w:val="16"/>
                <w:lang w:val="en-US"/>
              </w:rPr>
            </w:pPr>
            <w:r w:rsidRPr="001E0229">
              <w:rPr>
                <w:rFonts w:cs="Arial"/>
                <w:sz w:val="16"/>
                <w:szCs w:val="16"/>
                <w:lang w:val="en-US"/>
              </w:rPr>
              <w:t>204/1</w:t>
            </w:r>
          </w:p>
        </w:tc>
        <w:tc>
          <w:tcPr>
            <w:tcW w:w="384" w:type="pct"/>
            <w:vAlign w:val="center"/>
          </w:tcPr>
          <w:p w14:paraId="7D86AD4C"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32B3455B" w14:textId="77777777" w:rsidR="00924706" w:rsidRPr="001E0229" w:rsidRDefault="00924706">
            <w:pPr>
              <w:spacing w:before="0" w:after="0"/>
              <w:jc w:val="left"/>
              <w:rPr>
                <w:rFonts w:cs="Arial"/>
                <w:sz w:val="16"/>
                <w:szCs w:val="16"/>
                <w:lang w:val="en-US"/>
              </w:rPr>
            </w:pPr>
            <w:r w:rsidRPr="001E0229">
              <w:rPr>
                <w:rFonts w:cs="Arial"/>
                <w:sz w:val="16"/>
                <w:szCs w:val="16"/>
                <w:lang w:val="en-US"/>
              </w:rPr>
              <w:t>Stony, brush</w:t>
            </w:r>
          </w:p>
        </w:tc>
        <w:tc>
          <w:tcPr>
            <w:tcW w:w="351" w:type="pct"/>
            <w:vAlign w:val="center"/>
          </w:tcPr>
          <w:p w14:paraId="22787A91"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0302E399"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20E20CAC"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1B0CDCC9"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577EBB46"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0" w:type="pct"/>
            <w:vAlign w:val="center"/>
          </w:tcPr>
          <w:p w14:paraId="33E3455F" w14:textId="77777777" w:rsidR="00924706" w:rsidRPr="001E0229" w:rsidRDefault="00924706">
            <w:pPr>
              <w:spacing w:before="0" w:after="0"/>
              <w:jc w:val="left"/>
              <w:rPr>
                <w:rFonts w:cs="Arial"/>
                <w:sz w:val="16"/>
                <w:szCs w:val="16"/>
                <w:lang w:val="en-US"/>
              </w:rPr>
            </w:pPr>
            <w:r w:rsidRPr="001E0229">
              <w:rPr>
                <w:rFonts w:cs="Arial"/>
                <w:sz w:val="16"/>
                <w:szCs w:val="16"/>
                <w:lang w:val="en-US"/>
              </w:rPr>
              <w:t>NA</w:t>
            </w:r>
          </w:p>
        </w:tc>
        <w:tc>
          <w:tcPr>
            <w:tcW w:w="299" w:type="pct"/>
            <w:vAlign w:val="center"/>
          </w:tcPr>
          <w:p w14:paraId="7955B35C" w14:textId="13FF20E6" w:rsidR="00924706" w:rsidRPr="00E961E6" w:rsidRDefault="00924706" w:rsidP="00E961E6">
            <w:pPr>
              <w:spacing w:before="0" w:after="0"/>
              <w:jc w:val="center"/>
              <w:rPr>
                <w:sz w:val="16"/>
                <w:szCs w:val="16"/>
              </w:rPr>
            </w:pPr>
            <w:r w:rsidRPr="001E0229">
              <w:rPr>
                <w:sz w:val="16"/>
                <w:szCs w:val="16"/>
              </w:rPr>
              <w:t>4104,48</w:t>
            </w:r>
          </w:p>
        </w:tc>
        <w:tc>
          <w:tcPr>
            <w:tcW w:w="446" w:type="pct"/>
            <w:vAlign w:val="center"/>
          </w:tcPr>
          <w:p w14:paraId="01BC579B" w14:textId="1301D37F" w:rsidR="00924706" w:rsidRPr="00E961E6" w:rsidRDefault="00924706" w:rsidP="00E961E6">
            <w:pPr>
              <w:spacing w:before="0" w:after="0"/>
              <w:jc w:val="center"/>
              <w:rPr>
                <w:rFonts w:cs="Arial"/>
                <w:sz w:val="16"/>
                <w:szCs w:val="16"/>
              </w:rPr>
            </w:pPr>
            <w:r w:rsidRPr="001E0229">
              <w:rPr>
                <w:rFonts w:cs="Arial"/>
                <w:sz w:val="16"/>
                <w:szCs w:val="16"/>
              </w:rPr>
              <w:t>1.600,75</w:t>
            </w:r>
          </w:p>
        </w:tc>
      </w:tr>
      <w:tr w:rsidR="00E961E6" w:rsidRPr="001E0229" w14:paraId="0DDD5B30" w14:textId="77777777" w:rsidTr="00E961E6">
        <w:trPr>
          <w:trHeight w:val="284"/>
          <w:jc w:val="center"/>
        </w:trPr>
        <w:tc>
          <w:tcPr>
            <w:tcW w:w="148" w:type="pct"/>
            <w:vAlign w:val="center"/>
          </w:tcPr>
          <w:p w14:paraId="1EFCF323"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6</w:t>
            </w:r>
          </w:p>
        </w:tc>
        <w:tc>
          <w:tcPr>
            <w:tcW w:w="301" w:type="pct"/>
            <w:vAlign w:val="center"/>
          </w:tcPr>
          <w:p w14:paraId="690837FD"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7B58E08A"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1BAB0319"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0AA29E64" w14:textId="77777777" w:rsidR="00924706" w:rsidRPr="001E0229" w:rsidRDefault="00924706">
            <w:pPr>
              <w:spacing w:before="0" w:after="0"/>
              <w:jc w:val="left"/>
              <w:rPr>
                <w:rFonts w:cs="Arial"/>
                <w:sz w:val="16"/>
                <w:szCs w:val="16"/>
                <w:lang w:val="en-US"/>
              </w:rPr>
            </w:pPr>
            <w:r w:rsidRPr="001E0229">
              <w:rPr>
                <w:rFonts w:cs="Arial"/>
                <w:sz w:val="16"/>
                <w:szCs w:val="16"/>
                <w:lang w:val="en-US"/>
              </w:rPr>
              <w:t>107/3</w:t>
            </w:r>
          </w:p>
        </w:tc>
        <w:tc>
          <w:tcPr>
            <w:tcW w:w="384" w:type="pct"/>
            <w:vAlign w:val="center"/>
          </w:tcPr>
          <w:p w14:paraId="1BA320AC"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5C291EC1" w14:textId="77777777" w:rsidR="00924706" w:rsidRPr="001E0229" w:rsidRDefault="00924706">
            <w:pPr>
              <w:spacing w:before="0" w:after="0"/>
              <w:jc w:val="left"/>
              <w:rPr>
                <w:rFonts w:cs="Arial"/>
                <w:sz w:val="16"/>
                <w:szCs w:val="16"/>
                <w:lang w:val="en-US"/>
              </w:rPr>
            </w:pPr>
            <w:r w:rsidRPr="001E0229">
              <w:rPr>
                <w:rFonts w:cs="Arial"/>
                <w:sz w:val="16"/>
                <w:szCs w:val="16"/>
                <w:lang w:val="en-US"/>
              </w:rPr>
              <w:t>Stony, brush</w:t>
            </w:r>
          </w:p>
        </w:tc>
        <w:tc>
          <w:tcPr>
            <w:tcW w:w="351" w:type="pct"/>
            <w:vAlign w:val="center"/>
          </w:tcPr>
          <w:p w14:paraId="308DBBC3"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48690606"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0018FA63"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594A5226"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133E5FC3"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0" w:type="pct"/>
            <w:vAlign w:val="center"/>
          </w:tcPr>
          <w:p w14:paraId="5AEC88CA" w14:textId="77777777" w:rsidR="00924706" w:rsidRPr="001E0229" w:rsidRDefault="00924706">
            <w:pPr>
              <w:spacing w:before="0" w:after="0"/>
              <w:jc w:val="left"/>
              <w:rPr>
                <w:rFonts w:cs="Arial"/>
                <w:sz w:val="16"/>
                <w:szCs w:val="16"/>
                <w:lang w:val="en-US"/>
              </w:rPr>
            </w:pPr>
            <w:r w:rsidRPr="001E0229">
              <w:rPr>
                <w:rFonts w:cs="Arial"/>
                <w:sz w:val="16"/>
                <w:szCs w:val="16"/>
                <w:lang w:val="en-US"/>
              </w:rPr>
              <w:t>NA</w:t>
            </w:r>
          </w:p>
        </w:tc>
        <w:tc>
          <w:tcPr>
            <w:tcW w:w="299" w:type="pct"/>
            <w:vAlign w:val="center"/>
          </w:tcPr>
          <w:p w14:paraId="5F9A634C" w14:textId="60BC4F03" w:rsidR="00924706" w:rsidRPr="00E961E6" w:rsidRDefault="00924706" w:rsidP="00E961E6">
            <w:pPr>
              <w:spacing w:before="0" w:after="0"/>
              <w:jc w:val="center"/>
              <w:rPr>
                <w:sz w:val="16"/>
                <w:szCs w:val="16"/>
              </w:rPr>
            </w:pPr>
            <w:r w:rsidRPr="001E0229">
              <w:rPr>
                <w:sz w:val="16"/>
                <w:szCs w:val="16"/>
              </w:rPr>
              <w:t>4439,14</w:t>
            </w:r>
          </w:p>
        </w:tc>
        <w:tc>
          <w:tcPr>
            <w:tcW w:w="446" w:type="pct"/>
            <w:vAlign w:val="center"/>
          </w:tcPr>
          <w:p w14:paraId="7462D048" w14:textId="33300CF8" w:rsidR="00924706" w:rsidRPr="00E961E6" w:rsidRDefault="00924706" w:rsidP="00E961E6">
            <w:pPr>
              <w:spacing w:before="0" w:after="0"/>
              <w:jc w:val="center"/>
              <w:rPr>
                <w:rFonts w:cs="Arial"/>
                <w:sz w:val="16"/>
                <w:szCs w:val="16"/>
              </w:rPr>
            </w:pPr>
            <w:r w:rsidRPr="001E0229">
              <w:rPr>
                <w:rFonts w:cs="Arial"/>
                <w:sz w:val="16"/>
                <w:szCs w:val="16"/>
              </w:rPr>
              <w:t>1.731,26</w:t>
            </w:r>
          </w:p>
        </w:tc>
      </w:tr>
      <w:tr w:rsidR="00E961E6" w:rsidRPr="001E0229" w14:paraId="0914CE36" w14:textId="77777777" w:rsidTr="00E961E6">
        <w:trPr>
          <w:trHeight w:val="284"/>
          <w:jc w:val="center"/>
        </w:trPr>
        <w:tc>
          <w:tcPr>
            <w:tcW w:w="148" w:type="pct"/>
            <w:vAlign w:val="center"/>
          </w:tcPr>
          <w:p w14:paraId="7FFFEBD1"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7</w:t>
            </w:r>
          </w:p>
        </w:tc>
        <w:tc>
          <w:tcPr>
            <w:tcW w:w="301" w:type="pct"/>
            <w:vAlign w:val="center"/>
          </w:tcPr>
          <w:p w14:paraId="1806B7A6"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54C0258F"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6A6DB903"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0E5F8EAC" w14:textId="77777777" w:rsidR="00924706" w:rsidRPr="001E0229" w:rsidRDefault="00924706">
            <w:pPr>
              <w:spacing w:before="0" w:after="0"/>
              <w:jc w:val="left"/>
              <w:rPr>
                <w:rFonts w:cs="Arial"/>
                <w:sz w:val="16"/>
                <w:szCs w:val="16"/>
                <w:lang w:val="en-US"/>
              </w:rPr>
            </w:pPr>
            <w:r w:rsidRPr="001E0229">
              <w:rPr>
                <w:rFonts w:cs="Arial"/>
                <w:sz w:val="16"/>
                <w:szCs w:val="16"/>
                <w:lang w:val="en-US"/>
              </w:rPr>
              <w:t>205/1</w:t>
            </w:r>
          </w:p>
        </w:tc>
        <w:tc>
          <w:tcPr>
            <w:tcW w:w="384" w:type="pct"/>
            <w:vAlign w:val="center"/>
          </w:tcPr>
          <w:p w14:paraId="02F10327"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73129827" w14:textId="77777777" w:rsidR="00924706" w:rsidRPr="001E0229" w:rsidRDefault="00924706">
            <w:pPr>
              <w:spacing w:before="0" w:after="0"/>
              <w:jc w:val="left"/>
              <w:rPr>
                <w:rFonts w:cs="Arial"/>
                <w:sz w:val="16"/>
                <w:szCs w:val="16"/>
                <w:lang w:val="en-US"/>
              </w:rPr>
            </w:pPr>
            <w:r w:rsidRPr="001E0229">
              <w:rPr>
                <w:rFonts w:cs="Arial"/>
                <w:sz w:val="16"/>
                <w:szCs w:val="16"/>
                <w:lang w:val="en-US"/>
              </w:rPr>
              <w:t>Stony, brush</w:t>
            </w:r>
          </w:p>
        </w:tc>
        <w:tc>
          <w:tcPr>
            <w:tcW w:w="351" w:type="pct"/>
            <w:vAlign w:val="center"/>
          </w:tcPr>
          <w:p w14:paraId="2B63F7B9"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35233FD0"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2453CC9B"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3DDD1912"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66179B4F"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0" w:type="pct"/>
            <w:vAlign w:val="center"/>
          </w:tcPr>
          <w:p w14:paraId="32AE0263" w14:textId="77777777" w:rsidR="00924706" w:rsidRPr="001E0229" w:rsidRDefault="00924706">
            <w:pPr>
              <w:spacing w:before="0" w:after="0"/>
              <w:jc w:val="left"/>
              <w:rPr>
                <w:rFonts w:cs="Arial"/>
                <w:sz w:val="16"/>
                <w:szCs w:val="16"/>
                <w:lang w:val="en-US"/>
              </w:rPr>
            </w:pPr>
            <w:r w:rsidRPr="001E0229">
              <w:rPr>
                <w:rFonts w:cs="Arial"/>
                <w:sz w:val="16"/>
                <w:szCs w:val="16"/>
                <w:lang w:val="en-US"/>
              </w:rPr>
              <w:t>NA</w:t>
            </w:r>
          </w:p>
        </w:tc>
        <w:tc>
          <w:tcPr>
            <w:tcW w:w="299" w:type="pct"/>
            <w:vAlign w:val="center"/>
          </w:tcPr>
          <w:p w14:paraId="4E84CA12" w14:textId="481B774B" w:rsidR="00924706" w:rsidRPr="00E961E6" w:rsidRDefault="00924706" w:rsidP="00E961E6">
            <w:pPr>
              <w:spacing w:before="0" w:after="0"/>
              <w:jc w:val="center"/>
              <w:rPr>
                <w:sz w:val="16"/>
                <w:szCs w:val="16"/>
              </w:rPr>
            </w:pPr>
            <w:r w:rsidRPr="001E0229">
              <w:rPr>
                <w:sz w:val="16"/>
                <w:szCs w:val="16"/>
              </w:rPr>
              <w:t>11937,80</w:t>
            </w:r>
          </w:p>
        </w:tc>
        <w:tc>
          <w:tcPr>
            <w:tcW w:w="446" w:type="pct"/>
            <w:vAlign w:val="center"/>
          </w:tcPr>
          <w:p w14:paraId="24526C63" w14:textId="556E48A1" w:rsidR="00924706" w:rsidRPr="00E961E6" w:rsidRDefault="00924706" w:rsidP="00E961E6">
            <w:pPr>
              <w:spacing w:before="0" w:after="0"/>
              <w:jc w:val="center"/>
              <w:rPr>
                <w:rFonts w:cs="Arial"/>
                <w:sz w:val="16"/>
                <w:szCs w:val="16"/>
              </w:rPr>
            </w:pPr>
            <w:r w:rsidRPr="001E0229">
              <w:rPr>
                <w:rFonts w:cs="Arial"/>
                <w:sz w:val="16"/>
                <w:szCs w:val="16"/>
              </w:rPr>
              <w:t>4.655,74</w:t>
            </w:r>
          </w:p>
        </w:tc>
      </w:tr>
      <w:tr w:rsidR="00E961E6" w:rsidRPr="001E0229" w14:paraId="0ED317E2" w14:textId="77777777" w:rsidTr="00E961E6">
        <w:trPr>
          <w:trHeight w:val="284"/>
          <w:jc w:val="center"/>
        </w:trPr>
        <w:tc>
          <w:tcPr>
            <w:tcW w:w="148" w:type="pct"/>
            <w:vAlign w:val="center"/>
          </w:tcPr>
          <w:p w14:paraId="7E37A297"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8</w:t>
            </w:r>
          </w:p>
        </w:tc>
        <w:tc>
          <w:tcPr>
            <w:tcW w:w="301" w:type="pct"/>
            <w:vAlign w:val="center"/>
          </w:tcPr>
          <w:p w14:paraId="376564CE"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47D906AE"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6BE224DD"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5DAD2274" w14:textId="77777777" w:rsidR="00924706" w:rsidRPr="001E0229" w:rsidRDefault="00924706">
            <w:pPr>
              <w:spacing w:before="0" w:after="0"/>
              <w:jc w:val="left"/>
              <w:rPr>
                <w:rFonts w:cs="Arial"/>
                <w:sz w:val="16"/>
                <w:szCs w:val="16"/>
                <w:lang w:val="en-US"/>
              </w:rPr>
            </w:pPr>
            <w:r w:rsidRPr="001E0229">
              <w:rPr>
                <w:rFonts w:cs="Arial"/>
                <w:sz w:val="16"/>
                <w:szCs w:val="16"/>
                <w:lang w:val="en-US"/>
              </w:rPr>
              <w:t>205/2</w:t>
            </w:r>
          </w:p>
        </w:tc>
        <w:tc>
          <w:tcPr>
            <w:tcW w:w="384" w:type="pct"/>
            <w:vAlign w:val="center"/>
          </w:tcPr>
          <w:p w14:paraId="560F92D5"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2E80D54A" w14:textId="77777777" w:rsidR="00924706" w:rsidRPr="001E0229" w:rsidRDefault="00924706">
            <w:pPr>
              <w:spacing w:before="0" w:after="0"/>
              <w:jc w:val="left"/>
              <w:rPr>
                <w:rFonts w:cs="Arial"/>
                <w:sz w:val="16"/>
                <w:szCs w:val="16"/>
                <w:lang w:val="en-US"/>
              </w:rPr>
            </w:pPr>
            <w:r w:rsidRPr="001E0229">
              <w:rPr>
                <w:rFonts w:cs="Arial"/>
                <w:sz w:val="16"/>
                <w:szCs w:val="16"/>
                <w:lang w:val="en-US"/>
              </w:rPr>
              <w:t>Field</w:t>
            </w:r>
          </w:p>
        </w:tc>
        <w:tc>
          <w:tcPr>
            <w:tcW w:w="351" w:type="pct"/>
            <w:vAlign w:val="center"/>
          </w:tcPr>
          <w:p w14:paraId="1F833E8B"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090318FD"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56E2681E"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46C1284E"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7B341744"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0" w:type="pct"/>
            <w:vAlign w:val="center"/>
          </w:tcPr>
          <w:p w14:paraId="186D913A" w14:textId="77777777" w:rsidR="00924706" w:rsidRPr="001E0229" w:rsidRDefault="00924706">
            <w:pPr>
              <w:spacing w:before="0" w:after="0"/>
              <w:jc w:val="left"/>
              <w:rPr>
                <w:rFonts w:cs="Arial"/>
                <w:sz w:val="16"/>
                <w:szCs w:val="16"/>
                <w:lang w:val="en-US"/>
              </w:rPr>
            </w:pPr>
            <w:r w:rsidRPr="001E0229">
              <w:rPr>
                <w:rFonts w:cs="Arial"/>
                <w:sz w:val="16"/>
                <w:szCs w:val="16"/>
                <w:lang w:val="en-US"/>
              </w:rPr>
              <w:t>NA</w:t>
            </w:r>
          </w:p>
        </w:tc>
        <w:tc>
          <w:tcPr>
            <w:tcW w:w="299" w:type="pct"/>
            <w:vAlign w:val="center"/>
          </w:tcPr>
          <w:p w14:paraId="63C6CC02" w14:textId="59C69EC2" w:rsidR="00924706" w:rsidRPr="00E961E6" w:rsidRDefault="00924706" w:rsidP="00E961E6">
            <w:pPr>
              <w:spacing w:before="0" w:after="0"/>
              <w:jc w:val="center"/>
              <w:rPr>
                <w:sz w:val="16"/>
                <w:szCs w:val="16"/>
              </w:rPr>
            </w:pPr>
            <w:r w:rsidRPr="001E0229">
              <w:rPr>
                <w:sz w:val="16"/>
                <w:szCs w:val="16"/>
              </w:rPr>
              <w:t>4540,47</w:t>
            </w:r>
          </w:p>
        </w:tc>
        <w:tc>
          <w:tcPr>
            <w:tcW w:w="446" w:type="pct"/>
            <w:vAlign w:val="center"/>
          </w:tcPr>
          <w:p w14:paraId="33423AB6" w14:textId="02E52DB8" w:rsidR="00924706" w:rsidRPr="00E961E6" w:rsidRDefault="00924706" w:rsidP="00E961E6">
            <w:pPr>
              <w:spacing w:before="0" w:after="0"/>
              <w:jc w:val="center"/>
              <w:rPr>
                <w:rFonts w:cs="Arial"/>
                <w:sz w:val="16"/>
                <w:szCs w:val="16"/>
              </w:rPr>
            </w:pPr>
            <w:r w:rsidRPr="001E0229">
              <w:rPr>
                <w:rFonts w:cs="Arial"/>
                <w:sz w:val="16"/>
                <w:szCs w:val="16"/>
              </w:rPr>
              <w:t>1.770,78</w:t>
            </w:r>
          </w:p>
        </w:tc>
      </w:tr>
      <w:tr w:rsidR="00E961E6" w:rsidRPr="001E0229" w14:paraId="5FDAFAA0" w14:textId="77777777" w:rsidTr="00E961E6">
        <w:trPr>
          <w:trHeight w:val="284"/>
          <w:jc w:val="center"/>
        </w:trPr>
        <w:tc>
          <w:tcPr>
            <w:tcW w:w="148" w:type="pct"/>
            <w:vAlign w:val="center"/>
          </w:tcPr>
          <w:p w14:paraId="534802AE"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lastRenderedPageBreak/>
              <w:t>9</w:t>
            </w:r>
          </w:p>
        </w:tc>
        <w:tc>
          <w:tcPr>
            <w:tcW w:w="301" w:type="pct"/>
            <w:vAlign w:val="center"/>
          </w:tcPr>
          <w:p w14:paraId="0C9BB54A"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4C8696D2"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6254E64E"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6E142D61" w14:textId="77777777" w:rsidR="00924706" w:rsidRPr="001E0229" w:rsidRDefault="00924706">
            <w:pPr>
              <w:spacing w:before="0" w:after="0"/>
              <w:jc w:val="left"/>
              <w:rPr>
                <w:rFonts w:cs="Arial"/>
                <w:sz w:val="16"/>
                <w:szCs w:val="16"/>
                <w:lang w:val="en-US"/>
              </w:rPr>
            </w:pPr>
            <w:r w:rsidRPr="001E0229">
              <w:rPr>
                <w:rFonts w:cs="Arial"/>
                <w:sz w:val="16"/>
                <w:szCs w:val="16"/>
                <w:lang w:val="en-US"/>
              </w:rPr>
              <w:t>205/3</w:t>
            </w:r>
          </w:p>
        </w:tc>
        <w:tc>
          <w:tcPr>
            <w:tcW w:w="384" w:type="pct"/>
            <w:vAlign w:val="center"/>
          </w:tcPr>
          <w:p w14:paraId="171DC36C"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6BDED056" w14:textId="77777777" w:rsidR="00924706" w:rsidRPr="001E0229" w:rsidRDefault="00924706">
            <w:pPr>
              <w:spacing w:before="0" w:after="0"/>
              <w:jc w:val="left"/>
              <w:rPr>
                <w:rFonts w:cs="Arial"/>
                <w:sz w:val="16"/>
                <w:szCs w:val="16"/>
                <w:lang w:val="en-US"/>
              </w:rPr>
            </w:pPr>
            <w:r w:rsidRPr="001E0229">
              <w:rPr>
                <w:rFonts w:cs="Arial"/>
                <w:sz w:val="16"/>
                <w:szCs w:val="16"/>
                <w:lang w:val="en-US"/>
              </w:rPr>
              <w:t>Stony, brush</w:t>
            </w:r>
          </w:p>
        </w:tc>
        <w:tc>
          <w:tcPr>
            <w:tcW w:w="351" w:type="pct"/>
            <w:vAlign w:val="center"/>
          </w:tcPr>
          <w:p w14:paraId="5DEB65BB"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2AAAA5C1"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6FA5A963"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416037B8"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23467852"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0" w:type="pct"/>
            <w:vAlign w:val="center"/>
          </w:tcPr>
          <w:p w14:paraId="61829989" w14:textId="77777777" w:rsidR="00924706" w:rsidRPr="001E0229" w:rsidRDefault="00924706">
            <w:pPr>
              <w:spacing w:before="0" w:after="0"/>
              <w:jc w:val="left"/>
              <w:rPr>
                <w:rFonts w:cs="Arial"/>
                <w:sz w:val="16"/>
                <w:szCs w:val="16"/>
                <w:lang w:val="en-US"/>
              </w:rPr>
            </w:pPr>
            <w:r w:rsidRPr="001E0229">
              <w:rPr>
                <w:rFonts w:cs="Arial"/>
                <w:sz w:val="16"/>
                <w:szCs w:val="16"/>
                <w:lang w:val="en-US"/>
              </w:rPr>
              <w:t>NA</w:t>
            </w:r>
          </w:p>
        </w:tc>
        <w:tc>
          <w:tcPr>
            <w:tcW w:w="299" w:type="pct"/>
            <w:vAlign w:val="center"/>
          </w:tcPr>
          <w:p w14:paraId="0CF88709" w14:textId="33C56AD1" w:rsidR="00924706" w:rsidRPr="00E961E6" w:rsidRDefault="00924706" w:rsidP="00E961E6">
            <w:pPr>
              <w:spacing w:before="0" w:after="0"/>
              <w:jc w:val="center"/>
              <w:rPr>
                <w:sz w:val="16"/>
                <w:szCs w:val="16"/>
              </w:rPr>
            </w:pPr>
            <w:r w:rsidRPr="001E0229">
              <w:rPr>
                <w:sz w:val="16"/>
                <w:szCs w:val="16"/>
              </w:rPr>
              <w:t>15779,73</w:t>
            </w:r>
          </w:p>
        </w:tc>
        <w:tc>
          <w:tcPr>
            <w:tcW w:w="446" w:type="pct"/>
            <w:vAlign w:val="center"/>
          </w:tcPr>
          <w:p w14:paraId="6A4E7B3E" w14:textId="379FB4CF" w:rsidR="00924706" w:rsidRPr="00E961E6" w:rsidRDefault="00924706" w:rsidP="00E961E6">
            <w:pPr>
              <w:spacing w:before="0" w:after="0"/>
              <w:jc w:val="center"/>
              <w:rPr>
                <w:rFonts w:cs="Arial"/>
                <w:sz w:val="16"/>
                <w:szCs w:val="16"/>
              </w:rPr>
            </w:pPr>
            <w:r w:rsidRPr="001E0229">
              <w:rPr>
                <w:rFonts w:cs="Arial"/>
                <w:sz w:val="16"/>
                <w:szCs w:val="16"/>
              </w:rPr>
              <w:t>6.154,09</w:t>
            </w:r>
          </w:p>
        </w:tc>
      </w:tr>
      <w:tr w:rsidR="00E961E6" w:rsidRPr="001E0229" w14:paraId="3803F478" w14:textId="77777777" w:rsidTr="00E961E6">
        <w:trPr>
          <w:trHeight w:val="284"/>
          <w:jc w:val="center"/>
        </w:trPr>
        <w:tc>
          <w:tcPr>
            <w:tcW w:w="148" w:type="pct"/>
            <w:vAlign w:val="center"/>
          </w:tcPr>
          <w:p w14:paraId="6ECDA4B0"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10</w:t>
            </w:r>
          </w:p>
        </w:tc>
        <w:tc>
          <w:tcPr>
            <w:tcW w:w="301" w:type="pct"/>
            <w:vAlign w:val="center"/>
          </w:tcPr>
          <w:p w14:paraId="6233E899"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7C6F2EBD"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5060FDD9"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33F74AF8" w14:textId="77777777" w:rsidR="00924706" w:rsidRPr="001E0229" w:rsidRDefault="00924706">
            <w:pPr>
              <w:spacing w:before="0" w:after="0"/>
              <w:jc w:val="left"/>
              <w:rPr>
                <w:rFonts w:cs="Arial"/>
                <w:sz w:val="16"/>
                <w:szCs w:val="16"/>
                <w:lang w:val="en-US"/>
              </w:rPr>
            </w:pPr>
            <w:r w:rsidRPr="001E0229">
              <w:rPr>
                <w:rFonts w:cs="Arial"/>
                <w:sz w:val="16"/>
                <w:szCs w:val="16"/>
                <w:lang w:val="en-US"/>
              </w:rPr>
              <w:t xml:space="preserve">198/8 </w:t>
            </w:r>
          </w:p>
        </w:tc>
        <w:tc>
          <w:tcPr>
            <w:tcW w:w="384" w:type="pct"/>
            <w:vAlign w:val="center"/>
          </w:tcPr>
          <w:p w14:paraId="3103DD78"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7C54021B" w14:textId="77777777" w:rsidR="00924706" w:rsidRPr="001E0229" w:rsidRDefault="00924706">
            <w:pPr>
              <w:spacing w:before="0" w:after="0"/>
              <w:jc w:val="left"/>
              <w:rPr>
                <w:rFonts w:cs="Arial"/>
                <w:sz w:val="16"/>
                <w:szCs w:val="16"/>
                <w:lang w:val="en-US"/>
              </w:rPr>
            </w:pPr>
          </w:p>
        </w:tc>
        <w:tc>
          <w:tcPr>
            <w:tcW w:w="351" w:type="pct"/>
            <w:vAlign w:val="center"/>
          </w:tcPr>
          <w:p w14:paraId="3DE1CAE2"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1A310A5C"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66671F1F"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1D21CED7"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3508DB22"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0" w:type="pct"/>
            <w:vAlign w:val="center"/>
          </w:tcPr>
          <w:p w14:paraId="2FCB76B4" w14:textId="77777777" w:rsidR="00924706" w:rsidRPr="001E0229" w:rsidRDefault="00924706">
            <w:pPr>
              <w:spacing w:before="0" w:after="0"/>
              <w:jc w:val="left"/>
              <w:rPr>
                <w:rFonts w:cs="Arial"/>
                <w:sz w:val="16"/>
                <w:szCs w:val="16"/>
                <w:lang w:val="en-US"/>
              </w:rPr>
            </w:pPr>
            <w:r w:rsidRPr="001E0229">
              <w:rPr>
                <w:rFonts w:cs="Arial"/>
                <w:sz w:val="16"/>
                <w:szCs w:val="16"/>
                <w:lang w:val="en-US"/>
              </w:rPr>
              <w:t>NA</w:t>
            </w:r>
          </w:p>
        </w:tc>
        <w:tc>
          <w:tcPr>
            <w:tcW w:w="299" w:type="pct"/>
            <w:vAlign w:val="center"/>
          </w:tcPr>
          <w:p w14:paraId="250B40A8" w14:textId="5C94917C" w:rsidR="00924706" w:rsidRPr="00E961E6" w:rsidRDefault="00924706" w:rsidP="00E961E6">
            <w:pPr>
              <w:spacing w:before="0" w:after="0"/>
              <w:jc w:val="center"/>
              <w:rPr>
                <w:sz w:val="16"/>
                <w:szCs w:val="16"/>
              </w:rPr>
            </w:pPr>
            <w:r w:rsidRPr="001E0229">
              <w:rPr>
                <w:sz w:val="16"/>
                <w:szCs w:val="16"/>
              </w:rPr>
              <w:t>2949,72</w:t>
            </w:r>
          </w:p>
        </w:tc>
        <w:tc>
          <w:tcPr>
            <w:tcW w:w="446" w:type="pct"/>
            <w:vAlign w:val="center"/>
          </w:tcPr>
          <w:p w14:paraId="3D1DB70B" w14:textId="04E83DB9" w:rsidR="00924706" w:rsidRPr="00E961E6" w:rsidRDefault="00924706" w:rsidP="00E961E6">
            <w:pPr>
              <w:spacing w:before="0" w:after="0"/>
              <w:jc w:val="center"/>
              <w:rPr>
                <w:rFonts w:cs="Arial"/>
                <w:sz w:val="16"/>
                <w:szCs w:val="16"/>
              </w:rPr>
            </w:pPr>
            <w:r w:rsidRPr="001E0229">
              <w:rPr>
                <w:rFonts w:cs="Arial"/>
                <w:sz w:val="16"/>
                <w:szCs w:val="16"/>
              </w:rPr>
              <w:t>1.150,39</w:t>
            </w:r>
          </w:p>
        </w:tc>
      </w:tr>
      <w:tr w:rsidR="00E961E6" w:rsidRPr="001E0229" w14:paraId="1771B764" w14:textId="77777777" w:rsidTr="00E961E6">
        <w:trPr>
          <w:trHeight w:val="284"/>
          <w:jc w:val="center"/>
        </w:trPr>
        <w:tc>
          <w:tcPr>
            <w:tcW w:w="148" w:type="pct"/>
            <w:vAlign w:val="center"/>
          </w:tcPr>
          <w:p w14:paraId="0AC66069"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11</w:t>
            </w:r>
          </w:p>
        </w:tc>
        <w:tc>
          <w:tcPr>
            <w:tcW w:w="301" w:type="pct"/>
            <w:vAlign w:val="center"/>
          </w:tcPr>
          <w:p w14:paraId="776D5430"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3843B08C"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17D8AF1F"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6EC2FDF1" w14:textId="77777777" w:rsidR="00924706" w:rsidRPr="001E0229" w:rsidRDefault="00924706">
            <w:pPr>
              <w:spacing w:before="0" w:after="0"/>
              <w:jc w:val="left"/>
              <w:rPr>
                <w:rFonts w:cs="Arial"/>
                <w:sz w:val="16"/>
                <w:szCs w:val="16"/>
                <w:lang w:val="en-US"/>
              </w:rPr>
            </w:pPr>
            <w:r w:rsidRPr="001E0229">
              <w:rPr>
                <w:rFonts w:cs="Arial"/>
                <w:sz w:val="16"/>
                <w:szCs w:val="16"/>
                <w:lang w:val="en-US"/>
              </w:rPr>
              <w:t>105/1</w:t>
            </w:r>
          </w:p>
        </w:tc>
        <w:tc>
          <w:tcPr>
            <w:tcW w:w="384" w:type="pct"/>
            <w:vMerge w:val="restart"/>
            <w:vAlign w:val="center"/>
          </w:tcPr>
          <w:p w14:paraId="499503E8" w14:textId="77777777" w:rsidR="00924706" w:rsidRPr="001E0229" w:rsidRDefault="00924706">
            <w:pPr>
              <w:spacing w:before="0" w:after="0"/>
              <w:jc w:val="left"/>
              <w:rPr>
                <w:rFonts w:cs="Arial"/>
                <w:sz w:val="16"/>
                <w:szCs w:val="16"/>
                <w:lang w:val="en-US"/>
              </w:rPr>
            </w:pPr>
            <w:r w:rsidRPr="001E0229">
              <w:rPr>
                <w:rFonts w:cs="Arial"/>
                <w:sz w:val="16"/>
                <w:szCs w:val="16"/>
                <w:lang w:val="en-US"/>
              </w:rPr>
              <w:t>1 Owner</w:t>
            </w:r>
          </w:p>
        </w:tc>
        <w:tc>
          <w:tcPr>
            <w:tcW w:w="293" w:type="pct"/>
            <w:vAlign w:val="center"/>
          </w:tcPr>
          <w:p w14:paraId="74C3B0C6" w14:textId="77777777" w:rsidR="00924706" w:rsidRPr="001E0229" w:rsidRDefault="00924706">
            <w:pPr>
              <w:spacing w:before="0" w:after="0"/>
              <w:jc w:val="left"/>
              <w:rPr>
                <w:rFonts w:cs="Arial"/>
                <w:sz w:val="16"/>
                <w:szCs w:val="16"/>
                <w:lang w:val="en-US"/>
              </w:rPr>
            </w:pPr>
            <w:r w:rsidRPr="001E0229">
              <w:rPr>
                <w:rFonts w:cs="Arial"/>
                <w:sz w:val="16"/>
                <w:szCs w:val="16"/>
                <w:lang w:val="en-US"/>
              </w:rPr>
              <w:t>Brush</w:t>
            </w:r>
          </w:p>
        </w:tc>
        <w:tc>
          <w:tcPr>
            <w:tcW w:w="351" w:type="pct"/>
            <w:vAlign w:val="center"/>
          </w:tcPr>
          <w:p w14:paraId="12617F70" w14:textId="77777777" w:rsidR="00924706" w:rsidRPr="001E0229" w:rsidRDefault="00924706">
            <w:pPr>
              <w:spacing w:before="0" w:after="0"/>
              <w:jc w:val="left"/>
              <w:rPr>
                <w:rFonts w:cs="Arial"/>
                <w:sz w:val="16"/>
                <w:szCs w:val="16"/>
                <w:lang w:val="en-US"/>
              </w:rPr>
            </w:pPr>
            <w:r w:rsidRPr="001E0229">
              <w:rPr>
                <w:rFonts w:cs="Arial"/>
                <w:sz w:val="16"/>
                <w:szCs w:val="16"/>
                <w:lang w:val="en-US"/>
              </w:rPr>
              <w:t>Private</w:t>
            </w:r>
          </w:p>
        </w:tc>
        <w:tc>
          <w:tcPr>
            <w:tcW w:w="532" w:type="pct"/>
            <w:vAlign w:val="center"/>
          </w:tcPr>
          <w:p w14:paraId="4162A78E" w14:textId="77777777" w:rsidR="00924706" w:rsidRPr="001E0229" w:rsidRDefault="00924706">
            <w:pPr>
              <w:spacing w:before="0" w:after="0"/>
              <w:jc w:val="left"/>
              <w:rPr>
                <w:rFonts w:cs="Arial"/>
                <w:sz w:val="16"/>
                <w:szCs w:val="16"/>
                <w:lang w:val="en-US"/>
              </w:rPr>
            </w:pPr>
            <w:r w:rsidRPr="001E0229">
              <w:rPr>
                <w:rFonts w:cs="Arial"/>
                <w:sz w:val="16"/>
                <w:szCs w:val="16"/>
                <w:lang w:val="en-US"/>
              </w:rPr>
              <w:t>Acquired by agreement/consent</w:t>
            </w:r>
          </w:p>
        </w:tc>
        <w:tc>
          <w:tcPr>
            <w:tcW w:w="366" w:type="pct"/>
            <w:vAlign w:val="center"/>
          </w:tcPr>
          <w:p w14:paraId="00C2D173"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4CE9DA9B"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42743E22"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0" w:type="pct"/>
            <w:vAlign w:val="center"/>
          </w:tcPr>
          <w:p w14:paraId="00806AC8" w14:textId="77777777" w:rsidR="00924706" w:rsidRPr="001E0229" w:rsidRDefault="00924706">
            <w:pPr>
              <w:spacing w:before="0" w:after="0"/>
              <w:jc w:val="left"/>
              <w:rPr>
                <w:rFonts w:cs="Arial"/>
                <w:sz w:val="16"/>
                <w:szCs w:val="16"/>
                <w:lang w:val="en-US"/>
              </w:rPr>
            </w:pPr>
            <w:r w:rsidRPr="001E0229">
              <w:rPr>
                <w:rFonts w:cs="Arial"/>
                <w:sz w:val="16"/>
                <w:szCs w:val="16"/>
                <w:lang w:val="en-US"/>
              </w:rPr>
              <w:t>NA</w:t>
            </w:r>
          </w:p>
        </w:tc>
        <w:tc>
          <w:tcPr>
            <w:tcW w:w="299" w:type="pct"/>
            <w:vAlign w:val="center"/>
          </w:tcPr>
          <w:p w14:paraId="19C20DEC" w14:textId="4A9E337D" w:rsidR="00924706" w:rsidRPr="00E961E6" w:rsidRDefault="00924706" w:rsidP="00E961E6">
            <w:pPr>
              <w:spacing w:before="0" w:after="0"/>
              <w:jc w:val="center"/>
              <w:rPr>
                <w:sz w:val="16"/>
                <w:szCs w:val="16"/>
              </w:rPr>
            </w:pPr>
            <w:r w:rsidRPr="001E0229">
              <w:rPr>
                <w:sz w:val="16"/>
                <w:szCs w:val="16"/>
              </w:rPr>
              <w:t>2500,14</w:t>
            </w:r>
          </w:p>
        </w:tc>
        <w:tc>
          <w:tcPr>
            <w:tcW w:w="446" w:type="pct"/>
            <w:vAlign w:val="center"/>
          </w:tcPr>
          <w:p w14:paraId="4F735ADD" w14:textId="322A1C66" w:rsidR="00924706" w:rsidRPr="00E961E6" w:rsidRDefault="00924706" w:rsidP="00E961E6">
            <w:pPr>
              <w:spacing w:before="0" w:after="0"/>
              <w:jc w:val="center"/>
              <w:rPr>
                <w:rFonts w:cs="Arial"/>
                <w:sz w:val="16"/>
                <w:szCs w:val="16"/>
              </w:rPr>
            </w:pPr>
            <w:r w:rsidRPr="001E0229">
              <w:rPr>
                <w:rFonts w:cs="Arial"/>
                <w:sz w:val="16"/>
                <w:szCs w:val="16"/>
              </w:rPr>
              <w:t>82.179,60</w:t>
            </w:r>
          </w:p>
        </w:tc>
      </w:tr>
      <w:tr w:rsidR="00E961E6" w:rsidRPr="001E0229" w14:paraId="4484BAAA" w14:textId="77777777" w:rsidTr="00E961E6">
        <w:trPr>
          <w:trHeight w:val="284"/>
          <w:jc w:val="center"/>
        </w:trPr>
        <w:tc>
          <w:tcPr>
            <w:tcW w:w="148" w:type="pct"/>
            <w:vAlign w:val="center"/>
          </w:tcPr>
          <w:p w14:paraId="00952869"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12</w:t>
            </w:r>
          </w:p>
        </w:tc>
        <w:tc>
          <w:tcPr>
            <w:tcW w:w="301" w:type="pct"/>
            <w:vAlign w:val="center"/>
          </w:tcPr>
          <w:p w14:paraId="753BF6A5"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1872021E"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68C806BF"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5CB7C306" w14:textId="77777777" w:rsidR="00924706" w:rsidRPr="001E0229" w:rsidRDefault="00924706">
            <w:pPr>
              <w:spacing w:before="0" w:after="0"/>
              <w:jc w:val="left"/>
              <w:rPr>
                <w:rFonts w:cs="Arial"/>
                <w:sz w:val="16"/>
                <w:szCs w:val="16"/>
                <w:lang w:val="en-US"/>
              </w:rPr>
            </w:pPr>
            <w:r w:rsidRPr="001E0229">
              <w:rPr>
                <w:rFonts w:cs="Arial"/>
                <w:sz w:val="16"/>
                <w:szCs w:val="16"/>
                <w:lang w:val="en-US"/>
              </w:rPr>
              <w:t>105/2</w:t>
            </w:r>
          </w:p>
        </w:tc>
        <w:tc>
          <w:tcPr>
            <w:tcW w:w="384" w:type="pct"/>
            <w:vMerge/>
            <w:vAlign w:val="center"/>
          </w:tcPr>
          <w:p w14:paraId="10C19DC4" w14:textId="77777777" w:rsidR="00924706" w:rsidRPr="001E0229" w:rsidRDefault="00924706">
            <w:pPr>
              <w:spacing w:before="0" w:after="0"/>
              <w:jc w:val="left"/>
              <w:rPr>
                <w:rFonts w:cs="Arial"/>
                <w:sz w:val="16"/>
                <w:szCs w:val="16"/>
                <w:lang w:val="en-US"/>
              </w:rPr>
            </w:pPr>
          </w:p>
        </w:tc>
        <w:tc>
          <w:tcPr>
            <w:tcW w:w="293" w:type="pct"/>
            <w:vAlign w:val="center"/>
          </w:tcPr>
          <w:p w14:paraId="6ECE20D9" w14:textId="77777777" w:rsidR="00924706" w:rsidRPr="001E0229" w:rsidRDefault="00924706">
            <w:pPr>
              <w:spacing w:before="0" w:after="0"/>
              <w:jc w:val="left"/>
              <w:rPr>
                <w:rFonts w:cs="Arial"/>
                <w:sz w:val="16"/>
                <w:szCs w:val="16"/>
                <w:lang w:val="en-US"/>
              </w:rPr>
            </w:pPr>
            <w:r w:rsidRPr="001E0229">
              <w:rPr>
                <w:rFonts w:cs="Arial"/>
                <w:sz w:val="16"/>
                <w:szCs w:val="16"/>
                <w:lang w:val="en-US"/>
              </w:rPr>
              <w:t>Raw land</w:t>
            </w:r>
          </w:p>
        </w:tc>
        <w:tc>
          <w:tcPr>
            <w:tcW w:w="351" w:type="pct"/>
            <w:vAlign w:val="center"/>
          </w:tcPr>
          <w:p w14:paraId="74CF0AF5" w14:textId="77777777" w:rsidR="00924706" w:rsidRPr="001E0229" w:rsidRDefault="00924706">
            <w:pPr>
              <w:spacing w:before="0" w:after="0"/>
              <w:jc w:val="left"/>
              <w:rPr>
                <w:rFonts w:cs="Arial"/>
                <w:sz w:val="16"/>
                <w:szCs w:val="16"/>
                <w:lang w:val="en-US"/>
              </w:rPr>
            </w:pPr>
            <w:r w:rsidRPr="001E0229">
              <w:rPr>
                <w:rFonts w:cs="Arial"/>
                <w:sz w:val="16"/>
                <w:szCs w:val="16"/>
                <w:lang w:val="en-US"/>
              </w:rPr>
              <w:t>Private</w:t>
            </w:r>
          </w:p>
        </w:tc>
        <w:tc>
          <w:tcPr>
            <w:tcW w:w="532" w:type="pct"/>
            <w:vAlign w:val="center"/>
          </w:tcPr>
          <w:p w14:paraId="45E44906" w14:textId="77777777" w:rsidR="00924706" w:rsidRPr="001E0229" w:rsidRDefault="00924706">
            <w:pPr>
              <w:spacing w:before="0" w:after="0"/>
              <w:jc w:val="left"/>
              <w:rPr>
                <w:rFonts w:cs="Arial"/>
                <w:sz w:val="16"/>
                <w:szCs w:val="16"/>
                <w:lang w:val="en-US"/>
              </w:rPr>
            </w:pPr>
            <w:r w:rsidRPr="001E0229">
              <w:rPr>
                <w:rFonts w:cs="Arial"/>
                <w:sz w:val="16"/>
                <w:szCs w:val="16"/>
                <w:lang w:val="en-US"/>
              </w:rPr>
              <w:t>Acquired by agreement/consent</w:t>
            </w:r>
          </w:p>
        </w:tc>
        <w:tc>
          <w:tcPr>
            <w:tcW w:w="366" w:type="pct"/>
            <w:vAlign w:val="center"/>
          </w:tcPr>
          <w:p w14:paraId="61D233EF"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581F3FF9" w14:textId="77777777" w:rsidR="00924706" w:rsidRPr="001E0229" w:rsidRDefault="00924706">
            <w:pPr>
              <w:spacing w:before="0" w:after="0"/>
              <w:jc w:val="left"/>
              <w:rPr>
                <w:rFonts w:cs="Arial"/>
                <w:sz w:val="16"/>
                <w:szCs w:val="16"/>
                <w:lang w:val="en-US"/>
              </w:rPr>
            </w:pPr>
            <w:r w:rsidRPr="001E0229">
              <w:rPr>
                <w:rFonts w:cs="Arial"/>
                <w:sz w:val="16"/>
                <w:szCs w:val="16"/>
                <w:lang w:val="en-US"/>
              </w:rPr>
              <w:t>5 buildings, 6 trees</w:t>
            </w:r>
          </w:p>
        </w:tc>
        <w:tc>
          <w:tcPr>
            <w:tcW w:w="366" w:type="pct"/>
            <w:vAlign w:val="center"/>
          </w:tcPr>
          <w:p w14:paraId="41E61FBB" w14:textId="77777777" w:rsidR="00924706" w:rsidRPr="001E0229" w:rsidRDefault="00924706">
            <w:pPr>
              <w:spacing w:before="0" w:after="0"/>
              <w:jc w:val="left"/>
              <w:rPr>
                <w:rFonts w:cs="Arial"/>
                <w:sz w:val="16"/>
                <w:szCs w:val="16"/>
                <w:lang w:val="en-US"/>
              </w:rPr>
            </w:pPr>
            <w:r w:rsidRPr="001E0229">
              <w:rPr>
                <w:rFonts w:cs="Arial"/>
                <w:sz w:val="16"/>
                <w:szCs w:val="16"/>
                <w:lang w:val="en-US"/>
              </w:rPr>
              <w:t>Owner</w:t>
            </w:r>
          </w:p>
        </w:tc>
        <w:tc>
          <w:tcPr>
            <w:tcW w:w="360" w:type="pct"/>
            <w:vAlign w:val="center"/>
          </w:tcPr>
          <w:p w14:paraId="345C0E78" w14:textId="77777777" w:rsidR="00924706" w:rsidRPr="001E0229" w:rsidRDefault="00924706">
            <w:pPr>
              <w:spacing w:before="0" w:after="0"/>
              <w:jc w:val="left"/>
              <w:rPr>
                <w:rFonts w:cs="Arial"/>
                <w:sz w:val="16"/>
                <w:szCs w:val="16"/>
                <w:lang w:val="en-US"/>
              </w:rPr>
            </w:pPr>
            <w:r w:rsidRPr="001E0229">
              <w:rPr>
                <w:rFonts w:cs="Arial"/>
                <w:sz w:val="16"/>
                <w:szCs w:val="16"/>
                <w:lang w:val="en-US"/>
              </w:rPr>
              <w:t>Commercial</w:t>
            </w:r>
          </w:p>
        </w:tc>
        <w:tc>
          <w:tcPr>
            <w:tcW w:w="299" w:type="pct"/>
            <w:vAlign w:val="center"/>
          </w:tcPr>
          <w:p w14:paraId="0B07EFF8" w14:textId="149054AB" w:rsidR="00924706" w:rsidRPr="00E961E6" w:rsidRDefault="00924706" w:rsidP="00E961E6">
            <w:pPr>
              <w:spacing w:before="0" w:after="0"/>
              <w:jc w:val="center"/>
              <w:rPr>
                <w:sz w:val="16"/>
                <w:szCs w:val="16"/>
              </w:rPr>
            </w:pPr>
            <w:r w:rsidRPr="001E0229">
              <w:rPr>
                <w:sz w:val="16"/>
                <w:szCs w:val="16"/>
              </w:rPr>
              <w:t>2910,29</w:t>
            </w:r>
          </w:p>
        </w:tc>
        <w:tc>
          <w:tcPr>
            <w:tcW w:w="446" w:type="pct"/>
            <w:vAlign w:val="center"/>
          </w:tcPr>
          <w:p w14:paraId="39065F59" w14:textId="000CCEE9" w:rsidR="00924706" w:rsidRPr="00E961E6" w:rsidRDefault="00924706" w:rsidP="00E961E6">
            <w:pPr>
              <w:spacing w:before="0" w:after="0"/>
              <w:jc w:val="center"/>
              <w:rPr>
                <w:rFonts w:cs="Arial"/>
                <w:sz w:val="16"/>
                <w:szCs w:val="16"/>
              </w:rPr>
            </w:pPr>
            <w:r w:rsidRPr="001E0229">
              <w:rPr>
                <w:rFonts w:cs="Arial"/>
                <w:sz w:val="16"/>
                <w:szCs w:val="16"/>
              </w:rPr>
              <w:t>612.446,46</w:t>
            </w:r>
          </w:p>
        </w:tc>
      </w:tr>
      <w:tr w:rsidR="00E961E6" w:rsidRPr="001E0229" w14:paraId="3D838649" w14:textId="77777777" w:rsidTr="00E961E6">
        <w:trPr>
          <w:trHeight w:val="284"/>
          <w:jc w:val="center"/>
        </w:trPr>
        <w:tc>
          <w:tcPr>
            <w:tcW w:w="148" w:type="pct"/>
            <w:vAlign w:val="center"/>
          </w:tcPr>
          <w:p w14:paraId="32F9E3BA"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13</w:t>
            </w:r>
          </w:p>
        </w:tc>
        <w:tc>
          <w:tcPr>
            <w:tcW w:w="301" w:type="pct"/>
            <w:vAlign w:val="center"/>
          </w:tcPr>
          <w:p w14:paraId="37A2137D"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5FD26FBC"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27156A85"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7BA44761" w14:textId="77777777" w:rsidR="00924706" w:rsidRPr="001E0229" w:rsidRDefault="00924706">
            <w:pPr>
              <w:spacing w:before="0" w:after="0"/>
              <w:jc w:val="left"/>
              <w:rPr>
                <w:rFonts w:cs="Arial"/>
                <w:sz w:val="16"/>
                <w:szCs w:val="16"/>
                <w:lang w:val="en-US"/>
              </w:rPr>
            </w:pPr>
            <w:r w:rsidRPr="001E0229">
              <w:rPr>
                <w:rFonts w:cs="Arial"/>
                <w:sz w:val="16"/>
                <w:szCs w:val="16"/>
                <w:lang w:val="en-US"/>
              </w:rPr>
              <w:t>189/12</w:t>
            </w:r>
          </w:p>
        </w:tc>
        <w:tc>
          <w:tcPr>
            <w:tcW w:w="384" w:type="pct"/>
            <w:vAlign w:val="center"/>
          </w:tcPr>
          <w:p w14:paraId="685356FC"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603D0066" w14:textId="77777777" w:rsidR="00924706" w:rsidRPr="001E0229" w:rsidRDefault="00924706">
            <w:pPr>
              <w:spacing w:before="0" w:after="0"/>
              <w:jc w:val="left"/>
              <w:rPr>
                <w:rFonts w:cs="Arial"/>
                <w:sz w:val="16"/>
                <w:szCs w:val="16"/>
                <w:lang w:val="en-US"/>
              </w:rPr>
            </w:pPr>
            <w:r w:rsidRPr="001E0229">
              <w:rPr>
                <w:rFonts w:cs="Arial"/>
                <w:sz w:val="16"/>
                <w:szCs w:val="16"/>
                <w:lang w:val="en-US"/>
              </w:rPr>
              <w:t>Row land</w:t>
            </w:r>
          </w:p>
        </w:tc>
        <w:tc>
          <w:tcPr>
            <w:tcW w:w="351" w:type="pct"/>
            <w:vAlign w:val="center"/>
          </w:tcPr>
          <w:p w14:paraId="1F4536C1"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3D523A98"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169EA0B4"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5E87D7CE"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1C6EDF71"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0" w:type="pct"/>
            <w:vAlign w:val="center"/>
          </w:tcPr>
          <w:p w14:paraId="647EB137" w14:textId="77777777" w:rsidR="00924706" w:rsidRPr="001E0229" w:rsidRDefault="00924706">
            <w:pPr>
              <w:spacing w:before="0" w:after="0"/>
              <w:jc w:val="left"/>
              <w:rPr>
                <w:rFonts w:cs="Arial"/>
                <w:sz w:val="16"/>
                <w:szCs w:val="16"/>
                <w:lang w:val="en-US"/>
              </w:rPr>
            </w:pPr>
            <w:r w:rsidRPr="001E0229">
              <w:rPr>
                <w:rFonts w:cs="Arial"/>
                <w:sz w:val="16"/>
                <w:szCs w:val="16"/>
                <w:lang w:val="en-US"/>
              </w:rPr>
              <w:t>NA</w:t>
            </w:r>
          </w:p>
        </w:tc>
        <w:tc>
          <w:tcPr>
            <w:tcW w:w="299" w:type="pct"/>
            <w:vAlign w:val="center"/>
          </w:tcPr>
          <w:p w14:paraId="131AB5D1" w14:textId="066A6942" w:rsidR="00924706" w:rsidRPr="00E961E6" w:rsidRDefault="00924706" w:rsidP="00E961E6">
            <w:pPr>
              <w:spacing w:before="0" w:after="0"/>
              <w:jc w:val="center"/>
              <w:rPr>
                <w:sz w:val="16"/>
                <w:szCs w:val="16"/>
              </w:rPr>
            </w:pPr>
            <w:r w:rsidRPr="001E0229">
              <w:rPr>
                <w:sz w:val="16"/>
                <w:szCs w:val="16"/>
              </w:rPr>
              <w:t>2857,82</w:t>
            </w:r>
          </w:p>
        </w:tc>
        <w:tc>
          <w:tcPr>
            <w:tcW w:w="446" w:type="pct"/>
            <w:vAlign w:val="center"/>
          </w:tcPr>
          <w:p w14:paraId="46B8E059" w14:textId="5CC7C99B" w:rsidR="00924706" w:rsidRPr="00E961E6" w:rsidRDefault="00924706" w:rsidP="00E961E6">
            <w:pPr>
              <w:spacing w:before="0" w:after="0"/>
              <w:jc w:val="center"/>
              <w:rPr>
                <w:rFonts w:cs="Arial"/>
                <w:sz w:val="16"/>
                <w:szCs w:val="16"/>
              </w:rPr>
            </w:pPr>
            <w:r w:rsidRPr="001E0229">
              <w:rPr>
                <w:rFonts w:cs="Arial"/>
                <w:sz w:val="16"/>
                <w:szCs w:val="16"/>
              </w:rPr>
              <w:t>1.971,90</w:t>
            </w:r>
          </w:p>
        </w:tc>
      </w:tr>
      <w:tr w:rsidR="00E961E6" w:rsidRPr="001E0229" w14:paraId="55178C0C" w14:textId="77777777" w:rsidTr="00E961E6">
        <w:trPr>
          <w:trHeight w:val="284"/>
          <w:jc w:val="center"/>
        </w:trPr>
        <w:tc>
          <w:tcPr>
            <w:tcW w:w="148" w:type="pct"/>
            <w:vAlign w:val="center"/>
          </w:tcPr>
          <w:p w14:paraId="79C361BA"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14</w:t>
            </w:r>
          </w:p>
        </w:tc>
        <w:tc>
          <w:tcPr>
            <w:tcW w:w="301" w:type="pct"/>
            <w:vAlign w:val="center"/>
          </w:tcPr>
          <w:p w14:paraId="57891A26"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41BD0E21"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0CD3D82A"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3618845F" w14:textId="77777777" w:rsidR="00924706" w:rsidRPr="001E0229" w:rsidRDefault="00924706">
            <w:pPr>
              <w:spacing w:before="0" w:after="0"/>
              <w:jc w:val="left"/>
              <w:rPr>
                <w:rFonts w:cs="Arial"/>
                <w:sz w:val="16"/>
                <w:szCs w:val="16"/>
                <w:lang w:val="en-US"/>
              </w:rPr>
            </w:pPr>
            <w:r w:rsidRPr="001E0229">
              <w:rPr>
                <w:rFonts w:cs="Arial"/>
                <w:sz w:val="16"/>
                <w:szCs w:val="16"/>
                <w:lang w:val="en-US"/>
              </w:rPr>
              <w:t>189/11</w:t>
            </w:r>
          </w:p>
        </w:tc>
        <w:tc>
          <w:tcPr>
            <w:tcW w:w="384" w:type="pct"/>
            <w:vAlign w:val="center"/>
          </w:tcPr>
          <w:p w14:paraId="659B046E"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0705DA96" w14:textId="77777777" w:rsidR="00924706" w:rsidRPr="001E0229" w:rsidRDefault="00924706">
            <w:pPr>
              <w:spacing w:before="0" w:after="0"/>
              <w:jc w:val="left"/>
              <w:rPr>
                <w:rFonts w:cs="Arial"/>
                <w:sz w:val="16"/>
                <w:szCs w:val="16"/>
                <w:lang w:val="en-US"/>
              </w:rPr>
            </w:pPr>
            <w:r w:rsidRPr="001E0229">
              <w:rPr>
                <w:rFonts w:cs="Arial"/>
                <w:sz w:val="16"/>
                <w:szCs w:val="16"/>
                <w:lang w:val="en-US"/>
              </w:rPr>
              <w:t>Plot</w:t>
            </w:r>
          </w:p>
        </w:tc>
        <w:tc>
          <w:tcPr>
            <w:tcW w:w="351" w:type="pct"/>
            <w:vAlign w:val="center"/>
          </w:tcPr>
          <w:p w14:paraId="069F722E"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2DEBFF57"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51AF8206"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551BFCB7"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2DBADED5" w14:textId="77777777" w:rsidR="00924706" w:rsidRPr="001E0229" w:rsidRDefault="00924706">
            <w:pPr>
              <w:spacing w:before="0" w:after="0"/>
              <w:jc w:val="left"/>
              <w:rPr>
                <w:rFonts w:cs="Arial"/>
                <w:sz w:val="16"/>
                <w:szCs w:val="16"/>
                <w:lang w:val="en-US"/>
              </w:rPr>
            </w:pPr>
            <w:r w:rsidRPr="001E0229">
              <w:rPr>
                <w:rFonts w:cs="Arial"/>
                <w:sz w:val="16"/>
                <w:szCs w:val="16"/>
                <w:lang w:val="en-US"/>
              </w:rPr>
              <w:t>İSDEMİR</w:t>
            </w:r>
          </w:p>
        </w:tc>
        <w:tc>
          <w:tcPr>
            <w:tcW w:w="360" w:type="pct"/>
            <w:vAlign w:val="center"/>
          </w:tcPr>
          <w:p w14:paraId="75036FDC" w14:textId="77777777" w:rsidR="00924706" w:rsidRPr="001E0229" w:rsidRDefault="00924706">
            <w:pPr>
              <w:spacing w:before="0" w:after="0"/>
              <w:jc w:val="left"/>
              <w:rPr>
                <w:rFonts w:cs="Arial"/>
                <w:sz w:val="16"/>
                <w:szCs w:val="16"/>
                <w:lang w:val="en-US"/>
              </w:rPr>
            </w:pPr>
            <w:r w:rsidRPr="001E0229">
              <w:rPr>
                <w:rFonts w:cs="Arial"/>
                <w:sz w:val="16"/>
                <w:szCs w:val="16"/>
                <w:lang w:val="en-US"/>
              </w:rPr>
              <w:t>Commercial</w:t>
            </w:r>
          </w:p>
        </w:tc>
        <w:tc>
          <w:tcPr>
            <w:tcW w:w="299" w:type="pct"/>
            <w:vAlign w:val="center"/>
          </w:tcPr>
          <w:p w14:paraId="0781B911" w14:textId="778E24C2" w:rsidR="00924706" w:rsidRPr="00E961E6" w:rsidRDefault="00924706" w:rsidP="00E961E6">
            <w:pPr>
              <w:spacing w:before="0" w:after="0"/>
              <w:ind w:right="-124" w:hanging="162"/>
              <w:jc w:val="center"/>
              <w:rPr>
                <w:sz w:val="16"/>
                <w:szCs w:val="16"/>
              </w:rPr>
            </w:pPr>
            <w:r w:rsidRPr="001E0229">
              <w:rPr>
                <w:sz w:val="16"/>
                <w:szCs w:val="16"/>
              </w:rPr>
              <w:t>283156,57</w:t>
            </w:r>
          </w:p>
        </w:tc>
        <w:tc>
          <w:tcPr>
            <w:tcW w:w="446" w:type="pct"/>
            <w:vAlign w:val="center"/>
          </w:tcPr>
          <w:p w14:paraId="6636884B" w14:textId="2325246F" w:rsidR="00924706" w:rsidRPr="00E961E6" w:rsidRDefault="00924706" w:rsidP="00E961E6">
            <w:pPr>
              <w:spacing w:before="0" w:after="0"/>
              <w:jc w:val="center"/>
              <w:rPr>
                <w:rFonts w:cs="Arial"/>
                <w:sz w:val="16"/>
                <w:szCs w:val="16"/>
              </w:rPr>
            </w:pPr>
            <w:r w:rsidRPr="001E0229">
              <w:rPr>
                <w:rFonts w:cs="Arial"/>
                <w:sz w:val="16"/>
                <w:szCs w:val="16"/>
              </w:rPr>
              <w:t>195.378,03</w:t>
            </w:r>
          </w:p>
        </w:tc>
      </w:tr>
      <w:tr w:rsidR="00E961E6" w:rsidRPr="001E0229" w14:paraId="3C547B78" w14:textId="77777777" w:rsidTr="00E961E6">
        <w:trPr>
          <w:trHeight w:val="284"/>
          <w:jc w:val="center"/>
        </w:trPr>
        <w:tc>
          <w:tcPr>
            <w:tcW w:w="148" w:type="pct"/>
            <w:vAlign w:val="center"/>
          </w:tcPr>
          <w:p w14:paraId="03648A4B"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15</w:t>
            </w:r>
          </w:p>
        </w:tc>
        <w:tc>
          <w:tcPr>
            <w:tcW w:w="301" w:type="pct"/>
            <w:vAlign w:val="center"/>
          </w:tcPr>
          <w:p w14:paraId="431A223B"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5CA01A1B"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05167480" w14:textId="77777777" w:rsidR="00924706" w:rsidRPr="001E0229" w:rsidRDefault="00924706">
            <w:pPr>
              <w:spacing w:before="0" w:after="0"/>
              <w:jc w:val="left"/>
              <w:rPr>
                <w:rFonts w:cs="Arial"/>
                <w:sz w:val="16"/>
                <w:szCs w:val="16"/>
                <w:lang w:val="en-US"/>
              </w:rPr>
            </w:pPr>
            <w:r w:rsidRPr="001E0229">
              <w:rPr>
                <w:rFonts w:cs="Arial"/>
                <w:sz w:val="16"/>
                <w:szCs w:val="16"/>
                <w:lang w:val="en-US"/>
              </w:rPr>
              <w:t>Kurbanlı</w:t>
            </w:r>
          </w:p>
        </w:tc>
        <w:tc>
          <w:tcPr>
            <w:tcW w:w="239" w:type="pct"/>
            <w:vAlign w:val="center"/>
          </w:tcPr>
          <w:p w14:paraId="497FFB30" w14:textId="77777777" w:rsidR="00924706" w:rsidRPr="001E0229" w:rsidRDefault="00924706">
            <w:pPr>
              <w:spacing w:before="0" w:after="0"/>
              <w:jc w:val="left"/>
              <w:rPr>
                <w:rFonts w:cs="Arial"/>
                <w:sz w:val="16"/>
                <w:szCs w:val="16"/>
                <w:lang w:val="en-US"/>
              </w:rPr>
            </w:pPr>
            <w:r w:rsidRPr="001E0229">
              <w:rPr>
                <w:rFonts w:cs="Arial"/>
                <w:sz w:val="16"/>
                <w:szCs w:val="16"/>
                <w:lang w:val="en-US"/>
              </w:rPr>
              <w:t>189/4</w:t>
            </w:r>
          </w:p>
        </w:tc>
        <w:tc>
          <w:tcPr>
            <w:tcW w:w="384" w:type="pct"/>
            <w:vAlign w:val="center"/>
          </w:tcPr>
          <w:p w14:paraId="4DD42C1D"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5FAD3FE8" w14:textId="77777777" w:rsidR="00924706" w:rsidRPr="001E0229" w:rsidRDefault="00924706">
            <w:pPr>
              <w:spacing w:before="0" w:after="0"/>
              <w:jc w:val="left"/>
              <w:rPr>
                <w:rFonts w:cs="Arial"/>
                <w:sz w:val="16"/>
                <w:szCs w:val="16"/>
                <w:lang w:val="en-US"/>
              </w:rPr>
            </w:pPr>
            <w:r w:rsidRPr="001E0229">
              <w:rPr>
                <w:rFonts w:cs="Arial"/>
                <w:sz w:val="16"/>
                <w:szCs w:val="16"/>
                <w:lang w:val="en-US"/>
              </w:rPr>
              <w:t>Industrial land</w:t>
            </w:r>
          </w:p>
        </w:tc>
        <w:tc>
          <w:tcPr>
            <w:tcW w:w="351" w:type="pct"/>
            <w:vAlign w:val="center"/>
          </w:tcPr>
          <w:p w14:paraId="14798C4A"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1607A0AB"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3DAB72EC"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7564A76A"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31778BFD" w14:textId="77777777" w:rsidR="00924706" w:rsidRPr="001E0229" w:rsidRDefault="00924706">
            <w:pPr>
              <w:spacing w:before="0" w:after="0"/>
              <w:jc w:val="left"/>
              <w:rPr>
                <w:rFonts w:cs="Arial"/>
                <w:sz w:val="16"/>
                <w:szCs w:val="16"/>
                <w:lang w:val="en-US"/>
              </w:rPr>
            </w:pPr>
            <w:r w:rsidRPr="001E0229">
              <w:rPr>
                <w:rFonts w:cs="Arial"/>
                <w:sz w:val="16"/>
                <w:szCs w:val="16"/>
                <w:lang w:val="en-US"/>
              </w:rPr>
              <w:t>İSDEMİR</w:t>
            </w:r>
          </w:p>
        </w:tc>
        <w:tc>
          <w:tcPr>
            <w:tcW w:w="360" w:type="pct"/>
            <w:vAlign w:val="center"/>
          </w:tcPr>
          <w:p w14:paraId="524233C3" w14:textId="77777777" w:rsidR="00924706" w:rsidRPr="001E0229" w:rsidRDefault="00924706">
            <w:pPr>
              <w:spacing w:before="0" w:after="0"/>
              <w:jc w:val="left"/>
              <w:rPr>
                <w:rFonts w:cs="Arial"/>
                <w:sz w:val="16"/>
                <w:szCs w:val="16"/>
                <w:lang w:val="en-US"/>
              </w:rPr>
            </w:pPr>
            <w:r w:rsidRPr="001E0229">
              <w:rPr>
                <w:rFonts w:cs="Arial"/>
                <w:sz w:val="16"/>
                <w:szCs w:val="16"/>
                <w:lang w:val="en-US"/>
              </w:rPr>
              <w:t>Commercial</w:t>
            </w:r>
          </w:p>
        </w:tc>
        <w:tc>
          <w:tcPr>
            <w:tcW w:w="299" w:type="pct"/>
            <w:vAlign w:val="center"/>
          </w:tcPr>
          <w:p w14:paraId="3D5FFB7E" w14:textId="189198A7" w:rsidR="00924706" w:rsidRPr="00E961E6" w:rsidRDefault="00924706" w:rsidP="00E961E6">
            <w:pPr>
              <w:spacing w:before="0" w:after="0"/>
              <w:ind w:right="-124" w:hanging="162"/>
              <w:jc w:val="center"/>
              <w:rPr>
                <w:sz w:val="16"/>
                <w:szCs w:val="16"/>
              </w:rPr>
            </w:pPr>
            <w:r w:rsidRPr="001E0229">
              <w:rPr>
                <w:sz w:val="16"/>
                <w:szCs w:val="16"/>
              </w:rPr>
              <w:t>294191,92</w:t>
            </w:r>
          </w:p>
        </w:tc>
        <w:tc>
          <w:tcPr>
            <w:tcW w:w="446" w:type="pct"/>
            <w:vAlign w:val="center"/>
          </w:tcPr>
          <w:p w14:paraId="7B9FCBA5" w14:textId="2499F0A6" w:rsidR="00924706" w:rsidRPr="00E961E6" w:rsidRDefault="00924706" w:rsidP="00E961E6">
            <w:pPr>
              <w:spacing w:before="0" w:after="0"/>
              <w:jc w:val="center"/>
              <w:rPr>
                <w:rFonts w:cs="Arial"/>
                <w:sz w:val="16"/>
                <w:szCs w:val="16"/>
              </w:rPr>
            </w:pPr>
            <w:r w:rsidRPr="001E0229">
              <w:rPr>
                <w:rFonts w:cs="Arial"/>
                <w:sz w:val="16"/>
                <w:szCs w:val="16"/>
              </w:rPr>
              <w:t>114.734,85</w:t>
            </w:r>
          </w:p>
        </w:tc>
      </w:tr>
      <w:tr w:rsidR="00E961E6" w:rsidRPr="001E0229" w14:paraId="0BED4D4E" w14:textId="77777777" w:rsidTr="00E961E6">
        <w:trPr>
          <w:trHeight w:val="284"/>
          <w:jc w:val="center"/>
        </w:trPr>
        <w:tc>
          <w:tcPr>
            <w:tcW w:w="148" w:type="pct"/>
            <w:vAlign w:val="center"/>
          </w:tcPr>
          <w:p w14:paraId="10116E42" w14:textId="77777777" w:rsidR="00924706" w:rsidRPr="001E0229" w:rsidRDefault="00924706" w:rsidP="001E0229">
            <w:pPr>
              <w:spacing w:before="0" w:after="0"/>
              <w:ind w:right="-113"/>
              <w:jc w:val="left"/>
              <w:rPr>
                <w:rFonts w:cs="Arial"/>
                <w:sz w:val="16"/>
                <w:szCs w:val="16"/>
                <w:lang w:val="en-US"/>
              </w:rPr>
            </w:pPr>
            <w:r w:rsidRPr="001E0229">
              <w:rPr>
                <w:rFonts w:cs="Arial"/>
                <w:sz w:val="16"/>
                <w:szCs w:val="16"/>
                <w:lang w:val="en-US"/>
              </w:rPr>
              <w:t>16</w:t>
            </w:r>
          </w:p>
        </w:tc>
        <w:tc>
          <w:tcPr>
            <w:tcW w:w="301" w:type="pct"/>
            <w:vAlign w:val="center"/>
          </w:tcPr>
          <w:p w14:paraId="07BF8E48" w14:textId="77777777" w:rsidR="00924706" w:rsidRPr="001E0229" w:rsidRDefault="00924706">
            <w:pPr>
              <w:spacing w:before="0" w:after="0"/>
              <w:jc w:val="left"/>
              <w:rPr>
                <w:rFonts w:cs="Arial"/>
                <w:sz w:val="16"/>
                <w:szCs w:val="16"/>
                <w:lang w:val="en-US"/>
              </w:rPr>
            </w:pPr>
            <w:r w:rsidRPr="001E0229">
              <w:rPr>
                <w:rFonts w:cs="Arial"/>
                <w:sz w:val="16"/>
                <w:szCs w:val="16"/>
                <w:lang w:val="en-US"/>
              </w:rPr>
              <w:t>Mersin</w:t>
            </w:r>
          </w:p>
        </w:tc>
        <w:tc>
          <w:tcPr>
            <w:tcW w:w="260" w:type="pct"/>
            <w:vAlign w:val="center"/>
          </w:tcPr>
          <w:p w14:paraId="5AC20B63" w14:textId="77777777" w:rsidR="00924706" w:rsidRPr="001E0229" w:rsidRDefault="00924706">
            <w:pPr>
              <w:spacing w:before="0" w:after="0"/>
              <w:jc w:val="left"/>
              <w:rPr>
                <w:rFonts w:cs="Arial"/>
                <w:sz w:val="16"/>
                <w:szCs w:val="16"/>
                <w:lang w:val="en-US"/>
              </w:rPr>
            </w:pPr>
            <w:r w:rsidRPr="001E0229">
              <w:rPr>
                <w:rFonts w:cs="Arial"/>
                <w:sz w:val="16"/>
                <w:szCs w:val="16"/>
                <w:lang w:val="en-US"/>
              </w:rPr>
              <w:t>Tarsus</w:t>
            </w:r>
          </w:p>
        </w:tc>
        <w:tc>
          <w:tcPr>
            <w:tcW w:w="348" w:type="pct"/>
            <w:vAlign w:val="center"/>
          </w:tcPr>
          <w:p w14:paraId="613BCDBF" w14:textId="77777777" w:rsidR="00924706" w:rsidRPr="001E0229" w:rsidRDefault="00924706">
            <w:pPr>
              <w:spacing w:before="0" w:after="0"/>
              <w:jc w:val="left"/>
              <w:rPr>
                <w:rFonts w:cs="Arial"/>
                <w:sz w:val="16"/>
                <w:szCs w:val="16"/>
                <w:lang w:val="en-US"/>
              </w:rPr>
            </w:pPr>
            <w:r w:rsidRPr="001E0229">
              <w:rPr>
                <w:rFonts w:cs="Arial"/>
                <w:sz w:val="16"/>
                <w:szCs w:val="16"/>
                <w:lang w:val="en-US"/>
              </w:rPr>
              <w:t>Eskişehir</w:t>
            </w:r>
          </w:p>
        </w:tc>
        <w:tc>
          <w:tcPr>
            <w:tcW w:w="239" w:type="pct"/>
            <w:vAlign w:val="center"/>
          </w:tcPr>
          <w:p w14:paraId="4E511118" w14:textId="77777777" w:rsidR="00924706" w:rsidRPr="001E0229" w:rsidRDefault="00924706">
            <w:pPr>
              <w:spacing w:before="0" w:after="0"/>
              <w:jc w:val="left"/>
              <w:rPr>
                <w:rFonts w:cs="Arial"/>
                <w:sz w:val="16"/>
                <w:szCs w:val="16"/>
                <w:lang w:val="en-US"/>
              </w:rPr>
            </w:pPr>
            <w:r w:rsidRPr="001E0229">
              <w:rPr>
                <w:rFonts w:cs="Arial"/>
                <w:sz w:val="16"/>
                <w:szCs w:val="16"/>
                <w:lang w:val="en-US"/>
              </w:rPr>
              <w:t>0/680</w:t>
            </w:r>
          </w:p>
        </w:tc>
        <w:tc>
          <w:tcPr>
            <w:tcW w:w="384" w:type="pct"/>
            <w:vAlign w:val="center"/>
          </w:tcPr>
          <w:p w14:paraId="1709B776" w14:textId="77777777" w:rsidR="00924706" w:rsidRPr="001E0229" w:rsidRDefault="00924706">
            <w:pPr>
              <w:spacing w:before="0" w:after="0"/>
              <w:jc w:val="left"/>
              <w:rPr>
                <w:rFonts w:cs="Arial"/>
                <w:sz w:val="16"/>
                <w:szCs w:val="16"/>
                <w:lang w:val="en-US"/>
              </w:rPr>
            </w:pPr>
            <w:r w:rsidRPr="001E0229">
              <w:rPr>
                <w:rFonts w:cs="Arial"/>
                <w:sz w:val="16"/>
                <w:szCs w:val="16"/>
                <w:lang w:val="en-US"/>
              </w:rPr>
              <w:t>Treasury</w:t>
            </w:r>
          </w:p>
        </w:tc>
        <w:tc>
          <w:tcPr>
            <w:tcW w:w="293" w:type="pct"/>
            <w:vAlign w:val="center"/>
          </w:tcPr>
          <w:p w14:paraId="6ACFF95D" w14:textId="77777777" w:rsidR="00924706" w:rsidRPr="001E0229" w:rsidRDefault="00924706">
            <w:pPr>
              <w:spacing w:before="0" w:after="0"/>
              <w:jc w:val="left"/>
              <w:rPr>
                <w:rFonts w:cs="Arial"/>
                <w:sz w:val="16"/>
                <w:szCs w:val="16"/>
                <w:lang w:val="en-US"/>
              </w:rPr>
            </w:pPr>
            <w:r w:rsidRPr="001E0229">
              <w:rPr>
                <w:rFonts w:cs="Arial"/>
                <w:sz w:val="16"/>
                <w:szCs w:val="16"/>
                <w:lang w:val="en-US"/>
              </w:rPr>
              <w:t>Plot</w:t>
            </w:r>
          </w:p>
        </w:tc>
        <w:tc>
          <w:tcPr>
            <w:tcW w:w="351" w:type="pct"/>
            <w:vAlign w:val="center"/>
          </w:tcPr>
          <w:p w14:paraId="479E5A46" w14:textId="77777777" w:rsidR="00924706" w:rsidRPr="001E0229" w:rsidRDefault="00924706">
            <w:pPr>
              <w:spacing w:before="0" w:after="0"/>
              <w:jc w:val="left"/>
              <w:rPr>
                <w:rFonts w:cs="Arial"/>
                <w:sz w:val="16"/>
                <w:szCs w:val="16"/>
                <w:lang w:val="en-US"/>
              </w:rPr>
            </w:pPr>
            <w:r w:rsidRPr="001E0229">
              <w:rPr>
                <w:rFonts w:cs="Arial"/>
                <w:sz w:val="16"/>
                <w:szCs w:val="16"/>
                <w:lang w:val="en-US"/>
              </w:rPr>
              <w:t>Public</w:t>
            </w:r>
          </w:p>
        </w:tc>
        <w:tc>
          <w:tcPr>
            <w:tcW w:w="532" w:type="pct"/>
            <w:vAlign w:val="center"/>
          </w:tcPr>
          <w:p w14:paraId="20FA0214" w14:textId="77777777" w:rsidR="00924706" w:rsidRPr="001E0229" w:rsidRDefault="00924706">
            <w:pPr>
              <w:spacing w:before="0" w:after="0"/>
              <w:jc w:val="left"/>
              <w:rPr>
                <w:rFonts w:cs="Arial"/>
                <w:sz w:val="16"/>
                <w:szCs w:val="16"/>
                <w:lang w:val="en-US"/>
              </w:rPr>
            </w:pPr>
            <w:r w:rsidRPr="001E0229">
              <w:rPr>
                <w:rFonts w:cs="Arial"/>
                <w:sz w:val="16"/>
                <w:szCs w:val="16"/>
                <w:lang w:val="en-US"/>
              </w:rPr>
              <w:t>Purchase</w:t>
            </w:r>
          </w:p>
        </w:tc>
        <w:tc>
          <w:tcPr>
            <w:tcW w:w="366" w:type="pct"/>
            <w:vAlign w:val="center"/>
          </w:tcPr>
          <w:p w14:paraId="322E7A28" w14:textId="77777777" w:rsidR="00924706" w:rsidRPr="001E0229" w:rsidRDefault="00924706">
            <w:pPr>
              <w:spacing w:before="0" w:after="0"/>
              <w:jc w:val="left"/>
              <w:rPr>
                <w:rFonts w:cs="Arial"/>
                <w:sz w:val="16"/>
                <w:szCs w:val="16"/>
                <w:lang w:val="en-US"/>
              </w:rPr>
            </w:pPr>
            <w:r w:rsidRPr="001E0229">
              <w:rPr>
                <w:rFonts w:cs="Arial"/>
                <w:sz w:val="16"/>
                <w:szCs w:val="16"/>
                <w:lang w:val="en-US"/>
              </w:rPr>
              <w:t>Completed</w:t>
            </w:r>
          </w:p>
        </w:tc>
        <w:tc>
          <w:tcPr>
            <w:tcW w:w="307" w:type="pct"/>
            <w:vAlign w:val="center"/>
          </w:tcPr>
          <w:p w14:paraId="3C110F8C" w14:textId="77777777" w:rsidR="00924706" w:rsidRPr="001E0229" w:rsidRDefault="00924706">
            <w:pPr>
              <w:spacing w:before="0" w:after="0"/>
              <w:jc w:val="left"/>
              <w:rPr>
                <w:rFonts w:cs="Arial"/>
                <w:sz w:val="16"/>
                <w:szCs w:val="16"/>
                <w:lang w:val="en-US"/>
              </w:rPr>
            </w:pPr>
            <w:r w:rsidRPr="001E0229">
              <w:rPr>
                <w:rFonts w:cs="Arial"/>
                <w:sz w:val="16"/>
                <w:szCs w:val="16"/>
                <w:lang w:val="en-US"/>
              </w:rPr>
              <w:t>No</w:t>
            </w:r>
          </w:p>
        </w:tc>
        <w:tc>
          <w:tcPr>
            <w:tcW w:w="366" w:type="pct"/>
            <w:vAlign w:val="center"/>
          </w:tcPr>
          <w:p w14:paraId="758E3E7B" w14:textId="77777777" w:rsidR="00924706" w:rsidRPr="001E0229" w:rsidRDefault="00924706">
            <w:pPr>
              <w:spacing w:before="0" w:after="0"/>
              <w:jc w:val="left"/>
              <w:rPr>
                <w:rFonts w:cs="Arial"/>
                <w:sz w:val="16"/>
                <w:szCs w:val="16"/>
                <w:lang w:val="en-US"/>
              </w:rPr>
            </w:pPr>
            <w:r w:rsidRPr="001E0229">
              <w:rPr>
                <w:rFonts w:cs="Arial"/>
                <w:sz w:val="16"/>
                <w:szCs w:val="16"/>
                <w:lang w:val="en-US"/>
              </w:rPr>
              <w:t>İSDEMİR</w:t>
            </w:r>
          </w:p>
        </w:tc>
        <w:tc>
          <w:tcPr>
            <w:tcW w:w="360" w:type="pct"/>
            <w:vAlign w:val="center"/>
          </w:tcPr>
          <w:p w14:paraId="6CFFDF9B" w14:textId="77777777" w:rsidR="00924706" w:rsidRPr="001E0229" w:rsidRDefault="00924706">
            <w:pPr>
              <w:spacing w:before="0" w:after="0"/>
              <w:jc w:val="left"/>
              <w:rPr>
                <w:rFonts w:cs="Arial"/>
                <w:sz w:val="16"/>
                <w:szCs w:val="16"/>
                <w:lang w:val="en-US"/>
              </w:rPr>
            </w:pPr>
            <w:r w:rsidRPr="001E0229">
              <w:rPr>
                <w:rFonts w:cs="Arial"/>
                <w:sz w:val="16"/>
                <w:szCs w:val="16"/>
                <w:lang w:val="en-US"/>
              </w:rPr>
              <w:t>Commercial</w:t>
            </w:r>
          </w:p>
        </w:tc>
        <w:tc>
          <w:tcPr>
            <w:tcW w:w="299" w:type="pct"/>
            <w:vAlign w:val="center"/>
          </w:tcPr>
          <w:p w14:paraId="30D9D11A" w14:textId="40B1C9B3" w:rsidR="00924706" w:rsidRPr="00E961E6" w:rsidRDefault="00924706" w:rsidP="00E961E6">
            <w:pPr>
              <w:spacing w:before="0" w:after="0"/>
              <w:ind w:right="-124" w:hanging="176"/>
              <w:jc w:val="center"/>
              <w:rPr>
                <w:sz w:val="16"/>
                <w:szCs w:val="16"/>
              </w:rPr>
            </w:pPr>
            <w:r w:rsidRPr="001E0229">
              <w:rPr>
                <w:sz w:val="16"/>
                <w:szCs w:val="16"/>
              </w:rPr>
              <w:t>181445,55</w:t>
            </w:r>
          </w:p>
        </w:tc>
        <w:tc>
          <w:tcPr>
            <w:tcW w:w="446" w:type="pct"/>
            <w:vAlign w:val="center"/>
          </w:tcPr>
          <w:p w14:paraId="05D65E53" w14:textId="7F93B71C" w:rsidR="00924706" w:rsidRPr="00E961E6" w:rsidRDefault="00924706" w:rsidP="00E961E6">
            <w:pPr>
              <w:spacing w:before="0" w:after="0"/>
              <w:jc w:val="center"/>
              <w:rPr>
                <w:rFonts w:cs="Arial"/>
                <w:sz w:val="16"/>
                <w:szCs w:val="16"/>
              </w:rPr>
            </w:pPr>
            <w:r w:rsidRPr="001E0229">
              <w:rPr>
                <w:rFonts w:cs="Arial"/>
                <w:sz w:val="16"/>
                <w:szCs w:val="16"/>
              </w:rPr>
              <w:t>125.197,43</w:t>
            </w:r>
          </w:p>
        </w:tc>
      </w:tr>
    </w:tbl>
    <w:p w14:paraId="0DC26893" w14:textId="0DFC20F6" w:rsidR="00792689" w:rsidRDefault="00792689" w:rsidP="00D3596E">
      <w:pPr>
        <w:sectPr w:rsidR="00792689" w:rsidSect="008324CA">
          <w:headerReference w:type="default" r:id="rId72"/>
          <w:footerReference w:type="default" r:id="rId73"/>
          <w:pgSz w:w="16840" w:h="11910" w:orient="landscape" w:code="9"/>
          <w:pgMar w:top="1418" w:right="1418" w:bottom="1418" w:left="1418" w:header="709" w:footer="709" w:gutter="0"/>
          <w:cols w:space="708"/>
          <w:docGrid w:linePitch="299"/>
        </w:sectPr>
      </w:pPr>
    </w:p>
    <w:p w14:paraId="267992EE" w14:textId="0429F799" w:rsidR="00591E17" w:rsidRPr="00EE43C6" w:rsidRDefault="00BF5A13" w:rsidP="00D3596E">
      <w:r>
        <w:lastRenderedPageBreak/>
        <w:t xml:space="preserve">According to land acquisition </w:t>
      </w:r>
      <w:r w:rsidR="00753614">
        <w:t xml:space="preserve">information, land acquisition has been completed in most of the area. </w:t>
      </w:r>
      <w:r w:rsidR="00E163DC">
        <w:t xml:space="preserve">On the other hand, the land acquisition process continues in one of the </w:t>
      </w:r>
      <w:r w:rsidR="006A0060">
        <w:t>three (</w:t>
      </w:r>
      <w:r w:rsidR="00E163DC">
        <w:t>3</w:t>
      </w:r>
      <w:r w:rsidR="006A0060">
        <w:t>)</w:t>
      </w:r>
      <w:r w:rsidR="00E163DC">
        <w:t xml:space="preserve"> private plots due to multiple shareholders. There are 5</w:t>
      </w:r>
      <w:r w:rsidR="00EB12F9">
        <w:t>7</w:t>
      </w:r>
      <w:r w:rsidR="00E163DC">
        <w:t xml:space="preserve"> shareholders in this private parcel (parcel no 102/5).</w:t>
      </w:r>
      <w:r w:rsidR="00204060">
        <w:t xml:space="preserve"> </w:t>
      </w:r>
      <w:r w:rsidR="001822BF">
        <w:t>While 3</w:t>
      </w:r>
      <w:r w:rsidR="00EB12F9">
        <w:t>5</w:t>
      </w:r>
      <w:r w:rsidR="001822BF">
        <w:t xml:space="preserve"> shareholders have completed land acquisition through agreement, 22 shareholders could not be </w:t>
      </w:r>
      <w:r w:rsidR="004C0F67">
        <w:t>reached,</w:t>
      </w:r>
      <w:r w:rsidR="001822BF">
        <w:t xml:space="preserve"> and expropriation was resorted to</w:t>
      </w:r>
      <w:r w:rsidR="48EA3E01">
        <w:t>, and the compensation deposited in an escrow account.</w:t>
      </w:r>
      <w:r w:rsidR="001822BF">
        <w:t>. The other two parcels (105/1, 105/2) belong to a single person and both parcels were acquired by agreement.</w:t>
      </w:r>
      <w:r w:rsidR="005A1332">
        <w:t xml:space="preserve"> </w:t>
      </w:r>
      <w:r w:rsidR="005A1332" w:rsidRPr="5F58EB95">
        <w:rPr>
          <w:rFonts w:eastAsiaTheme="minorEastAsia"/>
        </w:rPr>
        <w:t>It has been learnt that the previous owner of parcels 105/1 and 105/2 used this area as a repair and maintenance workshop and refuelling place for trucks working in quarries.</w:t>
      </w:r>
    </w:p>
    <w:p w14:paraId="09884AA9" w14:textId="77777777" w:rsidR="00903848" w:rsidRPr="0011747E" w:rsidRDefault="00903848" w:rsidP="00903848">
      <w:pPr>
        <w:rPr>
          <w:rFonts w:cs="Arial"/>
          <w:lang w:val="en-US" w:eastAsia="tr-TR"/>
        </w:rPr>
      </w:pPr>
      <w:r w:rsidRPr="43BF08BF">
        <w:rPr>
          <w:rFonts w:cs="Arial"/>
          <w:lang w:val="en-US" w:eastAsia="tr-TR"/>
        </w:rPr>
        <w:t>7 buildings on 2 parcels were affected by the land acquisition of the sub-project. 5 of them (commercial) were on 1 private land (105/2) and 2 of them (residential and commercial) were on 1 public land (104/1).</w:t>
      </w:r>
    </w:p>
    <w:p w14:paraId="04F9D6ED" w14:textId="0828F101" w:rsidR="00C152FD" w:rsidRPr="00EE43C6" w:rsidRDefault="302D07FF" w:rsidP="00D3596E">
      <w:r w:rsidRPr="00EE43C6">
        <w:t>There was also an informal user in the area that TUIO</w:t>
      </w:r>
      <w:r w:rsidR="51A7C724" w:rsidRPr="00EE43C6">
        <w:t>SB</w:t>
      </w:r>
      <w:r w:rsidRPr="00EE43C6">
        <w:t xml:space="preserve"> used as an administrative building during the site visit. Previously, a family (an elderly mother and an adult son) lived in the old building. The building was built between 1981-1984 by the deceased husband of the elderly woman. However, this is not documented. In the past years, the family was making an adequate pay to the state called ecr</w:t>
      </w:r>
      <w:r w:rsidR="691A9BB7" w:rsidRPr="00EE43C6">
        <w:t xml:space="preserve">-i </w:t>
      </w:r>
      <w:r w:rsidRPr="00EE43C6">
        <w:t>misil</w:t>
      </w:r>
      <w:r w:rsidR="00671CF3" w:rsidRPr="00EE43C6">
        <w:rPr>
          <w:rStyle w:val="FootnoteReference"/>
        </w:rPr>
        <w:footnoteReference w:id="28"/>
      </w:r>
      <w:r w:rsidRPr="00EE43C6">
        <w:t xml:space="preserve"> because they were the occupiers of the public land. Documents regarding these payments are from 2014 and earlier. However, the family representative (son of the old woman) declared that they made this payment in the following years. They have another house on the </w:t>
      </w:r>
      <w:r w:rsidR="3B1FAC26" w:rsidRPr="00EE43C6">
        <w:t>neighbouring</w:t>
      </w:r>
      <w:r w:rsidRPr="00EE43C6">
        <w:t xml:space="preserve"> plot </w:t>
      </w:r>
      <w:r w:rsidR="5BC06712" w:rsidRPr="00EE43C6">
        <w:t xml:space="preserve">which they </w:t>
      </w:r>
      <w:r w:rsidRPr="00EE43C6">
        <w:t>formally</w:t>
      </w:r>
      <w:r w:rsidR="2AA73136" w:rsidRPr="00EE43C6">
        <w:t xml:space="preserve"> own</w:t>
      </w:r>
      <w:r w:rsidRPr="00EE43C6">
        <w:t xml:space="preserve">. This house was neglected. The governor's office helped the elderly woman to move to her own house by repairing this neglected </w:t>
      </w:r>
      <w:r w:rsidR="32DFB93E" w:rsidRPr="00EE43C6">
        <w:t xml:space="preserve">building </w:t>
      </w:r>
      <w:r w:rsidRPr="00EE43C6">
        <w:t xml:space="preserve">and giving some household items to the old woman. </w:t>
      </w:r>
    </w:p>
    <w:p w14:paraId="29931318" w14:textId="1954FABF" w:rsidR="00C152FD" w:rsidRPr="00EE43C6" w:rsidRDefault="793E4176" w:rsidP="00D3596E">
      <w:r>
        <w:t xml:space="preserve">Nomads are another group displaced by the project. It was determined that </w:t>
      </w:r>
      <w:r w:rsidR="532F87F4">
        <w:t>two (</w:t>
      </w:r>
      <w:r>
        <w:t>2</w:t>
      </w:r>
      <w:r w:rsidR="532F87F4">
        <w:t>)</w:t>
      </w:r>
      <w:r>
        <w:t xml:space="preserve"> nomad families engaged in animal husbandry used the project area. When the land was transferred to the OIZ, the village headman showed </w:t>
      </w:r>
      <w:r w:rsidR="46C1E0B4">
        <w:t xml:space="preserve">the </w:t>
      </w:r>
      <w:r w:rsidR="532F87F4">
        <w:t>two (</w:t>
      </w:r>
      <w:r>
        <w:t>2</w:t>
      </w:r>
      <w:r w:rsidR="532F87F4">
        <w:t>)</w:t>
      </w:r>
      <w:r>
        <w:t xml:space="preserve"> nomad families another place and currently they are staying there.</w:t>
      </w:r>
    </w:p>
    <w:p w14:paraId="7288E9CD" w14:textId="30B9B9A9" w:rsidR="00474717" w:rsidRPr="00EE43C6" w:rsidRDefault="776A30F8" w:rsidP="00D3596E">
      <w:pPr>
        <w:rPr>
          <w:rFonts w:cs="Wingdings"/>
        </w:rPr>
      </w:pPr>
      <w:r>
        <w:t>Ex-post surveys have been conducted for issues related to land acquisition and monitoring activities are discussed in th</w:t>
      </w:r>
      <w:r w:rsidR="4566ECE6">
        <w:t xml:space="preserve">at </w:t>
      </w:r>
      <w:r>
        <w:t>document.</w:t>
      </w:r>
      <w:r w:rsidR="0139A5D9">
        <w:t xml:space="preserve"> </w:t>
      </w:r>
      <w:r w:rsidR="2DBE59F5">
        <w:t>See Ex-Post Social Assessment for details on land acquisition.</w:t>
      </w:r>
    </w:p>
    <w:p w14:paraId="6686B515" w14:textId="6053A21F" w:rsidR="004339AC" w:rsidRPr="00EE43C6" w:rsidRDefault="00F36A93" w:rsidP="006A3316">
      <w:pPr>
        <w:pStyle w:val="Heading2"/>
        <w:ind w:hanging="718"/>
        <w:rPr>
          <w:rFonts w:eastAsia="Cambria"/>
          <w:lang w:val="en-GB"/>
        </w:rPr>
      </w:pPr>
      <w:bookmarkStart w:id="677" w:name="_Toc80278360"/>
      <w:bookmarkStart w:id="678" w:name="_Toc120016973"/>
      <w:bookmarkStart w:id="679" w:name="_Toc120004750"/>
      <w:bookmarkStart w:id="680" w:name="_Toc141445460"/>
      <w:r w:rsidRPr="00EE43C6">
        <w:rPr>
          <w:rFonts w:eastAsia="Cambria"/>
          <w:lang w:val="en-GB"/>
        </w:rPr>
        <w:t>Labour</w:t>
      </w:r>
      <w:r w:rsidR="004339AC" w:rsidRPr="00EE43C6">
        <w:rPr>
          <w:rFonts w:eastAsia="Cambria"/>
          <w:lang w:val="en-GB"/>
        </w:rPr>
        <w:t xml:space="preserve"> Conditions</w:t>
      </w:r>
      <w:bookmarkEnd w:id="677"/>
      <w:bookmarkEnd w:id="678"/>
      <w:bookmarkEnd w:id="679"/>
      <w:bookmarkEnd w:id="680"/>
      <w:r w:rsidR="004339AC" w:rsidRPr="00EE43C6">
        <w:rPr>
          <w:rFonts w:eastAsia="Cambria"/>
          <w:lang w:val="en-GB"/>
        </w:rPr>
        <w:t xml:space="preserve"> </w:t>
      </w:r>
    </w:p>
    <w:p w14:paraId="58DDE495" w14:textId="22AF0DD8" w:rsidR="004339AC" w:rsidRPr="00EE43C6" w:rsidRDefault="004339AC" w:rsidP="00CC5B52">
      <w:pPr>
        <w:pStyle w:val="Heading3"/>
        <w:spacing w:after="240"/>
        <w:ind w:left="851" w:hanging="851"/>
        <w:rPr>
          <w:rFonts w:eastAsia="Arial TUR"/>
          <w:noProof w:val="0"/>
        </w:rPr>
      </w:pPr>
      <w:bookmarkStart w:id="681" w:name="_Ref88554184"/>
      <w:bookmarkStart w:id="682" w:name="_Toc80278361"/>
      <w:bookmarkStart w:id="683" w:name="_Toc120016974"/>
      <w:bookmarkStart w:id="684" w:name="_Toc120004751"/>
      <w:bookmarkStart w:id="685" w:name="_Toc141445461"/>
      <w:r w:rsidRPr="00EE43C6">
        <w:rPr>
          <w:rFonts w:eastAsia="Calibri"/>
          <w:bCs w:val="0"/>
          <w:noProof w:val="0"/>
        </w:rPr>
        <w:t>Construction and Operation Phases</w:t>
      </w:r>
      <w:bookmarkEnd w:id="681"/>
      <w:bookmarkEnd w:id="682"/>
      <w:bookmarkEnd w:id="683"/>
      <w:bookmarkEnd w:id="684"/>
      <w:bookmarkEnd w:id="685"/>
      <w:r w:rsidRPr="00EE43C6">
        <w:rPr>
          <w:rFonts w:eastAsia="Calibri"/>
          <w:bCs w:val="0"/>
          <w:noProof w:val="0"/>
        </w:rPr>
        <w:t xml:space="preserve"> </w:t>
      </w:r>
    </w:p>
    <w:p w14:paraId="02DEAC76" w14:textId="09659098" w:rsidR="00F56D8F" w:rsidRPr="00EE43C6" w:rsidRDefault="004C0F67" w:rsidP="00F56D8F">
      <w:pPr>
        <w:rPr>
          <w:rFonts w:cs="Wingdings"/>
          <w:szCs w:val="22"/>
        </w:rPr>
      </w:pPr>
      <w:r w:rsidRPr="00EE43C6">
        <w:rPr>
          <w:rFonts w:cs="Wingdings"/>
          <w:szCs w:val="22"/>
        </w:rPr>
        <w:t>Labour</w:t>
      </w:r>
      <w:r w:rsidR="00F56D8F" w:rsidRPr="00EE43C6">
        <w:rPr>
          <w:rFonts w:cs="Wingdings"/>
          <w:szCs w:val="22"/>
        </w:rPr>
        <w:t xml:space="preserve"> Management P</w:t>
      </w:r>
      <w:r w:rsidR="00144AD4">
        <w:rPr>
          <w:rFonts w:cs="Wingdings"/>
          <w:szCs w:val="22"/>
        </w:rPr>
        <w:t>lan</w:t>
      </w:r>
      <w:r w:rsidR="00F56D8F" w:rsidRPr="00EE43C6">
        <w:rPr>
          <w:rFonts w:cs="Wingdings"/>
          <w:szCs w:val="22"/>
        </w:rPr>
        <w:t xml:space="preserve"> (LMP) has been prepared for </w:t>
      </w:r>
      <w:r w:rsidR="00117757">
        <w:rPr>
          <w:rFonts w:cs="Wingdings"/>
          <w:szCs w:val="22"/>
        </w:rPr>
        <w:t>Türkiye</w:t>
      </w:r>
      <w:r w:rsidR="00F56D8F" w:rsidRPr="00EE43C6">
        <w:rPr>
          <w:rFonts w:cs="Wingdings"/>
          <w:szCs w:val="22"/>
        </w:rPr>
        <w:t xml:space="preserve"> Organized Industrial Zones Project. It aims to project workers’ rights and ensure the management and control of activities that may pose </w:t>
      </w:r>
      <w:r w:rsidRPr="00EE43C6">
        <w:rPr>
          <w:rFonts w:cs="Wingdings"/>
          <w:szCs w:val="22"/>
        </w:rPr>
        <w:t>labour</w:t>
      </w:r>
      <w:r w:rsidR="00F56D8F" w:rsidRPr="00EE43C6">
        <w:rPr>
          <w:rFonts w:cs="Wingdings"/>
          <w:szCs w:val="22"/>
        </w:rPr>
        <w:t xml:space="preserve">-related risks. It describes how MoIT will comply with the requirements of </w:t>
      </w:r>
      <w:r w:rsidR="00F56D8F" w:rsidRPr="00EE43C6">
        <w:rPr>
          <w:rFonts w:cs="Wingdings"/>
          <w:szCs w:val="22"/>
        </w:rPr>
        <w:lastRenderedPageBreak/>
        <w:t>World Bank Environmental and Social Standard 2 (ESS 2), “</w:t>
      </w:r>
      <w:r w:rsidRPr="00EE43C6">
        <w:rPr>
          <w:rFonts w:cs="Wingdings"/>
          <w:szCs w:val="22"/>
        </w:rPr>
        <w:t>Labour</w:t>
      </w:r>
      <w:r w:rsidR="00F56D8F" w:rsidRPr="00EE43C6">
        <w:rPr>
          <w:rFonts w:cs="Wingdings"/>
          <w:szCs w:val="22"/>
        </w:rPr>
        <w:t xml:space="preserve"> and Working Conditions”, and with Turkish </w:t>
      </w:r>
      <w:r w:rsidRPr="00EE43C6">
        <w:rPr>
          <w:rFonts w:cs="Wingdings"/>
          <w:szCs w:val="22"/>
        </w:rPr>
        <w:t>labour</w:t>
      </w:r>
      <w:r w:rsidR="00F56D8F" w:rsidRPr="00EE43C6">
        <w:rPr>
          <w:rFonts w:cs="Wingdings"/>
          <w:szCs w:val="22"/>
        </w:rPr>
        <w:t xml:space="preserve">, employment and occupational health and safety laws. </w:t>
      </w:r>
    </w:p>
    <w:p w14:paraId="338AE949" w14:textId="2A63C53E" w:rsidR="00F56D8F" w:rsidRPr="00EE43C6" w:rsidRDefault="00F56D8F" w:rsidP="00F56D8F">
      <w:pPr>
        <w:rPr>
          <w:rFonts w:cs="Wingdings"/>
          <w:szCs w:val="22"/>
        </w:rPr>
      </w:pPr>
      <w:r w:rsidRPr="00EE43C6">
        <w:rPr>
          <w:rFonts w:cs="Wingdings"/>
          <w:szCs w:val="22"/>
        </w:rPr>
        <w:t>TUIO</w:t>
      </w:r>
      <w:r w:rsidR="00C21561" w:rsidRPr="00EE43C6">
        <w:rPr>
          <w:rFonts w:cs="Wingdings"/>
          <w:szCs w:val="22"/>
        </w:rPr>
        <w:t>SB</w:t>
      </w:r>
      <w:r w:rsidRPr="00EE43C6">
        <w:rPr>
          <w:rFonts w:cs="Wingdings"/>
          <w:szCs w:val="22"/>
        </w:rPr>
        <w:t xml:space="preserve"> will be responsible for </w:t>
      </w:r>
      <w:r w:rsidR="00AE19CA" w:rsidRPr="00EE43C6">
        <w:rPr>
          <w:rFonts w:cs="Wingdings"/>
          <w:szCs w:val="22"/>
        </w:rPr>
        <w:t>work force</w:t>
      </w:r>
      <w:r w:rsidRPr="00EE43C6">
        <w:rPr>
          <w:rFonts w:cs="Wingdings"/>
          <w:szCs w:val="22"/>
        </w:rPr>
        <w:t xml:space="preserve"> during the construction and operation phases. </w:t>
      </w:r>
      <w:r w:rsidR="00117757">
        <w:rPr>
          <w:rFonts w:cs="Wingdings"/>
          <w:szCs w:val="22"/>
        </w:rPr>
        <w:t>Türkiye</w:t>
      </w:r>
      <w:r w:rsidRPr="00EE43C6">
        <w:rPr>
          <w:rFonts w:cs="Wingdings"/>
          <w:szCs w:val="22"/>
        </w:rPr>
        <w:t xml:space="preserve"> is currently in the middle of the harmonisation process with the European Union and labour laws are being reviewed to ensure compliance. The Project will comply with national labour, social security and occupational health and safety laws and the principles and standards of the International Labour Organization convention. Based on the national principles contained in the International Labour Organization convention, the Project Proponent will take the following measures:</w:t>
      </w:r>
    </w:p>
    <w:p w14:paraId="732454C2" w14:textId="245B25AA" w:rsidR="00F56D8F" w:rsidRPr="00EE43C6" w:rsidRDefault="2A0431A9" w:rsidP="00E961E6">
      <w:pPr>
        <w:pStyle w:val="ListParagraph"/>
        <w:numPr>
          <w:ilvl w:val="0"/>
          <w:numId w:val="38"/>
        </w:numPr>
        <w:spacing w:before="120"/>
        <w:ind w:left="714" w:hanging="357"/>
        <w:contextualSpacing w:val="0"/>
        <w:rPr>
          <w:rFonts w:cs="Wingdings"/>
          <w:noProof w:val="0"/>
        </w:rPr>
      </w:pPr>
      <w:r w:rsidRPr="4C55EC40">
        <w:rPr>
          <w:rFonts w:cs="Wingdings"/>
          <w:noProof w:val="0"/>
        </w:rPr>
        <w:t xml:space="preserve">Not </w:t>
      </w:r>
      <w:r w:rsidR="04F6EFBB" w:rsidRPr="4C55EC40">
        <w:rPr>
          <w:rFonts w:cs="Wingdings"/>
          <w:noProof w:val="0"/>
        </w:rPr>
        <w:t xml:space="preserve">use </w:t>
      </w:r>
      <w:r w:rsidR="04F6EFBB" w:rsidRPr="5C5C68CA">
        <w:rPr>
          <w:rFonts w:cs="Wingdings"/>
          <w:noProof w:val="0"/>
        </w:rPr>
        <w:t>or</w:t>
      </w:r>
      <w:r w:rsidR="00F56D8F" w:rsidRPr="00EE43C6">
        <w:rPr>
          <w:rFonts w:cs="Wingdings"/>
          <w:noProof w:val="0"/>
        </w:rPr>
        <w:t xml:space="preserve"> employ children during the construction phase under 18 years of age,</w:t>
      </w:r>
    </w:p>
    <w:p w14:paraId="53D49302" w14:textId="649B8FCA" w:rsidR="00F56D8F" w:rsidRPr="00EE43C6" w:rsidRDefault="26684CD0" w:rsidP="00E961E6">
      <w:pPr>
        <w:pStyle w:val="ListParagraph"/>
        <w:numPr>
          <w:ilvl w:val="0"/>
          <w:numId w:val="38"/>
        </w:numPr>
        <w:spacing w:before="120"/>
        <w:ind w:left="714" w:hanging="357"/>
        <w:contextualSpacing w:val="0"/>
        <w:rPr>
          <w:rFonts w:cs="Wingdings"/>
          <w:noProof w:val="0"/>
        </w:rPr>
      </w:pPr>
      <w:r w:rsidRPr="4C55EC40">
        <w:rPr>
          <w:rFonts w:cs="Wingdings"/>
          <w:noProof w:val="0"/>
        </w:rPr>
        <w:t>Not use or employ</w:t>
      </w:r>
      <w:r w:rsidR="00F56D8F" w:rsidRPr="00EE43C6">
        <w:rPr>
          <w:rFonts w:cs="Wingdings"/>
          <w:noProof w:val="0"/>
        </w:rPr>
        <w:t xml:space="preserve"> forced labour and ensure a Human Resources Policy in compliance with the European Convention on Human Rights and the Turkish Constitution,</w:t>
      </w:r>
    </w:p>
    <w:p w14:paraId="1D18895F" w14:textId="04EDB2FF" w:rsidR="00F56D8F" w:rsidRPr="00EE43C6" w:rsidRDefault="00F56D8F" w:rsidP="00E961E6">
      <w:pPr>
        <w:pStyle w:val="ListParagraph"/>
        <w:numPr>
          <w:ilvl w:val="0"/>
          <w:numId w:val="38"/>
        </w:numPr>
        <w:spacing w:before="120"/>
        <w:ind w:left="714" w:hanging="357"/>
        <w:contextualSpacing w:val="0"/>
        <w:rPr>
          <w:rFonts w:cs="Wingdings"/>
          <w:noProof w:val="0"/>
        </w:rPr>
      </w:pPr>
      <w:r w:rsidRPr="00EE43C6">
        <w:rPr>
          <w:rFonts w:cs="Wingdings"/>
          <w:noProof w:val="0"/>
        </w:rPr>
        <w:t xml:space="preserve">Elimination of discrimination based on language, race, sex, political opinion, philosophical </w:t>
      </w:r>
      <w:r w:rsidR="00C64826" w:rsidRPr="00EE43C6">
        <w:rPr>
          <w:rFonts w:cs="Wingdings"/>
          <w:noProof w:val="0"/>
        </w:rPr>
        <w:t>belief,</w:t>
      </w:r>
      <w:r w:rsidRPr="00EE43C6">
        <w:rPr>
          <w:rFonts w:cs="Wingdings"/>
          <w:noProof w:val="0"/>
        </w:rPr>
        <w:t xml:space="preserve"> and religion in labour relations,</w:t>
      </w:r>
    </w:p>
    <w:p w14:paraId="515ACC97" w14:textId="0C604616" w:rsidR="00F56D8F" w:rsidRPr="00EE43C6" w:rsidRDefault="00F56D8F" w:rsidP="00E961E6">
      <w:pPr>
        <w:pStyle w:val="ListParagraph"/>
        <w:numPr>
          <w:ilvl w:val="0"/>
          <w:numId w:val="38"/>
        </w:numPr>
        <w:spacing w:before="120"/>
        <w:ind w:left="714" w:hanging="357"/>
        <w:contextualSpacing w:val="0"/>
        <w:rPr>
          <w:rFonts w:cs="Wingdings"/>
          <w:noProof w:val="0"/>
        </w:rPr>
      </w:pPr>
      <w:r w:rsidRPr="00EE43C6">
        <w:rPr>
          <w:rFonts w:cs="Wingdings"/>
          <w:noProof w:val="0"/>
        </w:rPr>
        <w:t>Ensuring workers' access to the right to collective bargaining (Law No. 6356 on Trade Unions and 4857 Labour Law on Collective Bargaining),</w:t>
      </w:r>
    </w:p>
    <w:p w14:paraId="236796D9" w14:textId="5868DF99" w:rsidR="00F56D8F" w:rsidRPr="00EE43C6" w:rsidRDefault="00F56D8F" w:rsidP="00E961E6">
      <w:pPr>
        <w:pStyle w:val="ListParagraph"/>
        <w:numPr>
          <w:ilvl w:val="0"/>
          <w:numId w:val="38"/>
        </w:numPr>
        <w:spacing w:before="120"/>
        <w:ind w:left="714" w:hanging="357"/>
        <w:contextualSpacing w:val="0"/>
        <w:rPr>
          <w:rFonts w:cs="Wingdings"/>
          <w:noProof w:val="0"/>
        </w:rPr>
      </w:pPr>
      <w:r w:rsidRPr="00EE43C6">
        <w:rPr>
          <w:rFonts w:cs="Wingdings"/>
          <w:noProof w:val="0"/>
        </w:rPr>
        <w:t>Ensure access to an effectively functioning Project grievance mechanism.</w:t>
      </w:r>
    </w:p>
    <w:p w14:paraId="069687B4" w14:textId="490959A7" w:rsidR="7F7BCDAD" w:rsidRDefault="7F7BCDAD" w:rsidP="00E961E6">
      <w:pPr>
        <w:pStyle w:val="ListParagraph"/>
        <w:numPr>
          <w:ilvl w:val="0"/>
          <w:numId w:val="38"/>
        </w:numPr>
        <w:spacing w:before="120"/>
        <w:ind w:left="714" w:hanging="357"/>
        <w:contextualSpacing w:val="0"/>
        <w:rPr>
          <w:rFonts w:cs="Wingdings"/>
          <w:noProof w:val="0"/>
          <w:color w:val="000000" w:themeColor="text1"/>
        </w:rPr>
      </w:pPr>
      <w:r w:rsidRPr="5C5C68CA">
        <w:rPr>
          <w:rFonts w:cs="Wingdings"/>
          <w:noProof w:val="0"/>
          <w:color w:val="000000" w:themeColor="text1"/>
        </w:rPr>
        <w:t xml:space="preserve">Ensure workers are provided with written contracts containing </w:t>
      </w:r>
      <w:r w:rsidR="57CA6F70" w:rsidRPr="5C5C68CA">
        <w:rPr>
          <w:rFonts w:cs="Wingdings"/>
          <w:noProof w:val="0"/>
          <w:color w:val="000000" w:themeColor="text1"/>
        </w:rPr>
        <w:t xml:space="preserve">i.a. </w:t>
      </w:r>
      <w:r w:rsidRPr="5C5C68CA">
        <w:rPr>
          <w:rFonts w:cs="Wingdings"/>
          <w:noProof w:val="0"/>
          <w:color w:val="000000" w:themeColor="text1"/>
        </w:rPr>
        <w:t>job description, working hours, information about their rights and duties</w:t>
      </w:r>
      <w:r w:rsidR="2ED10F63" w:rsidRPr="5C5C68CA">
        <w:rPr>
          <w:rFonts w:cs="Wingdings"/>
          <w:noProof w:val="0"/>
          <w:color w:val="000000" w:themeColor="text1"/>
        </w:rPr>
        <w:t>, code of conduct and information of workers’ GM.</w:t>
      </w:r>
    </w:p>
    <w:p w14:paraId="46D033E3" w14:textId="79B5E817" w:rsidR="00014F83" w:rsidRPr="00EE43C6" w:rsidRDefault="009A302A" w:rsidP="00E961E6">
      <w:pPr>
        <w:pStyle w:val="ListParagraph"/>
        <w:numPr>
          <w:ilvl w:val="0"/>
          <w:numId w:val="38"/>
        </w:numPr>
        <w:spacing w:before="120"/>
        <w:ind w:left="714" w:hanging="357"/>
        <w:contextualSpacing w:val="0"/>
        <w:rPr>
          <w:rFonts w:cs="Wingdings"/>
          <w:noProof w:val="0"/>
        </w:rPr>
      </w:pPr>
      <w:r w:rsidRPr="00EE43C6">
        <w:rPr>
          <w:rFonts w:cs="Wingdings"/>
          <w:noProof w:val="0"/>
        </w:rPr>
        <w:t xml:space="preserve">In order to reduce the possible </w:t>
      </w:r>
      <w:r w:rsidR="00B3775E" w:rsidRPr="00EE43C6">
        <w:rPr>
          <w:rFonts w:cs="Wingdings"/>
          <w:noProof w:val="0"/>
        </w:rPr>
        <w:t>impacts</w:t>
      </w:r>
      <w:r w:rsidRPr="00EE43C6">
        <w:rPr>
          <w:rFonts w:cs="Wingdings"/>
          <w:noProof w:val="0"/>
        </w:rPr>
        <w:t xml:space="preserve"> on the </w:t>
      </w:r>
      <w:r w:rsidR="004714D5" w:rsidRPr="00EE43C6">
        <w:rPr>
          <w:rFonts w:cs="Wingdings"/>
          <w:noProof w:val="0"/>
        </w:rPr>
        <w:t>neighbourhoods</w:t>
      </w:r>
      <w:r w:rsidRPr="00EE43C6">
        <w:rPr>
          <w:rFonts w:cs="Wingdings"/>
          <w:noProof w:val="0"/>
        </w:rPr>
        <w:t xml:space="preserve">, facilities such as </w:t>
      </w:r>
      <w:r w:rsidR="00B3775E" w:rsidRPr="00EE43C6">
        <w:rPr>
          <w:rFonts w:cs="Wingdings"/>
          <w:noProof w:val="0"/>
        </w:rPr>
        <w:t>food</w:t>
      </w:r>
      <w:r w:rsidRPr="00EE43C6">
        <w:rPr>
          <w:rFonts w:cs="Wingdings"/>
          <w:noProof w:val="0"/>
        </w:rPr>
        <w:t xml:space="preserve">, sanitary facilities and resting areas will be provided within the </w:t>
      </w:r>
      <w:r w:rsidR="00B3775E" w:rsidRPr="00EE43C6">
        <w:rPr>
          <w:rFonts w:cs="Wingdings"/>
          <w:noProof w:val="0"/>
        </w:rPr>
        <w:t>Project</w:t>
      </w:r>
      <w:r w:rsidRPr="00EE43C6">
        <w:rPr>
          <w:rFonts w:cs="Wingdings"/>
          <w:noProof w:val="0"/>
        </w:rPr>
        <w:t xml:space="preserve"> </w:t>
      </w:r>
      <w:r w:rsidR="00163873" w:rsidRPr="00EE43C6">
        <w:rPr>
          <w:rFonts w:cs="Wingdings"/>
          <w:noProof w:val="0"/>
        </w:rPr>
        <w:t>A</w:t>
      </w:r>
      <w:r w:rsidRPr="00EE43C6">
        <w:rPr>
          <w:rFonts w:cs="Wingdings"/>
          <w:noProof w:val="0"/>
        </w:rPr>
        <w:t>rea in accordance with the use of the employees.</w:t>
      </w:r>
    </w:p>
    <w:p w14:paraId="5A09942F" w14:textId="57AB1D25" w:rsidR="004339AC" w:rsidRPr="00EE43C6" w:rsidRDefault="00F56D8F" w:rsidP="00F56D8F">
      <w:pPr>
        <w:rPr>
          <w:rFonts w:cs="Wingdings"/>
          <w:szCs w:val="22"/>
        </w:rPr>
      </w:pPr>
      <w:r w:rsidRPr="00EE43C6">
        <w:rPr>
          <w:rFonts w:cs="Wingdings"/>
          <w:szCs w:val="22"/>
        </w:rPr>
        <w:t xml:space="preserve">The Labour Law (4857) applies to all workplaces and their employers, employees, employers' </w:t>
      </w:r>
      <w:r w:rsidR="00DC052D" w:rsidRPr="00EE43C6">
        <w:rPr>
          <w:rFonts w:cs="Wingdings"/>
          <w:szCs w:val="22"/>
        </w:rPr>
        <w:t>representatives,</w:t>
      </w:r>
      <w:r w:rsidRPr="00EE43C6">
        <w:rPr>
          <w:rFonts w:cs="Wingdings"/>
          <w:szCs w:val="22"/>
        </w:rPr>
        <w:t xml:space="preserve"> and workers' representatives, regardless of their field of activity.</w:t>
      </w:r>
    </w:p>
    <w:p w14:paraId="3C86BA72" w14:textId="11812DA3" w:rsidR="004339AC" w:rsidRPr="00EE43C6" w:rsidRDefault="004339AC" w:rsidP="004339AC">
      <w:pPr>
        <w:pStyle w:val="Heading3"/>
        <w:spacing w:after="240"/>
        <w:ind w:left="851" w:hanging="851"/>
        <w:rPr>
          <w:rFonts w:eastAsia="Arial TUR"/>
          <w:noProof w:val="0"/>
        </w:rPr>
      </w:pPr>
      <w:bookmarkStart w:id="686" w:name="_Toc80278362"/>
      <w:bookmarkStart w:id="687" w:name="_Toc120016975"/>
      <w:bookmarkStart w:id="688" w:name="_Toc120004752"/>
      <w:bookmarkStart w:id="689" w:name="_Toc141445462"/>
      <w:r w:rsidRPr="00EE43C6">
        <w:rPr>
          <w:rFonts w:eastAsia="Calibri"/>
          <w:bCs w:val="0"/>
          <w:noProof w:val="0"/>
        </w:rPr>
        <w:t>Training</w:t>
      </w:r>
      <w:bookmarkEnd w:id="686"/>
      <w:bookmarkEnd w:id="687"/>
      <w:bookmarkEnd w:id="688"/>
      <w:bookmarkEnd w:id="689"/>
    </w:p>
    <w:p w14:paraId="795AD8B1" w14:textId="77777777" w:rsidR="00E623F6" w:rsidRPr="00EE43C6" w:rsidRDefault="00E623F6" w:rsidP="00E623F6">
      <w:pPr>
        <w:rPr>
          <w:rFonts w:cs="Wingdings"/>
          <w:szCs w:val="22"/>
        </w:rPr>
      </w:pPr>
      <w:r w:rsidRPr="00EE43C6">
        <w:rPr>
          <w:rFonts w:cs="Wingdings"/>
          <w:szCs w:val="22"/>
        </w:rPr>
        <w:t>According to LMP, project workers will receive OHS training at the beginning of their employment, as induction, and on a regular basis thereafter, to cover legislative requirement. Training will cover the relevant aspects of OHS associated with daily work, including the ability to stop work without imminent danger and respond to emergency situations. Training records will be kept on file. These records will include a description of the training, the number of hours of training provided, training attendance records, and results of evaluations.</w:t>
      </w:r>
    </w:p>
    <w:p w14:paraId="2D380792" w14:textId="2494B3A1" w:rsidR="00E623F6" w:rsidRPr="00EE43C6" w:rsidRDefault="00E623F6" w:rsidP="00E623F6">
      <w:pPr>
        <w:rPr>
          <w:rFonts w:cs="Wingdings"/>
          <w:szCs w:val="22"/>
        </w:rPr>
      </w:pPr>
      <w:r w:rsidRPr="00EE43C6">
        <w:rPr>
          <w:rFonts w:cs="Wingdings"/>
          <w:szCs w:val="22"/>
        </w:rPr>
        <w:t xml:space="preserve">In addition, the contractor will provide training to the personnel who will work during the execution of the works on the environmental and social impacts that should be considered during the field works and which are included in the ESMP document. The Contractor shall inform its personnel, subject to the supervision of the </w:t>
      </w:r>
      <w:r w:rsidR="003F22A3" w:rsidRPr="00EE43C6">
        <w:rPr>
          <w:rFonts w:cs="Wingdings"/>
          <w:szCs w:val="22"/>
        </w:rPr>
        <w:t>TUIOSB</w:t>
      </w:r>
      <w:r w:rsidRPr="00EE43C6">
        <w:rPr>
          <w:rFonts w:cs="Wingdings"/>
          <w:szCs w:val="22"/>
        </w:rPr>
        <w:t>, on the implementation of all measures to prevent and/or minimise environmental and social impacts during construction.</w:t>
      </w:r>
    </w:p>
    <w:p w14:paraId="59873CE3" w14:textId="77777777" w:rsidR="00E623F6" w:rsidRPr="00EE43C6" w:rsidRDefault="00E623F6" w:rsidP="00E623F6">
      <w:pPr>
        <w:rPr>
          <w:rFonts w:cs="Wingdings"/>
          <w:szCs w:val="22"/>
        </w:rPr>
      </w:pPr>
      <w:r w:rsidRPr="00EE43C6">
        <w:rPr>
          <w:rFonts w:cs="Wingdings"/>
          <w:szCs w:val="22"/>
        </w:rPr>
        <w:lastRenderedPageBreak/>
        <w:t>Training on code of conduct will be provided to workers. The Code of Conduct will include practices to prevent SEA/SH. It will be the contractor's responsibility to provide regular induction training to employees, including but not limited to social induction and HSE training.</w:t>
      </w:r>
    </w:p>
    <w:p w14:paraId="3437A9EE" w14:textId="77777777" w:rsidR="00E623F6" w:rsidRPr="00EE43C6" w:rsidRDefault="00E623F6" w:rsidP="00E623F6">
      <w:pPr>
        <w:rPr>
          <w:rFonts w:cs="Wingdings"/>
          <w:szCs w:val="22"/>
        </w:rPr>
      </w:pPr>
      <w:r w:rsidRPr="00EE43C6">
        <w:rPr>
          <w:rFonts w:cs="Wingdings"/>
          <w:szCs w:val="22"/>
        </w:rPr>
        <w:t>The Contractor shall ensure that site personnel are trained as a matter of priority on the work to be performed by the employee and workplace-specific risks and protection measures before actually starting work.</w:t>
      </w:r>
    </w:p>
    <w:p w14:paraId="567EE4A7" w14:textId="77777777" w:rsidR="00E623F6" w:rsidRPr="00EE43C6" w:rsidRDefault="00E623F6" w:rsidP="00E623F6">
      <w:pPr>
        <w:rPr>
          <w:rFonts w:cs="Wingdings"/>
          <w:szCs w:val="22"/>
        </w:rPr>
      </w:pPr>
      <w:r w:rsidRPr="00EE43C6">
        <w:rPr>
          <w:rFonts w:cs="Wingdings"/>
          <w:szCs w:val="22"/>
        </w:rPr>
        <w:t>In addition, training will be given separately on the risks that may arise due to situations such as workplace or job change, change of work equipment, application of new technology.</w:t>
      </w:r>
    </w:p>
    <w:p w14:paraId="5D16C8A9" w14:textId="77777777" w:rsidR="00E623F6" w:rsidRPr="00EE43C6" w:rsidRDefault="00E623F6" w:rsidP="00E623F6">
      <w:pPr>
        <w:rPr>
          <w:rFonts w:cs="Wingdings"/>
          <w:szCs w:val="22"/>
        </w:rPr>
      </w:pPr>
      <w:r w:rsidRPr="00EE43C6">
        <w:rPr>
          <w:rFonts w:cs="Wingdings"/>
          <w:szCs w:val="22"/>
        </w:rPr>
        <w:t>Trainings will be repeated at regular intervals, taking into account the changing and emerging new risks specified in the Regulation on the Procedures and Principles of Occupational Health and Safety Trainings of Employees. Information and training activities will be carried out not only for employees but also on measures to be taken for public health and safety.</w:t>
      </w:r>
    </w:p>
    <w:p w14:paraId="4E1CEE1C" w14:textId="6E99D4D3" w:rsidR="00E623F6" w:rsidRPr="00EE43C6" w:rsidRDefault="00E623F6" w:rsidP="00E623F6">
      <w:pPr>
        <w:rPr>
          <w:rFonts w:cs="Wingdings"/>
          <w:szCs w:val="22"/>
        </w:rPr>
      </w:pPr>
      <w:r w:rsidRPr="00EE43C6">
        <w:rPr>
          <w:rFonts w:cs="Wingdings"/>
          <w:szCs w:val="22"/>
        </w:rPr>
        <w:t xml:space="preserve">The contractor is required to demonstrate the knowledge, skills, behaviours, and attitudes that the site personnel should have on occupational health and safety, environmental and social issues separately and in a measurable form (CV documenting previous experience, </w:t>
      </w:r>
      <w:r w:rsidR="00DD6FB2" w:rsidRPr="00EE43C6">
        <w:rPr>
          <w:rFonts w:cs="Wingdings"/>
          <w:szCs w:val="22"/>
        </w:rPr>
        <w:t>certificates,</w:t>
      </w:r>
      <w:r w:rsidRPr="00EE43C6">
        <w:rPr>
          <w:rFonts w:cs="Wingdings"/>
          <w:szCs w:val="22"/>
        </w:rPr>
        <w:t xml:space="preserve"> and training documents, etc.).</w:t>
      </w:r>
    </w:p>
    <w:p w14:paraId="58B6B87F" w14:textId="331D868D" w:rsidR="004339AC" w:rsidRPr="00EE43C6" w:rsidRDefault="00E623F6" w:rsidP="009307A3">
      <w:pPr>
        <w:rPr>
          <w:rFonts w:cs="Wingdings"/>
          <w:szCs w:val="22"/>
        </w:rPr>
      </w:pPr>
      <w:r w:rsidRPr="00EE43C6">
        <w:rPr>
          <w:rFonts w:cs="Wingdings"/>
          <w:szCs w:val="22"/>
        </w:rPr>
        <w:t>Measurement and evaluation should be carried out at the end of the training. According to the results of the evaluation, it can be determined whether the training is effective or not and if necessary, changes can be made in the training programme or trainers, or the training can be repeated.</w:t>
      </w:r>
    </w:p>
    <w:p w14:paraId="74D0CC7B" w14:textId="2CAFAE74" w:rsidR="004339AC" w:rsidRPr="00EE43C6" w:rsidRDefault="004339AC" w:rsidP="002462AA">
      <w:pPr>
        <w:pStyle w:val="Heading2"/>
        <w:ind w:hanging="718"/>
        <w:rPr>
          <w:lang w:val="en-GB"/>
        </w:rPr>
      </w:pPr>
      <w:bookmarkStart w:id="690" w:name="_Toc80278363"/>
      <w:bookmarkStart w:id="691" w:name="_Toc120016976"/>
      <w:bookmarkStart w:id="692" w:name="_Toc120004753"/>
      <w:bookmarkStart w:id="693" w:name="_Toc141445463"/>
      <w:r w:rsidRPr="00EE43C6">
        <w:rPr>
          <w:lang w:val="en-GB"/>
        </w:rPr>
        <w:t>Community Health and Safety</w:t>
      </w:r>
      <w:bookmarkEnd w:id="690"/>
      <w:bookmarkEnd w:id="691"/>
      <w:bookmarkEnd w:id="692"/>
      <w:bookmarkEnd w:id="693"/>
      <w:r w:rsidRPr="00EE43C6">
        <w:rPr>
          <w:lang w:val="en-GB"/>
        </w:rPr>
        <w:t xml:space="preserve"> </w:t>
      </w:r>
    </w:p>
    <w:p w14:paraId="1AB198E5" w14:textId="22147E35" w:rsidR="00BA3D1F" w:rsidRPr="00EE43C6" w:rsidRDefault="00BA3D1F" w:rsidP="004714D5">
      <w:pPr>
        <w:spacing w:after="0"/>
        <w:rPr>
          <w:rFonts w:cs="Wingdings"/>
        </w:rPr>
      </w:pPr>
      <w:bookmarkStart w:id="694" w:name="_Toc80278364"/>
      <w:bookmarkStart w:id="695" w:name="_Toc80278367"/>
      <w:bookmarkEnd w:id="694"/>
      <w:r w:rsidRPr="00EE43C6">
        <w:rPr>
          <w:rFonts w:cs="Wingdings"/>
        </w:rPr>
        <w:t xml:space="preserve">Public health and safety issues are associated with risk factors that may arise from the construction and operation phases of the Project. It is anticipated that local communities may be affected by dust, </w:t>
      </w:r>
      <w:r w:rsidR="00514F33" w:rsidRPr="00EE43C6">
        <w:rPr>
          <w:rFonts w:cs="Wingdings"/>
        </w:rPr>
        <w:t>traffic,</w:t>
      </w:r>
      <w:r w:rsidRPr="00EE43C6">
        <w:rPr>
          <w:rFonts w:cs="Wingdings"/>
        </w:rPr>
        <w:t xml:space="preserve"> and noise, especially during the construction period. </w:t>
      </w:r>
      <w:r w:rsidR="003C0B20" w:rsidRPr="00EE43C6">
        <w:rPr>
          <w:rFonts w:cs="Wingdings"/>
        </w:rPr>
        <w:t xml:space="preserve">The nearest school and </w:t>
      </w:r>
      <w:r w:rsidR="00514F33" w:rsidRPr="00EE43C6">
        <w:rPr>
          <w:rFonts w:cs="Wingdings"/>
        </w:rPr>
        <w:t>mosque</w:t>
      </w:r>
      <w:r w:rsidR="003C0B20" w:rsidRPr="00EE43C6">
        <w:rPr>
          <w:rFonts w:cs="Wingdings"/>
        </w:rPr>
        <w:t xml:space="preserve"> in the </w:t>
      </w:r>
      <w:r w:rsidR="00514F33" w:rsidRPr="00EE43C6">
        <w:rPr>
          <w:rFonts w:cs="Wingdings"/>
        </w:rPr>
        <w:t>P</w:t>
      </w:r>
      <w:r w:rsidR="003C0B20" w:rsidRPr="00EE43C6">
        <w:rPr>
          <w:rFonts w:cs="Wingdings"/>
        </w:rPr>
        <w:t xml:space="preserve">roject </w:t>
      </w:r>
      <w:r w:rsidR="00840470" w:rsidRPr="00EE43C6">
        <w:rPr>
          <w:rFonts w:cs="Wingdings"/>
        </w:rPr>
        <w:t>A</w:t>
      </w:r>
      <w:r w:rsidR="003C0B20" w:rsidRPr="00EE43C6">
        <w:rPr>
          <w:rFonts w:cs="Wingdings"/>
        </w:rPr>
        <w:t>rea are shown in</w:t>
      </w:r>
      <w:r w:rsidR="001A4602">
        <w:rPr>
          <w:rFonts w:cs="Wingdings"/>
        </w:rPr>
        <w:t xml:space="preserve"> </w:t>
      </w:r>
      <w:r w:rsidR="001A4602">
        <w:rPr>
          <w:rFonts w:cs="Wingdings"/>
        </w:rPr>
        <w:fldChar w:fldCharType="begin"/>
      </w:r>
      <w:r w:rsidR="001A4602">
        <w:rPr>
          <w:rFonts w:cs="Wingdings"/>
        </w:rPr>
        <w:instrText xml:space="preserve"> REF _Ref136333844 \h  \* MERGEFORMAT </w:instrText>
      </w:r>
      <w:r w:rsidR="001A4602">
        <w:rPr>
          <w:rFonts w:cs="Wingdings"/>
        </w:rPr>
      </w:r>
      <w:r w:rsidR="001A4602">
        <w:rPr>
          <w:rFonts w:cs="Wingdings"/>
        </w:rPr>
        <w:fldChar w:fldCharType="separate"/>
      </w:r>
      <w:r w:rsidR="001A4602" w:rsidRPr="009F3445">
        <w:rPr>
          <w:rFonts w:cs="Wingdings"/>
        </w:rPr>
        <w:t>Figure 6</w:t>
      </w:r>
      <w:r w:rsidR="001A4602" w:rsidRPr="009F3445">
        <w:rPr>
          <w:rFonts w:cs="Wingdings"/>
        </w:rPr>
        <w:noBreakHyphen/>
        <w:t>3</w:t>
      </w:r>
      <w:r w:rsidR="001A4602">
        <w:rPr>
          <w:rFonts w:cs="Wingdings"/>
        </w:rPr>
        <w:fldChar w:fldCharType="end"/>
      </w:r>
      <w:r w:rsidR="00514F33" w:rsidRPr="00EE43C6">
        <w:rPr>
          <w:rFonts w:cs="Wingdings"/>
        </w:rPr>
        <w:t>.</w:t>
      </w:r>
    </w:p>
    <w:p w14:paraId="0EDB1B0C" w14:textId="64A2F463" w:rsidR="00C37BB9" w:rsidRPr="00EE43C6" w:rsidRDefault="004F3F60" w:rsidP="00840470">
      <w:pPr>
        <w:spacing w:before="0" w:after="60" w:line="240" w:lineRule="auto"/>
        <w:jc w:val="center"/>
        <w:rPr>
          <w:rFonts w:cs="Wingdings"/>
        </w:rPr>
      </w:pPr>
      <w:r w:rsidRPr="00EE43C6">
        <w:rPr>
          <w:rFonts w:cs="Wingdings"/>
          <w:noProof/>
        </w:rPr>
        <w:lastRenderedPageBreak/>
        <w:drawing>
          <wp:inline distT="0" distB="0" distL="0" distR="0" wp14:anchorId="5A8668A2" wp14:editId="122E2FA4">
            <wp:extent cx="5604193" cy="7920000"/>
            <wp:effectExtent l="38100" t="38100" r="34925" b="43180"/>
            <wp:docPr id="59" name="Resim 59"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59" descr="harita içeren bir resim&#10;&#10;Açıklama otomatik olarak oluşturuldu"/>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04193" cy="7920000"/>
                    </a:xfrm>
                    <a:prstGeom prst="rect">
                      <a:avLst/>
                    </a:prstGeom>
                    <a:ln w="38100">
                      <a:solidFill>
                        <a:sysClr val="windowText" lastClr="000000"/>
                      </a:solidFill>
                    </a:ln>
                  </pic:spPr>
                </pic:pic>
              </a:graphicData>
            </a:graphic>
          </wp:inline>
        </w:drawing>
      </w:r>
    </w:p>
    <w:p w14:paraId="78E6C7B9" w14:textId="5926AEA2" w:rsidR="00D71D89" w:rsidRPr="00EE43C6" w:rsidRDefault="00E83F58" w:rsidP="00E83F58">
      <w:pPr>
        <w:pStyle w:val="Caption"/>
        <w:rPr>
          <w:rFonts w:cs="Wingdings"/>
          <w:b w:val="0"/>
          <w:bCs w:val="0"/>
          <w:noProof w:val="0"/>
          <w:color w:val="auto"/>
          <w:szCs w:val="22"/>
        </w:rPr>
      </w:pPr>
      <w:bookmarkStart w:id="696" w:name="_Ref136333844"/>
      <w:bookmarkStart w:id="697" w:name="_Toc141445578"/>
      <w:r w:rsidRPr="00EE43C6">
        <w:rPr>
          <w:noProof w:val="0"/>
          <w:color w:val="00B050"/>
        </w:rPr>
        <w:t xml:space="preserve">Figure </w:t>
      </w:r>
      <w:r w:rsidR="0096150F">
        <w:rPr>
          <w:noProof w:val="0"/>
          <w:color w:val="00B050"/>
        </w:rPr>
        <w:fldChar w:fldCharType="begin"/>
      </w:r>
      <w:r w:rsidR="0096150F">
        <w:rPr>
          <w:noProof w:val="0"/>
          <w:color w:val="00B050"/>
        </w:rPr>
        <w:instrText xml:space="preserve"> STYLEREF 1 \s </w:instrText>
      </w:r>
      <w:r w:rsidR="0096150F">
        <w:rPr>
          <w:noProof w:val="0"/>
          <w:color w:val="00B050"/>
        </w:rPr>
        <w:fldChar w:fldCharType="separate"/>
      </w:r>
      <w:r w:rsidR="0096150F">
        <w:rPr>
          <w:color w:val="00B050"/>
        </w:rPr>
        <w:t>6</w:t>
      </w:r>
      <w:r w:rsidR="0096150F">
        <w:rPr>
          <w:noProof w:val="0"/>
          <w:color w:val="00B050"/>
        </w:rPr>
        <w:fldChar w:fldCharType="end"/>
      </w:r>
      <w:r w:rsidR="0096150F">
        <w:rPr>
          <w:noProof w:val="0"/>
          <w:color w:val="00B050"/>
        </w:rPr>
        <w:noBreakHyphen/>
      </w:r>
      <w:r w:rsidR="0096150F">
        <w:rPr>
          <w:noProof w:val="0"/>
          <w:color w:val="00B050"/>
        </w:rPr>
        <w:fldChar w:fldCharType="begin"/>
      </w:r>
      <w:r w:rsidR="0096150F">
        <w:rPr>
          <w:noProof w:val="0"/>
          <w:color w:val="00B050"/>
        </w:rPr>
        <w:instrText xml:space="preserve"> SEQ Figure \* ARABIC \s 1 </w:instrText>
      </w:r>
      <w:r w:rsidR="0096150F">
        <w:rPr>
          <w:noProof w:val="0"/>
          <w:color w:val="00B050"/>
        </w:rPr>
        <w:fldChar w:fldCharType="separate"/>
      </w:r>
      <w:r w:rsidR="0096150F">
        <w:rPr>
          <w:color w:val="00B050"/>
        </w:rPr>
        <w:t>3</w:t>
      </w:r>
      <w:r w:rsidR="0096150F">
        <w:rPr>
          <w:noProof w:val="0"/>
          <w:color w:val="00B050"/>
        </w:rPr>
        <w:fldChar w:fldCharType="end"/>
      </w:r>
      <w:bookmarkEnd w:id="696"/>
      <w:r w:rsidRPr="00EE43C6">
        <w:rPr>
          <w:noProof w:val="0"/>
          <w:color w:val="00B050"/>
        </w:rPr>
        <w:t xml:space="preserve">. </w:t>
      </w:r>
      <w:r w:rsidR="004F3F60" w:rsidRPr="00EE43C6">
        <w:rPr>
          <w:b w:val="0"/>
          <w:bCs w:val="0"/>
          <w:noProof w:val="0"/>
          <w:color w:val="auto"/>
          <w:szCs w:val="22"/>
        </w:rPr>
        <w:t xml:space="preserve">Social Facilities </w:t>
      </w:r>
      <w:r w:rsidR="00B300C6" w:rsidRPr="00EE43C6">
        <w:rPr>
          <w:b w:val="0"/>
          <w:bCs w:val="0"/>
          <w:noProof w:val="0"/>
          <w:color w:val="auto"/>
          <w:szCs w:val="22"/>
        </w:rPr>
        <w:t xml:space="preserve">Near </w:t>
      </w:r>
      <w:r w:rsidR="002D3FBD" w:rsidRPr="00EE43C6">
        <w:rPr>
          <w:b w:val="0"/>
          <w:bCs w:val="0"/>
          <w:noProof w:val="0"/>
          <w:color w:val="auto"/>
          <w:szCs w:val="22"/>
        </w:rPr>
        <w:t>the Project Area</w:t>
      </w:r>
      <w:bookmarkEnd w:id="697"/>
    </w:p>
    <w:p w14:paraId="7089B7B6" w14:textId="77777777" w:rsidR="00E961E6" w:rsidRDefault="00E961E6">
      <w:pPr>
        <w:spacing w:before="0" w:after="200" w:line="276" w:lineRule="auto"/>
        <w:jc w:val="left"/>
        <w:rPr>
          <w:rFonts w:cs="Wingdings"/>
        </w:rPr>
      </w:pPr>
      <w:r>
        <w:rPr>
          <w:rFonts w:cs="Wingdings"/>
        </w:rPr>
        <w:br w:type="page"/>
      </w:r>
    </w:p>
    <w:p w14:paraId="2A434AAE" w14:textId="10E65CFB" w:rsidR="00BA3D1F" w:rsidRPr="00EE43C6" w:rsidRDefault="00BA3D1F" w:rsidP="00BA3D1F">
      <w:pPr>
        <w:rPr>
          <w:rFonts w:cs="Wingdings"/>
        </w:rPr>
      </w:pPr>
      <w:r w:rsidRPr="00EE43C6">
        <w:rPr>
          <w:rFonts w:cs="Wingdings"/>
        </w:rPr>
        <w:lastRenderedPageBreak/>
        <w:t xml:space="preserve">In order to minimize the impact of traffic activities expected to intensify during the construction phase, working hours should be adjusted according to peak transportation hours. Relevant stakeholders will be consulted to determine a common working strategy for construction activities to be carried out on the route of areas such as schools and hospitals. Construction activities to be carried out in front of or around hospitals and/or health institutions will be planned in a way that does not prevent the public from accessing these services. Special crossings will be developed with additional measures for the elderly, pregnant women, young children and persons with disabilities. </w:t>
      </w:r>
    </w:p>
    <w:p w14:paraId="7294C59B" w14:textId="77777777" w:rsidR="00BA3D1F" w:rsidRPr="00EE43C6" w:rsidRDefault="00BA3D1F" w:rsidP="00BA3D1F">
      <w:pPr>
        <w:rPr>
          <w:rFonts w:cs="Wingdings"/>
        </w:rPr>
      </w:pPr>
      <w:r w:rsidRPr="00EE43C6">
        <w:rPr>
          <w:rFonts w:cs="Wingdings"/>
        </w:rPr>
        <w:t xml:space="preserve">In addition, during site preparation and construction activities, the contractor will ensure that health and safety measures are taken, such as timely notification of the public about construction plans and locations, use of appropriate warning signs and markings to identify construction areas, and watering during dry seasons. Failure to fully enclose construction areas and install necessary warning signs may result in accidents that threaten public health and safety. </w:t>
      </w:r>
    </w:p>
    <w:p w14:paraId="506DC7B0" w14:textId="1754ED1F" w:rsidR="00BA3D1F" w:rsidRPr="00EE43C6" w:rsidRDefault="00BA3D1F" w:rsidP="00BA3D1F">
      <w:pPr>
        <w:rPr>
          <w:rFonts w:cs="Wingdings"/>
        </w:rPr>
      </w:pPr>
      <w:r w:rsidRPr="00EE43C6">
        <w:rPr>
          <w:rFonts w:cs="Wingdings"/>
        </w:rPr>
        <w:t>During construction works, intersections will be added to existing roads and road widening works will be carried out. Damage to road surfaces due to traffic caused by heavy construction equipment will be rehabilitated by the contractor. Damages to infrastructure elements on private lands due to construction activities will be compensated by the Contractor and TUIO</w:t>
      </w:r>
      <w:r w:rsidR="00C21561" w:rsidRPr="00EE43C6">
        <w:rPr>
          <w:rFonts w:cs="Wingdings"/>
        </w:rPr>
        <w:t>SB</w:t>
      </w:r>
      <w:r w:rsidRPr="00EE43C6">
        <w:rPr>
          <w:rFonts w:cs="Wingdings"/>
        </w:rPr>
        <w:t>. Mitigation measures will be implemented by the contractor. In order to make a clear assessment, the current condition of roads and existing infrastructure can be documented (e.g. by photographs) by the contractor prior to the start of construction works.</w:t>
      </w:r>
    </w:p>
    <w:p w14:paraId="340E572A" w14:textId="464A121F" w:rsidR="0091152D" w:rsidRPr="00EE43C6" w:rsidRDefault="00BA3D1F" w:rsidP="00BA3D1F">
      <w:pPr>
        <w:rPr>
          <w:rFonts w:cs="Wingdings"/>
        </w:rPr>
      </w:pPr>
      <w:r w:rsidRPr="00EE43C6">
        <w:rPr>
          <w:rFonts w:cs="Wingdings"/>
        </w:rPr>
        <w:t>Local communities around the project area may be exposed to physical hazards related to project components during the construction phase, such as noise exposure, dust emissions, electrical hazards, traffic accidents, etc. In addition, confined spaces or fall hazards may occur due to unsupervised infrastructure. In order to protect local people around the Project from physical hazards, the Project area will be fenced</w:t>
      </w:r>
      <w:r w:rsidR="005E2A8B" w:rsidRPr="00EE43C6">
        <w:rPr>
          <w:rFonts w:cs="Wingdings"/>
        </w:rPr>
        <w:t>,</w:t>
      </w:r>
      <w:r w:rsidRPr="00EE43C6">
        <w:rPr>
          <w:rFonts w:cs="Wingdings"/>
        </w:rPr>
        <w:t xml:space="preserve"> and construction activities will be announced to local people, businesses and government agencies at least </w:t>
      </w:r>
      <w:r w:rsidR="00647F84">
        <w:rPr>
          <w:rFonts w:cs="Wingdings"/>
        </w:rPr>
        <w:t>two (</w:t>
      </w:r>
      <w:r w:rsidRPr="00EE43C6">
        <w:rPr>
          <w:rFonts w:cs="Wingdings"/>
        </w:rPr>
        <w:t>2</w:t>
      </w:r>
      <w:r w:rsidR="00647F84">
        <w:rPr>
          <w:rFonts w:cs="Wingdings"/>
        </w:rPr>
        <w:t>)</w:t>
      </w:r>
      <w:r w:rsidRPr="00EE43C6">
        <w:rPr>
          <w:rFonts w:cs="Wingdings"/>
        </w:rPr>
        <w:t xml:space="preserve"> days in advance. During the operation phase of the Project, since the Project area will be a closed area, all works such as maintenance etc. do not pose a risk.</w:t>
      </w:r>
    </w:p>
    <w:p w14:paraId="0B0E978C" w14:textId="6F2E5EFD" w:rsidR="004339AC" w:rsidRPr="00EE43C6" w:rsidRDefault="004339AC" w:rsidP="002462AA">
      <w:pPr>
        <w:pStyle w:val="Heading2"/>
        <w:ind w:left="720" w:hanging="720"/>
        <w:rPr>
          <w:lang w:val="en-GB"/>
        </w:rPr>
      </w:pPr>
      <w:bookmarkStart w:id="698" w:name="_Toc120016977"/>
      <w:bookmarkStart w:id="699" w:name="_Toc120004754"/>
      <w:bookmarkStart w:id="700" w:name="_Toc141445464"/>
      <w:r w:rsidRPr="00EE43C6">
        <w:rPr>
          <w:lang w:val="en-GB"/>
        </w:rPr>
        <w:t>Occupational Health and Safety</w:t>
      </w:r>
      <w:bookmarkEnd w:id="695"/>
      <w:bookmarkEnd w:id="698"/>
      <w:bookmarkEnd w:id="699"/>
      <w:bookmarkEnd w:id="700"/>
      <w:r w:rsidRPr="00EE43C6">
        <w:rPr>
          <w:lang w:val="en-GB"/>
        </w:rPr>
        <w:t xml:space="preserve"> </w:t>
      </w:r>
    </w:p>
    <w:p w14:paraId="49D88F54" w14:textId="6A8F9F81" w:rsidR="004339AC" w:rsidRPr="00EE43C6" w:rsidRDefault="004339AC" w:rsidP="005821C5">
      <w:pPr>
        <w:pStyle w:val="Heading3"/>
        <w:spacing w:after="240"/>
        <w:ind w:left="851" w:hanging="851"/>
        <w:rPr>
          <w:rFonts w:eastAsia="Arial TUR"/>
          <w:noProof w:val="0"/>
        </w:rPr>
      </w:pPr>
      <w:bookmarkStart w:id="701" w:name="_Toc120016978"/>
      <w:bookmarkStart w:id="702" w:name="_Toc120004755"/>
      <w:bookmarkStart w:id="703" w:name="_Toc141445465"/>
      <w:bookmarkStart w:id="704" w:name="_Toc80278368"/>
      <w:r w:rsidRPr="00EE43C6">
        <w:rPr>
          <w:rFonts w:eastAsia="Arial TUR"/>
          <w:noProof w:val="0"/>
        </w:rPr>
        <w:t>Construction and Operation Phases</w:t>
      </w:r>
      <w:bookmarkEnd w:id="701"/>
      <w:bookmarkEnd w:id="702"/>
      <w:bookmarkEnd w:id="703"/>
      <w:r w:rsidRPr="00EE43C6">
        <w:rPr>
          <w:rFonts w:eastAsia="Arial TUR"/>
          <w:noProof w:val="0"/>
        </w:rPr>
        <w:t xml:space="preserve"> </w:t>
      </w:r>
      <w:bookmarkEnd w:id="704"/>
    </w:p>
    <w:p w14:paraId="0C00B94A" w14:textId="0A1213C6" w:rsidR="00C819BE" w:rsidRPr="00EE43C6" w:rsidRDefault="00C819BE" w:rsidP="00C819BE">
      <w:pPr>
        <w:rPr>
          <w:lang w:eastAsia="en-US"/>
        </w:rPr>
      </w:pPr>
      <w:r w:rsidRPr="00EE43C6">
        <w:rPr>
          <w:lang w:eastAsia="en-US"/>
        </w:rPr>
        <w:t xml:space="preserve">The construction phase of the Project requires the use of equipment. Working in basic infrastructure </w:t>
      </w:r>
      <w:r w:rsidR="001D0DDC" w:rsidRPr="00EE43C6">
        <w:rPr>
          <w:lang w:eastAsia="en-US"/>
        </w:rPr>
        <w:t xml:space="preserve">project </w:t>
      </w:r>
      <w:r w:rsidRPr="00EE43C6">
        <w:rPr>
          <w:lang w:eastAsia="en-US"/>
        </w:rPr>
        <w:t>brings with it physically demanding conditions for workers. There are difficult working areas such as working at height, energy-containing circuits, heavy equipment, slippery walkways. During the construction works, the contractor will prepare an Emergency Preparedness and Response Plan and Occupational Health and Safety Management Plan in accordance with Turkish legislation and ILO standards:</w:t>
      </w:r>
    </w:p>
    <w:p w14:paraId="12D0F5D9" w14:textId="71765D0C"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Law on Occupational Health and Safety (No. 6331) (OG. date: 30.06.2012 and no 28339)</w:t>
      </w:r>
    </w:p>
    <w:p w14:paraId="75743A04"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lastRenderedPageBreak/>
        <w:t>Regulation on Occupational Health and Safety in Construction Works (OG. date: 05.10.2013 and no 28786)</w:t>
      </w:r>
    </w:p>
    <w:p w14:paraId="06E2AC25"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Regulation on the Use of Personal Protective Equipment in Workplaces (OG. dated 02.07.2013 and no 28695)</w:t>
      </w:r>
    </w:p>
    <w:p w14:paraId="40F2CCE6"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Regulation on the Procedures and Principles of Occupational Health and Safety Trainings of Employees (OG. date: 15.05.2013 and no 28648)</w:t>
      </w:r>
    </w:p>
    <w:p w14:paraId="3DAB7C01"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ILO Conventions including Occupational Safety and Health Convention (No. 155), Occupational Health Services Convention (No. 161), and Safety and Health in Construction Convention (No. 167)</w:t>
      </w:r>
    </w:p>
    <w:p w14:paraId="41956169" w14:textId="3634E63B" w:rsidR="00CD60B4" w:rsidRPr="00EE43C6" w:rsidRDefault="00CD60B4" w:rsidP="00854BE8">
      <w:pPr>
        <w:pStyle w:val="ListParagraph"/>
        <w:numPr>
          <w:ilvl w:val="0"/>
          <w:numId w:val="34"/>
        </w:numPr>
        <w:spacing w:before="120"/>
        <w:ind w:left="714" w:hanging="357"/>
        <w:contextualSpacing w:val="0"/>
        <w:rPr>
          <w:noProof w:val="0"/>
        </w:rPr>
      </w:pPr>
      <w:r w:rsidRPr="00EE43C6">
        <w:rPr>
          <w:noProof w:val="0"/>
        </w:rPr>
        <w:t>Regulation on Protection of Employees from Noise-Related Risks</w:t>
      </w:r>
      <w:r w:rsidR="00A71196" w:rsidRPr="00EE43C6">
        <w:rPr>
          <w:noProof w:val="0"/>
        </w:rPr>
        <w:t xml:space="preserve"> (OG. date: </w:t>
      </w:r>
      <w:r w:rsidR="000D3068" w:rsidRPr="00EE43C6">
        <w:rPr>
          <w:noProof w:val="0"/>
        </w:rPr>
        <w:t>28</w:t>
      </w:r>
      <w:r w:rsidR="00A71196" w:rsidRPr="00EE43C6">
        <w:rPr>
          <w:noProof w:val="0"/>
        </w:rPr>
        <w:t>.0</w:t>
      </w:r>
      <w:r w:rsidR="000D3068" w:rsidRPr="00EE43C6">
        <w:rPr>
          <w:noProof w:val="0"/>
        </w:rPr>
        <w:t>7</w:t>
      </w:r>
      <w:r w:rsidR="00A71196" w:rsidRPr="00EE43C6">
        <w:rPr>
          <w:noProof w:val="0"/>
        </w:rPr>
        <w:t>.2013 and no 28721)</w:t>
      </w:r>
    </w:p>
    <w:p w14:paraId="51C85BA9" w14:textId="20F00F96" w:rsidR="001835AD" w:rsidRPr="00EE43C6" w:rsidRDefault="001835AD" w:rsidP="001835AD">
      <w:pPr>
        <w:pStyle w:val="ListParagraph"/>
        <w:numPr>
          <w:ilvl w:val="0"/>
          <w:numId w:val="34"/>
        </w:numPr>
        <w:spacing w:before="120"/>
        <w:ind w:left="714" w:hanging="357"/>
        <w:contextualSpacing w:val="0"/>
        <w:rPr>
          <w:noProof w:val="0"/>
        </w:rPr>
      </w:pPr>
      <w:r w:rsidRPr="00EE43C6">
        <w:rPr>
          <w:noProof w:val="0"/>
        </w:rPr>
        <w:t xml:space="preserve">Regulation on Protection of Buildings Against Noise (OG. date: </w:t>
      </w:r>
      <w:r w:rsidR="00CF0F0D" w:rsidRPr="00EE43C6">
        <w:rPr>
          <w:noProof w:val="0"/>
        </w:rPr>
        <w:t>31</w:t>
      </w:r>
      <w:r w:rsidRPr="00EE43C6">
        <w:rPr>
          <w:noProof w:val="0"/>
        </w:rPr>
        <w:t>.0</w:t>
      </w:r>
      <w:r w:rsidR="00CF0F0D" w:rsidRPr="00EE43C6">
        <w:rPr>
          <w:noProof w:val="0"/>
        </w:rPr>
        <w:t>5</w:t>
      </w:r>
      <w:r w:rsidRPr="00EE43C6">
        <w:rPr>
          <w:noProof w:val="0"/>
        </w:rPr>
        <w:t>.201</w:t>
      </w:r>
      <w:r w:rsidR="00CF0F0D" w:rsidRPr="00EE43C6">
        <w:rPr>
          <w:noProof w:val="0"/>
        </w:rPr>
        <w:t>7</w:t>
      </w:r>
      <w:r w:rsidRPr="00EE43C6">
        <w:rPr>
          <w:noProof w:val="0"/>
        </w:rPr>
        <w:t xml:space="preserve"> and no </w:t>
      </w:r>
      <w:r w:rsidR="00CF0F0D" w:rsidRPr="00EE43C6">
        <w:rPr>
          <w:noProof w:val="0"/>
        </w:rPr>
        <w:t>30082</w:t>
      </w:r>
      <w:r w:rsidRPr="00EE43C6">
        <w:rPr>
          <w:noProof w:val="0"/>
        </w:rPr>
        <w:t>)</w:t>
      </w:r>
    </w:p>
    <w:p w14:paraId="6D09D0F7" w14:textId="1A7A42DB" w:rsidR="00385953" w:rsidRPr="00EE43C6" w:rsidRDefault="00385953" w:rsidP="00385953">
      <w:pPr>
        <w:pStyle w:val="ListParagraph"/>
        <w:numPr>
          <w:ilvl w:val="0"/>
          <w:numId w:val="34"/>
        </w:numPr>
        <w:spacing w:before="120"/>
        <w:ind w:left="714" w:hanging="357"/>
        <w:contextualSpacing w:val="0"/>
        <w:rPr>
          <w:noProof w:val="0"/>
        </w:rPr>
      </w:pPr>
      <w:r w:rsidRPr="00EE43C6">
        <w:rPr>
          <w:noProof w:val="0"/>
        </w:rPr>
        <w:t xml:space="preserve">Regulation on Protection of Employees from Vibration-Related Risks (OG. date: </w:t>
      </w:r>
      <w:r w:rsidR="00BA37D1" w:rsidRPr="00EE43C6">
        <w:rPr>
          <w:noProof w:val="0"/>
        </w:rPr>
        <w:t>22</w:t>
      </w:r>
      <w:r w:rsidRPr="00EE43C6">
        <w:rPr>
          <w:noProof w:val="0"/>
        </w:rPr>
        <w:t>.0</w:t>
      </w:r>
      <w:r w:rsidR="00BA37D1" w:rsidRPr="00EE43C6">
        <w:rPr>
          <w:noProof w:val="0"/>
        </w:rPr>
        <w:t>8</w:t>
      </w:r>
      <w:r w:rsidRPr="00EE43C6">
        <w:rPr>
          <w:noProof w:val="0"/>
        </w:rPr>
        <w:t>.201</w:t>
      </w:r>
      <w:r w:rsidR="00BA37D1" w:rsidRPr="00EE43C6">
        <w:rPr>
          <w:noProof w:val="0"/>
        </w:rPr>
        <w:t>3</w:t>
      </w:r>
      <w:r w:rsidRPr="00EE43C6">
        <w:rPr>
          <w:noProof w:val="0"/>
        </w:rPr>
        <w:t xml:space="preserve"> and no </w:t>
      </w:r>
      <w:r w:rsidR="00BA37D1" w:rsidRPr="00EE43C6">
        <w:rPr>
          <w:noProof w:val="0"/>
        </w:rPr>
        <w:t>28743</w:t>
      </w:r>
      <w:r w:rsidRPr="00EE43C6">
        <w:rPr>
          <w:noProof w:val="0"/>
        </w:rPr>
        <w:t>)</w:t>
      </w:r>
    </w:p>
    <w:p w14:paraId="71FA7AAC" w14:textId="0855D61A" w:rsidR="008949AC" w:rsidRPr="00EE43C6" w:rsidRDefault="008949AC" w:rsidP="008949AC">
      <w:pPr>
        <w:pStyle w:val="ListParagraph"/>
        <w:numPr>
          <w:ilvl w:val="0"/>
          <w:numId w:val="34"/>
        </w:numPr>
        <w:spacing w:before="120"/>
        <w:ind w:left="714" w:hanging="357"/>
        <w:contextualSpacing w:val="0"/>
        <w:rPr>
          <w:noProof w:val="0"/>
        </w:rPr>
      </w:pPr>
      <w:r w:rsidRPr="00EE43C6">
        <w:rPr>
          <w:noProof w:val="0"/>
        </w:rPr>
        <w:t>Regulation on Occupational Health and Safety Risk Assessment (OG. date: 2</w:t>
      </w:r>
      <w:r w:rsidR="00086026" w:rsidRPr="00EE43C6">
        <w:rPr>
          <w:noProof w:val="0"/>
        </w:rPr>
        <w:t>9</w:t>
      </w:r>
      <w:r w:rsidRPr="00EE43C6">
        <w:rPr>
          <w:noProof w:val="0"/>
        </w:rPr>
        <w:t>.</w:t>
      </w:r>
      <w:r w:rsidR="00086026" w:rsidRPr="00EE43C6">
        <w:rPr>
          <w:noProof w:val="0"/>
        </w:rPr>
        <w:t>12</w:t>
      </w:r>
      <w:r w:rsidRPr="00EE43C6">
        <w:rPr>
          <w:noProof w:val="0"/>
        </w:rPr>
        <w:t>.201</w:t>
      </w:r>
      <w:r w:rsidR="00086026" w:rsidRPr="00EE43C6">
        <w:rPr>
          <w:noProof w:val="0"/>
        </w:rPr>
        <w:t>2</w:t>
      </w:r>
      <w:r w:rsidRPr="00EE43C6">
        <w:rPr>
          <w:noProof w:val="0"/>
        </w:rPr>
        <w:t xml:space="preserve"> and no 28</w:t>
      </w:r>
      <w:r w:rsidR="00086026" w:rsidRPr="00EE43C6">
        <w:rPr>
          <w:noProof w:val="0"/>
        </w:rPr>
        <w:t>512</w:t>
      </w:r>
      <w:r w:rsidRPr="00EE43C6">
        <w:rPr>
          <w:noProof w:val="0"/>
        </w:rPr>
        <w:t>)</w:t>
      </w:r>
    </w:p>
    <w:p w14:paraId="3B13886F" w14:textId="3D86F5DF" w:rsidR="00F11A15" w:rsidRPr="00EE43C6" w:rsidRDefault="00F11A15" w:rsidP="00F11A15">
      <w:pPr>
        <w:pStyle w:val="ListParagraph"/>
        <w:numPr>
          <w:ilvl w:val="0"/>
          <w:numId w:val="34"/>
        </w:numPr>
        <w:spacing w:before="120"/>
        <w:ind w:left="714" w:hanging="357"/>
        <w:contextualSpacing w:val="0"/>
        <w:rPr>
          <w:noProof w:val="0"/>
        </w:rPr>
      </w:pPr>
      <w:r w:rsidRPr="00EE43C6">
        <w:rPr>
          <w:noProof w:val="0"/>
        </w:rPr>
        <w:t xml:space="preserve">Regulation on Emergencies in Workplaces (OG. date: </w:t>
      </w:r>
      <w:r w:rsidR="00B1728B" w:rsidRPr="00EE43C6">
        <w:rPr>
          <w:noProof w:val="0"/>
        </w:rPr>
        <w:t>18</w:t>
      </w:r>
      <w:r w:rsidRPr="00EE43C6">
        <w:rPr>
          <w:noProof w:val="0"/>
        </w:rPr>
        <w:t>.</w:t>
      </w:r>
      <w:r w:rsidR="00B1728B" w:rsidRPr="00EE43C6">
        <w:rPr>
          <w:noProof w:val="0"/>
        </w:rPr>
        <w:t>06</w:t>
      </w:r>
      <w:r w:rsidRPr="00EE43C6">
        <w:rPr>
          <w:noProof w:val="0"/>
        </w:rPr>
        <w:t>.201</w:t>
      </w:r>
      <w:r w:rsidR="00B1728B" w:rsidRPr="00EE43C6">
        <w:rPr>
          <w:noProof w:val="0"/>
        </w:rPr>
        <w:t>3</w:t>
      </w:r>
      <w:r w:rsidRPr="00EE43C6">
        <w:rPr>
          <w:noProof w:val="0"/>
        </w:rPr>
        <w:t xml:space="preserve"> and no 28</w:t>
      </w:r>
      <w:r w:rsidR="00B1728B" w:rsidRPr="00EE43C6">
        <w:rPr>
          <w:noProof w:val="0"/>
        </w:rPr>
        <w:t>681</w:t>
      </w:r>
      <w:r w:rsidRPr="00EE43C6">
        <w:rPr>
          <w:noProof w:val="0"/>
        </w:rPr>
        <w:t>)</w:t>
      </w:r>
    </w:p>
    <w:p w14:paraId="2EB0F682" w14:textId="54D7FF7B" w:rsidR="001835AD" w:rsidRPr="00EE43C6" w:rsidRDefault="00CA69D5" w:rsidP="00854BE8">
      <w:pPr>
        <w:pStyle w:val="ListParagraph"/>
        <w:numPr>
          <w:ilvl w:val="0"/>
          <w:numId w:val="34"/>
        </w:numPr>
        <w:spacing w:before="120"/>
        <w:ind w:left="714" w:hanging="357"/>
        <w:contextualSpacing w:val="0"/>
        <w:rPr>
          <w:noProof w:val="0"/>
        </w:rPr>
      </w:pPr>
      <w:r w:rsidRPr="00EE43C6">
        <w:rPr>
          <w:noProof w:val="0"/>
        </w:rPr>
        <w:t xml:space="preserve">Regulation on Disaster and Emergency Response Services (OG. date: </w:t>
      </w:r>
      <w:r w:rsidR="008A3846" w:rsidRPr="00EE43C6">
        <w:rPr>
          <w:noProof w:val="0"/>
        </w:rPr>
        <w:t>24</w:t>
      </w:r>
      <w:r w:rsidRPr="00EE43C6">
        <w:rPr>
          <w:noProof w:val="0"/>
        </w:rPr>
        <w:t>.0</w:t>
      </w:r>
      <w:r w:rsidR="008A3846" w:rsidRPr="00EE43C6">
        <w:rPr>
          <w:noProof w:val="0"/>
        </w:rPr>
        <w:t>2</w:t>
      </w:r>
      <w:r w:rsidRPr="00EE43C6">
        <w:rPr>
          <w:noProof w:val="0"/>
        </w:rPr>
        <w:t>.20</w:t>
      </w:r>
      <w:r w:rsidR="008A3846" w:rsidRPr="00EE43C6">
        <w:rPr>
          <w:noProof w:val="0"/>
        </w:rPr>
        <w:t>22</w:t>
      </w:r>
      <w:r w:rsidRPr="00EE43C6">
        <w:rPr>
          <w:noProof w:val="0"/>
        </w:rPr>
        <w:t xml:space="preserve"> and no </w:t>
      </w:r>
      <w:r w:rsidR="008A3846" w:rsidRPr="00EE43C6">
        <w:rPr>
          <w:noProof w:val="0"/>
        </w:rPr>
        <w:t>31760</w:t>
      </w:r>
      <w:r w:rsidRPr="00EE43C6">
        <w:rPr>
          <w:noProof w:val="0"/>
        </w:rPr>
        <w:t>)</w:t>
      </w:r>
    </w:p>
    <w:p w14:paraId="0BB07226" w14:textId="60DC20AD" w:rsidR="005C77EE" w:rsidRPr="00EE43C6" w:rsidRDefault="00BB2BE9" w:rsidP="005C77EE">
      <w:pPr>
        <w:pStyle w:val="ListParagraph"/>
        <w:numPr>
          <w:ilvl w:val="0"/>
          <w:numId w:val="34"/>
        </w:numPr>
        <w:spacing w:before="120"/>
        <w:ind w:left="714" w:hanging="357"/>
        <w:contextualSpacing w:val="0"/>
        <w:rPr>
          <w:noProof w:val="0"/>
        </w:rPr>
      </w:pPr>
      <w:r w:rsidRPr="00EE43C6">
        <w:rPr>
          <w:noProof w:val="0"/>
        </w:rPr>
        <w:t xml:space="preserve">Regulation on </w:t>
      </w:r>
      <w:r w:rsidR="005C77EE" w:rsidRPr="00EE43C6">
        <w:rPr>
          <w:noProof w:val="0"/>
        </w:rPr>
        <w:t xml:space="preserve">Fight Against Dust (OG. date: </w:t>
      </w:r>
      <w:r w:rsidR="0087287A" w:rsidRPr="00EE43C6">
        <w:rPr>
          <w:noProof w:val="0"/>
        </w:rPr>
        <w:t>05</w:t>
      </w:r>
      <w:r w:rsidR="005C77EE" w:rsidRPr="00EE43C6">
        <w:rPr>
          <w:noProof w:val="0"/>
        </w:rPr>
        <w:t>.</w:t>
      </w:r>
      <w:r w:rsidR="0087287A" w:rsidRPr="00EE43C6">
        <w:rPr>
          <w:noProof w:val="0"/>
        </w:rPr>
        <w:t>11</w:t>
      </w:r>
      <w:r w:rsidR="005C77EE" w:rsidRPr="00EE43C6">
        <w:rPr>
          <w:noProof w:val="0"/>
        </w:rPr>
        <w:t>.20</w:t>
      </w:r>
      <w:r w:rsidR="0087287A" w:rsidRPr="00EE43C6">
        <w:rPr>
          <w:noProof w:val="0"/>
        </w:rPr>
        <w:t>13</w:t>
      </w:r>
      <w:r w:rsidR="005C77EE" w:rsidRPr="00EE43C6">
        <w:rPr>
          <w:noProof w:val="0"/>
        </w:rPr>
        <w:t xml:space="preserve"> and no </w:t>
      </w:r>
      <w:r w:rsidR="0087287A" w:rsidRPr="00EE43C6">
        <w:rPr>
          <w:noProof w:val="0"/>
        </w:rPr>
        <w:t>28812</w:t>
      </w:r>
      <w:r w:rsidR="005C77EE" w:rsidRPr="00EE43C6">
        <w:rPr>
          <w:noProof w:val="0"/>
        </w:rPr>
        <w:t>)</w:t>
      </w:r>
    </w:p>
    <w:p w14:paraId="4A0A676D" w14:textId="3972B7E0" w:rsidR="00BB2BE9" w:rsidRPr="00EE43C6" w:rsidRDefault="00C95270" w:rsidP="00854BE8">
      <w:pPr>
        <w:pStyle w:val="ListParagraph"/>
        <w:numPr>
          <w:ilvl w:val="0"/>
          <w:numId w:val="34"/>
        </w:numPr>
        <w:spacing w:before="120"/>
        <w:ind w:left="714" w:hanging="357"/>
        <w:contextualSpacing w:val="0"/>
        <w:rPr>
          <w:noProof w:val="0"/>
        </w:rPr>
      </w:pPr>
      <w:r w:rsidRPr="00EE43C6">
        <w:rPr>
          <w:noProof w:val="0"/>
        </w:rPr>
        <w:t>Regulation on Health and Safety Measures in Working with Chemical</w:t>
      </w:r>
      <w:r w:rsidR="008C54D4" w:rsidRPr="00EE43C6">
        <w:rPr>
          <w:noProof w:val="0"/>
        </w:rPr>
        <w:t>s</w:t>
      </w:r>
      <w:r w:rsidRPr="00EE43C6">
        <w:rPr>
          <w:noProof w:val="0"/>
        </w:rPr>
        <w:t xml:space="preserve"> (OG. date: </w:t>
      </w:r>
      <w:r w:rsidR="008C54D4" w:rsidRPr="00EE43C6">
        <w:rPr>
          <w:noProof w:val="0"/>
        </w:rPr>
        <w:t>12</w:t>
      </w:r>
      <w:r w:rsidRPr="00EE43C6">
        <w:rPr>
          <w:noProof w:val="0"/>
        </w:rPr>
        <w:t>.</w:t>
      </w:r>
      <w:r w:rsidR="008C54D4" w:rsidRPr="00EE43C6">
        <w:rPr>
          <w:noProof w:val="0"/>
        </w:rPr>
        <w:t>08</w:t>
      </w:r>
      <w:r w:rsidRPr="00EE43C6">
        <w:rPr>
          <w:noProof w:val="0"/>
        </w:rPr>
        <w:t>.2013 and no 28</w:t>
      </w:r>
      <w:r w:rsidR="008C54D4" w:rsidRPr="00EE43C6">
        <w:rPr>
          <w:noProof w:val="0"/>
        </w:rPr>
        <w:t>733</w:t>
      </w:r>
      <w:r w:rsidRPr="00EE43C6">
        <w:rPr>
          <w:noProof w:val="0"/>
        </w:rPr>
        <w:t>)</w:t>
      </w:r>
    </w:p>
    <w:p w14:paraId="619119B7" w14:textId="062F6E9C" w:rsidR="00C71465" w:rsidRPr="00EE43C6" w:rsidRDefault="00C71465" w:rsidP="00C71465">
      <w:pPr>
        <w:pStyle w:val="ListParagraph"/>
        <w:numPr>
          <w:ilvl w:val="0"/>
          <w:numId w:val="34"/>
        </w:numPr>
        <w:spacing w:before="120"/>
        <w:ind w:left="714" w:hanging="357"/>
        <w:contextualSpacing w:val="0"/>
        <w:rPr>
          <w:noProof w:val="0"/>
        </w:rPr>
      </w:pPr>
      <w:r w:rsidRPr="00EE43C6">
        <w:rPr>
          <w:noProof w:val="0"/>
        </w:rPr>
        <w:t xml:space="preserve">Regulation on Health and Safety Measures in Working with Asbestos (OG. date: </w:t>
      </w:r>
      <w:r w:rsidR="00E17B47" w:rsidRPr="00EE43C6">
        <w:rPr>
          <w:noProof w:val="0"/>
        </w:rPr>
        <w:t>25</w:t>
      </w:r>
      <w:r w:rsidRPr="00EE43C6">
        <w:rPr>
          <w:noProof w:val="0"/>
        </w:rPr>
        <w:t>.0</w:t>
      </w:r>
      <w:r w:rsidR="00E17B47" w:rsidRPr="00EE43C6">
        <w:rPr>
          <w:noProof w:val="0"/>
        </w:rPr>
        <w:t>1</w:t>
      </w:r>
      <w:r w:rsidRPr="00EE43C6">
        <w:rPr>
          <w:noProof w:val="0"/>
        </w:rPr>
        <w:t>.2013 and no 28</w:t>
      </w:r>
      <w:r w:rsidR="00E17B47" w:rsidRPr="00EE43C6">
        <w:rPr>
          <w:noProof w:val="0"/>
        </w:rPr>
        <w:t>539</w:t>
      </w:r>
      <w:r w:rsidRPr="00EE43C6">
        <w:rPr>
          <w:noProof w:val="0"/>
        </w:rPr>
        <w:t>)</w:t>
      </w:r>
    </w:p>
    <w:p w14:paraId="7B22945D" w14:textId="20D9CD80" w:rsidR="00FA3CE6" w:rsidRPr="00EE43C6" w:rsidRDefault="00FA3CE6" w:rsidP="00FA3CE6">
      <w:pPr>
        <w:pStyle w:val="ListParagraph"/>
        <w:numPr>
          <w:ilvl w:val="0"/>
          <w:numId w:val="34"/>
        </w:numPr>
        <w:spacing w:before="120"/>
        <w:ind w:left="714" w:hanging="357"/>
        <w:contextualSpacing w:val="0"/>
        <w:rPr>
          <w:noProof w:val="0"/>
        </w:rPr>
      </w:pPr>
      <w:r w:rsidRPr="00EE43C6">
        <w:rPr>
          <w:noProof w:val="0"/>
        </w:rPr>
        <w:t xml:space="preserve">Regulation on Protection of Employees from the Hazards of Explosive Environments (OG. date: </w:t>
      </w:r>
      <w:r w:rsidR="000D7457" w:rsidRPr="00EE43C6">
        <w:rPr>
          <w:noProof w:val="0"/>
        </w:rPr>
        <w:t>30</w:t>
      </w:r>
      <w:r w:rsidRPr="00EE43C6">
        <w:rPr>
          <w:noProof w:val="0"/>
        </w:rPr>
        <w:t>.0</w:t>
      </w:r>
      <w:r w:rsidR="000D7457" w:rsidRPr="00EE43C6">
        <w:rPr>
          <w:noProof w:val="0"/>
        </w:rPr>
        <w:t>4</w:t>
      </w:r>
      <w:r w:rsidRPr="00EE43C6">
        <w:rPr>
          <w:noProof w:val="0"/>
        </w:rPr>
        <w:t>.2013 and no 28</w:t>
      </w:r>
      <w:r w:rsidR="000D7457" w:rsidRPr="00EE43C6">
        <w:rPr>
          <w:noProof w:val="0"/>
        </w:rPr>
        <w:t>633</w:t>
      </w:r>
      <w:r w:rsidRPr="00EE43C6">
        <w:rPr>
          <w:noProof w:val="0"/>
        </w:rPr>
        <w:t>)</w:t>
      </w:r>
    </w:p>
    <w:p w14:paraId="4F328FC9" w14:textId="3A0F8D97" w:rsidR="002355EB" w:rsidRPr="00EE43C6" w:rsidRDefault="002355EB" w:rsidP="00FA3CE6">
      <w:pPr>
        <w:pStyle w:val="ListParagraph"/>
        <w:numPr>
          <w:ilvl w:val="0"/>
          <w:numId w:val="34"/>
        </w:numPr>
        <w:spacing w:before="120"/>
        <w:ind w:left="714" w:hanging="357"/>
        <w:contextualSpacing w:val="0"/>
        <w:rPr>
          <w:noProof w:val="0"/>
        </w:rPr>
      </w:pPr>
      <w:r w:rsidRPr="00EE43C6">
        <w:rPr>
          <w:noProof w:val="0"/>
        </w:rPr>
        <w:t xml:space="preserve">Regulation on General Lighting (OG. date: </w:t>
      </w:r>
      <w:r w:rsidR="000C3160" w:rsidRPr="00EE43C6">
        <w:rPr>
          <w:noProof w:val="0"/>
        </w:rPr>
        <w:t>27</w:t>
      </w:r>
      <w:r w:rsidRPr="00EE43C6">
        <w:rPr>
          <w:noProof w:val="0"/>
        </w:rPr>
        <w:t>.0</w:t>
      </w:r>
      <w:r w:rsidR="000C3160" w:rsidRPr="00EE43C6">
        <w:rPr>
          <w:noProof w:val="0"/>
        </w:rPr>
        <w:t>7</w:t>
      </w:r>
      <w:r w:rsidRPr="00EE43C6">
        <w:rPr>
          <w:noProof w:val="0"/>
        </w:rPr>
        <w:t>.2013 and no 28</w:t>
      </w:r>
      <w:r w:rsidR="000C3160" w:rsidRPr="00EE43C6">
        <w:rPr>
          <w:noProof w:val="0"/>
        </w:rPr>
        <w:t>720</w:t>
      </w:r>
      <w:r w:rsidRPr="00EE43C6">
        <w:rPr>
          <w:noProof w:val="0"/>
        </w:rPr>
        <w:t>)</w:t>
      </w:r>
    </w:p>
    <w:p w14:paraId="4B806E9E" w14:textId="291C3B60" w:rsidR="006A0716" w:rsidRPr="00EE43C6" w:rsidRDefault="00D12895" w:rsidP="00854BE8">
      <w:pPr>
        <w:pStyle w:val="ListParagraph"/>
        <w:numPr>
          <w:ilvl w:val="0"/>
          <w:numId w:val="34"/>
        </w:numPr>
        <w:spacing w:before="120"/>
        <w:ind w:left="714" w:hanging="357"/>
        <w:contextualSpacing w:val="0"/>
        <w:rPr>
          <w:noProof w:val="0"/>
        </w:rPr>
      </w:pPr>
      <w:r w:rsidRPr="00EE43C6">
        <w:rPr>
          <w:noProof w:val="0"/>
        </w:rPr>
        <w:t xml:space="preserve">Regulation on Electrical Installers (OG. date: </w:t>
      </w:r>
      <w:r w:rsidR="00580695" w:rsidRPr="00EE43C6">
        <w:rPr>
          <w:noProof w:val="0"/>
        </w:rPr>
        <w:t>08</w:t>
      </w:r>
      <w:r w:rsidRPr="00EE43C6">
        <w:rPr>
          <w:noProof w:val="0"/>
        </w:rPr>
        <w:t>.0</w:t>
      </w:r>
      <w:r w:rsidR="00580695" w:rsidRPr="00EE43C6">
        <w:rPr>
          <w:noProof w:val="0"/>
        </w:rPr>
        <w:t>8</w:t>
      </w:r>
      <w:r w:rsidRPr="00EE43C6">
        <w:rPr>
          <w:noProof w:val="0"/>
        </w:rPr>
        <w:t>.</w:t>
      </w:r>
      <w:r w:rsidR="00580695" w:rsidRPr="00EE43C6">
        <w:rPr>
          <w:noProof w:val="0"/>
        </w:rPr>
        <w:t>1</w:t>
      </w:r>
      <w:r w:rsidR="00FE3501" w:rsidRPr="00EE43C6">
        <w:rPr>
          <w:noProof w:val="0"/>
        </w:rPr>
        <w:t>98</w:t>
      </w:r>
      <w:r w:rsidRPr="00EE43C6">
        <w:rPr>
          <w:noProof w:val="0"/>
        </w:rPr>
        <w:t xml:space="preserve">3 and no </w:t>
      </w:r>
      <w:r w:rsidR="00580695" w:rsidRPr="00EE43C6">
        <w:rPr>
          <w:noProof w:val="0"/>
        </w:rPr>
        <w:t>18129</w:t>
      </w:r>
      <w:r w:rsidRPr="00EE43C6">
        <w:rPr>
          <w:noProof w:val="0"/>
        </w:rPr>
        <w:t>)</w:t>
      </w:r>
    </w:p>
    <w:p w14:paraId="203E9938" w14:textId="5528A33B" w:rsidR="00FE3501" w:rsidRPr="00EE43C6" w:rsidRDefault="005501B5" w:rsidP="00854BE8">
      <w:pPr>
        <w:pStyle w:val="ListParagraph"/>
        <w:numPr>
          <w:ilvl w:val="0"/>
          <w:numId w:val="34"/>
        </w:numPr>
        <w:spacing w:before="120"/>
        <w:ind w:left="714" w:hanging="357"/>
        <w:contextualSpacing w:val="0"/>
        <w:rPr>
          <w:noProof w:val="0"/>
        </w:rPr>
      </w:pPr>
      <w:r w:rsidRPr="00EE43C6">
        <w:rPr>
          <w:noProof w:val="0"/>
        </w:rPr>
        <w:t xml:space="preserve">Regulation on Health and Safety Measures in Working with Displayed Tools (OG. date: </w:t>
      </w:r>
      <w:r w:rsidR="006E375A" w:rsidRPr="00EE43C6">
        <w:rPr>
          <w:noProof w:val="0"/>
        </w:rPr>
        <w:t>16</w:t>
      </w:r>
      <w:r w:rsidRPr="00EE43C6">
        <w:rPr>
          <w:noProof w:val="0"/>
        </w:rPr>
        <w:t>.0</w:t>
      </w:r>
      <w:r w:rsidR="006E375A" w:rsidRPr="00EE43C6">
        <w:rPr>
          <w:noProof w:val="0"/>
        </w:rPr>
        <w:t>4</w:t>
      </w:r>
      <w:r w:rsidRPr="00EE43C6">
        <w:rPr>
          <w:noProof w:val="0"/>
        </w:rPr>
        <w:t>.</w:t>
      </w:r>
      <w:r w:rsidR="007B376A" w:rsidRPr="00EE43C6">
        <w:rPr>
          <w:noProof w:val="0"/>
        </w:rPr>
        <w:t>201</w:t>
      </w:r>
      <w:r w:rsidRPr="00EE43C6">
        <w:rPr>
          <w:noProof w:val="0"/>
        </w:rPr>
        <w:t xml:space="preserve">3 and no </w:t>
      </w:r>
      <w:r w:rsidR="007E37B0" w:rsidRPr="00EE43C6">
        <w:rPr>
          <w:noProof w:val="0"/>
        </w:rPr>
        <w:t>28620</w:t>
      </w:r>
      <w:r w:rsidRPr="00EE43C6">
        <w:rPr>
          <w:noProof w:val="0"/>
        </w:rPr>
        <w:t>)</w:t>
      </w:r>
    </w:p>
    <w:p w14:paraId="6F4299C7" w14:textId="169B3D30" w:rsidR="00D335A5" w:rsidRPr="00EE43C6" w:rsidRDefault="00D335A5" w:rsidP="00D335A5">
      <w:pPr>
        <w:pStyle w:val="ListParagraph"/>
        <w:numPr>
          <w:ilvl w:val="0"/>
          <w:numId w:val="34"/>
        </w:numPr>
        <w:spacing w:before="120"/>
        <w:ind w:left="714" w:hanging="357"/>
        <w:contextualSpacing w:val="0"/>
        <w:rPr>
          <w:noProof w:val="0"/>
        </w:rPr>
      </w:pPr>
      <w:r w:rsidRPr="00EE43C6">
        <w:rPr>
          <w:noProof w:val="0"/>
        </w:rPr>
        <w:t>Regulation on Grounding</w:t>
      </w:r>
      <w:r w:rsidR="0021348C" w:rsidRPr="00EE43C6">
        <w:rPr>
          <w:noProof w:val="0"/>
        </w:rPr>
        <w:t>s</w:t>
      </w:r>
      <w:r w:rsidRPr="00EE43C6">
        <w:rPr>
          <w:noProof w:val="0"/>
        </w:rPr>
        <w:t xml:space="preserve"> in Electrical Facilities (OG. date: </w:t>
      </w:r>
      <w:r w:rsidR="000E4B9F" w:rsidRPr="00EE43C6">
        <w:rPr>
          <w:noProof w:val="0"/>
        </w:rPr>
        <w:t>21</w:t>
      </w:r>
      <w:r w:rsidRPr="00EE43C6">
        <w:rPr>
          <w:noProof w:val="0"/>
        </w:rPr>
        <w:t>.0</w:t>
      </w:r>
      <w:r w:rsidR="000E4B9F" w:rsidRPr="00EE43C6">
        <w:rPr>
          <w:noProof w:val="0"/>
        </w:rPr>
        <w:t>8</w:t>
      </w:r>
      <w:r w:rsidRPr="00EE43C6">
        <w:rPr>
          <w:noProof w:val="0"/>
        </w:rPr>
        <w:t>.20</w:t>
      </w:r>
      <w:r w:rsidR="000E4B9F" w:rsidRPr="00EE43C6">
        <w:rPr>
          <w:noProof w:val="0"/>
        </w:rPr>
        <w:t>01</w:t>
      </w:r>
      <w:r w:rsidRPr="00EE43C6">
        <w:rPr>
          <w:noProof w:val="0"/>
        </w:rPr>
        <w:t xml:space="preserve"> and no </w:t>
      </w:r>
      <w:r w:rsidR="000E4B9F" w:rsidRPr="00EE43C6">
        <w:rPr>
          <w:noProof w:val="0"/>
        </w:rPr>
        <w:t>24500</w:t>
      </w:r>
      <w:r w:rsidRPr="00EE43C6">
        <w:rPr>
          <w:noProof w:val="0"/>
        </w:rPr>
        <w:t>)</w:t>
      </w:r>
    </w:p>
    <w:p w14:paraId="504E9FC5" w14:textId="06B272C1" w:rsidR="005A3C1C" w:rsidRPr="00EE43C6" w:rsidRDefault="005A3C1C" w:rsidP="005A3C1C">
      <w:pPr>
        <w:pStyle w:val="ListParagraph"/>
        <w:numPr>
          <w:ilvl w:val="0"/>
          <w:numId w:val="34"/>
        </w:numPr>
        <w:spacing w:before="120"/>
        <w:ind w:left="714" w:hanging="357"/>
        <w:contextualSpacing w:val="0"/>
        <w:rPr>
          <w:noProof w:val="0"/>
        </w:rPr>
      </w:pPr>
      <w:r w:rsidRPr="00EE43C6">
        <w:rPr>
          <w:noProof w:val="0"/>
        </w:rPr>
        <w:t xml:space="preserve">Regulation on Equipment and Protective Systems Used in Possible Explosive Environment (2014/34/EU) (OG. date: </w:t>
      </w:r>
      <w:r w:rsidR="00F01425" w:rsidRPr="00EE43C6">
        <w:rPr>
          <w:noProof w:val="0"/>
        </w:rPr>
        <w:t>30</w:t>
      </w:r>
      <w:r w:rsidRPr="00EE43C6">
        <w:rPr>
          <w:noProof w:val="0"/>
        </w:rPr>
        <w:t>.0</w:t>
      </w:r>
      <w:r w:rsidR="00F01425" w:rsidRPr="00EE43C6">
        <w:rPr>
          <w:noProof w:val="0"/>
        </w:rPr>
        <w:t>6</w:t>
      </w:r>
      <w:r w:rsidRPr="00EE43C6">
        <w:rPr>
          <w:noProof w:val="0"/>
        </w:rPr>
        <w:t>.20</w:t>
      </w:r>
      <w:r w:rsidR="00F01425" w:rsidRPr="00EE43C6">
        <w:rPr>
          <w:noProof w:val="0"/>
        </w:rPr>
        <w:t>16</w:t>
      </w:r>
      <w:r w:rsidRPr="00EE43C6">
        <w:rPr>
          <w:noProof w:val="0"/>
        </w:rPr>
        <w:t xml:space="preserve"> and no </w:t>
      </w:r>
      <w:r w:rsidR="00F01425" w:rsidRPr="00EE43C6">
        <w:rPr>
          <w:noProof w:val="0"/>
        </w:rPr>
        <w:t>29758</w:t>
      </w:r>
      <w:r w:rsidRPr="00EE43C6">
        <w:rPr>
          <w:noProof w:val="0"/>
        </w:rPr>
        <w:t>)</w:t>
      </w:r>
    </w:p>
    <w:p w14:paraId="5089D3B1" w14:textId="50D910B3" w:rsidR="005A3C1C" w:rsidRPr="00EE43C6" w:rsidRDefault="006651A8" w:rsidP="005A3C1C">
      <w:pPr>
        <w:pStyle w:val="ListParagraph"/>
        <w:numPr>
          <w:ilvl w:val="0"/>
          <w:numId w:val="34"/>
        </w:numPr>
        <w:spacing w:before="120"/>
        <w:ind w:left="714" w:hanging="357"/>
        <w:contextualSpacing w:val="0"/>
        <w:rPr>
          <w:noProof w:val="0"/>
        </w:rPr>
      </w:pPr>
      <w:r w:rsidRPr="00EE43C6">
        <w:rPr>
          <w:noProof w:val="0"/>
        </w:rPr>
        <w:t xml:space="preserve">Regulation on Machinery Protectors (OG. date: </w:t>
      </w:r>
      <w:r w:rsidR="003468EE" w:rsidRPr="00EE43C6">
        <w:rPr>
          <w:noProof w:val="0"/>
        </w:rPr>
        <w:t>17</w:t>
      </w:r>
      <w:r w:rsidRPr="00EE43C6">
        <w:rPr>
          <w:noProof w:val="0"/>
        </w:rPr>
        <w:t>.0</w:t>
      </w:r>
      <w:r w:rsidR="003468EE" w:rsidRPr="00EE43C6">
        <w:rPr>
          <w:noProof w:val="0"/>
        </w:rPr>
        <w:t>5</w:t>
      </w:r>
      <w:r w:rsidRPr="00EE43C6">
        <w:rPr>
          <w:noProof w:val="0"/>
        </w:rPr>
        <w:t>.</w:t>
      </w:r>
      <w:r w:rsidR="003468EE" w:rsidRPr="00EE43C6">
        <w:rPr>
          <w:noProof w:val="0"/>
        </w:rPr>
        <w:t>1983</w:t>
      </w:r>
      <w:r w:rsidRPr="00EE43C6">
        <w:rPr>
          <w:noProof w:val="0"/>
        </w:rPr>
        <w:t xml:space="preserve"> and no </w:t>
      </w:r>
      <w:r w:rsidR="003468EE" w:rsidRPr="00EE43C6">
        <w:rPr>
          <w:noProof w:val="0"/>
        </w:rPr>
        <w:t>18050</w:t>
      </w:r>
      <w:r w:rsidRPr="00EE43C6">
        <w:rPr>
          <w:noProof w:val="0"/>
        </w:rPr>
        <w:t>)</w:t>
      </w:r>
    </w:p>
    <w:p w14:paraId="467F20A4" w14:textId="7715643B" w:rsidR="00B241CD" w:rsidRPr="00EE43C6" w:rsidRDefault="00B241CD" w:rsidP="005A3C1C">
      <w:pPr>
        <w:pStyle w:val="ListParagraph"/>
        <w:numPr>
          <w:ilvl w:val="0"/>
          <w:numId w:val="34"/>
        </w:numPr>
        <w:spacing w:before="120"/>
        <w:ind w:left="714" w:hanging="357"/>
        <w:contextualSpacing w:val="0"/>
        <w:rPr>
          <w:noProof w:val="0"/>
        </w:rPr>
      </w:pPr>
      <w:r w:rsidRPr="00EE43C6">
        <w:rPr>
          <w:noProof w:val="0"/>
        </w:rPr>
        <w:lastRenderedPageBreak/>
        <w:t xml:space="preserve">Regulation on Machinery Safety (2006/42/EC) (OG. date: </w:t>
      </w:r>
      <w:r w:rsidR="00726752" w:rsidRPr="00EE43C6">
        <w:rPr>
          <w:noProof w:val="0"/>
        </w:rPr>
        <w:t>03</w:t>
      </w:r>
      <w:r w:rsidRPr="00EE43C6">
        <w:rPr>
          <w:noProof w:val="0"/>
        </w:rPr>
        <w:t>.0</w:t>
      </w:r>
      <w:r w:rsidR="00726752" w:rsidRPr="00EE43C6">
        <w:rPr>
          <w:noProof w:val="0"/>
        </w:rPr>
        <w:t>3</w:t>
      </w:r>
      <w:r w:rsidRPr="00EE43C6">
        <w:rPr>
          <w:noProof w:val="0"/>
        </w:rPr>
        <w:t>.200</w:t>
      </w:r>
      <w:r w:rsidR="00726752" w:rsidRPr="00EE43C6">
        <w:rPr>
          <w:noProof w:val="0"/>
        </w:rPr>
        <w:t>9</w:t>
      </w:r>
      <w:r w:rsidRPr="00EE43C6">
        <w:rPr>
          <w:noProof w:val="0"/>
        </w:rPr>
        <w:t xml:space="preserve"> and no 2</w:t>
      </w:r>
      <w:r w:rsidR="00C375D9" w:rsidRPr="00EE43C6">
        <w:rPr>
          <w:noProof w:val="0"/>
        </w:rPr>
        <w:t>7158</w:t>
      </w:r>
      <w:r w:rsidRPr="00EE43C6">
        <w:rPr>
          <w:noProof w:val="0"/>
        </w:rPr>
        <w:t>)</w:t>
      </w:r>
    </w:p>
    <w:p w14:paraId="5AAD3961" w14:textId="5664BD0B" w:rsidR="00B3746D" w:rsidRPr="00EE43C6" w:rsidRDefault="00B3746D" w:rsidP="005A3C1C">
      <w:pPr>
        <w:pStyle w:val="ListParagraph"/>
        <w:numPr>
          <w:ilvl w:val="0"/>
          <w:numId w:val="34"/>
        </w:numPr>
        <w:spacing w:before="120"/>
        <w:ind w:left="714" w:hanging="357"/>
        <w:contextualSpacing w:val="0"/>
        <w:rPr>
          <w:noProof w:val="0"/>
        </w:rPr>
      </w:pPr>
      <w:r w:rsidRPr="00EE43C6">
        <w:rPr>
          <w:noProof w:val="0"/>
        </w:rPr>
        <w:t>Regulation on Health and Safety for the Use of Work Equipment</w:t>
      </w:r>
      <w:r w:rsidR="002A1B67" w:rsidRPr="00EE43C6">
        <w:rPr>
          <w:noProof w:val="0"/>
        </w:rPr>
        <w:t xml:space="preserve"> (OG. date: </w:t>
      </w:r>
      <w:r w:rsidR="00574B8B" w:rsidRPr="00EE43C6">
        <w:rPr>
          <w:noProof w:val="0"/>
        </w:rPr>
        <w:t>25</w:t>
      </w:r>
      <w:r w:rsidR="002A1B67" w:rsidRPr="00EE43C6">
        <w:rPr>
          <w:noProof w:val="0"/>
        </w:rPr>
        <w:t>.0</w:t>
      </w:r>
      <w:r w:rsidR="00574B8B" w:rsidRPr="00EE43C6">
        <w:rPr>
          <w:noProof w:val="0"/>
        </w:rPr>
        <w:t>4</w:t>
      </w:r>
      <w:r w:rsidR="002A1B67" w:rsidRPr="00EE43C6">
        <w:rPr>
          <w:noProof w:val="0"/>
        </w:rPr>
        <w:t>.20</w:t>
      </w:r>
      <w:r w:rsidR="00574B8B" w:rsidRPr="00EE43C6">
        <w:rPr>
          <w:noProof w:val="0"/>
        </w:rPr>
        <w:t>13</w:t>
      </w:r>
      <w:r w:rsidR="002A1B67" w:rsidRPr="00EE43C6">
        <w:rPr>
          <w:noProof w:val="0"/>
        </w:rPr>
        <w:t xml:space="preserve"> and no 28628)</w:t>
      </w:r>
    </w:p>
    <w:p w14:paraId="7200142F" w14:textId="5F813353" w:rsidR="00726752" w:rsidRPr="00EE43C6" w:rsidRDefault="0000625F" w:rsidP="005A3C1C">
      <w:pPr>
        <w:pStyle w:val="ListParagraph"/>
        <w:numPr>
          <w:ilvl w:val="0"/>
          <w:numId w:val="34"/>
        </w:numPr>
        <w:spacing w:before="120"/>
        <w:ind w:left="714" w:hanging="357"/>
        <w:contextualSpacing w:val="0"/>
        <w:rPr>
          <w:noProof w:val="0"/>
        </w:rPr>
      </w:pPr>
      <w:r w:rsidRPr="00EE43C6">
        <w:rPr>
          <w:noProof w:val="0"/>
        </w:rPr>
        <w:t xml:space="preserve">Regulation on Health and Safety Measures to be taken in Workplace Buildings and Extensions (OG. date: </w:t>
      </w:r>
      <w:r w:rsidR="00742476" w:rsidRPr="00EE43C6">
        <w:rPr>
          <w:noProof w:val="0"/>
        </w:rPr>
        <w:t>17</w:t>
      </w:r>
      <w:r w:rsidRPr="00EE43C6">
        <w:rPr>
          <w:noProof w:val="0"/>
        </w:rPr>
        <w:t>.0</w:t>
      </w:r>
      <w:r w:rsidR="00742476" w:rsidRPr="00EE43C6">
        <w:rPr>
          <w:noProof w:val="0"/>
        </w:rPr>
        <w:t>7</w:t>
      </w:r>
      <w:r w:rsidRPr="00EE43C6">
        <w:rPr>
          <w:noProof w:val="0"/>
        </w:rPr>
        <w:t>.20</w:t>
      </w:r>
      <w:r w:rsidR="00742476" w:rsidRPr="00EE43C6">
        <w:rPr>
          <w:noProof w:val="0"/>
        </w:rPr>
        <w:t>13</w:t>
      </w:r>
      <w:r w:rsidRPr="00EE43C6">
        <w:rPr>
          <w:noProof w:val="0"/>
        </w:rPr>
        <w:t xml:space="preserve"> and no </w:t>
      </w:r>
      <w:r w:rsidR="00E35E10" w:rsidRPr="00EE43C6">
        <w:rPr>
          <w:noProof w:val="0"/>
        </w:rPr>
        <w:t>28710</w:t>
      </w:r>
      <w:r w:rsidRPr="00EE43C6">
        <w:rPr>
          <w:noProof w:val="0"/>
        </w:rPr>
        <w:t>)</w:t>
      </w:r>
    </w:p>
    <w:p w14:paraId="0B3FBB1A" w14:textId="2DCA9A2F" w:rsidR="00953E87" w:rsidRPr="00EE43C6" w:rsidRDefault="005E0D9A" w:rsidP="00854BE8">
      <w:pPr>
        <w:pStyle w:val="ListParagraph"/>
        <w:numPr>
          <w:ilvl w:val="0"/>
          <w:numId w:val="34"/>
        </w:numPr>
        <w:spacing w:before="120"/>
        <w:ind w:left="714" w:hanging="357"/>
        <w:contextualSpacing w:val="0"/>
        <w:rPr>
          <w:noProof w:val="0"/>
        </w:rPr>
      </w:pPr>
      <w:r w:rsidRPr="00EE43C6">
        <w:rPr>
          <w:noProof w:val="0"/>
        </w:rPr>
        <w:t xml:space="preserve">Regulation on Organized Industrial Zones Implementation (OG. date: </w:t>
      </w:r>
      <w:r w:rsidR="00AD1402" w:rsidRPr="00EE43C6">
        <w:rPr>
          <w:noProof w:val="0"/>
        </w:rPr>
        <w:t>02</w:t>
      </w:r>
      <w:r w:rsidRPr="00EE43C6">
        <w:rPr>
          <w:noProof w:val="0"/>
        </w:rPr>
        <w:t>.0</w:t>
      </w:r>
      <w:r w:rsidR="00AD1402" w:rsidRPr="00EE43C6">
        <w:rPr>
          <w:noProof w:val="0"/>
        </w:rPr>
        <w:t>2</w:t>
      </w:r>
      <w:r w:rsidRPr="00EE43C6">
        <w:rPr>
          <w:noProof w:val="0"/>
        </w:rPr>
        <w:t>.20</w:t>
      </w:r>
      <w:r w:rsidR="00AD1402" w:rsidRPr="00EE43C6">
        <w:rPr>
          <w:noProof w:val="0"/>
        </w:rPr>
        <w:t>19</w:t>
      </w:r>
      <w:r w:rsidRPr="00EE43C6">
        <w:rPr>
          <w:noProof w:val="0"/>
        </w:rPr>
        <w:t xml:space="preserve"> and no </w:t>
      </w:r>
      <w:r w:rsidR="00AD1402" w:rsidRPr="00EE43C6">
        <w:rPr>
          <w:noProof w:val="0"/>
        </w:rPr>
        <w:t>30674</w:t>
      </w:r>
      <w:r w:rsidRPr="00EE43C6">
        <w:rPr>
          <w:noProof w:val="0"/>
        </w:rPr>
        <w:t>)</w:t>
      </w:r>
    </w:p>
    <w:p w14:paraId="3A10AE5B" w14:textId="30DE0401" w:rsidR="004E55BC" w:rsidRPr="00EE43C6" w:rsidRDefault="004E55BC" w:rsidP="004E55BC">
      <w:pPr>
        <w:pStyle w:val="ListParagraph"/>
        <w:numPr>
          <w:ilvl w:val="0"/>
          <w:numId w:val="34"/>
        </w:numPr>
        <w:spacing w:before="120"/>
        <w:ind w:left="714" w:hanging="357"/>
        <w:contextualSpacing w:val="0"/>
        <w:rPr>
          <w:noProof w:val="0"/>
        </w:rPr>
      </w:pPr>
      <w:r w:rsidRPr="00EE43C6">
        <w:rPr>
          <w:noProof w:val="0"/>
        </w:rPr>
        <w:t xml:space="preserve">Regulation on Occupational Health and Safety Committees (OG. date: </w:t>
      </w:r>
      <w:r w:rsidR="00AA5568" w:rsidRPr="00EE43C6">
        <w:rPr>
          <w:noProof w:val="0"/>
        </w:rPr>
        <w:t>18</w:t>
      </w:r>
      <w:r w:rsidRPr="00EE43C6">
        <w:rPr>
          <w:noProof w:val="0"/>
        </w:rPr>
        <w:t>.0</w:t>
      </w:r>
      <w:r w:rsidR="00AA5568" w:rsidRPr="00EE43C6">
        <w:rPr>
          <w:noProof w:val="0"/>
        </w:rPr>
        <w:t>1</w:t>
      </w:r>
      <w:r w:rsidRPr="00EE43C6">
        <w:rPr>
          <w:noProof w:val="0"/>
        </w:rPr>
        <w:t>.201</w:t>
      </w:r>
      <w:r w:rsidR="00AA5568" w:rsidRPr="00EE43C6">
        <w:rPr>
          <w:noProof w:val="0"/>
        </w:rPr>
        <w:t>3</w:t>
      </w:r>
      <w:r w:rsidRPr="00EE43C6">
        <w:rPr>
          <w:noProof w:val="0"/>
        </w:rPr>
        <w:t xml:space="preserve"> and no </w:t>
      </w:r>
      <w:r w:rsidR="00AA5568" w:rsidRPr="00EE43C6">
        <w:rPr>
          <w:noProof w:val="0"/>
        </w:rPr>
        <w:t>28532</w:t>
      </w:r>
      <w:r w:rsidRPr="00EE43C6">
        <w:rPr>
          <w:noProof w:val="0"/>
        </w:rPr>
        <w:t>)</w:t>
      </w:r>
    </w:p>
    <w:p w14:paraId="51FAFAD5" w14:textId="7A71321C" w:rsidR="0001002E" w:rsidRPr="00EE43C6" w:rsidRDefault="0001002E" w:rsidP="0001002E">
      <w:pPr>
        <w:pStyle w:val="ListParagraph"/>
        <w:numPr>
          <w:ilvl w:val="0"/>
          <w:numId w:val="34"/>
        </w:numPr>
        <w:spacing w:before="120"/>
        <w:ind w:left="714" w:hanging="357"/>
        <w:contextualSpacing w:val="0"/>
        <w:rPr>
          <w:noProof w:val="0"/>
        </w:rPr>
      </w:pPr>
      <w:r w:rsidRPr="00EE43C6">
        <w:rPr>
          <w:noProof w:val="0"/>
        </w:rPr>
        <w:t xml:space="preserve">Regulation on Occupational Health and Safety Services (OG. date: </w:t>
      </w:r>
      <w:r w:rsidR="0062416A" w:rsidRPr="00EE43C6">
        <w:rPr>
          <w:noProof w:val="0"/>
        </w:rPr>
        <w:t>29</w:t>
      </w:r>
      <w:r w:rsidRPr="00EE43C6">
        <w:rPr>
          <w:noProof w:val="0"/>
        </w:rPr>
        <w:t>.</w:t>
      </w:r>
      <w:r w:rsidR="0062416A" w:rsidRPr="00EE43C6">
        <w:rPr>
          <w:noProof w:val="0"/>
        </w:rPr>
        <w:t>12</w:t>
      </w:r>
      <w:r w:rsidRPr="00EE43C6">
        <w:rPr>
          <w:noProof w:val="0"/>
        </w:rPr>
        <w:t>.201</w:t>
      </w:r>
      <w:r w:rsidR="0062416A" w:rsidRPr="00EE43C6">
        <w:rPr>
          <w:noProof w:val="0"/>
        </w:rPr>
        <w:t>2</w:t>
      </w:r>
      <w:r w:rsidRPr="00EE43C6">
        <w:rPr>
          <w:noProof w:val="0"/>
        </w:rPr>
        <w:t xml:space="preserve"> and no 285</w:t>
      </w:r>
      <w:r w:rsidR="0062416A" w:rsidRPr="00EE43C6">
        <w:rPr>
          <w:noProof w:val="0"/>
        </w:rPr>
        <w:t>1</w:t>
      </w:r>
      <w:r w:rsidRPr="00EE43C6">
        <w:rPr>
          <w:noProof w:val="0"/>
        </w:rPr>
        <w:t>2)</w:t>
      </w:r>
    </w:p>
    <w:p w14:paraId="6FB31E94" w14:textId="47A0BFB4" w:rsidR="004E55BC" w:rsidRPr="00EE43C6" w:rsidRDefault="009470B0" w:rsidP="005A3C1C">
      <w:pPr>
        <w:pStyle w:val="ListParagraph"/>
        <w:numPr>
          <w:ilvl w:val="0"/>
          <w:numId w:val="34"/>
        </w:numPr>
        <w:spacing w:before="120"/>
        <w:ind w:left="714" w:hanging="357"/>
        <w:contextualSpacing w:val="0"/>
        <w:rPr>
          <w:noProof w:val="0"/>
        </w:rPr>
      </w:pPr>
      <w:r w:rsidRPr="00EE43C6">
        <w:rPr>
          <w:noProof w:val="0"/>
        </w:rPr>
        <w:t>Regulation on Duties, Authorities, Responsibilities and Training of Occupational Safety Experts (OG. date: 29.12.2012 and no 28512)</w:t>
      </w:r>
    </w:p>
    <w:p w14:paraId="450B7915" w14:textId="68195394" w:rsidR="00B14C00" w:rsidRPr="00EE43C6" w:rsidRDefault="00B14C00" w:rsidP="005A3C1C">
      <w:pPr>
        <w:pStyle w:val="ListParagraph"/>
        <w:numPr>
          <w:ilvl w:val="0"/>
          <w:numId w:val="34"/>
        </w:numPr>
        <w:spacing w:before="120"/>
        <w:ind w:left="714" w:hanging="357"/>
        <w:contextualSpacing w:val="0"/>
        <w:rPr>
          <w:noProof w:val="0"/>
        </w:rPr>
      </w:pPr>
      <w:r w:rsidRPr="00EE43C6">
        <w:rPr>
          <w:noProof w:val="0"/>
        </w:rPr>
        <w:t>Regulation on Occupational Health and Safety in Temporary or Limited Period Work (OG. date: 2</w:t>
      </w:r>
      <w:r w:rsidR="00A231F2" w:rsidRPr="00EE43C6">
        <w:rPr>
          <w:noProof w:val="0"/>
        </w:rPr>
        <w:t>3</w:t>
      </w:r>
      <w:r w:rsidRPr="00EE43C6">
        <w:rPr>
          <w:noProof w:val="0"/>
        </w:rPr>
        <w:t>.</w:t>
      </w:r>
      <w:r w:rsidR="00A231F2" w:rsidRPr="00EE43C6">
        <w:rPr>
          <w:noProof w:val="0"/>
        </w:rPr>
        <w:t>08</w:t>
      </w:r>
      <w:r w:rsidRPr="00EE43C6">
        <w:rPr>
          <w:noProof w:val="0"/>
        </w:rPr>
        <w:t>.201</w:t>
      </w:r>
      <w:r w:rsidR="00A231F2" w:rsidRPr="00EE43C6">
        <w:rPr>
          <w:noProof w:val="0"/>
        </w:rPr>
        <w:t>3</w:t>
      </w:r>
      <w:r w:rsidRPr="00EE43C6">
        <w:rPr>
          <w:noProof w:val="0"/>
        </w:rPr>
        <w:t xml:space="preserve"> and no 28</w:t>
      </w:r>
      <w:r w:rsidR="00A231F2" w:rsidRPr="00EE43C6">
        <w:rPr>
          <w:noProof w:val="0"/>
        </w:rPr>
        <w:t>744</w:t>
      </w:r>
      <w:r w:rsidRPr="00EE43C6">
        <w:rPr>
          <w:noProof w:val="0"/>
        </w:rPr>
        <w:t>)</w:t>
      </w:r>
    </w:p>
    <w:p w14:paraId="3D622313" w14:textId="12AEDDC4" w:rsidR="009E1765" w:rsidRPr="00EE43C6" w:rsidRDefault="009E1765" w:rsidP="005A3C1C">
      <w:pPr>
        <w:pStyle w:val="ListParagraph"/>
        <w:numPr>
          <w:ilvl w:val="0"/>
          <w:numId w:val="34"/>
        </w:numPr>
        <w:spacing w:before="120"/>
        <w:ind w:left="714" w:hanging="357"/>
        <w:contextualSpacing w:val="0"/>
        <w:rPr>
          <w:noProof w:val="0"/>
        </w:rPr>
      </w:pPr>
      <w:r w:rsidRPr="00EE43C6">
        <w:rPr>
          <w:noProof w:val="0"/>
        </w:rPr>
        <w:t>Regulation on Manual Handling Works (OG. date: 24.07.2013 and no 28717)</w:t>
      </w:r>
    </w:p>
    <w:p w14:paraId="5EC33C19" w14:textId="300CC15C" w:rsidR="009E1765" w:rsidRPr="00EE43C6" w:rsidRDefault="009E1765" w:rsidP="005A3C1C">
      <w:pPr>
        <w:pStyle w:val="ListParagraph"/>
        <w:numPr>
          <w:ilvl w:val="0"/>
          <w:numId w:val="34"/>
        </w:numPr>
        <w:spacing w:before="120"/>
        <w:ind w:left="714" w:hanging="357"/>
        <w:contextualSpacing w:val="0"/>
        <w:rPr>
          <w:noProof w:val="0"/>
        </w:rPr>
      </w:pPr>
      <w:r w:rsidRPr="00EE43C6">
        <w:rPr>
          <w:noProof w:val="0"/>
        </w:rPr>
        <w:t>Regulation on Health and Safety Signs (OG. date: 11.09.2013 and no 28762)</w:t>
      </w:r>
    </w:p>
    <w:p w14:paraId="4416E263" w14:textId="44B396D6" w:rsidR="00225E93" w:rsidRPr="00EE43C6" w:rsidRDefault="00225E93" w:rsidP="00225E93">
      <w:pPr>
        <w:pStyle w:val="ListParagraph"/>
        <w:numPr>
          <w:ilvl w:val="0"/>
          <w:numId w:val="34"/>
        </w:numPr>
        <w:spacing w:before="120"/>
        <w:ind w:left="714" w:hanging="357"/>
        <w:contextualSpacing w:val="0"/>
        <w:rPr>
          <w:noProof w:val="0"/>
        </w:rPr>
      </w:pPr>
      <w:r w:rsidRPr="00EE43C6">
        <w:rPr>
          <w:noProof w:val="0"/>
        </w:rPr>
        <w:t>Regulation on Stopping Work in Workplaces (OG. date: 30.03.2013 and no 28603)</w:t>
      </w:r>
    </w:p>
    <w:p w14:paraId="7B2843C2" w14:textId="47B63BC4" w:rsidR="00D306F7" w:rsidRPr="00EE43C6" w:rsidRDefault="00225E93" w:rsidP="00225E93">
      <w:pPr>
        <w:pStyle w:val="ListParagraph"/>
        <w:numPr>
          <w:ilvl w:val="0"/>
          <w:numId w:val="34"/>
        </w:numPr>
        <w:spacing w:before="120"/>
        <w:ind w:left="714" w:hanging="357"/>
        <w:contextualSpacing w:val="0"/>
        <w:rPr>
          <w:noProof w:val="0"/>
        </w:rPr>
      </w:pPr>
      <w:r w:rsidRPr="00EE43C6">
        <w:rPr>
          <w:noProof w:val="0"/>
        </w:rPr>
        <w:t xml:space="preserve">Regulation </w:t>
      </w:r>
      <w:r w:rsidR="00D306F7" w:rsidRPr="00EE43C6">
        <w:rPr>
          <w:noProof w:val="0"/>
        </w:rPr>
        <w:t>on Preparation, Completing and Cleaning Works (OG. date: 28.04.2004 and no 25446)</w:t>
      </w:r>
    </w:p>
    <w:p w14:paraId="508C357D" w14:textId="13E664D8" w:rsidR="00225E93" w:rsidRPr="00EE43C6" w:rsidRDefault="00225E93" w:rsidP="005A3C1C">
      <w:pPr>
        <w:pStyle w:val="ListParagraph"/>
        <w:numPr>
          <w:ilvl w:val="0"/>
          <w:numId w:val="34"/>
        </w:numPr>
        <w:spacing w:before="120"/>
        <w:ind w:left="714" w:hanging="357"/>
        <w:contextualSpacing w:val="0"/>
        <w:rPr>
          <w:noProof w:val="0"/>
        </w:rPr>
      </w:pPr>
      <w:r w:rsidRPr="00EE43C6">
        <w:rPr>
          <w:noProof w:val="0"/>
        </w:rPr>
        <w:t xml:space="preserve">Regulation </w:t>
      </w:r>
      <w:r w:rsidR="00D306F7" w:rsidRPr="00EE43C6">
        <w:rPr>
          <w:noProof w:val="0"/>
        </w:rPr>
        <w:t>o</w:t>
      </w:r>
      <w:r w:rsidRPr="00EE43C6">
        <w:rPr>
          <w:noProof w:val="0"/>
        </w:rPr>
        <w:t xml:space="preserve">n First Aid (OG. date: </w:t>
      </w:r>
      <w:r w:rsidR="00D306F7" w:rsidRPr="00EE43C6">
        <w:rPr>
          <w:noProof w:val="0"/>
        </w:rPr>
        <w:t>29</w:t>
      </w:r>
      <w:r w:rsidRPr="00EE43C6">
        <w:rPr>
          <w:noProof w:val="0"/>
        </w:rPr>
        <w:t>.0</w:t>
      </w:r>
      <w:r w:rsidR="00D306F7" w:rsidRPr="00EE43C6">
        <w:rPr>
          <w:noProof w:val="0"/>
        </w:rPr>
        <w:t>7</w:t>
      </w:r>
      <w:r w:rsidRPr="00EE43C6">
        <w:rPr>
          <w:noProof w:val="0"/>
        </w:rPr>
        <w:t>.201</w:t>
      </w:r>
      <w:r w:rsidR="00D306F7" w:rsidRPr="00EE43C6">
        <w:rPr>
          <w:noProof w:val="0"/>
        </w:rPr>
        <w:t>5</w:t>
      </w:r>
      <w:r w:rsidRPr="00EE43C6">
        <w:rPr>
          <w:noProof w:val="0"/>
        </w:rPr>
        <w:t xml:space="preserve"> and no 29429)</w:t>
      </w:r>
    </w:p>
    <w:p w14:paraId="026002A4" w14:textId="18439EA2" w:rsidR="004B67AA" w:rsidRPr="00EE43C6" w:rsidRDefault="00C819BE" w:rsidP="00CD60B4">
      <w:pPr>
        <w:pStyle w:val="ListParagraph"/>
        <w:numPr>
          <w:ilvl w:val="0"/>
          <w:numId w:val="34"/>
        </w:numPr>
        <w:spacing w:before="120"/>
        <w:ind w:left="714" w:hanging="357"/>
        <w:contextualSpacing w:val="0"/>
        <w:rPr>
          <w:noProof w:val="0"/>
        </w:rPr>
      </w:pPr>
      <w:r w:rsidRPr="00EE43C6">
        <w:rPr>
          <w:noProof w:val="0"/>
        </w:rPr>
        <w:t>WB EHS Guidelines for Water and Sanitation</w:t>
      </w:r>
    </w:p>
    <w:p w14:paraId="7F699D66" w14:textId="77777777" w:rsidR="004B67AA" w:rsidRPr="00EE43C6" w:rsidRDefault="004B67AA" w:rsidP="00CD60B4">
      <w:pPr>
        <w:pStyle w:val="ListParagraph"/>
        <w:numPr>
          <w:ilvl w:val="0"/>
          <w:numId w:val="34"/>
        </w:numPr>
        <w:spacing w:before="120"/>
        <w:ind w:left="714" w:hanging="357"/>
        <w:contextualSpacing w:val="0"/>
        <w:rPr>
          <w:noProof w:val="0"/>
        </w:rPr>
      </w:pPr>
      <w:r w:rsidRPr="00EE43C6">
        <w:rPr>
          <w:noProof w:val="0"/>
        </w:rPr>
        <w:t>WB EHS Guidelines for Telecommunications</w:t>
      </w:r>
    </w:p>
    <w:p w14:paraId="57A5BF70" w14:textId="529D22F1" w:rsidR="002462AA" w:rsidRPr="00EE43C6" w:rsidRDefault="004B67AA" w:rsidP="00015A92">
      <w:pPr>
        <w:pStyle w:val="ListParagraph"/>
        <w:numPr>
          <w:ilvl w:val="0"/>
          <w:numId w:val="34"/>
        </w:numPr>
        <w:spacing w:before="120"/>
        <w:ind w:left="714" w:hanging="357"/>
        <w:contextualSpacing w:val="0"/>
        <w:rPr>
          <w:noProof w:val="0"/>
        </w:rPr>
      </w:pPr>
      <w:r w:rsidRPr="00EE43C6">
        <w:rPr>
          <w:noProof w:val="0"/>
        </w:rPr>
        <w:t>WB EHS Guidelines for Electric Power Transmission and Distribution</w:t>
      </w:r>
    </w:p>
    <w:p w14:paraId="615D5E1C" w14:textId="0A6B764B" w:rsidR="00C819BE" w:rsidRPr="00EE43C6" w:rsidRDefault="00C819BE" w:rsidP="00C819BE">
      <w:pPr>
        <w:rPr>
          <w:lang w:eastAsia="en-US"/>
        </w:rPr>
      </w:pPr>
      <w:r w:rsidRPr="00EE43C6">
        <w:rPr>
          <w:lang w:eastAsia="en-US"/>
        </w:rPr>
        <w:t>In addition to preparing its own OHS management plan, the Contractor will also ask the subcontractor to prepare an OHS management plan in line with the OHS requirements of the Project. These conditions will be added to the tender documents to be prepared for construction tenders. The OHS Plan for the construction phase will include, but is not limited to, the following measures to prevent accidents and risks:</w:t>
      </w:r>
    </w:p>
    <w:p w14:paraId="55F04E1C"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All Project personnel will comply with environmental, health and safety policies and guidelines.</w:t>
      </w:r>
    </w:p>
    <w:p w14:paraId="69F45CE8" w14:textId="69DC5EC6" w:rsidR="00306336" w:rsidRPr="00EE43C6" w:rsidRDefault="00C819BE" w:rsidP="00306336">
      <w:pPr>
        <w:pStyle w:val="ListParagraph"/>
        <w:numPr>
          <w:ilvl w:val="0"/>
          <w:numId w:val="34"/>
        </w:numPr>
        <w:spacing w:before="120"/>
        <w:ind w:left="714" w:hanging="357"/>
        <w:contextualSpacing w:val="0"/>
        <w:rPr>
          <w:noProof w:val="0"/>
        </w:rPr>
      </w:pPr>
      <w:r w:rsidRPr="00EE43C6">
        <w:rPr>
          <w:noProof w:val="0"/>
        </w:rPr>
        <w:t>Before the start of the studies, an OHS Management Plan will be prepared, which will also include measures for COVID-19 and/or other pandemic/communicable disease risks.</w:t>
      </w:r>
      <w:r w:rsidR="00E17878" w:rsidRPr="00EE43C6">
        <w:rPr>
          <w:noProof w:val="0"/>
        </w:rPr>
        <w:t xml:space="preserve"> </w:t>
      </w:r>
      <w:r w:rsidR="00CD43E1" w:rsidRPr="00EE43C6">
        <w:rPr>
          <w:noProof w:val="0"/>
        </w:rPr>
        <w:t>Emergency</w:t>
      </w:r>
      <w:r w:rsidR="00306336" w:rsidRPr="00EE43C6">
        <w:rPr>
          <w:noProof w:val="0"/>
        </w:rPr>
        <w:t xml:space="preserve"> plan and </w:t>
      </w:r>
      <w:r w:rsidR="00CD43E1" w:rsidRPr="00EE43C6">
        <w:rPr>
          <w:noProof w:val="0"/>
        </w:rPr>
        <w:t>Risk</w:t>
      </w:r>
      <w:r w:rsidR="00306336" w:rsidRPr="00EE43C6">
        <w:rPr>
          <w:noProof w:val="0"/>
        </w:rPr>
        <w:t xml:space="preserve"> assessments for OIZ and all subcontractors </w:t>
      </w:r>
      <w:r w:rsidR="00CD43E1" w:rsidRPr="00EE43C6">
        <w:rPr>
          <w:noProof w:val="0"/>
        </w:rPr>
        <w:t xml:space="preserve">should </w:t>
      </w:r>
      <w:r w:rsidR="004C44F8" w:rsidRPr="00EE43C6">
        <w:rPr>
          <w:noProof w:val="0"/>
        </w:rPr>
        <w:lastRenderedPageBreak/>
        <w:t xml:space="preserve">also </w:t>
      </w:r>
      <w:r w:rsidR="00CD43E1" w:rsidRPr="00EE43C6">
        <w:rPr>
          <w:noProof w:val="0"/>
        </w:rPr>
        <w:t>be u</w:t>
      </w:r>
      <w:r w:rsidR="00306336" w:rsidRPr="00EE43C6">
        <w:rPr>
          <w:noProof w:val="0"/>
        </w:rPr>
        <w:t>pdat</w:t>
      </w:r>
      <w:r w:rsidR="00CD43E1" w:rsidRPr="00EE43C6">
        <w:rPr>
          <w:noProof w:val="0"/>
        </w:rPr>
        <w:t>ed</w:t>
      </w:r>
      <w:r w:rsidR="00306336" w:rsidRPr="00EE43C6">
        <w:rPr>
          <w:noProof w:val="0"/>
        </w:rPr>
        <w:t xml:space="preserve"> in line with against </w:t>
      </w:r>
      <w:r w:rsidR="00CD43E1" w:rsidRPr="00EE43C6">
        <w:rPr>
          <w:noProof w:val="0"/>
        </w:rPr>
        <w:t>COVID</w:t>
      </w:r>
      <w:r w:rsidR="00306336" w:rsidRPr="00EE43C6">
        <w:rPr>
          <w:noProof w:val="0"/>
        </w:rPr>
        <w:t>-19</w:t>
      </w:r>
      <w:r w:rsidR="00CD43E1" w:rsidRPr="00EE43C6">
        <w:rPr>
          <w:noProof w:val="0"/>
        </w:rPr>
        <w:t xml:space="preserve"> and/or other pandemic/communicable disease</w:t>
      </w:r>
      <w:r w:rsidR="00306336" w:rsidRPr="00EE43C6">
        <w:rPr>
          <w:noProof w:val="0"/>
        </w:rPr>
        <w:t xml:space="preserve"> in workplaces required measures</w:t>
      </w:r>
      <w:r w:rsidR="00306336" w:rsidRPr="00EE43C6">
        <w:rPr>
          <w:rStyle w:val="FootnoteReference"/>
          <w:noProof w:val="0"/>
        </w:rPr>
        <w:t xml:space="preserve"> </w:t>
      </w:r>
      <w:r w:rsidR="00306336" w:rsidRPr="00EE43C6">
        <w:rPr>
          <w:rStyle w:val="FootnoteReference"/>
          <w:noProof w:val="0"/>
        </w:rPr>
        <w:footnoteReference w:id="29"/>
      </w:r>
    </w:p>
    <w:p w14:paraId="7EF15E43" w14:textId="50C3B3F0" w:rsidR="00C819BE" w:rsidRPr="00EE43C6" w:rsidRDefault="00E17878" w:rsidP="00854BE8">
      <w:pPr>
        <w:pStyle w:val="ListParagraph"/>
        <w:numPr>
          <w:ilvl w:val="0"/>
          <w:numId w:val="34"/>
        </w:numPr>
        <w:spacing w:before="120"/>
        <w:ind w:left="714" w:hanging="357"/>
        <w:contextualSpacing w:val="0"/>
        <w:rPr>
          <w:noProof w:val="0"/>
        </w:rPr>
      </w:pPr>
      <w:r w:rsidRPr="00EE43C6">
        <w:rPr>
          <w:noProof w:val="0"/>
        </w:rPr>
        <w:t>Th</w:t>
      </w:r>
      <w:r w:rsidR="004C44F8" w:rsidRPr="00EE43C6">
        <w:rPr>
          <w:noProof w:val="0"/>
        </w:rPr>
        <w:t>e</w:t>
      </w:r>
      <w:r w:rsidRPr="00EE43C6">
        <w:rPr>
          <w:noProof w:val="0"/>
        </w:rPr>
        <w:t>s</w:t>
      </w:r>
      <w:r w:rsidR="004C44F8" w:rsidRPr="00EE43C6">
        <w:rPr>
          <w:noProof w:val="0"/>
        </w:rPr>
        <w:t>e</w:t>
      </w:r>
      <w:r w:rsidRPr="00EE43C6">
        <w:rPr>
          <w:noProof w:val="0"/>
        </w:rPr>
        <w:t xml:space="preserve"> plan</w:t>
      </w:r>
      <w:r w:rsidR="006B77B4" w:rsidRPr="00EE43C6">
        <w:rPr>
          <w:noProof w:val="0"/>
        </w:rPr>
        <w:t>s</w:t>
      </w:r>
      <w:r w:rsidRPr="00EE43C6">
        <w:rPr>
          <w:noProof w:val="0"/>
        </w:rPr>
        <w:t xml:space="preserve"> should include </w:t>
      </w:r>
      <w:r w:rsidR="00613018" w:rsidRPr="00EE43C6">
        <w:rPr>
          <w:noProof w:val="0"/>
        </w:rPr>
        <w:t>but not limited to followings:</w:t>
      </w:r>
    </w:p>
    <w:p w14:paraId="594731A5" w14:textId="217AE4E2" w:rsidR="00CD1A88" w:rsidRPr="00EE43C6" w:rsidRDefault="00CD1A88" w:rsidP="00E961E6">
      <w:pPr>
        <w:pStyle w:val="ListParagraph"/>
        <w:numPr>
          <w:ilvl w:val="1"/>
          <w:numId w:val="34"/>
        </w:numPr>
        <w:spacing w:before="120"/>
        <w:ind w:left="1276" w:hanging="425"/>
        <w:contextualSpacing w:val="0"/>
        <w:rPr>
          <w:noProof w:val="0"/>
        </w:rPr>
      </w:pPr>
      <w:r w:rsidRPr="00EE43C6">
        <w:rPr>
          <w:noProof w:val="0"/>
        </w:rPr>
        <w:t>Personal hygiene</w:t>
      </w:r>
      <w:r w:rsidR="00C33AC9" w:rsidRPr="00EE43C6">
        <w:rPr>
          <w:noProof w:val="0"/>
        </w:rPr>
        <w:t xml:space="preserve"> (</w:t>
      </w:r>
      <w:r w:rsidR="0000230F" w:rsidRPr="00EE43C6">
        <w:rPr>
          <w:noProof w:val="0"/>
        </w:rPr>
        <w:t xml:space="preserve">especially </w:t>
      </w:r>
      <w:r w:rsidR="00C33AC9" w:rsidRPr="00EE43C6">
        <w:rPr>
          <w:noProof w:val="0"/>
        </w:rPr>
        <w:t>before and after mask usage)</w:t>
      </w:r>
      <w:r w:rsidRPr="00EE43C6">
        <w:rPr>
          <w:noProof w:val="0"/>
        </w:rPr>
        <w:t>,</w:t>
      </w:r>
    </w:p>
    <w:p w14:paraId="764EAEB4" w14:textId="7C9F9B96" w:rsidR="00613018" w:rsidRPr="00EE43C6" w:rsidRDefault="00B50CD0" w:rsidP="00E961E6">
      <w:pPr>
        <w:pStyle w:val="ListParagraph"/>
        <w:numPr>
          <w:ilvl w:val="1"/>
          <w:numId w:val="34"/>
        </w:numPr>
        <w:spacing w:before="120"/>
        <w:ind w:left="1276" w:hanging="425"/>
        <w:contextualSpacing w:val="0"/>
        <w:rPr>
          <w:noProof w:val="0"/>
        </w:rPr>
      </w:pPr>
      <w:r w:rsidRPr="00EE43C6">
        <w:rPr>
          <w:noProof w:val="0"/>
        </w:rPr>
        <w:t>Mask usage</w:t>
      </w:r>
      <w:r w:rsidR="007D365E" w:rsidRPr="00EE43C6">
        <w:rPr>
          <w:noProof w:val="0"/>
        </w:rPr>
        <w:t>, how to use it</w:t>
      </w:r>
      <w:r w:rsidR="00B01E26" w:rsidRPr="00EE43C6">
        <w:rPr>
          <w:noProof w:val="0"/>
        </w:rPr>
        <w:t xml:space="preserve"> and</w:t>
      </w:r>
      <w:r w:rsidR="00E56B36" w:rsidRPr="00EE43C6">
        <w:rPr>
          <w:noProof w:val="0"/>
        </w:rPr>
        <w:t xml:space="preserve"> </w:t>
      </w:r>
      <w:r w:rsidR="00387058" w:rsidRPr="00EE43C6">
        <w:rPr>
          <w:noProof w:val="0"/>
        </w:rPr>
        <w:t xml:space="preserve">its </w:t>
      </w:r>
      <w:r w:rsidR="00E56B36" w:rsidRPr="00EE43C6">
        <w:rPr>
          <w:noProof w:val="0"/>
        </w:rPr>
        <w:t>standards</w:t>
      </w:r>
      <w:r w:rsidR="00387058" w:rsidRPr="00EE43C6">
        <w:rPr>
          <w:noProof w:val="0"/>
        </w:rPr>
        <w:t xml:space="preserve"> (</w:t>
      </w:r>
      <w:r w:rsidR="00CF2EF0" w:rsidRPr="00EE43C6">
        <w:rPr>
          <w:noProof w:val="0"/>
        </w:rPr>
        <w:t>TS EN 14683, TS EN 149</w:t>
      </w:r>
      <w:r w:rsidR="00165770" w:rsidRPr="00EE43C6">
        <w:rPr>
          <w:noProof w:val="0"/>
        </w:rPr>
        <w:t>,</w:t>
      </w:r>
      <w:r w:rsidR="00CF2EF0" w:rsidRPr="00EE43C6">
        <w:rPr>
          <w:noProof w:val="0"/>
        </w:rPr>
        <w:t xml:space="preserve"> or TSE K 599</w:t>
      </w:r>
      <w:r w:rsidR="00D02ADA" w:rsidRPr="00EE43C6">
        <w:rPr>
          <w:noProof w:val="0"/>
        </w:rPr>
        <w:t xml:space="preserve"> etc.</w:t>
      </w:r>
      <w:r w:rsidR="00387058" w:rsidRPr="00EE43C6">
        <w:rPr>
          <w:noProof w:val="0"/>
        </w:rPr>
        <w:t>)</w:t>
      </w:r>
      <w:r w:rsidR="00CD1A88" w:rsidRPr="00EE43C6">
        <w:rPr>
          <w:noProof w:val="0"/>
        </w:rPr>
        <w:t>,</w:t>
      </w:r>
    </w:p>
    <w:p w14:paraId="49744DBD" w14:textId="3C25C9EB" w:rsidR="00CD1A88" w:rsidRPr="00EE43C6" w:rsidRDefault="00D7148C" w:rsidP="00E961E6">
      <w:pPr>
        <w:pStyle w:val="ListParagraph"/>
        <w:numPr>
          <w:ilvl w:val="1"/>
          <w:numId w:val="34"/>
        </w:numPr>
        <w:spacing w:before="120"/>
        <w:ind w:left="1276" w:hanging="425"/>
        <w:contextualSpacing w:val="0"/>
        <w:rPr>
          <w:noProof w:val="0"/>
        </w:rPr>
      </w:pPr>
      <w:r w:rsidRPr="00EE43C6">
        <w:rPr>
          <w:noProof w:val="0"/>
        </w:rPr>
        <w:t>Social distancing rule,</w:t>
      </w:r>
    </w:p>
    <w:p w14:paraId="2976223B" w14:textId="5979564A" w:rsidR="00C56A12" w:rsidRPr="00EE43C6" w:rsidRDefault="002924CA" w:rsidP="00E961E6">
      <w:pPr>
        <w:pStyle w:val="ListParagraph"/>
        <w:numPr>
          <w:ilvl w:val="1"/>
          <w:numId w:val="34"/>
        </w:numPr>
        <w:spacing w:before="120"/>
        <w:ind w:left="1276" w:hanging="425"/>
        <w:contextualSpacing w:val="0"/>
        <w:rPr>
          <w:noProof w:val="0"/>
        </w:rPr>
      </w:pPr>
      <w:r w:rsidRPr="00EE43C6">
        <w:rPr>
          <w:noProof w:val="0"/>
        </w:rPr>
        <w:t>Placing visual/written banners and posters in visible places to encourage and inform employees, visitors and related persons about respiratory hygiene and cough etiquette regarding potential measures to minimize contamination</w:t>
      </w:r>
      <w:r w:rsidR="0031428B" w:rsidRPr="00EE43C6">
        <w:rPr>
          <w:noProof w:val="0"/>
        </w:rPr>
        <w:t>,</w:t>
      </w:r>
    </w:p>
    <w:p w14:paraId="7C398559" w14:textId="3F9EADB2" w:rsidR="008B40A9" w:rsidRPr="00EE43C6" w:rsidRDefault="008B40A9" w:rsidP="00E961E6">
      <w:pPr>
        <w:pStyle w:val="ListParagraph"/>
        <w:numPr>
          <w:ilvl w:val="1"/>
          <w:numId w:val="34"/>
        </w:numPr>
        <w:spacing w:before="120"/>
        <w:ind w:left="1276" w:hanging="425"/>
        <w:contextualSpacing w:val="0"/>
        <w:rPr>
          <w:noProof w:val="0"/>
        </w:rPr>
      </w:pPr>
      <w:r w:rsidRPr="00EE43C6">
        <w:rPr>
          <w:noProof w:val="0"/>
        </w:rPr>
        <w:t>Paying special attention to the implementation of cleaning and disinfection measures in common areas (toilets, halls, corridors, elevators, etc.)</w:t>
      </w:r>
      <w:r w:rsidR="0031428B" w:rsidRPr="00EE43C6">
        <w:rPr>
          <w:noProof w:val="0"/>
        </w:rPr>
        <w:t>,</w:t>
      </w:r>
    </w:p>
    <w:p w14:paraId="1E817D60" w14:textId="22C3ED9E" w:rsidR="002924CA" w:rsidRPr="00EE43C6" w:rsidRDefault="00517B75" w:rsidP="00E961E6">
      <w:pPr>
        <w:pStyle w:val="ListParagraph"/>
        <w:numPr>
          <w:ilvl w:val="1"/>
          <w:numId w:val="34"/>
        </w:numPr>
        <w:spacing w:before="120"/>
        <w:ind w:left="1276" w:hanging="425"/>
        <w:contextualSpacing w:val="0"/>
        <w:rPr>
          <w:noProof w:val="0"/>
        </w:rPr>
      </w:pPr>
      <w:r w:rsidRPr="00EE43C6">
        <w:rPr>
          <w:noProof w:val="0"/>
        </w:rPr>
        <w:t>Disposal of relevant wastes in line with the "COVID-19 Measures in the Management of Personal Hygiene Material Wastes such as Disposable Masks, Gloves"</w:t>
      </w:r>
      <w:r w:rsidR="0031428B" w:rsidRPr="00EE43C6">
        <w:rPr>
          <w:noProof w:val="0"/>
        </w:rPr>
        <w:t>,</w:t>
      </w:r>
    </w:p>
    <w:p w14:paraId="58A2E30B" w14:textId="4A23F8D7" w:rsidR="0031428B" w:rsidRPr="00EE43C6" w:rsidRDefault="0031428B" w:rsidP="00E961E6">
      <w:pPr>
        <w:pStyle w:val="ListParagraph"/>
        <w:numPr>
          <w:ilvl w:val="1"/>
          <w:numId w:val="34"/>
        </w:numPr>
        <w:spacing w:before="120"/>
        <w:ind w:left="1276" w:hanging="425"/>
        <w:contextualSpacing w:val="0"/>
        <w:rPr>
          <w:noProof w:val="0"/>
        </w:rPr>
      </w:pPr>
      <w:r w:rsidRPr="00EE43C6">
        <w:rPr>
          <w:noProof w:val="0"/>
        </w:rPr>
        <w:t>Updating the occupational health and safety training of employees and addressing additional topics in order to ensure a healthy and safe working life and due to the emergence of new risks arising from changing conditions about COVID-19 and/or other pandemic/communicable disease.</w:t>
      </w:r>
    </w:p>
    <w:p w14:paraId="0CBA253B"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In order to minimize the risks and dangers that may arise in terms of human health and safety (eg natural disasters, accidents, equipment failures, etc.), safe working environments will be created at the work sites, and physical hazards and risks will be prevented.</w:t>
      </w:r>
    </w:p>
    <w:p w14:paraId="5C3309B2"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Within the scope of OHS measures and practices, the relevant plans, and procedures of the concerned Turkish legislation and the Project will be complied with.</w:t>
      </w:r>
    </w:p>
    <w:p w14:paraId="2D07D386"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Employees will be informed about the hazards that may arise from their work, thus creating a safer working environment.</w:t>
      </w:r>
    </w:p>
    <w:p w14:paraId="204A77B3"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Employees will be trained in accordance with the Regulation on the Procedures and Principles of Occupational Health and Safety Training. In this context, a training program will be prepared, training records will be kept, and evaluation activities will be carried out after the trainings.</w:t>
      </w:r>
    </w:p>
    <w:p w14:paraId="63DED475"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All employees will be provided with personal protective equipment (PPE) and necessary training will be provided for their use.</w:t>
      </w:r>
    </w:p>
    <w:p w14:paraId="768982D0"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Work areas will be equipped with warning signs (eg "Danger", "Entry Forbidden" etc.) in accordance with the nature and potential risks of the work to be done in that area.</w:t>
      </w:r>
    </w:p>
    <w:p w14:paraId="146C5E80" w14:textId="158ACE71"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lastRenderedPageBreak/>
        <w:t>All necessary precautions will be taken in the Project Area to prevent possible fires caused by construction activities. Uncontrolled fires inside and outside the field will be prevented.</w:t>
      </w:r>
      <w:r w:rsidR="00886710">
        <w:rPr>
          <w:noProof w:val="0"/>
        </w:rPr>
        <w:t xml:space="preserve"> </w:t>
      </w:r>
      <w:r w:rsidR="00886710" w:rsidRPr="00886710">
        <w:rPr>
          <w:noProof w:val="0"/>
        </w:rPr>
        <w:t>Measures to be taken to prevent fires are as follows</w:t>
      </w:r>
      <w:r w:rsidR="00886710">
        <w:rPr>
          <w:noProof w:val="0"/>
        </w:rPr>
        <w:t>:</w:t>
      </w:r>
    </w:p>
    <w:p w14:paraId="7355D339" w14:textId="65FEFDC4" w:rsidR="00886710" w:rsidRPr="00EE43C6" w:rsidRDefault="00832B77" w:rsidP="00E961E6">
      <w:pPr>
        <w:pStyle w:val="ListParagraph"/>
        <w:numPr>
          <w:ilvl w:val="1"/>
          <w:numId w:val="34"/>
        </w:numPr>
        <w:spacing w:before="120"/>
        <w:ind w:left="1276" w:hanging="425"/>
        <w:contextualSpacing w:val="0"/>
        <w:rPr>
          <w:noProof w:val="0"/>
        </w:rPr>
      </w:pPr>
      <w:r w:rsidRPr="00832B77">
        <w:rPr>
          <w:noProof w:val="0"/>
        </w:rPr>
        <w:t>Fire extinguishers shall be prominently and evenly located outdoors, near passageways and in or near fire cabinets in easily accessible locations. Extinguishers should not be located behind doors, in closed cupboards other than fire cupboards, in deep recesses in walls or on or near heating appliances.</w:t>
      </w:r>
    </w:p>
    <w:p w14:paraId="0D4FDB5C" w14:textId="03D1CB1D" w:rsidR="000D2757" w:rsidRPr="00E961E6" w:rsidRDefault="000D2757" w:rsidP="00E961E6">
      <w:pPr>
        <w:pStyle w:val="ListParagraph"/>
        <w:numPr>
          <w:ilvl w:val="1"/>
          <w:numId w:val="34"/>
        </w:numPr>
        <w:spacing w:before="120"/>
        <w:ind w:left="1276" w:hanging="425"/>
        <w:contextualSpacing w:val="0"/>
      </w:pPr>
      <w:r w:rsidRPr="00E961E6">
        <w:rPr>
          <w:noProof w:val="0"/>
        </w:rPr>
        <w:t>In cases where the safety of the work equipment depends on the installation and assembly conditions, the equipment must be periodically inspected by persons authorised to carry out periodic inspections after installation and before first use, after major maintenance and repair work and whenever the location changes.</w:t>
      </w:r>
    </w:p>
    <w:p w14:paraId="61B7A76C" w14:textId="51D6F6A1" w:rsidR="00424623" w:rsidRPr="00EE43C6" w:rsidRDefault="00424623" w:rsidP="00E961E6">
      <w:pPr>
        <w:pStyle w:val="ListParagraph"/>
        <w:numPr>
          <w:ilvl w:val="1"/>
          <w:numId w:val="34"/>
        </w:numPr>
        <w:spacing w:before="120"/>
        <w:ind w:left="1276" w:hanging="425"/>
        <w:contextualSpacing w:val="0"/>
        <w:rPr>
          <w:noProof w:val="0"/>
        </w:rPr>
      </w:pPr>
      <w:r w:rsidRPr="00E961E6">
        <w:rPr>
          <w:noProof w:val="0"/>
        </w:rPr>
        <w:t>Occupational Health and safety instructions and work permit procedures should be prepared.</w:t>
      </w:r>
    </w:p>
    <w:p w14:paraId="1C720E92"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Smoking is prohibited in areas where there is a fire hazard. All employees should be familiar with what to do in the event of a fire.</w:t>
      </w:r>
    </w:p>
    <w:p w14:paraId="5EA5C81C"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Project personnel will include first aid trained personnel. In emergencies that require intervention, the personnel will be referred to the nearest health centre by appropriate vehicles. The Contractor will implement the adequacy of the technical requirements of the machinery, equipment, and tools to be used in the activities.</w:t>
      </w:r>
    </w:p>
    <w:p w14:paraId="55064A3B" w14:textId="4254AFCE" w:rsidR="00680792" w:rsidRDefault="00C819BE" w:rsidP="00680792">
      <w:pPr>
        <w:pStyle w:val="ListParagraph"/>
        <w:numPr>
          <w:ilvl w:val="0"/>
          <w:numId w:val="34"/>
        </w:numPr>
        <w:spacing w:before="120"/>
        <w:ind w:left="714" w:hanging="357"/>
        <w:contextualSpacing w:val="0"/>
        <w:rPr>
          <w:noProof w:val="0"/>
        </w:rPr>
      </w:pPr>
      <w:r w:rsidRPr="00EE43C6">
        <w:rPr>
          <w:noProof w:val="0"/>
        </w:rPr>
        <w:t>Moving parts of machinery and equipment shall be equipped with suitable protective systems (eg metal shields, etc.) that minimize the risk of injury or damage to the person using the machine or equipment.</w:t>
      </w:r>
      <w:r w:rsidR="00E57F9E">
        <w:rPr>
          <w:noProof w:val="0"/>
        </w:rPr>
        <w:t xml:space="preserve"> </w:t>
      </w:r>
      <w:r w:rsidR="00680792" w:rsidRPr="00680792">
        <w:rPr>
          <w:noProof w:val="0"/>
        </w:rPr>
        <w:t>The machinery used during construction must be regularly inspected.</w:t>
      </w:r>
    </w:p>
    <w:p w14:paraId="0B899A07" w14:textId="77777777" w:rsidR="00813288" w:rsidRDefault="002E5BED" w:rsidP="002E5BED">
      <w:pPr>
        <w:pStyle w:val="ListParagraph"/>
        <w:numPr>
          <w:ilvl w:val="0"/>
          <w:numId w:val="34"/>
        </w:numPr>
        <w:rPr>
          <w:noProof w:val="0"/>
        </w:rPr>
      </w:pPr>
      <w:r w:rsidRPr="002E5BED">
        <w:rPr>
          <w:noProof w:val="0"/>
        </w:rPr>
        <w:t>All employees who work at height need suitable training in working on different pieces of equipment, and such work must be planned appropriately. Safety approaches and precautions should be adopted, such as:</w:t>
      </w:r>
    </w:p>
    <w:p w14:paraId="377F68DF" w14:textId="6805D5EE" w:rsidR="002E5BED" w:rsidRDefault="002E5BED" w:rsidP="00E961E6">
      <w:pPr>
        <w:pStyle w:val="ListParagraph"/>
        <w:numPr>
          <w:ilvl w:val="1"/>
          <w:numId w:val="34"/>
        </w:numPr>
        <w:spacing w:before="120"/>
        <w:ind w:left="1276" w:hanging="425"/>
        <w:contextualSpacing w:val="0"/>
        <w:rPr>
          <w:noProof w:val="0"/>
        </w:rPr>
      </w:pPr>
      <w:r w:rsidRPr="002E5BED">
        <w:rPr>
          <w:noProof w:val="0"/>
        </w:rPr>
        <w:t xml:space="preserve">Where practical, avoid the need to work at height. </w:t>
      </w:r>
    </w:p>
    <w:p w14:paraId="41D19048" w14:textId="77777777" w:rsidR="00F316C3" w:rsidRPr="00F316C3" w:rsidRDefault="00F316C3" w:rsidP="00E961E6">
      <w:pPr>
        <w:pStyle w:val="ListParagraph"/>
        <w:numPr>
          <w:ilvl w:val="1"/>
          <w:numId w:val="34"/>
        </w:numPr>
        <w:spacing w:before="120"/>
        <w:ind w:left="1276" w:hanging="425"/>
        <w:contextualSpacing w:val="0"/>
        <w:rPr>
          <w:noProof w:val="0"/>
        </w:rPr>
      </w:pPr>
      <w:r w:rsidRPr="00F316C3">
        <w:rPr>
          <w:noProof w:val="0"/>
        </w:rPr>
        <w:t xml:space="preserve">Put collective measures in place where working at height can’t be avoided to prevent falls.  Such as the use of equipment to provide an extra level of safety to reduce the risk of a fall—for example, a scaffold with a double guard-rail or edge protection. Minimize the consequences of a fall by providing a safety net. </w:t>
      </w:r>
    </w:p>
    <w:p w14:paraId="57C86058" w14:textId="77777777" w:rsidR="00F711A0" w:rsidRDefault="00F711A0" w:rsidP="00E961E6">
      <w:pPr>
        <w:pStyle w:val="ListParagraph"/>
        <w:numPr>
          <w:ilvl w:val="1"/>
          <w:numId w:val="34"/>
        </w:numPr>
        <w:spacing w:before="120"/>
        <w:ind w:left="1276" w:hanging="425"/>
        <w:contextualSpacing w:val="0"/>
        <w:rPr>
          <w:noProof w:val="0"/>
        </w:rPr>
      </w:pPr>
      <w:r>
        <w:rPr>
          <w:noProof w:val="0"/>
        </w:rPr>
        <w:t>Never stand behind large operating plant machinery and never stand under suspended loads.</w:t>
      </w:r>
    </w:p>
    <w:p w14:paraId="3D24E430" w14:textId="77777777" w:rsidR="00F711A0" w:rsidRDefault="00F711A0" w:rsidP="00E961E6">
      <w:pPr>
        <w:pStyle w:val="ListParagraph"/>
        <w:numPr>
          <w:ilvl w:val="1"/>
          <w:numId w:val="34"/>
        </w:numPr>
        <w:spacing w:before="120"/>
        <w:ind w:left="1276" w:hanging="425"/>
        <w:contextualSpacing w:val="0"/>
        <w:rPr>
          <w:noProof w:val="0"/>
        </w:rPr>
      </w:pPr>
      <w:r>
        <w:rPr>
          <w:noProof w:val="0"/>
        </w:rPr>
        <w:t>Avoid working close to moving object and be careful of their surroundings, especially if they do not have lights or beepers.</w:t>
      </w:r>
    </w:p>
    <w:p w14:paraId="38F400E6" w14:textId="4B52E592" w:rsidR="00F316C3" w:rsidRPr="00EE43C6" w:rsidRDefault="00F711A0" w:rsidP="00E961E6">
      <w:pPr>
        <w:pStyle w:val="ListParagraph"/>
        <w:numPr>
          <w:ilvl w:val="1"/>
          <w:numId w:val="34"/>
        </w:numPr>
        <w:spacing w:before="120"/>
        <w:ind w:left="1276" w:hanging="425"/>
        <w:contextualSpacing w:val="0"/>
        <w:rPr>
          <w:noProof w:val="0"/>
        </w:rPr>
      </w:pPr>
      <w:r>
        <w:rPr>
          <w:noProof w:val="0"/>
        </w:rPr>
        <w:t>Always ensure you have a banksman to guide plant vehicles</w:t>
      </w:r>
    </w:p>
    <w:p w14:paraId="67EC4553"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 xml:space="preserve">Personal factors that can create and control risks during activities (e.g., long hair, use of jewellery and accessories, clothing, etc.) will be removed from the site with the </w:t>
      </w:r>
      <w:r w:rsidRPr="00EE43C6">
        <w:rPr>
          <w:noProof w:val="0"/>
        </w:rPr>
        <w:lastRenderedPageBreak/>
        <w:t>regulations brought by the field management. Project personnel will be informed about the concerned legislation within the scope of the training program.</w:t>
      </w:r>
    </w:p>
    <w:p w14:paraId="6E2C7045"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Drivers and operators will be trained to comply with traffic rules and to control the vehicles and equipment they use against the risks and dangers arising from vehicle traffic. Required traffic signs will be placed at the Project Area and its surroundings. Machine operators and other workers will be informed and warned about the related signs. Waste that will be generated within the scope of the construction phase of the Project will be managed within the scope of the Regulation on Waste Management and its negative effects on public health will be minimized.</w:t>
      </w:r>
    </w:p>
    <w:p w14:paraId="39DBEF38"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The areas to be excavated will not be accessible except by authorized personnel. Loading and unloading activities are carried out together with the persons who will supervise the personnel who will carry out the activity.</w:t>
      </w:r>
    </w:p>
    <w:p w14:paraId="4574FD67" w14:textId="195329A5"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Persons and/or organizations with the necessary permits will be assigned to ensure the security of the Project Area. These persons and/or organizations will regularly monitor the facility and its surroundings. The private security practices within the scope of the Project and the authorities of the authorities will comply with the provisions of the Regulation on the Implementation of the Private Security Services Law.</w:t>
      </w:r>
    </w:p>
    <w:p w14:paraId="342A2BE4" w14:textId="3C067543"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In addition to the security monitoring of the Project Area, a closed-circuit camera system to be installed at appropriate distances (e.g., 30-40 m) at the site boundary will be provided to provide security monitoring, day, and night monitoring</w:t>
      </w:r>
      <w:r w:rsidR="007E00C2">
        <w:rPr>
          <w:noProof w:val="0"/>
        </w:rPr>
        <w:t xml:space="preserve"> at</w:t>
      </w:r>
      <w:r w:rsidRPr="00EE43C6">
        <w:rPr>
          <w:noProof w:val="0"/>
        </w:rPr>
        <w:t xml:space="preserve"> the entire field.</w:t>
      </w:r>
    </w:p>
    <w:p w14:paraId="50E28AA4" w14:textId="41B81E45"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 xml:space="preserve">Since the works will be carried out in areas close to the public, public access to these areas will be restricted in any way. If it is necessary to dig a ditch for the night, the area will be adequately illuminated by the </w:t>
      </w:r>
      <w:r w:rsidR="006A5890" w:rsidRPr="00EE43C6">
        <w:rPr>
          <w:noProof w:val="0"/>
        </w:rPr>
        <w:t>TUIOSB</w:t>
      </w:r>
      <w:r w:rsidRPr="00EE43C6">
        <w:rPr>
          <w:noProof w:val="0"/>
        </w:rPr>
        <w:t>, the required signs will be placed, and the area will be surrounded by barriers.</w:t>
      </w:r>
    </w:p>
    <w:p w14:paraId="1DED93FD"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An adequate OHS organizational structure will be established as defined in local legislation and the required number of OHS officers should be assigned to be on site during working hours.</w:t>
      </w:r>
    </w:p>
    <w:p w14:paraId="3E5325A8"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Before starting work, a risk assessment will be prepared, implemented, and personnel will be trained on possible risks.</w:t>
      </w:r>
    </w:p>
    <w:p w14:paraId="16D86238"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OHS Personnel will inspect the site on a daily basis and if any additional risks are observed, relevant plans and trainings will be renewed.</w:t>
      </w:r>
    </w:p>
    <w:p w14:paraId="063CBD10"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An Emergency Preparedness and Response (EPR) Plan will be prepared and implemented to cover issues related to communicable diseases and the COVID-19 pandemic.</w:t>
      </w:r>
    </w:p>
    <w:p w14:paraId="632DC38F" w14:textId="3497FF2B" w:rsidR="00C819BE" w:rsidRPr="00EE43C6" w:rsidRDefault="00DA207D" w:rsidP="00854BE8">
      <w:pPr>
        <w:pStyle w:val="ListParagraph"/>
        <w:numPr>
          <w:ilvl w:val="0"/>
          <w:numId w:val="34"/>
        </w:numPr>
        <w:spacing w:before="120"/>
        <w:ind w:left="714" w:hanging="357"/>
        <w:contextualSpacing w:val="0"/>
        <w:rPr>
          <w:noProof w:val="0"/>
        </w:rPr>
      </w:pPr>
      <w:r w:rsidRPr="00EE43C6">
        <w:rPr>
          <w:noProof w:val="0"/>
        </w:rPr>
        <w:t xml:space="preserve">The </w:t>
      </w:r>
      <w:r w:rsidR="00395669" w:rsidRPr="00EE43C6">
        <w:rPr>
          <w:noProof w:val="0"/>
        </w:rPr>
        <w:t xml:space="preserve">TUIOSB </w:t>
      </w:r>
      <w:r w:rsidR="00C819BE" w:rsidRPr="00EE43C6">
        <w:rPr>
          <w:noProof w:val="0"/>
        </w:rPr>
        <w:t>will ensure that contractors have ethical codes / code of conduct (CoC)s and this CoCs will be signed at the beginning of the work. Employees should be trained/informed about the rules applicable in the field, especially for interacting with the local community.</w:t>
      </w:r>
    </w:p>
    <w:p w14:paraId="6DB4405B"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lastRenderedPageBreak/>
        <w:t>Where a worker may be exposed to any chemical, physical danger or biological hazard that could adversely affect his or her health, appropriate preventive measures will be taken, including:</w:t>
      </w:r>
    </w:p>
    <w:p w14:paraId="3715C31E" w14:textId="77777777" w:rsidR="00C819BE" w:rsidRPr="00EE43C6" w:rsidRDefault="00C819BE" w:rsidP="00E961E6">
      <w:pPr>
        <w:pStyle w:val="ListParagraph"/>
        <w:numPr>
          <w:ilvl w:val="1"/>
          <w:numId w:val="34"/>
        </w:numPr>
        <w:spacing w:before="120"/>
        <w:ind w:left="1276" w:hanging="425"/>
        <w:contextualSpacing w:val="0"/>
        <w:rPr>
          <w:noProof w:val="0"/>
        </w:rPr>
      </w:pPr>
      <w:r w:rsidRPr="00EE43C6">
        <w:rPr>
          <w:noProof w:val="0"/>
        </w:rPr>
        <w:t>Replacing dangerous goods with harmless or less dangerous goods, if possible,</w:t>
      </w:r>
    </w:p>
    <w:p w14:paraId="58EB2AA4" w14:textId="77777777" w:rsidR="00C819BE" w:rsidRPr="00EE43C6" w:rsidRDefault="00C819BE" w:rsidP="00E961E6">
      <w:pPr>
        <w:pStyle w:val="ListParagraph"/>
        <w:numPr>
          <w:ilvl w:val="1"/>
          <w:numId w:val="34"/>
        </w:numPr>
        <w:spacing w:before="120"/>
        <w:ind w:left="1276" w:hanging="425"/>
        <w:contextualSpacing w:val="0"/>
        <w:rPr>
          <w:noProof w:val="0"/>
        </w:rPr>
      </w:pPr>
      <w:r w:rsidRPr="00EE43C6">
        <w:rPr>
          <w:noProof w:val="0"/>
        </w:rPr>
        <w:t>Taking technical measures to the plant, machinery, equipment, or process,</w:t>
      </w:r>
    </w:p>
    <w:p w14:paraId="50CFC020" w14:textId="77777777" w:rsidR="00C819BE" w:rsidRPr="00EE43C6" w:rsidRDefault="00C819BE" w:rsidP="00E961E6">
      <w:pPr>
        <w:pStyle w:val="ListParagraph"/>
        <w:numPr>
          <w:ilvl w:val="1"/>
          <w:numId w:val="34"/>
        </w:numPr>
        <w:spacing w:before="120"/>
        <w:ind w:left="1276" w:hanging="425"/>
        <w:contextualSpacing w:val="0"/>
        <w:rPr>
          <w:noProof w:val="0"/>
        </w:rPr>
      </w:pPr>
      <w:r w:rsidRPr="00EE43C6">
        <w:rPr>
          <w:noProof w:val="0"/>
        </w:rPr>
        <w:t>Taking other effective measures, including the use of PPE and protective clothing, when it is not possible to comply with the above measures,</w:t>
      </w:r>
    </w:p>
    <w:p w14:paraId="4D0A70B4"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Adequate precautions shall be taken to protect against danger when workers must enter any area where a toxic or harmful substance may be present or where there may be a lack of oxygen or a flammable atmosphere.</w:t>
      </w:r>
    </w:p>
    <w:p w14:paraId="7298B1AA" w14:textId="7152537C" w:rsidR="00D0508D" w:rsidRPr="00EE43C6" w:rsidRDefault="00C819BE" w:rsidP="000E36FB">
      <w:pPr>
        <w:pStyle w:val="ListParagraph"/>
        <w:numPr>
          <w:ilvl w:val="0"/>
          <w:numId w:val="34"/>
        </w:numPr>
        <w:spacing w:before="120"/>
        <w:ind w:left="714" w:hanging="357"/>
        <w:contextualSpacing w:val="0"/>
        <w:rPr>
          <w:noProof w:val="0"/>
        </w:rPr>
      </w:pPr>
      <w:r w:rsidRPr="00EE43C6">
        <w:rPr>
          <w:noProof w:val="0"/>
        </w:rPr>
        <w:t>Wastes will not be disposed of at the construction site or disposed of in a way that is harmful to health.</w:t>
      </w:r>
    </w:p>
    <w:p w14:paraId="7093BD40" w14:textId="349CB080" w:rsidR="00C517DF" w:rsidRDefault="00C517DF" w:rsidP="000E36FB">
      <w:pPr>
        <w:pStyle w:val="ListParagraph"/>
        <w:numPr>
          <w:ilvl w:val="0"/>
          <w:numId w:val="34"/>
        </w:numPr>
        <w:spacing w:before="120"/>
        <w:ind w:left="714" w:hanging="357"/>
        <w:contextualSpacing w:val="0"/>
        <w:rPr>
          <w:rStyle w:val="ui-provider"/>
        </w:rPr>
      </w:pPr>
      <w:r>
        <w:rPr>
          <w:rStyle w:val="ui-provider"/>
        </w:rPr>
        <w:t xml:space="preserve">Sub-Contractors must </w:t>
      </w:r>
      <w:r w:rsidR="00E7606A">
        <w:rPr>
          <w:rStyle w:val="ui-provider"/>
        </w:rPr>
        <w:t>implement the safety guidelines</w:t>
      </w:r>
      <w:r w:rsidR="009F6190">
        <w:rPr>
          <w:rStyle w:val="ui-provider"/>
        </w:rPr>
        <w:t>, such as:</w:t>
      </w:r>
    </w:p>
    <w:p w14:paraId="68F6131A" w14:textId="77777777" w:rsidR="009F6190" w:rsidRDefault="009F6190" w:rsidP="00E961E6">
      <w:pPr>
        <w:pStyle w:val="ListParagraph"/>
        <w:numPr>
          <w:ilvl w:val="1"/>
          <w:numId w:val="34"/>
        </w:numPr>
        <w:spacing w:before="120"/>
        <w:ind w:left="1276" w:hanging="425"/>
        <w:contextualSpacing w:val="0"/>
        <w:rPr>
          <w:noProof w:val="0"/>
        </w:rPr>
      </w:pPr>
      <w:r>
        <w:rPr>
          <w:noProof w:val="0"/>
        </w:rPr>
        <w:t>All sub-contractors must ensure compliance with health and safety documents and equipment.</w:t>
      </w:r>
    </w:p>
    <w:p w14:paraId="4347B1F9" w14:textId="77777777" w:rsidR="009F6190" w:rsidRDefault="009F6190" w:rsidP="00E961E6">
      <w:pPr>
        <w:pStyle w:val="ListParagraph"/>
        <w:numPr>
          <w:ilvl w:val="1"/>
          <w:numId w:val="34"/>
        </w:numPr>
        <w:spacing w:before="120"/>
        <w:ind w:left="1276" w:hanging="425"/>
        <w:contextualSpacing w:val="0"/>
        <w:rPr>
          <w:noProof w:val="0"/>
        </w:rPr>
      </w:pPr>
      <w:r>
        <w:rPr>
          <w:noProof w:val="0"/>
        </w:rPr>
        <w:t>Prior to commencement of work, subcontractors' employees will be given informative training on the facility's health and safety rules.</w:t>
      </w:r>
    </w:p>
    <w:p w14:paraId="4BA94AF7" w14:textId="30837C05" w:rsidR="009F6190" w:rsidRPr="00EE43C6" w:rsidRDefault="009F6190" w:rsidP="00E961E6">
      <w:pPr>
        <w:pStyle w:val="ListParagraph"/>
        <w:numPr>
          <w:ilvl w:val="1"/>
          <w:numId w:val="34"/>
        </w:numPr>
        <w:spacing w:before="120"/>
        <w:ind w:left="1276" w:hanging="425"/>
        <w:contextualSpacing w:val="0"/>
        <w:rPr>
          <w:noProof w:val="0"/>
        </w:rPr>
      </w:pPr>
      <w:r>
        <w:rPr>
          <w:noProof w:val="0"/>
        </w:rPr>
        <w:t>The contractor is responsible for the project's OHS management practices or OHS rules in accordance with the OHS rules in the legislation.</w:t>
      </w:r>
    </w:p>
    <w:p w14:paraId="23F21DE9" w14:textId="77777777" w:rsidR="00C819BE" w:rsidRPr="00EE43C6" w:rsidRDefault="00C819BE" w:rsidP="00C819BE">
      <w:r w:rsidRPr="00EE43C6">
        <w:t>Mitigation measures to be taken during the operation phase are listed below:</w:t>
      </w:r>
    </w:p>
    <w:p w14:paraId="1A722D58"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The Project Area will be fenced, access to local people and wildlife will be controlled, and encroachment will be prevented. The entrance of employees and third parties to the facility will be made in a controlled manner.</w:t>
      </w:r>
    </w:p>
    <w:p w14:paraId="29423734"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PPE will be provided to the workers according to the nature of the work to be done. Necessary training will be provided for their use.</w:t>
      </w:r>
    </w:p>
    <w:p w14:paraId="6C4C7C23"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Smoking will be prohibited in places where the risk of fire is high. In case of fire, all employees will be informed about the action plan.</w:t>
      </w:r>
    </w:p>
    <w:p w14:paraId="4D433809"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All equipment will be operated in proper working condition.</w:t>
      </w:r>
    </w:p>
    <w:p w14:paraId="26C98BB6" w14:textId="15400DB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 xml:space="preserve">In maintenance and repair activities, the procedures approved by </w:t>
      </w:r>
      <w:r w:rsidR="00DA207D" w:rsidRPr="00EE43C6">
        <w:rPr>
          <w:noProof w:val="0"/>
        </w:rPr>
        <w:t xml:space="preserve">the TUIOSB </w:t>
      </w:r>
      <w:r w:rsidRPr="00EE43C6">
        <w:rPr>
          <w:noProof w:val="0"/>
        </w:rPr>
        <w:t>and the conditions in the technical specifications of the supplier companies will be followed.</w:t>
      </w:r>
    </w:p>
    <w:p w14:paraId="1D0181D0"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Required health and safety signs and traffic signs will be placed around the facility. Employees will be informed and warned about subject markings.</w:t>
      </w:r>
    </w:p>
    <w:p w14:paraId="5DDDC0FB"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Trainings will be given to employees including operating and maintenance personnel in line with Regulation on the Procedures and Principles of Occupational Health and Safety Trainings, and measurement and evaluation activities will be carried out after the training.</w:t>
      </w:r>
    </w:p>
    <w:p w14:paraId="1F4154C5"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lastRenderedPageBreak/>
        <w:t>Entries of operation and maintenance employees and third parties will be made in a controlled manner.</w:t>
      </w:r>
    </w:p>
    <w:p w14:paraId="285DDF83"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Equipment meeting international standards in terms of electrical performance and safety will be used.</w:t>
      </w:r>
    </w:p>
    <w:p w14:paraId="3454652E"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After the construction works of the facility is finalized, necessary electrical tests will be performed to check that the electrical connections and other related equipment are made correctly before the facility is commissioned.</w:t>
      </w:r>
    </w:p>
    <w:p w14:paraId="24BA5F38"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Before the facility is put into operation, an Emergency Preparedness and Response Plan will be prepared, including communicable diseases and the COVID-19 pandemic.</w:t>
      </w:r>
    </w:p>
    <w:p w14:paraId="1CE3A217"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Automatic cleaning screens should be used instead of manual cleaning screens to prevent cleaners from entering the ducts.</w:t>
      </w:r>
    </w:p>
    <w:p w14:paraId="63CE0F6A"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Appropriate ventilation systems should be installed in places where methane accumulation is expected.</w:t>
      </w:r>
    </w:p>
    <w:p w14:paraId="73324526"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Railings will be placed around all tanks and pits.</w:t>
      </w:r>
    </w:p>
    <w:p w14:paraId="6A93B55E" w14:textId="4AA2B953"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 xml:space="preserve">The </w:t>
      </w:r>
      <w:r w:rsidR="005B3E2E" w:rsidRPr="00EE43C6">
        <w:rPr>
          <w:noProof w:val="0"/>
        </w:rPr>
        <w:t xml:space="preserve">TUIOSB </w:t>
      </w:r>
      <w:r w:rsidRPr="00EE43C6">
        <w:rPr>
          <w:noProof w:val="0"/>
        </w:rPr>
        <w:t>will prepare a Confined Spaces Entry Procedure in line with the WBG EHS Guidelines and applicable national requirements.</w:t>
      </w:r>
    </w:p>
    <w:p w14:paraId="43EDBA7F" w14:textId="388F0E41" w:rsidR="00F231B0" w:rsidRPr="00EE43C6" w:rsidRDefault="00F231B0" w:rsidP="00F231B0">
      <w:pPr>
        <w:pStyle w:val="ListParagraph"/>
        <w:numPr>
          <w:ilvl w:val="0"/>
          <w:numId w:val="34"/>
        </w:numPr>
        <w:spacing w:before="120"/>
        <w:rPr>
          <w:noProof w:val="0"/>
        </w:rPr>
      </w:pPr>
      <w:r w:rsidRPr="00EE43C6">
        <w:rPr>
          <w:noProof w:val="0"/>
        </w:rPr>
        <w:t xml:space="preserve">All employees who work at height need suitable training in working on different pieces of equipment, and such work must be planned appropriately. Safety approaches and precautions should be adopted, such as: Where practical, avoid the need to work at height. </w:t>
      </w:r>
    </w:p>
    <w:p w14:paraId="121878A0" w14:textId="060638F3" w:rsidR="00F231B0" w:rsidRPr="00EE43C6" w:rsidRDefault="00F231B0" w:rsidP="00F231B0">
      <w:pPr>
        <w:pStyle w:val="ListParagraph"/>
        <w:numPr>
          <w:ilvl w:val="0"/>
          <w:numId w:val="34"/>
        </w:numPr>
        <w:spacing w:before="120"/>
        <w:rPr>
          <w:noProof w:val="0"/>
        </w:rPr>
      </w:pPr>
      <w:r w:rsidRPr="00EE43C6">
        <w:rPr>
          <w:noProof w:val="0"/>
        </w:rPr>
        <w:t xml:space="preserve">Put collective measures in place where working at height can’t be avoided to prevent falls.  Such as the use of equipment to provide an extra level of safety to reduce the risk of a fall—for example, a scaffold with a double guard-rail or edge protection. Minimise the consequences of a fall by providing a safety net. </w:t>
      </w:r>
    </w:p>
    <w:p w14:paraId="5271C9CA" w14:textId="54E7165F" w:rsidR="00F231B0" w:rsidRPr="00EE43C6" w:rsidRDefault="00F231B0" w:rsidP="00F231B0">
      <w:pPr>
        <w:pStyle w:val="ListParagraph"/>
        <w:numPr>
          <w:ilvl w:val="0"/>
          <w:numId w:val="34"/>
        </w:numPr>
        <w:spacing w:before="120"/>
        <w:contextualSpacing w:val="0"/>
        <w:rPr>
          <w:noProof w:val="0"/>
        </w:rPr>
      </w:pPr>
      <w:r w:rsidRPr="00EE43C6">
        <w:rPr>
          <w:noProof w:val="0"/>
        </w:rPr>
        <w:t>Wear the necessary P.P.E. such as a safety harness.</w:t>
      </w:r>
    </w:p>
    <w:p w14:paraId="202601E7" w14:textId="77777777" w:rsidR="0006628B" w:rsidRPr="00EE43C6" w:rsidRDefault="0006628B" w:rsidP="0006628B">
      <w:pPr>
        <w:pStyle w:val="ListParagraph"/>
        <w:numPr>
          <w:ilvl w:val="0"/>
          <w:numId w:val="34"/>
        </w:numPr>
        <w:spacing w:before="120"/>
        <w:rPr>
          <w:noProof w:val="0"/>
        </w:rPr>
      </w:pPr>
      <w:r w:rsidRPr="00EE43C6">
        <w:rPr>
          <w:noProof w:val="0"/>
        </w:rPr>
        <w:t>Sites should always be planned to manage plant and pedestrian interface where physical barriers and suitable segregation is in place.</w:t>
      </w:r>
    </w:p>
    <w:p w14:paraId="6D23AFD1" w14:textId="77777777" w:rsidR="0006628B" w:rsidRPr="00EE43C6" w:rsidRDefault="0006628B" w:rsidP="0006628B">
      <w:pPr>
        <w:pStyle w:val="ListParagraph"/>
        <w:spacing w:before="120"/>
        <w:rPr>
          <w:noProof w:val="0"/>
        </w:rPr>
      </w:pPr>
      <w:r w:rsidRPr="00EE43C6">
        <w:rPr>
          <w:noProof w:val="0"/>
        </w:rPr>
        <w:t xml:space="preserve">To reduce risks, workers should: </w:t>
      </w:r>
    </w:p>
    <w:p w14:paraId="0D1CC7E9" w14:textId="77777777" w:rsidR="0006628B" w:rsidRPr="00EE43C6" w:rsidRDefault="0006628B" w:rsidP="00E961E6">
      <w:pPr>
        <w:pStyle w:val="ListParagraph"/>
        <w:numPr>
          <w:ilvl w:val="1"/>
          <w:numId w:val="34"/>
        </w:numPr>
        <w:spacing w:before="120"/>
        <w:ind w:left="1276" w:hanging="425"/>
        <w:contextualSpacing w:val="0"/>
        <w:rPr>
          <w:noProof w:val="0"/>
        </w:rPr>
      </w:pPr>
      <w:r w:rsidRPr="00EE43C6">
        <w:rPr>
          <w:noProof w:val="0"/>
        </w:rPr>
        <w:t>Never stand behind large operating plant machinery and never stand under suspended loads.</w:t>
      </w:r>
    </w:p>
    <w:p w14:paraId="242DE72D" w14:textId="77777777" w:rsidR="0006628B" w:rsidRPr="00EE43C6" w:rsidRDefault="0006628B" w:rsidP="00E961E6">
      <w:pPr>
        <w:pStyle w:val="ListParagraph"/>
        <w:numPr>
          <w:ilvl w:val="1"/>
          <w:numId w:val="34"/>
        </w:numPr>
        <w:spacing w:before="120"/>
        <w:ind w:left="1276" w:hanging="425"/>
        <w:contextualSpacing w:val="0"/>
        <w:rPr>
          <w:noProof w:val="0"/>
        </w:rPr>
      </w:pPr>
      <w:r w:rsidRPr="00EE43C6">
        <w:rPr>
          <w:noProof w:val="0"/>
        </w:rPr>
        <w:t>Avoid working close to moving object and be careful of their surroundings, especially if they do not have lights or beepers.</w:t>
      </w:r>
    </w:p>
    <w:p w14:paraId="2D6E6301" w14:textId="77777777" w:rsidR="0006628B" w:rsidRPr="00EE43C6" w:rsidRDefault="0006628B" w:rsidP="00E961E6">
      <w:pPr>
        <w:pStyle w:val="ListParagraph"/>
        <w:numPr>
          <w:ilvl w:val="1"/>
          <w:numId w:val="34"/>
        </w:numPr>
        <w:spacing w:before="120"/>
        <w:ind w:left="1276" w:hanging="425"/>
        <w:contextualSpacing w:val="0"/>
        <w:rPr>
          <w:noProof w:val="0"/>
        </w:rPr>
      </w:pPr>
      <w:r w:rsidRPr="00EE43C6">
        <w:rPr>
          <w:noProof w:val="0"/>
        </w:rPr>
        <w:t>Always ensure you have a banksman to guide plant vehicles when reversing or manoeuvring on a public road.</w:t>
      </w:r>
    </w:p>
    <w:p w14:paraId="389BA427" w14:textId="01F84B53" w:rsidR="0006628B" w:rsidRPr="00EE43C6" w:rsidRDefault="0006628B" w:rsidP="00E961E6">
      <w:pPr>
        <w:pStyle w:val="ListParagraph"/>
        <w:numPr>
          <w:ilvl w:val="1"/>
          <w:numId w:val="34"/>
        </w:numPr>
        <w:spacing w:before="120"/>
        <w:ind w:left="1276" w:hanging="425"/>
        <w:contextualSpacing w:val="0"/>
        <w:rPr>
          <w:noProof w:val="0"/>
        </w:rPr>
      </w:pPr>
      <w:r w:rsidRPr="00EE43C6">
        <w:rPr>
          <w:noProof w:val="0"/>
        </w:rPr>
        <w:t>Always wear PPE (Personal Protective Equipment) such as a hard hat and high visibility jacket to ensure he/she is seen.</w:t>
      </w:r>
    </w:p>
    <w:p w14:paraId="54FC4D85" w14:textId="77777777" w:rsidR="00903F93" w:rsidRPr="00EE43C6" w:rsidRDefault="00903F93" w:rsidP="00E961E6">
      <w:pPr>
        <w:pStyle w:val="ListParagraph"/>
        <w:numPr>
          <w:ilvl w:val="0"/>
          <w:numId w:val="34"/>
        </w:numPr>
        <w:spacing w:before="120"/>
        <w:ind w:left="714" w:hanging="357"/>
        <w:contextualSpacing w:val="0"/>
        <w:rPr>
          <w:noProof w:val="0"/>
        </w:rPr>
      </w:pPr>
      <w:r w:rsidRPr="00EE43C6">
        <w:rPr>
          <w:noProof w:val="0"/>
        </w:rPr>
        <w:lastRenderedPageBreak/>
        <w:t>Managers and Site supervisor on construction sites must effectively manage the site so that workers can move around it safely. Risks should always be reported and sorted to reduce the chances of injury. To reduce harm due to Slips, Trips and Falls;</w:t>
      </w:r>
    </w:p>
    <w:p w14:paraId="6E36B9A9" w14:textId="77777777" w:rsidR="00903F93" w:rsidRPr="00EE43C6" w:rsidRDefault="00903F93" w:rsidP="00E961E6">
      <w:pPr>
        <w:pStyle w:val="ListParagraph"/>
        <w:numPr>
          <w:ilvl w:val="1"/>
          <w:numId w:val="34"/>
        </w:numPr>
        <w:spacing w:before="120"/>
        <w:ind w:left="1276" w:hanging="425"/>
        <w:contextualSpacing w:val="0"/>
        <w:rPr>
          <w:noProof w:val="0"/>
        </w:rPr>
      </w:pPr>
      <w:r w:rsidRPr="00EE43C6">
        <w:rPr>
          <w:noProof w:val="0"/>
        </w:rPr>
        <w:t>Keep work and storage areas tidy and designate specific areas for waste collection.</w:t>
      </w:r>
    </w:p>
    <w:p w14:paraId="447D7A23" w14:textId="77777777" w:rsidR="00903F93" w:rsidRPr="00EE43C6" w:rsidRDefault="00903F93" w:rsidP="00E961E6">
      <w:pPr>
        <w:pStyle w:val="ListParagraph"/>
        <w:numPr>
          <w:ilvl w:val="1"/>
          <w:numId w:val="34"/>
        </w:numPr>
        <w:spacing w:before="120"/>
        <w:ind w:left="1276" w:hanging="425"/>
        <w:contextualSpacing w:val="0"/>
        <w:rPr>
          <w:noProof w:val="0"/>
        </w:rPr>
      </w:pPr>
      <w:r w:rsidRPr="00EE43C6">
        <w:rPr>
          <w:noProof w:val="0"/>
        </w:rPr>
        <w:t>Where surfaces are slippery with mud, they should be treated with stone.</w:t>
      </w:r>
    </w:p>
    <w:p w14:paraId="1CC3605E" w14:textId="77777777" w:rsidR="00903F93" w:rsidRPr="00EE43C6" w:rsidRDefault="00903F93" w:rsidP="00E961E6">
      <w:pPr>
        <w:pStyle w:val="ListParagraph"/>
        <w:numPr>
          <w:ilvl w:val="1"/>
          <w:numId w:val="34"/>
        </w:numPr>
        <w:spacing w:before="120"/>
        <w:ind w:left="1276" w:hanging="425"/>
        <w:contextualSpacing w:val="0"/>
        <w:rPr>
          <w:noProof w:val="0"/>
        </w:rPr>
      </w:pPr>
      <w:r w:rsidRPr="00EE43C6">
        <w:rPr>
          <w:noProof w:val="0"/>
        </w:rPr>
        <w:t>Where surfaces are slippery with ice, they should be treated with grit.</w:t>
      </w:r>
    </w:p>
    <w:p w14:paraId="3EC78C58" w14:textId="0E54ACD9" w:rsidR="00903F93" w:rsidRPr="00EE43C6" w:rsidRDefault="00903F93" w:rsidP="00E961E6">
      <w:pPr>
        <w:pStyle w:val="ListParagraph"/>
        <w:numPr>
          <w:ilvl w:val="1"/>
          <w:numId w:val="34"/>
        </w:numPr>
        <w:spacing w:before="120"/>
        <w:ind w:left="1276" w:hanging="425"/>
        <w:contextualSpacing w:val="0"/>
        <w:rPr>
          <w:noProof w:val="0"/>
        </w:rPr>
      </w:pPr>
      <w:r w:rsidRPr="00EE43C6">
        <w:rPr>
          <w:noProof w:val="0"/>
        </w:rPr>
        <w:t>All slippery areas should be signposted, and footwear with a good grip should be worn.</w:t>
      </w:r>
    </w:p>
    <w:p w14:paraId="5A646C7C" w14:textId="77777777" w:rsidR="00604878" w:rsidRPr="00EE43C6" w:rsidRDefault="00604878" w:rsidP="001029BA">
      <w:pPr>
        <w:pStyle w:val="ListParagraph"/>
        <w:numPr>
          <w:ilvl w:val="0"/>
          <w:numId w:val="34"/>
        </w:numPr>
        <w:spacing w:before="120"/>
        <w:ind w:left="714" w:hanging="357"/>
        <w:contextualSpacing w:val="0"/>
        <w:rPr>
          <w:rFonts w:eastAsia="Arial TUR"/>
          <w:noProof w:val="0"/>
          <w:sz w:val="16"/>
          <w:szCs w:val="16"/>
        </w:rPr>
      </w:pPr>
      <w:r w:rsidRPr="00EE43C6">
        <w:rPr>
          <w:noProof w:val="0"/>
        </w:rPr>
        <w:t>Both trainings and incidents (fatalities, lost time incidents, outbreak of pandemic or communicable diseases, social unrest, etc.) will be recorded.</w:t>
      </w:r>
    </w:p>
    <w:p w14:paraId="02067A5F" w14:textId="5165276C" w:rsidR="00604878" w:rsidRPr="00EE43C6" w:rsidRDefault="00604878" w:rsidP="001029BA">
      <w:pPr>
        <w:pStyle w:val="ListParagraph"/>
        <w:numPr>
          <w:ilvl w:val="0"/>
          <w:numId w:val="34"/>
        </w:numPr>
        <w:spacing w:before="120"/>
        <w:ind w:left="714" w:hanging="357"/>
        <w:contextualSpacing w:val="0"/>
        <w:rPr>
          <w:noProof w:val="0"/>
        </w:rPr>
      </w:pPr>
      <w:r w:rsidRPr="00EE43C6">
        <w:rPr>
          <w:noProof w:val="0"/>
        </w:rPr>
        <w:t>In the event of any significant incident</w:t>
      </w:r>
      <w:r w:rsidR="00712573" w:rsidRPr="00EE43C6">
        <w:rPr>
          <w:noProof w:val="0"/>
        </w:rPr>
        <w:t xml:space="preserve"> or near miss</w:t>
      </w:r>
      <w:r w:rsidRPr="00EE43C6">
        <w:rPr>
          <w:noProof w:val="0"/>
        </w:rPr>
        <w:t xml:space="preserve"> (e.g. environmental, social, </w:t>
      </w:r>
      <w:r w:rsidR="00733354" w:rsidRPr="00EE43C6">
        <w:rPr>
          <w:noProof w:val="0"/>
        </w:rPr>
        <w:t>labour</w:t>
      </w:r>
      <w:r w:rsidRPr="00EE43C6">
        <w:rPr>
          <w:noProof w:val="0"/>
        </w:rPr>
        <w:t xml:space="preserve"> or lost-time incidents) TUIOSB shall inform the MoIT and WB within three business days. Then, within 30 days, a report on the root causes of the incident and the corrective actions to be taken will be presented to the MoIT and WB.</w:t>
      </w:r>
    </w:p>
    <w:p w14:paraId="3FA1CD03" w14:textId="2358000B"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 xml:space="preserve">The </w:t>
      </w:r>
      <w:r w:rsidR="005B3E2E" w:rsidRPr="00EE43C6">
        <w:rPr>
          <w:noProof w:val="0"/>
        </w:rPr>
        <w:t xml:space="preserve">TUIOSB </w:t>
      </w:r>
      <w:r w:rsidRPr="00EE43C6">
        <w:rPr>
          <w:noProof w:val="0"/>
        </w:rPr>
        <w:t>will train operators working with disinfectants on safe handling practices and emergency response procedures.</w:t>
      </w:r>
    </w:p>
    <w:p w14:paraId="3D42BB37" w14:textId="4B811760"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 xml:space="preserve">The </w:t>
      </w:r>
      <w:r w:rsidR="005B3E2E" w:rsidRPr="00EE43C6">
        <w:rPr>
          <w:noProof w:val="0"/>
        </w:rPr>
        <w:t xml:space="preserve">TUIOSB </w:t>
      </w:r>
      <w:r w:rsidRPr="00EE43C6">
        <w:rPr>
          <w:noProof w:val="0"/>
        </w:rPr>
        <w:t>will distribute sufficient personal gas detection equipment to its employees.</w:t>
      </w:r>
    </w:p>
    <w:p w14:paraId="4414FFA0" w14:textId="56A9BA03"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 xml:space="preserve">The </w:t>
      </w:r>
      <w:r w:rsidR="005B3E2E" w:rsidRPr="00EE43C6">
        <w:rPr>
          <w:noProof w:val="0"/>
        </w:rPr>
        <w:t xml:space="preserve">TUIOSB </w:t>
      </w:r>
      <w:r w:rsidRPr="00EE43C6">
        <w:rPr>
          <w:noProof w:val="0"/>
        </w:rPr>
        <w:t>will advise people with asthma, diabetes, or immunosuppression not to work in treatment plants and auxiliary facilities due to the higher risk of infection.</w:t>
      </w:r>
    </w:p>
    <w:p w14:paraId="749F8460"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An adequate OHS organizational structure will be defined as defined in local legislation and the required number of OHS officers should be assigned to be on site during working hours.</w:t>
      </w:r>
    </w:p>
    <w:p w14:paraId="26A63C41"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A risk assessment will be prepared, and employees will be trained on risks before the operational activities of the Project begins.</w:t>
      </w:r>
    </w:p>
    <w:p w14:paraId="52625A4F"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OHS Personnel will inspect the site on a daily basis and if any additional risks are observed, related plans and trainings will be renewed.</w:t>
      </w:r>
    </w:p>
    <w:p w14:paraId="222F7A98" w14:textId="77777777"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Before the operational activities of the Project, an OHS Management Plan will be prepared, which will also include measures for COVID-19 and/or other pandemic/communicable disease risks.</w:t>
      </w:r>
    </w:p>
    <w:p w14:paraId="127ED04B" w14:textId="478C9F2C" w:rsidR="00C819BE" w:rsidRPr="00EE43C6" w:rsidRDefault="00C819BE" w:rsidP="00854BE8">
      <w:pPr>
        <w:pStyle w:val="ListParagraph"/>
        <w:numPr>
          <w:ilvl w:val="0"/>
          <w:numId w:val="34"/>
        </w:numPr>
        <w:spacing w:before="120"/>
        <w:ind w:left="714" w:hanging="357"/>
        <w:contextualSpacing w:val="0"/>
        <w:rPr>
          <w:noProof w:val="0"/>
        </w:rPr>
      </w:pPr>
      <w:r w:rsidRPr="00EE43C6">
        <w:rPr>
          <w:noProof w:val="0"/>
        </w:rPr>
        <w:t xml:space="preserve">The </w:t>
      </w:r>
      <w:r w:rsidR="00B76D88" w:rsidRPr="00EE43C6">
        <w:rPr>
          <w:noProof w:val="0"/>
        </w:rPr>
        <w:t xml:space="preserve">TUIOSB </w:t>
      </w:r>
      <w:r w:rsidRPr="00EE43C6">
        <w:rPr>
          <w:noProof w:val="0"/>
        </w:rPr>
        <w:t>will ensure that all activities comply with national standards and WBG EHS Guidelines.</w:t>
      </w:r>
    </w:p>
    <w:p w14:paraId="433C61B4" w14:textId="77777777" w:rsidR="00E961E6" w:rsidRDefault="00E961E6">
      <w:pPr>
        <w:spacing w:before="0" w:after="200" w:line="276" w:lineRule="auto"/>
        <w:jc w:val="left"/>
      </w:pPr>
      <w:r>
        <w:br w:type="page"/>
      </w:r>
    </w:p>
    <w:p w14:paraId="0161556F" w14:textId="1A658217" w:rsidR="001757AB" w:rsidRPr="00EE43C6" w:rsidRDefault="005B0DD1" w:rsidP="00D7657B">
      <w:pPr>
        <w:rPr>
          <w:rFonts w:cs="Wingdings"/>
        </w:rPr>
      </w:pPr>
      <w:r w:rsidRPr="00EE43C6">
        <w:lastRenderedPageBreak/>
        <w:t xml:space="preserve">As </w:t>
      </w:r>
      <w:r w:rsidR="00B47829" w:rsidRPr="00EE43C6">
        <w:t xml:space="preserve">fire wate flowrate is calculated in the </w:t>
      </w:r>
      <w:r w:rsidR="00BF668E" w:rsidRPr="00EE43C6">
        <w:t>Project planning</w:t>
      </w:r>
      <w:r w:rsidR="00B47829" w:rsidRPr="00EE43C6">
        <w:t xml:space="preserve">, </w:t>
      </w:r>
      <w:r w:rsidR="00177387" w:rsidRPr="00EE43C6">
        <w:t>it</w:t>
      </w:r>
      <w:r w:rsidR="000B280E" w:rsidRPr="00EE43C6">
        <w:t xml:space="preserve"> was taken as 5 lt/sec for secondary pipes, 10 lt/sec for main pipes and 10 lt</w:t>
      </w:r>
      <w:r w:rsidR="00BF668E" w:rsidRPr="00EE43C6">
        <w:t>/</w:t>
      </w:r>
      <w:r w:rsidR="000B280E" w:rsidRPr="00EE43C6">
        <w:t xml:space="preserve">sec for main pipe. Fire hydrant </w:t>
      </w:r>
      <w:r w:rsidR="00BF668E" w:rsidRPr="00EE43C6">
        <w:t>was</w:t>
      </w:r>
      <w:r w:rsidR="000B280E" w:rsidRPr="00EE43C6">
        <w:t xml:space="preserve"> formed according to the specification criteria. When calculating the storage volume, 1/4 of the daily water consumption was </w:t>
      </w:r>
      <w:r w:rsidR="008C23F6" w:rsidRPr="00EE43C6">
        <w:t>considered</w:t>
      </w:r>
      <w:r w:rsidR="000B280E" w:rsidRPr="00EE43C6">
        <w:t>. Fire water reserve volume</w:t>
      </w:r>
      <w:r w:rsidR="00F91B99" w:rsidRPr="00EE43C6">
        <w:t xml:space="preserve"> is </w:t>
      </w:r>
      <w:r w:rsidR="003F1A89" w:rsidRPr="00EE43C6">
        <w:t>predicted</w:t>
      </w:r>
      <w:r w:rsidR="00F91B99" w:rsidRPr="00EE43C6">
        <w:t xml:space="preserve"> as 360 m</w:t>
      </w:r>
      <w:r w:rsidR="00F91B99" w:rsidRPr="00EE43C6">
        <w:rPr>
          <w:vertAlign w:val="superscript"/>
        </w:rPr>
        <w:t>3</w:t>
      </w:r>
      <w:r w:rsidR="00F91B99" w:rsidRPr="00EE43C6">
        <w:t xml:space="preserve"> by a</w:t>
      </w:r>
      <w:r w:rsidR="000B280E" w:rsidRPr="00EE43C6">
        <w:t xml:space="preserve">ssuming that there will be two fires lasting </w:t>
      </w:r>
      <w:r w:rsidR="00032F20">
        <w:t>five (</w:t>
      </w:r>
      <w:r w:rsidR="000B280E" w:rsidRPr="00EE43C6">
        <w:t>5</w:t>
      </w:r>
      <w:r w:rsidR="00032F20">
        <w:t>)</w:t>
      </w:r>
      <w:r w:rsidR="000B280E" w:rsidRPr="00EE43C6">
        <w:t xml:space="preserve"> hours</w:t>
      </w:r>
      <w:r w:rsidR="00177387" w:rsidRPr="00EE43C6">
        <w:t>.</w:t>
      </w:r>
      <w:r w:rsidR="00C819BE" w:rsidRPr="00EE43C6">
        <w:t xml:space="preserve">The </w:t>
      </w:r>
      <w:r w:rsidR="00B76D88" w:rsidRPr="00EE43C6">
        <w:t xml:space="preserve">TUIOSB </w:t>
      </w:r>
      <w:r w:rsidR="00C819BE" w:rsidRPr="00EE43C6">
        <w:t xml:space="preserve">will ensure that contractors are reputable and legitimate businesses and have an appropriate </w:t>
      </w:r>
      <w:r w:rsidR="00C819BE" w:rsidRPr="00EE43C6">
        <w:rPr>
          <w:rFonts w:cs="Arial"/>
          <w:szCs w:val="22"/>
        </w:rPr>
        <w:t>Environmental and Social Management System</w:t>
      </w:r>
      <w:r w:rsidR="00C819BE" w:rsidRPr="00EE43C6">
        <w:t xml:space="preserve"> (ESMS) to operate in accordance with the working conditions provided by the </w:t>
      </w:r>
      <w:r w:rsidR="00B76D88" w:rsidRPr="00EE43C6">
        <w:t>TUIOSB</w:t>
      </w:r>
      <w:r w:rsidR="00C819BE" w:rsidRPr="00EE43C6">
        <w:t xml:space="preserve">. The </w:t>
      </w:r>
      <w:r w:rsidR="00B76D88" w:rsidRPr="00EE43C6">
        <w:t xml:space="preserve">TUIOSB </w:t>
      </w:r>
      <w:r w:rsidR="00C819BE" w:rsidRPr="00EE43C6">
        <w:t xml:space="preserve">will monitor the performance of contractors to ensure that human rights policy and the right to work of all employees are properly exercised. The </w:t>
      </w:r>
      <w:r w:rsidR="00B76D88" w:rsidRPr="00EE43C6">
        <w:t xml:space="preserve">TUIOSB </w:t>
      </w:r>
      <w:r w:rsidR="00C819BE" w:rsidRPr="00EE43C6">
        <w:t>will provide contract workers access to the general grievance mechanism to be established for the Project.</w:t>
      </w:r>
    </w:p>
    <w:p w14:paraId="57FE9ECC" w14:textId="08170E3E" w:rsidR="001F28BE" w:rsidRPr="00EE43C6" w:rsidRDefault="009A01D7" w:rsidP="00D7657B">
      <w:pPr>
        <w:rPr>
          <w:rFonts w:cs="Wingdings"/>
        </w:rPr>
      </w:pPr>
      <w:r w:rsidRPr="00EE43C6">
        <w:rPr>
          <w:rFonts w:cs="Wingdings"/>
        </w:rPr>
        <w:t xml:space="preserve">As a result, </w:t>
      </w:r>
      <w:r w:rsidR="004264BE" w:rsidRPr="00EE43C6">
        <w:rPr>
          <w:rFonts w:cs="Wingdings"/>
        </w:rPr>
        <w:t>it was assessed that OHS</w:t>
      </w:r>
      <w:r w:rsidRPr="00EE43C6">
        <w:rPr>
          <w:rFonts w:cs="Wingdings"/>
        </w:rPr>
        <w:t xml:space="preserve"> impact significance </w:t>
      </w:r>
      <w:r w:rsidR="004264BE" w:rsidRPr="00EE43C6">
        <w:rPr>
          <w:rFonts w:cs="Wingdings"/>
        </w:rPr>
        <w:t xml:space="preserve">in </w:t>
      </w:r>
      <w:r w:rsidRPr="00EE43C6">
        <w:rPr>
          <w:rFonts w:cs="Wingdings"/>
        </w:rPr>
        <w:t xml:space="preserve">the AoI of the Project is determined as </w:t>
      </w:r>
      <w:r w:rsidR="004264BE" w:rsidRPr="00EE43C6">
        <w:rPr>
          <w:rFonts w:cs="Wingdings"/>
        </w:rPr>
        <w:t xml:space="preserve">high for the construction phase, medium for the </w:t>
      </w:r>
      <w:r w:rsidR="00381012" w:rsidRPr="00EE43C6">
        <w:rPr>
          <w:rFonts w:cs="Wingdings"/>
        </w:rPr>
        <w:t>OIZ’s operation.</w:t>
      </w:r>
    </w:p>
    <w:p w14:paraId="54E754BD" w14:textId="5CD1B7B1" w:rsidR="00927D54" w:rsidRPr="00EE43C6" w:rsidRDefault="00927D54" w:rsidP="00927D54">
      <w:pPr>
        <w:pStyle w:val="Heading2"/>
        <w:ind w:hanging="718"/>
        <w:rPr>
          <w:lang w:val="en-GB"/>
        </w:rPr>
      </w:pPr>
      <w:bookmarkStart w:id="705" w:name="_Ref109920515"/>
      <w:bookmarkStart w:id="706" w:name="_Toc120016979"/>
      <w:bookmarkStart w:id="707" w:name="_Toc120004756"/>
      <w:bookmarkStart w:id="708" w:name="_Toc141445466"/>
      <w:r w:rsidRPr="00EE43C6">
        <w:rPr>
          <w:lang w:val="en-GB"/>
        </w:rPr>
        <w:t>Traffic and Transportation</w:t>
      </w:r>
      <w:bookmarkEnd w:id="705"/>
      <w:bookmarkEnd w:id="706"/>
      <w:bookmarkEnd w:id="707"/>
      <w:bookmarkEnd w:id="708"/>
      <w:r w:rsidRPr="00EE43C6">
        <w:rPr>
          <w:lang w:val="en-GB"/>
        </w:rPr>
        <w:t xml:space="preserve"> </w:t>
      </w:r>
    </w:p>
    <w:p w14:paraId="04B04ED6" w14:textId="7D752879" w:rsidR="00643A7E" w:rsidRPr="00643A7E" w:rsidRDefault="00104BAC" w:rsidP="00104BAC">
      <w:pPr>
        <w:pStyle w:val="Heading3"/>
        <w:spacing w:after="240"/>
        <w:ind w:left="851" w:hanging="851"/>
      </w:pPr>
      <w:bookmarkStart w:id="709" w:name="_Toc141445467"/>
      <w:r w:rsidRPr="00104BAC">
        <w:t>Construction and Operation Phases</w:t>
      </w:r>
      <w:bookmarkEnd w:id="709"/>
    </w:p>
    <w:p w14:paraId="3A60A278" w14:textId="39916E5C" w:rsidR="00A047A9" w:rsidRPr="00EE43C6" w:rsidRDefault="00A616AB" w:rsidP="00E961E6">
      <w:pPr>
        <w:spacing w:before="200" w:after="200"/>
        <w:rPr>
          <w:rFonts w:cs="Wingdings"/>
          <w:szCs w:val="22"/>
        </w:rPr>
      </w:pPr>
      <w:r w:rsidRPr="00EE43C6">
        <w:rPr>
          <w:rFonts w:cs="Wingdings"/>
          <w:szCs w:val="22"/>
        </w:rPr>
        <w:t xml:space="preserve">There are </w:t>
      </w:r>
      <w:r w:rsidR="00A047A9" w:rsidRPr="00EE43C6">
        <w:rPr>
          <w:rFonts w:cs="Wingdings"/>
          <w:szCs w:val="22"/>
        </w:rPr>
        <w:t xml:space="preserve">additional impacts requiring special mitigation measures (such as new access road arrangements or arrangements at critical locations) are expected, as there are activities that will generate heavy traffic in the </w:t>
      </w:r>
      <w:r w:rsidRPr="00EE43C6">
        <w:rPr>
          <w:rFonts w:cs="Wingdings"/>
          <w:szCs w:val="22"/>
        </w:rPr>
        <w:t>P</w:t>
      </w:r>
      <w:r w:rsidR="00A047A9" w:rsidRPr="00EE43C6">
        <w:rPr>
          <w:rFonts w:cs="Wingdings"/>
          <w:szCs w:val="22"/>
        </w:rPr>
        <w:t xml:space="preserve">roject </w:t>
      </w:r>
      <w:r w:rsidRPr="00EE43C6">
        <w:rPr>
          <w:rFonts w:cs="Wingdings"/>
          <w:szCs w:val="22"/>
        </w:rPr>
        <w:t>A</w:t>
      </w:r>
      <w:r w:rsidR="00A047A9" w:rsidRPr="00EE43C6">
        <w:rPr>
          <w:rFonts w:cs="Wingdings"/>
          <w:szCs w:val="22"/>
        </w:rPr>
        <w:t>rea, such as the transport of heavy materials or construction crews, during both construction and operation periods.</w:t>
      </w:r>
    </w:p>
    <w:p w14:paraId="2D7CBC82" w14:textId="0633EAFF" w:rsidR="006434EE" w:rsidRPr="00EE43C6" w:rsidRDefault="0045210A" w:rsidP="00E961E6">
      <w:pPr>
        <w:spacing w:before="200" w:after="200"/>
        <w:rPr>
          <w:rFonts w:cs="Wingdings"/>
          <w:szCs w:val="22"/>
        </w:rPr>
      </w:pPr>
      <w:r w:rsidRPr="00EE43C6">
        <w:rPr>
          <w:rFonts w:cs="Wingdings"/>
          <w:szCs w:val="22"/>
        </w:rPr>
        <w:t>For earthmoving trucks, times of low traffic density should be preferred, and necessary warning signs should be placed on special access roads. Personnel operating vehicles and construction equipment will be specially assigned and provided with traffic and road safety training. Construction machinery and equipment will be regularly maintained and regulatory speed limits for construction vehicles will be adhered to, and this should be included in the site transport and traffic management plan to be prepared by the Contractor.</w:t>
      </w:r>
    </w:p>
    <w:p w14:paraId="01C217B0" w14:textId="77777777" w:rsidR="000A2087" w:rsidRPr="00EE43C6" w:rsidRDefault="000A2087" w:rsidP="00E961E6">
      <w:pPr>
        <w:spacing w:before="200" w:after="200"/>
        <w:rPr>
          <w:rFonts w:cs="Wingdings"/>
          <w:szCs w:val="22"/>
        </w:rPr>
      </w:pPr>
      <w:r w:rsidRPr="00EE43C6">
        <w:rPr>
          <w:rFonts w:cs="Wingdings"/>
          <w:szCs w:val="22"/>
        </w:rPr>
        <w:t>Prior to construction activities, the Contractor shall install all signs, barriers and control devices needed to ensure safe use of the road by traffic and pedestrians, as required by the transport and traffic management plan to be prepared.</w:t>
      </w:r>
    </w:p>
    <w:p w14:paraId="2472CE5F" w14:textId="012DF72A" w:rsidR="00C976DB" w:rsidRPr="00EE43C6" w:rsidRDefault="002D31FF" w:rsidP="00E961E6">
      <w:pPr>
        <w:spacing w:before="200" w:after="200"/>
        <w:rPr>
          <w:rFonts w:cs="Wingdings"/>
          <w:szCs w:val="22"/>
        </w:rPr>
      </w:pPr>
      <w:r w:rsidRPr="00EE43C6">
        <w:rPr>
          <w:rFonts w:cs="Wingdings"/>
          <w:szCs w:val="22"/>
        </w:rPr>
        <w:t>In the current situation</w:t>
      </w:r>
      <w:r w:rsidR="00BB71B1" w:rsidRPr="00EE43C6">
        <w:rPr>
          <w:rFonts w:cs="Wingdings"/>
          <w:szCs w:val="22"/>
        </w:rPr>
        <w:t xml:space="preserve"> of the land </w:t>
      </w:r>
      <w:r w:rsidR="003F4B65" w:rsidRPr="00EE43C6">
        <w:rPr>
          <w:rFonts w:cs="Wingdings"/>
          <w:szCs w:val="22"/>
        </w:rPr>
        <w:t>preparation works</w:t>
      </w:r>
      <w:r w:rsidRPr="00EE43C6">
        <w:rPr>
          <w:rFonts w:cs="Wingdings"/>
          <w:szCs w:val="22"/>
        </w:rPr>
        <w:t>, m</w:t>
      </w:r>
      <w:r w:rsidR="00335A24" w:rsidRPr="00EE43C6">
        <w:rPr>
          <w:rFonts w:cs="Wingdings"/>
          <w:szCs w:val="22"/>
        </w:rPr>
        <w:t xml:space="preserve">ost of the excavation works in the Project Area have been completed and the excavated soil has been used for backfilling within the Project Area. </w:t>
      </w:r>
      <w:r w:rsidR="00A7117D" w:rsidRPr="00EE43C6">
        <w:rPr>
          <w:rFonts w:cs="Wingdings"/>
          <w:szCs w:val="22"/>
        </w:rPr>
        <w:t>Accordingly</w:t>
      </w:r>
      <w:r w:rsidR="00335A24" w:rsidRPr="00EE43C6">
        <w:rPr>
          <w:rFonts w:cs="Wingdings"/>
          <w:szCs w:val="22"/>
        </w:rPr>
        <w:t xml:space="preserve">, it is planned to use the remaining excavation soil to be excavated </w:t>
      </w:r>
      <w:r w:rsidR="00A7117D" w:rsidRPr="00EE43C6">
        <w:rPr>
          <w:rFonts w:cs="Wingdings"/>
          <w:szCs w:val="22"/>
        </w:rPr>
        <w:t xml:space="preserve">for </w:t>
      </w:r>
      <w:r w:rsidR="00335A24" w:rsidRPr="00EE43C6">
        <w:rPr>
          <w:rFonts w:cs="Wingdings"/>
          <w:szCs w:val="22"/>
        </w:rPr>
        <w:t>backfill</w:t>
      </w:r>
      <w:r w:rsidR="00A7117D" w:rsidRPr="00EE43C6">
        <w:rPr>
          <w:rFonts w:cs="Wingdings"/>
          <w:szCs w:val="22"/>
        </w:rPr>
        <w:t>ing too</w:t>
      </w:r>
      <w:r w:rsidR="00335A24" w:rsidRPr="00EE43C6">
        <w:rPr>
          <w:rFonts w:cs="Wingdings"/>
          <w:szCs w:val="22"/>
        </w:rPr>
        <w:t xml:space="preserve">. If it is required to be taken out of the </w:t>
      </w:r>
      <w:r w:rsidR="00795EC9" w:rsidRPr="00EE43C6">
        <w:rPr>
          <w:rFonts w:cs="Wingdings"/>
          <w:szCs w:val="22"/>
        </w:rPr>
        <w:t>P</w:t>
      </w:r>
      <w:r w:rsidR="00335A24" w:rsidRPr="00EE43C6">
        <w:rPr>
          <w:rFonts w:cs="Wingdings"/>
          <w:szCs w:val="22"/>
        </w:rPr>
        <w:t xml:space="preserve">roject </w:t>
      </w:r>
      <w:r w:rsidR="00795EC9" w:rsidRPr="00EE43C6">
        <w:rPr>
          <w:rFonts w:cs="Wingdings"/>
          <w:szCs w:val="22"/>
        </w:rPr>
        <w:t>A</w:t>
      </w:r>
      <w:r w:rsidR="00335A24" w:rsidRPr="00EE43C6">
        <w:rPr>
          <w:rFonts w:cs="Wingdings"/>
          <w:szCs w:val="22"/>
        </w:rPr>
        <w:t xml:space="preserve">rea, it will be sent to the </w:t>
      </w:r>
      <w:r w:rsidR="00795EC9" w:rsidRPr="00EE43C6">
        <w:rPr>
          <w:rFonts w:cs="Wingdings"/>
          <w:szCs w:val="22"/>
        </w:rPr>
        <w:t>permitted</w:t>
      </w:r>
      <w:r w:rsidR="00335A24" w:rsidRPr="00EE43C6">
        <w:rPr>
          <w:rFonts w:cs="Wingdings"/>
          <w:szCs w:val="22"/>
        </w:rPr>
        <w:t xml:space="preserve"> </w:t>
      </w:r>
      <w:r w:rsidR="00795EC9" w:rsidRPr="00EE43C6">
        <w:rPr>
          <w:rFonts w:cs="Wingdings"/>
          <w:szCs w:val="22"/>
        </w:rPr>
        <w:t>disposal</w:t>
      </w:r>
      <w:r w:rsidR="00335A24" w:rsidRPr="00EE43C6">
        <w:rPr>
          <w:rFonts w:cs="Wingdings"/>
          <w:szCs w:val="22"/>
        </w:rPr>
        <w:t xml:space="preserve"> area by authorized vehicles.</w:t>
      </w:r>
    </w:p>
    <w:p w14:paraId="1C2CCEB4" w14:textId="7E29780B" w:rsidR="00436CFD" w:rsidRPr="00EE43C6" w:rsidRDefault="00436CFD" w:rsidP="00E961E6">
      <w:pPr>
        <w:spacing w:before="200" w:after="200"/>
        <w:rPr>
          <w:rFonts w:cs="Wingdings"/>
          <w:szCs w:val="22"/>
        </w:rPr>
      </w:pPr>
      <w:r w:rsidRPr="00EE43C6">
        <w:rPr>
          <w:rFonts w:cs="Wingdings"/>
          <w:szCs w:val="22"/>
        </w:rPr>
        <w:t xml:space="preserve">During the OIZ’s operation phase, it </w:t>
      </w:r>
      <w:r w:rsidR="00453FFF" w:rsidRPr="00EE43C6">
        <w:rPr>
          <w:rFonts w:cs="Wingdings"/>
          <w:szCs w:val="22"/>
        </w:rPr>
        <w:t xml:space="preserve">can be </w:t>
      </w:r>
      <w:r w:rsidRPr="00EE43C6">
        <w:rPr>
          <w:rFonts w:cs="Wingdings"/>
          <w:szCs w:val="22"/>
        </w:rPr>
        <w:t xml:space="preserve">seen that a similar </w:t>
      </w:r>
      <w:r w:rsidR="00453FFF" w:rsidRPr="00EE43C6">
        <w:rPr>
          <w:rFonts w:cs="Wingdings"/>
          <w:szCs w:val="22"/>
        </w:rPr>
        <w:t xml:space="preserve">kind of </w:t>
      </w:r>
      <w:r w:rsidRPr="00EE43C6">
        <w:rPr>
          <w:rFonts w:cs="Wingdings"/>
          <w:szCs w:val="22"/>
        </w:rPr>
        <w:t xml:space="preserve">impact will bring </w:t>
      </w:r>
      <w:r w:rsidR="00942DD1" w:rsidRPr="00EE43C6">
        <w:rPr>
          <w:rFonts w:cs="Wingdings"/>
          <w:szCs w:val="22"/>
        </w:rPr>
        <w:t>additional</w:t>
      </w:r>
      <w:r w:rsidRPr="00EE43C6">
        <w:rPr>
          <w:rFonts w:cs="Wingdings"/>
          <w:szCs w:val="22"/>
        </w:rPr>
        <w:t xml:space="preserve"> traffic load to the </w:t>
      </w:r>
      <w:r w:rsidR="00547070" w:rsidRPr="00EE43C6">
        <w:rPr>
          <w:rFonts w:cs="Wingdings"/>
          <w:szCs w:val="22"/>
        </w:rPr>
        <w:t>AoI of the Project</w:t>
      </w:r>
      <w:r w:rsidRPr="00EE43C6">
        <w:rPr>
          <w:rFonts w:cs="Wingdings"/>
          <w:szCs w:val="22"/>
        </w:rPr>
        <w:t xml:space="preserve"> with the facilities </w:t>
      </w:r>
      <w:r w:rsidR="001549B5" w:rsidRPr="00EE43C6">
        <w:rPr>
          <w:rFonts w:cs="Wingdings"/>
          <w:szCs w:val="22"/>
        </w:rPr>
        <w:t xml:space="preserve">and OIZ’s units </w:t>
      </w:r>
      <w:r w:rsidRPr="00EE43C6">
        <w:rPr>
          <w:rFonts w:cs="Wingdings"/>
          <w:szCs w:val="22"/>
        </w:rPr>
        <w:t>to be established.</w:t>
      </w:r>
    </w:p>
    <w:p w14:paraId="7327D9C7" w14:textId="17EF3F53" w:rsidR="005462C7" w:rsidRPr="00EE43C6" w:rsidRDefault="00864A5F" w:rsidP="00E961E6">
      <w:pPr>
        <w:spacing w:before="200" w:after="200"/>
        <w:rPr>
          <w:rFonts w:eastAsia="Cambria"/>
        </w:rPr>
      </w:pPr>
      <w:r w:rsidRPr="00EE43C6">
        <w:rPr>
          <w:rFonts w:eastAsia="Cambria"/>
        </w:rPr>
        <w:t>Therefore, impact significance</w:t>
      </w:r>
      <w:r w:rsidR="008C0B0B" w:rsidRPr="00EE43C6">
        <w:rPr>
          <w:rFonts w:eastAsia="Cambria"/>
        </w:rPr>
        <w:t xml:space="preserve"> in</w:t>
      </w:r>
      <w:r w:rsidRPr="00EE43C6">
        <w:rPr>
          <w:rFonts w:eastAsia="Cambria"/>
        </w:rPr>
        <w:t xml:space="preserve"> </w:t>
      </w:r>
      <w:r w:rsidRPr="00EE43C6">
        <w:rPr>
          <w:rFonts w:eastAsiaTheme="minorHAnsi"/>
          <w:lang w:eastAsia="en-US"/>
        </w:rPr>
        <w:t xml:space="preserve">the AoI of the Project </w:t>
      </w:r>
      <w:r w:rsidR="003E4BA2" w:rsidRPr="00EE43C6">
        <w:rPr>
          <w:rFonts w:eastAsia="Cambria"/>
        </w:rPr>
        <w:t xml:space="preserve">for the traffic and transportation </w:t>
      </w:r>
      <w:r w:rsidRPr="00EE43C6">
        <w:rPr>
          <w:rFonts w:eastAsia="Cambria"/>
        </w:rPr>
        <w:t xml:space="preserve">is determined as </w:t>
      </w:r>
      <w:r w:rsidR="003E4BA2" w:rsidRPr="00EE43C6">
        <w:rPr>
          <w:rFonts w:eastAsia="Cambria"/>
        </w:rPr>
        <w:t>medium</w:t>
      </w:r>
      <w:r w:rsidR="008C0B0B" w:rsidRPr="00EE43C6">
        <w:rPr>
          <w:rFonts w:eastAsia="Cambria"/>
        </w:rPr>
        <w:t xml:space="preserve"> </w:t>
      </w:r>
      <w:r w:rsidR="00663E91" w:rsidRPr="00EE43C6">
        <w:rPr>
          <w:rFonts w:eastAsia="Cambria"/>
        </w:rPr>
        <w:t xml:space="preserve">during both </w:t>
      </w:r>
      <w:r w:rsidR="0043674D" w:rsidRPr="00EE43C6">
        <w:rPr>
          <w:rFonts w:eastAsia="Cambria"/>
        </w:rPr>
        <w:t>construction</w:t>
      </w:r>
      <w:r w:rsidR="00663E91" w:rsidRPr="00EE43C6">
        <w:rPr>
          <w:rFonts w:eastAsia="Cambria"/>
        </w:rPr>
        <w:t xml:space="preserve"> and </w:t>
      </w:r>
      <w:r w:rsidR="006434EE" w:rsidRPr="00EE43C6">
        <w:rPr>
          <w:rFonts w:eastAsia="Cambria"/>
        </w:rPr>
        <w:t>operation of the Project</w:t>
      </w:r>
      <w:r w:rsidRPr="00EE43C6">
        <w:rPr>
          <w:rFonts w:eastAsia="Cambria"/>
        </w:rPr>
        <w:t>.</w:t>
      </w:r>
      <w:r w:rsidR="005462C7" w:rsidRPr="00EE43C6">
        <w:rPr>
          <w:rFonts w:eastAsia="Cambria"/>
        </w:rPr>
        <w:br w:type="page"/>
      </w:r>
    </w:p>
    <w:p w14:paraId="2A8763E3" w14:textId="477685F4" w:rsidR="004339AC" w:rsidRPr="00EE43C6" w:rsidRDefault="004339AC" w:rsidP="00DF6D6F">
      <w:pPr>
        <w:pStyle w:val="Heading1"/>
        <w:ind w:left="426"/>
        <w:rPr>
          <w:noProof w:val="0"/>
          <w:lang w:val="en-GB"/>
        </w:rPr>
      </w:pPr>
      <w:bookmarkStart w:id="710" w:name="_Toc83648200"/>
      <w:bookmarkStart w:id="711" w:name="_Toc83648194"/>
      <w:bookmarkStart w:id="712" w:name="_Toc83648188"/>
      <w:bookmarkStart w:id="713" w:name="_Toc83648182"/>
      <w:bookmarkStart w:id="714" w:name="_Toc83648176"/>
      <w:bookmarkStart w:id="715" w:name="_Toc83648170"/>
      <w:bookmarkStart w:id="716" w:name="_Toc83648164"/>
      <w:bookmarkStart w:id="717" w:name="_Toc83648158"/>
      <w:bookmarkStart w:id="718" w:name="_Toc83648152"/>
      <w:bookmarkStart w:id="719" w:name="_Toc83648144"/>
      <w:bookmarkStart w:id="720" w:name="_Toc83648143"/>
      <w:bookmarkStart w:id="721" w:name="_Toc83648142"/>
      <w:bookmarkStart w:id="722" w:name="_Toc83648141"/>
      <w:bookmarkStart w:id="723" w:name="_Toc83648140"/>
      <w:bookmarkStart w:id="724" w:name="_Toc141367321"/>
      <w:bookmarkStart w:id="725" w:name="_Toc141367619"/>
      <w:bookmarkStart w:id="726" w:name="_Toc141367322"/>
      <w:bookmarkStart w:id="727" w:name="_Toc141367620"/>
      <w:bookmarkStart w:id="728" w:name="_Toc141367323"/>
      <w:bookmarkStart w:id="729" w:name="_Toc141367621"/>
      <w:bookmarkStart w:id="730" w:name="_Toc80278370"/>
      <w:bookmarkStart w:id="731" w:name="_Toc141367415"/>
      <w:bookmarkStart w:id="732" w:name="_Toc141367713"/>
      <w:bookmarkStart w:id="733" w:name="_Toc141367416"/>
      <w:bookmarkStart w:id="734" w:name="_Toc141367714"/>
      <w:bookmarkStart w:id="735" w:name="_Toc141367417"/>
      <w:bookmarkStart w:id="736" w:name="_Toc141367715"/>
      <w:bookmarkStart w:id="737" w:name="_Toc141367418"/>
      <w:bookmarkStart w:id="738" w:name="_Toc141367716"/>
      <w:bookmarkStart w:id="739" w:name="_Toc141367419"/>
      <w:bookmarkStart w:id="740" w:name="_Toc141367717"/>
      <w:bookmarkStart w:id="741" w:name="_Toc141367420"/>
      <w:bookmarkStart w:id="742" w:name="_Toc141367718"/>
      <w:bookmarkStart w:id="743" w:name="_Toc129874815"/>
      <w:bookmarkStart w:id="744" w:name="_Toc130548300"/>
      <w:bookmarkStart w:id="745" w:name="_Toc130554533"/>
      <w:bookmarkStart w:id="746" w:name="_Toc130557493"/>
      <w:bookmarkStart w:id="747" w:name="_Toc130811274"/>
      <w:bookmarkStart w:id="748" w:name="_Toc133250150"/>
      <w:bookmarkStart w:id="749" w:name="_Toc129874816"/>
      <w:bookmarkStart w:id="750" w:name="_Toc130548301"/>
      <w:bookmarkStart w:id="751" w:name="_Toc130554534"/>
      <w:bookmarkStart w:id="752" w:name="_Toc130557494"/>
      <w:bookmarkStart w:id="753" w:name="_Toc130811275"/>
      <w:bookmarkStart w:id="754" w:name="_Toc133250151"/>
      <w:bookmarkStart w:id="755" w:name="_Toc129874817"/>
      <w:bookmarkStart w:id="756" w:name="_Toc130548302"/>
      <w:bookmarkStart w:id="757" w:name="_Toc130554535"/>
      <w:bookmarkStart w:id="758" w:name="_Toc130557495"/>
      <w:bookmarkStart w:id="759" w:name="_Toc130811276"/>
      <w:bookmarkStart w:id="760" w:name="_Toc133250152"/>
      <w:bookmarkStart w:id="761" w:name="_Toc141367421"/>
      <w:bookmarkStart w:id="762" w:name="_Toc141367719"/>
      <w:bookmarkStart w:id="763" w:name="_Toc141367422"/>
      <w:bookmarkStart w:id="764" w:name="_Toc141367720"/>
      <w:bookmarkStart w:id="765" w:name="_Toc141367423"/>
      <w:bookmarkStart w:id="766" w:name="_Toc141367721"/>
      <w:bookmarkStart w:id="767" w:name="_Toc141367424"/>
      <w:bookmarkStart w:id="768" w:name="_Toc141367722"/>
      <w:bookmarkStart w:id="769" w:name="_Toc141367425"/>
      <w:bookmarkStart w:id="770" w:name="_Toc141367723"/>
      <w:bookmarkStart w:id="771" w:name="_Toc141367426"/>
      <w:bookmarkStart w:id="772" w:name="_Toc141367724"/>
      <w:bookmarkStart w:id="773" w:name="_Toc141367427"/>
      <w:bookmarkStart w:id="774" w:name="_Toc141367725"/>
      <w:bookmarkStart w:id="775" w:name="_Toc141367428"/>
      <w:bookmarkStart w:id="776" w:name="_Toc141367726"/>
      <w:bookmarkStart w:id="777" w:name="_Toc141367429"/>
      <w:bookmarkStart w:id="778" w:name="_Toc141367727"/>
      <w:bookmarkStart w:id="779" w:name="_Toc122084464"/>
      <w:bookmarkStart w:id="780" w:name="_Toc122089648"/>
      <w:bookmarkStart w:id="781" w:name="_Toc129874819"/>
      <w:bookmarkStart w:id="782" w:name="_Toc130548304"/>
      <w:bookmarkStart w:id="783" w:name="_Toc130554537"/>
      <w:bookmarkStart w:id="784" w:name="_Toc130557497"/>
      <w:bookmarkStart w:id="785" w:name="_Toc130811278"/>
      <w:bookmarkStart w:id="786" w:name="_Toc133250154"/>
      <w:bookmarkStart w:id="787" w:name="_Toc129874820"/>
      <w:bookmarkStart w:id="788" w:name="_Toc130548305"/>
      <w:bookmarkStart w:id="789" w:name="_Toc130554538"/>
      <w:bookmarkStart w:id="790" w:name="_Toc130557498"/>
      <w:bookmarkStart w:id="791" w:name="_Toc130811279"/>
      <w:bookmarkStart w:id="792" w:name="_Toc133250155"/>
      <w:bookmarkStart w:id="793" w:name="_Toc129874821"/>
      <w:bookmarkStart w:id="794" w:name="_Toc130548306"/>
      <w:bookmarkStart w:id="795" w:name="_Toc130554539"/>
      <w:bookmarkStart w:id="796" w:name="_Toc130557499"/>
      <w:bookmarkStart w:id="797" w:name="_Toc130811280"/>
      <w:bookmarkStart w:id="798" w:name="_Toc133250156"/>
      <w:bookmarkStart w:id="799" w:name="_Toc129874822"/>
      <w:bookmarkStart w:id="800" w:name="_Toc130548307"/>
      <w:bookmarkStart w:id="801" w:name="_Toc130554540"/>
      <w:bookmarkStart w:id="802" w:name="_Toc130557500"/>
      <w:bookmarkStart w:id="803" w:name="_Toc130811281"/>
      <w:bookmarkStart w:id="804" w:name="_Toc133250157"/>
      <w:bookmarkStart w:id="805" w:name="_Toc129874823"/>
      <w:bookmarkStart w:id="806" w:name="_Toc130548308"/>
      <w:bookmarkStart w:id="807" w:name="_Toc130554541"/>
      <w:bookmarkStart w:id="808" w:name="_Toc130557501"/>
      <w:bookmarkStart w:id="809" w:name="_Toc130811282"/>
      <w:bookmarkStart w:id="810" w:name="_Toc133250158"/>
      <w:bookmarkStart w:id="811" w:name="_Toc129874824"/>
      <w:bookmarkStart w:id="812" w:name="_Toc130548309"/>
      <w:bookmarkStart w:id="813" w:name="_Toc130554542"/>
      <w:bookmarkStart w:id="814" w:name="_Toc130557502"/>
      <w:bookmarkStart w:id="815" w:name="_Toc130811283"/>
      <w:bookmarkStart w:id="816" w:name="_Toc133250159"/>
      <w:bookmarkStart w:id="817" w:name="_Toc129874825"/>
      <w:bookmarkStart w:id="818" w:name="_Toc130548310"/>
      <w:bookmarkStart w:id="819" w:name="_Toc130554543"/>
      <w:bookmarkStart w:id="820" w:name="_Toc130557503"/>
      <w:bookmarkStart w:id="821" w:name="_Toc130811284"/>
      <w:bookmarkStart w:id="822" w:name="_Toc133250160"/>
      <w:bookmarkStart w:id="823" w:name="_Toc129874826"/>
      <w:bookmarkStart w:id="824" w:name="_Toc130548311"/>
      <w:bookmarkStart w:id="825" w:name="_Toc130554544"/>
      <w:bookmarkStart w:id="826" w:name="_Toc130557504"/>
      <w:bookmarkStart w:id="827" w:name="_Toc130811285"/>
      <w:bookmarkStart w:id="828" w:name="_Toc133250161"/>
      <w:bookmarkStart w:id="829" w:name="_Toc129874827"/>
      <w:bookmarkStart w:id="830" w:name="_Toc130548312"/>
      <w:bookmarkStart w:id="831" w:name="_Toc130554545"/>
      <w:bookmarkStart w:id="832" w:name="_Toc130557505"/>
      <w:bookmarkStart w:id="833" w:name="_Toc130811286"/>
      <w:bookmarkStart w:id="834" w:name="_Toc133250162"/>
      <w:bookmarkStart w:id="835" w:name="_Toc129874828"/>
      <w:bookmarkStart w:id="836" w:name="_Toc130548313"/>
      <w:bookmarkStart w:id="837" w:name="_Toc130554546"/>
      <w:bookmarkStart w:id="838" w:name="_Toc130557506"/>
      <w:bookmarkStart w:id="839" w:name="_Toc130811287"/>
      <w:bookmarkStart w:id="840" w:name="_Toc133250163"/>
      <w:bookmarkStart w:id="841" w:name="_Toc129874829"/>
      <w:bookmarkStart w:id="842" w:name="_Toc130548314"/>
      <w:bookmarkStart w:id="843" w:name="_Toc130554547"/>
      <w:bookmarkStart w:id="844" w:name="_Toc130557507"/>
      <w:bookmarkStart w:id="845" w:name="_Toc130811288"/>
      <w:bookmarkStart w:id="846" w:name="_Toc133250164"/>
      <w:bookmarkStart w:id="847" w:name="_Toc129874830"/>
      <w:bookmarkStart w:id="848" w:name="_Toc130548315"/>
      <w:bookmarkStart w:id="849" w:name="_Toc130554548"/>
      <w:bookmarkStart w:id="850" w:name="_Toc130557508"/>
      <w:bookmarkStart w:id="851" w:name="_Toc130811289"/>
      <w:bookmarkStart w:id="852" w:name="_Toc133250165"/>
      <w:bookmarkStart w:id="853" w:name="_Toc129874831"/>
      <w:bookmarkStart w:id="854" w:name="_Toc130548316"/>
      <w:bookmarkStart w:id="855" w:name="_Toc130554549"/>
      <w:bookmarkStart w:id="856" w:name="_Toc130557509"/>
      <w:bookmarkStart w:id="857" w:name="_Toc130811290"/>
      <w:bookmarkStart w:id="858" w:name="_Toc133250166"/>
      <w:bookmarkStart w:id="859" w:name="_Toc129874832"/>
      <w:bookmarkStart w:id="860" w:name="_Toc130548317"/>
      <w:bookmarkStart w:id="861" w:name="_Toc130554550"/>
      <w:bookmarkStart w:id="862" w:name="_Toc130557510"/>
      <w:bookmarkStart w:id="863" w:name="_Toc130811291"/>
      <w:bookmarkStart w:id="864" w:name="_Toc133250167"/>
      <w:bookmarkStart w:id="865" w:name="_Toc129874833"/>
      <w:bookmarkStart w:id="866" w:name="_Toc130548318"/>
      <w:bookmarkStart w:id="867" w:name="_Toc130554551"/>
      <w:bookmarkStart w:id="868" w:name="_Toc130557511"/>
      <w:bookmarkStart w:id="869" w:name="_Toc130811292"/>
      <w:bookmarkStart w:id="870" w:name="_Toc133250168"/>
      <w:bookmarkStart w:id="871" w:name="_Toc129874834"/>
      <w:bookmarkStart w:id="872" w:name="_Toc130548319"/>
      <w:bookmarkStart w:id="873" w:name="_Toc130554552"/>
      <w:bookmarkStart w:id="874" w:name="_Toc130557512"/>
      <w:bookmarkStart w:id="875" w:name="_Toc130811293"/>
      <w:bookmarkStart w:id="876" w:name="_Toc133250169"/>
      <w:bookmarkStart w:id="877" w:name="_Toc129874835"/>
      <w:bookmarkStart w:id="878" w:name="_Toc130548320"/>
      <w:bookmarkStart w:id="879" w:name="_Toc130554553"/>
      <w:bookmarkStart w:id="880" w:name="_Toc130557513"/>
      <w:bookmarkStart w:id="881" w:name="_Toc130811294"/>
      <w:bookmarkStart w:id="882" w:name="_Toc133250170"/>
      <w:bookmarkStart w:id="883" w:name="_Toc129874836"/>
      <w:bookmarkStart w:id="884" w:name="_Toc130548321"/>
      <w:bookmarkStart w:id="885" w:name="_Toc130554554"/>
      <w:bookmarkStart w:id="886" w:name="_Toc130557514"/>
      <w:bookmarkStart w:id="887" w:name="_Toc130811295"/>
      <w:bookmarkStart w:id="888" w:name="_Toc133250171"/>
      <w:bookmarkStart w:id="889" w:name="_Toc129874837"/>
      <w:bookmarkStart w:id="890" w:name="_Toc130548322"/>
      <w:bookmarkStart w:id="891" w:name="_Toc130554555"/>
      <w:bookmarkStart w:id="892" w:name="_Toc130557515"/>
      <w:bookmarkStart w:id="893" w:name="_Toc130811296"/>
      <w:bookmarkStart w:id="894" w:name="_Toc133250172"/>
      <w:bookmarkStart w:id="895" w:name="_Toc129874838"/>
      <w:bookmarkStart w:id="896" w:name="_Toc130548323"/>
      <w:bookmarkStart w:id="897" w:name="_Toc130554556"/>
      <w:bookmarkStart w:id="898" w:name="_Toc130557516"/>
      <w:bookmarkStart w:id="899" w:name="_Toc130811297"/>
      <w:bookmarkStart w:id="900" w:name="_Toc133250173"/>
      <w:bookmarkStart w:id="901" w:name="_Toc129874839"/>
      <w:bookmarkStart w:id="902" w:name="_Toc130548324"/>
      <w:bookmarkStart w:id="903" w:name="_Toc130554557"/>
      <w:bookmarkStart w:id="904" w:name="_Toc130557517"/>
      <w:bookmarkStart w:id="905" w:name="_Toc130811298"/>
      <w:bookmarkStart w:id="906" w:name="_Toc133250174"/>
      <w:bookmarkStart w:id="907" w:name="_Toc129874840"/>
      <w:bookmarkStart w:id="908" w:name="_Toc130548325"/>
      <w:bookmarkStart w:id="909" w:name="_Toc130554558"/>
      <w:bookmarkStart w:id="910" w:name="_Toc130557518"/>
      <w:bookmarkStart w:id="911" w:name="_Toc130811299"/>
      <w:bookmarkStart w:id="912" w:name="_Toc133250175"/>
      <w:bookmarkStart w:id="913" w:name="_Toc141367431"/>
      <w:bookmarkStart w:id="914" w:name="_Toc141367729"/>
      <w:bookmarkStart w:id="915" w:name="_Toc141367432"/>
      <w:bookmarkStart w:id="916" w:name="_Toc141367730"/>
      <w:bookmarkStart w:id="917" w:name="_Toc141367433"/>
      <w:bookmarkStart w:id="918" w:name="_Toc141367731"/>
      <w:bookmarkStart w:id="919" w:name="_Toc141367434"/>
      <w:bookmarkStart w:id="920" w:name="_Toc141367732"/>
      <w:bookmarkStart w:id="921" w:name="_Toc141367436"/>
      <w:bookmarkStart w:id="922" w:name="_Toc141367734"/>
      <w:bookmarkStart w:id="923" w:name="_Toc129874842"/>
      <w:bookmarkStart w:id="924" w:name="_Toc130548327"/>
      <w:bookmarkStart w:id="925" w:name="_Toc130554560"/>
      <w:bookmarkStart w:id="926" w:name="_Toc130557520"/>
      <w:bookmarkStart w:id="927" w:name="_Toc130811301"/>
      <w:bookmarkStart w:id="928" w:name="_Toc133250177"/>
      <w:bookmarkStart w:id="929" w:name="_Toc129874843"/>
      <w:bookmarkStart w:id="930" w:name="_Toc130548328"/>
      <w:bookmarkStart w:id="931" w:name="_Toc130554561"/>
      <w:bookmarkStart w:id="932" w:name="_Toc130557521"/>
      <w:bookmarkStart w:id="933" w:name="_Toc130811302"/>
      <w:bookmarkStart w:id="934" w:name="_Toc133250178"/>
      <w:bookmarkStart w:id="935" w:name="_Toc129874844"/>
      <w:bookmarkStart w:id="936" w:name="_Toc130548329"/>
      <w:bookmarkStart w:id="937" w:name="_Toc130554562"/>
      <w:bookmarkStart w:id="938" w:name="_Toc130557522"/>
      <w:bookmarkStart w:id="939" w:name="_Toc130811303"/>
      <w:bookmarkStart w:id="940" w:name="_Toc133250179"/>
      <w:bookmarkStart w:id="941" w:name="_Toc129874845"/>
      <w:bookmarkStart w:id="942" w:name="_Toc130548330"/>
      <w:bookmarkStart w:id="943" w:name="_Toc130554563"/>
      <w:bookmarkStart w:id="944" w:name="_Toc130557523"/>
      <w:bookmarkStart w:id="945" w:name="_Toc130811304"/>
      <w:bookmarkStart w:id="946" w:name="_Toc133250180"/>
      <w:bookmarkStart w:id="947" w:name="_Toc129874846"/>
      <w:bookmarkStart w:id="948" w:name="_Toc130548331"/>
      <w:bookmarkStart w:id="949" w:name="_Toc130554564"/>
      <w:bookmarkStart w:id="950" w:name="_Toc130557524"/>
      <w:bookmarkStart w:id="951" w:name="_Toc130811305"/>
      <w:bookmarkStart w:id="952" w:name="_Toc133250181"/>
      <w:bookmarkStart w:id="953" w:name="_Toc129874847"/>
      <w:bookmarkStart w:id="954" w:name="_Toc130548332"/>
      <w:bookmarkStart w:id="955" w:name="_Toc130554565"/>
      <w:bookmarkStart w:id="956" w:name="_Toc130557525"/>
      <w:bookmarkStart w:id="957" w:name="_Toc130811306"/>
      <w:bookmarkStart w:id="958" w:name="_Toc133250182"/>
      <w:bookmarkStart w:id="959" w:name="_Toc129874848"/>
      <w:bookmarkStart w:id="960" w:name="_Toc130548333"/>
      <w:bookmarkStart w:id="961" w:name="_Toc130554566"/>
      <w:bookmarkStart w:id="962" w:name="_Toc130557526"/>
      <w:bookmarkStart w:id="963" w:name="_Toc130811307"/>
      <w:bookmarkStart w:id="964" w:name="_Toc133250183"/>
      <w:bookmarkStart w:id="965" w:name="_Toc129874849"/>
      <w:bookmarkStart w:id="966" w:name="_Toc130548334"/>
      <w:bookmarkStart w:id="967" w:name="_Toc130554567"/>
      <w:bookmarkStart w:id="968" w:name="_Toc130557527"/>
      <w:bookmarkStart w:id="969" w:name="_Toc130811308"/>
      <w:bookmarkStart w:id="970" w:name="_Toc133250184"/>
      <w:bookmarkStart w:id="971" w:name="_Toc129874850"/>
      <w:bookmarkStart w:id="972" w:name="_Toc130548335"/>
      <w:bookmarkStart w:id="973" w:name="_Toc130554568"/>
      <w:bookmarkStart w:id="974" w:name="_Toc130557528"/>
      <w:bookmarkStart w:id="975" w:name="_Toc130811309"/>
      <w:bookmarkStart w:id="976" w:name="_Toc133250185"/>
      <w:bookmarkStart w:id="977" w:name="_Toc129874851"/>
      <w:bookmarkStart w:id="978" w:name="_Toc130548336"/>
      <w:bookmarkStart w:id="979" w:name="_Toc130554569"/>
      <w:bookmarkStart w:id="980" w:name="_Toc130557529"/>
      <w:bookmarkStart w:id="981" w:name="_Toc130811310"/>
      <w:bookmarkStart w:id="982" w:name="_Toc133250186"/>
      <w:bookmarkStart w:id="983" w:name="_Toc129874852"/>
      <w:bookmarkStart w:id="984" w:name="_Toc130548337"/>
      <w:bookmarkStart w:id="985" w:name="_Toc130554570"/>
      <w:bookmarkStart w:id="986" w:name="_Toc130557530"/>
      <w:bookmarkStart w:id="987" w:name="_Toc130811311"/>
      <w:bookmarkStart w:id="988" w:name="_Toc133250187"/>
      <w:bookmarkStart w:id="989" w:name="_Toc129874853"/>
      <w:bookmarkStart w:id="990" w:name="_Toc130548338"/>
      <w:bookmarkStart w:id="991" w:name="_Toc130554571"/>
      <w:bookmarkStart w:id="992" w:name="_Toc130557531"/>
      <w:bookmarkStart w:id="993" w:name="_Toc130811312"/>
      <w:bookmarkStart w:id="994" w:name="_Toc133250188"/>
      <w:bookmarkStart w:id="995" w:name="_Toc129874854"/>
      <w:bookmarkStart w:id="996" w:name="_Toc130548339"/>
      <w:bookmarkStart w:id="997" w:name="_Toc130554572"/>
      <w:bookmarkStart w:id="998" w:name="_Toc130557532"/>
      <w:bookmarkStart w:id="999" w:name="_Toc130811313"/>
      <w:bookmarkStart w:id="1000" w:name="_Toc133250189"/>
      <w:bookmarkStart w:id="1001" w:name="_Toc129874855"/>
      <w:bookmarkStart w:id="1002" w:name="_Toc130548340"/>
      <w:bookmarkStart w:id="1003" w:name="_Toc130554573"/>
      <w:bookmarkStart w:id="1004" w:name="_Toc130557533"/>
      <w:bookmarkStart w:id="1005" w:name="_Toc130811314"/>
      <w:bookmarkStart w:id="1006" w:name="_Toc133250190"/>
      <w:bookmarkStart w:id="1007" w:name="_Toc129874856"/>
      <w:bookmarkStart w:id="1008" w:name="_Toc130548341"/>
      <w:bookmarkStart w:id="1009" w:name="_Toc130554574"/>
      <w:bookmarkStart w:id="1010" w:name="_Toc130557534"/>
      <w:bookmarkStart w:id="1011" w:name="_Toc130811315"/>
      <w:bookmarkStart w:id="1012" w:name="_Toc133250191"/>
      <w:bookmarkStart w:id="1013" w:name="_Toc129874857"/>
      <w:bookmarkStart w:id="1014" w:name="_Toc130548342"/>
      <w:bookmarkStart w:id="1015" w:name="_Toc130554575"/>
      <w:bookmarkStart w:id="1016" w:name="_Toc130557535"/>
      <w:bookmarkStart w:id="1017" w:name="_Toc130811316"/>
      <w:bookmarkStart w:id="1018" w:name="_Toc133250192"/>
      <w:bookmarkStart w:id="1019" w:name="_Toc129874858"/>
      <w:bookmarkStart w:id="1020" w:name="_Toc130548343"/>
      <w:bookmarkStart w:id="1021" w:name="_Toc130554576"/>
      <w:bookmarkStart w:id="1022" w:name="_Toc130557536"/>
      <w:bookmarkStart w:id="1023" w:name="_Toc130811317"/>
      <w:bookmarkStart w:id="1024" w:name="_Toc133250193"/>
      <w:bookmarkStart w:id="1025" w:name="_Toc129874859"/>
      <w:bookmarkStart w:id="1026" w:name="_Toc130548344"/>
      <w:bookmarkStart w:id="1027" w:name="_Toc130554577"/>
      <w:bookmarkStart w:id="1028" w:name="_Toc130557537"/>
      <w:bookmarkStart w:id="1029" w:name="_Toc130811318"/>
      <w:bookmarkStart w:id="1030" w:name="_Toc133250194"/>
      <w:bookmarkStart w:id="1031" w:name="_Toc129874860"/>
      <w:bookmarkStart w:id="1032" w:name="_Toc130548345"/>
      <w:bookmarkStart w:id="1033" w:name="_Toc130554578"/>
      <w:bookmarkStart w:id="1034" w:name="_Toc130557538"/>
      <w:bookmarkStart w:id="1035" w:name="_Toc130811319"/>
      <w:bookmarkStart w:id="1036" w:name="_Toc133250195"/>
      <w:bookmarkStart w:id="1037" w:name="_Toc129874861"/>
      <w:bookmarkStart w:id="1038" w:name="_Toc130548346"/>
      <w:bookmarkStart w:id="1039" w:name="_Toc130554579"/>
      <w:bookmarkStart w:id="1040" w:name="_Toc130557539"/>
      <w:bookmarkStart w:id="1041" w:name="_Toc130811320"/>
      <w:bookmarkStart w:id="1042" w:name="_Toc133250196"/>
      <w:bookmarkStart w:id="1043" w:name="_Toc129874862"/>
      <w:bookmarkStart w:id="1044" w:name="_Toc130548347"/>
      <w:bookmarkStart w:id="1045" w:name="_Toc130554580"/>
      <w:bookmarkStart w:id="1046" w:name="_Toc130557540"/>
      <w:bookmarkStart w:id="1047" w:name="_Toc130811321"/>
      <w:bookmarkStart w:id="1048" w:name="_Toc133250197"/>
      <w:bookmarkStart w:id="1049" w:name="_Toc129874863"/>
      <w:bookmarkStart w:id="1050" w:name="_Toc130548348"/>
      <w:bookmarkStart w:id="1051" w:name="_Toc130554581"/>
      <w:bookmarkStart w:id="1052" w:name="_Toc130557541"/>
      <w:bookmarkStart w:id="1053" w:name="_Toc130811322"/>
      <w:bookmarkStart w:id="1054" w:name="_Toc133250198"/>
      <w:bookmarkStart w:id="1055" w:name="_Toc129874864"/>
      <w:bookmarkStart w:id="1056" w:name="_Toc130548349"/>
      <w:bookmarkStart w:id="1057" w:name="_Toc130554582"/>
      <w:bookmarkStart w:id="1058" w:name="_Toc130557542"/>
      <w:bookmarkStart w:id="1059" w:name="_Toc130811323"/>
      <w:bookmarkStart w:id="1060" w:name="_Toc133250199"/>
      <w:bookmarkStart w:id="1061" w:name="_Toc129874865"/>
      <w:bookmarkStart w:id="1062" w:name="_Toc130548350"/>
      <w:bookmarkStart w:id="1063" w:name="_Toc130554583"/>
      <w:bookmarkStart w:id="1064" w:name="_Toc130557543"/>
      <w:bookmarkStart w:id="1065" w:name="_Toc130811324"/>
      <w:bookmarkStart w:id="1066" w:name="_Toc133250200"/>
      <w:bookmarkStart w:id="1067" w:name="_Toc129874866"/>
      <w:bookmarkStart w:id="1068" w:name="_Toc130548351"/>
      <w:bookmarkStart w:id="1069" w:name="_Toc130554584"/>
      <w:bookmarkStart w:id="1070" w:name="_Toc130557544"/>
      <w:bookmarkStart w:id="1071" w:name="_Toc130811325"/>
      <w:bookmarkStart w:id="1072" w:name="_Toc133250201"/>
      <w:bookmarkStart w:id="1073" w:name="_Toc141367460"/>
      <w:bookmarkStart w:id="1074" w:name="_Toc141367758"/>
      <w:bookmarkStart w:id="1075" w:name="_Toc141367461"/>
      <w:bookmarkStart w:id="1076" w:name="_Toc141367759"/>
      <w:bookmarkStart w:id="1077" w:name="_Toc141367462"/>
      <w:bookmarkStart w:id="1078" w:name="_Toc141367760"/>
      <w:bookmarkStart w:id="1079" w:name="_Toc141367463"/>
      <w:bookmarkStart w:id="1080" w:name="_Toc141367761"/>
      <w:bookmarkStart w:id="1081" w:name="_Toc141367464"/>
      <w:bookmarkStart w:id="1082" w:name="_Toc141367762"/>
      <w:bookmarkStart w:id="1083" w:name="_Toc141367465"/>
      <w:bookmarkStart w:id="1084" w:name="_Toc141367763"/>
      <w:bookmarkStart w:id="1085" w:name="_Toc141367466"/>
      <w:bookmarkStart w:id="1086" w:name="_Toc141367764"/>
      <w:bookmarkStart w:id="1087" w:name="_Toc141367467"/>
      <w:bookmarkStart w:id="1088" w:name="_Toc141367765"/>
      <w:bookmarkStart w:id="1089" w:name="_Toc141367468"/>
      <w:bookmarkStart w:id="1090" w:name="_Toc141367766"/>
      <w:bookmarkStart w:id="1091" w:name="_Toc141367469"/>
      <w:bookmarkStart w:id="1092" w:name="_Toc141367767"/>
      <w:bookmarkStart w:id="1093" w:name="_Toc129874975"/>
      <w:bookmarkStart w:id="1094" w:name="_Toc130548460"/>
      <w:bookmarkStart w:id="1095" w:name="_Toc130554693"/>
      <w:bookmarkStart w:id="1096" w:name="_Toc130557653"/>
      <w:bookmarkStart w:id="1097" w:name="_Toc130811434"/>
      <w:bookmarkStart w:id="1098" w:name="_Toc133250310"/>
      <w:bookmarkStart w:id="1099" w:name="_Toc129874976"/>
      <w:bookmarkStart w:id="1100" w:name="_Toc130548461"/>
      <w:bookmarkStart w:id="1101" w:name="_Toc130554694"/>
      <w:bookmarkStart w:id="1102" w:name="_Toc130557654"/>
      <w:bookmarkStart w:id="1103" w:name="_Toc130811435"/>
      <w:bookmarkStart w:id="1104" w:name="_Toc133250311"/>
      <w:bookmarkStart w:id="1105" w:name="_Toc129874977"/>
      <w:bookmarkStart w:id="1106" w:name="_Toc130548462"/>
      <w:bookmarkStart w:id="1107" w:name="_Toc130554695"/>
      <w:bookmarkStart w:id="1108" w:name="_Toc130557655"/>
      <w:bookmarkStart w:id="1109" w:name="_Toc130811436"/>
      <w:bookmarkStart w:id="1110" w:name="_Toc133250312"/>
      <w:bookmarkStart w:id="1111" w:name="_Toc129874978"/>
      <w:bookmarkStart w:id="1112" w:name="_Toc130548463"/>
      <w:bookmarkStart w:id="1113" w:name="_Toc130554696"/>
      <w:bookmarkStart w:id="1114" w:name="_Toc130557656"/>
      <w:bookmarkStart w:id="1115" w:name="_Toc130811437"/>
      <w:bookmarkStart w:id="1116" w:name="_Toc133250313"/>
      <w:bookmarkStart w:id="1117" w:name="_Toc129874979"/>
      <w:bookmarkStart w:id="1118" w:name="_Toc130548464"/>
      <w:bookmarkStart w:id="1119" w:name="_Toc130554697"/>
      <w:bookmarkStart w:id="1120" w:name="_Toc130557657"/>
      <w:bookmarkStart w:id="1121" w:name="_Toc130811438"/>
      <w:bookmarkStart w:id="1122" w:name="_Toc133250314"/>
      <w:bookmarkStart w:id="1123" w:name="_Toc141367470"/>
      <w:bookmarkStart w:id="1124" w:name="_Toc141367768"/>
      <w:bookmarkStart w:id="1125" w:name="_Toc141367471"/>
      <w:bookmarkStart w:id="1126" w:name="_Toc141367769"/>
      <w:bookmarkStart w:id="1127" w:name="_Toc141367472"/>
      <w:bookmarkStart w:id="1128" w:name="_Toc141367770"/>
      <w:bookmarkStart w:id="1129" w:name="_Toc141367473"/>
      <w:bookmarkStart w:id="1130" w:name="_Toc141367771"/>
      <w:bookmarkStart w:id="1131" w:name="_Toc141367474"/>
      <w:bookmarkStart w:id="1132" w:name="_Toc141367772"/>
      <w:bookmarkStart w:id="1133" w:name="_Toc129874982"/>
      <w:bookmarkStart w:id="1134" w:name="_Toc130548467"/>
      <w:bookmarkStart w:id="1135" w:name="_Toc130554700"/>
      <w:bookmarkStart w:id="1136" w:name="_Toc130557660"/>
      <w:bookmarkStart w:id="1137" w:name="_Toc130811441"/>
      <w:bookmarkStart w:id="1138" w:name="_Toc133250317"/>
      <w:bookmarkStart w:id="1139" w:name="_Toc129874983"/>
      <w:bookmarkStart w:id="1140" w:name="_Toc130548468"/>
      <w:bookmarkStart w:id="1141" w:name="_Toc130554701"/>
      <w:bookmarkStart w:id="1142" w:name="_Toc130557661"/>
      <w:bookmarkStart w:id="1143" w:name="_Toc130811442"/>
      <w:bookmarkStart w:id="1144" w:name="_Toc133250318"/>
      <w:bookmarkStart w:id="1145" w:name="_Toc129874984"/>
      <w:bookmarkStart w:id="1146" w:name="_Toc130548469"/>
      <w:bookmarkStart w:id="1147" w:name="_Toc130554702"/>
      <w:bookmarkStart w:id="1148" w:name="_Toc130557662"/>
      <w:bookmarkStart w:id="1149" w:name="_Toc130811443"/>
      <w:bookmarkStart w:id="1150" w:name="_Toc133250319"/>
      <w:bookmarkStart w:id="1151" w:name="_Toc129875002"/>
      <w:bookmarkStart w:id="1152" w:name="_Toc130548487"/>
      <w:bookmarkStart w:id="1153" w:name="_Toc130554720"/>
      <w:bookmarkStart w:id="1154" w:name="_Toc130557680"/>
      <w:bookmarkStart w:id="1155" w:name="_Toc130811461"/>
      <w:bookmarkStart w:id="1156" w:name="_Toc133250337"/>
      <w:bookmarkStart w:id="1157" w:name="_Toc129875003"/>
      <w:bookmarkStart w:id="1158" w:name="_Toc130548488"/>
      <w:bookmarkStart w:id="1159" w:name="_Toc130554721"/>
      <w:bookmarkStart w:id="1160" w:name="_Toc130557681"/>
      <w:bookmarkStart w:id="1161" w:name="_Toc130811462"/>
      <w:bookmarkStart w:id="1162" w:name="_Toc133250338"/>
      <w:bookmarkStart w:id="1163" w:name="_Toc129875004"/>
      <w:bookmarkStart w:id="1164" w:name="_Toc130548489"/>
      <w:bookmarkStart w:id="1165" w:name="_Toc130554722"/>
      <w:bookmarkStart w:id="1166" w:name="_Toc130557682"/>
      <w:bookmarkStart w:id="1167" w:name="_Toc130811463"/>
      <w:bookmarkStart w:id="1168" w:name="_Toc133250339"/>
      <w:bookmarkStart w:id="1169" w:name="_Toc129875005"/>
      <w:bookmarkStart w:id="1170" w:name="_Toc130548490"/>
      <w:bookmarkStart w:id="1171" w:name="_Toc130554723"/>
      <w:bookmarkStart w:id="1172" w:name="_Toc130557683"/>
      <w:bookmarkStart w:id="1173" w:name="_Toc130811464"/>
      <w:bookmarkStart w:id="1174" w:name="_Toc133250340"/>
      <w:bookmarkStart w:id="1175" w:name="_Toc129875006"/>
      <w:bookmarkStart w:id="1176" w:name="_Toc130548491"/>
      <w:bookmarkStart w:id="1177" w:name="_Toc130554724"/>
      <w:bookmarkStart w:id="1178" w:name="_Toc130557684"/>
      <w:bookmarkStart w:id="1179" w:name="_Toc130811465"/>
      <w:bookmarkStart w:id="1180" w:name="_Toc133250341"/>
      <w:bookmarkStart w:id="1181" w:name="_Toc141367475"/>
      <w:bookmarkStart w:id="1182" w:name="_Toc141367773"/>
      <w:bookmarkStart w:id="1183" w:name="_Toc141367476"/>
      <w:bookmarkStart w:id="1184" w:name="_Toc141367774"/>
      <w:bookmarkStart w:id="1185" w:name="_Toc141367477"/>
      <w:bookmarkStart w:id="1186" w:name="_Toc141367775"/>
      <w:bookmarkStart w:id="1187" w:name="_Toc141367478"/>
      <w:bookmarkStart w:id="1188" w:name="_Toc141367776"/>
      <w:bookmarkStart w:id="1189" w:name="_Toc141367479"/>
      <w:bookmarkStart w:id="1190" w:name="_Toc141367777"/>
      <w:bookmarkStart w:id="1191" w:name="_Toc141367480"/>
      <w:bookmarkStart w:id="1192" w:name="_Toc141367778"/>
      <w:bookmarkStart w:id="1193" w:name="_Toc141367481"/>
      <w:bookmarkStart w:id="1194" w:name="_Toc141367779"/>
      <w:bookmarkStart w:id="1195" w:name="_Toc141367482"/>
      <w:bookmarkStart w:id="1196" w:name="_Toc141367780"/>
      <w:bookmarkStart w:id="1197" w:name="_Toc141367483"/>
      <w:bookmarkStart w:id="1198" w:name="_Toc141367781"/>
      <w:bookmarkStart w:id="1199" w:name="_Toc141367484"/>
      <w:bookmarkStart w:id="1200" w:name="_Toc141367782"/>
      <w:bookmarkStart w:id="1201" w:name="_Toc141367485"/>
      <w:bookmarkStart w:id="1202" w:name="_Toc141367783"/>
      <w:bookmarkStart w:id="1203" w:name="_Toc141367486"/>
      <w:bookmarkStart w:id="1204" w:name="_Toc141367784"/>
      <w:bookmarkStart w:id="1205" w:name="_Toc141367487"/>
      <w:bookmarkStart w:id="1206" w:name="_Toc141367785"/>
      <w:bookmarkStart w:id="1207" w:name="_Toc141367488"/>
      <w:bookmarkStart w:id="1208" w:name="_Toc141367786"/>
      <w:bookmarkStart w:id="1209" w:name="_Toc141367489"/>
      <w:bookmarkStart w:id="1210" w:name="_Toc141367787"/>
      <w:bookmarkStart w:id="1211" w:name="_Toc141367490"/>
      <w:bookmarkStart w:id="1212" w:name="_Toc141367788"/>
      <w:bookmarkStart w:id="1213" w:name="_Toc141367491"/>
      <w:bookmarkStart w:id="1214" w:name="_Toc141367789"/>
      <w:bookmarkStart w:id="1215" w:name="_Toc129875024"/>
      <w:bookmarkStart w:id="1216" w:name="_Toc130548509"/>
      <w:bookmarkStart w:id="1217" w:name="_Toc130554742"/>
      <w:bookmarkStart w:id="1218" w:name="_Toc130557702"/>
      <w:bookmarkStart w:id="1219" w:name="_Toc130811483"/>
      <w:bookmarkStart w:id="1220" w:name="_Toc133250359"/>
      <w:bookmarkStart w:id="1221" w:name="_Toc129875025"/>
      <w:bookmarkStart w:id="1222" w:name="_Toc130548510"/>
      <w:bookmarkStart w:id="1223" w:name="_Toc130554743"/>
      <w:bookmarkStart w:id="1224" w:name="_Toc130557703"/>
      <w:bookmarkStart w:id="1225" w:name="_Toc130811484"/>
      <w:bookmarkStart w:id="1226" w:name="_Toc133250360"/>
      <w:bookmarkStart w:id="1227" w:name="_Toc129875026"/>
      <w:bookmarkStart w:id="1228" w:name="_Toc130548511"/>
      <w:bookmarkStart w:id="1229" w:name="_Toc130554744"/>
      <w:bookmarkStart w:id="1230" w:name="_Toc130557704"/>
      <w:bookmarkStart w:id="1231" w:name="_Toc130811485"/>
      <w:bookmarkStart w:id="1232" w:name="_Toc133250361"/>
      <w:bookmarkStart w:id="1233" w:name="_Toc129875027"/>
      <w:bookmarkStart w:id="1234" w:name="_Toc130548512"/>
      <w:bookmarkStart w:id="1235" w:name="_Toc130554745"/>
      <w:bookmarkStart w:id="1236" w:name="_Toc130557705"/>
      <w:bookmarkStart w:id="1237" w:name="_Toc130811486"/>
      <w:bookmarkStart w:id="1238" w:name="_Toc133250362"/>
      <w:bookmarkStart w:id="1239" w:name="_Toc129875028"/>
      <w:bookmarkStart w:id="1240" w:name="_Toc130548513"/>
      <w:bookmarkStart w:id="1241" w:name="_Toc130554746"/>
      <w:bookmarkStart w:id="1242" w:name="_Toc130557706"/>
      <w:bookmarkStart w:id="1243" w:name="_Toc130811487"/>
      <w:bookmarkStart w:id="1244" w:name="_Toc133250363"/>
      <w:bookmarkStart w:id="1245" w:name="_Toc129875029"/>
      <w:bookmarkStart w:id="1246" w:name="_Toc130548514"/>
      <w:bookmarkStart w:id="1247" w:name="_Toc130554747"/>
      <w:bookmarkStart w:id="1248" w:name="_Toc130557707"/>
      <w:bookmarkStart w:id="1249" w:name="_Toc130811488"/>
      <w:bookmarkStart w:id="1250" w:name="_Toc133250364"/>
      <w:bookmarkStart w:id="1251" w:name="_Toc129875045"/>
      <w:bookmarkStart w:id="1252" w:name="_Toc130548530"/>
      <w:bookmarkStart w:id="1253" w:name="_Toc130554763"/>
      <w:bookmarkStart w:id="1254" w:name="_Toc130557723"/>
      <w:bookmarkStart w:id="1255" w:name="_Toc130811504"/>
      <w:bookmarkStart w:id="1256" w:name="_Toc133250380"/>
      <w:bookmarkStart w:id="1257" w:name="_Toc129875046"/>
      <w:bookmarkStart w:id="1258" w:name="_Toc130548531"/>
      <w:bookmarkStart w:id="1259" w:name="_Toc130554764"/>
      <w:bookmarkStart w:id="1260" w:name="_Toc130557724"/>
      <w:bookmarkStart w:id="1261" w:name="_Toc130811505"/>
      <w:bookmarkStart w:id="1262" w:name="_Toc133250381"/>
      <w:bookmarkStart w:id="1263" w:name="_Toc129875047"/>
      <w:bookmarkStart w:id="1264" w:name="_Toc130548532"/>
      <w:bookmarkStart w:id="1265" w:name="_Toc130554765"/>
      <w:bookmarkStart w:id="1266" w:name="_Toc130557725"/>
      <w:bookmarkStart w:id="1267" w:name="_Toc130811506"/>
      <w:bookmarkStart w:id="1268" w:name="_Toc133250382"/>
      <w:bookmarkStart w:id="1269" w:name="_Toc129875048"/>
      <w:bookmarkStart w:id="1270" w:name="_Toc130548533"/>
      <w:bookmarkStart w:id="1271" w:name="_Toc130554766"/>
      <w:bookmarkStart w:id="1272" w:name="_Toc130557726"/>
      <w:bookmarkStart w:id="1273" w:name="_Toc130811507"/>
      <w:bookmarkStart w:id="1274" w:name="_Toc133250383"/>
      <w:bookmarkStart w:id="1275" w:name="_Toc129875049"/>
      <w:bookmarkStart w:id="1276" w:name="_Toc130548534"/>
      <w:bookmarkStart w:id="1277" w:name="_Toc130554767"/>
      <w:bookmarkStart w:id="1278" w:name="_Toc130557727"/>
      <w:bookmarkStart w:id="1279" w:name="_Toc130811508"/>
      <w:bookmarkStart w:id="1280" w:name="_Toc133250384"/>
      <w:bookmarkStart w:id="1281" w:name="_Toc129875050"/>
      <w:bookmarkStart w:id="1282" w:name="_Toc130548535"/>
      <w:bookmarkStart w:id="1283" w:name="_Toc130554768"/>
      <w:bookmarkStart w:id="1284" w:name="_Toc130557728"/>
      <w:bookmarkStart w:id="1285" w:name="_Toc130811509"/>
      <w:bookmarkStart w:id="1286" w:name="_Toc133250385"/>
      <w:bookmarkStart w:id="1287" w:name="_Toc129875051"/>
      <w:bookmarkStart w:id="1288" w:name="_Toc130548536"/>
      <w:bookmarkStart w:id="1289" w:name="_Toc130554769"/>
      <w:bookmarkStart w:id="1290" w:name="_Toc130557729"/>
      <w:bookmarkStart w:id="1291" w:name="_Toc130811510"/>
      <w:bookmarkStart w:id="1292" w:name="_Toc133250386"/>
      <w:bookmarkStart w:id="1293" w:name="_Toc129875052"/>
      <w:bookmarkStart w:id="1294" w:name="_Toc130548537"/>
      <w:bookmarkStart w:id="1295" w:name="_Toc130554770"/>
      <w:bookmarkStart w:id="1296" w:name="_Toc130557730"/>
      <w:bookmarkStart w:id="1297" w:name="_Toc130811511"/>
      <w:bookmarkStart w:id="1298" w:name="_Toc133250387"/>
      <w:bookmarkStart w:id="1299" w:name="_Toc129875053"/>
      <w:bookmarkStart w:id="1300" w:name="_Toc130548538"/>
      <w:bookmarkStart w:id="1301" w:name="_Toc130554771"/>
      <w:bookmarkStart w:id="1302" w:name="_Toc130557731"/>
      <w:bookmarkStart w:id="1303" w:name="_Toc130811512"/>
      <w:bookmarkStart w:id="1304" w:name="_Toc133250388"/>
      <w:bookmarkStart w:id="1305" w:name="_Toc129875054"/>
      <w:bookmarkStart w:id="1306" w:name="_Toc130548539"/>
      <w:bookmarkStart w:id="1307" w:name="_Toc130554772"/>
      <w:bookmarkStart w:id="1308" w:name="_Toc130557732"/>
      <w:bookmarkStart w:id="1309" w:name="_Toc130811513"/>
      <w:bookmarkStart w:id="1310" w:name="_Toc133250389"/>
      <w:bookmarkStart w:id="1311" w:name="_Toc129875055"/>
      <w:bookmarkStart w:id="1312" w:name="_Toc130548540"/>
      <w:bookmarkStart w:id="1313" w:name="_Toc130554773"/>
      <w:bookmarkStart w:id="1314" w:name="_Toc130557733"/>
      <w:bookmarkStart w:id="1315" w:name="_Toc130811514"/>
      <w:bookmarkStart w:id="1316" w:name="_Toc133250390"/>
      <w:bookmarkStart w:id="1317" w:name="_Toc129875056"/>
      <w:bookmarkStart w:id="1318" w:name="_Toc130548541"/>
      <w:bookmarkStart w:id="1319" w:name="_Toc130554774"/>
      <w:bookmarkStart w:id="1320" w:name="_Toc130557734"/>
      <w:bookmarkStart w:id="1321" w:name="_Toc130811515"/>
      <w:bookmarkStart w:id="1322" w:name="_Toc133250391"/>
      <w:bookmarkStart w:id="1323" w:name="_Toc129875057"/>
      <w:bookmarkStart w:id="1324" w:name="_Toc130548542"/>
      <w:bookmarkStart w:id="1325" w:name="_Toc130554775"/>
      <w:bookmarkStart w:id="1326" w:name="_Toc130557735"/>
      <w:bookmarkStart w:id="1327" w:name="_Toc130811516"/>
      <w:bookmarkStart w:id="1328" w:name="_Toc133250392"/>
      <w:bookmarkStart w:id="1329" w:name="_Toc129875058"/>
      <w:bookmarkStart w:id="1330" w:name="_Toc130548543"/>
      <w:bookmarkStart w:id="1331" w:name="_Toc130554776"/>
      <w:bookmarkStart w:id="1332" w:name="_Toc130557736"/>
      <w:bookmarkStart w:id="1333" w:name="_Toc130811517"/>
      <w:bookmarkStart w:id="1334" w:name="_Toc133250393"/>
      <w:bookmarkStart w:id="1335" w:name="_Toc129875059"/>
      <w:bookmarkStart w:id="1336" w:name="_Toc130548544"/>
      <w:bookmarkStart w:id="1337" w:name="_Toc130554777"/>
      <w:bookmarkStart w:id="1338" w:name="_Toc130557737"/>
      <w:bookmarkStart w:id="1339" w:name="_Toc130811518"/>
      <w:bookmarkStart w:id="1340" w:name="_Toc133250394"/>
      <w:bookmarkStart w:id="1341" w:name="_Toc129875060"/>
      <w:bookmarkStart w:id="1342" w:name="_Toc130548545"/>
      <w:bookmarkStart w:id="1343" w:name="_Toc130554778"/>
      <w:bookmarkStart w:id="1344" w:name="_Toc130557738"/>
      <w:bookmarkStart w:id="1345" w:name="_Toc130811519"/>
      <w:bookmarkStart w:id="1346" w:name="_Toc133250395"/>
      <w:bookmarkStart w:id="1347" w:name="_Toc129875061"/>
      <w:bookmarkStart w:id="1348" w:name="_Toc130548546"/>
      <w:bookmarkStart w:id="1349" w:name="_Toc130554779"/>
      <w:bookmarkStart w:id="1350" w:name="_Toc130557739"/>
      <w:bookmarkStart w:id="1351" w:name="_Toc130811520"/>
      <w:bookmarkStart w:id="1352" w:name="_Toc133250396"/>
      <w:bookmarkStart w:id="1353" w:name="_Toc129875062"/>
      <w:bookmarkStart w:id="1354" w:name="_Toc130548547"/>
      <w:bookmarkStart w:id="1355" w:name="_Toc130554780"/>
      <w:bookmarkStart w:id="1356" w:name="_Toc130557740"/>
      <w:bookmarkStart w:id="1357" w:name="_Toc130811521"/>
      <w:bookmarkStart w:id="1358" w:name="_Toc133250397"/>
      <w:bookmarkStart w:id="1359" w:name="_Toc129875063"/>
      <w:bookmarkStart w:id="1360" w:name="_Toc130548548"/>
      <w:bookmarkStart w:id="1361" w:name="_Toc130554781"/>
      <w:bookmarkStart w:id="1362" w:name="_Toc130557741"/>
      <w:bookmarkStart w:id="1363" w:name="_Toc130811522"/>
      <w:bookmarkStart w:id="1364" w:name="_Toc133250398"/>
      <w:bookmarkStart w:id="1365" w:name="_Toc129875064"/>
      <w:bookmarkStart w:id="1366" w:name="_Toc130548549"/>
      <w:bookmarkStart w:id="1367" w:name="_Toc130554782"/>
      <w:bookmarkStart w:id="1368" w:name="_Toc130557742"/>
      <w:bookmarkStart w:id="1369" w:name="_Toc130811523"/>
      <w:bookmarkStart w:id="1370" w:name="_Toc133250399"/>
      <w:bookmarkStart w:id="1371" w:name="_Toc129875065"/>
      <w:bookmarkStart w:id="1372" w:name="_Toc130548550"/>
      <w:bookmarkStart w:id="1373" w:name="_Toc130554783"/>
      <w:bookmarkStart w:id="1374" w:name="_Toc130557743"/>
      <w:bookmarkStart w:id="1375" w:name="_Toc130811524"/>
      <w:bookmarkStart w:id="1376" w:name="_Toc133250400"/>
      <w:bookmarkStart w:id="1377" w:name="_TOC_250007"/>
      <w:bookmarkStart w:id="1378" w:name="_Toc129875066"/>
      <w:bookmarkStart w:id="1379" w:name="_Toc130548551"/>
      <w:bookmarkStart w:id="1380" w:name="_Toc130554784"/>
      <w:bookmarkStart w:id="1381" w:name="_Toc130557744"/>
      <w:bookmarkStart w:id="1382" w:name="_Toc130811525"/>
      <w:bookmarkStart w:id="1383" w:name="_Toc133250401"/>
      <w:bookmarkStart w:id="1384" w:name="_Toc129875067"/>
      <w:bookmarkStart w:id="1385" w:name="_Toc130548552"/>
      <w:bookmarkStart w:id="1386" w:name="_Toc130554785"/>
      <w:bookmarkStart w:id="1387" w:name="_Toc130557745"/>
      <w:bookmarkStart w:id="1388" w:name="_Toc130811526"/>
      <w:bookmarkStart w:id="1389" w:name="_Toc133250402"/>
      <w:bookmarkStart w:id="1390" w:name="_Toc129875068"/>
      <w:bookmarkStart w:id="1391" w:name="_Toc130548553"/>
      <w:bookmarkStart w:id="1392" w:name="_Toc130554786"/>
      <w:bookmarkStart w:id="1393" w:name="_Toc130557746"/>
      <w:bookmarkStart w:id="1394" w:name="_Toc130811527"/>
      <w:bookmarkStart w:id="1395" w:name="_Toc133250403"/>
      <w:bookmarkStart w:id="1396" w:name="_Toc129875069"/>
      <w:bookmarkStart w:id="1397" w:name="_Toc130548554"/>
      <w:bookmarkStart w:id="1398" w:name="_Toc130554787"/>
      <w:bookmarkStart w:id="1399" w:name="_Toc130557747"/>
      <w:bookmarkStart w:id="1400" w:name="_Toc130811528"/>
      <w:bookmarkStart w:id="1401" w:name="_Toc133250404"/>
      <w:bookmarkStart w:id="1402" w:name="_Toc129875070"/>
      <w:bookmarkStart w:id="1403" w:name="_Toc130548555"/>
      <w:bookmarkStart w:id="1404" w:name="_Toc130554788"/>
      <w:bookmarkStart w:id="1405" w:name="_Toc130557748"/>
      <w:bookmarkStart w:id="1406" w:name="_Toc130811529"/>
      <w:bookmarkStart w:id="1407" w:name="_Toc133250405"/>
      <w:bookmarkStart w:id="1408" w:name="_Toc129875071"/>
      <w:bookmarkStart w:id="1409" w:name="_Toc130548556"/>
      <w:bookmarkStart w:id="1410" w:name="_Toc130554789"/>
      <w:bookmarkStart w:id="1411" w:name="_Toc130557749"/>
      <w:bookmarkStart w:id="1412" w:name="_Toc130811530"/>
      <w:bookmarkStart w:id="1413" w:name="_Toc133250406"/>
      <w:bookmarkStart w:id="1414" w:name="_Toc129875072"/>
      <w:bookmarkStart w:id="1415" w:name="_Toc130548557"/>
      <w:bookmarkStart w:id="1416" w:name="_Toc130554790"/>
      <w:bookmarkStart w:id="1417" w:name="_Toc130557750"/>
      <w:bookmarkStart w:id="1418" w:name="_Toc130811531"/>
      <w:bookmarkStart w:id="1419" w:name="_Toc133250407"/>
      <w:bookmarkStart w:id="1420" w:name="_Toc129875073"/>
      <w:bookmarkStart w:id="1421" w:name="_Toc130548558"/>
      <w:bookmarkStart w:id="1422" w:name="_Toc130554791"/>
      <w:bookmarkStart w:id="1423" w:name="_Toc130557751"/>
      <w:bookmarkStart w:id="1424" w:name="_Toc130811532"/>
      <w:bookmarkStart w:id="1425" w:name="_Toc133250408"/>
      <w:bookmarkStart w:id="1426" w:name="_Toc129875074"/>
      <w:bookmarkStart w:id="1427" w:name="_Toc130548559"/>
      <w:bookmarkStart w:id="1428" w:name="_Toc130554792"/>
      <w:bookmarkStart w:id="1429" w:name="_Toc130557752"/>
      <w:bookmarkStart w:id="1430" w:name="_Toc130811533"/>
      <w:bookmarkStart w:id="1431" w:name="_Toc133250409"/>
      <w:bookmarkStart w:id="1432" w:name="_Toc129875075"/>
      <w:bookmarkStart w:id="1433" w:name="_Toc130548560"/>
      <w:bookmarkStart w:id="1434" w:name="_Toc130554793"/>
      <w:bookmarkStart w:id="1435" w:name="_Toc130557753"/>
      <w:bookmarkStart w:id="1436" w:name="_Toc130811534"/>
      <w:bookmarkStart w:id="1437" w:name="_Toc133250410"/>
      <w:bookmarkStart w:id="1438" w:name="_Toc129875076"/>
      <w:bookmarkStart w:id="1439" w:name="_Toc130548561"/>
      <w:bookmarkStart w:id="1440" w:name="_Toc130554794"/>
      <w:bookmarkStart w:id="1441" w:name="_Toc130557754"/>
      <w:bookmarkStart w:id="1442" w:name="_Toc130811535"/>
      <w:bookmarkStart w:id="1443" w:name="_Toc133250411"/>
      <w:bookmarkStart w:id="1444" w:name="_Toc129875077"/>
      <w:bookmarkStart w:id="1445" w:name="_Toc130548562"/>
      <w:bookmarkStart w:id="1446" w:name="_Toc130554795"/>
      <w:bookmarkStart w:id="1447" w:name="_Toc130557755"/>
      <w:bookmarkStart w:id="1448" w:name="_Toc130811536"/>
      <w:bookmarkStart w:id="1449" w:name="_Toc133250412"/>
      <w:bookmarkStart w:id="1450" w:name="_Toc129875078"/>
      <w:bookmarkStart w:id="1451" w:name="_Toc130548563"/>
      <w:bookmarkStart w:id="1452" w:name="_Toc130554796"/>
      <w:bookmarkStart w:id="1453" w:name="_Toc130557756"/>
      <w:bookmarkStart w:id="1454" w:name="_Toc130811537"/>
      <w:bookmarkStart w:id="1455" w:name="_Toc133250413"/>
      <w:bookmarkStart w:id="1456" w:name="_Toc129875079"/>
      <w:bookmarkStart w:id="1457" w:name="_Toc130548564"/>
      <w:bookmarkStart w:id="1458" w:name="_Toc130554797"/>
      <w:bookmarkStart w:id="1459" w:name="_Toc130557757"/>
      <w:bookmarkStart w:id="1460" w:name="_Toc130811538"/>
      <w:bookmarkStart w:id="1461" w:name="_Toc133250414"/>
      <w:bookmarkStart w:id="1462" w:name="_Toc129875080"/>
      <w:bookmarkStart w:id="1463" w:name="_Toc130548565"/>
      <w:bookmarkStart w:id="1464" w:name="_Toc130554798"/>
      <w:bookmarkStart w:id="1465" w:name="_Toc130557758"/>
      <w:bookmarkStart w:id="1466" w:name="_Toc130811539"/>
      <w:bookmarkStart w:id="1467" w:name="_Toc133250415"/>
      <w:bookmarkStart w:id="1468" w:name="_Toc129875081"/>
      <w:bookmarkStart w:id="1469" w:name="_Toc130548566"/>
      <w:bookmarkStart w:id="1470" w:name="_Toc130554799"/>
      <w:bookmarkStart w:id="1471" w:name="_Toc130557759"/>
      <w:bookmarkStart w:id="1472" w:name="_Toc130811540"/>
      <w:bookmarkStart w:id="1473" w:name="_Toc133250416"/>
      <w:bookmarkStart w:id="1474" w:name="_Toc129875082"/>
      <w:bookmarkStart w:id="1475" w:name="_Toc130548567"/>
      <w:bookmarkStart w:id="1476" w:name="_Toc130554800"/>
      <w:bookmarkStart w:id="1477" w:name="_Toc130557760"/>
      <w:bookmarkStart w:id="1478" w:name="_Toc130811541"/>
      <w:bookmarkStart w:id="1479" w:name="_Toc133250417"/>
      <w:bookmarkStart w:id="1480" w:name="_Toc129875083"/>
      <w:bookmarkStart w:id="1481" w:name="_Toc130548568"/>
      <w:bookmarkStart w:id="1482" w:name="_Toc130554801"/>
      <w:bookmarkStart w:id="1483" w:name="_Toc130557761"/>
      <w:bookmarkStart w:id="1484" w:name="_Toc130811542"/>
      <w:bookmarkStart w:id="1485" w:name="_Toc133250418"/>
      <w:bookmarkStart w:id="1486" w:name="_Toc129875084"/>
      <w:bookmarkStart w:id="1487" w:name="_Toc130548569"/>
      <w:bookmarkStart w:id="1488" w:name="_Toc130554802"/>
      <w:bookmarkStart w:id="1489" w:name="_Toc130557762"/>
      <w:bookmarkStart w:id="1490" w:name="_Toc130811543"/>
      <w:bookmarkStart w:id="1491" w:name="_Toc133250419"/>
      <w:bookmarkStart w:id="1492" w:name="_Toc129875085"/>
      <w:bookmarkStart w:id="1493" w:name="_Toc130548570"/>
      <w:bookmarkStart w:id="1494" w:name="_Toc130554803"/>
      <w:bookmarkStart w:id="1495" w:name="_Toc130557763"/>
      <w:bookmarkStart w:id="1496" w:name="_Toc130811544"/>
      <w:bookmarkStart w:id="1497" w:name="_Toc133250420"/>
      <w:bookmarkStart w:id="1498" w:name="_Toc129875086"/>
      <w:bookmarkStart w:id="1499" w:name="_Toc130548571"/>
      <w:bookmarkStart w:id="1500" w:name="_Toc130554804"/>
      <w:bookmarkStart w:id="1501" w:name="_Toc130557764"/>
      <w:bookmarkStart w:id="1502" w:name="_Toc130811545"/>
      <w:bookmarkStart w:id="1503" w:name="_Toc133250421"/>
      <w:bookmarkStart w:id="1504" w:name="_Toc129875087"/>
      <w:bookmarkStart w:id="1505" w:name="_Toc130548572"/>
      <w:bookmarkStart w:id="1506" w:name="_Toc130554805"/>
      <w:bookmarkStart w:id="1507" w:name="_Toc130557765"/>
      <w:bookmarkStart w:id="1508" w:name="_Toc130811546"/>
      <w:bookmarkStart w:id="1509" w:name="_Toc133250422"/>
      <w:bookmarkStart w:id="1510" w:name="_Toc129875088"/>
      <w:bookmarkStart w:id="1511" w:name="_Toc130548573"/>
      <w:bookmarkStart w:id="1512" w:name="_Toc130554806"/>
      <w:bookmarkStart w:id="1513" w:name="_Toc130557766"/>
      <w:bookmarkStart w:id="1514" w:name="_Toc130811547"/>
      <w:bookmarkStart w:id="1515" w:name="_Toc133250423"/>
      <w:bookmarkStart w:id="1516" w:name="_Toc129875089"/>
      <w:bookmarkStart w:id="1517" w:name="_Toc130548574"/>
      <w:bookmarkStart w:id="1518" w:name="_Toc130554807"/>
      <w:bookmarkStart w:id="1519" w:name="_Toc130557767"/>
      <w:bookmarkStart w:id="1520" w:name="_Toc130811548"/>
      <w:bookmarkStart w:id="1521" w:name="_Toc133250424"/>
      <w:bookmarkStart w:id="1522" w:name="_Toc129875090"/>
      <w:bookmarkStart w:id="1523" w:name="_Toc130548575"/>
      <w:bookmarkStart w:id="1524" w:name="_Toc130554808"/>
      <w:bookmarkStart w:id="1525" w:name="_Toc130557768"/>
      <w:bookmarkStart w:id="1526" w:name="_Toc130811549"/>
      <w:bookmarkStart w:id="1527" w:name="_Toc133250425"/>
      <w:bookmarkStart w:id="1528" w:name="_Toc129875091"/>
      <w:bookmarkStart w:id="1529" w:name="_Toc130548576"/>
      <w:bookmarkStart w:id="1530" w:name="_Toc130554809"/>
      <w:bookmarkStart w:id="1531" w:name="_Toc130557769"/>
      <w:bookmarkStart w:id="1532" w:name="_Toc130811550"/>
      <w:bookmarkStart w:id="1533" w:name="_Toc133250426"/>
      <w:bookmarkStart w:id="1534" w:name="_Toc129875092"/>
      <w:bookmarkStart w:id="1535" w:name="_Toc130548577"/>
      <w:bookmarkStart w:id="1536" w:name="_Toc130554810"/>
      <w:bookmarkStart w:id="1537" w:name="_Toc130557770"/>
      <w:bookmarkStart w:id="1538" w:name="_Toc130811551"/>
      <w:bookmarkStart w:id="1539" w:name="_Toc133250427"/>
      <w:bookmarkStart w:id="1540" w:name="_Toc129875093"/>
      <w:bookmarkStart w:id="1541" w:name="_Toc130548578"/>
      <w:bookmarkStart w:id="1542" w:name="_Toc130554811"/>
      <w:bookmarkStart w:id="1543" w:name="_Toc130557771"/>
      <w:bookmarkStart w:id="1544" w:name="_Toc130811552"/>
      <w:bookmarkStart w:id="1545" w:name="_Toc133250428"/>
      <w:bookmarkStart w:id="1546" w:name="_Toc129875094"/>
      <w:bookmarkStart w:id="1547" w:name="_Toc130548579"/>
      <w:bookmarkStart w:id="1548" w:name="_Toc130554812"/>
      <w:bookmarkStart w:id="1549" w:name="_Toc130557772"/>
      <w:bookmarkStart w:id="1550" w:name="_Toc130811553"/>
      <w:bookmarkStart w:id="1551" w:name="_Toc133250429"/>
      <w:bookmarkStart w:id="1552" w:name="_Toc129875095"/>
      <w:bookmarkStart w:id="1553" w:name="_Toc130548580"/>
      <w:bookmarkStart w:id="1554" w:name="_Toc130554813"/>
      <w:bookmarkStart w:id="1555" w:name="_Toc130557773"/>
      <w:bookmarkStart w:id="1556" w:name="_Toc130811554"/>
      <w:bookmarkStart w:id="1557" w:name="_Toc133250430"/>
      <w:bookmarkStart w:id="1558" w:name="_Ref88553496"/>
      <w:bookmarkStart w:id="1559" w:name="_Toc80633593"/>
      <w:bookmarkStart w:id="1560" w:name="_Toc58519561"/>
      <w:bookmarkStart w:id="1561" w:name="_Toc120016987"/>
      <w:bookmarkStart w:id="1562" w:name="_Toc120004764"/>
      <w:bookmarkStart w:id="1563" w:name="_Toc141445468"/>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r w:rsidRPr="00EE43C6">
        <w:rPr>
          <w:noProof w:val="0"/>
          <w:lang w:val="en-GB"/>
        </w:rPr>
        <w:lastRenderedPageBreak/>
        <w:t>ENVIRONMENTAL AND SOCIAL ASPECTS, AND BEST PRACTICE MITIGATION MEASURES</w:t>
      </w:r>
      <w:bookmarkEnd w:id="1558"/>
      <w:bookmarkEnd w:id="1559"/>
      <w:bookmarkEnd w:id="1560"/>
      <w:bookmarkEnd w:id="1561"/>
      <w:bookmarkEnd w:id="1562"/>
      <w:bookmarkEnd w:id="1563"/>
    </w:p>
    <w:p w14:paraId="1DC92B9E" w14:textId="7425E0DF" w:rsidR="00067148" w:rsidRPr="00EE43C6" w:rsidRDefault="00067148" w:rsidP="00067148">
      <w:pPr>
        <w:pStyle w:val="BodyText"/>
        <w:spacing w:after="240" w:line="300" w:lineRule="auto"/>
        <w:rPr>
          <w:rFonts w:cs="Wingdings"/>
          <w:noProof w:val="0"/>
        </w:rPr>
      </w:pPr>
      <w:r w:rsidRPr="00EE43C6">
        <w:rPr>
          <w:rFonts w:eastAsia="Arial Black" w:cs="Wingdings"/>
          <w:noProof w:val="0"/>
          <w:lang w:eastAsia="zh-CN"/>
        </w:rPr>
        <w:t xml:space="preserve">The activities to be performed in the scope of the Project are </w:t>
      </w:r>
      <w:r w:rsidRPr="00EE43C6">
        <w:rPr>
          <w:rFonts w:cs="Wingdings"/>
          <w:noProof w:val="0"/>
        </w:rPr>
        <w:t>presented in</w:t>
      </w:r>
      <w:r w:rsidR="00EA0928" w:rsidRPr="00EE43C6">
        <w:rPr>
          <w:rFonts w:cs="Wingdings"/>
          <w:noProof w:val="0"/>
        </w:rPr>
        <w:t xml:space="preserve"> </w:t>
      </w:r>
      <w:r w:rsidR="00F02BE1" w:rsidRPr="00EE43C6">
        <w:rPr>
          <w:rFonts w:cs="Wingdings"/>
          <w:noProof w:val="0"/>
        </w:rPr>
        <w:fldChar w:fldCharType="begin"/>
      </w:r>
      <w:r w:rsidR="00F02BE1" w:rsidRPr="00EE43C6">
        <w:rPr>
          <w:rFonts w:cs="Wingdings"/>
          <w:noProof w:val="0"/>
        </w:rPr>
        <w:instrText xml:space="preserve"> REF _Ref120186898 \h </w:instrText>
      </w:r>
      <w:r w:rsidR="00F02BE1" w:rsidRPr="00EE43C6">
        <w:rPr>
          <w:rFonts w:cs="Wingdings"/>
          <w:noProof w:val="0"/>
        </w:rPr>
      </w:r>
      <w:r w:rsidR="00F02BE1" w:rsidRPr="00EE43C6">
        <w:rPr>
          <w:rFonts w:cs="Wingdings"/>
          <w:noProof w:val="0"/>
        </w:rPr>
        <w:fldChar w:fldCharType="separate"/>
      </w:r>
      <w:r w:rsidR="00F37A55" w:rsidRPr="00EE43C6">
        <w:rPr>
          <w:noProof w:val="0"/>
        </w:rPr>
        <w:t xml:space="preserve">Table </w:t>
      </w:r>
      <w:r w:rsidR="00F37A55">
        <w:t>7</w:t>
      </w:r>
      <w:r w:rsidR="00F37A55">
        <w:rPr>
          <w:noProof w:val="0"/>
        </w:rPr>
        <w:noBreakHyphen/>
      </w:r>
      <w:r w:rsidR="00F37A55">
        <w:t>1</w:t>
      </w:r>
      <w:r w:rsidR="00F02BE1" w:rsidRPr="00EE43C6">
        <w:rPr>
          <w:rFonts w:cs="Wingdings"/>
          <w:noProof w:val="0"/>
        </w:rPr>
        <w:fldChar w:fldCharType="end"/>
      </w:r>
      <w:r w:rsidRPr="00EE43C6">
        <w:rPr>
          <w:rFonts w:cs="Wingdings"/>
          <w:noProof w:val="0"/>
        </w:rPr>
        <w:t xml:space="preserve"> </w:t>
      </w:r>
      <w:r w:rsidRPr="00EE43C6">
        <w:rPr>
          <w:rFonts w:eastAsia="Arial Black" w:cs="Wingdings"/>
          <w:noProof w:val="0"/>
          <w:lang w:eastAsia="zh-CN"/>
        </w:rPr>
        <w:t>and considered for the assessment of the best practice mitigation</w:t>
      </w:r>
      <w:r w:rsidR="005959B4" w:rsidRPr="00EE43C6">
        <w:rPr>
          <w:rFonts w:eastAsia="Times New Roman" w:cs="Arial"/>
          <w:noProof w:val="0"/>
          <w:lang w:eastAsia="zh-CN"/>
        </w:rPr>
        <w:t xml:space="preserve"> </w:t>
      </w:r>
      <w:r w:rsidR="008E0D7D" w:rsidRPr="00EE43C6">
        <w:rPr>
          <w:rFonts w:eastAsia="Times New Roman" w:cs="Arial"/>
          <w:noProof w:val="0"/>
          <w:lang w:eastAsia="zh-CN"/>
        </w:rPr>
        <w:t>measures defined for the Project</w:t>
      </w:r>
      <w:r w:rsidRPr="00EE43C6">
        <w:rPr>
          <w:rFonts w:cs="Arial"/>
          <w:noProof w:val="0"/>
        </w:rPr>
        <w:t>.</w:t>
      </w:r>
    </w:p>
    <w:p w14:paraId="499B0AAA" w14:textId="77777777" w:rsidR="00067148" w:rsidRPr="00EE43C6" w:rsidRDefault="00067148" w:rsidP="00067148">
      <w:pPr>
        <w:pStyle w:val="BodyText"/>
        <w:rPr>
          <w:noProof w:val="0"/>
        </w:rPr>
      </w:pPr>
      <w:r w:rsidRPr="00EE43C6">
        <w:rPr>
          <w:noProof w:val="0"/>
        </w:rPr>
        <w:t>The activities to be carried out within the scope of the Project will be in compliance with the most up-to-date national legislation and WB standards. Where Turkish legislation differs from WB Policies, the stricter one will be applied for the implementation of the Project.</w:t>
      </w:r>
    </w:p>
    <w:p w14:paraId="5BF50A6D" w14:textId="759324B4" w:rsidR="00067148" w:rsidRPr="00EE43C6" w:rsidRDefault="00067148" w:rsidP="00067148">
      <w:pPr>
        <w:pStyle w:val="BodyText"/>
        <w:rPr>
          <w:rFonts w:cs="Wingdings"/>
          <w:noProof w:val="0"/>
        </w:rPr>
      </w:pPr>
      <w:r w:rsidRPr="00EE43C6">
        <w:rPr>
          <w:noProof w:val="0"/>
        </w:rPr>
        <w:t xml:space="preserve">The mitigation plans prepared for the construction and operation phases are presented in Section </w:t>
      </w:r>
      <w:r w:rsidR="006B781D" w:rsidRPr="00EE43C6">
        <w:rPr>
          <w:noProof w:val="0"/>
        </w:rPr>
        <w:fldChar w:fldCharType="begin"/>
      </w:r>
      <w:r w:rsidR="006B781D" w:rsidRPr="00EE43C6">
        <w:rPr>
          <w:noProof w:val="0"/>
        </w:rPr>
        <w:instrText xml:space="preserve"> REF _Ref118898207 \w \h </w:instrText>
      </w:r>
      <w:r w:rsidR="006B781D" w:rsidRPr="00EE43C6">
        <w:rPr>
          <w:noProof w:val="0"/>
        </w:rPr>
      </w:r>
      <w:r w:rsidR="006B781D" w:rsidRPr="00EE43C6">
        <w:rPr>
          <w:noProof w:val="0"/>
        </w:rPr>
        <w:fldChar w:fldCharType="separate"/>
      </w:r>
      <w:r w:rsidR="00F37A55">
        <w:rPr>
          <w:noProof w:val="0"/>
        </w:rPr>
        <w:t>7.1</w:t>
      </w:r>
      <w:r w:rsidR="006B781D" w:rsidRPr="00EE43C6">
        <w:rPr>
          <w:noProof w:val="0"/>
        </w:rPr>
        <w:fldChar w:fldCharType="end"/>
      </w:r>
      <w:r w:rsidRPr="00EE43C6">
        <w:rPr>
          <w:noProof w:val="0"/>
        </w:rPr>
        <w:t xml:space="preserve"> and Section </w:t>
      </w:r>
      <w:r w:rsidR="006B781D" w:rsidRPr="00EE43C6">
        <w:rPr>
          <w:noProof w:val="0"/>
        </w:rPr>
        <w:fldChar w:fldCharType="begin"/>
      </w:r>
      <w:r w:rsidR="006B781D" w:rsidRPr="00EE43C6">
        <w:rPr>
          <w:noProof w:val="0"/>
        </w:rPr>
        <w:instrText xml:space="preserve"> REF _Ref118898217 \w \h </w:instrText>
      </w:r>
      <w:r w:rsidR="006B781D" w:rsidRPr="00EE43C6">
        <w:rPr>
          <w:noProof w:val="0"/>
        </w:rPr>
      </w:r>
      <w:r w:rsidR="006B781D" w:rsidRPr="00EE43C6">
        <w:rPr>
          <w:noProof w:val="0"/>
        </w:rPr>
        <w:fldChar w:fldCharType="separate"/>
      </w:r>
      <w:r w:rsidR="00F37A55">
        <w:rPr>
          <w:noProof w:val="0"/>
        </w:rPr>
        <w:t>7.2</w:t>
      </w:r>
      <w:r w:rsidR="006B781D" w:rsidRPr="00EE43C6">
        <w:rPr>
          <w:noProof w:val="0"/>
        </w:rPr>
        <w:fldChar w:fldCharType="end"/>
      </w:r>
      <w:r w:rsidRPr="00EE43C6">
        <w:rPr>
          <w:noProof w:val="0"/>
        </w:rPr>
        <w:t>, respectively.</w:t>
      </w:r>
      <w:r w:rsidRPr="00EE43C6">
        <w:rPr>
          <w:rFonts w:cs="Wingdings"/>
          <w:noProof w:val="0"/>
        </w:rPr>
        <w:t xml:space="preserve"> Activities to be performed in the scope of the Project are presented in</w:t>
      </w:r>
      <w:r w:rsidR="006B781D" w:rsidRPr="00EE43C6">
        <w:rPr>
          <w:rFonts w:cs="Wingdings"/>
          <w:noProof w:val="0"/>
        </w:rPr>
        <w:t xml:space="preserve"> </w:t>
      </w:r>
      <w:r w:rsidR="006B781D" w:rsidRPr="00EE43C6">
        <w:rPr>
          <w:rFonts w:cs="Wingdings"/>
          <w:noProof w:val="0"/>
        </w:rPr>
        <w:fldChar w:fldCharType="begin"/>
      </w:r>
      <w:r w:rsidR="006B781D" w:rsidRPr="00EE43C6">
        <w:rPr>
          <w:rFonts w:cs="Wingdings"/>
          <w:noProof w:val="0"/>
        </w:rPr>
        <w:instrText xml:space="preserve"> REF _Ref118898188 \h </w:instrText>
      </w:r>
      <w:r w:rsidR="006B781D" w:rsidRPr="00EE43C6">
        <w:rPr>
          <w:rFonts w:cs="Wingdings"/>
          <w:noProof w:val="0"/>
        </w:rPr>
      </w:r>
      <w:r w:rsidR="00EC509A">
        <w:rPr>
          <w:rFonts w:cs="Wingdings"/>
          <w:noProof w:val="0"/>
        </w:rPr>
        <w:fldChar w:fldCharType="separate"/>
      </w:r>
      <w:r w:rsidR="006B781D" w:rsidRPr="00EE43C6">
        <w:rPr>
          <w:rFonts w:cs="Wingdings"/>
          <w:noProof w:val="0"/>
        </w:rPr>
        <w:fldChar w:fldCharType="end"/>
      </w:r>
      <w:r w:rsidRPr="00EE43C6">
        <w:rPr>
          <w:rFonts w:cs="Wingdings"/>
          <w:noProof w:val="0"/>
        </w:rPr>
        <w:t>.</w:t>
      </w:r>
    </w:p>
    <w:p w14:paraId="0AEBF246" w14:textId="4A1B0726" w:rsidR="00B3628F" w:rsidRPr="00EE43C6" w:rsidRDefault="006B781D" w:rsidP="006B781D">
      <w:pPr>
        <w:pStyle w:val="Caption"/>
        <w:rPr>
          <w:noProof w:val="0"/>
        </w:rPr>
      </w:pPr>
      <w:bookmarkStart w:id="1564" w:name="_Ref120186898"/>
      <w:bookmarkStart w:id="1565" w:name="_Ref118898188"/>
      <w:bookmarkStart w:id="1566" w:name="_Toc102086973"/>
      <w:bookmarkStart w:id="1567" w:name="_Toc111118963"/>
      <w:bookmarkStart w:id="1568" w:name="_Toc120016873"/>
      <w:bookmarkStart w:id="1569" w:name="_Toc120004651"/>
      <w:bookmarkStart w:id="1570" w:name="_Toc141445541"/>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F37A55">
        <w:t>7</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F37A55">
        <w:t>1</w:t>
      </w:r>
      <w:r w:rsidR="006D2DE8">
        <w:rPr>
          <w:noProof w:val="0"/>
        </w:rPr>
        <w:fldChar w:fldCharType="end"/>
      </w:r>
      <w:bookmarkEnd w:id="1564"/>
      <w:bookmarkEnd w:id="1565"/>
      <w:r w:rsidRPr="00EE43C6">
        <w:rPr>
          <w:noProof w:val="0"/>
        </w:rPr>
        <w:t xml:space="preserve">. </w:t>
      </w:r>
      <w:r w:rsidR="00B3628F" w:rsidRPr="00EE43C6">
        <w:rPr>
          <w:b w:val="0"/>
          <w:noProof w:val="0"/>
          <w:color w:val="auto"/>
        </w:rPr>
        <w:t>Activities to be performed in the Scope of the Project</w:t>
      </w:r>
      <w:bookmarkEnd w:id="1566"/>
      <w:bookmarkEnd w:id="1567"/>
      <w:bookmarkEnd w:id="1568"/>
      <w:bookmarkEnd w:id="1569"/>
      <w:bookmarkEnd w:id="1570"/>
    </w:p>
    <w:tbl>
      <w:tblPr>
        <w:tblW w:w="894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88"/>
        <w:gridCol w:w="4185"/>
        <w:gridCol w:w="992"/>
        <w:gridCol w:w="1984"/>
      </w:tblGrid>
      <w:tr w:rsidR="00B3628F" w:rsidRPr="00EE43C6" w14:paraId="37F758D3" w14:textId="77777777" w:rsidTr="003C297A">
        <w:trPr>
          <w:trHeight w:val="340"/>
        </w:trPr>
        <w:tc>
          <w:tcPr>
            <w:tcW w:w="8949" w:type="dxa"/>
            <w:gridSpan w:val="4"/>
            <w:shd w:val="clear" w:color="auto" w:fill="4F81BD"/>
            <w:vAlign w:val="center"/>
          </w:tcPr>
          <w:p w14:paraId="18BA23AD" w14:textId="77777777" w:rsidR="00B3628F" w:rsidRPr="00EE43C6" w:rsidRDefault="00B3628F" w:rsidP="003C297A">
            <w:pPr>
              <w:spacing w:before="0" w:after="0"/>
              <w:jc w:val="center"/>
              <w:rPr>
                <w:b/>
                <w:sz w:val="18"/>
                <w:szCs w:val="18"/>
              </w:rPr>
            </w:pPr>
            <w:r w:rsidRPr="00EE43C6">
              <w:rPr>
                <w:b/>
                <w:bCs/>
                <w:color w:val="FFFFFF"/>
                <w:sz w:val="18"/>
                <w:szCs w:val="18"/>
              </w:rPr>
              <w:t>ENVIRONMENTAL/SOCIAL REVIEW</w:t>
            </w:r>
            <w:r w:rsidRPr="00EE43C6">
              <w:rPr>
                <w:b/>
                <w:bCs/>
                <w:sz w:val="18"/>
                <w:szCs w:val="18"/>
              </w:rPr>
              <w:t xml:space="preserve"> </w:t>
            </w:r>
          </w:p>
        </w:tc>
      </w:tr>
      <w:tr w:rsidR="00B3628F" w:rsidRPr="00EE43C6" w14:paraId="35D5D1D7" w14:textId="77777777" w:rsidTr="003C297A">
        <w:trPr>
          <w:trHeight w:val="340"/>
        </w:trPr>
        <w:tc>
          <w:tcPr>
            <w:tcW w:w="1788" w:type="dxa"/>
            <w:vMerge w:val="restart"/>
            <w:vAlign w:val="center"/>
          </w:tcPr>
          <w:p w14:paraId="27175A3D" w14:textId="77777777" w:rsidR="00B3628F" w:rsidRPr="00EE43C6" w:rsidRDefault="00B3628F" w:rsidP="003C297A">
            <w:pPr>
              <w:spacing w:before="0" w:after="0"/>
              <w:jc w:val="left"/>
              <w:rPr>
                <w:rFonts w:eastAsia="Wingdings" w:cs="Wingdings"/>
                <w:b/>
                <w:sz w:val="18"/>
                <w:szCs w:val="18"/>
              </w:rPr>
            </w:pPr>
            <w:r w:rsidRPr="00EE43C6">
              <w:rPr>
                <w:rFonts w:eastAsia="Wingdings" w:cs="Wingdings"/>
                <w:b/>
                <w:sz w:val="18"/>
                <w:szCs w:val="18"/>
              </w:rPr>
              <w:t xml:space="preserve">Activities to be carried out as part of on-site works </w:t>
            </w:r>
          </w:p>
        </w:tc>
        <w:tc>
          <w:tcPr>
            <w:tcW w:w="4185" w:type="dxa"/>
            <w:tcBorders>
              <w:bottom w:val="single" w:sz="12" w:space="0" w:color="auto"/>
            </w:tcBorders>
            <w:vAlign w:val="center"/>
          </w:tcPr>
          <w:p w14:paraId="45EDA9DB" w14:textId="77777777" w:rsidR="00B3628F" w:rsidRPr="00EE43C6" w:rsidRDefault="00B3628F" w:rsidP="003C297A">
            <w:pPr>
              <w:spacing w:before="0" w:after="0"/>
              <w:jc w:val="left"/>
              <w:rPr>
                <w:rFonts w:eastAsia="Wingdings" w:cs="Wingdings"/>
                <w:b/>
                <w:sz w:val="18"/>
                <w:szCs w:val="18"/>
              </w:rPr>
            </w:pPr>
            <w:r w:rsidRPr="00EE43C6">
              <w:rPr>
                <w:rFonts w:eastAsia="Wingdings" w:cs="Wingdings"/>
                <w:b/>
                <w:sz w:val="18"/>
                <w:szCs w:val="18"/>
              </w:rPr>
              <w:t>Activity</w:t>
            </w:r>
          </w:p>
        </w:tc>
        <w:tc>
          <w:tcPr>
            <w:tcW w:w="2976" w:type="dxa"/>
            <w:gridSpan w:val="2"/>
            <w:tcBorders>
              <w:bottom w:val="single" w:sz="12" w:space="0" w:color="auto"/>
            </w:tcBorders>
            <w:vAlign w:val="center"/>
          </w:tcPr>
          <w:p w14:paraId="499A0C47" w14:textId="77777777" w:rsidR="00B3628F" w:rsidRPr="00EE43C6" w:rsidRDefault="00B3628F" w:rsidP="003C297A">
            <w:pPr>
              <w:spacing w:before="0" w:after="0"/>
              <w:jc w:val="left"/>
              <w:rPr>
                <w:rFonts w:eastAsia="Wingdings" w:cs="Wingdings"/>
                <w:b/>
                <w:sz w:val="18"/>
                <w:szCs w:val="18"/>
              </w:rPr>
            </w:pPr>
            <w:r w:rsidRPr="00EE43C6">
              <w:rPr>
                <w:rFonts w:eastAsia="Wingdings" w:cs="Wingdings"/>
                <w:b/>
                <w:sz w:val="18"/>
                <w:szCs w:val="18"/>
              </w:rPr>
              <w:t>Status</w:t>
            </w:r>
          </w:p>
        </w:tc>
      </w:tr>
      <w:tr w:rsidR="00B3628F" w:rsidRPr="00EE43C6" w14:paraId="64BA39B6" w14:textId="77777777" w:rsidTr="003C297A">
        <w:trPr>
          <w:trHeight w:val="340"/>
        </w:trPr>
        <w:tc>
          <w:tcPr>
            <w:tcW w:w="1788" w:type="dxa"/>
            <w:vMerge/>
            <w:tcBorders>
              <w:right w:val="single" w:sz="12" w:space="0" w:color="auto"/>
            </w:tcBorders>
          </w:tcPr>
          <w:p w14:paraId="66DFFAF9" w14:textId="77777777" w:rsidR="00B3628F" w:rsidRPr="00EE43C6" w:rsidRDefault="00B3628F" w:rsidP="003C297A">
            <w:pPr>
              <w:spacing w:before="0" w:after="0"/>
              <w:jc w:val="center"/>
              <w:rPr>
                <w:sz w:val="18"/>
                <w:szCs w:val="18"/>
              </w:rPr>
            </w:pPr>
          </w:p>
        </w:tc>
        <w:tc>
          <w:tcPr>
            <w:tcW w:w="4185" w:type="dxa"/>
            <w:tcBorders>
              <w:top w:val="single" w:sz="12" w:space="0" w:color="auto"/>
              <w:left w:val="single" w:sz="12" w:space="0" w:color="auto"/>
              <w:bottom w:val="nil"/>
              <w:right w:val="nil"/>
            </w:tcBorders>
          </w:tcPr>
          <w:p w14:paraId="39AC0271" w14:textId="60BA32F3" w:rsidR="00B3628F" w:rsidRPr="00EE43C6" w:rsidRDefault="00B3628F" w:rsidP="00E12C6F">
            <w:pPr>
              <w:numPr>
                <w:ilvl w:val="0"/>
                <w:numId w:val="6"/>
              </w:numPr>
              <w:spacing w:before="0" w:after="0" w:line="240" w:lineRule="auto"/>
              <w:jc w:val="left"/>
              <w:rPr>
                <w:rFonts w:eastAsia="Wingdings" w:cs="Wingdings"/>
                <w:sz w:val="18"/>
                <w:szCs w:val="18"/>
              </w:rPr>
            </w:pPr>
            <w:r w:rsidRPr="00EE43C6">
              <w:rPr>
                <w:rFonts w:eastAsia="Wingdings" w:cs="Wingdings"/>
                <w:sz w:val="18"/>
                <w:szCs w:val="18"/>
              </w:rPr>
              <w:t xml:space="preserve">Building improvement </w:t>
            </w:r>
          </w:p>
        </w:tc>
        <w:tc>
          <w:tcPr>
            <w:tcW w:w="992" w:type="dxa"/>
            <w:tcBorders>
              <w:top w:val="single" w:sz="12" w:space="0" w:color="auto"/>
              <w:left w:val="nil"/>
              <w:bottom w:val="nil"/>
              <w:right w:val="nil"/>
            </w:tcBorders>
            <w:vAlign w:val="center"/>
          </w:tcPr>
          <w:p w14:paraId="16E676AE" w14:textId="2B3BD645"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w:t>
            </w:r>
            <w:r w:rsidR="003B7133" w:rsidRPr="00EE43C6">
              <w:rPr>
                <w:rFonts w:eastAsia="Wingdings" w:cs="Wingdings"/>
                <w:sz w:val="18"/>
                <w:szCs w:val="18"/>
              </w:rPr>
              <w:t>X</w:t>
            </w:r>
            <w:r w:rsidRPr="00EE43C6">
              <w:rPr>
                <w:rFonts w:eastAsia="Wingdings" w:cs="Wingdings"/>
                <w:sz w:val="18"/>
                <w:szCs w:val="18"/>
              </w:rPr>
              <w:t>] Yes</w:t>
            </w:r>
          </w:p>
        </w:tc>
        <w:tc>
          <w:tcPr>
            <w:tcW w:w="1984" w:type="dxa"/>
            <w:tcBorders>
              <w:top w:val="single" w:sz="12" w:space="0" w:color="auto"/>
              <w:left w:val="nil"/>
              <w:bottom w:val="nil"/>
              <w:right w:val="single" w:sz="4" w:space="0" w:color="auto"/>
            </w:tcBorders>
            <w:vAlign w:val="center"/>
          </w:tcPr>
          <w:p w14:paraId="2263AB95" w14:textId="55FC8E94"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w:t>
            </w:r>
            <w:r w:rsidR="003B7133" w:rsidRPr="00EE43C6">
              <w:rPr>
                <w:rFonts w:eastAsia="Wingdings" w:cs="Wingdings"/>
                <w:sz w:val="18"/>
                <w:szCs w:val="18"/>
              </w:rPr>
              <w:t xml:space="preserve">  </w:t>
            </w:r>
            <w:r w:rsidRPr="00EE43C6">
              <w:rPr>
                <w:rFonts w:eastAsia="Wingdings" w:cs="Wingdings"/>
                <w:sz w:val="18"/>
                <w:szCs w:val="18"/>
              </w:rPr>
              <w:t>] No</w:t>
            </w:r>
          </w:p>
        </w:tc>
      </w:tr>
      <w:tr w:rsidR="00B3628F" w:rsidRPr="00EE43C6" w14:paraId="08422BA6" w14:textId="77777777" w:rsidTr="003C297A">
        <w:trPr>
          <w:trHeight w:val="340"/>
        </w:trPr>
        <w:tc>
          <w:tcPr>
            <w:tcW w:w="1788" w:type="dxa"/>
            <w:vMerge/>
            <w:tcBorders>
              <w:right w:val="single" w:sz="12" w:space="0" w:color="auto"/>
            </w:tcBorders>
          </w:tcPr>
          <w:p w14:paraId="5744D900" w14:textId="77777777" w:rsidR="00B3628F" w:rsidRPr="00EE43C6" w:rsidRDefault="00B3628F" w:rsidP="003C297A">
            <w:pPr>
              <w:spacing w:before="0" w:after="0"/>
              <w:jc w:val="center"/>
              <w:rPr>
                <w:sz w:val="18"/>
                <w:szCs w:val="18"/>
              </w:rPr>
            </w:pPr>
          </w:p>
        </w:tc>
        <w:tc>
          <w:tcPr>
            <w:tcW w:w="4185" w:type="dxa"/>
            <w:tcBorders>
              <w:top w:val="nil"/>
              <w:left w:val="single" w:sz="12" w:space="0" w:color="auto"/>
              <w:bottom w:val="nil"/>
              <w:right w:val="nil"/>
            </w:tcBorders>
          </w:tcPr>
          <w:p w14:paraId="0745C5B2" w14:textId="5925E2CE" w:rsidR="00B3628F" w:rsidRPr="00EE43C6" w:rsidRDefault="00B3628F" w:rsidP="00E12C6F">
            <w:pPr>
              <w:numPr>
                <w:ilvl w:val="0"/>
                <w:numId w:val="6"/>
              </w:numPr>
              <w:spacing w:before="0" w:after="0" w:line="240" w:lineRule="auto"/>
              <w:jc w:val="left"/>
              <w:rPr>
                <w:rFonts w:eastAsia="Wingdings" w:cs="Wingdings"/>
                <w:sz w:val="18"/>
                <w:szCs w:val="18"/>
              </w:rPr>
            </w:pPr>
            <w:r w:rsidRPr="00EE43C6">
              <w:rPr>
                <w:rFonts w:eastAsia="Wingdings" w:cs="Wingdings"/>
                <w:sz w:val="18"/>
                <w:szCs w:val="18"/>
              </w:rPr>
              <w:t>New minor construction works</w:t>
            </w:r>
          </w:p>
        </w:tc>
        <w:tc>
          <w:tcPr>
            <w:tcW w:w="992" w:type="dxa"/>
            <w:tcBorders>
              <w:top w:val="nil"/>
              <w:left w:val="nil"/>
              <w:bottom w:val="nil"/>
              <w:right w:val="nil"/>
            </w:tcBorders>
            <w:vAlign w:val="center"/>
          </w:tcPr>
          <w:p w14:paraId="1ABDF856" w14:textId="77777777"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[X] Yes</w:t>
            </w:r>
          </w:p>
        </w:tc>
        <w:tc>
          <w:tcPr>
            <w:tcW w:w="1984" w:type="dxa"/>
            <w:tcBorders>
              <w:top w:val="nil"/>
              <w:left w:val="nil"/>
              <w:bottom w:val="nil"/>
              <w:right w:val="single" w:sz="4" w:space="0" w:color="auto"/>
            </w:tcBorders>
            <w:vAlign w:val="center"/>
          </w:tcPr>
          <w:p w14:paraId="04ECB757" w14:textId="77777777"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  ] No</w:t>
            </w:r>
          </w:p>
        </w:tc>
      </w:tr>
      <w:tr w:rsidR="00B3628F" w:rsidRPr="00EE43C6" w14:paraId="131933BE" w14:textId="77777777" w:rsidTr="003C297A">
        <w:trPr>
          <w:trHeight w:val="340"/>
        </w:trPr>
        <w:tc>
          <w:tcPr>
            <w:tcW w:w="1788" w:type="dxa"/>
            <w:vMerge/>
            <w:tcBorders>
              <w:right w:val="single" w:sz="12" w:space="0" w:color="auto"/>
            </w:tcBorders>
          </w:tcPr>
          <w:p w14:paraId="6D9124C4" w14:textId="77777777" w:rsidR="00B3628F" w:rsidRPr="00EE43C6" w:rsidRDefault="00B3628F" w:rsidP="003C297A">
            <w:pPr>
              <w:spacing w:before="0" w:after="0"/>
              <w:jc w:val="center"/>
              <w:rPr>
                <w:sz w:val="18"/>
                <w:szCs w:val="18"/>
              </w:rPr>
            </w:pPr>
          </w:p>
        </w:tc>
        <w:tc>
          <w:tcPr>
            <w:tcW w:w="4185" w:type="dxa"/>
            <w:tcBorders>
              <w:top w:val="nil"/>
              <w:left w:val="single" w:sz="12" w:space="0" w:color="auto"/>
              <w:bottom w:val="nil"/>
              <w:right w:val="nil"/>
            </w:tcBorders>
          </w:tcPr>
          <w:p w14:paraId="743C6C82" w14:textId="2555D6D4" w:rsidR="00B3628F" w:rsidRPr="00EE43C6" w:rsidRDefault="00B3628F" w:rsidP="00E12C6F">
            <w:pPr>
              <w:numPr>
                <w:ilvl w:val="0"/>
                <w:numId w:val="6"/>
              </w:numPr>
              <w:spacing w:before="0" w:after="0" w:line="240" w:lineRule="auto"/>
              <w:jc w:val="left"/>
              <w:rPr>
                <w:rFonts w:eastAsia="Wingdings" w:cs="Wingdings"/>
                <w:sz w:val="18"/>
                <w:szCs w:val="18"/>
              </w:rPr>
            </w:pPr>
            <w:r w:rsidRPr="00EE43C6">
              <w:rPr>
                <w:rFonts w:eastAsia="Wingdings" w:cs="Wingdings"/>
                <w:sz w:val="18"/>
                <w:szCs w:val="18"/>
              </w:rPr>
              <w:t>Individual wastewater treatment system</w:t>
            </w:r>
          </w:p>
        </w:tc>
        <w:tc>
          <w:tcPr>
            <w:tcW w:w="992" w:type="dxa"/>
            <w:tcBorders>
              <w:top w:val="nil"/>
              <w:left w:val="nil"/>
              <w:bottom w:val="nil"/>
              <w:right w:val="nil"/>
            </w:tcBorders>
            <w:vAlign w:val="center"/>
          </w:tcPr>
          <w:p w14:paraId="4D1BBA6D" w14:textId="07DE2D88"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w:t>
            </w:r>
            <w:r w:rsidR="003F2B04" w:rsidRPr="00EE43C6">
              <w:rPr>
                <w:rFonts w:eastAsia="Wingdings" w:cs="Wingdings"/>
                <w:sz w:val="18"/>
                <w:szCs w:val="18"/>
              </w:rPr>
              <w:t xml:space="preserve">  </w:t>
            </w:r>
            <w:r w:rsidRPr="00EE43C6">
              <w:rPr>
                <w:rFonts w:eastAsia="Wingdings" w:cs="Wingdings"/>
                <w:sz w:val="18"/>
                <w:szCs w:val="18"/>
              </w:rPr>
              <w:t>] Yes</w:t>
            </w:r>
          </w:p>
        </w:tc>
        <w:tc>
          <w:tcPr>
            <w:tcW w:w="1984" w:type="dxa"/>
            <w:tcBorders>
              <w:top w:val="nil"/>
              <w:left w:val="nil"/>
              <w:bottom w:val="nil"/>
              <w:right w:val="single" w:sz="4" w:space="0" w:color="auto"/>
            </w:tcBorders>
            <w:vAlign w:val="center"/>
          </w:tcPr>
          <w:p w14:paraId="3BCBC389" w14:textId="04AE4D24"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w:t>
            </w:r>
            <w:r w:rsidR="003F2B04" w:rsidRPr="00EE43C6">
              <w:rPr>
                <w:rFonts w:eastAsia="Wingdings" w:cs="Wingdings"/>
                <w:sz w:val="18"/>
                <w:szCs w:val="18"/>
              </w:rPr>
              <w:t>X</w:t>
            </w:r>
            <w:r w:rsidRPr="00EE43C6">
              <w:rPr>
                <w:rFonts w:eastAsia="Wingdings" w:cs="Wingdings"/>
                <w:sz w:val="18"/>
                <w:szCs w:val="18"/>
              </w:rPr>
              <w:t>] No</w:t>
            </w:r>
          </w:p>
        </w:tc>
      </w:tr>
      <w:tr w:rsidR="00B3628F" w:rsidRPr="00EE43C6" w14:paraId="4558F082" w14:textId="77777777" w:rsidTr="003C297A">
        <w:trPr>
          <w:trHeight w:val="340"/>
        </w:trPr>
        <w:tc>
          <w:tcPr>
            <w:tcW w:w="1788" w:type="dxa"/>
            <w:vMerge/>
            <w:tcBorders>
              <w:right w:val="single" w:sz="12" w:space="0" w:color="auto"/>
            </w:tcBorders>
          </w:tcPr>
          <w:p w14:paraId="48E2B2C0" w14:textId="77777777" w:rsidR="00B3628F" w:rsidRPr="00EE43C6" w:rsidRDefault="00B3628F" w:rsidP="003C297A">
            <w:pPr>
              <w:spacing w:before="0" w:after="0"/>
              <w:jc w:val="center"/>
              <w:rPr>
                <w:sz w:val="18"/>
                <w:szCs w:val="18"/>
              </w:rPr>
            </w:pPr>
          </w:p>
        </w:tc>
        <w:tc>
          <w:tcPr>
            <w:tcW w:w="4185" w:type="dxa"/>
            <w:tcBorders>
              <w:top w:val="nil"/>
              <w:left w:val="single" w:sz="12" w:space="0" w:color="auto"/>
              <w:bottom w:val="nil"/>
              <w:right w:val="nil"/>
            </w:tcBorders>
          </w:tcPr>
          <w:p w14:paraId="3BF04877" w14:textId="24C42B60" w:rsidR="00B3628F" w:rsidRPr="00EE43C6" w:rsidRDefault="00B3628F" w:rsidP="00E12C6F">
            <w:pPr>
              <w:numPr>
                <w:ilvl w:val="0"/>
                <w:numId w:val="6"/>
              </w:numPr>
              <w:spacing w:before="0" w:after="0" w:line="240" w:lineRule="auto"/>
              <w:jc w:val="left"/>
              <w:rPr>
                <w:rFonts w:eastAsia="Wingdings" w:cs="Wingdings"/>
                <w:sz w:val="18"/>
                <w:szCs w:val="18"/>
              </w:rPr>
            </w:pPr>
            <w:r w:rsidRPr="00EE43C6">
              <w:rPr>
                <w:rFonts w:eastAsia="Wingdings" w:cs="Wingdings"/>
                <w:sz w:val="18"/>
                <w:szCs w:val="18"/>
              </w:rPr>
              <w:t>Historical building(s) and sites</w:t>
            </w:r>
          </w:p>
        </w:tc>
        <w:tc>
          <w:tcPr>
            <w:tcW w:w="992" w:type="dxa"/>
            <w:tcBorders>
              <w:top w:val="nil"/>
              <w:left w:val="nil"/>
              <w:bottom w:val="nil"/>
              <w:right w:val="nil"/>
            </w:tcBorders>
            <w:vAlign w:val="center"/>
          </w:tcPr>
          <w:p w14:paraId="0C18D978" w14:textId="77777777"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  ] Yes</w:t>
            </w:r>
          </w:p>
        </w:tc>
        <w:tc>
          <w:tcPr>
            <w:tcW w:w="1984" w:type="dxa"/>
            <w:tcBorders>
              <w:top w:val="nil"/>
              <w:left w:val="nil"/>
              <w:bottom w:val="nil"/>
              <w:right w:val="single" w:sz="4" w:space="0" w:color="auto"/>
            </w:tcBorders>
            <w:vAlign w:val="center"/>
          </w:tcPr>
          <w:p w14:paraId="305B9B13" w14:textId="77777777"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[X] No</w:t>
            </w:r>
          </w:p>
        </w:tc>
      </w:tr>
      <w:tr w:rsidR="00B3628F" w:rsidRPr="00EE43C6" w14:paraId="515EE5A0" w14:textId="77777777" w:rsidTr="003C297A">
        <w:trPr>
          <w:trHeight w:val="340"/>
        </w:trPr>
        <w:tc>
          <w:tcPr>
            <w:tcW w:w="1788" w:type="dxa"/>
            <w:vMerge/>
            <w:tcBorders>
              <w:right w:val="single" w:sz="12" w:space="0" w:color="auto"/>
            </w:tcBorders>
          </w:tcPr>
          <w:p w14:paraId="000F8572" w14:textId="77777777" w:rsidR="00B3628F" w:rsidRPr="00EE43C6" w:rsidRDefault="00B3628F" w:rsidP="003C297A">
            <w:pPr>
              <w:spacing w:before="0" w:after="0"/>
              <w:jc w:val="center"/>
              <w:rPr>
                <w:sz w:val="18"/>
                <w:szCs w:val="18"/>
              </w:rPr>
            </w:pPr>
          </w:p>
        </w:tc>
        <w:tc>
          <w:tcPr>
            <w:tcW w:w="4185" w:type="dxa"/>
            <w:tcBorders>
              <w:top w:val="nil"/>
              <w:left w:val="single" w:sz="12" w:space="0" w:color="auto"/>
              <w:bottom w:val="nil"/>
              <w:right w:val="nil"/>
            </w:tcBorders>
          </w:tcPr>
          <w:p w14:paraId="6E7F0E33" w14:textId="7C6B411E" w:rsidR="00B3628F" w:rsidRPr="00EE43C6" w:rsidRDefault="00B3628F" w:rsidP="00E12C6F">
            <w:pPr>
              <w:numPr>
                <w:ilvl w:val="0"/>
                <w:numId w:val="6"/>
              </w:numPr>
              <w:spacing w:before="0" w:after="0" w:line="240" w:lineRule="auto"/>
              <w:jc w:val="left"/>
              <w:rPr>
                <w:rFonts w:eastAsia="Wingdings" w:cs="Wingdings"/>
                <w:sz w:val="18"/>
                <w:szCs w:val="18"/>
              </w:rPr>
            </w:pPr>
            <w:r w:rsidRPr="00EE43C6">
              <w:rPr>
                <w:rFonts w:eastAsia="Wingdings" w:cs="Wingdings"/>
                <w:sz w:val="18"/>
                <w:szCs w:val="18"/>
              </w:rPr>
              <w:t>Land acquisition</w:t>
            </w:r>
            <w:r w:rsidRPr="00EE43C6">
              <w:rPr>
                <w:rFonts w:eastAsia="Wingdings" w:cs="Wingdings"/>
                <w:sz w:val="18"/>
                <w:szCs w:val="18"/>
                <w:vertAlign w:val="superscript"/>
              </w:rPr>
              <w:footnoteReference w:id="30"/>
            </w:r>
          </w:p>
        </w:tc>
        <w:tc>
          <w:tcPr>
            <w:tcW w:w="992" w:type="dxa"/>
            <w:tcBorders>
              <w:top w:val="nil"/>
              <w:left w:val="nil"/>
              <w:bottom w:val="nil"/>
              <w:right w:val="nil"/>
            </w:tcBorders>
            <w:vAlign w:val="center"/>
          </w:tcPr>
          <w:p w14:paraId="1B50A5AE" w14:textId="09EE0E08" w:rsidR="00B3628F" w:rsidRPr="00EE43C6" w:rsidRDefault="00FC5346" w:rsidP="003C297A">
            <w:pPr>
              <w:spacing w:before="0" w:after="0"/>
              <w:jc w:val="center"/>
              <w:rPr>
                <w:rFonts w:eastAsia="Wingdings" w:cs="Wingdings"/>
                <w:sz w:val="18"/>
                <w:szCs w:val="18"/>
              </w:rPr>
            </w:pPr>
            <w:r w:rsidRPr="00EE43C6">
              <w:rPr>
                <w:rFonts w:eastAsia="Wingdings" w:cs="Wingdings"/>
                <w:sz w:val="18"/>
                <w:szCs w:val="18"/>
              </w:rPr>
              <w:t>[</w:t>
            </w:r>
            <w:r>
              <w:rPr>
                <w:rFonts w:eastAsia="Wingdings" w:cs="Wingdings"/>
                <w:sz w:val="18"/>
                <w:szCs w:val="18"/>
              </w:rPr>
              <w:t>X</w:t>
            </w:r>
            <w:r w:rsidR="00B3628F" w:rsidRPr="00EE43C6">
              <w:rPr>
                <w:rFonts w:eastAsia="Wingdings" w:cs="Wingdings"/>
                <w:sz w:val="18"/>
                <w:szCs w:val="18"/>
              </w:rPr>
              <w:t>] Yes</w:t>
            </w:r>
          </w:p>
        </w:tc>
        <w:tc>
          <w:tcPr>
            <w:tcW w:w="1984" w:type="dxa"/>
            <w:tcBorders>
              <w:top w:val="nil"/>
              <w:left w:val="nil"/>
              <w:bottom w:val="nil"/>
              <w:right w:val="single" w:sz="4" w:space="0" w:color="auto"/>
            </w:tcBorders>
            <w:vAlign w:val="center"/>
          </w:tcPr>
          <w:p w14:paraId="7FF0BBBB" w14:textId="0C9CF87D"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w:t>
            </w:r>
            <w:r w:rsidR="00FC5346">
              <w:rPr>
                <w:rFonts w:eastAsia="Wingdings" w:cs="Wingdings"/>
                <w:sz w:val="18"/>
                <w:szCs w:val="18"/>
              </w:rPr>
              <w:t xml:space="preserve">  </w:t>
            </w:r>
            <w:r w:rsidRPr="00EE43C6">
              <w:rPr>
                <w:rFonts w:eastAsia="Wingdings" w:cs="Wingdings"/>
                <w:sz w:val="18"/>
                <w:szCs w:val="18"/>
              </w:rPr>
              <w:t>] No</w:t>
            </w:r>
          </w:p>
        </w:tc>
      </w:tr>
      <w:tr w:rsidR="00B3628F" w:rsidRPr="00EE43C6" w14:paraId="646480C6" w14:textId="77777777" w:rsidTr="003C297A">
        <w:trPr>
          <w:trHeight w:val="340"/>
        </w:trPr>
        <w:tc>
          <w:tcPr>
            <w:tcW w:w="1788" w:type="dxa"/>
            <w:vMerge/>
            <w:tcBorders>
              <w:right w:val="single" w:sz="12" w:space="0" w:color="auto"/>
            </w:tcBorders>
          </w:tcPr>
          <w:p w14:paraId="409C0C28" w14:textId="77777777" w:rsidR="00B3628F" w:rsidRPr="00EE43C6" w:rsidRDefault="00B3628F" w:rsidP="003C297A">
            <w:pPr>
              <w:spacing w:before="0" w:after="0"/>
              <w:jc w:val="center"/>
              <w:rPr>
                <w:sz w:val="18"/>
                <w:szCs w:val="18"/>
              </w:rPr>
            </w:pPr>
          </w:p>
        </w:tc>
        <w:tc>
          <w:tcPr>
            <w:tcW w:w="4185" w:type="dxa"/>
            <w:tcBorders>
              <w:top w:val="nil"/>
              <w:left w:val="single" w:sz="12" w:space="0" w:color="auto"/>
              <w:bottom w:val="nil"/>
              <w:right w:val="nil"/>
            </w:tcBorders>
          </w:tcPr>
          <w:p w14:paraId="3D8B3CFD" w14:textId="77777777" w:rsidR="00B3628F" w:rsidRPr="00EE43C6" w:rsidRDefault="00B3628F" w:rsidP="00E12C6F">
            <w:pPr>
              <w:numPr>
                <w:ilvl w:val="0"/>
                <w:numId w:val="6"/>
              </w:numPr>
              <w:spacing w:before="0" w:after="0" w:line="240" w:lineRule="auto"/>
              <w:jc w:val="left"/>
              <w:rPr>
                <w:rFonts w:eastAsia="Wingdings" w:cs="Wingdings"/>
                <w:sz w:val="18"/>
                <w:szCs w:val="18"/>
              </w:rPr>
            </w:pPr>
            <w:r w:rsidRPr="00EE43C6">
              <w:rPr>
                <w:rFonts w:eastAsia="Wingdings" w:cs="Wingdings"/>
                <w:sz w:val="18"/>
                <w:szCs w:val="18"/>
              </w:rPr>
              <w:t>Hazardous or toxic materials</w:t>
            </w:r>
            <w:r w:rsidRPr="00EE43C6">
              <w:rPr>
                <w:rFonts w:eastAsia="Wingdings" w:cs="Wingdings"/>
                <w:sz w:val="18"/>
                <w:szCs w:val="18"/>
                <w:vertAlign w:val="superscript"/>
              </w:rPr>
              <w:footnoteReference w:id="31"/>
            </w:r>
          </w:p>
        </w:tc>
        <w:tc>
          <w:tcPr>
            <w:tcW w:w="992" w:type="dxa"/>
            <w:tcBorders>
              <w:top w:val="nil"/>
              <w:left w:val="nil"/>
              <w:bottom w:val="nil"/>
              <w:right w:val="nil"/>
            </w:tcBorders>
            <w:vAlign w:val="center"/>
          </w:tcPr>
          <w:p w14:paraId="21AF8350" w14:textId="4969D4BF"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w:t>
            </w:r>
            <w:r w:rsidR="006A4AB6" w:rsidRPr="00EE43C6">
              <w:rPr>
                <w:rFonts w:eastAsia="Wingdings" w:cs="Wingdings"/>
                <w:sz w:val="18"/>
                <w:szCs w:val="18"/>
              </w:rPr>
              <w:t>X</w:t>
            </w:r>
            <w:r w:rsidRPr="00EE43C6">
              <w:rPr>
                <w:rFonts w:eastAsia="Wingdings" w:cs="Wingdings"/>
                <w:sz w:val="18"/>
                <w:szCs w:val="18"/>
              </w:rPr>
              <w:t>] Yes</w:t>
            </w:r>
          </w:p>
        </w:tc>
        <w:tc>
          <w:tcPr>
            <w:tcW w:w="1984" w:type="dxa"/>
            <w:tcBorders>
              <w:top w:val="nil"/>
              <w:left w:val="nil"/>
              <w:bottom w:val="nil"/>
              <w:right w:val="single" w:sz="4" w:space="0" w:color="auto"/>
            </w:tcBorders>
            <w:vAlign w:val="center"/>
          </w:tcPr>
          <w:p w14:paraId="654D5FE3" w14:textId="7B64B29A"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w:t>
            </w:r>
            <w:r w:rsidR="006A4AB6" w:rsidRPr="00EE43C6">
              <w:rPr>
                <w:rFonts w:eastAsia="Wingdings" w:cs="Wingdings"/>
                <w:sz w:val="18"/>
                <w:szCs w:val="18"/>
              </w:rPr>
              <w:t xml:space="preserve">  </w:t>
            </w:r>
            <w:r w:rsidRPr="00EE43C6">
              <w:rPr>
                <w:rFonts w:eastAsia="Wingdings" w:cs="Wingdings"/>
                <w:sz w:val="18"/>
                <w:szCs w:val="18"/>
              </w:rPr>
              <w:t>] No</w:t>
            </w:r>
          </w:p>
        </w:tc>
      </w:tr>
      <w:tr w:rsidR="00B3628F" w:rsidRPr="00EE43C6" w14:paraId="2CCF80D0" w14:textId="77777777" w:rsidTr="003C297A">
        <w:trPr>
          <w:trHeight w:val="340"/>
        </w:trPr>
        <w:tc>
          <w:tcPr>
            <w:tcW w:w="1788" w:type="dxa"/>
            <w:vMerge/>
            <w:tcBorders>
              <w:right w:val="single" w:sz="12" w:space="0" w:color="auto"/>
            </w:tcBorders>
          </w:tcPr>
          <w:p w14:paraId="7EAD08B0" w14:textId="77777777" w:rsidR="00B3628F" w:rsidRPr="00EE43C6" w:rsidRDefault="00B3628F" w:rsidP="003C297A">
            <w:pPr>
              <w:spacing w:before="0" w:after="0"/>
              <w:jc w:val="center"/>
              <w:rPr>
                <w:sz w:val="18"/>
                <w:szCs w:val="18"/>
              </w:rPr>
            </w:pPr>
          </w:p>
        </w:tc>
        <w:tc>
          <w:tcPr>
            <w:tcW w:w="4185" w:type="dxa"/>
            <w:tcBorders>
              <w:top w:val="nil"/>
              <w:left w:val="single" w:sz="12" w:space="0" w:color="auto"/>
              <w:bottom w:val="nil"/>
              <w:right w:val="nil"/>
            </w:tcBorders>
          </w:tcPr>
          <w:p w14:paraId="4F334332" w14:textId="6124B455" w:rsidR="00B3628F" w:rsidRPr="00EE43C6" w:rsidRDefault="00B3628F" w:rsidP="00E12C6F">
            <w:pPr>
              <w:numPr>
                <w:ilvl w:val="0"/>
                <w:numId w:val="6"/>
              </w:numPr>
              <w:spacing w:before="0" w:after="0" w:line="240" w:lineRule="auto"/>
              <w:jc w:val="left"/>
              <w:rPr>
                <w:rFonts w:eastAsia="Wingdings" w:cs="Wingdings"/>
                <w:sz w:val="18"/>
                <w:szCs w:val="18"/>
              </w:rPr>
            </w:pPr>
            <w:r w:rsidRPr="00EE43C6">
              <w:rPr>
                <w:rFonts w:eastAsia="Wingdings" w:cs="Wingdings"/>
                <w:sz w:val="18"/>
                <w:szCs w:val="18"/>
              </w:rPr>
              <w:t>Impacts on forestlands and/or protected areas</w:t>
            </w:r>
          </w:p>
        </w:tc>
        <w:tc>
          <w:tcPr>
            <w:tcW w:w="992" w:type="dxa"/>
            <w:tcBorders>
              <w:top w:val="nil"/>
              <w:left w:val="nil"/>
              <w:bottom w:val="nil"/>
              <w:right w:val="nil"/>
            </w:tcBorders>
            <w:vAlign w:val="center"/>
          </w:tcPr>
          <w:p w14:paraId="7CA5A75B" w14:textId="77777777"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  ] Yes</w:t>
            </w:r>
          </w:p>
        </w:tc>
        <w:tc>
          <w:tcPr>
            <w:tcW w:w="1984" w:type="dxa"/>
            <w:tcBorders>
              <w:top w:val="nil"/>
              <w:left w:val="nil"/>
              <w:bottom w:val="nil"/>
              <w:right w:val="single" w:sz="4" w:space="0" w:color="auto"/>
            </w:tcBorders>
            <w:vAlign w:val="center"/>
          </w:tcPr>
          <w:p w14:paraId="7A125839" w14:textId="77777777"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[X] No</w:t>
            </w:r>
          </w:p>
        </w:tc>
      </w:tr>
      <w:tr w:rsidR="00B3628F" w:rsidRPr="00EE43C6" w14:paraId="7C6AC8B2" w14:textId="77777777" w:rsidTr="003C297A">
        <w:trPr>
          <w:trHeight w:val="340"/>
        </w:trPr>
        <w:tc>
          <w:tcPr>
            <w:tcW w:w="1788" w:type="dxa"/>
            <w:vMerge/>
            <w:tcBorders>
              <w:right w:val="single" w:sz="12" w:space="0" w:color="auto"/>
            </w:tcBorders>
          </w:tcPr>
          <w:p w14:paraId="2F8D7A04" w14:textId="77777777" w:rsidR="00B3628F" w:rsidRPr="00EE43C6" w:rsidRDefault="00B3628F" w:rsidP="003C297A">
            <w:pPr>
              <w:spacing w:before="0" w:after="0"/>
              <w:jc w:val="center"/>
              <w:rPr>
                <w:sz w:val="18"/>
                <w:szCs w:val="18"/>
              </w:rPr>
            </w:pPr>
          </w:p>
        </w:tc>
        <w:tc>
          <w:tcPr>
            <w:tcW w:w="4185" w:type="dxa"/>
            <w:tcBorders>
              <w:top w:val="nil"/>
              <w:left w:val="single" w:sz="12" w:space="0" w:color="auto"/>
              <w:bottom w:val="nil"/>
              <w:right w:val="nil"/>
            </w:tcBorders>
          </w:tcPr>
          <w:p w14:paraId="618EA5BF" w14:textId="5826FA6B" w:rsidR="00B3628F" w:rsidRPr="00EE43C6" w:rsidRDefault="00B3628F" w:rsidP="00E12C6F">
            <w:pPr>
              <w:numPr>
                <w:ilvl w:val="0"/>
                <w:numId w:val="6"/>
              </w:numPr>
              <w:spacing w:before="0" w:after="0" w:line="240" w:lineRule="auto"/>
              <w:jc w:val="left"/>
              <w:rPr>
                <w:rFonts w:eastAsia="Wingdings" w:cs="Wingdings"/>
                <w:sz w:val="18"/>
                <w:szCs w:val="18"/>
              </w:rPr>
            </w:pPr>
            <w:r w:rsidRPr="00EE43C6">
              <w:rPr>
                <w:rFonts w:eastAsia="Wingdings" w:cs="Wingdings"/>
                <w:sz w:val="18"/>
                <w:szCs w:val="18"/>
              </w:rPr>
              <w:t>Medical waste collection / management</w:t>
            </w:r>
          </w:p>
        </w:tc>
        <w:tc>
          <w:tcPr>
            <w:tcW w:w="992" w:type="dxa"/>
            <w:tcBorders>
              <w:top w:val="nil"/>
              <w:left w:val="nil"/>
              <w:bottom w:val="nil"/>
              <w:right w:val="nil"/>
            </w:tcBorders>
            <w:vAlign w:val="center"/>
          </w:tcPr>
          <w:p w14:paraId="3879765D" w14:textId="4098FB30"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w:t>
            </w:r>
            <w:r w:rsidR="006D5551" w:rsidRPr="00EE43C6">
              <w:rPr>
                <w:rFonts w:eastAsia="Wingdings" w:cs="Wingdings"/>
                <w:sz w:val="18"/>
                <w:szCs w:val="18"/>
              </w:rPr>
              <w:t xml:space="preserve">  </w:t>
            </w:r>
            <w:r w:rsidRPr="00EE43C6">
              <w:rPr>
                <w:rFonts w:eastAsia="Wingdings" w:cs="Wingdings"/>
                <w:sz w:val="18"/>
                <w:szCs w:val="18"/>
              </w:rPr>
              <w:t>] Yes</w:t>
            </w:r>
          </w:p>
        </w:tc>
        <w:tc>
          <w:tcPr>
            <w:tcW w:w="1984" w:type="dxa"/>
            <w:tcBorders>
              <w:top w:val="nil"/>
              <w:left w:val="nil"/>
              <w:bottom w:val="nil"/>
              <w:right w:val="single" w:sz="4" w:space="0" w:color="auto"/>
            </w:tcBorders>
            <w:vAlign w:val="center"/>
          </w:tcPr>
          <w:p w14:paraId="26BEAFCB" w14:textId="7729DAB3"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w:t>
            </w:r>
            <w:r w:rsidR="006D5551" w:rsidRPr="00EE43C6">
              <w:rPr>
                <w:rFonts w:eastAsia="Wingdings" w:cs="Wingdings"/>
                <w:sz w:val="18"/>
                <w:szCs w:val="18"/>
              </w:rPr>
              <w:t>X</w:t>
            </w:r>
            <w:r w:rsidRPr="00EE43C6">
              <w:rPr>
                <w:rFonts w:eastAsia="Wingdings" w:cs="Wingdings"/>
                <w:sz w:val="18"/>
                <w:szCs w:val="18"/>
              </w:rPr>
              <w:t>] No</w:t>
            </w:r>
          </w:p>
        </w:tc>
      </w:tr>
      <w:tr w:rsidR="00B3628F" w:rsidRPr="00EE43C6" w14:paraId="6131D81C" w14:textId="77777777" w:rsidTr="003C297A">
        <w:trPr>
          <w:trHeight w:val="340"/>
        </w:trPr>
        <w:tc>
          <w:tcPr>
            <w:tcW w:w="1788" w:type="dxa"/>
            <w:vMerge/>
            <w:tcBorders>
              <w:right w:val="single" w:sz="12" w:space="0" w:color="auto"/>
            </w:tcBorders>
          </w:tcPr>
          <w:p w14:paraId="27A25F95" w14:textId="77777777" w:rsidR="00B3628F" w:rsidRPr="00EE43C6" w:rsidRDefault="00B3628F" w:rsidP="003C297A">
            <w:pPr>
              <w:spacing w:before="0" w:after="0"/>
              <w:jc w:val="center"/>
              <w:rPr>
                <w:sz w:val="18"/>
                <w:szCs w:val="18"/>
              </w:rPr>
            </w:pPr>
          </w:p>
        </w:tc>
        <w:tc>
          <w:tcPr>
            <w:tcW w:w="4185" w:type="dxa"/>
            <w:tcBorders>
              <w:top w:val="nil"/>
              <w:left w:val="single" w:sz="12" w:space="0" w:color="auto"/>
              <w:bottom w:val="single" w:sz="12" w:space="0" w:color="auto"/>
              <w:right w:val="nil"/>
            </w:tcBorders>
          </w:tcPr>
          <w:p w14:paraId="1B39A7FB" w14:textId="6A61B708" w:rsidR="00B3628F" w:rsidRPr="00EE43C6" w:rsidRDefault="00B3628F" w:rsidP="00E12C6F">
            <w:pPr>
              <w:numPr>
                <w:ilvl w:val="0"/>
                <w:numId w:val="6"/>
              </w:numPr>
              <w:spacing w:before="0" w:after="0" w:line="240" w:lineRule="auto"/>
              <w:jc w:val="left"/>
              <w:rPr>
                <w:rFonts w:eastAsia="Wingdings" w:cs="Wingdings"/>
                <w:sz w:val="18"/>
                <w:szCs w:val="18"/>
              </w:rPr>
            </w:pPr>
            <w:r w:rsidRPr="00EE43C6">
              <w:rPr>
                <w:rFonts w:eastAsia="Wingdings" w:cs="Wingdings"/>
                <w:sz w:val="18"/>
                <w:szCs w:val="18"/>
              </w:rPr>
              <w:t>Traffic and Pedestrian Safety</w:t>
            </w:r>
          </w:p>
        </w:tc>
        <w:tc>
          <w:tcPr>
            <w:tcW w:w="992" w:type="dxa"/>
            <w:tcBorders>
              <w:top w:val="nil"/>
              <w:left w:val="nil"/>
              <w:bottom w:val="single" w:sz="12" w:space="0" w:color="auto"/>
              <w:right w:val="nil"/>
            </w:tcBorders>
            <w:vAlign w:val="center"/>
          </w:tcPr>
          <w:p w14:paraId="0DEDFB4A" w14:textId="77777777"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[X] Yes</w:t>
            </w:r>
          </w:p>
        </w:tc>
        <w:tc>
          <w:tcPr>
            <w:tcW w:w="1984" w:type="dxa"/>
            <w:tcBorders>
              <w:top w:val="nil"/>
              <w:left w:val="nil"/>
              <w:bottom w:val="single" w:sz="12" w:space="0" w:color="auto"/>
              <w:right w:val="single" w:sz="4" w:space="0" w:color="auto"/>
            </w:tcBorders>
            <w:vAlign w:val="center"/>
          </w:tcPr>
          <w:p w14:paraId="7DCDF4B6" w14:textId="77777777" w:rsidR="00B3628F" w:rsidRPr="00EE43C6" w:rsidRDefault="00B3628F" w:rsidP="003C297A">
            <w:pPr>
              <w:spacing w:before="0" w:after="0"/>
              <w:jc w:val="center"/>
              <w:rPr>
                <w:rFonts w:eastAsia="Wingdings" w:cs="Wingdings"/>
                <w:sz w:val="18"/>
                <w:szCs w:val="18"/>
              </w:rPr>
            </w:pPr>
            <w:r w:rsidRPr="00EE43C6">
              <w:rPr>
                <w:rFonts w:eastAsia="Wingdings" w:cs="Wingdings"/>
                <w:sz w:val="18"/>
                <w:szCs w:val="18"/>
              </w:rPr>
              <w:t>[  ] No</w:t>
            </w:r>
          </w:p>
        </w:tc>
      </w:tr>
    </w:tbl>
    <w:p w14:paraId="44F4E359" w14:textId="77777777" w:rsidR="00A175C3" w:rsidRPr="00EE43C6" w:rsidRDefault="00A175C3">
      <w:pPr>
        <w:spacing w:before="0" w:after="200" w:line="276" w:lineRule="auto"/>
        <w:jc w:val="left"/>
      </w:pPr>
    </w:p>
    <w:p w14:paraId="5E1E98AF" w14:textId="4C1461B3" w:rsidR="00140B24" w:rsidRPr="00EE43C6" w:rsidRDefault="00140B24">
      <w:pPr>
        <w:spacing w:before="0" w:after="200" w:line="276" w:lineRule="auto"/>
        <w:jc w:val="left"/>
        <w:sectPr w:rsidR="00140B24" w:rsidRPr="00EE43C6" w:rsidSect="00E961E6">
          <w:headerReference w:type="default" r:id="rId75"/>
          <w:footerReference w:type="default" r:id="rId76"/>
          <w:pgSz w:w="11910" w:h="16840" w:code="9"/>
          <w:pgMar w:top="1418" w:right="1418" w:bottom="1418" w:left="1418" w:header="709" w:footer="709" w:gutter="0"/>
          <w:cols w:space="708"/>
          <w:docGrid w:linePitch="299"/>
        </w:sectPr>
      </w:pPr>
    </w:p>
    <w:p w14:paraId="56D451DB" w14:textId="20549A70" w:rsidR="00F82255" w:rsidRPr="00EE43C6" w:rsidRDefault="001A58C6" w:rsidP="005B5CD4">
      <w:pPr>
        <w:pStyle w:val="Heading2"/>
        <w:rPr>
          <w:lang w:val="en-GB"/>
        </w:rPr>
      </w:pPr>
      <w:bookmarkStart w:id="1571" w:name="_Toc83648216"/>
      <w:bookmarkStart w:id="1572" w:name="_Toc83648215"/>
      <w:bookmarkStart w:id="1573" w:name="_Toc88242449"/>
      <w:bookmarkStart w:id="1574" w:name="_Toc80633594"/>
      <w:bookmarkStart w:id="1575" w:name="_Ref118898207"/>
      <w:bookmarkStart w:id="1576" w:name="_Toc120016988"/>
      <w:bookmarkStart w:id="1577" w:name="_Toc120004765"/>
      <w:bookmarkStart w:id="1578" w:name="_Ref135991204"/>
      <w:bookmarkStart w:id="1579" w:name="_Toc141445469"/>
      <w:bookmarkEnd w:id="1571"/>
      <w:bookmarkEnd w:id="1572"/>
      <w:r w:rsidRPr="00EE43C6">
        <w:rPr>
          <w:lang w:val="en-GB"/>
        </w:rPr>
        <w:lastRenderedPageBreak/>
        <w:t xml:space="preserve">Mitigation Plan for the </w:t>
      </w:r>
      <w:bookmarkEnd w:id="1573"/>
      <w:r w:rsidR="004339AC" w:rsidRPr="00EE43C6">
        <w:rPr>
          <w:iCs/>
          <w:lang w:val="en-GB"/>
        </w:rPr>
        <w:t>Construction Phas</w:t>
      </w:r>
      <w:r w:rsidRPr="00EE43C6">
        <w:rPr>
          <w:iCs/>
          <w:lang w:val="en-GB"/>
        </w:rPr>
        <w:t xml:space="preserve">e </w:t>
      </w:r>
      <w:r w:rsidR="00B852C9" w:rsidRPr="00EE43C6">
        <w:rPr>
          <w:lang w:val="en-GB"/>
        </w:rPr>
        <w:t>of the Project</w:t>
      </w:r>
      <w:bookmarkEnd w:id="1574"/>
      <w:bookmarkEnd w:id="1575"/>
      <w:bookmarkEnd w:id="1576"/>
      <w:bookmarkEnd w:id="1577"/>
      <w:bookmarkEnd w:id="1578"/>
      <w:bookmarkEnd w:id="1579"/>
    </w:p>
    <w:tbl>
      <w:tblPr>
        <w:tblW w:w="1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59"/>
        <w:gridCol w:w="1276"/>
        <w:gridCol w:w="851"/>
        <w:gridCol w:w="1276"/>
        <w:gridCol w:w="1134"/>
        <w:gridCol w:w="4819"/>
        <w:gridCol w:w="1418"/>
        <w:gridCol w:w="1843"/>
      </w:tblGrid>
      <w:tr w:rsidR="009155D1" w:rsidRPr="00EE43C6" w14:paraId="3D1D2573" w14:textId="77777777" w:rsidTr="00E961E6">
        <w:trPr>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DD3095A" w14:textId="77777777" w:rsidR="009155D1" w:rsidRPr="00EE43C6" w:rsidRDefault="009155D1" w:rsidP="00EC3089">
            <w:pPr>
              <w:spacing w:before="0" w:after="0" w:line="240" w:lineRule="auto"/>
              <w:jc w:val="left"/>
              <w:rPr>
                <w:rFonts w:eastAsia="Arial TUR" w:cs="Arial"/>
                <w:b/>
                <w:snapToGrid w:val="0"/>
                <w:color w:val="FFFFFF"/>
                <w:sz w:val="16"/>
                <w:szCs w:val="16"/>
                <w:lang w:eastAsia="tr-TR"/>
              </w:rPr>
            </w:pPr>
            <w:r w:rsidRPr="00EE43C6">
              <w:rPr>
                <w:rFonts w:eastAsia="Calibri" w:cs="Arial"/>
                <w:b/>
                <w:snapToGrid w:val="0"/>
                <w:color w:val="FFFFFF"/>
                <w:sz w:val="16"/>
                <w:szCs w:val="16"/>
                <w:lang w:eastAsia="tr-TR"/>
              </w:rPr>
              <w:t>No.</w:t>
            </w:r>
          </w:p>
        </w:tc>
        <w:tc>
          <w:tcPr>
            <w:tcW w:w="1559"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641A995C" w14:textId="77777777" w:rsidR="009155D1" w:rsidRPr="00EE43C6" w:rsidRDefault="009155D1" w:rsidP="00EC3089">
            <w:pPr>
              <w:spacing w:before="0" w:after="0" w:line="240" w:lineRule="auto"/>
              <w:jc w:val="left"/>
              <w:rPr>
                <w:rFonts w:eastAsia="Arial TUR" w:cs="Arial"/>
                <w:b/>
                <w:snapToGrid w:val="0"/>
                <w:color w:val="FFFFFF"/>
                <w:sz w:val="16"/>
                <w:szCs w:val="16"/>
                <w:lang w:eastAsia="tr-TR"/>
              </w:rPr>
            </w:pPr>
            <w:r w:rsidRPr="00EE43C6">
              <w:rPr>
                <w:rFonts w:eastAsia="Arial TUR" w:cs="Arial"/>
                <w:b/>
                <w:snapToGrid w:val="0"/>
                <w:color w:val="FFFFFF"/>
                <w:sz w:val="16"/>
                <w:szCs w:val="16"/>
                <w:lang w:eastAsia="tr-TR"/>
              </w:rPr>
              <w:br w:type="page"/>
            </w:r>
            <w:r w:rsidRPr="00EE43C6">
              <w:rPr>
                <w:rFonts w:eastAsia="Calibri" w:cs="Arial"/>
                <w:b/>
                <w:snapToGrid w:val="0"/>
                <w:color w:val="FFFFFF"/>
                <w:sz w:val="16"/>
                <w:szCs w:val="16"/>
                <w:lang w:eastAsia="tr-TR"/>
              </w:rPr>
              <w:t>Topic</w:t>
            </w:r>
          </w:p>
        </w:tc>
        <w:tc>
          <w:tcPr>
            <w:tcW w:w="1276"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6B7A4C31" w14:textId="77777777" w:rsidR="009155D1" w:rsidRPr="00EE43C6" w:rsidRDefault="009155D1" w:rsidP="00EC3089">
            <w:pPr>
              <w:spacing w:before="0" w:after="0" w:line="240" w:lineRule="auto"/>
              <w:jc w:val="left"/>
              <w:rPr>
                <w:rFonts w:eastAsia="Arial TUR" w:cs="Arial"/>
                <w:b/>
                <w:snapToGrid w:val="0"/>
                <w:color w:val="FFFFFF"/>
                <w:sz w:val="16"/>
                <w:szCs w:val="16"/>
                <w:lang w:eastAsia="tr-TR"/>
              </w:rPr>
            </w:pPr>
            <w:r w:rsidRPr="00EE43C6">
              <w:rPr>
                <w:rFonts w:eastAsia="Calibri" w:cs="Arial"/>
                <w:b/>
                <w:snapToGrid w:val="0"/>
                <w:color w:val="FFFFFF"/>
                <w:sz w:val="16"/>
                <w:szCs w:val="16"/>
                <w:lang w:eastAsia="tr-TR"/>
              </w:rPr>
              <w:t>Definition of Potential Impact</w:t>
            </w:r>
          </w:p>
        </w:tc>
        <w:tc>
          <w:tcPr>
            <w:tcW w:w="851"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4DC9D19C" w14:textId="77777777" w:rsidR="009155D1" w:rsidRPr="00EE43C6" w:rsidRDefault="009155D1">
            <w:pPr>
              <w:spacing w:before="0" w:after="0" w:line="240" w:lineRule="auto"/>
              <w:jc w:val="left"/>
              <w:rPr>
                <w:rFonts w:eastAsia="Arial TUR" w:cs="Arial"/>
                <w:b/>
                <w:snapToGrid w:val="0"/>
                <w:color w:val="FFFFFF"/>
                <w:sz w:val="16"/>
                <w:szCs w:val="16"/>
                <w:lang w:eastAsia="tr-TR"/>
              </w:rPr>
            </w:pPr>
            <w:r w:rsidRPr="00EE43C6">
              <w:rPr>
                <w:rFonts w:eastAsia="Calibri" w:cs="Arial"/>
                <w:b/>
                <w:snapToGrid w:val="0"/>
                <w:color w:val="FFFFFF"/>
                <w:sz w:val="16"/>
                <w:szCs w:val="16"/>
                <w:lang w:eastAsia="tr-TR"/>
              </w:rPr>
              <w:t>Type of Impact</w:t>
            </w:r>
          </w:p>
        </w:tc>
        <w:tc>
          <w:tcPr>
            <w:tcW w:w="1276"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27B3765" w14:textId="77777777" w:rsidR="009155D1" w:rsidRPr="00EE43C6" w:rsidRDefault="009155D1">
            <w:pPr>
              <w:spacing w:before="0" w:after="0" w:line="240" w:lineRule="auto"/>
              <w:jc w:val="left"/>
              <w:rPr>
                <w:rFonts w:eastAsia="Arial TUR" w:cs="Arial"/>
                <w:b/>
                <w:snapToGrid w:val="0"/>
                <w:color w:val="FFFFFF"/>
                <w:sz w:val="16"/>
                <w:szCs w:val="16"/>
                <w:lang w:eastAsia="tr-TR"/>
              </w:rPr>
            </w:pPr>
            <w:r w:rsidRPr="00EE43C6">
              <w:rPr>
                <w:rFonts w:eastAsia="Calibri" w:cs="Arial"/>
                <w:b/>
                <w:snapToGrid w:val="0"/>
                <w:color w:val="FFFFFF"/>
                <w:sz w:val="16"/>
                <w:szCs w:val="16"/>
                <w:lang w:eastAsia="tr-TR"/>
              </w:rPr>
              <w:t>Impact Significance Before Mitigation</w:t>
            </w:r>
          </w:p>
        </w:tc>
        <w:tc>
          <w:tcPr>
            <w:tcW w:w="1134"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C0902D8" w14:textId="77777777" w:rsidR="009155D1" w:rsidRPr="00EE43C6" w:rsidRDefault="009155D1">
            <w:pPr>
              <w:spacing w:before="0" w:after="0" w:line="240" w:lineRule="auto"/>
              <w:jc w:val="left"/>
              <w:rPr>
                <w:rFonts w:eastAsia="Arial TUR" w:cs="Arial"/>
                <w:b/>
                <w:snapToGrid w:val="0"/>
                <w:color w:val="FFFFFF"/>
                <w:sz w:val="16"/>
                <w:szCs w:val="16"/>
                <w:lang w:eastAsia="tr-TR"/>
              </w:rPr>
            </w:pPr>
            <w:r w:rsidRPr="00EE43C6">
              <w:rPr>
                <w:rFonts w:eastAsia="Calibri" w:cs="Arial"/>
                <w:b/>
                <w:snapToGrid w:val="0"/>
                <w:color w:val="FFFFFF"/>
                <w:sz w:val="16"/>
                <w:szCs w:val="16"/>
                <w:lang w:eastAsia="tr-TR"/>
              </w:rPr>
              <w:t>Cost</w:t>
            </w:r>
          </w:p>
        </w:tc>
        <w:tc>
          <w:tcPr>
            <w:tcW w:w="4819"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60BEFA8C" w14:textId="77777777" w:rsidR="009155D1" w:rsidRPr="00EE43C6" w:rsidRDefault="009155D1" w:rsidP="000E280D">
            <w:pPr>
              <w:spacing w:before="60" w:after="60" w:line="240" w:lineRule="auto"/>
              <w:jc w:val="left"/>
              <w:rPr>
                <w:rFonts w:eastAsia="Arial TUR" w:cs="Arial"/>
                <w:b/>
                <w:snapToGrid w:val="0"/>
                <w:color w:val="FFFFFF"/>
                <w:sz w:val="16"/>
                <w:szCs w:val="16"/>
                <w:lang w:eastAsia="tr-TR"/>
              </w:rPr>
            </w:pPr>
            <w:r w:rsidRPr="00EE43C6">
              <w:rPr>
                <w:rFonts w:eastAsia="Calibri" w:cs="Arial"/>
                <w:b/>
                <w:snapToGrid w:val="0"/>
                <w:color w:val="FFFFFF"/>
                <w:sz w:val="16"/>
                <w:szCs w:val="16"/>
                <w:lang w:eastAsia="tr-TR"/>
              </w:rPr>
              <w:t>Measures to be Taken</w:t>
            </w:r>
          </w:p>
        </w:tc>
        <w:tc>
          <w:tcPr>
            <w:tcW w:w="1418"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99EC426" w14:textId="77777777" w:rsidR="009155D1" w:rsidRPr="00EE43C6" w:rsidRDefault="009155D1" w:rsidP="000E280D">
            <w:pPr>
              <w:spacing w:before="0" w:after="0" w:line="240" w:lineRule="auto"/>
              <w:jc w:val="left"/>
              <w:rPr>
                <w:rFonts w:eastAsia="Arial TUR" w:cs="Arial"/>
                <w:b/>
                <w:snapToGrid w:val="0"/>
                <w:color w:val="FFFFFF"/>
                <w:sz w:val="16"/>
                <w:szCs w:val="16"/>
                <w:lang w:eastAsia="tr-TR"/>
              </w:rPr>
            </w:pPr>
            <w:r w:rsidRPr="00EE43C6">
              <w:rPr>
                <w:rFonts w:eastAsia="Calibri" w:cs="Arial"/>
                <w:b/>
                <w:snapToGrid w:val="0"/>
                <w:color w:val="FFFFFF"/>
                <w:sz w:val="16"/>
                <w:szCs w:val="16"/>
                <w:lang w:eastAsia="tr-TR"/>
              </w:rPr>
              <w:t>Responsibility</w:t>
            </w:r>
          </w:p>
        </w:tc>
        <w:tc>
          <w:tcPr>
            <w:tcW w:w="1843"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AD79FDF" w14:textId="77777777" w:rsidR="009155D1" w:rsidRPr="00EE43C6" w:rsidRDefault="009155D1" w:rsidP="000E280D">
            <w:pPr>
              <w:spacing w:before="60" w:after="60" w:line="240" w:lineRule="auto"/>
              <w:jc w:val="left"/>
              <w:rPr>
                <w:rFonts w:eastAsia="Arial TUR" w:cs="Arial"/>
                <w:b/>
                <w:snapToGrid w:val="0"/>
                <w:color w:val="FFFFFF"/>
                <w:sz w:val="16"/>
                <w:szCs w:val="16"/>
                <w:lang w:eastAsia="tr-TR"/>
              </w:rPr>
            </w:pPr>
            <w:r w:rsidRPr="00EE43C6">
              <w:rPr>
                <w:rFonts w:eastAsia="Calibri" w:cs="Arial"/>
                <w:b/>
                <w:snapToGrid w:val="0"/>
                <w:color w:val="FFFFFF"/>
                <w:sz w:val="16"/>
                <w:szCs w:val="16"/>
                <w:lang w:eastAsia="tr-TR"/>
              </w:rPr>
              <w:t>Key Performance Indicators</w:t>
            </w:r>
          </w:p>
        </w:tc>
      </w:tr>
      <w:tr w:rsidR="009155D1" w:rsidRPr="00EE43C6" w14:paraId="02E63366"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223274EF" w14:textId="77777777" w:rsidR="009155D1" w:rsidRPr="00EE43C6" w:rsidRDefault="009155D1" w:rsidP="00A10195">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C1</w:t>
            </w:r>
          </w:p>
        </w:tc>
        <w:tc>
          <w:tcPr>
            <w:tcW w:w="1559" w:type="dxa"/>
            <w:tcBorders>
              <w:top w:val="single" w:sz="4" w:space="0" w:color="auto"/>
              <w:left w:val="single" w:sz="4" w:space="0" w:color="auto"/>
              <w:bottom w:val="single" w:sz="4" w:space="0" w:color="auto"/>
              <w:right w:val="single" w:sz="4" w:space="0" w:color="auto"/>
            </w:tcBorders>
            <w:hideMark/>
          </w:tcPr>
          <w:p w14:paraId="04BCCB98" w14:textId="77777777" w:rsidR="009155D1" w:rsidRPr="00EE43C6" w:rsidRDefault="009155D1" w:rsidP="00A10195">
            <w:pPr>
              <w:autoSpaceDE w:val="0"/>
              <w:autoSpaceDN w:val="0"/>
              <w:adjustRightInd w:val="0"/>
              <w:spacing w:before="0" w:after="0" w:line="240" w:lineRule="auto"/>
              <w:jc w:val="left"/>
              <w:rPr>
                <w:rFonts w:cs="Arial"/>
                <w:b/>
                <w:color w:val="000000"/>
                <w:sz w:val="16"/>
                <w:szCs w:val="16"/>
                <w:lang w:eastAsia="tr-TR"/>
              </w:rPr>
            </w:pPr>
            <w:r w:rsidRPr="00EE43C6">
              <w:rPr>
                <w:rFonts w:cs="Arial"/>
                <w:b/>
                <w:color w:val="000000"/>
                <w:sz w:val="16"/>
                <w:szCs w:val="16"/>
                <w:lang w:eastAsia="tr-TR"/>
              </w:rPr>
              <w:t>Disclosure</w:t>
            </w:r>
          </w:p>
        </w:tc>
        <w:tc>
          <w:tcPr>
            <w:tcW w:w="1276" w:type="dxa"/>
            <w:tcBorders>
              <w:top w:val="single" w:sz="4" w:space="0" w:color="auto"/>
              <w:left w:val="single" w:sz="4" w:space="0" w:color="auto"/>
              <w:bottom w:val="single" w:sz="4" w:space="0" w:color="auto"/>
              <w:right w:val="single" w:sz="4" w:space="0" w:color="auto"/>
            </w:tcBorders>
            <w:noWrap/>
            <w:hideMark/>
          </w:tcPr>
          <w:p w14:paraId="59DB46BB" w14:textId="77777777" w:rsidR="009155D1" w:rsidRPr="00EE43C6" w:rsidRDefault="009155D1" w:rsidP="00A10195">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Insufficient information</w:t>
            </w:r>
          </w:p>
        </w:tc>
        <w:tc>
          <w:tcPr>
            <w:tcW w:w="851" w:type="dxa"/>
            <w:tcBorders>
              <w:top w:val="single" w:sz="4" w:space="0" w:color="auto"/>
              <w:left w:val="single" w:sz="4" w:space="0" w:color="auto"/>
              <w:bottom w:val="single" w:sz="4" w:space="0" w:color="auto"/>
              <w:right w:val="single" w:sz="4" w:space="0" w:color="auto"/>
            </w:tcBorders>
            <w:noWrap/>
            <w:hideMark/>
          </w:tcPr>
          <w:p w14:paraId="4C355CD5" w14:textId="77777777" w:rsidR="009155D1" w:rsidRPr="00EE43C6" w:rsidRDefault="009155D1" w:rsidP="00E961E6">
            <w:pPr>
              <w:autoSpaceDE w:val="0"/>
              <w:autoSpaceDN w:val="0"/>
              <w:adjustRightInd w:val="0"/>
              <w:spacing w:before="0" w:after="0" w:line="240" w:lineRule="auto"/>
              <w:ind w:left="-104" w:right="-103"/>
              <w:jc w:val="center"/>
              <w:rPr>
                <w:rFonts w:cs="Arial"/>
                <w:color w:val="000000"/>
                <w:sz w:val="16"/>
                <w:szCs w:val="16"/>
                <w:lang w:eastAsia="tr-TR"/>
              </w:rPr>
            </w:pPr>
            <w:r w:rsidRPr="00EE43C6">
              <w:rPr>
                <w:rFonts w:cs="Arial"/>
                <w:color w:val="000000"/>
                <w:sz w:val="16"/>
                <w:szCs w:val="16"/>
                <w:lang w:eastAsia="tr-TR"/>
              </w:rPr>
              <w:t>Adverse</w:t>
            </w:r>
          </w:p>
        </w:tc>
        <w:tc>
          <w:tcPr>
            <w:tcW w:w="1276" w:type="dxa"/>
            <w:tcBorders>
              <w:top w:val="single" w:sz="4" w:space="0" w:color="auto"/>
              <w:left w:val="single" w:sz="4" w:space="0" w:color="auto"/>
              <w:bottom w:val="single" w:sz="4" w:space="0" w:color="auto"/>
              <w:right w:val="single" w:sz="4" w:space="0" w:color="auto"/>
            </w:tcBorders>
            <w:hideMark/>
          </w:tcPr>
          <w:p w14:paraId="36373C9C" w14:textId="77777777" w:rsidR="009155D1" w:rsidRPr="00EE43C6" w:rsidRDefault="009155D1" w:rsidP="00A10195">
            <w:pPr>
              <w:autoSpaceDE w:val="0"/>
              <w:autoSpaceDN w:val="0"/>
              <w:adjustRightInd w:val="0"/>
              <w:spacing w:before="0" w:after="0" w:line="240" w:lineRule="auto"/>
              <w:ind w:right="-103"/>
              <w:jc w:val="left"/>
              <w:rPr>
                <w:rFonts w:cs="Arial"/>
                <w:color w:val="000000"/>
                <w:sz w:val="16"/>
                <w:szCs w:val="16"/>
                <w:lang w:eastAsia="tr-TR"/>
              </w:rPr>
            </w:pPr>
            <w:r w:rsidRPr="00EE43C6">
              <w:rPr>
                <w:rFonts w:cs="Arial"/>
                <w:color w:val="000000"/>
                <w:sz w:val="16"/>
                <w:szCs w:val="16"/>
                <w:lang w:eastAsia="tr-TR"/>
              </w:rPr>
              <w:t>Low</w:t>
            </w:r>
          </w:p>
        </w:tc>
        <w:tc>
          <w:tcPr>
            <w:tcW w:w="1134" w:type="dxa"/>
            <w:tcBorders>
              <w:top w:val="single" w:sz="4" w:space="0" w:color="auto"/>
              <w:left w:val="single" w:sz="4" w:space="0" w:color="auto"/>
              <w:bottom w:val="single" w:sz="4" w:space="0" w:color="auto"/>
              <w:right w:val="single" w:sz="4" w:space="0" w:color="auto"/>
            </w:tcBorders>
            <w:hideMark/>
          </w:tcPr>
          <w:p w14:paraId="001CEF5D" w14:textId="060737E3" w:rsidR="009155D1" w:rsidRPr="00EE43C6" w:rsidRDefault="00BF38B6" w:rsidP="00A10195">
            <w:pPr>
              <w:autoSpaceDE w:val="0"/>
              <w:autoSpaceDN w:val="0"/>
              <w:adjustRightInd w:val="0"/>
              <w:spacing w:before="0" w:after="0" w:line="240" w:lineRule="auto"/>
              <w:ind w:right="-103"/>
              <w:jc w:val="left"/>
              <w:rPr>
                <w:rFonts w:cs="Arial"/>
                <w:color w:val="000000"/>
                <w:sz w:val="16"/>
                <w:szCs w:val="16"/>
                <w:lang w:eastAsia="tr-TR"/>
              </w:rPr>
            </w:pPr>
            <w:r w:rsidRPr="00EE43C6">
              <w:rPr>
                <w:rFonts w:cs="Arial"/>
                <w:color w:val="000000"/>
                <w:sz w:val="16"/>
                <w:szCs w:val="16"/>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71176939"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Before the start of construction works, the local people and all relevant stakeholders will be informed of the works to be performed and the measures to be taken.</w:t>
            </w:r>
          </w:p>
          <w:p w14:paraId="2A2C9084" w14:textId="6A7E4F7B"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The information on the start and finish dates of construction and working periods and the permits obtained from the government agencies will be shown by the </w:t>
            </w:r>
            <w:r w:rsidR="00B561CF" w:rsidRPr="00EE43C6">
              <w:rPr>
                <w:rFonts w:cs="Arial"/>
                <w:color w:val="000000"/>
                <w:sz w:val="16"/>
                <w:szCs w:val="16"/>
                <w:lang w:eastAsia="tr-TR"/>
              </w:rPr>
              <w:t>TUIOSB</w:t>
            </w:r>
            <w:r w:rsidRPr="00EE43C6">
              <w:rPr>
                <w:rFonts w:cs="Arial"/>
                <w:color w:val="000000"/>
                <w:sz w:val="16"/>
                <w:szCs w:val="16"/>
                <w:lang w:eastAsia="tr-TR"/>
              </w:rPr>
              <w:t xml:space="preserve"> in a signboard that is easily visible to all personnel at the construction site.</w:t>
            </w:r>
          </w:p>
        </w:tc>
        <w:tc>
          <w:tcPr>
            <w:tcW w:w="1418" w:type="dxa"/>
            <w:tcBorders>
              <w:top w:val="single" w:sz="4" w:space="0" w:color="auto"/>
              <w:left w:val="single" w:sz="4" w:space="0" w:color="auto"/>
              <w:bottom w:val="single" w:sz="4" w:space="0" w:color="auto"/>
              <w:right w:val="single" w:sz="4" w:space="0" w:color="auto"/>
            </w:tcBorders>
          </w:tcPr>
          <w:p w14:paraId="0AB0F3E5" w14:textId="77777777" w:rsidR="009155D1" w:rsidRPr="00EE43C6" w:rsidRDefault="009155D1" w:rsidP="000E280D">
            <w:pPr>
              <w:autoSpaceDE w:val="0"/>
              <w:autoSpaceDN w:val="0"/>
              <w:adjustRightInd w:val="0"/>
              <w:spacing w:before="0" w:after="0" w:line="240" w:lineRule="auto"/>
              <w:ind w:right="113"/>
              <w:jc w:val="left"/>
              <w:rPr>
                <w:rFonts w:eastAsia="Arial TUR" w:cs="Arial"/>
                <w:color w:val="000000"/>
                <w:sz w:val="16"/>
                <w:szCs w:val="16"/>
                <w:lang w:eastAsia="en-US"/>
              </w:rPr>
            </w:pPr>
            <w:r w:rsidRPr="00EE43C6">
              <w:rPr>
                <w:rFonts w:eastAsia="Arial TUR" w:cs="Arial"/>
                <w:color w:val="000000"/>
                <w:sz w:val="16"/>
                <w:szCs w:val="16"/>
                <w:lang w:eastAsia="en-US"/>
              </w:rPr>
              <w:t>Contractor</w:t>
            </w:r>
          </w:p>
          <w:p w14:paraId="418946CC" w14:textId="69BD26B1" w:rsidR="009155D1" w:rsidRPr="00EE43C6" w:rsidRDefault="00CB7D7D" w:rsidP="000E280D">
            <w:pPr>
              <w:autoSpaceDE w:val="0"/>
              <w:autoSpaceDN w:val="0"/>
              <w:adjustRightInd w:val="0"/>
              <w:spacing w:before="0" w:after="0" w:line="240" w:lineRule="auto"/>
              <w:ind w:right="113"/>
              <w:jc w:val="left"/>
              <w:rPr>
                <w:rFonts w:eastAsia="Arial TUR"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eastAsia="Arial TUR" w:cs="Arial"/>
                <w:color w:val="000000"/>
                <w:sz w:val="16"/>
                <w:szCs w:val="16"/>
                <w:lang w:eastAsia="en-US"/>
              </w:rPr>
              <w:t>Consultant</w:t>
            </w:r>
          </w:p>
          <w:p w14:paraId="4A6DD933" w14:textId="6EAEFBA0" w:rsidR="009155D1" w:rsidRPr="00EE43C6" w:rsidRDefault="00B561CF" w:rsidP="000E280D">
            <w:pPr>
              <w:autoSpaceDE w:val="0"/>
              <w:autoSpaceDN w:val="0"/>
              <w:adjustRightInd w:val="0"/>
              <w:spacing w:before="0" w:after="0" w:line="240" w:lineRule="auto"/>
              <w:ind w:right="113"/>
              <w:jc w:val="left"/>
              <w:rPr>
                <w:rFonts w:eastAsia="Arial TUR" w:cs="Arial"/>
                <w:color w:val="000000"/>
                <w:sz w:val="16"/>
                <w:szCs w:val="16"/>
                <w:lang w:eastAsia="en-US"/>
              </w:rPr>
            </w:pPr>
            <w:r w:rsidRPr="00EE43C6">
              <w:rPr>
                <w:rFonts w:eastAsia="Calibri"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7332523D" w14:textId="4256C0E1"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en-US"/>
              </w:rPr>
            </w:pPr>
            <w:r w:rsidRPr="00EE43C6">
              <w:rPr>
                <w:rFonts w:cs="Arial"/>
                <w:color w:val="000000"/>
                <w:sz w:val="16"/>
                <w:szCs w:val="16"/>
                <w:lang w:eastAsia="tr-TR"/>
              </w:rPr>
              <w:t xml:space="preserve">Number </w:t>
            </w:r>
            <w:r w:rsidR="00C95D18">
              <w:rPr>
                <w:rFonts w:cs="Arial"/>
                <w:color w:val="000000"/>
                <w:sz w:val="16"/>
                <w:szCs w:val="16"/>
                <w:lang w:eastAsia="tr-TR"/>
              </w:rPr>
              <w:t xml:space="preserve">and nature </w:t>
            </w:r>
            <w:r w:rsidRPr="00EE43C6">
              <w:rPr>
                <w:rFonts w:cs="Arial"/>
                <w:color w:val="000000"/>
                <w:sz w:val="16"/>
                <w:szCs w:val="16"/>
                <w:lang w:eastAsia="tr-TR"/>
              </w:rPr>
              <w:t xml:space="preserve">of grievances </w:t>
            </w:r>
          </w:p>
          <w:p w14:paraId="6C89F0C2"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en-US"/>
              </w:rPr>
            </w:pPr>
            <w:r w:rsidRPr="00EE43C6">
              <w:rPr>
                <w:rFonts w:cs="Arial"/>
                <w:color w:val="000000"/>
                <w:sz w:val="16"/>
                <w:szCs w:val="16"/>
                <w:lang w:eastAsia="tr-TR"/>
              </w:rPr>
              <w:t>Percentage of closed grievances within the target timeframe</w:t>
            </w:r>
          </w:p>
        </w:tc>
      </w:tr>
      <w:tr w:rsidR="009155D1" w:rsidRPr="00EE43C6" w14:paraId="0C29AC34" w14:textId="77777777" w:rsidTr="000E280D">
        <w:trPr>
          <w:jc w:val="center"/>
        </w:trPr>
        <w:tc>
          <w:tcPr>
            <w:tcW w:w="562" w:type="dxa"/>
            <w:tcBorders>
              <w:top w:val="single" w:sz="4" w:space="0" w:color="auto"/>
              <w:left w:val="single" w:sz="4" w:space="0" w:color="auto"/>
              <w:bottom w:val="single" w:sz="4" w:space="0" w:color="auto"/>
              <w:right w:val="single" w:sz="4" w:space="0" w:color="auto"/>
            </w:tcBorders>
            <w:hideMark/>
          </w:tcPr>
          <w:p w14:paraId="544E7957" w14:textId="77777777" w:rsidR="009155D1" w:rsidRPr="00EE43C6" w:rsidRDefault="009155D1" w:rsidP="00A10195">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C2</w:t>
            </w:r>
          </w:p>
        </w:tc>
        <w:tc>
          <w:tcPr>
            <w:tcW w:w="1559" w:type="dxa"/>
            <w:tcBorders>
              <w:top w:val="single" w:sz="4" w:space="0" w:color="auto"/>
              <w:left w:val="single" w:sz="4" w:space="0" w:color="auto"/>
              <w:bottom w:val="single" w:sz="4" w:space="0" w:color="auto"/>
              <w:right w:val="single" w:sz="4" w:space="0" w:color="auto"/>
            </w:tcBorders>
            <w:hideMark/>
          </w:tcPr>
          <w:p w14:paraId="6191DBAB" w14:textId="77777777" w:rsidR="009155D1" w:rsidRPr="00EE43C6" w:rsidRDefault="009155D1" w:rsidP="00A10195">
            <w:pPr>
              <w:autoSpaceDE w:val="0"/>
              <w:autoSpaceDN w:val="0"/>
              <w:adjustRightInd w:val="0"/>
              <w:spacing w:before="0" w:after="0" w:line="240" w:lineRule="auto"/>
              <w:jc w:val="left"/>
              <w:rPr>
                <w:rFonts w:cs="Arial"/>
                <w:b/>
                <w:color w:val="000000"/>
                <w:sz w:val="16"/>
                <w:szCs w:val="16"/>
                <w:lang w:eastAsia="tr-TR"/>
              </w:rPr>
            </w:pPr>
            <w:r w:rsidRPr="00EE43C6">
              <w:rPr>
                <w:rFonts w:cs="Arial"/>
                <w:b/>
                <w:color w:val="000000"/>
                <w:sz w:val="16"/>
                <w:szCs w:val="16"/>
                <w:lang w:eastAsia="tr-TR"/>
              </w:rPr>
              <w:t>Occupational Health and Safety (OHS)</w:t>
            </w:r>
          </w:p>
        </w:tc>
        <w:tc>
          <w:tcPr>
            <w:tcW w:w="1276" w:type="dxa"/>
            <w:tcBorders>
              <w:top w:val="single" w:sz="4" w:space="0" w:color="auto"/>
              <w:left w:val="single" w:sz="4" w:space="0" w:color="auto"/>
              <w:bottom w:val="single" w:sz="4" w:space="0" w:color="auto"/>
              <w:right w:val="single" w:sz="4" w:space="0" w:color="auto"/>
            </w:tcBorders>
            <w:noWrap/>
            <w:hideMark/>
          </w:tcPr>
          <w:p w14:paraId="33A51087" w14:textId="77777777" w:rsidR="009155D1" w:rsidRPr="00EE43C6" w:rsidRDefault="009155D1" w:rsidP="00A10195">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Inadequate workers health and safety conditions</w:t>
            </w:r>
          </w:p>
        </w:tc>
        <w:tc>
          <w:tcPr>
            <w:tcW w:w="851" w:type="dxa"/>
            <w:tcBorders>
              <w:top w:val="single" w:sz="4" w:space="0" w:color="auto"/>
              <w:left w:val="single" w:sz="4" w:space="0" w:color="auto"/>
              <w:bottom w:val="single" w:sz="4" w:space="0" w:color="auto"/>
              <w:right w:val="single" w:sz="4" w:space="0" w:color="auto"/>
            </w:tcBorders>
            <w:noWrap/>
            <w:hideMark/>
          </w:tcPr>
          <w:p w14:paraId="5E77E9FA" w14:textId="77777777" w:rsidR="009155D1" w:rsidRPr="00EE43C6" w:rsidRDefault="009155D1" w:rsidP="00E961E6">
            <w:pPr>
              <w:autoSpaceDE w:val="0"/>
              <w:autoSpaceDN w:val="0"/>
              <w:adjustRightInd w:val="0"/>
              <w:spacing w:before="0" w:after="0" w:line="240" w:lineRule="auto"/>
              <w:ind w:left="-104" w:right="-103"/>
              <w:jc w:val="center"/>
              <w:rPr>
                <w:rFonts w:cs="Arial"/>
                <w:color w:val="000000"/>
                <w:sz w:val="16"/>
                <w:szCs w:val="16"/>
                <w:lang w:eastAsia="tr-TR"/>
              </w:rPr>
            </w:pPr>
            <w:r w:rsidRPr="00EE43C6">
              <w:rPr>
                <w:rFonts w:cs="Arial"/>
                <w:color w:val="000000"/>
                <w:sz w:val="16"/>
                <w:szCs w:val="16"/>
                <w:lang w:eastAsia="tr-TR"/>
              </w:rPr>
              <w:t>Adverse</w:t>
            </w:r>
          </w:p>
        </w:tc>
        <w:tc>
          <w:tcPr>
            <w:tcW w:w="1276" w:type="dxa"/>
            <w:tcBorders>
              <w:top w:val="single" w:sz="4" w:space="0" w:color="auto"/>
              <w:left w:val="single" w:sz="4" w:space="0" w:color="auto"/>
              <w:bottom w:val="single" w:sz="4" w:space="0" w:color="auto"/>
              <w:right w:val="single" w:sz="4" w:space="0" w:color="auto"/>
            </w:tcBorders>
            <w:hideMark/>
          </w:tcPr>
          <w:p w14:paraId="3957FAFB" w14:textId="77777777" w:rsidR="009155D1" w:rsidRPr="00EE43C6" w:rsidRDefault="009155D1" w:rsidP="00A10195">
            <w:pPr>
              <w:autoSpaceDE w:val="0"/>
              <w:autoSpaceDN w:val="0"/>
              <w:adjustRightInd w:val="0"/>
              <w:spacing w:before="0" w:after="0" w:line="240" w:lineRule="auto"/>
              <w:ind w:right="-103"/>
              <w:jc w:val="left"/>
              <w:rPr>
                <w:rFonts w:cs="Arial"/>
                <w:color w:val="000000"/>
                <w:sz w:val="16"/>
                <w:szCs w:val="16"/>
                <w:lang w:eastAsia="tr-TR"/>
              </w:rPr>
            </w:pPr>
            <w:r w:rsidRPr="00EE43C6">
              <w:rPr>
                <w:rFonts w:cs="Arial"/>
                <w:color w:val="000000"/>
                <w:sz w:val="16"/>
                <w:szCs w:val="16"/>
                <w:lang w:eastAsia="tr-TR"/>
              </w:rPr>
              <w:t>High</w:t>
            </w:r>
          </w:p>
        </w:tc>
        <w:tc>
          <w:tcPr>
            <w:tcW w:w="1134" w:type="dxa"/>
            <w:tcBorders>
              <w:top w:val="single" w:sz="4" w:space="0" w:color="auto"/>
              <w:left w:val="single" w:sz="4" w:space="0" w:color="auto"/>
              <w:bottom w:val="single" w:sz="4" w:space="0" w:color="auto"/>
              <w:right w:val="single" w:sz="4" w:space="0" w:color="auto"/>
            </w:tcBorders>
            <w:hideMark/>
          </w:tcPr>
          <w:p w14:paraId="7F443CE1" w14:textId="27978D09" w:rsidR="009155D1" w:rsidRPr="00EE43C6" w:rsidRDefault="00BF38B6" w:rsidP="00A10195">
            <w:pPr>
              <w:autoSpaceDE w:val="0"/>
              <w:autoSpaceDN w:val="0"/>
              <w:adjustRightInd w:val="0"/>
              <w:spacing w:before="0" w:after="0" w:line="240" w:lineRule="auto"/>
              <w:ind w:right="-103"/>
              <w:jc w:val="left"/>
              <w:rPr>
                <w:rFonts w:cs="Arial"/>
                <w:color w:val="000000"/>
                <w:sz w:val="16"/>
                <w:szCs w:val="16"/>
                <w:lang w:eastAsia="tr-TR"/>
              </w:rPr>
            </w:pPr>
            <w:r w:rsidRPr="00EE43C6">
              <w:rPr>
                <w:rFonts w:cs="Arial"/>
                <w:color w:val="000000"/>
                <w:sz w:val="16"/>
                <w:szCs w:val="16"/>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39ECB1DD" w14:textId="3D463989" w:rsidR="00153738" w:rsidRPr="00680541" w:rsidRDefault="00153738"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Pr>
                <w:rFonts w:cs="Arial"/>
                <w:color w:val="000000"/>
                <w:sz w:val="16"/>
                <w:szCs w:val="16"/>
                <w:lang w:eastAsia="tr-TR"/>
              </w:rPr>
              <w:t>Occu</w:t>
            </w:r>
            <w:r w:rsidR="0027718F">
              <w:rPr>
                <w:rFonts w:cs="Arial"/>
                <w:color w:val="000000"/>
                <w:sz w:val="16"/>
                <w:szCs w:val="16"/>
                <w:lang w:eastAsia="tr-TR"/>
              </w:rPr>
              <w:t xml:space="preserve">pational Health and Safety Management Plan and Emergency Preparedness and Response Plan will be prepared </w:t>
            </w:r>
            <w:r w:rsidR="0027718F">
              <w:rPr>
                <w:rFonts w:eastAsia="Arial TUR" w:cs="Arial"/>
                <w:color w:val="000000"/>
                <w:sz w:val="16"/>
                <w:szCs w:val="16"/>
                <w:lang w:eastAsia="en-US"/>
              </w:rPr>
              <w:t>for the construction phase of the Project.</w:t>
            </w:r>
          </w:p>
          <w:p w14:paraId="7B610B4E" w14:textId="77777777" w:rsidR="00EF528D" w:rsidRDefault="00301DC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301DC1">
              <w:rPr>
                <w:rFonts w:cs="Arial"/>
                <w:color w:val="000000"/>
                <w:sz w:val="16"/>
                <w:szCs w:val="16"/>
                <w:lang w:eastAsia="tr-TR"/>
              </w:rPr>
              <w:t>These plans should include but not limited to followings:</w:t>
            </w:r>
          </w:p>
          <w:p w14:paraId="2DBDDF65" w14:textId="5261575A" w:rsidR="00301DC1" w:rsidRPr="00EF528D" w:rsidRDefault="00301DC1"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EF528D">
              <w:rPr>
                <w:rFonts w:cs="Arial"/>
                <w:color w:val="000000"/>
                <w:sz w:val="16"/>
                <w:szCs w:val="16"/>
                <w:lang w:eastAsia="tr-TR"/>
              </w:rPr>
              <w:t>Personal hygiene (especially before and after mask usage),</w:t>
            </w:r>
          </w:p>
          <w:p w14:paraId="683000E1" w14:textId="77777777" w:rsidR="00301DC1" w:rsidRPr="00301DC1" w:rsidRDefault="00301DC1"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301DC1">
              <w:rPr>
                <w:rFonts w:cs="Arial"/>
                <w:color w:val="000000"/>
                <w:sz w:val="16"/>
                <w:szCs w:val="16"/>
                <w:lang w:eastAsia="tr-TR"/>
              </w:rPr>
              <w:t>Mask usage, how to use it and its standards (TS EN 14683, TS EN 149, or TSE K 599 etc.),</w:t>
            </w:r>
          </w:p>
          <w:p w14:paraId="149E93C1" w14:textId="77777777" w:rsidR="00301DC1" w:rsidRPr="00301DC1" w:rsidRDefault="00301DC1"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301DC1">
              <w:rPr>
                <w:rFonts w:cs="Arial"/>
                <w:color w:val="000000"/>
                <w:sz w:val="16"/>
                <w:szCs w:val="16"/>
                <w:lang w:eastAsia="tr-TR"/>
              </w:rPr>
              <w:t>Social distancing rule,</w:t>
            </w:r>
          </w:p>
          <w:p w14:paraId="229708B0" w14:textId="77777777" w:rsidR="00301DC1" w:rsidRPr="00301DC1" w:rsidRDefault="00301DC1"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301DC1">
              <w:rPr>
                <w:rFonts w:cs="Arial"/>
                <w:color w:val="000000"/>
                <w:sz w:val="16"/>
                <w:szCs w:val="16"/>
                <w:lang w:eastAsia="tr-TR"/>
              </w:rPr>
              <w:t>Placing visual/written banners and posters in visible places to encourage and inform employees, visitors and related persons about respiratory hygiene and cough etiquette regarding potential measures to minimize contamination,</w:t>
            </w:r>
          </w:p>
          <w:p w14:paraId="17351CE9" w14:textId="77777777" w:rsidR="00301DC1" w:rsidRPr="00301DC1" w:rsidRDefault="00301DC1"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301DC1">
              <w:rPr>
                <w:rFonts w:cs="Arial"/>
                <w:color w:val="000000"/>
                <w:sz w:val="16"/>
                <w:szCs w:val="16"/>
                <w:lang w:eastAsia="tr-TR"/>
              </w:rPr>
              <w:t>Paying special attention to the implementation of cleaning and disinfection measures in common areas (toilets, halls, corridors, elevators, etc.),</w:t>
            </w:r>
          </w:p>
          <w:p w14:paraId="6BA2C95E" w14:textId="77777777" w:rsidR="00301DC1" w:rsidRPr="00301DC1" w:rsidRDefault="00301DC1"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301DC1">
              <w:rPr>
                <w:rFonts w:cs="Arial"/>
                <w:color w:val="000000"/>
                <w:sz w:val="16"/>
                <w:szCs w:val="16"/>
                <w:lang w:eastAsia="tr-TR"/>
              </w:rPr>
              <w:t>Disposal of relevant wastes in line with the "COVID-19 Measures in the Management of Personal Hygiene Material Wastes such as Disposable Masks, Gloves",</w:t>
            </w:r>
          </w:p>
          <w:p w14:paraId="26E295FB" w14:textId="5F141A3A" w:rsidR="00301DC1" w:rsidRPr="00CE1951" w:rsidRDefault="00301DC1"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301DC1">
              <w:rPr>
                <w:rFonts w:cs="Arial"/>
                <w:color w:val="000000"/>
                <w:sz w:val="16"/>
                <w:szCs w:val="16"/>
                <w:lang w:eastAsia="tr-TR"/>
              </w:rPr>
              <w:t>Updating the occupational health and safety training of employees and addressing additional topics in order to ensure a healthy and safe working life and due to the emergence of new risks arising from changing conditions about COVID-19 and/or other pandemic/communicable disease.</w:t>
            </w:r>
          </w:p>
          <w:p w14:paraId="3BB5B9F4" w14:textId="3505A8F7" w:rsidR="00E92B73" w:rsidRPr="00CE1951" w:rsidRDefault="00E92B73" w:rsidP="000E280D">
            <w:pPr>
              <w:numPr>
                <w:ilvl w:val="0"/>
                <w:numId w:val="7"/>
              </w:numPr>
              <w:autoSpaceDE w:val="0"/>
              <w:autoSpaceDN w:val="0"/>
              <w:adjustRightInd w:val="0"/>
              <w:spacing w:before="60" w:after="60" w:line="240" w:lineRule="auto"/>
              <w:ind w:left="113" w:right="113" w:hanging="181"/>
              <w:jc w:val="left"/>
              <w:rPr>
                <w:sz w:val="16"/>
                <w:szCs w:val="16"/>
                <w:lang w:eastAsia="tr-TR"/>
              </w:rPr>
            </w:pPr>
            <w:r w:rsidRPr="00CE1951">
              <w:rPr>
                <w:rFonts w:cs="Arial"/>
                <w:color w:val="000000"/>
                <w:sz w:val="16"/>
                <w:szCs w:val="16"/>
                <w:lang w:eastAsia="tr-TR"/>
              </w:rPr>
              <w:t>All</w:t>
            </w:r>
            <w:r w:rsidRPr="00E92B73">
              <w:rPr>
                <w:sz w:val="16"/>
                <w:szCs w:val="16"/>
                <w:lang w:eastAsia="tr-TR"/>
              </w:rPr>
              <w:t xml:space="preserve"> Project personnel will comply with environmental, health and safety policies and guidelines.</w:t>
            </w:r>
          </w:p>
          <w:p w14:paraId="444B4B09" w14:textId="7CF593FF" w:rsidR="004618F0"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lastRenderedPageBreak/>
              <w:t>The PMU to be formed by the Consultant and the contractor's project team will include staff(s) (at least one environmental and social expert and OHS expert with a Class A specialization certificate) who will take part in full-time and effectively control the implementation of the Project. She/he shall monitor the site implementations.</w:t>
            </w:r>
          </w:p>
          <w:p w14:paraId="25290C0B" w14:textId="77777777" w:rsidR="00E70532" w:rsidRPr="007178AC" w:rsidRDefault="00E70532" w:rsidP="000E280D">
            <w:pPr>
              <w:numPr>
                <w:ilvl w:val="0"/>
                <w:numId w:val="7"/>
              </w:numPr>
              <w:autoSpaceDE w:val="0"/>
              <w:autoSpaceDN w:val="0"/>
              <w:adjustRightInd w:val="0"/>
              <w:spacing w:before="60" w:after="60" w:line="240" w:lineRule="auto"/>
              <w:ind w:left="113" w:right="113" w:hanging="181"/>
              <w:jc w:val="left"/>
              <w:rPr>
                <w:sz w:val="16"/>
                <w:szCs w:val="16"/>
                <w:lang w:eastAsia="tr-TR"/>
              </w:rPr>
            </w:pPr>
            <w:r w:rsidRPr="007178AC">
              <w:rPr>
                <w:sz w:val="16"/>
                <w:szCs w:val="16"/>
                <w:lang w:eastAsia="tr-TR"/>
              </w:rPr>
              <w:t>All employees who work at height need suitable training in working on different pieces of equipment, and such work must be planned appropriately. Safety approaches and precautions should be adopted, such as:</w:t>
            </w:r>
          </w:p>
          <w:p w14:paraId="32BFB6E6" w14:textId="69E41B30" w:rsidR="00E70532" w:rsidRPr="00E70532" w:rsidRDefault="00E70532"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E70532">
              <w:rPr>
                <w:rFonts w:cs="Arial"/>
                <w:color w:val="000000"/>
                <w:sz w:val="16"/>
                <w:szCs w:val="16"/>
                <w:lang w:eastAsia="tr-TR"/>
              </w:rPr>
              <w:t xml:space="preserve">Where practical, avoid the need to work at height. </w:t>
            </w:r>
          </w:p>
          <w:p w14:paraId="7FD8522B" w14:textId="77777777" w:rsidR="00E70532" w:rsidRPr="00E70532" w:rsidRDefault="00E70532"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E70532">
              <w:rPr>
                <w:rFonts w:cs="Arial"/>
                <w:color w:val="000000"/>
                <w:sz w:val="16"/>
                <w:szCs w:val="16"/>
                <w:lang w:eastAsia="tr-TR"/>
              </w:rPr>
              <w:t xml:space="preserve">Put collective measures in place where working at height can’t be avoided to prevent falls.  Such as the use of equipment to provide an extra level of safety to reduce the risk of a fall—for example, a scaffold with a double guard-rail or edge protection. Minimize the consequences of a fall by providing a safety net. </w:t>
            </w:r>
          </w:p>
          <w:p w14:paraId="28D539CD" w14:textId="77777777" w:rsidR="00E70532" w:rsidRPr="00E70532" w:rsidRDefault="00E70532"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E70532">
              <w:rPr>
                <w:rFonts w:cs="Arial"/>
                <w:color w:val="000000"/>
                <w:sz w:val="16"/>
                <w:szCs w:val="16"/>
                <w:lang w:eastAsia="tr-TR"/>
              </w:rPr>
              <w:t>Never stand behind large operating plant machinery and never stand under suspended loads.</w:t>
            </w:r>
          </w:p>
          <w:p w14:paraId="171742D2" w14:textId="77777777" w:rsidR="00E70532" w:rsidRPr="00E70532" w:rsidRDefault="00E70532"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E70532">
              <w:rPr>
                <w:rFonts w:cs="Arial"/>
                <w:color w:val="000000"/>
                <w:sz w:val="16"/>
                <w:szCs w:val="16"/>
                <w:lang w:eastAsia="tr-TR"/>
              </w:rPr>
              <w:t>Avoid working close to moving object and be careful of their surroundings, especially if they do not have lights or beepers.</w:t>
            </w:r>
          </w:p>
          <w:p w14:paraId="7E79B54C" w14:textId="446E5E42" w:rsidR="00E70532" w:rsidRPr="00E961E6" w:rsidRDefault="00E70532"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E70532">
              <w:rPr>
                <w:rFonts w:cs="Arial"/>
                <w:color w:val="000000"/>
                <w:sz w:val="16"/>
                <w:szCs w:val="16"/>
                <w:lang w:eastAsia="tr-TR"/>
              </w:rPr>
              <w:t>Always ensure you have a banksman to guide plant vehicles</w:t>
            </w:r>
          </w:p>
          <w:p w14:paraId="7D464E4B" w14:textId="15542DC6"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Consultant and </w:t>
            </w:r>
            <w:r w:rsidR="00B561CF" w:rsidRPr="00EE43C6">
              <w:rPr>
                <w:rFonts w:cs="Arial"/>
                <w:color w:val="000000"/>
                <w:sz w:val="16"/>
                <w:szCs w:val="16"/>
                <w:lang w:eastAsia="tr-TR"/>
              </w:rPr>
              <w:t>TUIOSB</w:t>
            </w:r>
            <w:r w:rsidRPr="00EE43C6">
              <w:rPr>
                <w:rFonts w:cs="Arial"/>
                <w:color w:val="000000"/>
                <w:sz w:val="16"/>
                <w:szCs w:val="16"/>
                <w:lang w:eastAsia="tr-TR"/>
              </w:rPr>
              <w:t xml:space="preserve"> will make sure that the measures provided below are taken by the contractor and enforce necessary actions/sanctions in case lack of these measures on site. In accordance with the Occupational Health and Safety Regulation in Construction Works, the required person, information, plan, and organization will be provided.</w:t>
            </w:r>
          </w:p>
          <w:p w14:paraId="0D3697F3" w14:textId="550425C4"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To control the cases (fire, earthquake, etc.) which may occur during the construction activities under the project, and which require urgent action, an Emergency Response Plan will be prepared and shared with all employees.</w:t>
            </w:r>
          </w:p>
          <w:p w14:paraId="64B66FB6" w14:textId="77777777" w:rsidR="00F86180" w:rsidRPr="00F86180" w:rsidRDefault="00F86180"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F86180">
              <w:rPr>
                <w:rFonts w:cs="Arial"/>
                <w:color w:val="000000"/>
                <w:sz w:val="16"/>
                <w:szCs w:val="16"/>
                <w:lang w:eastAsia="tr-TR"/>
              </w:rPr>
              <w:t>Measures to be taken to prevent fires are as follows:</w:t>
            </w:r>
          </w:p>
          <w:p w14:paraId="45E87E7F" w14:textId="77777777" w:rsidR="00F86180" w:rsidRPr="00F86180" w:rsidRDefault="00F86180"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F86180">
              <w:rPr>
                <w:rFonts w:cs="Arial"/>
                <w:color w:val="000000"/>
                <w:sz w:val="16"/>
                <w:szCs w:val="16"/>
                <w:lang w:eastAsia="tr-TR"/>
              </w:rPr>
              <w:t xml:space="preserve">Fire extinguishers shall be prominently and evenly located outdoors, near passageways and in or near fire cabinets in easily accessible locations. Extinguishers should not be located behind doors, in closed cupboards </w:t>
            </w:r>
            <w:r w:rsidRPr="00F86180">
              <w:rPr>
                <w:rFonts w:cs="Arial"/>
                <w:color w:val="000000"/>
                <w:sz w:val="16"/>
                <w:szCs w:val="16"/>
                <w:lang w:eastAsia="tr-TR"/>
              </w:rPr>
              <w:lastRenderedPageBreak/>
              <w:t>other than fire cupboards, in deep recesses in walls or on or near heating appliances.</w:t>
            </w:r>
          </w:p>
          <w:p w14:paraId="03499EC3" w14:textId="77777777" w:rsidR="00F86180" w:rsidRPr="00F86180" w:rsidRDefault="00F86180"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F86180">
              <w:rPr>
                <w:rFonts w:cs="Arial"/>
                <w:color w:val="000000"/>
                <w:sz w:val="16"/>
                <w:szCs w:val="16"/>
                <w:lang w:eastAsia="tr-TR"/>
              </w:rPr>
              <w:t>In cases where the safety of the work equipment depends on the installation and assembly conditions, the equipment must be periodically inspected by persons authorised to carry out periodic inspections after installation and before first use, after major maintenance and repair work and whenever the location changes.</w:t>
            </w:r>
          </w:p>
          <w:p w14:paraId="00BB7F25" w14:textId="249502E9" w:rsidR="00F86180" w:rsidRPr="000E280D" w:rsidRDefault="00F86180"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F86180">
              <w:rPr>
                <w:rFonts w:cs="Arial"/>
                <w:color w:val="000000"/>
                <w:sz w:val="16"/>
                <w:szCs w:val="16"/>
                <w:lang w:eastAsia="tr-TR"/>
              </w:rPr>
              <w:t>Occupational Health and safety instructions and work permit procedures should be prepared.</w:t>
            </w:r>
          </w:p>
          <w:p w14:paraId="026FECC5" w14:textId="33BCFF36"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The </w:t>
            </w:r>
            <w:r w:rsidR="00B561CF" w:rsidRPr="00EE43C6">
              <w:rPr>
                <w:rFonts w:cs="Arial"/>
                <w:color w:val="000000"/>
                <w:sz w:val="16"/>
                <w:szCs w:val="16"/>
                <w:lang w:eastAsia="tr-TR"/>
              </w:rPr>
              <w:t>TUIOSB</w:t>
            </w:r>
            <w:r w:rsidRPr="00EE43C6">
              <w:rPr>
                <w:rFonts w:cs="Arial"/>
                <w:color w:val="000000"/>
                <w:sz w:val="16"/>
                <w:szCs w:val="16"/>
                <w:lang w:eastAsia="tr-TR"/>
              </w:rPr>
              <w:t xml:space="preserve"> will require all employees and contractors to adhere to local and international health and safety legislation and guidelines. Workers will be provided with all necessary personal protective equipment (PPE) (hard hats, safety harnesses, protective coveralls, glasses, gloves, </w:t>
            </w:r>
            <w:r w:rsidR="009E2220" w:rsidRPr="00EE43C6">
              <w:rPr>
                <w:rFonts w:cs="Arial"/>
                <w:color w:val="000000"/>
                <w:sz w:val="16"/>
                <w:szCs w:val="16"/>
                <w:lang w:eastAsia="tr-TR"/>
              </w:rPr>
              <w:t>armour-clad</w:t>
            </w:r>
            <w:r w:rsidRPr="00EE43C6">
              <w:rPr>
                <w:rFonts w:cs="Arial"/>
                <w:color w:val="000000"/>
                <w:sz w:val="16"/>
                <w:szCs w:val="16"/>
                <w:lang w:eastAsia="tr-TR"/>
              </w:rPr>
              <w:t xml:space="preserve"> shoes, etc.).</w:t>
            </w:r>
          </w:p>
          <w:p w14:paraId="4410425B" w14:textId="141E7D7F" w:rsidR="00455D85" w:rsidRPr="007178AC" w:rsidRDefault="00455D85" w:rsidP="000E280D">
            <w:pPr>
              <w:numPr>
                <w:ilvl w:val="0"/>
                <w:numId w:val="7"/>
              </w:numPr>
              <w:autoSpaceDE w:val="0"/>
              <w:autoSpaceDN w:val="0"/>
              <w:adjustRightInd w:val="0"/>
              <w:spacing w:before="60" w:after="60" w:line="240" w:lineRule="auto"/>
              <w:ind w:left="113" w:right="113" w:hanging="181"/>
              <w:jc w:val="left"/>
              <w:rPr>
                <w:sz w:val="16"/>
                <w:szCs w:val="16"/>
                <w:lang w:eastAsia="tr-TR"/>
              </w:rPr>
            </w:pPr>
            <w:r w:rsidRPr="007178AC">
              <w:rPr>
                <w:rFonts w:cs="Arial"/>
                <w:color w:val="000000"/>
                <w:sz w:val="16"/>
                <w:szCs w:val="16"/>
                <w:lang w:eastAsia="tr-TR"/>
              </w:rPr>
              <w:t>Smoking</w:t>
            </w:r>
            <w:r w:rsidRPr="00455D85">
              <w:rPr>
                <w:sz w:val="16"/>
                <w:szCs w:val="16"/>
                <w:lang w:eastAsia="tr-TR"/>
              </w:rPr>
              <w:t xml:space="preserve"> is prohibited in areas where there is a fire hazard. All employees should be familiar with what to do in the event of a fire.</w:t>
            </w:r>
          </w:p>
          <w:p w14:paraId="1ADAEA7B"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Non-smoking areas will be allocated at the construction site.</w:t>
            </w:r>
          </w:p>
          <w:p w14:paraId="5B622AE7"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Appropriate hand and face washing facilities will be provided to the employees, and also shower facilities for dusty works. </w:t>
            </w:r>
          </w:p>
          <w:p w14:paraId="6014D5EE"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Technical and OHS training, including the code of conduct indicating the possible risks regarding the work site and works to be carried will be given to workers by the contractor. These will include regular trainings to workers on COVID-19 symptoms, how to be protected and what to do when symptoms appear. Training will also be given on risks that may arise due to changes in workplace or job, change of work equipment, application of new technology. Information and training activities will be carried out not only for the employees, but also about the measures to be taken for public health and safety.</w:t>
            </w:r>
          </w:p>
          <w:p w14:paraId="1A5FE886"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All employees will be informed about working conditions, job definitions, responsibilities, relations with the local community and potential work risks.</w:t>
            </w:r>
          </w:p>
          <w:p w14:paraId="6C682715" w14:textId="71899789"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Workers will be required to comply with all OHS regulations given in </w:t>
            </w:r>
            <w:r w:rsidRPr="00EE43C6">
              <w:rPr>
                <w:rFonts w:cs="Arial"/>
                <w:color w:val="000000"/>
                <w:sz w:val="16"/>
                <w:szCs w:val="16"/>
                <w:lang w:eastAsia="tr-TR"/>
              </w:rPr>
              <w:fldChar w:fldCharType="begin"/>
            </w:r>
            <w:r w:rsidRPr="00EE43C6">
              <w:rPr>
                <w:rFonts w:cs="Arial"/>
                <w:color w:val="000000"/>
                <w:sz w:val="16"/>
                <w:szCs w:val="16"/>
                <w:lang w:eastAsia="tr-TR"/>
              </w:rPr>
              <w:instrText xml:space="preserve"> REF _Ref120188129 \h  \* MERGEFORMAT </w:instrText>
            </w:r>
            <w:r w:rsidRPr="00EE43C6">
              <w:rPr>
                <w:rFonts w:cs="Arial"/>
                <w:color w:val="000000"/>
                <w:sz w:val="16"/>
                <w:szCs w:val="16"/>
                <w:lang w:eastAsia="tr-TR"/>
              </w:rPr>
            </w:r>
            <w:r w:rsidRPr="00EE43C6">
              <w:rPr>
                <w:rFonts w:cs="Arial"/>
                <w:color w:val="000000"/>
                <w:sz w:val="16"/>
                <w:szCs w:val="16"/>
                <w:lang w:eastAsia="tr-TR"/>
              </w:rPr>
              <w:fldChar w:fldCharType="separate"/>
            </w:r>
            <w:r w:rsidR="00CE3B94" w:rsidRPr="00EE43C6">
              <w:rPr>
                <w:rFonts w:cs="Arial"/>
                <w:color w:val="000000"/>
                <w:sz w:val="16"/>
                <w:szCs w:val="16"/>
                <w:lang w:eastAsia="tr-TR"/>
              </w:rPr>
              <w:t>Table 3</w:t>
            </w:r>
            <w:r w:rsidR="00CE3B94" w:rsidRPr="00EE43C6">
              <w:rPr>
                <w:rFonts w:cs="Arial"/>
                <w:color w:val="000000"/>
                <w:sz w:val="16"/>
                <w:szCs w:val="16"/>
                <w:lang w:eastAsia="tr-TR"/>
              </w:rPr>
              <w:noBreakHyphen/>
              <w:t>1</w:t>
            </w:r>
            <w:r w:rsidRPr="00EE43C6">
              <w:rPr>
                <w:rFonts w:cs="Arial"/>
                <w:color w:val="000000"/>
                <w:sz w:val="16"/>
                <w:szCs w:val="16"/>
                <w:lang w:eastAsia="tr-TR"/>
              </w:rPr>
              <w:fldChar w:fldCharType="end"/>
            </w:r>
            <w:r w:rsidRPr="00EE43C6">
              <w:rPr>
                <w:rFonts w:cs="Arial"/>
                <w:color w:val="000000"/>
                <w:sz w:val="16"/>
                <w:szCs w:val="16"/>
                <w:lang w:eastAsia="tr-TR"/>
              </w:rPr>
              <w:t xml:space="preserve"> and necessary inspections will be made.</w:t>
            </w:r>
          </w:p>
          <w:p w14:paraId="72B038A0"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lastRenderedPageBreak/>
              <w:t>The contractor formally agrees that all work will be carried out in a safe and disciplined manner and is designed to minimize risks on neighbouring residents and environment.</w:t>
            </w:r>
          </w:p>
          <w:p w14:paraId="6D7956D2" w14:textId="26D6D2FB"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All activities will be implemented in line with both the Law on Occupational Health and Safety and its relevant regulations which presented in </w:t>
            </w:r>
            <w:r w:rsidRPr="00EE43C6">
              <w:rPr>
                <w:rFonts w:cs="Arial"/>
                <w:color w:val="000000"/>
                <w:sz w:val="16"/>
                <w:szCs w:val="16"/>
                <w:lang w:eastAsia="tr-TR"/>
              </w:rPr>
              <w:fldChar w:fldCharType="begin"/>
            </w:r>
            <w:r w:rsidRPr="00EE43C6">
              <w:rPr>
                <w:rFonts w:cs="Arial"/>
                <w:color w:val="000000"/>
                <w:sz w:val="16"/>
                <w:szCs w:val="16"/>
                <w:lang w:eastAsia="tr-TR"/>
              </w:rPr>
              <w:instrText xml:space="preserve"> REF _Ref120188129 \h  \* MERGEFORMAT </w:instrText>
            </w:r>
            <w:r w:rsidRPr="00EE43C6">
              <w:rPr>
                <w:rFonts w:cs="Arial"/>
                <w:color w:val="000000"/>
                <w:sz w:val="16"/>
                <w:szCs w:val="16"/>
                <w:lang w:eastAsia="tr-TR"/>
              </w:rPr>
            </w:r>
            <w:r w:rsidRPr="00EE43C6">
              <w:rPr>
                <w:rFonts w:cs="Arial"/>
                <w:color w:val="000000"/>
                <w:sz w:val="16"/>
                <w:szCs w:val="16"/>
                <w:lang w:eastAsia="tr-TR"/>
              </w:rPr>
              <w:fldChar w:fldCharType="separate"/>
            </w:r>
            <w:r w:rsidR="00CE3B94" w:rsidRPr="00EE43C6">
              <w:rPr>
                <w:rFonts w:cs="Arial"/>
                <w:color w:val="000000"/>
                <w:sz w:val="16"/>
                <w:szCs w:val="16"/>
                <w:lang w:eastAsia="tr-TR"/>
              </w:rPr>
              <w:t>Table 3</w:t>
            </w:r>
            <w:r w:rsidR="00CE3B94" w:rsidRPr="00EE43C6">
              <w:rPr>
                <w:rFonts w:cs="Arial"/>
                <w:color w:val="000000"/>
                <w:sz w:val="16"/>
                <w:szCs w:val="16"/>
                <w:lang w:eastAsia="tr-TR"/>
              </w:rPr>
              <w:noBreakHyphen/>
              <w:t>1</w:t>
            </w:r>
            <w:r w:rsidRPr="00EE43C6">
              <w:rPr>
                <w:rFonts w:cs="Arial"/>
                <w:color w:val="000000"/>
                <w:sz w:val="16"/>
                <w:szCs w:val="16"/>
                <w:lang w:eastAsia="tr-TR"/>
              </w:rPr>
              <w:fldChar w:fldCharType="end"/>
            </w:r>
            <w:r w:rsidRPr="00EE43C6">
              <w:rPr>
                <w:rFonts w:cs="Arial"/>
                <w:color w:val="000000"/>
                <w:sz w:val="16"/>
                <w:szCs w:val="16"/>
                <w:lang w:eastAsia="tr-TR"/>
              </w:rPr>
              <w:t>, and also the WBG EHS Guidelines.</w:t>
            </w:r>
          </w:p>
          <w:p w14:paraId="6304AA80"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The contractor will ensure a safe working environment for the workers in line with international best practice and Turkish Legislation including the health and safety measures related to COVID-19 provided by the Ministry of Health and Ministry of Family and Social Services.</w:t>
            </w:r>
          </w:p>
          <w:p w14:paraId="450DE636"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Before the construction works start, a Risk Assessment study will be implemented for all works to be carried out. Emergency Plan will be prepared and put into practice. Both the Risk assessment and Emergency Response Plans will take into consider the COVID-19 risks and other communicable disease risks, as relevant.</w:t>
            </w:r>
          </w:p>
          <w:p w14:paraId="41458D2B"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Emergency teams will be formed, and drills and training programs will be carried out in line with emergency scenarios.</w:t>
            </w:r>
          </w:p>
          <w:p w14:paraId="24458583"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Employees will have a good command of emergency plans, and the grievance will be reported to the authorized teams and resolved, if they require urgent action.</w:t>
            </w:r>
          </w:p>
          <w:p w14:paraId="1A1FB2BB"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Project and site-specific OHS Management Plan based on construction site OHS risk assessment and that will also cover measures to address COVID-19 and/or any other pandemic/communicable disease risk, which will be in line with the WBG EHS Guidelines (both general and sector specific) should be developed before the commencement of works and implemented on site.</w:t>
            </w:r>
          </w:p>
          <w:p w14:paraId="4D1875FE"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Appropriate signposting of the sites will be provided and then workers will be informed of key rules and regulations to follow.</w:t>
            </w:r>
          </w:p>
          <w:p w14:paraId="3E7364BE"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OHS trainings and toolbox talks will be provided to the employees including the code of conduct indicating the possible risks regarding the work site and works to be carried out. These will include regular trainings to workers on COVID-19 symptoms, how to be protected and what to do when symptoms appear.</w:t>
            </w:r>
          </w:p>
          <w:p w14:paraId="6BECB433"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First aid kit will be kept available at the construction site, taking into account that first aid response may be required </w:t>
            </w:r>
            <w:r w:rsidRPr="00EE43C6">
              <w:rPr>
                <w:rFonts w:cs="Arial"/>
                <w:color w:val="000000"/>
                <w:sz w:val="16"/>
                <w:szCs w:val="16"/>
                <w:lang w:eastAsia="tr-TR"/>
              </w:rPr>
              <w:lastRenderedPageBreak/>
              <w:t>before the casualty is referred to the nearest healthcare provider.</w:t>
            </w:r>
          </w:p>
          <w:p w14:paraId="72C9E6EF"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Both trainings and incidents (fatalities, lost time incidents, accident investigation and root cause analysis, any significant events including spills, fire, outbreak of pandemic or communicable diseases, social unrest, etc.) will be recorded.</w:t>
            </w:r>
          </w:p>
          <w:p w14:paraId="1C954188" w14:textId="413F6E6E" w:rsidR="001A2C92" w:rsidRDefault="001A2C92"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1A2C92">
              <w:rPr>
                <w:rFonts w:cs="Arial"/>
                <w:color w:val="000000"/>
                <w:sz w:val="16"/>
                <w:szCs w:val="16"/>
                <w:lang w:eastAsia="tr-TR"/>
              </w:rPr>
              <w:t>Project personnel will include first aid trained personnel. In emergencies that require intervention, the personnel will be referred to the nearest health centre by appropriate vehicles. The Contractor will implement the adequacy of the technical requirements of the machinery, equipment, and tools to be used in the activities</w:t>
            </w:r>
            <w:r>
              <w:rPr>
                <w:rFonts w:cs="Arial"/>
                <w:color w:val="000000"/>
                <w:sz w:val="16"/>
                <w:szCs w:val="16"/>
                <w:lang w:eastAsia="tr-TR"/>
              </w:rPr>
              <w:t>,</w:t>
            </w:r>
          </w:p>
          <w:p w14:paraId="14931DBD" w14:textId="78DDC144" w:rsidR="00E340B2" w:rsidRPr="00E340B2" w:rsidRDefault="00E340B2" w:rsidP="000E280D">
            <w:pPr>
              <w:numPr>
                <w:ilvl w:val="0"/>
                <w:numId w:val="7"/>
              </w:numPr>
              <w:autoSpaceDE w:val="0"/>
              <w:autoSpaceDN w:val="0"/>
              <w:adjustRightInd w:val="0"/>
              <w:spacing w:before="60" w:after="60" w:line="240" w:lineRule="auto"/>
              <w:ind w:left="113" w:right="113" w:hanging="181"/>
              <w:jc w:val="left"/>
              <w:rPr>
                <w:sz w:val="16"/>
                <w:szCs w:val="16"/>
                <w:lang w:eastAsia="tr-TR"/>
              </w:rPr>
            </w:pPr>
            <w:r w:rsidRPr="00E340B2">
              <w:rPr>
                <w:sz w:val="16"/>
                <w:szCs w:val="16"/>
                <w:lang w:eastAsia="tr-TR"/>
              </w:rPr>
              <w:t>Moving parts of machinery and equipment shall be equipped with suitable protective systems (eg metal shields, etc.) that minimize the risk of injury or damage to the person using the machine or equipment.</w:t>
            </w:r>
            <w:r w:rsidR="00143D29">
              <w:rPr>
                <w:sz w:val="16"/>
                <w:szCs w:val="16"/>
                <w:lang w:eastAsia="tr-TR"/>
              </w:rPr>
              <w:t xml:space="preserve"> </w:t>
            </w:r>
            <w:r w:rsidR="00E70532" w:rsidRPr="00E70532">
              <w:rPr>
                <w:sz w:val="16"/>
                <w:szCs w:val="16"/>
                <w:lang w:eastAsia="tr-TR"/>
              </w:rPr>
              <w:t>The machinery used during construction must be regularly inspected.</w:t>
            </w:r>
          </w:p>
          <w:p w14:paraId="3FF77E17" w14:textId="77777777" w:rsidR="00E340B2" w:rsidRPr="00E340B2" w:rsidRDefault="00E340B2" w:rsidP="000E280D">
            <w:pPr>
              <w:numPr>
                <w:ilvl w:val="0"/>
                <w:numId w:val="7"/>
              </w:numPr>
              <w:autoSpaceDE w:val="0"/>
              <w:autoSpaceDN w:val="0"/>
              <w:adjustRightInd w:val="0"/>
              <w:spacing w:before="60" w:after="60" w:line="240" w:lineRule="auto"/>
              <w:ind w:left="113" w:right="113" w:hanging="181"/>
              <w:jc w:val="left"/>
              <w:rPr>
                <w:sz w:val="16"/>
                <w:szCs w:val="16"/>
                <w:lang w:eastAsia="tr-TR"/>
              </w:rPr>
            </w:pPr>
            <w:r w:rsidRPr="00E340B2">
              <w:rPr>
                <w:sz w:val="16"/>
                <w:szCs w:val="16"/>
                <w:lang w:eastAsia="tr-TR"/>
              </w:rPr>
              <w:t>Personal factors that can create and control risks during activities (e.g., long hair, use of jewellery and accessories, clothing, etc.) will be removed from the site with the regulations brought by the field management. Project personnel will be informed about the concerned legislation within the scope of the training program.</w:t>
            </w:r>
          </w:p>
          <w:p w14:paraId="058262E7" w14:textId="5B583AD3" w:rsidR="00E340B2" w:rsidRDefault="00816621" w:rsidP="000E280D">
            <w:pPr>
              <w:numPr>
                <w:ilvl w:val="0"/>
                <w:numId w:val="7"/>
              </w:numPr>
              <w:autoSpaceDE w:val="0"/>
              <w:autoSpaceDN w:val="0"/>
              <w:adjustRightInd w:val="0"/>
              <w:spacing w:before="60" w:after="60" w:line="240" w:lineRule="auto"/>
              <w:ind w:left="113" w:right="113" w:hanging="181"/>
              <w:jc w:val="left"/>
              <w:rPr>
                <w:sz w:val="16"/>
                <w:szCs w:val="16"/>
                <w:lang w:eastAsia="tr-TR"/>
              </w:rPr>
            </w:pPr>
            <w:r w:rsidRPr="00816621">
              <w:rPr>
                <w:sz w:val="16"/>
                <w:szCs w:val="16"/>
                <w:lang w:eastAsia="tr-TR"/>
              </w:rPr>
              <w:t>Drivers and operators will be trained to comply with traffic rules and to control the vehicles and equipment they use against the risks and dangers arising from vehicle traffic. Required traffic signs will be placed at the Project Area and its surroundings. Machine operators and other workers will be informed and warned about the related signs. Waste that will be generated within the scope of the construction phase of the Project will be managed within the scope of the Regulation on Waste Management and its negative effects on public health will be minimized.</w:t>
            </w:r>
          </w:p>
          <w:p w14:paraId="673FF9B5" w14:textId="77777777" w:rsidR="00B77E40" w:rsidRPr="00B77E40" w:rsidRDefault="00B77E40" w:rsidP="000E280D">
            <w:pPr>
              <w:numPr>
                <w:ilvl w:val="0"/>
                <w:numId w:val="7"/>
              </w:numPr>
              <w:autoSpaceDE w:val="0"/>
              <w:autoSpaceDN w:val="0"/>
              <w:adjustRightInd w:val="0"/>
              <w:spacing w:before="60" w:after="60" w:line="240" w:lineRule="auto"/>
              <w:ind w:left="113" w:right="113" w:hanging="181"/>
              <w:jc w:val="left"/>
              <w:rPr>
                <w:sz w:val="16"/>
                <w:szCs w:val="16"/>
                <w:lang w:eastAsia="tr-TR"/>
              </w:rPr>
            </w:pPr>
            <w:r w:rsidRPr="00B77E40">
              <w:rPr>
                <w:sz w:val="16"/>
                <w:szCs w:val="16"/>
                <w:lang w:eastAsia="tr-TR"/>
              </w:rPr>
              <w:t>Persons and/or organizations with the necessary permits will be assigned to ensure the security of the Project Area. These persons and/or organizations will regularly monitor the facility and its surroundings. The private security practices within the scope of the Project and the authorities of the authorities will comply with the provisions of the Regulation on the Implementation of the Private Security Services Law.</w:t>
            </w:r>
          </w:p>
          <w:p w14:paraId="1C5B7052" w14:textId="2D64D6EC" w:rsidR="00B77E40" w:rsidRPr="000E280D" w:rsidRDefault="00B77E40"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0E280D">
              <w:rPr>
                <w:rFonts w:cs="Arial"/>
                <w:color w:val="000000"/>
                <w:sz w:val="16"/>
                <w:szCs w:val="16"/>
                <w:lang w:eastAsia="tr-TR"/>
              </w:rPr>
              <w:lastRenderedPageBreak/>
              <w:t>In addition to the security monitoring of the Project Area, a closed-circuit camera system to be installed at appropriate distances (e.g., 30-40 m) at the site boundary will be provided to provide security monitoring, day, and night monitoring</w:t>
            </w:r>
            <w:r w:rsidR="007E00C2" w:rsidRPr="000E280D">
              <w:rPr>
                <w:rFonts w:cs="Arial"/>
                <w:color w:val="000000"/>
                <w:sz w:val="16"/>
                <w:szCs w:val="16"/>
                <w:lang w:eastAsia="tr-TR"/>
              </w:rPr>
              <w:t xml:space="preserve"> at </w:t>
            </w:r>
            <w:r w:rsidRPr="000E280D">
              <w:rPr>
                <w:rFonts w:cs="Arial"/>
                <w:color w:val="000000"/>
                <w:sz w:val="16"/>
                <w:szCs w:val="16"/>
                <w:lang w:eastAsia="tr-TR"/>
              </w:rPr>
              <w:t>the entire field.</w:t>
            </w:r>
          </w:p>
          <w:p w14:paraId="479A7817" w14:textId="4BCDEBA6" w:rsidR="00B77E40" w:rsidRPr="000E280D" w:rsidRDefault="000A674A" w:rsidP="000E280D">
            <w:pPr>
              <w:numPr>
                <w:ilvl w:val="0"/>
                <w:numId w:val="7"/>
              </w:numPr>
              <w:autoSpaceDE w:val="0"/>
              <w:autoSpaceDN w:val="0"/>
              <w:adjustRightInd w:val="0"/>
              <w:spacing w:before="60" w:after="60" w:line="240" w:lineRule="auto"/>
              <w:ind w:left="113" w:right="113" w:hanging="181"/>
              <w:jc w:val="left"/>
              <w:rPr>
                <w:sz w:val="16"/>
                <w:szCs w:val="16"/>
                <w:lang w:eastAsia="tr-TR"/>
              </w:rPr>
            </w:pPr>
            <w:r w:rsidRPr="000A674A">
              <w:rPr>
                <w:sz w:val="16"/>
                <w:szCs w:val="16"/>
                <w:lang w:eastAsia="tr-TR"/>
              </w:rPr>
              <w:t>An adequate OHS organizational structure will be established as defined in local legislation and the required number of OHS officers should be assigned to be on site during working hours.</w:t>
            </w:r>
          </w:p>
          <w:p w14:paraId="46AD59EE" w14:textId="63082E42"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In the event of any significant incident (e.g. environmental, social, </w:t>
            </w:r>
            <w:r w:rsidR="009E2220" w:rsidRPr="00EE43C6">
              <w:rPr>
                <w:rFonts w:cs="Arial"/>
                <w:color w:val="000000"/>
                <w:sz w:val="16"/>
                <w:szCs w:val="16"/>
                <w:lang w:eastAsia="tr-TR"/>
              </w:rPr>
              <w:t>labour</w:t>
            </w:r>
            <w:r w:rsidRPr="00EE43C6">
              <w:rPr>
                <w:rFonts w:cs="Arial"/>
                <w:color w:val="000000"/>
                <w:sz w:val="16"/>
                <w:szCs w:val="16"/>
                <w:lang w:eastAsia="tr-TR"/>
              </w:rPr>
              <w:t xml:space="preserve"> or lost-time incidents) the Contractor shall immediately notify </w:t>
            </w:r>
            <w:r w:rsidR="00234673" w:rsidRPr="00EE43C6">
              <w:rPr>
                <w:rFonts w:cs="Arial"/>
                <w:color w:val="000000"/>
                <w:sz w:val="16"/>
                <w:szCs w:val="16"/>
                <w:lang w:eastAsia="tr-TR"/>
              </w:rPr>
              <w:t>TUIOSB</w:t>
            </w:r>
            <w:r w:rsidRPr="00EE43C6">
              <w:rPr>
                <w:rFonts w:cs="Arial"/>
                <w:color w:val="000000"/>
                <w:sz w:val="16"/>
                <w:szCs w:val="16"/>
                <w:lang w:eastAsia="tr-TR"/>
              </w:rPr>
              <w:t xml:space="preserve"> shall inform the MoIT and WB within three business days. Then, within 30 days, a report on the root causes of the incident and the corrective actions to be taken will be presented to the MoIT and WB. Also, all incidents will also be reported to Social Security Institution.</w:t>
            </w:r>
          </w:p>
          <w:p w14:paraId="035FEA17"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Guidance, directives and recommendations of Ministry of Health, Ministry of Family and Social Services, WHO and the WB shall be followed, and all relevant necessary measures shall be taken, both for occupational health and safety of employees and for workplaces, in case of an outbreak of any other pandemic/communicable disease including COVID-19.</w:t>
            </w:r>
          </w:p>
          <w:p w14:paraId="11A413AE"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Areas where excavation work is to be carried out will not be accessible other than the authorized personnel. The loading and unloading activities shall be carried out together with the persons to oversee the personnel to carry out the activity.</w:t>
            </w:r>
          </w:p>
          <w:p w14:paraId="5E93AAD6"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Since the works will be performed at areas close to the public, the public access to these areas shall be restricted by any means. If a trench needed to be left open for night, the sufficient illumination of the area shall be ensured by the Contractor and necessary signs shall be placed, and the area shall be enclosed with barriers.</w:t>
            </w:r>
          </w:p>
          <w:p w14:paraId="620DCF86" w14:textId="5A52E64F"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Installation of concrete </w:t>
            </w:r>
            <w:r w:rsidR="00B23B6C" w:rsidRPr="00EE43C6">
              <w:rPr>
                <w:rFonts w:cs="Arial"/>
                <w:color w:val="000000"/>
                <w:sz w:val="16"/>
                <w:szCs w:val="16"/>
                <w:lang w:eastAsia="tr-TR"/>
              </w:rPr>
              <w:t>moulds</w:t>
            </w:r>
            <w:r w:rsidRPr="00EE43C6">
              <w:rPr>
                <w:rFonts w:cs="Arial"/>
                <w:color w:val="000000"/>
                <w:sz w:val="16"/>
                <w:szCs w:val="16"/>
                <w:lang w:eastAsia="tr-TR"/>
              </w:rPr>
              <w:t>, concreting, installation of water tank etc. may require working at height, working in confined space etc. Therefore, relevant procedures such as Confined Space Entry Procedure, Working at Height Procedure, etc. will be prepared in accordance with applicable national requirements and internationally accepted standards.</w:t>
            </w:r>
          </w:p>
          <w:p w14:paraId="46DF2437"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Adequate and appropriate training in confined space hazard control, atmospheric testing, use of required PPE as well as </w:t>
            </w:r>
            <w:r w:rsidRPr="00EE43C6">
              <w:rPr>
                <w:rFonts w:cs="Arial"/>
                <w:color w:val="000000"/>
                <w:sz w:val="16"/>
                <w:szCs w:val="16"/>
                <w:lang w:eastAsia="tr-TR"/>
              </w:rPr>
              <w:lastRenderedPageBreak/>
              <w:t>the serviceability and integrity of PPE shall be verified before workers are required to enter a permitting confined space. In addition, adequate and appropriate rescue and/or rescue plans and equipment shall be in place before the worker enters the confined space. In the event of an accident, coordination will be established with the emergency response teams to ensure that the most accurate first aid is given. The Emergency Action Plan will be revised in accordance with the operational period and necessary training will be given to all personnel.</w:t>
            </w:r>
          </w:p>
          <w:p w14:paraId="797D3854"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Only personnel holding the height work permit will work at height, and safeguarding measures (guardrails, fall arrest) will be in place.</w:t>
            </w:r>
          </w:p>
          <w:p w14:paraId="53E6F35D"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The areas to be excavated will not be accessible except by authorized personnel. Loading and unloading activities will be carried out together with the persons who will supervise the personnel who will carry out the activity.</w:t>
            </w:r>
          </w:p>
          <w:p w14:paraId="5E131292"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The construction areas will be surrounded, and necessary security measures will be taken, no one will be allowed to enter except for the staff.</w:t>
            </w:r>
          </w:p>
          <w:p w14:paraId="1CBC5870"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The WBG General Environment, Health and Safety Guidelines will apply.</w:t>
            </w:r>
          </w:p>
          <w:p w14:paraId="00997BA9"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Equipment that meets international standards in terms of performance and safety will be used.</w:t>
            </w:r>
          </w:p>
          <w:p w14:paraId="1B29B400"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All equipment used during the construction phase will be kept in good working condition.</w:t>
            </w:r>
          </w:p>
          <w:p w14:paraId="06FF1E97" w14:textId="77777777" w:rsidR="009155D1"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The contractor will assign a full-time staff responsible for OHS with relevant certification and experience and monitor field practices.</w:t>
            </w:r>
          </w:p>
          <w:p w14:paraId="63E25F2E" w14:textId="77777777" w:rsidR="004618F0" w:rsidRPr="00D25345" w:rsidRDefault="004618F0"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D25345">
              <w:rPr>
                <w:rFonts w:cs="Arial"/>
                <w:color w:val="000000"/>
                <w:sz w:val="16"/>
                <w:szCs w:val="16"/>
                <w:lang w:eastAsia="tr-TR"/>
              </w:rPr>
              <w:t>Sub-Contractors must implement the safety guidelines, such as:</w:t>
            </w:r>
          </w:p>
          <w:p w14:paraId="7E6A5195" w14:textId="77777777" w:rsidR="004618F0" w:rsidRPr="00D25345" w:rsidRDefault="004618F0"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D25345">
              <w:rPr>
                <w:rFonts w:cs="Arial"/>
                <w:color w:val="000000"/>
                <w:sz w:val="16"/>
                <w:szCs w:val="16"/>
                <w:lang w:eastAsia="tr-TR"/>
              </w:rPr>
              <w:t>All sub-contractors must ensure compliance with health and safety documents and equipment.</w:t>
            </w:r>
          </w:p>
          <w:p w14:paraId="4FC8B438" w14:textId="77777777" w:rsidR="004618F0" w:rsidRPr="00D25345" w:rsidRDefault="004618F0"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D25345">
              <w:rPr>
                <w:rFonts w:cs="Arial"/>
                <w:color w:val="000000"/>
                <w:sz w:val="16"/>
                <w:szCs w:val="16"/>
                <w:lang w:eastAsia="tr-TR"/>
              </w:rPr>
              <w:t>Prior to commencement of work, subcontractors' employees will be given informative training on the facility's health and safety rules.</w:t>
            </w:r>
          </w:p>
          <w:p w14:paraId="29EB20EB" w14:textId="743B8D80" w:rsidR="009155D1" w:rsidRPr="00543DF5" w:rsidRDefault="004618F0" w:rsidP="000E280D">
            <w:pPr>
              <w:numPr>
                <w:ilvl w:val="1"/>
                <w:numId w:val="7"/>
              </w:numPr>
              <w:autoSpaceDE w:val="0"/>
              <w:autoSpaceDN w:val="0"/>
              <w:adjustRightInd w:val="0"/>
              <w:spacing w:before="60" w:after="60" w:line="240" w:lineRule="auto"/>
              <w:ind w:left="464" w:right="113" w:hanging="284"/>
              <w:jc w:val="left"/>
              <w:rPr>
                <w:rFonts w:cs="Arial"/>
                <w:color w:val="000000"/>
                <w:sz w:val="16"/>
                <w:szCs w:val="16"/>
                <w:lang w:eastAsia="tr-TR"/>
              </w:rPr>
            </w:pPr>
            <w:r w:rsidRPr="00D25345">
              <w:rPr>
                <w:rFonts w:cs="Arial"/>
                <w:color w:val="000000"/>
                <w:sz w:val="16"/>
                <w:szCs w:val="16"/>
                <w:lang w:eastAsia="tr-TR"/>
              </w:rPr>
              <w:t>The contractor is responsible for the project's OHS management practices or OHS rules in accordance with the OHS rules in the legislation.</w:t>
            </w:r>
          </w:p>
        </w:tc>
        <w:tc>
          <w:tcPr>
            <w:tcW w:w="1418" w:type="dxa"/>
            <w:tcBorders>
              <w:top w:val="single" w:sz="4" w:space="0" w:color="auto"/>
              <w:left w:val="single" w:sz="4" w:space="0" w:color="auto"/>
              <w:bottom w:val="single" w:sz="4" w:space="0" w:color="auto"/>
              <w:right w:val="single" w:sz="4" w:space="0" w:color="auto"/>
            </w:tcBorders>
          </w:tcPr>
          <w:p w14:paraId="3C5AB033" w14:textId="77777777" w:rsidR="009155D1" w:rsidRPr="00EE43C6" w:rsidRDefault="009155D1" w:rsidP="000E280D">
            <w:pPr>
              <w:autoSpaceDE w:val="0"/>
              <w:autoSpaceDN w:val="0"/>
              <w:adjustRightInd w:val="0"/>
              <w:spacing w:before="0" w:after="0" w:line="240" w:lineRule="auto"/>
              <w:ind w:right="113"/>
              <w:jc w:val="left"/>
              <w:rPr>
                <w:rFonts w:eastAsia="Arial TUR" w:cs="Arial"/>
                <w:color w:val="000000"/>
                <w:sz w:val="16"/>
                <w:szCs w:val="16"/>
                <w:lang w:eastAsia="en-US"/>
              </w:rPr>
            </w:pPr>
            <w:r w:rsidRPr="00EE43C6">
              <w:rPr>
                <w:rFonts w:eastAsia="Arial TUR" w:cs="Arial"/>
                <w:color w:val="000000"/>
                <w:sz w:val="16"/>
                <w:szCs w:val="16"/>
                <w:lang w:eastAsia="en-US"/>
              </w:rPr>
              <w:lastRenderedPageBreak/>
              <w:t>Contractor</w:t>
            </w:r>
          </w:p>
          <w:p w14:paraId="7E266808" w14:textId="2F3D4DDC" w:rsidR="009155D1" w:rsidRPr="00EE43C6" w:rsidRDefault="00CB7D7D" w:rsidP="000E280D">
            <w:pPr>
              <w:autoSpaceDE w:val="0"/>
              <w:autoSpaceDN w:val="0"/>
              <w:adjustRightInd w:val="0"/>
              <w:spacing w:before="0" w:after="0" w:line="240" w:lineRule="auto"/>
              <w:ind w:right="113"/>
              <w:jc w:val="left"/>
              <w:rPr>
                <w:rFonts w:eastAsia="Arial TUR"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eastAsia="Arial TUR" w:cs="Arial"/>
                <w:color w:val="000000"/>
                <w:sz w:val="16"/>
                <w:szCs w:val="16"/>
                <w:lang w:eastAsia="en-US"/>
              </w:rPr>
              <w:t>Consultant</w:t>
            </w:r>
          </w:p>
          <w:p w14:paraId="2271F8CA" w14:textId="6AC43A42" w:rsidR="009155D1" w:rsidRPr="00EE43C6" w:rsidRDefault="00B561CF" w:rsidP="000E280D">
            <w:pPr>
              <w:autoSpaceDE w:val="0"/>
              <w:autoSpaceDN w:val="0"/>
              <w:adjustRightInd w:val="0"/>
              <w:spacing w:before="0" w:after="0" w:line="240" w:lineRule="auto"/>
              <w:ind w:right="113"/>
              <w:jc w:val="left"/>
              <w:rPr>
                <w:rFonts w:eastAsia="Arial TUR" w:cs="Arial"/>
                <w:sz w:val="16"/>
                <w:szCs w:val="16"/>
                <w:lang w:eastAsia="en-US"/>
              </w:rPr>
            </w:pPr>
            <w:r w:rsidRPr="00EE43C6">
              <w:rPr>
                <w:rFonts w:eastAsia="Calibri"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96216DB"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of scheduled HSE Inspection</w:t>
            </w:r>
          </w:p>
          <w:p w14:paraId="13138F40"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of attendance at HSE meetings</w:t>
            </w:r>
          </w:p>
          <w:p w14:paraId="706B4CDC"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 of closing of </w:t>
            </w:r>
            <w:r w:rsidRPr="00EE43C6">
              <w:rPr>
                <w:rFonts w:cs="Arial"/>
                <w:sz w:val="16"/>
                <w:szCs w:val="16"/>
                <w:lang w:eastAsia="tr-TR"/>
              </w:rPr>
              <w:t xml:space="preserve">Non Compliance Reports (NCRs)  </w:t>
            </w:r>
          </w:p>
          <w:p w14:paraId="5F70801E"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Reporting safe observations</w:t>
            </w:r>
          </w:p>
          <w:p w14:paraId="79EFE3D3"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Reporting unsafe observations</w:t>
            </w:r>
          </w:p>
          <w:p w14:paraId="03040932"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Reporting near misses</w:t>
            </w:r>
          </w:p>
          <w:p w14:paraId="4CE17A3C"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of Toolbox attending</w:t>
            </w:r>
          </w:p>
          <w:p w14:paraId="011B3D0D"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of Risk Assessment compliance</w:t>
            </w:r>
          </w:p>
          <w:p w14:paraId="0D01B966"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of Legal Requirements compliance</w:t>
            </w:r>
          </w:p>
          <w:p w14:paraId="16322ED6"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Results of scheduled audits</w:t>
            </w:r>
          </w:p>
          <w:p w14:paraId="1E3B903D"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HSE training carried out to training matrix</w:t>
            </w:r>
          </w:p>
          <w:p w14:paraId="6E1930BD"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lastRenderedPageBreak/>
              <w:t xml:space="preserve"> &gt; 90% of all training to matrix</w:t>
            </w:r>
          </w:p>
          <w:p w14:paraId="576FAA2C"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of attendance at scheduled trainings</w:t>
            </w:r>
          </w:p>
          <w:p w14:paraId="71E0449B"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Engagement in HSE program by individual managers and supervisors </w:t>
            </w:r>
          </w:p>
          <w:p w14:paraId="43B4DA5B"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Engagement in HSE program by contractor’s</w:t>
            </w:r>
          </w:p>
        </w:tc>
      </w:tr>
      <w:tr w:rsidR="009155D1" w:rsidRPr="00EE43C6" w14:paraId="4277D20A"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35C003E2" w14:textId="77777777" w:rsidR="009155D1" w:rsidRPr="00EE43C6" w:rsidRDefault="009155D1" w:rsidP="00A10195">
            <w:pPr>
              <w:autoSpaceDE w:val="0"/>
              <w:autoSpaceDN w:val="0"/>
              <w:adjustRightInd w:val="0"/>
              <w:spacing w:before="0" w:after="0" w:line="240" w:lineRule="auto"/>
              <w:jc w:val="left"/>
              <w:rPr>
                <w:rFonts w:cs="Arial"/>
                <w:sz w:val="16"/>
                <w:szCs w:val="16"/>
                <w:lang w:eastAsia="en-GB"/>
              </w:rPr>
            </w:pPr>
            <w:r w:rsidRPr="00EE43C6">
              <w:rPr>
                <w:rFonts w:cs="Arial"/>
                <w:sz w:val="16"/>
                <w:szCs w:val="16"/>
                <w:lang w:eastAsia="en-GB"/>
              </w:rPr>
              <w:lastRenderedPageBreak/>
              <w:t>C3</w:t>
            </w:r>
          </w:p>
        </w:tc>
        <w:tc>
          <w:tcPr>
            <w:tcW w:w="1559" w:type="dxa"/>
            <w:tcBorders>
              <w:top w:val="single" w:sz="4" w:space="0" w:color="auto"/>
              <w:left w:val="single" w:sz="4" w:space="0" w:color="auto"/>
              <w:bottom w:val="single" w:sz="4" w:space="0" w:color="auto"/>
              <w:right w:val="single" w:sz="4" w:space="0" w:color="auto"/>
            </w:tcBorders>
            <w:hideMark/>
          </w:tcPr>
          <w:p w14:paraId="2261C966" w14:textId="72739FF3" w:rsidR="009155D1" w:rsidRPr="00EE43C6" w:rsidRDefault="002B3D63" w:rsidP="00A10195">
            <w:pPr>
              <w:autoSpaceDE w:val="0"/>
              <w:autoSpaceDN w:val="0"/>
              <w:adjustRightInd w:val="0"/>
              <w:spacing w:before="0" w:after="0" w:line="240" w:lineRule="auto"/>
              <w:jc w:val="left"/>
              <w:rPr>
                <w:rFonts w:cs="Arial"/>
                <w:b/>
                <w:sz w:val="16"/>
                <w:szCs w:val="16"/>
                <w:lang w:eastAsia="en-GB"/>
              </w:rPr>
            </w:pPr>
            <w:r w:rsidRPr="00EE43C6">
              <w:rPr>
                <w:rFonts w:cs="Arial"/>
                <w:b/>
                <w:bCs/>
                <w:color w:val="000000"/>
                <w:sz w:val="16"/>
                <w:szCs w:val="16"/>
                <w:lang w:eastAsia="tr-TR"/>
              </w:rPr>
              <w:t xml:space="preserve">Economy / </w:t>
            </w:r>
            <w:r w:rsidR="009155D1" w:rsidRPr="00EE43C6">
              <w:rPr>
                <w:rFonts w:cs="Arial"/>
                <w:b/>
                <w:color w:val="000000"/>
                <w:sz w:val="16"/>
                <w:szCs w:val="16"/>
                <w:lang w:eastAsia="tr-TR"/>
              </w:rPr>
              <w:t>Employment</w:t>
            </w:r>
          </w:p>
        </w:tc>
        <w:tc>
          <w:tcPr>
            <w:tcW w:w="1276" w:type="dxa"/>
            <w:tcBorders>
              <w:top w:val="single" w:sz="4" w:space="0" w:color="auto"/>
              <w:left w:val="single" w:sz="4" w:space="0" w:color="auto"/>
              <w:bottom w:val="single" w:sz="4" w:space="0" w:color="auto"/>
              <w:right w:val="single" w:sz="4" w:space="0" w:color="auto"/>
            </w:tcBorders>
            <w:noWrap/>
            <w:hideMark/>
          </w:tcPr>
          <w:p w14:paraId="1C780ECC" w14:textId="77777777" w:rsidR="009155D1" w:rsidRPr="00EE43C6" w:rsidRDefault="009155D1" w:rsidP="00A10195">
            <w:pPr>
              <w:autoSpaceDE w:val="0"/>
              <w:autoSpaceDN w:val="0"/>
              <w:adjustRightInd w:val="0"/>
              <w:spacing w:before="0" w:after="0" w:line="240" w:lineRule="auto"/>
              <w:jc w:val="left"/>
              <w:rPr>
                <w:rFonts w:cs="Arial"/>
                <w:bCs/>
                <w:sz w:val="16"/>
                <w:szCs w:val="16"/>
                <w:lang w:eastAsia="en-GB"/>
              </w:rPr>
            </w:pPr>
            <w:r w:rsidRPr="00EE43C6">
              <w:rPr>
                <w:rFonts w:cs="Arial"/>
                <w:bCs/>
                <w:sz w:val="16"/>
                <w:szCs w:val="16"/>
                <w:lang w:eastAsia="en-GB"/>
              </w:rPr>
              <w:t>Child labour, forced labour and unregistered employment</w:t>
            </w:r>
          </w:p>
          <w:p w14:paraId="44DC5930" w14:textId="77777777" w:rsidR="009155D1" w:rsidRPr="00EE43C6" w:rsidRDefault="009155D1" w:rsidP="00A10195">
            <w:pPr>
              <w:autoSpaceDE w:val="0"/>
              <w:autoSpaceDN w:val="0"/>
              <w:adjustRightInd w:val="0"/>
              <w:spacing w:before="0" w:after="0" w:line="240" w:lineRule="auto"/>
              <w:jc w:val="left"/>
              <w:rPr>
                <w:rFonts w:cs="Arial"/>
                <w:bCs/>
                <w:sz w:val="16"/>
                <w:szCs w:val="16"/>
                <w:lang w:eastAsia="en-GB"/>
              </w:rPr>
            </w:pPr>
            <w:r w:rsidRPr="00EE43C6">
              <w:rPr>
                <w:rFonts w:cs="Arial"/>
                <w:bCs/>
                <w:sz w:val="16"/>
                <w:szCs w:val="16"/>
                <w:lang w:eastAsia="en-GB"/>
              </w:rPr>
              <w:t>Contribution to economy</w:t>
            </w:r>
          </w:p>
        </w:tc>
        <w:tc>
          <w:tcPr>
            <w:tcW w:w="851" w:type="dxa"/>
            <w:tcBorders>
              <w:top w:val="single" w:sz="4" w:space="0" w:color="auto"/>
              <w:left w:val="single" w:sz="4" w:space="0" w:color="auto"/>
              <w:bottom w:val="single" w:sz="4" w:space="0" w:color="auto"/>
              <w:right w:val="single" w:sz="4" w:space="0" w:color="auto"/>
            </w:tcBorders>
            <w:noWrap/>
            <w:hideMark/>
          </w:tcPr>
          <w:p w14:paraId="54565F4D" w14:textId="77777777" w:rsidR="009155D1" w:rsidRPr="00EE43C6" w:rsidRDefault="009155D1" w:rsidP="00A10195">
            <w:pPr>
              <w:autoSpaceDE w:val="0"/>
              <w:autoSpaceDN w:val="0"/>
              <w:adjustRightInd w:val="0"/>
              <w:spacing w:before="0" w:after="0" w:line="240" w:lineRule="auto"/>
              <w:jc w:val="left"/>
              <w:rPr>
                <w:rFonts w:cs="Arial"/>
                <w:color w:val="000000"/>
                <w:sz w:val="16"/>
                <w:szCs w:val="16"/>
                <w:lang w:eastAsia="tr-TR"/>
              </w:rPr>
            </w:pPr>
            <w:r w:rsidRPr="00EE43C6">
              <w:rPr>
                <w:rFonts w:cs="Arial"/>
                <w:bCs/>
                <w:color w:val="000000"/>
                <w:sz w:val="16"/>
                <w:szCs w:val="16"/>
                <w:lang w:eastAsia="tr-TR"/>
              </w:rPr>
              <w:t>Adverse</w:t>
            </w:r>
          </w:p>
        </w:tc>
        <w:tc>
          <w:tcPr>
            <w:tcW w:w="1276" w:type="dxa"/>
            <w:tcBorders>
              <w:top w:val="single" w:sz="4" w:space="0" w:color="auto"/>
              <w:left w:val="single" w:sz="4" w:space="0" w:color="auto"/>
              <w:bottom w:val="single" w:sz="4" w:space="0" w:color="auto"/>
              <w:right w:val="single" w:sz="4" w:space="0" w:color="auto"/>
            </w:tcBorders>
            <w:hideMark/>
          </w:tcPr>
          <w:p w14:paraId="1092F726" w14:textId="77777777" w:rsidR="009155D1" w:rsidRPr="00EE43C6" w:rsidRDefault="009155D1" w:rsidP="00A10195">
            <w:pPr>
              <w:autoSpaceDE w:val="0"/>
              <w:autoSpaceDN w:val="0"/>
              <w:adjustRightInd w:val="0"/>
              <w:spacing w:before="0" w:after="0" w:line="240" w:lineRule="auto"/>
              <w:jc w:val="left"/>
              <w:rPr>
                <w:rFonts w:cs="Arial"/>
                <w:color w:val="000000"/>
                <w:sz w:val="16"/>
                <w:szCs w:val="16"/>
                <w:lang w:eastAsia="tr-TR"/>
              </w:rPr>
            </w:pPr>
            <w:r w:rsidRPr="00EE43C6">
              <w:rPr>
                <w:rFonts w:cs="Arial"/>
                <w:bCs/>
                <w:color w:val="000000"/>
                <w:sz w:val="16"/>
                <w:szCs w:val="16"/>
                <w:lang w:eastAsia="tr-TR"/>
              </w:rPr>
              <w:t>Low</w:t>
            </w:r>
          </w:p>
        </w:tc>
        <w:tc>
          <w:tcPr>
            <w:tcW w:w="1134" w:type="dxa"/>
            <w:tcBorders>
              <w:top w:val="single" w:sz="4" w:space="0" w:color="auto"/>
              <w:left w:val="single" w:sz="4" w:space="0" w:color="auto"/>
              <w:bottom w:val="single" w:sz="4" w:space="0" w:color="auto"/>
              <w:right w:val="single" w:sz="4" w:space="0" w:color="auto"/>
            </w:tcBorders>
            <w:hideMark/>
          </w:tcPr>
          <w:p w14:paraId="71202F0A" w14:textId="06D82C7A" w:rsidR="009155D1" w:rsidRPr="00EE43C6" w:rsidRDefault="00BF38B6" w:rsidP="0047723C">
            <w:pPr>
              <w:autoSpaceDE w:val="0"/>
              <w:autoSpaceDN w:val="0"/>
              <w:adjustRightInd w:val="0"/>
              <w:spacing w:before="0" w:after="0" w:line="240" w:lineRule="auto"/>
              <w:ind w:left="-73" w:right="-57"/>
              <w:jc w:val="left"/>
              <w:rPr>
                <w:rFonts w:eastAsia="Arial TUR" w:cs="Arial"/>
                <w:sz w:val="16"/>
                <w:szCs w:val="16"/>
                <w:lang w:eastAsia="en-US"/>
              </w:rPr>
            </w:pPr>
            <w:r w:rsidRPr="00EE43C6">
              <w:rPr>
                <w:rFonts w:cs="Arial"/>
                <w:color w:val="000000"/>
                <w:sz w:val="16"/>
                <w:szCs w:val="16"/>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7AB98259"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eastAsia="Arial TUR" w:cs="Arial"/>
                <w:sz w:val="16"/>
                <w:szCs w:val="16"/>
                <w:lang w:eastAsia="en-US"/>
              </w:rPr>
              <w:t>Care will be taken to contributing to the local economy through the use of local materials and to procuring various goods and services from local resources.</w:t>
            </w:r>
          </w:p>
          <w:p w14:paraId="39CA89F1"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tr-TR"/>
              </w:rPr>
            </w:pPr>
            <w:r w:rsidRPr="00EE43C6">
              <w:rPr>
                <w:rFonts w:cs="Arial"/>
                <w:sz w:val="16"/>
                <w:szCs w:val="16"/>
              </w:rPr>
              <w:t xml:space="preserve">Priority should be given to the local labour where possible and practical. </w:t>
            </w:r>
          </w:p>
          <w:p w14:paraId="2A1AB4E6"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eastAsia="Arial TUR" w:cs="Arial"/>
                <w:sz w:val="16"/>
                <w:szCs w:val="16"/>
                <w:lang w:eastAsia="en-US"/>
              </w:rPr>
              <w:t>Efforts will be exercised to allocate employment opportunities to the local parties and the settlements within the AoI.</w:t>
            </w:r>
          </w:p>
          <w:p w14:paraId="5D9AA6EE"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eastAsia="Arial TUR" w:cs="Arial"/>
                <w:sz w:val="16"/>
                <w:szCs w:val="16"/>
                <w:lang w:eastAsia="en-US"/>
              </w:rPr>
              <w:t>The work permits of the employees will be controlled within the scope of the Project, prohibiting, forced labour, and child labour under the age of 18.</w:t>
            </w:r>
          </w:p>
          <w:p w14:paraId="1102EE54" w14:textId="205AFE8C" w:rsidR="009155D1" w:rsidRPr="00EE43C6" w:rsidRDefault="00426F81"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eastAsia="Arial TUR" w:cs="Arial"/>
                <w:sz w:val="16"/>
                <w:szCs w:val="16"/>
                <w:lang w:eastAsia="en-US"/>
              </w:rPr>
              <w:t>Employees will be trained to prevent discrimination in the workplace.</w:t>
            </w:r>
          </w:p>
          <w:p w14:paraId="387DB547"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eastAsia="Calibri" w:cs="Arial"/>
                <w:sz w:val="16"/>
                <w:szCs w:val="16"/>
                <w:lang w:eastAsia="en-US"/>
              </w:rPr>
              <w:t>Necessary measures will be taken by contractor to make sure that workers coming from outside the city will be given a training program on dialogue and communication with local communities, and that there are no social or cultural issues between host communities and external workers. It is the Consultant’s responsibility to ensure that the contractor complies with the determined criteria.</w:t>
            </w:r>
          </w:p>
        </w:tc>
        <w:tc>
          <w:tcPr>
            <w:tcW w:w="1418" w:type="dxa"/>
            <w:tcBorders>
              <w:top w:val="single" w:sz="4" w:space="0" w:color="auto"/>
              <w:left w:val="single" w:sz="4" w:space="0" w:color="auto"/>
              <w:bottom w:val="single" w:sz="4" w:space="0" w:color="auto"/>
              <w:right w:val="single" w:sz="4" w:space="0" w:color="auto"/>
            </w:tcBorders>
            <w:hideMark/>
          </w:tcPr>
          <w:p w14:paraId="49A03770"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Contractor</w:t>
            </w:r>
          </w:p>
          <w:p w14:paraId="227BAAF1" w14:textId="77777777" w:rsidR="009155D1" w:rsidRPr="00EE43C6" w:rsidRDefault="00EF3036" w:rsidP="000E280D">
            <w:pPr>
              <w:autoSpaceDE w:val="0"/>
              <w:autoSpaceDN w:val="0"/>
              <w:adjustRightInd w:val="0"/>
              <w:spacing w:before="0" w:after="0" w:line="240" w:lineRule="auto"/>
              <w:ind w:right="113"/>
              <w:jc w:val="left"/>
              <w:rPr>
                <w:rFonts w:eastAsia="Arial TUR" w:cs="Arial"/>
                <w:color w:val="000000"/>
                <w:sz w:val="16"/>
                <w:szCs w:val="16"/>
                <w:lang w:eastAsia="en-US"/>
              </w:rPr>
            </w:pPr>
            <w:r w:rsidRPr="00EE43C6">
              <w:rPr>
                <w:rFonts w:eastAsia="Arial TUR" w:cs="Arial"/>
                <w:color w:val="000000"/>
                <w:sz w:val="16"/>
                <w:szCs w:val="16"/>
                <w:lang w:eastAsia="en-US"/>
              </w:rPr>
              <w:t xml:space="preserve">Supervision </w:t>
            </w:r>
            <w:r w:rsidR="009155D1" w:rsidRPr="00EE43C6">
              <w:rPr>
                <w:rFonts w:eastAsia="Arial TUR" w:cs="Arial"/>
                <w:color w:val="000000"/>
                <w:sz w:val="16"/>
                <w:szCs w:val="16"/>
                <w:lang w:eastAsia="en-US"/>
              </w:rPr>
              <w:t>Consultant</w:t>
            </w:r>
          </w:p>
          <w:p w14:paraId="7D599E90" w14:textId="4D741EAC"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7224F14C" w14:textId="379B3931"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Number </w:t>
            </w:r>
            <w:r w:rsidR="00661EA4">
              <w:rPr>
                <w:rFonts w:cs="Arial"/>
                <w:color w:val="000000"/>
                <w:sz w:val="16"/>
                <w:szCs w:val="16"/>
                <w:lang w:eastAsia="tr-TR"/>
              </w:rPr>
              <w:t xml:space="preserve">and nature </w:t>
            </w:r>
            <w:r w:rsidRPr="00EE43C6">
              <w:rPr>
                <w:rFonts w:cs="Arial"/>
                <w:color w:val="000000"/>
                <w:sz w:val="16"/>
                <w:szCs w:val="16"/>
                <w:lang w:eastAsia="tr-TR"/>
              </w:rPr>
              <w:t xml:space="preserve">of grievances </w:t>
            </w:r>
          </w:p>
          <w:p w14:paraId="0E49DB89"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cs="Arial"/>
                <w:color w:val="000000"/>
                <w:sz w:val="16"/>
                <w:szCs w:val="16"/>
                <w:lang w:eastAsia="tr-TR"/>
              </w:rPr>
              <w:t>Percentage of closed grievances within the target timeframe</w:t>
            </w:r>
          </w:p>
        </w:tc>
      </w:tr>
      <w:tr w:rsidR="009155D1" w:rsidRPr="00EE43C6" w14:paraId="00048F05"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09C1971D" w14:textId="77777777" w:rsidR="009155D1" w:rsidRPr="00EE43C6" w:rsidRDefault="009155D1" w:rsidP="00A10195">
            <w:pPr>
              <w:snapToGrid w:val="0"/>
              <w:spacing w:before="0" w:after="0" w:line="240" w:lineRule="auto"/>
              <w:ind w:left="113" w:right="113" w:hanging="113"/>
              <w:jc w:val="left"/>
              <w:rPr>
                <w:rFonts w:cs="Arial"/>
                <w:sz w:val="16"/>
                <w:szCs w:val="16"/>
                <w:lang w:eastAsia="en-GB"/>
              </w:rPr>
            </w:pPr>
            <w:r w:rsidRPr="00EE43C6">
              <w:rPr>
                <w:rFonts w:cs="Arial"/>
                <w:sz w:val="16"/>
                <w:szCs w:val="16"/>
                <w:lang w:eastAsia="en-GB"/>
              </w:rPr>
              <w:t>C4</w:t>
            </w:r>
          </w:p>
        </w:tc>
        <w:tc>
          <w:tcPr>
            <w:tcW w:w="1559" w:type="dxa"/>
            <w:tcBorders>
              <w:top w:val="single" w:sz="4" w:space="0" w:color="auto"/>
              <w:left w:val="single" w:sz="4" w:space="0" w:color="auto"/>
              <w:bottom w:val="single" w:sz="4" w:space="0" w:color="auto"/>
              <w:right w:val="single" w:sz="4" w:space="0" w:color="auto"/>
            </w:tcBorders>
            <w:hideMark/>
          </w:tcPr>
          <w:p w14:paraId="62CEDFF7" w14:textId="5AC18E5E" w:rsidR="009155D1" w:rsidRPr="000E280D" w:rsidRDefault="009155D1" w:rsidP="000E280D">
            <w:pPr>
              <w:autoSpaceDE w:val="0"/>
              <w:autoSpaceDN w:val="0"/>
              <w:adjustRightInd w:val="0"/>
              <w:spacing w:before="0" w:after="0" w:line="240" w:lineRule="auto"/>
              <w:jc w:val="left"/>
              <w:rPr>
                <w:rFonts w:cs="Arial"/>
                <w:b/>
                <w:bCs/>
                <w:color w:val="000000"/>
                <w:sz w:val="16"/>
                <w:szCs w:val="16"/>
                <w:lang w:eastAsia="tr-TR"/>
              </w:rPr>
            </w:pPr>
            <w:r w:rsidRPr="000E280D">
              <w:rPr>
                <w:rFonts w:cs="Arial"/>
                <w:b/>
                <w:bCs/>
                <w:color w:val="000000"/>
                <w:sz w:val="16"/>
                <w:szCs w:val="16"/>
                <w:lang w:eastAsia="tr-TR"/>
              </w:rPr>
              <w:t>Social Life</w:t>
            </w:r>
          </w:p>
        </w:tc>
        <w:tc>
          <w:tcPr>
            <w:tcW w:w="1276" w:type="dxa"/>
            <w:tcBorders>
              <w:top w:val="single" w:sz="4" w:space="0" w:color="auto"/>
              <w:left w:val="single" w:sz="4" w:space="0" w:color="auto"/>
              <w:bottom w:val="single" w:sz="4" w:space="0" w:color="auto"/>
              <w:right w:val="single" w:sz="4" w:space="0" w:color="auto"/>
            </w:tcBorders>
            <w:noWrap/>
            <w:hideMark/>
          </w:tcPr>
          <w:p w14:paraId="3572FBEB"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 xml:space="preserve">Potential Community Disturbance  </w:t>
            </w:r>
          </w:p>
        </w:tc>
        <w:tc>
          <w:tcPr>
            <w:tcW w:w="851" w:type="dxa"/>
            <w:tcBorders>
              <w:top w:val="single" w:sz="4" w:space="0" w:color="auto"/>
              <w:left w:val="single" w:sz="4" w:space="0" w:color="auto"/>
              <w:bottom w:val="single" w:sz="4" w:space="0" w:color="auto"/>
              <w:right w:val="single" w:sz="4" w:space="0" w:color="auto"/>
            </w:tcBorders>
            <w:noWrap/>
            <w:hideMark/>
          </w:tcPr>
          <w:p w14:paraId="17374383" w14:textId="77777777" w:rsidR="009155D1" w:rsidRPr="000E280D" w:rsidRDefault="009155D1" w:rsidP="000E280D">
            <w:pPr>
              <w:autoSpaceDE w:val="0"/>
              <w:autoSpaceDN w:val="0"/>
              <w:adjustRightInd w:val="0"/>
              <w:snapToGri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3E25A399" w14:textId="77777777" w:rsidR="009155D1" w:rsidRPr="000E280D" w:rsidRDefault="009155D1" w:rsidP="000E280D">
            <w:pPr>
              <w:autoSpaceDE w:val="0"/>
              <w:autoSpaceDN w:val="0"/>
              <w:adjustRightInd w:val="0"/>
              <w:snapToGrid w:val="0"/>
              <w:spacing w:before="0" w:after="0" w:line="240" w:lineRule="auto"/>
              <w:jc w:val="left"/>
              <w:rPr>
                <w:rFonts w:cs="Arial"/>
                <w:bCs/>
                <w:sz w:val="16"/>
                <w:szCs w:val="16"/>
                <w:lang w:eastAsia="en-GB"/>
              </w:rPr>
            </w:pPr>
            <w:r w:rsidRPr="000E280D">
              <w:rPr>
                <w:rFonts w:cs="Arial"/>
                <w:bCs/>
                <w:sz w:val="16"/>
                <w:szCs w:val="16"/>
                <w:lang w:eastAsia="en-GB"/>
              </w:rPr>
              <w:t>Low</w:t>
            </w:r>
          </w:p>
        </w:tc>
        <w:tc>
          <w:tcPr>
            <w:tcW w:w="1134" w:type="dxa"/>
            <w:tcBorders>
              <w:top w:val="single" w:sz="4" w:space="0" w:color="auto"/>
              <w:left w:val="single" w:sz="4" w:space="0" w:color="auto"/>
              <w:bottom w:val="single" w:sz="4" w:space="0" w:color="auto"/>
              <w:right w:val="single" w:sz="4" w:space="0" w:color="auto"/>
            </w:tcBorders>
            <w:hideMark/>
          </w:tcPr>
          <w:p w14:paraId="45020876" w14:textId="452A0F25"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7A0B7593"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Calibri" w:cs="Arial"/>
                <w:color w:val="000000"/>
                <w:sz w:val="16"/>
                <w:szCs w:val="16"/>
                <w:lang w:eastAsia="en-US"/>
              </w:rPr>
              <w:t xml:space="preserve">The Contractor will provide training to the site personnel on environmental and social issues. It is the </w:t>
            </w:r>
            <w:r w:rsidRPr="00EE43C6">
              <w:rPr>
                <w:rFonts w:eastAsia="Calibri" w:cs="Arial"/>
                <w:sz w:val="16"/>
                <w:szCs w:val="16"/>
                <w:lang w:eastAsia="en-US"/>
              </w:rPr>
              <w:t>Consultant’s</w:t>
            </w:r>
            <w:r w:rsidRPr="00EE43C6">
              <w:rPr>
                <w:rFonts w:eastAsia="Calibri" w:cs="Arial"/>
                <w:color w:val="000000"/>
                <w:sz w:val="16"/>
                <w:szCs w:val="16"/>
                <w:lang w:eastAsia="en-US"/>
              </w:rPr>
              <w:t xml:space="preserve"> responsibility to ensure that the contractor complies with the determined criteria. </w:t>
            </w:r>
          </w:p>
          <w:p w14:paraId="24AA7906"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The operations to be carried out during construction works will be performed not to restrict / hinder the social and economic life of local people.</w:t>
            </w:r>
          </w:p>
          <w:p w14:paraId="3AF18EF5"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To avoid any impact on the safety and daily life of communities, safety and information signs will be placed on site before the work.</w:t>
            </w:r>
          </w:p>
          <w:p w14:paraId="6006142F"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The public, and nearby institutions and organizations, and hospitals and schools will be informed at least two days before starting repair / maintenance works that may cause disturbance temporarily.</w:t>
            </w:r>
          </w:p>
          <w:p w14:paraId="64413E57" w14:textId="29A27B32"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 xml:space="preserve">The construction activities to be performed around or in front of hospitals and/or healthcare providers will be planned not to hinder the public access to these services and the opinions of the relevant stakeholders will be sought in order to determine the common working strategy in this </w:t>
            </w:r>
            <w:r w:rsidR="003C1527" w:rsidRPr="00EE43C6">
              <w:rPr>
                <w:rFonts w:eastAsia="Arial TUR" w:cs="Arial"/>
                <w:color w:val="000000"/>
                <w:sz w:val="16"/>
                <w:szCs w:val="16"/>
                <w:lang w:eastAsia="en-US"/>
              </w:rPr>
              <w:t>regard.</w:t>
            </w:r>
          </w:p>
          <w:p w14:paraId="360185B2" w14:textId="20DC8832"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eastAsia="Calibri" w:cs="Arial"/>
                <w:color w:val="000000"/>
                <w:sz w:val="16"/>
                <w:szCs w:val="16"/>
                <w:lang w:eastAsia="en-US"/>
              </w:rPr>
              <w:lastRenderedPageBreak/>
              <w:t xml:space="preserve">The </w:t>
            </w:r>
            <w:r w:rsidR="00B561CF" w:rsidRPr="00EE43C6">
              <w:rPr>
                <w:rFonts w:eastAsia="Calibri" w:cs="Arial"/>
                <w:color w:val="000000"/>
                <w:sz w:val="16"/>
                <w:szCs w:val="16"/>
                <w:lang w:eastAsia="en-US"/>
              </w:rPr>
              <w:t>TUIOSB</w:t>
            </w:r>
            <w:r w:rsidRPr="00EE43C6">
              <w:rPr>
                <w:rFonts w:eastAsia="Calibri" w:cs="Arial"/>
                <w:color w:val="000000"/>
                <w:sz w:val="16"/>
                <w:szCs w:val="16"/>
                <w:lang w:eastAsia="en-US"/>
              </w:rPr>
              <w:t xml:space="preserve"> will ensure that contractors establish the code of conduct and will check that workers will be given training especially on communication with local people of foreign nationality public before starting work, so that local people of foreign nationality will not be adversely affected by external workers.</w:t>
            </w:r>
          </w:p>
        </w:tc>
        <w:tc>
          <w:tcPr>
            <w:tcW w:w="1418" w:type="dxa"/>
            <w:tcBorders>
              <w:top w:val="single" w:sz="4" w:space="0" w:color="auto"/>
              <w:left w:val="single" w:sz="4" w:space="0" w:color="auto"/>
              <w:bottom w:val="single" w:sz="4" w:space="0" w:color="auto"/>
              <w:right w:val="single" w:sz="4" w:space="0" w:color="auto"/>
            </w:tcBorders>
            <w:hideMark/>
          </w:tcPr>
          <w:p w14:paraId="7372BB54"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lastRenderedPageBreak/>
              <w:t>Contractor</w:t>
            </w:r>
          </w:p>
          <w:p w14:paraId="1389722A" w14:textId="76CB277A" w:rsidR="009155D1" w:rsidRPr="00EE43C6" w:rsidRDefault="00CB7D7D"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1AED776C" w14:textId="0A100F0F"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230B2C9F" w14:textId="6A021653"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Number </w:t>
            </w:r>
            <w:r w:rsidR="00661EA4">
              <w:rPr>
                <w:rFonts w:cs="Arial"/>
                <w:color w:val="000000"/>
                <w:sz w:val="16"/>
                <w:szCs w:val="16"/>
                <w:lang w:eastAsia="tr-TR"/>
              </w:rPr>
              <w:t xml:space="preserve">and nature </w:t>
            </w:r>
            <w:r w:rsidRPr="00EE43C6">
              <w:rPr>
                <w:rFonts w:cs="Arial"/>
                <w:color w:val="000000"/>
                <w:sz w:val="16"/>
                <w:szCs w:val="16"/>
                <w:lang w:eastAsia="tr-TR"/>
              </w:rPr>
              <w:t xml:space="preserve">of grievances </w:t>
            </w:r>
          </w:p>
          <w:p w14:paraId="7EBBA70D"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Percentage of closed grievances within the target timeframe</w:t>
            </w:r>
          </w:p>
        </w:tc>
      </w:tr>
      <w:tr w:rsidR="009155D1" w:rsidRPr="00EE43C6" w14:paraId="270BBD17"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49EF5881" w14:textId="77777777" w:rsidR="009155D1" w:rsidRPr="00EE43C6" w:rsidRDefault="009155D1" w:rsidP="00A10195">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C5</w:t>
            </w:r>
          </w:p>
        </w:tc>
        <w:tc>
          <w:tcPr>
            <w:tcW w:w="1559" w:type="dxa"/>
            <w:tcBorders>
              <w:top w:val="single" w:sz="4" w:space="0" w:color="auto"/>
              <w:left w:val="single" w:sz="4" w:space="0" w:color="auto"/>
              <w:bottom w:val="single" w:sz="4" w:space="0" w:color="auto"/>
              <w:right w:val="single" w:sz="4" w:space="0" w:color="auto"/>
            </w:tcBorders>
            <w:hideMark/>
          </w:tcPr>
          <w:p w14:paraId="7E2334B6" w14:textId="768506B8" w:rsidR="009155D1" w:rsidRPr="00EE43C6" w:rsidRDefault="009155D1" w:rsidP="00A10195">
            <w:pPr>
              <w:snapToGrid w:val="0"/>
              <w:spacing w:before="0" w:after="0" w:line="240" w:lineRule="auto"/>
              <w:ind w:left="113"/>
              <w:jc w:val="left"/>
              <w:rPr>
                <w:rFonts w:cs="Arial"/>
                <w:sz w:val="16"/>
                <w:szCs w:val="16"/>
                <w:lang w:eastAsia="en-GB"/>
              </w:rPr>
            </w:pPr>
            <w:r w:rsidRPr="00EE43C6">
              <w:rPr>
                <w:rFonts w:cs="Arial"/>
                <w:b/>
                <w:bCs/>
                <w:sz w:val="16"/>
                <w:szCs w:val="16"/>
                <w:lang w:eastAsia="en-GB"/>
              </w:rPr>
              <w:t xml:space="preserve">Labour </w:t>
            </w:r>
            <w:r w:rsidR="00DB68CC" w:rsidRPr="00EE43C6">
              <w:rPr>
                <w:rFonts w:cs="Arial"/>
                <w:b/>
                <w:bCs/>
                <w:sz w:val="16"/>
                <w:szCs w:val="16"/>
                <w:lang w:eastAsia="en-GB"/>
              </w:rPr>
              <w:t xml:space="preserve">and Working </w:t>
            </w:r>
            <w:r w:rsidRPr="00EE43C6">
              <w:rPr>
                <w:rFonts w:cs="Arial"/>
                <w:b/>
                <w:bCs/>
                <w:sz w:val="16"/>
                <w:szCs w:val="16"/>
                <w:lang w:eastAsia="en-GB"/>
              </w:rPr>
              <w:t>Conditions</w:t>
            </w:r>
          </w:p>
        </w:tc>
        <w:tc>
          <w:tcPr>
            <w:tcW w:w="1276" w:type="dxa"/>
            <w:tcBorders>
              <w:top w:val="single" w:sz="4" w:space="0" w:color="auto"/>
              <w:left w:val="single" w:sz="4" w:space="0" w:color="auto"/>
              <w:bottom w:val="single" w:sz="4" w:space="0" w:color="auto"/>
              <w:right w:val="single" w:sz="4" w:space="0" w:color="auto"/>
            </w:tcBorders>
            <w:noWrap/>
            <w:hideMark/>
          </w:tcPr>
          <w:p w14:paraId="27AA2EBE"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Improper Working Conditions,</w:t>
            </w:r>
            <w:r w:rsidRPr="000E280D">
              <w:rPr>
                <w:rFonts w:cs="Arial"/>
                <w:bCs/>
                <w:sz w:val="16"/>
                <w:szCs w:val="16"/>
                <w:lang w:eastAsia="en-GB"/>
              </w:rPr>
              <w:br/>
              <w:t>Child labour, forced labour and unregistered employment</w:t>
            </w:r>
          </w:p>
        </w:tc>
        <w:tc>
          <w:tcPr>
            <w:tcW w:w="851" w:type="dxa"/>
            <w:tcBorders>
              <w:top w:val="single" w:sz="4" w:space="0" w:color="auto"/>
              <w:left w:val="single" w:sz="4" w:space="0" w:color="auto"/>
              <w:bottom w:val="single" w:sz="4" w:space="0" w:color="auto"/>
              <w:right w:val="single" w:sz="4" w:space="0" w:color="auto"/>
            </w:tcBorders>
            <w:noWrap/>
            <w:hideMark/>
          </w:tcPr>
          <w:p w14:paraId="46CFF5FB" w14:textId="77777777" w:rsidR="009155D1" w:rsidRPr="000E280D" w:rsidRDefault="009155D1" w:rsidP="000E280D">
            <w:pPr>
              <w:autoSpaceDE w:val="0"/>
              <w:autoSpaceDN w:val="0"/>
              <w:adjustRightInd w:val="0"/>
              <w:snapToGrid w:val="0"/>
              <w:spacing w:before="0" w:after="0" w:line="240" w:lineRule="auto"/>
              <w:ind w:hanging="2"/>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331C788C" w14:textId="77777777" w:rsidR="009155D1" w:rsidRPr="000E280D" w:rsidRDefault="009155D1" w:rsidP="000E280D">
            <w:pPr>
              <w:autoSpaceDE w:val="0"/>
              <w:autoSpaceDN w:val="0"/>
              <w:adjustRightInd w:val="0"/>
              <w:snapToGrid w:val="0"/>
              <w:spacing w:before="0" w:after="0" w:line="240" w:lineRule="auto"/>
              <w:ind w:hanging="2"/>
              <w:jc w:val="left"/>
              <w:rPr>
                <w:rFonts w:cs="Arial"/>
                <w:bCs/>
                <w:sz w:val="16"/>
                <w:szCs w:val="16"/>
                <w:lang w:eastAsia="en-GB"/>
              </w:rPr>
            </w:pPr>
            <w:r w:rsidRPr="000E280D">
              <w:rPr>
                <w:rFonts w:cs="Arial"/>
                <w:bCs/>
                <w:sz w:val="16"/>
                <w:szCs w:val="16"/>
                <w:lang w:eastAsia="en-GB"/>
              </w:rPr>
              <w:t>Medium</w:t>
            </w:r>
          </w:p>
        </w:tc>
        <w:tc>
          <w:tcPr>
            <w:tcW w:w="1134" w:type="dxa"/>
            <w:tcBorders>
              <w:top w:val="single" w:sz="4" w:space="0" w:color="auto"/>
              <w:left w:val="single" w:sz="4" w:space="0" w:color="auto"/>
              <w:bottom w:val="single" w:sz="4" w:space="0" w:color="auto"/>
              <w:right w:val="single" w:sz="4" w:space="0" w:color="auto"/>
            </w:tcBorders>
            <w:hideMark/>
          </w:tcPr>
          <w:p w14:paraId="66496EF2" w14:textId="215DF458" w:rsidR="009155D1" w:rsidRPr="000E280D" w:rsidRDefault="00BF38B6" w:rsidP="000E280D">
            <w:pPr>
              <w:autoSpaceDE w:val="0"/>
              <w:autoSpaceDN w:val="0"/>
              <w:adjustRightInd w:val="0"/>
              <w:spacing w:before="0" w:after="0" w:line="240" w:lineRule="auto"/>
              <w:ind w:hanging="2"/>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2218D923" w14:textId="447D7F65" w:rsidR="00AC3EF4" w:rsidRDefault="00AC3EF4"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Pr>
                <w:rFonts w:eastAsia="Arial TUR" w:cs="Arial"/>
                <w:color w:val="000000"/>
                <w:sz w:val="16"/>
                <w:szCs w:val="16"/>
                <w:lang w:eastAsia="en-US"/>
              </w:rPr>
              <w:t>Labour Management Plan will be prepared for the construction phase of the Project.</w:t>
            </w:r>
          </w:p>
          <w:p w14:paraId="354A3687" w14:textId="18CD96A4" w:rsidR="000101C1" w:rsidRPr="00EE43C6" w:rsidRDefault="000101C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All workers will be issued written contract containing job description, work hours, salary, rights and duties, code of conduct, and information about GM for workers.</w:t>
            </w:r>
          </w:p>
          <w:p w14:paraId="2A321CD2" w14:textId="64629710"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Workers will be allowed to have access to the Grievance mechanism and will be required to be aware about this Mechanism.</w:t>
            </w:r>
          </w:p>
          <w:p w14:paraId="5F887523"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All workers will be given training on discrimination and codes of conduct. The trainings given to the employees will be explanatory about the concepts of sexual harassment and abuse, gender-based violence, abuse, and intervention with harassment. At the same time, through the trainings, it will be ensured that workers learn the Grievance mechanism of the Project (explained in detail in the Project's SEP document) and the steps to be followed in exercising their legal rights. Access to the Grievance mechanism will be easy and effective. The grievance mechanism officer designated for the Project will be announced to all employees during the trainings to be given before starting work. There will be brochures and posters containing the grievance mechanism and the contact information of the authorized person in places such as the cafeteria, canteen and service areas used by the employees.</w:t>
            </w:r>
          </w:p>
          <w:p w14:paraId="1102992F" w14:textId="706F67F2"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 xml:space="preserve">Minimum legal </w:t>
            </w:r>
            <w:r w:rsidR="00B23B6C" w:rsidRPr="00EE43C6">
              <w:rPr>
                <w:rFonts w:eastAsia="Arial TUR" w:cs="Arial"/>
                <w:color w:val="000000"/>
                <w:sz w:val="16"/>
                <w:szCs w:val="16"/>
                <w:lang w:eastAsia="en-US"/>
              </w:rPr>
              <w:t>labour</w:t>
            </w:r>
            <w:r w:rsidRPr="00EE43C6">
              <w:rPr>
                <w:rFonts w:eastAsia="Arial TUR" w:cs="Arial"/>
                <w:color w:val="000000"/>
                <w:sz w:val="16"/>
                <w:szCs w:val="16"/>
                <w:lang w:eastAsia="en-US"/>
              </w:rPr>
              <w:t xml:space="preserve"> standards will be met (child/forced </w:t>
            </w:r>
            <w:r w:rsidR="00B23B6C" w:rsidRPr="00EE43C6">
              <w:rPr>
                <w:rFonts w:eastAsia="Arial TUR" w:cs="Arial"/>
                <w:color w:val="000000"/>
                <w:sz w:val="16"/>
                <w:szCs w:val="16"/>
                <w:lang w:eastAsia="en-US"/>
              </w:rPr>
              <w:t>labour</w:t>
            </w:r>
            <w:r w:rsidRPr="00EE43C6">
              <w:rPr>
                <w:rFonts w:eastAsia="Arial TUR" w:cs="Arial"/>
                <w:color w:val="000000"/>
                <w:sz w:val="16"/>
                <w:szCs w:val="16"/>
                <w:lang w:eastAsia="en-US"/>
              </w:rPr>
              <w:t xml:space="preserve">, anti-discrimination, working hours, minimum wages) as per International </w:t>
            </w:r>
            <w:r w:rsidR="00B23B6C" w:rsidRPr="00EE43C6">
              <w:rPr>
                <w:rFonts w:eastAsia="Arial TUR" w:cs="Arial"/>
                <w:color w:val="000000"/>
                <w:sz w:val="16"/>
                <w:szCs w:val="16"/>
                <w:lang w:eastAsia="en-US"/>
              </w:rPr>
              <w:t>Labour</w:t>
            </w:r>
            <w:r w:rsidRPr="00EE43C6">
              <w:rPr>
                <w:rFonts w:eastAsia="Arial TUR" w:cs="Arial"/>
                <w:color w:val="000000"/>
                <w:sz w:val="16"/>
                <w:szCs w:val="16"/>
                <w:lang w:eastAsia="en-US"/>
              </w:rPr>
              <w:t xml:space="preserve"> Organization (ILO) regulations.</w:t>
            </w:r>
          </w:p>
          <w:p w14:paraId="2BBB4EE8" w14:textId="3D61D9D2"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 xml:space="preserve">At the same time, the Operational Policies of the World Bank given in Chapter 3 and the national legislation given in </w:t>
            </w:r>
            <w:r w:rsidRPr="00EE43C6">
              <w:rPr>
                <w:rFonts w:eastAsia="Arial TUR" w:cs="Arial"/>
                <w:color w:val="000000"/>
                <w:sz w:val="16"/>
                <w:szCs w:val="16"/>
                <w:lang w:eastAsia="en-US"/>
              </w:rPr>
              <w:fldChar w:fldCharType="begin"/>
            </w:r>
            <w:r w:rsidRPr="00EE43C6">
              <w:rPr>
                <w:rFonts w:eastAsia="Arial TUR" w:cs="Arial"/>
                <w:color w:val="000000"/>
                <w:sz w:val="16"/>
                <w:szCs w:val="16"/>
                <w:lang w:eastAsia="en-US"/>
              </w:rPr>
              <w:instrText xml:space="preserve"> REF _Ref118897310 \h  \* MERGEFORMAT </w:instrText>
            </w:r>
            <w:r w:rsidRPr="00EE43C6">
              <w:rPr>
                <w:rFonts w:eastAsia="Arial TUR" w:cs="Arial"/>
                <w:color w:val="000000"/>
                <w:sz w:val="16"/>
                <w:szCs w:val="16"/>
                <w:lang w:eastAsia="en-US"/>
              </w:rPr>
            </w:r>
            <w:r w:rsidRPr="00EE43C6">
              <w:rPr>
                <w:rFonts w:eastAsia="Arial TUR" w:cs="Arial"/>
                <w:color w:val="000000"/>
                <w:sz w:val="16"/>
                <w:szCs w:val="16"/>
                <w:lang w:eastAsia="en-US"/>
              </w:rPr>
              <w:fldChar w:fldCharType="separate"/>
            </w:r>
            <w:r w:rsidR="00CE3B94" w:rsidRPr="00EE43C6">
              <w:rPr>
                <w:rFonts w:eastAsia="Arial TUR" w:cs="Arial"/>
                <w:color w:val="000000"/>
                <w:sz w:val="16"/>
                <w:szCs w:val="16"/>
                <w:lang w:eastAsia="en-US"/>
              </w:rPr>
              <w:t>Table 3</w:t>
            </w:r>
            <w:r w:rsidR="00CE3B94" w:rsidRPr="00EE43C6">
              <w:rPr>
                <w:rFonts w:eastAsia="Arial TUR" w:cs="Arial"/>
                <w:color w:val="000000"/>
                <w:sz w:val="16"/>
                <w:szCs w:val="16"/>
                <w:lang w:eastAsia="en-US"/>
              </w:rPr>
              <w:noBreakHyphen/>
              <w:t>1</w:t>
            </w:r>
            <w:r w:rsidRPr="00EE43C6">
              <w:rPr>
                <w:rFonts w:eastAsia="Arial TUR" w:cs="Arial"/>
                <w:color w:val="000000"/>
                <w:sz w:val="16"/>
                <w:szCs w:val="16"/>
                <w:lang w:eastAsia="en-US"/>
              </w:rPr>
              <w:fldChar w:fldCharType="end"/>
            </w:r>
            <w:r w:rsidRPr="00EE43C6">
              <w:rPr>
                <w:rFonts w:eastAsia="Arial TUR" w:cs="Arial"/>
                <w:color w:val="000000"/>
                <w:sz w:val="16"/>
                <w:szCs w:val="16"/>
                <w:lang w:eastAsia="en-US"/>
              </w:rPr>
              <w:t xml:space="preserve"> will be complied with in terms of the working conditions.</w:t>
            </w:r>
          </w:p>
          <w:p w14:paraId="4BCEE1EA"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Workers will be provided hygienic and adequate facilities.</w:t>
            </w:r>
          </w:p>
          <w:p w14:paraId="5ABD9A5C"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 xml:space="preserve">Workers will be allowed to have access to primary healthcare on site, enabling the provision of prescriptions. </w:t>
            </w:r>
          </w:p>
          <w:p w14:paraId="7FD2C374" w14:textId="51DF97BE"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Calibri" w:cs="Arial"/>
                <w:color w:val="000000"/>
                <w:sz w:val="16"/>
                <w:szCs w:val="16"/>
                <w:lang w:eastAsia="en-US"/>
              </w:rPr>
              <w:lastRenderedPageBreak/>
              <w:t xml:space="preserve">Discrimination based on language, race, gender, political thought, philosophical </w:t>
            </w:r>
            <w:r w:rsidR="003C1527" w:rsidRPr="00EE43C6">
              <w:rPr>
                <w:rFonts w:eastAsia="Calibri" w:cs="Arial"/>
                <w:color w:val="000000"/>
                <w:sz w:val="16"/>
                <w:szCs w:val="16"/>
                <w:lang w:eastAsia="en-US"/>
              </w:rPr>
              <w:t>belief,</w:t>
            </w:r>
            <w:r w:rsidRPr="00EE43C6">
              <w:rPr>
                <w:rFonts w:eastAsia="Calibri" w:cs="Arial"/>
                <w:color w:val="000000"/>
                <w:sz w:val="16"/>
                <w:szCs w:val="16"/>
                <w:lang w:eastAsia="en-US"/>
              </w:rPr>
              <w:t xml:space="preserve"> and religion will be avoided in business relations.</w:t>
            </w:r>
          </w:p>
          <w:p w14:paraId="7F0A9C8C" w14:textId="1C7CFFE1" w:rsidR="00CD6A0C" w:rsidRPr="00EE43C6" w:rsidRDefault="00CD6A0C" w:rsidP="000E280D">
            <w:pPr>
              <w:autoSpaceDE w:val="0"/>
              <w:autoSpaceDN w:val="0"/>
              <w:adjustRightInd w:val="0"/>
              <w:spacing w:before="60" w:after="60" w:line="240" w:lineRule="auto"/>
              <w:ind w:left="113" w:right="113"/>
              <w:jc w:val="left"/>
              <w:rPr>
                <w:rFonts w:eastAsia="Arial TUR" w:cs="Arial"/>
                <w:color w:val="000000"/>
                <w:sz w:val="16"/>
                <w:szCs w:val="16"/>
                <w:lang w:eastAsia="en-US"/>
              </w:rPr>
            </w:pPr>
            <w:r w:rsidRPr="00EE43C6">
              <w:rPr>
                <w:rFonts w:eastAsia="Arial TUR" w:cs="Arial"/>
                <w:color w:val="000000"/>
                <w:sz w:val="16"/>
                <w:szCs w:val="16"/>
                <w:lang w:eastAsia="en-US"/>
              </w:rPr>
              <w:t xml:space="preserve">In addition, according to the Labour Management Procedure prepared for </w:t>
            </w:r>
            <w:r w:rsidR="00117757">
              <w:rPr>
                <w:rFonts w:eastAsia="Arial TUR" w:cs="Arial"/>
                <w:color w:val="000000"/>
                <w:sz w:val="16"/>
                <w:szCs w:val="16"/>
                <w:lang w:eastAsia="en-US"/>
              </w:rPr>
              <w:t>Türkiye</w:t>
            </w:r>
            <w:r w:rsidRPr="00EE43C6">
              <w:rPr>
                <w:rFonts w:eastAsia="Arial TUR" w:cs="Arial"/>
                <w:color w:val="000000"/>
                <w:sz w:val="16"/>
                <w:szCs w:val="16"/>
                <w:lang w:eastAsia="en-US"/>
              </w:rPr>
              <w:t xml:space="preserve"> Organised Industrial Zones Project;</w:t>
            </w:r>
          </w:p>
          <w:p w14:paraId="552497ED" w14:textId="77777777" w:rsidR="00CD6A0C" w:rsidRPr="00EE43C6" w:rsidRDefault="00CD6A0C"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Rest Breaks</w:t>
            </w:r>
          </w:p>
          <w:p w14:paraId="77E53CAE" w14:textId="77777777" w:rsidR="00CD6A0C" w:rsidRPr="00EE43C6" w:rsidRDefault="00CD6A0C"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Leaves,</w:t>
            </w:r>
          </w:p>
          <w:p w14:paraId="3055DA65" w14:textId="77777777" w:rsidR="00CD6A0C" w:rsidRPr="00EE43C6" w:rsidRDefault="00CD6A0C"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Overtime Work,</w:t>
            </w:r>
          </w:p>
          <w:p w14:paraId="68A81FD8" w14:textId="385E631E" w:rsidR="00CD6A0C" w:rsidRPr="00EE43C6" w:rsidRDefault="00CD6A0C"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 xml:space="preserve">Labour </w:t>
            </w:r>
            <w:r w:rsidR="002B3D63" w:rsidRPr="00EE43C6">
              <w:rPr>
                <w:rFonts w:eastAsia="Arial TUR" w:cs="Arial"/>
                <w:color w:val="000000"/>
                <w:sz w:val="16"/>
                <w:szCs w:val="16"/>
                <w:lang w:eastAsia="en-US"/>
              </w:rPr>
              <w:t>disputes</w:t>
            </w:r>
            <w:r w:rsidRPr="00EE43C6">
              <w:rPr>
                <w:rFonts w:eastAsia="Arial TUR" w:cs="Arial"/>
                <w:color w:val="000000"/>
                <w:sz w:val="16"/>
                <w:szCs w:val="16"/>
                <w:lang w:eastAsia="en-US"/>
              </w:rPr>
              <w:t>,</w:t>
            </w:r>
          </w:p>
          <w:p w14:paraId="14DA826E" w14:textId="77777777" w:rsidR="00CD6A0C" w:rsidRPr="00EE43C6" w:rsidRDefault="00CD6A0C"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Freedom of association,</w:t>
            </w:r>
          </w:p>
          <w:p w14:paraId="36D798C9" w14:textId="20DDB0B3" w:rsidR="009155D1" w:rsidRPr="00EE43C6" w:rsidRDefault="00CD6A0C"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Collecti</w:t>
            </w:r>
            <w:r w:rsidR="002B3D63" w:rsidRPr="00EE43C6">
              <w:rPr>
                <w:rFonts w:eastAsia="Arial TUR" w:cs="Arial"/>
                <w:color w:val="000000"/>
                <w:sz w:val="16"/>
                <w:szCs w:val="16"/>
                <w:lang w:eastAsia="en-US"/>
              </w:rPr>
              <w:t>v</w:t>
            </w:r>
            <w:r w:rsidRPr="00EE43C6">
              <w:rPr>
                <w:rFonts w:eastAsia="Arial TUR" w:cs="Arial"/>
                <w:color w:val="000000"/>
                <w:sz w:val="16"/>
                <w:szCs w:val="16"/>
                <w:lang w:eastAsia="en-US"/>
              </w:rPr>
              <w:t>e dismissal will be handled according to ESS2 and Turkish Labour Law-4857.</w:t>
            </w:r>
          </w:p>
        </w:tc>
        <w:tc>
          <w:tcPr>
            <w:tcW w:w="1418" w:type="dxa"/>
            <w:tcBorders>
              <w:top w:val="single" w:sz="4" w:space="0" w:color="auto"/>
              <w:left w:val="single" w:sz="4" w:space="0" w:color="auto"/>
              <w:bottom w:val="single" w:sz="4" w:space="0" w:color="auto"/>
              <w:right w:val="single" w:sz="4" w:space="0" w:color="auto"/>
            </w:tcBorders>
            <w:hideMark/>
          </w:tcPr>
          <w:p w14:paraId="080D16F0"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lastRenderedPageBreak/>
              <w:t>Contractor</w:t>
            </w:r>
          </w:p>
          <w:p w14:paraId="7935A656" w14:textId="13217E56" w:rsidR="009155D1" w:rsidRPr="00EE43C6" w:rsidRDefault="00CB7D7D"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1A3B3771" w14:textId="1AD9FF88"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6CCAA9D0" w14:textId="362F24B2"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cs="Arial"/>
                <w:color w:val="000000"/>
                <w:sz w:val="16"/>
                <w:szCs w:val="16"/>
                <w:lang w:eastAsia="tr-TR"/>
              </w:rPr>
              <w:t xml:space="preserve">Number </w:t>
            </w:r>
            <w:r w:rsidR="00661EA4">
              <w:rPr>
                <w:rFonts w:cs="Arial"/>
                <w:color w:val="000000"/>
                <w:sz w:val="16"/>
                <w:szCs w:val="16"/>
                <w:lang w:eastAsia="tr-TR"/>
              </w:rPr>
              <w:t xml:space="preserve">and nature </w:t>
            </w:r>
            <w:r w:rsidRPr="00EE43C6">
              <w:rPr>
                <w:rFonts w:cs="Arial"/>
                <w:color w:val="000000"/>
                <w:sz w:val="16"/>
                <w:szCs w:val="16"/>
                <w:lang w:eastAsia="tr-TR"/>
              </w:rPr>
              <w:t xml:space="preserve">of grievances </w:t>
            </w:r>
          </w:p>
          <w:p w14:paraId="35E18082"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cs="Arial"/>
                <w:color w:val="000000"/>
                <w:sz w:val="16"/>
                <w:szCs w:val="16"/>
                <w:lang w:eastAsia="tr-TR"/>
              </w:rPr>
              <w:t>Percentage of closed grievances within the target timeframe</w:t>
            </w:r>
          </w:p>
        </w:tc>
      </w:tr>
      <w:tr w:rsidR="009155D1" w:rsidRPr="00EE43C6" w14:paraId="7DDFCEE6"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0861E83C" w14:textId="77777777" w:rsidR="009155D1" w:rsidRPr="00EE43C6" w:rsidRDefault="009155D1" w:rsidP="00A10195">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C6</w:t>
            </w:r>
          </w:p>
        </w:tc>
        <w:tc>
          <w:tcPr>
            <w:tcW w:w="1559" w:type="dxa"/>
            <w:tcBorders>
              <w:top w:val="single" w:sz="4" w:space="0" w:color="auto"/>
              <w:left w:val="single" w:sz="4" w:space="0" w:color="auto"/>
              <w:bottom w:val="single" w:sz="4" w:space="0" w:color="auto"/>
              <w:right w:val="single" w:sz="4" w:space="0" w:color="auto"/>
            </w:tcBorders>
            <w:hideMark/>
          </w:tcPr>
          <w:p w14:paraId="2F170736" w14:textId="77777777" w:rsidR="009155D1" w:rsidRPr="00EE43C6" w:rsidRDefault="009155D1" w:rsidP="00A10195">
            <w:pPr>
              <w:spacing w:before="0" w:after="0" w:line="240" w:lineRule="auto"/>
              <w:jc w:val="left"/>
              <w:rPr>
                <w:rFonts w:cs="Arial"/>
                <w:sz w:val="16"/>
                <w:szCs w:val="16"/>
                <w:lang w:eastAsia="en-GB"/>
              </w:rPr>
            </w:pPr>
            <w:r w:rsidRPr="00EE43C6">
              <w:rPr>
                <w:rFonts w:cs="Arial"/>
                <w:b/>
                <w:bCs/>
                <w:sz w:val="16"/>
                <w:szCs w:val="16"/>
                <w:lang w:eastAsia="en-GB"/>
              </w:rPr>
              <w:t>Community Health and Safety</w:t>
            </w:r>
          </w:p>
        </w:tc>
        <w:tc>
          <w:tcPr>
            <w:tcW w:w="1276" w:type="dxa"/>
            <w:tcBorders>
              <w:top w:val="single" w:sz="4" w:space="0" w:color="auto"/>
              <w:left w:val="single" w:sz="4" w:space="0" w:color="auto"/>
              <w:bottom w:val="single" w:sz="4" w:space="0" w:color="auto"/>
              <w:right w:val="single" w:sz="4" w:space="0" w:color="auto"/>
            </w:tcBorders>
            <w:noWrap/>
            <w:hideMark/>
          </w:tcPr>
          <w:p w14:paraId="217C6C0D"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Community health and safety risks</w:t>
            </w:r>
          </w:p>
        </w:tc>
        <w:tc>
          <w:tcPr>
            <w:tcW w:w="851" w:type="dxa"/>
            <w:tcBorders>
              <w:top w:val="single" w:sz="4" w:space="0" w:color="auto"/>
              <w:left w:val="single" w:sz="4" w:space="0" w:color="auto"/>
              <w:bottom w:val="single" w:sz="4" w:space="0" w:color="auto"/>
              <w:right w:val="single" w:sz="4" w:space="0" w:color="auto"/>
            </w:tcBorders>
            <w:noWrap/>
            <w:hideMark/>
          </w:tcPr>
          <w:p w14:paraId="3D49E280" w14:textId="77777777" w:rsidR="009155D1" w:rsidRPr="000E280D" w:rsidRDefault="009155D1" w:rsidP="000E280D">
            <w:pPr>
              <w:autoSpaceDE w:val="0"/>
              <w:autoSpaceDN w:val="0"/>
              <w:adjustRightInd w:val="0"/>
              <w:snapToGri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56830FAE" w14:textId="77777777" w:rsidR="009155D1" w:rsidRPr="000E280D" w:rsidRDefault="009155D1" w:rsidP="000E280D">
            <w:pPr>
              <w:autoSpaceDE w:val="0"/>
              <w:autoSpaceDN w:val="0"/>
              <w:adjustRightInd w:val="0"/>
              <w:snapToGrid w:val="0"/>
              <w:spacing w:before="0" w:after="0" w:line="240" w:lineRule="auto"/>
              <w:jc w:val="left"/>
              <w:rPr>
                <w:rFonts w:cs="Arial"/>
                <w:bCs/>
                <w:sz w:val="16"/>
                <w:szCs w:val="16"/>
                <w:lang w:eastAsia="en-GB"/>
              </w:rPr>
            </w:pPr>
            <w:r w:rsidRPr="000E280D">
              <w:rPr>
                <w:rFonts w:cs="Arial"/>
                <w:bCs/>
                <w:sz w:val="16"/>
                <w:szCs w:val="16"/>
                <w:lang w:eastAsia="en-GB"/>
              </w:rPr>
              <w:t>Medium</w:t>
            </w:r>
          </w:p>
        </w:tc>
        <w:tc>
          <w:tcPr>
            <w:tcW w:w="1134" w:type="dxa"/>
            <w:tcBorders>
              <w:top w:val="single" w:sz="4" w:space="0" w:color="auto"/>
              <w:left w:val="single" w:sz="4" w:space="0" w:color="auto"/>
              <w:bottom w:val="single" w:sz="4" w:space="0" w:color="auto"/>
              <w:right w:val="single" w:sz="4" w:space="0" w:color="auto"/>
            </w:tcBorders>
            <w:hideMark/>
          </w:tcPr>
          <w:p w14:paraId="7CFD757A" w14:textId="69089C19"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469F76BB" w14:textId="2EDF75EC" w:rsidR="00AC3EF4" w:rsidRPr="00AC3EF4" w:rsidRDefault="00AC3EF4" w:rsidP="000E280D">
            <w:pPr>
              <w:numPr>
                <w:ilvl w:val="0"/>
                <w:numId w:val="7"/>
              </w:numPr>
              <w:spacing w:before="60" w:after="60" w:line="240" w:lineRule="auto"/>
              <w:ind w:left="113" w:right="113" w:hanging="180"/>
              <w:jc w:val="left"/>
              <w:rPr>
                <w:rFonts w:eastAsia="Arial TUR" w:cs="Arial"/>
                <w:color w:val="000000"/>
                <w:sz w:val="16"/>
                <w:szCs w:val="16"/>
                <w:lang w:eastAsia="en-US"/>
              </w:rPr>
            </w:pPr>
            <w:r>
              <w:rPr>
                <w:rFonts w:eastAsia="Arial TUR" w:cs="Arial"/>
                <w:color w:val="000000"/>
                <w:sz w:val="16"/>
                <w:szCs w:val="16"/>
                <w:lang w:eastAsia="en-US"/>
              </w:rPr>
              <w:t>Community Health, Safety and Security Management Plan will be developed and implemented for the construction phase of the Project.</w:t>
            </w:r>
          </w:p>
          <w:p w14:paraId="2290BF69" w14:textId="5A068169"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To minimize the impact of the traffic activities that are expected to intensify during the construction phase, the working hours will be adjusted according to the peak hours of transportation.</w:t>
            </w:r>
          </w:p>
          <w:p w14:paraId="260BDCD0"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Special crossings will be created by taking additional measures for the elderly, pregnant women, people with small children and the disabled.</w:t>
            </w:r>
          </w:p>
          <w:p w14:paraId="23420062" w14:textId="304DF96B" w:rsidR="00F53E24" w:rsidRPr="00EE43C6" w:rsidRDefault="00F53E24"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F53E24">
              <w:rPr>
                <w:rFonts w:eastAsia="Arial TUR" w:cs="Arial"/>
                <w:color w:val="000000"/>
                <w:sz w:val="16"/>
                <w:szCs w:val="16"/>
                <w:lang w:eastAsia="en-US"/>
              </w:rPr>
              <w:t>Relevant stakeholders will be consulted to determine a common working strategy for construction activities to be carried out on the route of areas such as schools and hospitals.</w:t>
            </w:r>
          </w:p>
          <w:p w14:paraId="5E9F076E" w14:textId="315E3991" w:rsidR="0029787D" w:rsidRPr="00EE43C6" w:rsidRDefault="0029787D"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29787D">
              <w:rPr>
                <w:rFonts w:eastAsia="Arial TUR" w:cs="Arial"/>
                <w:color w:val="000000"/>
                <w:sz w:val="16"/>
                <w:szCs w:val="16"/>
                <w:lang w:eastAsia="en-US"/>
              </w:rPr>
              <w:t>Construction activities to be carried out in front of or around hospitals and/or health institutions will be planned in a way that does not prevent the public from accessing these services.</w:t>
            </w:r>
          </w:p>
          <w:p w14:paraId="589C692D" w14:textId="7AD14C52" w:rsidR="00A07B01" w:rsidRPr="00EE43C6" w:rsidRDefault="00A07B0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A07B01">
              <w:rPr>
                <w:rFonts w:eastAsia="Arial TUR" w:cs="Arial"/>
                <w:color w:val="000000"/>
                <w:sz w:val="16"/>
                <w:szCs w:val="16"/>
                <w:lang w:eastAsia="en-US"/>
              </w:rPr>
              <w:t>During construction works, intersections will be added to existing roads and road widening works will be carried out.</w:t>
            </w:r>
          </w:p>
          <w:p w14:paraId="198347FA" w14:textId="77777777" w:rsidR="0008358B" w:rsidRPr="00EE43C6" w:rsidRDefault="0008358B" w:rsidP="000E280D">
            <w:pPr>
              <w:numPr>
                <w:ilvl w:val="0"/>
                <w:numId w:val="7"/>
              </w:numPr>
              <w:spacing w:before="60" w:after="60" w:line="240" w:lineRule="auto"/>
              <w:ind w:left="113" w:right="113" w:hanging="181"/>
              <w:jc w:val="left"/>
              <w:rPr>
                <w:rFonts w:eastAsia="Arial TUR" w:cs="Arial"/>
                <w:color w:val="000000"/>
                <w:sz w:val="16"/>
                <w:szCs w:val="16"/>
                <w:lang w:eastAsia="en-US"/>
              </w:rPr>
            </w:pPr>
          </w:p>
          <w:p w14:paraId="3022DDD9"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 xml:space="preserve">The project area will be fenced to avoid physical hazards to the communities associated with the Project. </w:t>
            </w:r>
          </w:p>
          <w:p w14:paraId="44A58FD8" w14:textId="266EEC96"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 xml:space="preserve">Contractors will take necessary health and safety measures, such as using appropriate warning signs and signboards, arranging time schedule of noisy works (mostly after 9:00 AM </w:t>
            </w:r>
            <w:r w:rsidRPr="00EE43C6">
              <w:rPr>
                <w:rFonts w:eastAsia="Arial TUR" w:cs="Arial"/>
                <w:color w:val="000000"/>
                <w:sz w:val="16"/>
                <w:szCs w:val="16"/>
                <w:lang w:eastAsia="en-US"/>
              </w:rPr>
              <w:lastRenderedPageBreak/>
              <w:t xml:space="preserve">before 6 PM), making the regular maintenance of the machinery, replacement or repairment of part which cause noise and performing watering in dry seasons, under the management of the </w:t>
            </w:r>
            <w:r w:rsidR="00B561CF" w:rsidRPr="00EE43C6">
              <w:rPr>
                <w:rFonts w:eastAsia="Arial TUR" w:cs="Arial"/>
                <w:color w:val="000000"/>
                <w:sz w:val="16"/>
                <w:szCs w:val="16"/>
                <w:lang w:eastAsia="en-US"/>
              </w:rPr>
              <w:t>TUIOSB</w:t>
            </w:r>
            <w:r w:rsidRPr="00EE43C6">
              <w:rPr>
                <w:rFonts w:eastAsia="Arial TUR" w:cs="Arial"/>
                <w:color w:val="000000"/>
                <w:sz w:val="16"/>
                <w:szCs w:val="16"/>
                <w:lang w:eastAsia="en-US"/>
              </w:rPr>
              <w:t xml:space="preserve"> during site preparation and construction activities so that the public is informed of the construction plan and locations in a timely manner and the construction sites are determined.</w:t>
            </w:r>
          </w:p>
          <w:p w14:paraId="1E8C2C49"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Care will be taken to ensure that warning signs are visible at night and in bad weather conditions.</w:t>
            </w:r>
          </w:p>
          <w:p w14:paraId="028BA5B2"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The adequate number of appropriate firefighting equipment will be kept available at construction sites at all times.</w:t>
            </w:r>
          </w:p>
          <w:p w14:paraId="4260417B"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An emergency action plan will be prepared and implemented in order to be able to take and manage measures to protect public health and safety. Project employees, local people and response teams will be informed about this plan.</w:t>
            </w:r>
          </w:p>
          <w:p w14:paraId="01BCDEC9"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Local people will be informed about possible dangers and precautions to be taken with brochures that will be placed on signs and notice boards to be hung in various areas in the neighbourhood.</w:t>
            </w:r>
          </w:p>
          <w:p w14:paraId="45BB79FE"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Detailed information on the use of the Grievance mechanism and contact information on the grievance mechanism officer will be made available to the public. (via the project website, information brochures left at the Headmen offices, posters and hand brochures in places such as schools, health centres, hospitals, mosques, which are the common areas used by the community intensively).</w:t>
            </w:r>
          </w:p>
          <w:p w14:paraId="4B5DD692" w14:textId="77777777" w:rsidR="009155D1" w:rsidRPr="00B57AF4"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Calibri" w:cs="Arial"/>
                <w:color w:val="000000"/>
                <w:sz w:val="16"/>
                <w:szCs w:val="16"/>
                <w:lang w:eastAsia="en-US"/>
              </w:rPr>
              <w:t>Damages that may occur on the road surfaces due to traffic caused by heavy construction machinery during construction works on existing roads will be repaired by the contractor. In case of any damage to infrastructure elements on private lands due to construction activities, mitigation measures will be taken by the contractor.</w:t>
            </w:r>
          </w:p>
          <w:p w14:paraId="19A82188" w14:textId="1B24A6F8" w:rsidR="00470C28" w:rsidRPr="00EE43C6" w:rsidRDefault="00470C28"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470C28">
              <w:rPr>
                <w:rFonts w:eastAsia="Arial TUR" w:cs="Arial"/>
                <w:color w:val="000000"/>
                <w:sz w:val="16"/>
                <w:szCs w:val="16"/>
                <w:lang w:eastAsia="en-US"/>
              </w:rPr>
              <w:t>In order to make a clear assessment, the current condition of roads and existing infrastructure can be documented (e.g. by photographs) by the contractor prior to the start of construction works.</w:t>
            </w:r>
          </w:p>
          <w:p w14:paraId="4443EF39" w14:textId="69FD7834" w:rsidR="009155D1" w:rsidRPr="00EE43C6" w:rsidRDefault="00E92D79"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cs="Arial"/>
                <w:color w:val="000000"/>
                <w:sz w:val="16"/>
                <w:szCs w:val="16"/>
              </w:rPr>
              <w:t>Trainings will be provided to Project staff on risks such as SEA/SH.</w:t>
            </w:r>
          </w:p>
        </w:tc>
        <w:tc>
          <w:tcPr>
            <w:tcW w:w="1418" w:type="dxa"/>
            <w:tcBorders>
              <w:top w:val="single" w:sz="4" w:space="0" w:color="auto"/>
              <w:left w:val="single" w:sz="4" w:space="0" w:color="auto"/>
              <w:bottom w:val="single" w:sz="4" w:space="0" w:color="auto"/>
              <w:right w:val="single" w:sz="4" w:space="0" w:color="auto"/>
            </w:tcBorders>
            <w:hideMark/>
          </w:tcPr>
          <w:p w14:paraId="7D3D4867"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lastRenderedPageBreak/>
              <w:t>Contractor</w:t>
            </w:r>
          </w:p>
          <w:p w14:paraId="330F8A6F" w14:textId="5D2B20FB" w:rsidR="009155D1" w:rsidRPr="00EE43C6" w:rsidRDefault="00CB7D7D"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763E9744" w14:textId="57CF002D"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5A3E0ED4"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Number of communicable and non-communicable diseases and injuries experienced.</w:t>
            </w:r>
          </w:p>
          <w:p w14:paraId="19CBB010"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Number of community health safety &amp; security complaints from local communities as recorded in the grievance register.</w:t>
            </w:r>
          </w:p>
          <w:p w14:paraId="362E0F82"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Number of reported community health &amp; safety incidents</w:t>
            </w:r>
          </w:p>
          <w:p w14:paraId="2015C2D3" w14:textId="77777777" w:rsidR="009155D1" w:rsidRPr="00EE43C6" w:rsidRDefault="009155D1" w:rsidP="000E280D">
            <w:pPr>
              <w:numPr>
                <w:ilvl w:val="0"/>
                <w:numId w:val="7"/>
              </w:numPr>
              <w:spacing w:before="60" w:after="60" w:line="240" w:lineRule="auto"/>
              <w:ind w:left="113" w:right="113" w:hanging="181"/>
              <w:jc w:val="left"/>
              <w:rPr>
                <w:rFonts w:eastAsia="Arial TUR" w:cs="Arial"/>
                <w:sz w:val="16"/>
                <w:szCs w:val="16"/>
                <w:lang w:eastAsia="en-US"/>
              </w:rPr>
            </w:pPr>
            <w:r w:rsidRPr="00EE43C6">
              <w:rPr>
                <w:rFonts w:eastAsia="Calibri" w:cs="Arial"/>
                <w:color w:val="000000"/>
                <w:sz w:val="16"/>
                <w:szCs w:val="16"/>
                <w:lang w:eastAsia="en-US"/>
              </w:rPr>
              <w:t>Number of reported noise incidents</w:t>
            </w:r>
          </w:p>
        </w:tc>
      </w:tr>
      <w:tr w:rsidR="009155D1" w:rsidRPr="00EE43C6" w14:paraId="46D1527C" w14:textId="77777777" w:rsidTr="000E280D">
        <w:trPr>
          <w:jc w:val="center"/>
        </w:trPr>
        <w:tc>
          <w:tcPr>
            <w:tcW w:w="562" w:type="dxa"/>
            <w:tcBorders>
              <w:top w:val="single" w:sz="4" w:space="0" w:color="auto"/>
              <w:left w:val="single" w:sz="4" w:space="0" w:color="auto"/>
              <w:bottom w:val="single" w:sz="4" w:space="0" w:color="auto"/>
              <w:right w:val="single" w:sz="4" w:space="0" w:color="auto"/>
            </w:tcBorders>
            <w:hideMark/>
          </w:tcPr>
          <w:p w14:paraId="0E113AE1" w14:textId="77777777" w:rsidR="009155D1" w:rsidRPr="00EE43C6" w:rsidRDefault="009155D1" w:rsidP="00A10195">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C7</w:t>
            </w:r>
          </w:p>
        </w:tc>
        <w:tc>
          <w:tcPr>
            <w:tcW w:w="1559" w:type="dxa"/>
            <w:tcBorders>
              <w:top w:val="single" w:sz="4" w:space="0" w:color="auto"/>
              <w:left w:val="single" w:sz="4" w:space="0" w:color="auto"/>
              <w:bottom w:val="single" w:sz="4" w:space="0" w:color="auto"/>
              <w:right w:val="single" w:sz="4" w:space="0" w:color="auto"/>
            </w:tcBorders>
            <w:hideMark/>
          </w:tcPr>
          <w:p w14:paraId="460C7DD0" w14:textId="0773B339" w:rsidR="009155D1" w:rsidRPr="00EE43C6" w:rsidRDefault="009155D1" w:rsidP="00A10195">
            <w:pPr>
              <w:spacing w:before="0" w:after="0" w:line="240" w:lineRule="auto"/>
              <w:ind w:left="113"/>
              <w:jc w:val="left"/>
              <w:rPr>
                <w:rFonts w:cs="Arial"/>
                <w:b/>
                <w:sz w:val="16"/>
                <w:szCs w:val="16"/>
                <w:lang w:eastAsia="en-GB"/>
              </w:rPr>
            </w:pPr>
            <w:r w:rsidRPr="00EE43C6">
              <w:rPr>
                <w:rFonts w:cs="Arial"/>
                <w:b/>
                <w:bCs/>
                <w:sz w:val="16"/>
                <w:szCs w:val="16"/>
                <w:lang w:eastAsia="en-GB"/>
              </w:rPr>
              <w:t>Land Use</w:t>
            </w:r>
            <w:r w:rsidR="00573669" w:rsidRPr="00EE43C6">
              <w:rPr>
                <w:rFonts w:cs="Arial"/>
                <w:b/>
                <w:bCs/>
                <w:sz w:val="16"/>
                <w:szCs w:val="16"/>
                <w:lang w:eastAsia="en-GB"/>
              </w:rPr>
              <w:t xml:space="preserve"> and Soil Quality</w:t>
            </w:r>
          </w:p>
        </w:tc>
        <w:tc>
          <w:tcPr>
            <w:tcW w:w="1276" w:type="dxa"/>
            <w:tcBorders>
              <w:top w:val="single" w:sz="4" w:space="0" w:color="auto"/>
              <w:left w:val="single" w:sz="4" w:space="0" w:color="auto"/>
              <w:bottom w:val="single" w:sz="4" w:space="0" w:color="auto"/>
              <w:right w:val="single" w:sz="4" w:space="0" w:color="auto"/>
            </w:tcBorders>
            <w:noWrap/>
            <w:hideMark/>
          </w:tcPr>
          <w:p w14:paraId="6843779E" w14:textId="77777777" w:rsidR="009155D1" w:rsidRPr="00EE43C6" w:rsidRDefault="009155D1" w:rsidP="00A10195">
            <w:pPr>
              <w:spacing w:before="0" w:after="0" w:line="240" w:lineRule="auto"/>
              <w:ind w:right="-109"/>
              <w:jc w:val="left"/>
              <w:rPr>
                <w:rFonts w:eastAsia="Arial TUR" w:cs="Arial"/>
                <w:sz w:val="16"/>
                <w:szCs w:val="16"/>
                <w:lang w:eastAsia="en-US"/>
              </w:rPr>
            </w:pPr>
            <w:r w:rsidRPr="00EE43C6">
              <w:rPr>
                <w:rFonts w:eastAsia="Calibri" w:cs="Arial"/>
                <w:bCs/>
                <w:color w:val="000000"/>
                <w:sz w:val="16"/>
                <w:szCs w:val="16"/>
                <w:lang w:eastAsia="tr-TR"/>
              </w:rPr>
              <w:t>Damages to adjacent lands and structures</w:t>
            </w:r>
          </w:p>
        </w:tc>
        <w:tc>
          <w:tcPr>
            <w:tcW w:w="851" w:type="dxa"/>
            <w:tcBorders>
              <w:top w:val="single" w:sz="4" w:space="0" w:color="auto"/>
              <w:left w:val="single" w:sz="4" w:space="0" w:color="auto"/>
              <w:bottom w:val="single" w:sz="4" w:space="0" w:color="auto"/>
              <w:right w:val="single" w:sz="4" w:space="0" w:color="auto"/>
            </w:tcBorders>
            <w:noWrap/>
            <w:hideMark/>
          </w:tcPr>
          <w:p w14:paraId="7F50C72E" w14:textId="77777777" w:rsidR="009155D1" w:rsidRPr="00EE43C6" w:rsidRDefault="009155D1" w:rsidP="00A10195">
            <w:pPr>
              <w:snapToGrid w:val="0"/>
              <w:spacing w:before="0" w:after="0" w:line="240" w:lineRule="auto"/>
              <w:ind w:left="113" w:right="113"/>
              <w:jc w:val="left"/>
              <w:rPr>
                <w:rFonts w:cs="Arial"/>
                <w:color w:val="000000"/>
                <w:sz w:val="16"/>
                <w:szCs w:val="16"/>
                <w:lang w:eastAsia="tr-TR"/>
              </w:rPr>
            </w:pPr>
            <w:r w:rsidRPr="00EE43C6">
              <w:rPr>
                <w:rFonts w:cs="Arial"/>
                <w:bCs/>
                <w:color w:val="000000"/>
                <w:sz w:val="16"/>
                <w:szCs w:val="16"/>
                <w:lang w:eastAsia="tr-TR"/>
              </w:rPr>
              <w:t>Adverse</w:t>
            </w:r>
          </w:p>
        </w:tc>
        <w:tc>
          <w:tcPr>
            <w:tcW w:w="1276" w:type="dxa"/>
            <w:tcBorders>
              <w:top w:val="single" w:sz="4" w:space="0" w:color="auto"/>
              <w:left w:val="single" w:sz="4" w:space="0" w:color="auto"/>
              <w:bottom w:val="single" w:sz="4" w:space="0" w:color="auto"/>
              <w:right w:val="single" w:sz="4" w:space="0" w:color="auto"/>
            </w:tcBorders>
            <w:hideMark/>
          </w:tcPr>
          <w:p w14:paraId="58F6274C" w14:textId="087A377B" w:rsidR="009155D1" w:rsidRPr="00EE43C6" w:rsidRDefault="00FD5097" w:rsidP="00A10195">
            <w:pPr>
              <w:snapToGrid w:val="0"/>
              <w:spacing w:before="0" w:after="0" w:line="240" w:lineRule="auto"/>
              <w:ind w:left="113" w:right="113"/>
              <w:jc w:val="left"/>
              <w:rPr>
                <w:rFonts w:cs="Arial"/>
                <w:color w:val="000000"/>
                <w:sz w:val="16"/>
                <w:szCs w:val="16"/>
                <w:lang w:eastAsia="tr-TR"/>
              </w:rPr>
            </w:pPr>
            <w:r w:rsidRPr="00EE43C6">
              <w:rPr>
                <w:rFonts w:cs="Arial"/>
                <w:bCs/>
                <w:color w:val="000000"/>
                <w:sz w:val="16"/>
                <w:szCs w:val="16"/>
                <w:lang w:eastAsia="tr-TR"/>
              </w:rPr>
              <w:t>High</w:t>
            </w:r>
          </w:p>
        </w:tc>
        <w:tc>
          <w:tcPr>
            <w:tcW w:w="1134" w:type="dxa"/>
            <w:tcBorders>
              <w:top w:val="single" w:sz="4" w:space="0" w:color="auto"/>
              <w:left w:val="single" w:sz="4" w:space="0" w:color="auto"/>
              <w:bottom w:val="single" w:sz="4" w:space="0" w:color="auto"/>
              <w:right w:val="single" w:sz="4" w:space="0" w:color="auto"/>
            </w:tcBorders>
            <w:hideMark/>
          </w:tcPr>
          <w:p w14:paraId="764E648D" w14:textId="0A5960CC" w:rsidR="009155D1" w:rsidRPr="00EE43C6" w:rsidRDefault="00BF38B6" w:rsidP="00A10195">
            <w:pPr>
              <w:spacing w:before="0" w:after="0" w:line="240" w:lineRule="auto"/>
              <w:ind w:left="113" w:right="113"/>
              <w:jc w:val="left"/>
              <w:rPr>
                <w:rFonts w:eastAsia="Arial TUR" w:cs="Arial"/>
                <w:sz w:val="16"/>
                <w:szCs w:val="16"/>
                <w:lang w:eastAsia="en-US"/>
              </w:rPr>
            </w:pPr>
            <w:r w:rsidRPr="00EE43C6">
              <w:rPr>
                <w:rFonts w:cs="Arial"/>
                <w:color w:val="000000"/>
                <w:sz w:val="16"/>
                <w:szCs w:val="16"/>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0953E113" w14:textId="2A70C415" w:rsidR="006177D4" w:rsidRPr="00C213BF" w:rsidRDefault="00DC016D"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7178AC">
              <w:rPr>
                <w:rFonts w:eastAsiaTheme="minorHAnsi"/>
                <w:sz w:val="16"/>
                <w:szCs w:val="16"/>
                <w:lang w:eastAsia="en-US"/>
              </w:rPr>
              <w:t xml:space="preserve">As spot fuel and oil spills were observed at relevant area, </w:t>
            </w:r>
            <w:r w:rsidR="006177D4">
              <w:rPr>
                <w:rFonts w:eastAsiaTheme="minorHAnsi"/>
                <w:sz w:val="16"/>
                <w:szCs w:val="16"/>
                <w:lang w:eastAsia="en-US"/>
              </w:rPr>
              <w:t xml:space="preserve">the TUIOSB will </w:t>
            </w:r>
            <w:r w:rsidRPr="007178AC">
              <w:rPr>
                <w:rFonts w:eastAsiaTheme="minorHAnsi"/>
                <w:sz w:val="16"/>
                <w:szCs w:val="16"/>
                <w:lang w:eastAsia="en-US"/>
              </w:rPr>
              <w:t xml:space="preserve">take a total of 10 soil samples </w:t>
            </w:r>
            <w:r w:rsidR="001403A2">
              <w:rPr>
                <w:rFonts w:eastAsiaTheme="minorHAnsi"/>
                <w:sz w:val="16"/>
                <w:szCs w:val="16"/>
                <w:lang w:eastAsia="en-US"/>
              </w:rPr>
              <w:t>(</w:t>
            </w:r>
            <w:r w:rsidRPr="007178AC">
              <w:rPr>
                <w:rFonts w:eastAsiaTheme="minorHAnsi"/>
                <w:sz w:val="16"/>
                <w:szCs w:val="16"/>
                <w:lang w:eastAsia="en-US"/>
              </w:rPr>
              <w:t xml:space="preserve">one at 0-30 cm </w:t>
            </w:r>
            <w:r w:rsidRPr="007178AC">
              <w:rPr>
                <w:rFonts w:eastAsiaTheme="minorHAnsi"/>
                <w:sz w:val="16"/>
                <w:szCs w:val="16"/>
                <w:lang w:eastAsia="en-US"/>
              </w:rPr>
              <w:lastRenderedPageBreak/>
              <w:t>and the other at 80-100 cm depths</w:t>
            </w:r>
            <w:r w:rsidR="001403A2">
              <w:rPr>
                <w:rFonts w:eastAsiaTheme="minorHAnsi"/>
                <w:sz w:val="16"/>
                <w:szCs w:val="16"/>
                <w:lang w:eastAsia="en-US"/>
              </w:rPr>
              <w:t>)</w:t>
            </w:r>
            <w:r w:rsidRPr="007178AC">
              <w:rPr>
                <w:rFonts w:eastAsiaTheme="minorHAnsi"/>
                <w:sz w:val="16"/>
                <w:szCs w:val="16"/>
                <w:lang w:eastAsia="en-US"/>
              </w:rPr>
              <w:t xml:space="preserve"> two (2) from each of the five (5) points in </w:t>
            </w:r>
            <w:r w:rsidR="009B1306" w:rsidRPr="009B1306">
              <w:rPr>
                <w:rFonts w:eastAsiaTheme="minorHAnsi"/>
                <w:sz w:val="16"/>
                <w:szCs w:val="16"/>
                <w:lang w:eastAsia="en-US"/>
              </w:rPr>
              <w:t xml:space="preserve">Lot 105 of the Project Area </w:t>
            </w:r>
            <w:r w:rsidRPr="007178AC">
              <w:rPr>
                <w:rFonts w:eastAsiaTheme="minorHAnsi"/>
                <w:sz w:val="16"/>
                <w:szCs w:val="16"/>
                <w:lang w:eastAsia="en-US"/>
              </w:rPr>
              <w:t xml:space="preserve">to be able to assess possible soil contamination in accordance with Regulation on Control of Soil Pollution and Point Source Contaminated Lands (see </w:t>
            </w:r>
            <w:r w:rsidRPr="007178AC">
              <w:rPr>
                <w:rFonts w:eastAsiaTheme="minorHAnsi"/>
                <w:sz w:val="16"/>
                <w:szCs w:val="16"/>
                <w:lang w:eastAsia="en-US"/>
              </w:rPr>
              <w:fldChar w:fldCharType="begin"/>
            </w:r>
            <w:r w:rsidRPr="007178AC">
              <w:rPr>
                <w:rFonts w:eastAsiaTheme="minorHAnsi"/>
                <w:sz w:val="16"/>
                <w:szCs w:val="16"/>
                <w:lang w:eastAsia="en-US"/>
              </w:rPr>
              <w:instrText xml:space="preserve"> REF _Ref136333735 \h </w:instrText>
            </w:r>
            <w:r w:rsidR="000E280D">
              <w:rPr>
                <w:rFonts w:eastAsiaTheme="minorHAnsi"/>
                <w:sz w:val="16"/>
                <w:szCs w:val="16"/>
                <w:lang w:eastAsia="en-US"/>
              </w:rPr>
              <w:instrText xml:space="preserve"> \* MERGEFORMAT </w:instrText>
            </w:r>
            <w:r w:rsidRPr="007178AC">
              <w:rPr>
                <w:rFonts w:eastAsiaTheme="minorHAnsi"/>
                <w:sz w:val="16"/>
                <w:szCs w:val="16"/>
                <w:lang w:eastAsia="en-US"/>
              </w:rPr>
            </w:r>
            <w:r w:rsidRPr="007178AC">
              <w:rPr>
                <w:rFonts w:eastAsiaTheme="minorHAnsi"/>
                <w:sz w:val="16"/>
                <w:szCs w:val="16"/>
                <w:lang w:eastAsia="en-US"/>
              </w:rPr>
              <w:fldChar w:fldCharType="separate"/>
            </w:r>
            <w:r w:rsidRPr="007178AC">
              <w:rPr>
                <w:sz w:val="16"/>
                <w:szCs w:val="16"/>
              </w:rPr>
              <w:t xml:space="preserve">Table </w:t>
            </w:r>
            <w:r w:rsidRPr="007178AC">
              <w:rPr>
                <w:noProof/>
                <w:sz w:val="16"/>
                <w:szCs w:val="16"/>
              </w:rPr>
              <w:t>6</w:t>
            </w:r>
            <w:r w:rsidRPr="007178AC">
              <w:rPr>
                <w:sz w:val="16"/>
                <w:szCs w:val="16"/>
              </w:rPr>
              <w:noBreakHyphen/>
            </w:r>
            <w:r w:rsidRPr="007178AC">
              <w:rPr>
                <w:noProof/>
                <w:sz w:val="16"/>
                <w:szCs w:val="16"/>
              </w:rPr>
              <w:t>30</w:t>
            </w:r>
            <w:r w:rsidRPr="007178AC">
              <w:rPr>
                <w:rFonts w:eastAsiaTheme="minorHAnsi"/>
                <w:sz w:val="16"/>
                <w:szCs w:val="16"/>
                <w:lang w:eastAsia="en-US"/>
              </w:rPr>
              <w:fldChar w:fldCharType="end"/>
            </w:r>
            <w:r w:rsidRPr="007178AC">
              <w:rPr>
                <w:rFonts w:eastAsiaTheme="minorHAnsi"/>
                <w:sz w:val="16"/>
                <w:szCs w:val="16"/>
                <w:lang w:eastAsia="en-US"/>
              </w:rPr>
              <w:t xml:space="preserve"> and </w:t>
            </w:r>
            <w:r w:rsidRPr="007178AC">
              <w:rPr>
                <w:rFonts w:eastAsiaTheme="minorHAnsi"/>
                <w:sz w:val="16"/>
                <w:szCs w:val="16"/>
                <w:lang w:eastAsia="en-US"/>
              </w:rPr>
              <w:fldChar w:fldCharType="begin"/>
            </w:r>
            <w:r w:rsidRPr="007178AC">
              <w:rPr>
                <w:rFonts w:eastAsiaTheme="minorHAnsi"/>
                <w:sz w:val="16"/>
                <w:szCs w:val="16"/>
                <w:lang w:eastAsia="en-US"/>
              </w:rPr>
              <w:instrText xml:space="preserve"> REF _Ref136332452 \h  \* MERGEFORMAT </w:instrText>
            </w:r>
            <w:r w:rsidRPr="007178AC">
              <w:rPr>
                <w:rFonts w:eastAsiaTheme="minorHAnsi"/>
                <w:sz w:val="16"/>
                <w:szCs w:val="16"/>
                <w:lang w:eastAsia="en-US"/>
              </w:rPr>
            </w:r>
            <w:r w:rsidRPr="007178AC">
              <w:rPr>
                <w:rFonts w:eastAsiaTheme="minorHAnsi"/>
                <w:sz w:val="16"/>
                <w:szCs w:val="16"/>
                <w:lang w:eastAsia="en-US"/>
              </w:rPr>
              <w:fldChar w:fldCharType="separate"/>
            </w:r>
            <w:r w:rsidRPr="007178AC">
              <w:rPr>
                <w:rFonts w:eastAsiaTheme="minorHAnsi"/>
                <w:sz w:val="16"/>
                <w:szCs w:val="16"/>
                <w:lang w:eastAsia="en-US"/>
              </w:rPr>
              <w:t>Figure 6</w:t>
            </w:r>
            <w:r w:rsidRPr="007178AC">
              <w:rPr>
                <w:rFonts w:eastAsiaTheme="minorHAnsi"/>
                <w:sz w:val="16"/>
                <w:szCs w:val="16"/>
                <w:lang w:eastAsia="en-US"/>
              </w:rPr>
              <w:noBreakHyphen/>
              <w:t>2</w:t>
            </w:r>
            <w:r w:rsidRPr="007178AC">
              <w:rPr>
                <w:rFonts w:eastAsiaTheme="minorHAnsi"/>
                <w:sz w:val="16"/>
                <w:szCs w:val="16"/>
                <w:lang w:eastAsia="en-US"/>
              </w:rPr>
              <w:fldChar w:fldCharType="end"/>
            </w:r>
            <w:r w:rsidRPr="007178AC">
              <w:rPr>
                <w:rFonts w:eastAsiaTheme="minorHAnsi"/>
                <w:sz w:val="16"/>
                <w:szCs w:val="16"/>
                <w:lang w:eastAsia="en-US"/>
              </w:rPr>
              <w:t>)</w:t>
            </w:r>
          </w:p>
          <w:p w14:paraId="092B3239" w14:textId="6971A4C2" w:rsidR="008621A5" w:rsidRDefault="006177D4"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6177D4">
              <w:rPr>
                <w:rFonts w:eastAsia="Arial TUR" w:cs="Arial"/>
                <w:color w:val="000000"/>
                <w:sz w:val="16"/>
                <w:szCs w:val="16"/>
                <w:lang w:eastAsia="en-US"/>
              </w:rPr>
              <w:t>If soil contamination is detected at the area, ground levelling works within the area will only be started by the contractor after the rehabilitation of the area in line with the relevant regulation</w:t>
            </w:r>
            <w:r w:rsidR="009F4162" w:rsidRPr="00DC016D">
              <w:rPr>
                <w:rFonts w:eastAsia="Arial TUR" w:cs="Arial"/>
                <w:color w:val="000000"/>
                <w:sz w:val="16"/>
                <w:szCs w:val="16"/>
                <w:lang w:eastAsia="en-US"/>
              </w:rPr>
              <w:t>.</w:t>
            </w:r>
          </w:p>
          <w:p w14:paraId="135F3CDD" w14:textId="6A6C240F" w:rsidR="009A5EDD" w:rsidRPr="009A5EDD" w:rsidRDefault="009A5EDD"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Pr>
                <w:rFonts w:eastAsia="Arial TUR" w:cs="Arial"/>
                <w:color w:val="000000"/>
                <w:sz w:val="16"/>
                <w:szCs w:val="16"/>
                <w:lang w:eastAsia="en-US"/>
              </w:rPr>
              <w:t>Soil Management Plan will be prepared for the construction phase of the Project.</w:t>
            </w:r>
          </w:p>
          <w:p w14:paraId="38745C2D" w14:textId="7ED04AE6"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 xml:space="preserve">Any unintended damages caused to adjacent land and structures during construction will be compensated and repaired by </w:t>
            </w:r>
            <w:r w:rsidR="00B561CF" w:rsidRPr="00EE43C6">
              <w:rPr>
                <w:rFonts w:eastAsia="Arial TUR" w:cs="Arial"/>
                <w:color w:val="000000"/>
                <w:sz w:val="16"/>
                <w:szCs w:val="16"/>
                <w:lang w:eastAsia="en-US"/>
              </w:rPr>
              <w:t>TUIOSB</w:t>
            </w:r>
            <w:r w:rsidRPr="00EE43C6">
              <w:rPr>
                <w:rFonts w:eastAsia="Arial TUR" w:cs="Arial"/>
                <w:color w:val="000000"/>
                <w:sz w:val="16"/>
                <w:szCs w:val="16"/>
                <w:lang w:eastAsia="en-US"/>
              </w:rPr>
              <w:t>/Contractor</w:t>
            </w:r>
            <w:r w:rsidR="005C796D">
              <w:rPr>
                <w:rFonts w:eastAsia="Arial TUR" w:cs="Arial"/>
                <w:color w:val="000000"/>
                <w:sz w:val="16"/>
                <w:szCs w:val="16"/>
                <w:lang w:eastAsia="en-US"/>
              </w:rPr>
              <w:t xml:space="preserve"> as per </w:t>
            </w:r>
            <w:r w:rsidR="003142EE">
              <w:rPr>
                <w:rFonts w:eastAsia="Arial TUR" w:cs="Arial"/>
                <w:color w:val="000000"/>
                <w:sz w:val="16"/>
                <w:szCs w:val="16"/>
                <w:lang w:eastAsia="en-US"/>
              </w:rPr>
              <w:t>RF of the overall project</w:t>
            </w:r>
            <w:r w:rsidRPr="00EE43C6">
              <w:rPr>
                <w:rFonts w:eastAsia="Arial TUR" w:cs="Arial"/>
                <w:color w:val="000000"/>
                <w:sz w:val="16"/>
                <w:szCs w:val="16"/>
                <w:lang w:eastAsia="en-US"/>
              </w:rPr>
              <w:t>.</w:t>
            </w:r>
          </w:p>
          <w:p w14:paraId="6300F400"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If grievances are received regarding unauthorized use of privately-owned lands, damage to neighbouring lands, etc. through the Grievance mechanism to be established, assessments / investigations will be performed on a case-by-case basis, and corrective actions will be planned and implemented, where necessary.</w:t>
            </w:r>
          </w:p>
          <w:p w14:paraId="369D930B" w14:textId="21E3334D"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 xml:space="preserve">Materials will be stored in closed and </w:t>
            </w:r>
            <w:r w:rsidR="00B05024" w:rsidRPr="00EE43C6">
              <w:rPr>
                <w:rFonts w:eastAsia="Arial TUR" w:cs="Arial"/>
                <w:color w:val="000000"/>
                <w:sz w:val="16"/>
                <w:szCs w:val="16"/>
                <w:lang w:eastAsia="en-US"/>
              </w:rPr>
              <w:t xml:space="preserve">sheltered </w:t>
            </w:r>
            <w:r w:rsidRPr="00EE43C6">
              <w:rPr>
                <w:rFonts w:eastAsia="Arial TUR" w:cs="Arial"/>
                <w:color w:val="000000"/>
                <w:sz w:val="16"/>
                <w:szCs w:val="16"/>
                <w:lang w:eastAsia="en-US"/>
              </w:rPr>
              <w:t>areas.</w:t>
            </w:r>
          </w:p>
          <w:p w14:paraId="561EEE2D" w14:textId="2433C580"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Calibri" w:cs="Arial"/>
                <w:color w:val="000000"/>
                <w:sz w:val="16"/>
                <w:szCs w:val="16"/>
                <w:lang w:eastAsia="en-US"/>
              </w:rPr>
              <w:t xml:space="preserve">If it is required to provide an additional space for closed and </w:t>
            </w:r>
            <w:r w:rsidR="00B05024" w:rsidRPr="00EE43C6">
              <w:rPr>
                <w:rFonts w:eastAsia="Calibri" w:cs="Arial"/>
                <w:color w:val="000000"/>
                <w:sz w:val="16"/>
                <w:szCs w:val="16"/>
                <w:lang w:eastAsia="en-US"/>
              </w:rPr>
              <w:t xml:space="preserve">sheltered </w:t>
            </w:r>
            <w:r w:rsidRPr="00EE43C6">
              <w:rPr>
                <w:rFonts w:eastAsia="Calibri" w:cs="Arial"/>
                <w:color w:val="000000"/>
                <w:sz w:val="16"/>
                <w:szCs w:val="16"/>
                <w:lang w:eastAsia="en-US"/>
              </w:rPr>
              <w:t>areas, the contractor will fulfil temporary rental formalities or obtain relevant permits.</w:t>
            </w:r>
          </w:p>
        </w:tc>
        <w:tc>
          <w:tcPr>
            <w:tcW w:w="1418" w:type="dxa"/>
            <w:tcBorders>
              <w:top w:val="single" w:sz="4" w:space="0" w:color="auto"/>
              <w:left w:val="single" w:sz="4" w:space="0" w:color="auto"/>
              <w:bottom w:val="single" w:sz="4" w:space="0" w:color="auto"/>
              <w:right w:val="single" w:sz="4" w:space="0" w:color="auto"/>
            </w:tcBorders>
            <w:hideMark/>
          </w:tcPr>
          <w:p w14:paraId="7BA424BD"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lastRenderedPageBreak/>
              <w:t>Contractor</w:t>
            </w:r>
          </w:p>
          <w:p w14:paraId="6322522E" w14:textId="401AEF9E" w:rsidR="009155D1" w:rsidRPr="00EE43C6" w:rsidRDefault="00CB7D7D"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lastRenderedPageBreak/>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36B7A1BA" w14:textId="4A7E8C05"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3DC42F71" w14:textId="544AA831"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lastRenderedPageBreak/>
              <w:t xml:space="preserve">Number </w:t>
            </w:r>
            <w:r w:rsidR="00421196">
              <w:rPr>
                <w:rFonts w:cs="Arial"/>
                <w:color w:val="000000"/>
                <w:sz w:val="16"/>
                <w:szCs w:val="16"/>
                <w:lang w:eastAsia="tr-TR"/>
              </w:rPr>
              <w:t xml:space="preserve">and nature </w:t>
            </w:r>
            <w:r w:rsidRPr="00EE43C6">
              <w:rPr>
                <w:rFonts w:cs="Arial"/>
                <w:color w:val="000000"/>
                <w:sz w:val="16"/>
                <w:szCs w:val="16"/>
                <w:lang w:eastAsia="tr-TR"/>
              </w:rPr>
              <w:t xml:space="preserve">of grievances </w:t>
            </w:r>
          </w:p>
          <w:p w14:paraId="2A5CD7D8"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cs="Arial"/>
                <w:color w:val="000000"/>
                <w:sz w:val="16"/>
                <w:szCs w:val="16"/>
                <w:lang w:eastAsia="tr-TR"/>
              </w:rPr>
              <w:lastRenderedPageBreak/>
              <w:t>Percentage of closed grievances within the target timeframe</w:t>
            </w:r>
          </w:p>
        </w:tc>
      </w:tr>
      <w:tr w:rsidR="003210EF" w:rsidRPr="00EE43C6" w14:paraId="032667EF"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68A2800D" w14:textId="77777777" w:rsidR="003210EF" w:rsidRPr="00EE43C6" w:rsidRDefault="003210EF">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lastRenderedPageBreak/>
              <w:t>C8</w:t>
            </w:r>
          </w:p>
        </w:tc>
        <w:tc>
          <w:tcPr>
            <w:tcW w:w="1559" w:type="dxa"/>
            <w:tcBorders>
              <w:top w:val="single" w:sz="4" w:space="0" w:color="auto"/>
              <w:left w:val="single" w:sz="4" w:space="0" w:color="auto"/>
              <w:bottom w:val="single" w:sz="4" w:space="0" w:color="auto"/>
              <w:right w:val="single" w:sz="4" w:space="0" w:color="auto"/>
            </w:tcBorders>
            <w:hideMark/>
          </w:tcPr>
          <w:p w14:paraId="3D1769DC" w14:textId="77777777" w:rsidR="003210EF" w:rsidRPr="00EE43C6" w:rsidRDefault="003210EF" w:rsidP="002439B3">
            <w:pPr>
              <w:spacing w:before="0" w:after="0" w:line="240" w:lineRule="auto"/>
              <w:jc w:val="left"/>
              <w:rPr>
                <w:rFonts w:eastAsia="Arial TUR" w:cs="Arial"/>
                <w:b/>
                <w:color w:val="000000"/>
                <w:sz w:val="16"/>
                <w:szCs w:val="16"/>
                <w:lang w:eastAsia="tr-TR"/>
              </w:rPr>
            </w:pPr>
            <w:r w:rsidRPr="00EE43C6">
              <w:rPr>
                <w:rFonts w:eastAsia="Arial TUR" w:cs="Arial"/>
                <w:b/>
                <w:color w:val="000000"/>
                <w:sz w:val="16"/>
                <w:szCs w:val="16"/>
                <w:lang w:eastAsia="tr-TR"/>
              </w:rPr>
              <w:t>Stakeholder Engagement</w:t>
            </w:r>
          </w:p>
        </w:tc>
        <w:tc>
          <w:tcPr>
            <w:tcW w:w="1276" w:type="dxa"/>
            <w:tcBorders>
              <w:top w:val="single" w:sz="4" w:space="0" w:color="auto"/>
              <w:left w:val="single" w:sz="4" w:space="0" w:color="auto"/>
              <w:bottom w:val="single" w:sz="4" w:space="0" w:color="auto"/>
              <w:right w:val="single" w:sz="4" w:space="0" w:color="auto"/>
            </w:tcBorders>
            <w:noWrap/>
            <w:hideMark/>
          </w:tcPr>
          <w:p w14:paraId="4644EF6B" w14:textId="77777777" w:rsidR="003210EF" w:rsidRPr="000E280D" w:rsidRDefault="003210EF"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Communication issues with the stakeholders</w:t>
            </w:r>
          </w:p>
        </w:tc>
        <w:tc>
          <w:tcPr>
            <w:tcW w:w="851" w:type="dxa"/>
            <w:tcBorders>
              <w:top w:val="single" w:sz="4" w:space="0" w:color="auto"/>
              <w:left w:val="single" w:sz="4" w:space="0" w:color="auto"/>
              <w:bottom w:val="single" w:sz="4" w:space="0" w:color="auto"/>
              <w:right w:val="single" w:sz="4" w:space="0" w:color="auto"/>
            </w:tcBorders>
            <w:noWrap/>
            <w:hideMark/>
          </w:tcPr>
          <w:p w14:paraId="5DA1B52F" w14:textId="77777777" w:rsidR="003210EF" w:rsidRPr="000E280D" w:rsidRDefault="003210EF"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1FB0B9B2" w14:textId="77777777" w:rsidR="003210EF" w:rsidRPr="000E280D" w:rsidRDefault="003210EF"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Low</w:t>
            </w:r>
          </w:p>
        </w:tc>
        <w:tc>
          <w:tcPr>
            <w:tcW w:w="1134" w:type="dxa"/>
            <w:tcBorders>
              <w:top w:val="single" w:sz="4" w:space="0" w:color="auto"/>
              <w:left w:val="single" w:sz="4" w:space="0" w:color="auto"/>
              <w:bottom w:val="single" w:sz="4" w:space="0" w:color="auto"/>
              <w:right w:val="single" w:sz="4" w:space="0" w:color="auto"/>
            </w:tcBorders>
            <w:hideMark/>
          </w:tcPr>
          <w:p w14:paraId="59D0B189" w14:textId="77777777" w:rsidR="003210EF" w:rsidRPr="000E280D" w:rsidRDefault="003210EF"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3637C6BD" w14:textId="77777777" w:rsidR="003210EF" w:rsidRPr="00EE43C6" w:rsidRDefault="003210EF"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An adequate timing will be planned for interaction / communication with communities and for engagement.</w:t>
            </w:r>
          </w:p>
          <w:p w14:paraId="14CFFEB4" w14:textId="77777777" w:rsidR="003210EF" w:rsidRPr="00EE43C6" w:rsidRDefault="003210EF"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Regular consultations will be carried out with the authorities and communities regarding the project management.</w:t>
            </w:r>
          </w:p>
          <w:p w14:paraId="0A6B0228" w14:textId="77777777" w:rsidR="003210EF" w:rsidRPr="00EE43C6" w:rsidRDefault="003210EF" w:rsidP="000E280D">
            <w:pPr>
              <w:numPr>
                <w:ilvl w:val="0"/>
                <w:numId w:val="7"/>
              </w:numPr>
              <w:spacing w:before="60" w:after="60" w:line="240" w:lineRule="auto"/>
              <w:ind w:left="113" w:right="113" w:hanging="181"/>
              <w:jc w:val="left"/>
              <w:rPr>
                <w:rFonts w:eastAsia="Arial TUR" w:cs="Arial"/>
                <w:color w:val="000000"/>
                <w:sz w:val="16"/>
                <w:szCs w:val="16"/>
                <w:lang w:eastAsia="tr-TR"/>
              </w:rPr>
            </w:pPr>
            <w:r w:rsidRPr="00EE43C6">
              <w:rPr>
                <w:rFonts w:eastAsia="Calibri" w:cs="Arial"/>
                <w:color w:val="000000"/>
                <w:sz w:val="16"/>
                <w:szCs w:val="16"/>
                <w:lang w:eastAsia="en-US"/>
              </w:rPr>
              <w:t>Comprehensive information on the stakeholder engagement is provided in SEP of the Project and the SEP will be updated and implemented throughout the Project.</w:t>
            </w:r>
          </w:p>
        </w:tc>
        <w:tc>
          <w:tcPr>
            <w:tcW w:w="1418" w:type="dxa"/>
            <w:tcBorders>
              <w:top w:val="single" w:sz="4" w:space="0" w:color="auto"/>
              <w:left w:val="single" w:sz="4" w:space="0" w:color="auto"/>
              <w:bottom w:val="single" w:sz="4" w:space="0" w:color="auto"/>
              <w:right w:val="single" w:sz="4" w:space="0" w:color="auto"/>
            </w:tcBorders>
            <w:hideMark/>
          </w:tcPr>
          <w:p w14:paraId="463E65F0" w14:textId="77777777" w:rsidR="003210EF" w:rsidRPr="00EE43C6" w:rsidRDefault="003210E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Contractor</w:t>
            </w:r>
          </w:p>
          <w:p w14:paraId="62D984DF" w14:textId="77777777" w:rsidR="003210EF" w:rsidRPr="00EE43C6" w:rsidRDefault="003210E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Supervision </w:t>
            </w:r>
            <w:r w:rsidRPr="00EE43C6">
              <w:rPr>
                <w:rFonts w:cs="Arial"/>
                <w:color w:val="000000"/>
                <w:sz w:val="16"/>
                <w:szCs w:val="16"/>
                <w:lang w:eastAsia="en-US"/>
              </w:rPr>
              <w:t>Consultant</w:t>
            </w:r>
          </w:p>
          <w:p w14:paraId="4DCB534D" w14:textId="77777777" w:rsidR="003210EF" w:rsidRPr="00EE43C6" w:rsidRDefault="003210E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0C478738" w14:textId="27EB82BE" w:rsidR="003210EF" w:rsidRPr="00EE43C6" w:rsidRDefault="003210EF" w:rsidP="000E280D">
            <w:pPr>
              <w:numPr>
                <w:ilvl w:val="0"/>
                <w:numId w:val="7"/>
              </w:numPr>
              <w:spacing w:before="60" w:after="60" w:line="240" w:lineRule="auto"/>
              <w:ind w:left="113" w:right="113" w:hanging="181"/>
              <w:jc w:val="left"/>
              <w:rPr>
                <w:rFonts w:cs="Arial"/>
                <w:sz w:val="16"/>
                <w:szCs w:val="16"/>
                <w:lang w:eastAsia="tr-TR"/>
              </w:rPr>
            </w:pPr>
            <w:r w:rsidRPr="00EE43C6">
              <w:rPr>
                <w:rFonts w:cs="Arial"/>
                <w:sz w:val="16"/>
                <w:szCs w:val="16"/>
                <w:lang w:eastAsia="tr-TR"/>
              </w:rPr>
              <w:t xml:space="preserve">Number </w:t>
            </w:r>
            <w:r w:rsidR="003142EE">
              <w:rPr>
                <w:rFonts w:cs="Arial"/>
                <w:sz w:val="16"/>
                <w:szCs w:val="16"/>
                <w:lang w:eastAsia="tr-TR"/>
              </w:rPr>
              <w:t xml:space="preserve">and nature </w:t>
            </w:r>
            <w:r w:rsidRPr="00EE43C6">
              <w:rPr>
                <w:rFonts w:cs="Arial"/>
                <w:sz w:val="16"/>
                <w:szCs w:val="16"/>
                <w:lang w:eastAsia="tr-TR"/>
              </w:rPr>
              <w:t xml:space="preserve">of grievances </w:t>
            </w:r>
          </w:p>
          <w:p w14:paraId="2F1B2571" w14:textId="77777777" w:rsidR="003210EF" w:rsidRPr="00EE43C6" w:rsidRDefault="003210EF" w:rsidP="000E280D">
            <w:pPr>
              <w:numPr>
                <w:ilvl w:val="0"/>
                <w:numId w:val="7"/>
              </w:numPr>
              <w:spacing w:before="60" w:after="60" w:line="240" w:lineRule="auto"/>
              <w:ind w:left="113" w:right="113" w:hanging="181"/>
              <w:jc w:val="left"/>
              <w:rPr>
                <w:rFonts w:cs="Arial"/>
                <w:sz w:val="16"/>
                <w:szCs w:val="16"/>
                <w:lang w:eastAsia="tr-TR"/>
              </w:rPr>
            </w:pPr>
            <w:r w:rsidRPr="00EE43C6">
              <w:rPr>
                <w:rFonts w:cs="Arial"/>
                <w:color w:val="000000"/>
                <w:sz w:val="16"/>
                <w:szCs w:val="16"/>
                <w:lang w:eastAsia="tr-TR"/>
              </w:rPr>
              <w:t>Percentage of</w:t>
            </w:r>
            <w:r w:rsidRPr="00EE43C6">
              <w:rPr>
                <w:rFonts w:cs="Arial"/>
                <w:sz w:val="16"/>
                <w:szCs w:val="16"/>
                <w:lang w:eastAsia="tr-TR"/>
              </w:rPr>
              <w:t xml:space="preserve"> closed </w:t>
            </w:r>
            <w:r w:rsidRPr="00EE43C6">
              <w:rPr>
                <w:rFonts w:cs="Arial"/>
                <w:color w:val="000000"/>
                <w:sz w:val="16"/>
                <w:szCs w:val="16"/>
                <w:lang w:eastAsia="tr-TR"/>
              </w:rPr>
              <w:t xml:space="preserve">grievances </w:t>
            </w:r>
            <w:r w:rsidRPr="00EE43C6">
              <w:rPr>
                <w:rFonts w:cs="Arial"/>
                <w:sz w:val="16"/>
                <w:szCs w:val="16"/>
                <w:lang w:eastAsia="tr-TR"/>
              </w:rPr>
              <w:t>within the target timeframe</w:t>
            </w:r>
          </w:p>
          <w:p w14:paraId="3F783F6F" w14:textId="77777777" w:rsidR="003210EF" w:rsidRPr="00EE43C6" w:rsidRDefault="003210EF" w:rsidP="000E280D">
            <w:pPr>
              <w:numPr>
                <w:ilvl w:val="0"/>
                <w:numId w:val="7"/>
              </w:numPr>
              <w:spacing w:before="60" w:after="60" w:line="240" w:lineRule="auto"/>
              <w:ind w:left="113" w:right="113" w:hanging="181"/>
              <w:jc w:val="left"/>
              <w:rPr>
                <w:rFonts w:cs="Arial"/>
                <w:sz w:val="16"/>
                <w:szCs w:val="16"/>
                <w:lang w:eastAsia="tr-TR"/>
              </w:rPr>
            </w:pPr>
            <w:r w:rsidRPr="00EE43C6">
              <w:rPr>
                <w:rFonts w:cs="Arial"/>
                <w:sz w:val="16"/>
                <w:szCs w:val="16"/>
                <w:lang w:eastAsia="tr-TR"/>
              </w:rPr>
              <w:t>Records of stakeholder engagement activities</w:t>
            </w:r>
          </w:p>
        </w:tc>
      </w:tr>
      <w:tr w:rsidR="009155D1" w:rsidRPr="00EE43C6" w14:paraId="5187FC7A"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675630CB" w14:textId="712C7FA3" w:rsidR="009155D1" w:rsidRPr="00EE43C6" w:rsidRDefault="009155D1" w:rsidP="00A10195">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w:t>
            </w:r>
            <w:r w:rsidR="003210EF" w:rsidRPr="00EE43C6">
              <w:rPr>
                <w:rFonts w:cs="Arial"/>
                <w:color w:val="000000"/>
                <w:sz w:val="16"/>
                <w:szCs w:val="16"/>
                <w:lang w:eastAsia="tr-TR"/>
              </w:rPr>
              <w:t>9</w:t>
            </w:r>
          </w:p>
        </w:tc>
        <w:tc>
          <w:tcPr>
            <w:tcW w:w="1559" w:type="dxa"/>
            <w:tcBorders>
              <w:top w:val="single" w:sz="4" w:space="0" w:color="auto"/>
              <w:left w:val="single" w:sz="4" w:space="0" w:color="auto"/>
              <w:bottom w:val="single" w:sz="4" w:space="0" w:color="auto"/>
              <w:right w:val="single" w:sz="4" w:space="0" w:color="auto"/>
            </w:tcBorders>
            <w:hideMark/>
          </w:tcPr>
          <w:p w14:paraId="709ABC1A" w14:textId="53297CA3" w:rsidR="009155D1" w:rsidRPr="00EE43C6" w:rsidRDefault="003210EF" w:rsidP="002439B3">
            <w:pPr>
              <w:spacing w:before="0" w:after="0" w:line="240" w:lineRule="auto"/>
              <w:jc w:val="left"/>
              <w:rPr>
                <w:rFonts w:eastAsia="Arial TUR" w:cs="Arial"/>
                <w:color w:val="000000"/>
                <w:sz w:val="16"/>
                <w:szCs w:val="16"/>
                <w:lang w:eastAsia="tr-TR"/>
              </w:rPr>
            </w:pPr>
            <w:r w:rsidRPr="00EE43C6">
              <w:rPr>
                <w:rFonts w:eastAsia="Calibri" w:cs="Arial"/>
                <w:b/>
                <w:bCs/>
                <w:sz w:val="16"/>
                <w:szCs w:val="16"/>
                <w:lang w:eastAsia="en-US"/>
              </w:rPr>
              <w:t>Land Acquisit</w:t>
            </w:r>
            <w:r w:rsidR="00366084" w:rsidRPr="00EE43C6">
              <w:rPr>
                <w:rFonts w:eastAsia="Calibri" w:cs="Arial"/>
                <w:b/>
                <w:bCs/>
                <w:sz w:val="16"/>
                <w:szCs w:val="16"/>
                <w:lang w:eastAsia="en-US"/>
              </w:rPr>
              <w:t>i</w:t>
            </w:r>
            <w:r w:rsidRPr="00EE43C6">
              <w:rPr>
                <w:rFonts w:eastAsia="Calibri" w:cs="Arial"/>
                <w:b/>
                <w:bCs/>
                <w:sz w:val="16"/>
                <w:szCs w:val="16"/>
                <w:lang w:eastAsia="en-US"/>
              </w:rPr>
              <w:t>on</w:t>
            </w:r>
          </w:p>
        </w:tc>
        <w:tc>
          <w:tcPr>
            <w:tcW w:w="1276" w:type="dxa"/>
            <w:tcBorders>
              <w:top w:val="single" w:sz="4" w:space="0" w:color="auto"/>
              <w:left w:val="single" w:sz="4" w:space="0" w:color="auto"/>
              <w:bottom w:val="single" w:sz="4" w:space="0" w:color="auto"/>
              <w:right w:val="single" w:sz="4" w:space="0" w:color="auto"/>
            </w:tcBorders>
            <w:noWrap/>
            <w:hideMark/>
          </w:tcPr>
          <w:p w14:paraId="7B2F21E9" w14:textId="799F4CC2" w:rsidR="009155D1" w:rsidRPr="00EE43C6" w:rsidRDefault="00366084" w:rsidP="00A10195">
            <w:pPr>
              <w:spacing w:before="0" w:after="0" w:line="240" w:lineRule="auto"/>
              <w:ind w:right="-109"/>
              <w:jc w:val="left"/>
              <w:rPr>
                <w:rFonts w:eastAsia="Arial TUR" w:cs="Arial"/>
                <w:color w:val="000000"/>
                <w:sz w:val="16"/>
                <w:szCs w:val="16"/>
                <w:lang w:eastAsia="tr-TR"/>
              </w:rPr>
            </w:pPr>
            <w:r w:rsidRPr="00EE43C6">
              <w:rPr>
                <w:rFonts w:eastAsia="Calibri" w:cs="Arial"/>
                <w:bCs/>
                <w:color w:val="000000"/>
                <w:sz w:val="16"/>
                <w:szCs w:val="16"/>
                <w:lang w:eastAsia="tr-TR"/>
              </w:rPr>
              <w:t>Loss of land and livelihood</w:t>
            </w:r>
          </w:p>
        </w:tc>
        <w:tc>
          <w:tcPr>
            <w:tcW w:w="851" w:type="dxa"/>
            <w:tcBorders>
              <w:top w:val="single" w:sz="4" w:space="0" w:color="auto"/>
              <w:left w:val="single" w:sz="4" w:space="0" w:color="auto"/>
              <w:bottom w:val="single" w:sz="4" w:space="0" w:color="auto"/>
              <w:right w:val="single" w:sz="4" w:space="0" w:color="auto"/>
            </w:tcBorders>
            <w:noWrap/>
            <w:hideMark/>
          </w:tcPr>
          <w:p w14:paraId="5A34DA35"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38A4191E" w14:textId="6F509C9E" w:rsidR="009155D1" w:rsidRPr="000E280D" w:rsidRDefault="001B0D4E"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Medium</w:t>
            </w:r>
          </w:p>
        </w:tc>
        <w:tc>
          <w:tcPr>
            <w:tcW w:w="1134" w:type="dxa"/>
            <w:tcBorders>
              <w:top w:val="single" w:sz="4" w:space="0" w:color="auto"/>
              <w:left w:val="single" w:sz="4" w:space="0" w:color="auto"/>
              <w:bottom w:val="single" w:sz="4" w:space="0" w:color="auto"/>
              <w:right w:val="single" w:sz="4" w:space="0" w:color="auto"/>
            </w:tcBorders>
            <w:hideMark/>
          </w:tcPr>
          <w:p w14:paraId="0A646307" w14:textId="02955A34"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5D2547D4" w14:textId="75A9D7E2" w:rsidR="001B0D4E" w:rsidRPr="002F3D54" w:rsidRDefault="001B0D4E" w:rsidP="000E280D">
            <w:pPr>
              <w:numPr>
                <w:ilvl w:val="0"/>
                <w:numId w:val="7"/>
              </w:numPr>
              <w:spacing w:before="60" w:after="60" w:line="240" w:lineRule="auto"/>
              <w:ind w:left="113" w:right="113" w:hanging="181"/>
              <w:jc w:val="left"/>
              <w:rPr>
                <w:rFonts w:eastAsia="Calibri"/>
                <w:sz w:val="16"/>
                <w:szCs w:val="16"/>
              </w:rPr>
            </w:pPr>
            <w:r w:rsidRPr="00EE43C6">
              <w:rPr>
                <w:rFonts w:eastAsia="Calibri" w:cs="Arial"/>
                <w:color w:val="000000"/>
                <w:sz w:val="16"/>
                <w:szCs w:val="16"/>
                <w:lang w:eastAsia="en-US"/>
              </w:rPr>
              <w:t xml:space="preserve">In the case of </w:t>
            </w:r>
            <w:r w:rsidR="003142EE">
              <w:rPr>
                <w:rFonts w:eastAsia="Calibri" w:cs="Arial"/>
                <w:color w:val="000000"/>
                <w:sz w:val="16"/>
                <w:szCs w:val="16"/>
                <w:lang w:eastAsia="en-US"/>
              </w:rPr>
              <w:t xml:space="preserve">additional </w:t>
            </w:r>
            <w:r w:rsidRPr="00EE43C6">
              <w:rPr>
                <w:rFonts w:eastAsia="Calibri" w:cs="Arial"/>
                <w:color w:val="000000"/>
                <w:sz w:val="16"/>
                <w:szCs w:val="16"/>
                <w:lang w:eastAsia="en-US"/>
              </w:rPr>
              <w:t xml:space="preserve">land </w:t>
            </w:r>
            <w:r w:rsidR="003142EE">
              <w:rPr>
                <w:rFonts w:eastAsia="Calibri" w:cs="Arial"/>
                <w:color w:val="000000"/>
                <w:sz w:val="16"/>
                <w:szCs w:val="16"/>
                <w:lang w:eastAsia="en-US"/>
              </w:rPr>
              <w:t>requirements</w:t>
            </w:r>
            <w:r w:rsidRPr="00EE43C6">
              <w:rPr>
                <w:rFonts w:eastAsia="Calibri" w:cs="Arial"/>
                <w:color w:val="000000"/>
                <w:sz w:val="16"/>
                <w:szCs w:val="16"/>
                <w:lang w:eastAsia="en-US"/>
              </w:rPr>
              <w:t xml:space="preserve"> in future, the Project Company will choose to directly purchase land </w:t>
            </w:r>
            <w:r w:rsidR="003142EE">
              <w:rPr>
                <w:rFonts w:eastAsia="Calibri" w:cs="Arial"/>
                <w:color w:val="000000"/>
                <w:sz w:val="16"/>
                <w:szCs w:val="16"/>
                <w:lang w:eastAsia="en-US"/>
              </w:rPr>
              <w:t xml:space="preserve">based on willing buyer-willing </w:t>
            </w:r>
          </w:p>
          <w:p w14:paraId="37A937F1" w14:textId="69E8434B" w:rsidR="00EA537D" w:rsidRPr="00EE43C6" w:rsidRDefault="34EED0B2" w:rsidP="000E280D">
            <w:pPr>
              <w:numPr>
                <w:ilvl w:val="0"/>
                <w:numId w:val="7"/>
              </w:numPr>
              <w:spacing w:before="60" w:after="60" w:line="240" w:lineRule="auto"/>
              <w:ind w:left="113" w:right="113" w:hanging="181"/>
              <w:jc w:val="left"/>
              <w:rPr>
                <w:rFonts w:eastAsia="Calibri"/>
                <w:sz w:val="16"/>
                <w:szCs w:val="16"/>
              </w:rPr>
            </w:pPr>
            <w:r w:rsidRPr="5F58EB95">
              <w:rPr>
                <w:rFonts w:eastAsia="Calibri"/>
                <w:sz w:val="16"/>
                <w:szCs w:val="16"/>
              </w:rPr>
              <w:lastRenderedPageBreak/>
              <w:t>In accordance with RF of the project, u</w:t>
            </w:r>
            <w:r w:rsidR="471FC2CB" w:rsidRPr="5F58EB95">
              <w:rPr>
                <w:rFonts w:eastAsia="Calibri"/>
                <w:sz w:val="16"/>
                <w:szCs w:val="16"/>
              </w:rPr>
              <w:t>nless there is a willing buyer-willing seller sale</w:t>
            </w:r>
            <w:r w:rsidR="0222DEBC" w:rsidRPr="5F58EB95">
              <w:rPr>
                <w:rFonts w:eastAsia="Calibri"/>
                <w:sz w:val="16"/>
                <w:szCs w:val="16"/>
              </w:rPr>
              <w:t xml:space="preserve"> case, the </w:t>
            </w:r>
            <w:r w:rsidR="2D291968" w:rsidRPr="5F58EB95">
              <w:rPr>
                <w:rFonts w:eastAsia="Calibri"/>
                <w:sz w:val="16"/>
                <w:szCs w:val="16"/>
              </w:rPr>
              <w:t xml:space="preserve">following </w:t>
            </w:r>
            <w:r w:rsidR="0222DEBC" w:rsidRPr="5F58EB95">
              <w:rPr>
                <w:rFonts w:eastAsia="Calibri"/>
                <w:sz w:val="16"/>
                <w:szCs w:val="16"/>
              </w:rPr>
              <w:t xml:space="preserve"> </w:t>
            </w:r>
            <w:r w:rsidR="450C23CA" w:rsidRPr="5F58EB95">
              <w:rPr>
                <w:rFonts w:eastAsia="Calibri"/>
                <w:sz w:val="16"/>
                <w:szCs w:val="16"/>
              </w:rPr>
              <w:t xml:space="preserve">measures </w:t>
            </w:r>
            <w:r w:rsidR="0222DEBC" w:rsidRPr="5F58EB95">
              <w:rPr>
                <w:rFonts w:eastAsia="Calibri"/>
                <w:sz w:val="16"/>
                <w:szCs w:val="16"/>
              </w:rPr>
              <w:t>will be applied</w:t>
            </w:r>
            <w:r w:rsidR="471FC2CB" w:rsidRPr="5F58EB95">
              <w:rPr>
                <w:rFonts w:eastAsia="Calibri"/>
                <w:sz w:val="16"/>
                <w:szCs w:val="16"/>
              </w:rPr>
              <w:t>:</w:t>
            </w:r>
          </w:p>
          <w:p w14:paraId="28C86B3F" w14:textId="6E5AC7C9" w:rsidR="0078783C" w:rsidRPr="00EE43C6" w:rsidRDefault="001B0D4E" w:rsidP="000E280D">
            <w:pPr>
              <w:numPr>
                <w:ilvl w:val="0"/>
                <w:numId w:val="7"/>
              </w:numPr>
              <w:spacing w:before="60" w:after="60" w:line="240" w:lineRule="auto"/>
              <w:ind w:left="113" w:right="113" w:hanging="181"/>
              <w:jc w:val="left"/>
              <w:rPr>
                <w:rFonts w:eastAsia="Calibri" w:cs="Arial"/>
                <w:color w:val="000000"/>
                <w:sz w:val="16"/>
                <w:szCs w:val="16"/>
                <w:lang w:eastAsia="en-US"/>
              </w:rPr>
            </w:pPr>
            <w:r w:rsidRPr="00EE43C6">
              <w:rPr>
                <w:rFonts w:eastAsia="Calibri" w:cs="Arial"/>
                <w:color w:val="000000"/>
                <w:sz w:val="16"/>
                <w:szCs w:val="16"/>
                <w:lang w:eastAsia="en-US"/>
              </w:rPr>
              <w:t>The Project Company will monitor the land acquisition process in rules of IFC PS5.</w:t>
            </w:r>
          </w:p>
          <w:p w14:paraId="0BCFF3FD" w14:textId="3827ACD0" w:rsidR="004727B7" w:rsidRPr="00EE43C6" w:rsidRDefault="004727B7" w:rsidP="000E280D">
            <w:pPr>
              <w:spacing w:before="60" w:after="60" w:line="240" w:lineRule="auto"/>
              <w:ind w:left="113" w:right="113"/>
              <w:jc w:val="left"/>
              <w:rPr>
                <w:rFonts w:eastAsia="Arial TUR" w:cs="Arial"/>
                <w:color w:val="000000"/>
                <w:sz w:val="16"/>
                <w:szCs w:val="16"/>
                <w:lang w:eastAsia="en-US"/>
              </w:rPr>
            </w:pPr>
            <w:r w:rsidRPr="00EE43C6">
              <w:rPr>
                <w:rFonts w:eastAsia="Arial TUR" w:cs="Arial"/>
                <w:color w:val="000000"/>
                <w:sz w:val="16"/>
                <w:szCs w:val="16"/>
                <w:lang w:eastAsia="en-US"/>
              </w:rPr>
              <w:t>When necessary;</w:t>
            </w:r>
          </w:p>
          <w:p w14:paraId="0668A6A6" w14:textId="5F8C00C8" w:rsidR="00D04970" w:rsidRPr="00EE43C6" w:rsidRDefault="00D04970" w:rsidP="000E280D">
            <w:pPr>
              <w:numPr>
                <w:ilvl w:val="0"/>
                <w:numId w:val="7"/>
              </w:numPr>
              <w:spacing w:before="60" w:after="60" w:line="240" w:lineRule="auto"/>
              <w:ind w:left="113" w:right="113" w:hanging="181"/>
              <w:jc w:val="left"/>
              <w:rPr>
                <w:rFonts w:eastAsia="Calibri" w:cs="Arial"/>
                <w:color w:val="000000"/>
                <w:sz w:val="16"/>
                <w:szCs w:val="16"/>
                <w:lang w:eastAsia="en-US"/>
              </w:rPr>
            </w:pPr>
            <w:r w:rsidRPr="00EE43C6">
              <w:rPr>
                <w:rFonts w:eastAsia="Calibri" w:cs="Arial"/>
                <w:color w:val="000000"/>
                <w:sz w:val="16"/>
                <w:szCs w:val="16"/>
                <w:lang w:eastAsia="en-US"/>
              </w:rPr>
              <w:t>Depreciation payment for structures,</w:t>
            </w:r>
          </w:p>
          <w:p w14:paraId="77CDEE11" w14:textId="02CE09F8" w:rsidR="00D04970" w:rsidRPr="00EE43C6" w:rsidRDefault="00D04970" w:rsidP="000E280D">
            <w:pPr>
              <w:numPr>
                <w:ilvl w:val="0"/>
                <w:numId w:val="7"/>
              </w:numPr>
              <w:spacing w:before="60" w:after="60" w:line="240" w:lineRule="auto"/>
              <w:ind w:left="113" w:right="113" w:hanging="181"/>
              <w:jc w:val="left"/>
              <w:rPr>
                <w:rFonts w:eastAsia="Calibri" w:cs="Arial"/>
                <w:color w:val="000000"/>
                <w:sz w:val="16"/>
                <w:szCs w:val="16"/>
                <w:lang w:eastAsia="en-US"/>
              </w:rPr>
            </w:pPr>
            <w:r w:rsidRPr="00EE43C6">
              <w:rPr>
                <w:rFonts w:eastAsia="Calibri" w:cs="Arial"/>
                <w:color w:val="000000"/>
                <w:sz w:val="16"/>
                <w:szCs w:val="16"/>
                <w:lang w:eastAsia="en-US"/>
              </w:rPr>
              <w:t>Institutional cooperation for the development of pastures,</w:t>
            </w:r>
          </w:p>
          <w:p w14:paraId="3232F21F" w14:textId="17958B67" w:rsidR="00D04970" w:rsidRPr="00EE43C6" w:rsidRDefault="00D04970" w:rsidP="000E280D">
            <w:pPr>
              <w:numPr>
                <w:ilvl w:val="0"/>
                <w:numId w:val="7"/>
              </w:numPr>
              <w:spacing w:before="60" w:after="60" w:line="240" w:lineRule="auto"/>
              <w:ind w:left="113" w:right="113" w:hanging="181"/>
              <w:jc w:val="left"/>
              <w:rPr>
                <w:rFonts w:eastAsia="Calibri" w:cs="Arial"/>
                <w:color w:val="000000"/>
                <w:sz w:val="16"/>
                <w:szCs w:val="16"/>
                <w:lang w:eastAsia="en-US"/>
              </w:rPr>
            </w:pPr>
            <w:r w:rsidRPr="00EE43C6">
              <w:rPr>
                <w:rFonts w:eastAsia="Calibri" w:cs="Arial"/>
                <w:color w:val="000000"/>
                <w:sz w:val="16"/>
                <w:szCs w:val="16"/>
                <w:lang w:eastAsia="en-US"/>
              </w:rPr>
              <w:t>Employment opportunities for households affected by land acquisition,</w:t>
            </w:r>
          </w:p>
          <w:p w14:paraId="677F511F" w14:textId="0D81FFE8" w:rsidR="00D04970" w:rsidRPr="00EE43C6" w:rsidRDefault="00D04970" w:rsidP="000E280D">
            <w:pPr>
              <w:numPr>
                <w:ilvl w:val="0"/>
                <w:numId w:val="7"/>
              </w:numPr>
              <w:spacing w:before="60" w:after="60" w:line="240" w:lineRule="auto"/>
              <w:ind w:left="113" w:right="113" w:hanging="181"/>
              <w:jc w:val="left"/>
              <w:rPr>
                <w:rFonts w:eastAsia="Calibri" w:cs="Arial"/>
                <w:color w:val="000000"/>
                <w:sz w:val="16"/>
                <w:szCs w:val="16"/>
                <w:lang w:eastAsia="en-US"/>
              </w:rPr>
            </w:pPr>
            <w:r w:rsidRPr="00EE43C6">
              <w:rPr>
                <w:rFonts w:eastAsia="Calibri" w:cs="Arial"/>
                <w:color w:val="000000"/>
                <w:sz w:val="16"/>
                <w:szCs w:val="16"/>
                <w:lang w:eastAsia="en-US"/>
              </w:rPr>
              <w:t>Agricultural support and grant application consultancy service,</w:t>
            </w:r>
          </w:p>
          <w:p w14:paraId="1A580581" w14:textId="0B5DD264" w:rsidR="00D04970" w:rsidRPr="00EE43C6" w:rsidRDefault="00D04970" w:rsidP="000E280D">
            <w:pPr>
              <w:numPr>
                <w:ilvl w:val="0"/>
                <w:numId w:val="7"/>
              </w:numPr>
              <w:spacing w:before="60" w:after="60" w:line="240" w:lineRule="auto"/>
              <w:ind w:left="113" w:right="113" w:hanging="181"/>
              <w:jc w:val="left"/>
              <w:rPr>
                <w:rFonts w:eastAsia="Calibri" w:cs="Arial"/>
                <w:color w:val="000000"/>
                <w:sz w:val="16"/>
                <w:szCs w:val="16"/>
                <w:lang w:eastAsia="en-US"/>
              </w:rPr>
            </w:pPr>
            <w:r w:rsidRPr="00EE43C6">
              <w:rPr>
                <w:rFonts w:eastAsia="Calibri" w:cs="Arial"/>
                <w:color w:val="000000"/>
                <w:sz w:val="16"/>
                <w:szCs w:val="16"/>
                <w:lang w:eastAsia="en-US"/>
              </w:rPr>
              <w:t>Possibility of harvest or crop payment,</w:t>
            </w:r>
          </w:p>
          <w:p w14:paraId="3DD7E747" w14:textId="0A973C9A" w:rsidR="00D04970" w:rsidRPr="00EE43C6" w:rsidRDefault="00D04970" w:rsidP="000E280D">
            <w:pPr>
              <w:numPr>
                <w:ilvl w:val="0"/>
                <w:numId w:val="7"/>
              </w:numPr>
              <w:spacing w:before="60" w:after="60" w:line="240" w:lineRule="auto"/>
              <w:ind w:left="113" w:right="113" w:hanging="181"/>
              <w:jc w:val="left"/>
              <w:rPr>
                <w:rFonts w:eastAsia="Calibri" w:cs="Arial"/>
                <w:color w:val="000000"/>
                <w:sz w:val="16"/>
                <w:szCs w:val="16"/>
                <w:lang w:eastAsia="en-US"/>
              </w:rPr>
            </w:pPr>
            <w:r w:rsidRPr="00EE43C6">
              <w:rPr>
                <w:rFonts w:eastAsia="Calibri" w:cs="Arial"/>
                <w:color w:val="000000"/>
                <w:sz w:val="16"/>
                <w:szCs w:val="16"/>
                <w:lang w:eastAsia="en-US"/>
              </w:rPr>
              <w:t>Information to prevent replanting of lands,</w:t>
            </w:r>
          </w:p>
          <w:p w14:paraId="5F7D621E" w14:textId="4D83F6F6" w:rsidR="004727B7" w:rsidRPr="00EE43C6" w:rsidRDefault="00D04970" w:rsidP="000E280D">
            <w:pPr>
              <w:numPr>
                <w:ilvl w:val="0"/>
                <w:numId w:val="7"/>
              </w:numPr>
              <w:spacing w:before="60" w:after="60" w:line="240" w:lineRule="auto"/>
              <w:ind w:left="113" w:right="113" w:hanging="181"/>
              <w:jc w:val="left"/>
              <w:rPr>
                <w:rFonts w:eastAsia="Calibri" w:cs="Arial"/>
                <w:color w:val="000000"/>
                <w:sz w:val="16"/>
                <w:szCs w:val="16"/>
                <w:lang w:eastAsia="en-US"/>
              </w:rPr>
            </w:pPr>
            <w:r w:rsidRPr="00EE43C6">
              <w:rPr>
                <w:rFonts w:eastAsia="Calibri" w:cs="Arial"/>
                <w:color w:val="000000"/>
                <w:sz w:val="16"/>
                <w:szCs w:val="16"/>
                <w:lang w:eastAsia="en-US"/>
              </w:rPr>
              <w:t>Diesel and fertilizer support.</w:t>
            </w:r>
          </w:p>
          <w:p w14:paraId="77053B4B" w14:textId="1FC85AD4" w:rsidR="009155D1" w:rsidRPr="00EE43C6" w:rsidRDefault="009155D1" w:rsidP="000E280D">
            <w:pPr>
              <w:spacing w:before="60" w:after="60" w:line="240" w:lineRule="auto"/>
              <w:ind w:left="113" w:right="113"/>
              <w:jc w:val="left"/>
              <w:rPr>
                <w:rFonts w:eastAsia="Arial TUR" w:cs="Arial"/>
                <w:color w:val="000000"/>
                <w:sz w:val="16"/>
                <w:szCs w:val="16"/>
                <w:lang w:eastAsia="tr-TR"/>
              </w:rPr>
            </w:pPr>
          </w:p>
        </w:tc>
        <w:tc>
          <w:tcPr>
            <w:tcW w:w="1418" w:type="dxa"/>
            <w:tcBorders>
              <w:top w:val="single" w:sz="4" w:space="0" w:color="auto"/>
              <w:left w:val="single" w:sz="4" w:space="0" w:color="auto"/>
              <w:bottom w:val="single" w:sz="4" w:space="0" w:color="auto"/>
              <w:right w:val="single" w:sz="4" w:space="0" w:color="auto"/>
            </w:tcBorders>
            <w:hideMark/>
          </w:tcPr>
          <w:p w14:paraId="5F42F95B" w14:textId="1B44D983" w:rsidR="009155D1" w:rsidRPr="00EE43C6" w:rsidRDefault="00EF3036"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lastRenderedPageBreak/>
              <w:t xml:space="preserve">Supervision </w:t>
            </w:r>
            <w:r w:rsidR="009155D1" w:rsidRPr="00EE43C6">
              <w:rPr>
                <w:rFonts w:cs="Arial"/>
                <w:color w:val="000000"/>
                <w:sz w:val="16"/>
                <w:szCs w:val="16"/>
                <w:lang w:eastAsia="en-US"/>
              </w:rPr>
              <w:t>Consultant</w:t>
            </w:r>
          </w:p>
          <w:p w14:paraId="2764F99E" w14:textId="55531F5F"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3598329D" w14:textId="15D09D8F" w:rsidR="009155D1" w:rsidRPr="00EE43C6" w:rsidRDefault="002C47C8" w:rsidP="000E280D">
            <w:pPr>
              <w:numPr>
                <w:ilvl w:val="0"/>
                <w:numId w:val="7"/>
              </w:numPr>
              <w:spacing w:before="60" w:after="60" w:line="240" w:lineRule="auto"/>
              <w:ind w:left="113" w:right="113" w:hanging="181"/>
              <w:jc w:val="left"/>
              <w:rPr>
                <w:rFonts w:cs="Arial"/>
                <w:sz w:val="16"/>
                <w:szCs w:val="16"/>
                <w:lang w:eastAsia="tr-TR"/>
              </w:rPr>
            </w:pPr>
            <w:r w:rsidRPr="00EE43C6">
              <w:rPr>
                <w:rFonts w:cs="Arial"/>
                <w:sz w:val="16"/>
                <w:szCs w:val="16"/>
                <w:lang w:eastAsia="tr-TR"/>
              </w:rPr>
              <w:t xml:space="preserve">Number </w:t>
            </w:r>
            <w:r w:rsidR="003142EE">
              <w:rPr>
                <w:rFonts w:cs="Arial"/>
                <w:sz w:val="16"/>
                <w:szCs w:val="16"/>
                <w:lang w:eastAsia="tr-TR"/>
              </w:rPr>
              <w:t xml:space="preserve">and nature </w:t>
            </w:r>
            <w:r w:rsidRPr="00EE43C6">
              <w:rPr>
                <w:rFonts w:cs="Arial"/>
                <w:sz w:val="16"/>
                <w:szCs w:val="16"/>
                <w:lang w:eastAsia="tr-TR"/>
              </w:rPr>
              <w:t>of grievances</w:t>
            </w:r>
          </w:p>
          <w:p w14:paraId="7467E9F9" w14:textId="2587C39E" w:rsidR="009155D1" w:rsidRPr="00EE43C6" w:rsidRDefault="00373073" w:rsidP="000E280D">
            <w:pPr>
              <w:numPr>
                <w:ilvl w:val="0"/>
                <w:numId w:val="7"/>
              </w:numPr>
              <w:spacing w:before="60" w:after="60" w:line="240" w:lineRule="auto"/>
              <w:ind w:left="113" w:right="113" w:hanging="181"/>
              <w:jc w:val="left"/>
              <w:rPr>
                <w:rFonts w:cs="Arial"/>
                <w:sz w:val="16"/>
                <w:szCs w:val="16"/>
                <w:lang w:eastAsia="tr-TR"/>
              </w:rPr>
            </w:pPr>
            <w:r w:rsidRPr="00EE43C6">
              <w:rPr>
                <w:rFonts w:cs="Arial"/>
                <w:sz w:val="16"/>
                <w:szCs w:val="16"/>
                <w:lang w:eastAsia="tr-TR"/>
              </w:rPr>
              <w:t>Monitoring reports</w:t>
            </w:r>
          </w:p>
        </w:tc>
      </w:tr>
      <w:tr w:rsidR="009155D1" w:rsidRPr="00EE43C6" w14:paraId="3BC3EDC1"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8EDBA72" w14:textId="62FA4241" w:rsidR="009155D1" w:rsidRPr="00EE43C6" w:rsidRDefault="009155D1" w:rsidP="006751F2">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w:t>
            </w:r>
            <w:r w:rsidR="003210EF" w:rsidRPr="00EE43C6">
              <w:rPr>
                <w:rFonts w:cs="Arial"/>
                <w:color w:val="000000"/>
                <w:sz w:val="16"/>
                <w:szCs w:val="16"/>
                <w:lang w:eastAsia="tr-TR"/>
              </w:rPr>
              <w:t>10</w:t>
            </w:r>
          </w:p>
        </w:tc>
        <w:tc>
          <w:tcPr>
            <w:tcW w:w="1559" w:type="dxa"/>
            <w:tcBorders>
              <w:top w:val="single" w:sz="4" w:space="0" w:color="auto"/>
              <w:left w:val="single" w:sz="4" w:space="0" w:color="auto"/>
              <w:bottom w:val="single" w:sz="4" w:space="0" w:color="auto"/>
              <w:right w:val="single" w:sz="4" w:space="0" w:color="auto"/>
            </w:tcBorders>
            <w:hideMark/>
          </w:tcPr>
          <w:p w14:paraId="0316975C" w14:textId="77777777" w:rsidR="009155D1" w:rsidRPr="00EE43C6" w:rsidRDefault="009155D1" w:rsidP="00D6172A">
            <w:pPr>
              <w:spacing w:before="0" w:after="0" w:line="240" w:lineRule="auto"/>
              <w:jc w:val="left"/>
              <w:rPr>
                <w:rFonts w:eastAsia="Arial TUR" w:cs="Arial"/>
                <w:color w:val="000000"/>
                <w:sz w:val="16"/>
                <w:szCs w:val="16"/>
                <w:lang w:eastAsia="tr-TR"/>
              </w:rPr>
            </w:pPr>
            <w:r w:rsidRPr="00EE43C6">
              <w:rPr>
                <w:rFonts w:eastAsia="Calibri" w:cs="Arial"/>
                <w:b/>
                <w:bCs/>
                <w:sz w:val="16"/>
                <w:szCs w:val="16"/>
                <w:lang w:eastAsia="en-US"/>
              </w:rPr>
              <w:t>Grievance mechanism</w:t>
            </w:r>
          </w:p>
        </w:tc>
        <w:tc>
          <w:tcPr>
            <w:tcW w:w="1276" w:type="dxa"/>
            <w:tcBorders>
              <w:top w:val="single" w:sz="4" w:space="0" w:color="auto"/>
              <w:left w:val="single" w:sz="4" w:space="0" w:color="auto"/>
              <w:bottom w:val="single" w:sz="4" w:space="0" w:color="auto"/>
              <w:right w:val="single" w:sz="4" w:space="0" w:color="auto"/>
            </w:tcBorders>
            <w:noWrap/>
            <w:hideMark/>
          </w:tcPr>
          <w:p w14:paraId="14B96623"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Grievance Issues</w:t>
            </w:r>
          </w:p>
        </w:tc>
        <w:tc>
          <w:tcPr>
            <w:tcW w:w="851" w:type="dxa"/>
            <w:tcBorders>
              <w:top w:val="single" w:sz="4" w:space="0" w:color="auto"/>
              <w:left w:val="single" w:sz="4" w:space="0" w:color="auto"/>
              <w:bottom w:val="single" w:sz="4" w:space="0" w:color="auto"/>
              <w:right w:val="single" w:sz="4" w:space="0" w:color="auto"/>
            </w:tcBorders>
            <w:noWrap/>
            <w:hideMark/>
          </w:tcPr>
          <w:p w14:paraId="27900BA9"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5C1C0CB0"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Low</w:t>
            </w:r>
          </w:p>
        </w:tc>
        <w:tc>
          <w:tcPr>
            <w:tcW w:w="1134" w:type="dxa"/>
            <w:tcBorders>
              <w:top w:val="single" w:sz="4" w:space="0" w:color="auto"/>
              <w:left w:val="single" w:sz="4" w:space="0" w:color="auto"/>
              <w:bottom w:val="single" w:sz="4" w:space="0" w:color="auto"/>
              <w:right w:val="single" w:sz="4" w:space="0" w:color="auto"/>
            </w:tcBorders>
            <w:hideMark/>
          </w:tcPr>
          <w:p w14:paraId="3B1FA1EA" w14:textId="35CCAEC0" w:rsidR="009155D1" w:rsidRPr="000E280D" w:rsidRDefault="00BF38B6" w:rsidP="000E280D">
            <w:pPr>
              <w:tabs>
                <w:tab w:val="left" w:pos="455"/>
              </w:tabs>
              <w:autoSpaceDE w:val="0"/>
              <w:autoSpaceDN w:val="0"/>
              <w:adjustRightInd w:val="0"/>
              <w:spacing w:before="0" w:after="0" w:line="240" w:lineRule="auto"/>
              <w:ind w:left="-87"/>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47937004" w14:textId="0858CE40" w:rsidR="009155D1" w:rsidRPr="00EE43C6" w:rsidRDefault="009155D1" w:rsidP="000E280D">
            <w:pPr>
              <w:numPr>
                <w:ilvl w:val="0"/>
                <w:numId w:val="7"/>
              </w:numPr>
              <w:spacing w:before="60" w:after="60" w:line="240" w:lineRule="auto"/>
              <w:ind w:left="113" w:right="113" w:hanging="181"/>
              <w:jc w:val="left"/>
              <w:rPr>
                <w:rFonts w:eastAsia="Arial TUR" w:cs="Arial"/>
                <w:b/>
                <w:color w:val="000000"/>
                <w:sz w:val="16"/>
                <w:szCs w:val="16"/>
                <w:lang w:eastAsia="tr-TR"/>
              </w:rPr>
            </w:pPr>
            <w:r w:rsidRPr="00EE43C6">
              <w:rPr>
                <w:rFonts w:eastAsia="Calibri" w:cs="Arial"/>
                <w:color w:val="000000"/>
                <w:sz w:val="16"/>
                <w:szCs w:val="16"/>
                <w:lang w:eastAsia="en-US"/>
              </w:rPr>
              <w:t xml:space="preserve">An efficient Grievance mechanism will be initiated to </w:t>
            </w:r>
            <w:r w:rsidR="00743C31" w:rsidRPr="00EE43C6">
              <w:rPr>
                <w:rFonts w:eastAsia="Calibri" w:cs="Arial"/>
                <w:color w:val="000000"/>
                <w:sz w:val="16"/>
                <w:szCs w:val="16"/>
                <w:lang w:eastAsia="en-US"/>
              </w:rPr>
              <w:t xml:space="preserve">all stakeholders </w:t>
            </w:r>
            <w:r w:rsidRPr="00EE43C6">
              <w:rPr>
                <w:rFonts w:eastAsia="Calibri" w:cs="Arial"/>
                <w:color w:val="000000"/>
                <w:sz w:val="16"/>
                <w:szCs w:val="16"/>
                <w:lang w:eastAsia="en-US"/>
              </w:rPr>
              <w:t>individuals to voice their concerns on the Project.</w:t>
            </w:r>
          </w:p>
        </w:tc>
        <w:tc>
          <w:tcPr>
            <w:tcW w:w="1418" w:type="dxa"/>
            <w:tcBorders>
              <w:top w:val="single" w:sz="4" w:space="0" w:color="auto"/>
              <w:left w:val="single" w:sz="4" w:space="0" w:color="auto"/>
              <w:bottom w:val="single" w:sz="4" w:space="0" w:color="auto"/>
              <w:right w:val="single" w:sz="4" w:space="0" w:color="auto"/>
            </w:tcBorders>
            <w:hideMark/>
          </w:tcPr>
          <w:p w14:paraId="7E3D1367"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Contractor</w:t>
            </w:r>
          </w:p>
          <w:p w14:paraId="081E6157" w14:textId="5CD7EA5F" w:rsidR="009155D1" w:rsidRPr="00EE43C6" w:rsidRDefault="00CB7D7D"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1088F118" w14:textId="771F1A92"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7095D8D1" w14:textId="1F1CD396"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Number </w:t>
            </w:r>
            <w:r w:rsidR="00E23A8C">
              <w:rPr>
                <w:rFonts w:cs="Arial"/>
                <w:color w:val="000000"/>
                <w:sz w:val="16"/>
                <w:szCs w:val="16"/>
                <w:lang w:eastAsia="tr-TR"/>
              </w:rPr>
              <w:t xml:space="preserve">and nature </w:t>
            </w:r>
            <w:r w:rsidRPr="00EE43C6">
              <w:rPr>
                <w:rFonts w:cs="Arial"/>
                <w:color w:val="000000"/>
                <w:sz w:val="16"/>
                <w:szCs w:val="16"/>
                <w:lang w:eastAsia="tr-TR"/>
              </w:rPr>
              <w:t xml:space="preserve">of grievances </w:t>
            </w:r>
          </w:p>
          <w:p w14:paraId="3FABC57C"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Percentage of closed grievances within the target timeframe</w:t>
            </w:r>
          </w:p>
        </w:tc>
      </w:tr>
      <w:tr w:rsidR="009155D1" w:rsidRPr="00EE43C6" w14:paraId="0DA78604"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684D86E" w14:textId="51ED2033" w:rsidR="009155D1" w:rsidRPr="00EE43C6" w:rsidRDefault="009155D1" w:rsidP="006751F2">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C1</w:t>
            </w:r>
            <w:r w:rsidR="003210EF" w:rsidRPr="00EE43C6">
              <w:rPr>
                <w:rFonts w:cs="Arial"/>
                <w:color w:val="000000"/>
                <w:sz w:val="16"/>
                <w:szCs w:val="16"/>
                <w:lang w:eastAsia="tr-TR"/>
              </w:rPr>
              <w:t>1</w:t>
            </w:r>
          </w:p>
        </w:tc>
        <w:tc>
          <w:tcPr>
            <w:tcW w:w="1559" w:type="dxa"/>
            <w:tcBorders>
              <w:top w:val="single" w:sz="4" w:space="0" w:color="auto"/>
              <w:left w:val="single" w:sz="4" w:space="0" w:color="auto"/>
              <w:bottom w:val="single" w:sz="4" w:space="0" w:color="auto"/>
              <w:right w:val="single" w:sz="4" w:space="0" w:color="auto"/>
            </w:tcBorders>
            <w:hideMark/>
          </w:tcPr>
          <w:p w14:paraId="116FF391" w14:textId="77777777" w:rsidR="009155D1" w:rsidRPr="00EE43C6" w:rsidRDefault="009155D1" w:rsidP="00D6172A">
            <w:pPr>
              <w:spacing w:before="0" w:after="0" w:line="240" w:lineRule="auto"/>
              <w:jc w:val="left"/>
              <w:rPr>
                <w:rFonts w:eastAsia="Arial TUR" w:cs="Arial"/>
                <w:color w:val="000000"/>
                <w:sz w:val="16"/>
                <w:szCs w:val="16"/>
                <w:lang w:eastAsia="tr-TR"/>
              </w:rPr>
            </w:pPr>
            <w:r w:rsidRPr="00EE43C6">
              <w:rPr>
                <w:rFonts w:eastAsia="Calibri" w:cs="Arial"/>
                <w:b/>
                <w:bCs/>
                <w:sz w:val="16"/>
                <w:szCs w:val="16"/>
                <w:lang w:eastAsia="en-US"/>
              </w:rPr>
              <w:t>Documentation</w:t>
            </w:r>
          </w:p>
        </w:tc>
        <w:tc>
          <w:tcPr>
            <w:tcW w:w="1276" w:type="dxa"/>
            <w:tcBorders>
              <w:top w:val="single" w:sz="4" w:space="0" w:color="auto"/>
              <w:left w:val="single" w:sz="4" w:space="0" w:color="auto"/>
              <w:bottom w:val="single" w:sz="4" w:space="0" w:color="auto"/>
              <w:right w:val="single" w:sz="4" w:space="0" w:color="auto"/>
            </w:tcBorders>
            <w:noWrap/>
            <w:hideMark/>
          </w:tcPr>
          <w:p w14:paraId="0EDFC1F8"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Missing documentation</w:t>
            </w:r>
          </w:p>
        </w:tc>
        <w:tc>
          <w:tcPr>
            <w:tcW w:w="851" w:type="dxa"/>
            <w:tcBorders>
              <w:top w:val="single" w:sz="4" w:space="0" w:color="auto"/>
              <w:left w:val="single" w:sz="4" w:space="0" w:color="auto"/>
              <w:bottom w:val="single" w:sz="4" w:space="0" w:color="auto"/>
              <w:right w:val="single" w:sz="4" w:space="0" w:color="auto"/>
            </w:tcBorders>
            <w:noWrap/>
            <w:hideMark/>
          </w:tcPr>
          <w:p w14:paraId="3920F4BA"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40594ECC"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Low</w:t>
            </w:r>
          </w:p>
        </w:tc>
        <w:tc>
          <w:tcPr>
            <w:tcW w:w="1134" w:type="dxa"/>
            <w:tcBorders>
              <w:top w:val="single" w:sz="4" w:space="0" w:color="auto"/>
              <w:left w:val="single" w:sz="4" w:space="0" w:color="auto"/>
              <w:bottom w:val="single" w:sz="4" w:space="0" w:color="auto"/>
              <w:right w:val="single" w:sz="4" w:space="0" w:color="auto"/>
            </w:tcBorders>
            <w:hideMark/>
          </w:tcPr>
          <w:p w14:paraId="3D30D009" w14:textId="10F93227" w:rsidR="009155D1" w:rsidRPr="000E280D" w:rsidRDefault="00BF38B6" w:rsidP="000E280D">
            <w:pPr>
              <w:tabs>
                <w:tab w:val="left" w:pos="455"/>
              </w:tabs>
              <w:autoSpaceDE w:val="0"/>
              <w:autoSpaceDN w:val="0"/>
              <w:adjustRightInd w:val="0"/>
              <w:spacing w:before="0" w:after="0" w:line="240" w:lineRule="auto"/>
              <w:ind w:left="-87"/>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1599DEC0" w14:textId="0F2FF555" w:rsidR="006F523F" w:rsidRPr="006F2C9A" w:rsidRDefault="006F2C9A" w:rsidP="000E280D">
            <w:pPr>
              <w:numPr>
                <w:ilvl w:val="0"/>
                <w:numId w:val="7"/>
              </w:numPr>
              <w:spacing w:before="60" w:after="60" w:line="240" w:lineRule="auto"/>
              <w:ind w:left="113" w:right="113" w:hanging="181"/>
              <w:jc w:val="left"/>
              <w:rPr>
                <w:rFonts w:eastAsia="Arial TUR" w:cs="Arial"/>
                <w:color w:val="000000"/>
                <w:sz w:val="16"/>
                <w:szCs w:val="16"/>
                <w:lang w:eastAsia="tr-TR"/>
              </w:rPr>
            </w:pPr>
            <w:r>
              <w:rPr>
                <w:rFonts w:eastAsia="Arial TUR" w:cs="Arial"/>
                <w:color w:val="000000"/>
                <w:sz w:val="16"/>
                <w:szCs w:val="16"/>
                <w:lang w:eastAsia="tr-TR"/>
              </w:rPr>
              <w:t xml:space="preserve">All </w:t>
            </w:r>
            <w:r w:rsidR="00576B74">
              <w:rPr>
                <w:rFonts w:eastAsia="Arial TUR" w:cs="Arial"/>
                <w:color w:val="000000"/>
                <w:sz w:val="16"/>
                <w:szCs w:val="16"/>
                <w:lang w:eastAsia="tr-TR"/>
              </w:rPr>
              <w:t xml:space="preserve">specified </w:t>
            </w:r>
            <w:r>
              <w:rPr>
                <w:rFonts w:eastAsia="Arial TUR" w:cs="Arial"/>
                <w:color w:val="000000"/>
                <w:sz w:val="16"/>
                <w:szCs w:val="16"/>
                <w:lang w:eastAsia="tr-TR"/>
              </w:rPr>
              <w:t>management plan</w:t>
            </w:r>
            <w:r w:rsidR="00576B74">
              <w:rPr>
                <w:rFonts w:eastAsia="Arial TUR" w:cs="Arial"/>
                <w:color w:val="000000"/>
                <w:sz w:val="16"/>
                <w:szCs w:val="16"/>
                <w:lang w:eastAsia="tr-TR"/>
              </w:rPr>
              <w:t xml:space="preserve"> </w:t>
            </w:r>
            <w:r w:rsidR="00FF1184">
              <w:rPr>
                <w:rFonts w:eastAsia="Arial TUR" w:cs="Arial"/>
                <w:color w:val="000000"/>
                <w:sz w:val="16"/>
                <w:szCs w:val="16"/>
                <w:lang w:eastAsia="tr-TR"/>
              </w:rPr>
              <w:t xml:space="preserve">including Contractor Management Plan </w:t>
            </w:r>
            <w:r w:rsidR="00576B74">
              <w:rPr>
                <w:rFonts w:eastAsia="Arial TUR" w:cs="Arial"/>
                <w:color w:val="000000"/>
                <w:sz w:val="16"/>
                <w:szCs w:val="16"/>
                <w:lang w:eastAsia="tr-TR"/>
              </w:rPr>
              <w:t xml:space="preserve">for the construction phase of the Project will be </w:t>
            </w:r>
            <w:r w:rsidR="00D51649">
              <w:rPr>
                <w:rFonts w:eastAsia="Arial TUR" w:cs="Arial"/>
                <w:color w:val="000000"/>
                <w:sz w:val="16"/>
                <w:szCs w:val="16"/>
                <w:lang w:eastAsia="tr-TR"/>
              </w:rPr>
              <w:t>developed and implemented.</w:t>
            </w:r>
          </w:p>
          <w:p w14:paraId="14A9C0A4" w14:textId="4FFF70DE"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tr-TR"/>
              </w:rPr>
            </w:pPr>
            <w:r w:rsidRPr="00EE43C6">
              <w:rPr>
                <w:rFonts w:eastAsia="Calibri" w:cs="Arial"/>
                <w:color w:val="000000" w:themeColor="text1"/>
                <w:sz w:val="16"/>
                <w:szCs w:val="16"/>
                <w:lang w:eastAsia="en-US"/>
              </w:rPr>
              <w:t>All activities, information meetings, opinions/suggestions, grievances, etc. provided during the construction period will be documented continuously</w:t>
            </w:r>
            <w:r w:rsidR="006F523F">
              <w:rPr>
                <w:rFonts w:eastAsia="Calibri" w:cs="Arial"/>
                <w:color w:val="000000" w:themeColor="text1"/>
                <w:sz w:val="16"/>
                <w:szCs w:val="16"/>
                <w:lang w:eastAsia="en-US"/>
              </w:rPr>
              <w:t>.</w:t>
            </w:r>
          </w:p>
        </w:tc>
        <w:tc>
          <w:tcPr>
            <w:tcW w:w="1418" w:type="dxa"/>
            <w:tcBorders>
              <w:top w:val="single" w:sz="4" w:space="0" w:color="auto"/>
              <w:left w:val="single" w:sz="4" w:space="0" w:color="auto"/>
              <w:bottom w:val="single" w:sz="4" w:space="0" w:color="auto"/>
              <w:right w:val="single" w:sz="4" w:space="0" w:color="auto"/>
            </w:tcBorders>
            <w:hideMark/>
          </w:tcPr>
          <w:p w14:paraId="4F4FFF1C"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Contractor</w:t>
            </w:r>
          </w:p>
          <w:p w14:paraId="4AFAC377" w14:textId="0326E895" w:rsidR="009155D1" w:rsidRPr="00EE43C6" w:rsidRDefault="00CB7D7D"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11299475" w14:textId="05F957F7"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03311962" w14:textId="77777777" w:rsidR="009155D1" w:rsidRPr="00EE43C6" w:rsidRDefault="009155D1" w:rsidP="000E280D">
            <w:pPr>
              <w:spacing w:before="60" w:after="60" w:line="240" w:lineRule="auto"/>
              <w:ind w:left="113" w:right="113"/>
              <w:jc w:val="left"/>
              <w:rPr>
                <w:rFonts w:eastAsia="Arial TUR" w:cs="Arial"/>
                <w:color w:val="000000"/>
                <w:sz w:val="16"/>
                <w:szCs w:val="16"/>
                <w:lang w:eastAsia="tr-TR"/>
              </w:rPr>
            </w:pPr>
            <w:r w:rsidRPr="00EE43C6">
              <w:rPr>
                <w:rFonts w:eastAsia="Calibri" w:cs="Arial"/>
                <w:bCs/>
                <w:color w:val="000000"/>
                <w:sz w:val="16"/>
                <w:szCs w:val="16"/>
                <w:lang w:eastAsia="tr-TR"/>
              </w:rPr>
              <w:t>N/A</w:t>
            </w:r>
          </w:p>
        </w:tc>
      </w:tr>
      <w:tr w:rsidR="009155D1" w:rsidRPr="00EE43C6" w14:paraId="0E08187B"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ECD10E2" w14:textId="4305ABAE" w:rsidR="009155D1" w:rsidRPr="00EE43C6" w:rsidRDefault="009155D1" w:rsidP="006751F2">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C1</w:t>
            </w:r>
            <w:r w:rsidR="003210EF" w:rsidRPr="00EE43C6">
              <w:rPr>
                <w:rFonts w:cs="Arial"/>
                <w:color w:val="000000"/>
                <w:sz w:val="16"/>
                <w:szCs w:val="16"/>
                <w:lang w:eastAsia="tr-TR"/>
              </w:rPr>
              <w:t>2</w:t>
            </w:r>
          </w:p>
        </w:tc>
        <w:tc>
          <w:tcPr>
            <w:tcW w:w="1559" w:type="dxa"/>
            <w:tcBorders>
              <w:top w:val="single" w:sz="4" w:space="0" w:color="auto"/>
              <w:left w:val="single" w:sz="4" w:space="0" w:color="auto"/>
              <w:bottom w:val="single" w:sz="4" w:space="0" w:color="auto"/>
              <w:right w:val="single" w:sz="4" w:space="0" w:color="auto"/>
            </w:tcBorders>
            <w:hideMark/>
          </w:tcPr>
          <w:p w14:paraId="4C0D9F3E" w14:textId="77777777" w:rsidR="009155D1" w:rsidRPr="00EE43C6" w:rsidRDefault="009155D1" w:rsidP="00D6172A">
            <w:pPr>
              <w:spacing w:before="0" w:after="0" w:line="240" w:lineRule="auto"/>
              <w:jc w:val="left"/>
              <w:rPr>
                <w:rFonts w:eastAsia="Arial TUR" w:cs="Arial"/>
                <w:color w:val="000000"/>
                <w:sz w:val="16"/>
                <w:szCs w:val="16"/>
                <w:lang w:eastAsia="tr-TR"/>
              </w:rPr>
            </w:pPr>
            <w:r w:rsidRPr="00EE43C6">
              <w:rPr>
                <w:rFonts w:eastAsia="Arial TUR" w:cs="Arial"/>
                <w:b/>
                <w:sz w:val="16"/>
                <w:szCs w:val="16"/>
                <w:lang w:eastAsia="en-US"/>
              </w:rPr>
              <w:t>Sustainable Development Goals</w:t>
            </w:r>
            <w:r w:rsidRPr="00EE43C6">
              <w:rPr>
                <w:rFonts w:eastAsia="Arial TUR" w:cs="Arial"/>
                <w:b/>
                <w:sz w:val="16"/>
                <w:szCs w:val="16"/>
                <w:vertAlign w:val="superscript"/>
                <w:lang w:eastAsia="en-US"/>
              </w:rPr>
              <w:footnoteReference w:id="32"/>
            </w:r>
          </w:p>
        </w:tc>
        <w:tc>
          <w:tcPr>
            <w:tcW w:w="1276" w:type="dxa"/>
            <w:tcBorders>
              <w:top w:val="single" w:sz="4" w:space="0" w:color="auto"/>
              <w:left w:val="single" w:sz="4" w:space="0" w:color="auto"/>
              <w:bottom w:val="single" w:sz="4" w:space="0" w:color="auto"/>
              <w:right w:val="single" w:sz="4" w:space="0" w:color="auto"/>
            </w:tcBorders>
            <w:noWrap/>
            <w:hideMark/>
          </w:tcPr>
          <w:p w14:paraId="41A2F227"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Failure to set sustainable goals</w:t>
            </w:r>
          </w:p>
        </w:tc>
        <w:tc>
          <w:tcPr>
            <w:tcW w:w="851" w:type="dxa"/>
            <w:tcBorders>
              <w:top w:val="single" w:sz="4" w:space="0" w:color="auto"/>
              <w:left w:val="single" w:sz="4" w:space="0" w:color="auto"/>
              <w:bottom w:val="single" w:sz="4" w:space="0" w:color="auto"/>
              <w:right w:val="single" w:sz="4" w:space="0" w:color="auto"/>
            </w:tcBorders>
            <w:noWrap/>
            <w:hideMark/>
          </w:tcPr>
          <w:p w14:paraId="233099D6"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p w14:paraId="1A8A6E27"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4BB0859D"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Low</w:t>
            </w:r>
          </w:p>
        </w:tc>
        <w:tc>
          <w:tcPr>
            <w:tcW w:w="1134" w:type="dxa"/>
            <w:tcBorders>
              <w:top w:val="single" w:sz="4" w:space="0" w:color="auto"/>
              <w:left w:val="single" w:sz="4" w:space="0" w:color="auto"/>
              <w:bottom w:val="single" w:sz="4" w:space="0" w:color="auto"/>
              <w:right w:val="single" w:sz="4" w:space="0" w:color="auto"/>
            </w:tcBorders>
            <w:hideMark/>
          </w:tcPr>
          <w:p w14:paraId="4E02C1C2" w14:textId="4B97FDD0" w:rsidR="009155D1" w:rsidRPr="000E280D" w:rsidRDefault="00BF38B6" w:rsidP="000E280D">
            <w:pPr>
              <w:tabs>
                <w:tab w:val="left" w:pos="455"/>
              </w:tabs>
              <w:autoSpaceDE w:val="0"/>
              <w:autoSpaceDN w:val="0"/>
              <w:adjustRightInd w:val="0"/>
              <w:spacing w:before="0" w:after="0" w:line="240" w:lineRule="auto"/>
              <w:ind w:left="-87"/>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5AD014A1"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Throughout the life of the project, workers will be recruited from the region as much as possible.</w:t>
            </w:r>
          </w:p>
          <w:p w14:paraId="7BB44691"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tr-TR"/>
              </w:rPr>
            </w:pPr>
            <w:r w:rsidRPr="00EE43C6">
              <w:rPr>
                <w:rFonts w:eastAsia="Calibri" w:cs="Arial"/>
                <w:color w:val="000000"/>
                <w:sz w:val="16"/>
                <w:szCs w:val="16"/>
                <w:lang w:eastAsia="en-US"/>
              </w:rPr>
              <w:t xml:space="preserve">Throughout the life of the project, priority will be given to working with local suppliers and procuring services from the local employees in the service industry, as much as possible </w:t>
            </w:r>
            <w:r w:rsidRPr="00EE43C6">
              <w:rPr>
                <w:rFonts w:eastAsia="Calibri" w:cs="Arial"/>
                <w:color w:val="000000"/>
                <w:sz w:val="16"/>
                <w:szCs w:val="16"/>
                <w:lang w:eastAsia="en-US"/>
              </w:rPr>
              <w:lastRenderedPageBreak/>
              <w:t>(fuel supply, vehicle maintenance/food, beverage, and spare parts supply, etc.).</w:t>
            </w:r>
          </w:p>
        </w:tc>
        <w:tc>
          <w:tcPr>
            <w:tcW w:w="1418" w:type="dxa"/>
            <w:tcBorders>
              <w:top w:val="single" w:sz="4" w:space="0" w:color="auto"/>
              <w:left w:val="single" w:sz="4" w:space="0" w:color="auto"/>
              <w:bottom w:val="single" w:sz="4" w:space="0" w:color="auto"/>
              <w:right w:val="single" w:sz="4" w:space="0" w:color="auto"/>
            </w:tcBorders>
            <w:hideMark/>
          </w:tcPr>
          <w:p w14:paraId="4E041FF6"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lastRenderedPageBreak/>
              <w:t>Contractor</w:t>
            </w:r>
          </w:p>
          <w:p w14:paraId="0F4B00CE" w14:textId="67FBFA88" w:rsidR="009155D1" w:rsidRPr="00EE43C6" w:rsidRDefault="00CB7D7D"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4B6A898B" w14:textId="0E5F7522"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512B87DD" w14:textId="77777777" w:rsidR="009155D1" w:rsidRPr="00EE43C6" w:rsidRDefault="009155D1" w:rsidP="000E280D">
            <w:pPr>
              <w:spacing w:before="60" w:after="60" w:line="240" w:lineRule="auto"/>
              <w:ind w:left="113" w:right="113"/>
              <w:jc w:val="left"/>
              <w:rPr>
                <w:rFonts w:eastAsia="Arial TUR" w:cs="Arial"/>
                <w:color w:val="000000"/>
                <w:sz w:val="16"/>
                <w:szCs w:val="16"/>
                <w:lang w:eastAsia="tr-TR"/>
              </w:rPr>
            </w:pPr>
            <w:r w:rsidRPr="00EE43C6">
              <w:rPr>
                <w:rFonts w:eastAsia="Calibri" w:cs="Arial"/>
                <w:bCs/>
                <w:color w:val="000000"/>
                <w:sz w:val="16"/>
                <w:szCs w:val="16"/>
                <w:lang w:eastAsia="tr-TR"/>
              </w:rPr>
              <w:t>N/A</w:t>
            </w:r>
          </w:p>
        </w:tc>
      </w:tr>
      <w:tr w:rsidR="009155D1" w:rsidRPr="00EE43C6" w14:paraId="02516A6C"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679FEF70" w14:textId="20F0F8F8" w:rsidR="009155D1" w:rsidRPr="00EE43C6" w:rsidRDefault="009155D1" w:rsidP="00D6172A">
            <w:pPr>
              <w:autoSpaceDE w:val="0"/>
              <w:autoSpaceDN w:val="0"/>
              <w:adjustRightInd w:val="0"/>
              <w:spacing w:before="0" w:after="0" w:line="240" w:lineRule="auto"/>
              <w:jc w:val="center"/>
              <w:rPr>
                <w:rFonts w:cs="Arial"/>
                <w:color w:val="000000"/>
                <w:sz w:val="16"/>
                <w:szCs w:val="16"/>
                <w:lang w:eastAsia="tr-TR"/>
              </w:rPr>
            </w:pPr>
            <w:r w:rsidRPr="00EE43C6">
              <w:rPr>
                <w:rFonts w:cs="Arial"/>
                <w:color w:val="000000"/>
                <w:sz w:val="16"/>
                <w:szCs w:val="16"/>
                <w:lang w:eastAsia="tr-TR"/>
              </w:rPr>
              <w:t>C1</w:t>
            </w:r>
            <w:r w:rsidR="003210EF" w:rsidRPr="00EE43C6">
              <w:rPr>
                <w:rFonts w:cs="Arial"/>
                <w:color w:val="000000"/>
                <w:sz w:val="16"/>
                <w:szCs w:val="16"/>
                <w:lang w:eastAsia="tr-TR"/>
              </w:rPr>
              <w:t>3</w:t>
            </w:r>
          </w:p>
        </w:tc>
        <w:tc>
          <w:tcPr>
            <w:tcW w:w="1559" w:type="dxa"/>
            <w:tcBorders>
              <w:top w:val="single" w:sz="4" w:space="0" w:color="auto"/>
              <w:left w:val="single" w:sz="4" w:space="0" w:color="auto"/>
              <w:bottom w:val="single" w:sz="4" w:space="0" w:color="auto"/>
              <w:right w:val="single" w:sz="4" w:space="0" w:color="auto"/>
            </w:tcBorders>
            <w:hideMark/>
          </w:tcPr>
          <w:p w14:paraId="7DB183D6" w14:textId="77777777" w:rsidR="009155D1" w:rsidRPr="00EE43C6" w:rsidRDefault="009155D1" w:rsidP="00D6172A">
            <w:pPr>
              <w:spacing w:before="0" w:after="0" w:line="240" w:lineRule="auto"/>
              <w:jc w:val="left"/>
              <w:rPr>
                <w:rFonts w:eastAsia="Arial TUR" w:cs="Arial"/>
                <w:color w:val="000000"/>
                <w:sz w:val="16"/>
                <w:szCs w:val="16"/>
                <w:lang w:eastAsia="tr-TR"/>
              </w:rPr>
            </w:pPr>
            <w:r w:rsidRPr="00EE43C6">
              <w:rPr>
                <w:rFonts w:eastAsia="Calibri" w:cs="Arial"/>
                <w:b/>
                <w:bCs/>
                <w:sz w:val="16"/>
                <w:szCs w:val="16"/>
                <w:lang w:eastAsia="en-US"/>
              </w:rPr>
              <w:t>Traffic and Pedestrian Safety</w:t>
            </w:r>
          </w:p>
        </w:tc>
        <w:tc>
          <w:tcPr>
            <w:tcW w:w="1276" w:type="dxa"/>
            <w:tcBorders>
              <w:top w:val="single" w:sz="4" w:space="0" w:color="auto"/>
              <w:left w:val="single" w:sz="4" w:space="0" w:color="auto"/>
              <w:bottom w:val="single" w:sz="4" w:space="0" w:color="auto"/>
              <w:right w:val="single" w:sz="4" w:space="0" w:color="auto"/>
            </w:tcBorders>
            <w:noWrap/>
            <w:hideMark/>
          </w:tcPr>
          <w:p w14:paraId="1E1B9504" w14:textId="77777777" w:rsidR="009155D1" w:rsidRPr="00EE43C6" w:rsidRDefault="009155D1" w:rsidP="00D6172A">
            <w:pPr>
              <w:spacing w:before="0" w:after="0" w:line="240" w:lineRule="auto"/>
              <w:ind w:right="-109"/>
              <w:jc w:val="left"/>
              <w:rPr>
                <w:rFonts w:eastAsia="Arial TUR" w:cs="Arial"/>
                <w:color w:val="000000"/>
                <w:sz w:val="16"/>
                <w:szCs w:val="16"/>
                <w:lang w:eastAsia="tr-TR"/>
              </w:rPr>
            </w:pPr>
            <w:r w:rsidRPr="00EE43C6">
              <w:rPr>
                <w:rFonts w:eastAsia="Calibri" w:cs="Arial"/>
                <w:bCs/>
                <w:sz w:val="16"/>
                <w:szCs w:val="16"/>
                <w:lang w:eastAsia="en-US"/>
              </w:rPr>
              <w:t xml:space="preserve">Direct and indirect threats posed by construction activities against traffic and pedestrians  </w:t>
            </w:r>
          </w:p>
        </w:tc>
        <w:tc>
          <w:tcPr>
            <w:tcW w:w="851" w:type="dxa"/>
            <w:tcBorders>
              <w:top w:val="single" w:sz="4" w:space="0" w:color="auto"/>
              <w:left w:val="single" w:sz="4" w:space="0" w:color="auto"/>
              <w:bottom w:val="single" w:sz="4" w:space="0" w:color="auto"/>
              <w:right w:val="single" w:sz="4" w:space="0" w:color="auto"/>
            </w:tcBorders>
            <w:noWrap/>
            <w:hideMark/>
          </w:tcPr>
          <w:p w14:paraId="23308010"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16ADB5D7"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Medium</w:t>
            </w:r>
          </w:p>
        </w:tc>
        <w:tc>
          <w:tcPr>
            <w:tcW w:w="1134" w:type="dxa"/>
            <w:tcBorders>
              <w:top w:val="single" w:sz="4" w:space="0" w:color="auto"/>
              <w:left w:val="single" w:sz="4" w:space="0" w:color="auto"/>
              <w:bottom w:val="single" w:sz="4" w:space="0" w:color="auto"/>
              <w:right w:val="single" w:sz="4" w:space="0" w:color="auto"/>
            </w:tcBorders>
            <w:hideMark/>
          </w:tcPr>
          <w:p w14:paraId="2125AC49" w14:textId="578C04DB" w:rsidR="009155D1" w:rsidRPr="000E280D" w:rsidRDefault="00BF38B6" w:rsidP="000E280D">
            <w:pPr>
              <w:tabs>
                <w:tab w:val="left" w:pos="455"/>
              </w:tabs>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1E86E2D9" w14:textId="3BA7A6CC" w:rsidR="00434AE0" w:rsidRDefault="00434AE0" w:rsidP="000E280D">
            <w:pPr>
              <w:numPr>
                <w:ilvl w:val="0"/>
                <w:numId w:val="7"/>
              </w:numPr>
              <w:spacing w:before="60" w:after="60" w:line="240" w:lineRule="auto"/>
              <w:ind w:left="113" w:right="113" w:hanging="180"/>
              <w:jc w:val="left"/>
              <w:rPr>
                <w:rFonts w:eastAsia="Arial TUR" w:cs="Arial"/>
                <w:color w:val="000000"/>
                <w:sz w:val="16"/>
                <w:szCs w:val="16"/>
                <w:lang w:eastAsia="en-US"/>
              </w:rPr>
            </w:pPr>
            <w:r>
              <w:rPr>
                <w:rFonts w:eastAsia="Arial TUR" w:cs="Arial"/>
                <w:color w:val="000000"/>
                <w:sz w:val="16"/>
                <w:szCs w:val="16"/>
                <w:lang w:eastAsia="en-US"/>
              </w:rPr>
              <w:t>Transport and Traffic Management Plan will be prepared for the construction phase of the Project.</w:t>
            </w:r>
          </w:p>
          <w:p w14:paraId="0F7A1B96" w14:textId="2F0CF104" w:rsidR="00C709DC" w:rsidRPr="00EE43C6" w:rsidRDefault="00C709DC"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For earthmoving trucks, times of low traffic density should be preferred, and necessary warning signs should be placed on special access roads</w:t>
            </w:r>
            <w:r w:rsidR="00F81B82" w:rsidRPr="00EE43C6">
              <w:rPr>
                <w:rFonts w:eastAsia="Arial TUR" w:cs="Arial"/>
                <w:color w:val="000000"/>
                <w:sz w:val="16"/>
                <w:szCs w:val="16"/>
                <w:lang w:eastAsia="en-US"/>
              </w:rPr>
              <w:t>.</w:t>
            </w:r>
          </w:p>
          <w:p w14:paraId="34566678" w14:textId="05E36B76" w:rsidR="00DE0F92" w:rsidRPr="00EE43C6" w:rsidRDefault="00DE0F92"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Personnel operating vehicles and construction equipment will be specially assigned and provided with traffic and road safety training.</w:t>
            </w:r>
          </w:p>
          <w:p w14:paraId="7148130D" w14:textId="75E9A458" w:rsidR="00DE0F92" w:rsidRPr="00EE43C6" w:rsidRDefault="00DE0F92"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Construction machinery and equipment will be regularly maintained and regulatory speed limits for construction vehicles will be adhered to, and this should be included in the site transport and traffic management plan to be prepared by the Contractor.</w:t>
            </w:r>
          </w:p>
          <w:p w14:paraId="3D4F2252" w14:textId="638F6748"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Actions will be taken to ensure that any vehicles operating during the construction period obey the set speed limit (30 km/hr).</w:t>
            </w:r>
          </w:p>
          <w:p w14:paraId="1FE4674D"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Traffic and warning signs will be placed around and near the project area.</w:t>
            </w:r>
          </w:p>
          <w:p w14:paraId="185BC1B4"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The project area will be made visible.</w:t>
            </w:r>
          </w:p>
          <w:p w14:paraId="1322C9DF"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cs="Arial"/>
                <w:color w:val="000000"/>
                <w:sz w:val="16"/>
                <w:szCs w:val="16"/>
              </w:rPr>
              <w:t>Local people will be informed about potential hazards and risks</w:t>
            </w:r>
            <w:r w:rsidRPr="00EE43C6">
              <w:rPr>
                <w:rFonts w:eastAsia="Arial TUR" w:cs="Arial"/>
                <w:color w:val="000000"/>
                <w:sz w:val="16"/>
                <w:szCs w:val="16"/>
                <w:lang w:eastAsia="en-US"/>
              </w:rPr>
              <w:t xml:space="preserve"> through brochures and posters left in common areas frequently used by local people such as headman's offices, hospital, health centre, mosque, coffee house and marketplace.</w:t>
            </w:r>
          </w:p>
          <w:p w14:paraId="38A71B52"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 xml:space="preserve">The activities affecting the local traffic will be planned considering the rush hours of the traffic as much as possible. </w:t>
            </w:r>
          </w:p>
          <w:p w14:paraId="7DCFF22D"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All drivers involved in the project will be informed about road safety, speed limits, and traffic rules to be followed during the project, and requirements to be observed.</w:t>
            </w:r>
          </w:p>
          <w:p w14:paraId="2D8A9CF0" w14:textId="6B3DEBE1"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 xml:space="preserve">The weight of all vehicles will not exceed the legal limits according To Highway Traffic Regulation which is </w:t>
            </w:r>
            <w:r w:rsidRPr="00EE43C6">
              <w:rPr>
                <w:rFonts w:cs="Arial"/>
                <w:color w:val="000000"/>
                <w:sz w:val="16"/>
                <w:szCs w:val="16"/>
              </w:rPr>
              <w:t xml:space="preserve">given in </w:t>
            </w:r>
            <w:r w:rsidRPr="00EE43C6">
              <w:rPr>
                <w:rFonts w:cs="Arial"/>
                <w:color w:val="000000"/>
                <w:sz w:val="16"/>
                <w:szCs w:val="16"/>
              </w:rPr>
              <w:fldChar w:fldCharType="begin"/>
            </w:r>
            <w:r w:rsidRPr="00EE43C6">
              <w:rPr>
                <w:rFonts w:cs="Arial"/>
                <w:color w:val="000000"/>
                <w:sz w:val="16"/>
                <w:szCs w:val="16"/>
              </w:rPr>
              <w:instrText xml:space="preserve"> REF _Ref118897310 \h  \* MERGEFORMAT </w:instrText>
            </w:r>
            <w:r w:rsidRPr="00EE43C6">
              <w:rPr>
                <w:rFonts w:cs="Arial"/>
                <w:color w:val="000000"/>
                <w:sz w:val="16"/>
                <w:szCs w:val="16"/>
              </w:rPr>
            </w:r>
            <w:r w:rsidRPr="00EE43C6">
              <w:rPr>
                <w:rFonts w:cs="Arial"/>
                <w:color w:val="000000"/>
                <w:sz w:val="16"/>
                <w:szCs w:val="16"/>
              </w:rPr>
              <w:fldChar w:fldCharType="separate"/>
            </w:r>
            <w:r w:rsidR="00CE3B94" w:rsidRPr="00EE43C6">
              <w:rPr>
                <w:rFonts w:cs="Arial"/>
                <w:color w:val="000000"/>
                <w:sz w:val="16"/>
                <w:szCs w:val="16"/>
              </w:rPr>
              <w:t>Table 3</w:t>
            </w:r>
            <w:r w:rsidR="00CE3B94" w:rsidRPr="00EE43C6">
              <w:rPr>
                <w:rFonts w:cs="Arial"/>
                <w:color w:val="000000"/>
                <w:sz w:val="16"/>
                <w:szCs w:val="16"/>
              </w:rPr>
              <w:noBreakHyphen/>
              <w:t>1</w:t>
            </w:r>
            <w:r w:rsidRPr="00EE43C6">
              <w:rPr>
                <w:rFonts w:cs="Arial"/>
                <w:color w:val="000000"/>
                <w:sz w:val="16"/>
                <w:szCs w:val="16"/>
              </w:rPr>
              <w:fldChar w:fldCharType="end"/>
            </w:r>
            <w:r w:rsidRPr="00EE43C6">
              <w:rPr>
                <w:rFonts w:eastAsia="Arial TUR" w:cs="Arial"/>
                <w:color w:val="000000"/>
                <w:sz w:val="16"/>
                <w:szCs w:val="16"/>
                <w:lang w:eastAsia="en-US"/>
              </w:rPr>
              <w:t>.</w:t>
            </w:r>
          </w:p>
          <w:p w14:paraId="39B36EF1"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 xml:space="preserve">In case of hazardous chemical or waste storage on site, the transfer of these wastes will be performed out by licensed carriers not to pose a threat to community health. </w:t>
            </w:r>
          </w:p>
          <w:p w14:paraId="33B3DF87"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 xml:space="preserve">The routes developed in agreement with the competent authorities will be used for special cargos. The designated </w:t>
            </w:r>
            <w:r w:rsidRPr="00EE43C6">
              <w:rPr>
                <w:rFonts w:eastAsia="Arial TUR" w:cs="Arial"/>
                <w:color w:val="000000"/>
                <w:sz w:val="16"/>
                <w:szCs w:val="16"/>
                <w:lang w:eastAsia="en-US"/>
              </w:rPr>
              <w:lastRenderedPageBreak/>
              <w:t xml:space="preserve">routes will be programmed to prevent traffic congestion on the roads and will be published in advance to prevent possible disturbance. </w:t>
            </w:r>
          </w:p>
          <w:p w14:paraId="16931EEE"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tr-TR"/>
              </w:rPr>
            </w:pPr>
            <w:r w:rsidRPr="00EE43C6">
              <w:rPr>
                <w:rFonts w:eastAsia="Arial TUR" w:cs="Arial"/>
                <w:color w:val="000000"/>
                <w:sz w:val="16"/>
                <w:szCs w:val="16"/>
                <w:lang w:eastAsia="en-US"/>
              </w:rPr>
              <w:t xml:space="preserve">The arrangements in traffic will be discussed with the Municipality and planned jointly.  </w:t>
            </w:r>
          </w:p>
          <w:p w14:paraId="25163E9E"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tr-TR"/>
              </w:rPr>
            </w:pPr>
            <w:r w:rsidRPr="00EE43C6">
              <w:rPr>
                <w:rFonts w:eastAsia="Calibri" w:cs="Arial"/>
                <w:color w:val="000000"/>
                <w:sz w:val="16"/>
                <w:szCs w:val="16"/>
                <w:lang w:eastAsia="en-US"/>
              </w:rPr>
              <w:t>To prevent unauthorized access to the construction site, the construction site will be surrounded by fence/curtain/protection tape, and uncontrolled entrances will be prevented.</w:t>
            </w:r>
          </w:p>
        </w:tc>
        <w:tc>
          <w:tcPr>
            <w:tcW w:w="1418" w:type="dxa"/>
            <w:tcBorders>
              <w:top w:val="single" w:sz="4" w:space="0" w:color="auto"/>
              <w:left w:val="single" w:sz="4" w:space="0" w:color="auto"/>
              <w:bottom w:val="single" w:sz="4" w:space="0" w:color="auto"/>
              <w:right w:val="single" w:sz="4" w:space="0" w:color="auto"/>
            </w:tcBorders>
            <w:hideMark/>
          </w:tcPr>
          <w:p w14:paraId="616D090A"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lastRenderedPageBreak/>
              <w:t>Contractor</w:t>
            </w:r>
          </w:p>
          <w:p w14:paraId="2F00B613" w14:textId="6CF2ED63" w:rsidR="009155D1" w:rsidRPr="00EE43C6" w:rsidRDefault="00CB7D7D"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4955D0E4" w14:textId="2360E3F2"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7C3B9A6F"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Number of non-compliances against the mitigation controls identified in Traffic Management Plan</w:t>
            </w:r>
          </w:p>
          <w:p w14:paraId="15A08BD6"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Number of drivers found to be exceeding speed limits or driving unsafely</w:t>
            </w:r>
          </w:p>
          <w:p w14:paraId="4B215FCB"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Number of road traffic accidents involving:</w:t>
            </w:r>
          </w:p>
          <w:p w14:paraId="5A64BA6C"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Accidental injuries and deaths,</w:t>
            </w:r>
          </w:p>
          <w:p w14:paraId="6550AC9B"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Spillages (such as cargo or fuel),</w:t>
            </w:r>
          </w:p>
          <w:p w14:paraId="62FA9B4F"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Wildlife-vehicle collisions.</w:t>
            </w:r>
          </w:p>
          <w:p w14:paraId="43252035"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t>Number of traffic-related grievances</w:t>
            </w:r>
          </w:p>
        </w:tc>
      </w:tr>
      <w:tr w:rsidR="009155D1" w:rsidRPr="00EE43C6" w14:paraId="21368A5E"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086C6A8F" w14:textId="31A31954" w:rsidR="009155D1" w:rsidRPr="00EE43C6" w:rsidRDefault="009155D1" w:rsidP="00D6172A">
            <w:pPr>
              <w:autoSpaceDE w:val="0"/>
              <w:autoSpaceDN w:val="0"/>
              <w:adjustRightInd w:val="0"/>
              <w:spacing w:before="0" w:after="0" w:line="240" w:lineRule="auto"/>
              <w:jc w:val="center"/>
              <w:rPr>
                <w:rFonts w:cs="Arial"/>
                <w:color w:val="000000"/>
                <w:sz w:val="16"/>
                <w:szCs w:val="16"/>
                <w:lang w:eastAsia="tr-TR"/>
              </w:rPr>
            </w:pPr>
            <w:r w:rsidRPr="00EE43C6">
              <w:rPr>
                <w:rFonts w:cs="Arial"/>
                <w:color w:val="000000"/>
                <w:sz w:val="16"/>
                <w:szCs w:val="16"/>
                <w:lang w:eastAsia="tr-TR"/>
              </w:rPr>
              <w:t>C1</w:t>
            </w:r>
            <w:r w:rsidR="003210EF" w:rsidRPr="00EE43C6">
              <w:rPr>
                <w:rFonts w:cs="Arial"/>
                <w:color w:val="000000"/>
                <w:sz w:val="16"/>
                <w:szCs w:val="16"/>
                <w:lang w:eastAsia="tr-TR"/>
              </w:rPr>
              <w:t>4</w:t>
            </w:r>
          </w:p>
        </w:tc>
        <w:tc>
          <w:tcPr>
            <w:tcW w:w="1559" w:type="dxa"/>
            <w:tcBorders>
              <w:top w:val="single" w:sz="4" w:space="0" w:color="auto"/>
              <w:left w:val="single" w:sz="4" w:space="0" w:color="auto"/>
              <w:bottom w:val="single" w:sz="4" w:space="0" w:color="auto"/>
              <w:right w:val="single" w:sz="4" w:space="0" w:color="auto"/>
            </w:tcBorders>
            <w:hideMark/>
          </w:tcPr>
          <w:p w14:paraId="4240A1B4" w14:textId="77777777" w:rsidR="009155D1" w:rsidRPr="00EE43C6" w:rsidRDefault="009155D1" w:rsidP="00D6172A">
            <w:pPr>
              <w:autoSpaceDE w:val="0"/>
              <w:autoSpaceDN w:val="0"/>
              <w:adjustRightInd w:val="0"/>
              <w:spacing w:before="0" w:after="0" w:line="240" w:lineRule="auto"/>
              <w:ind w:left="-17" w:hanging="14"/>
              <w:jc w:val="left"/>
              <w:rPr>
                <w:rFonts w:eastAsia="Calibri" w:cs="Arial"/>
                <w:b/>
                <w:bCs/>
                <w:color w:val="000000"/>
                <w:sz w:val="16"/>
                <w:szCs w:val="16"/>
                <w:lang w:eastAsia="en-US"/>
              </w:rPr>
            </w:pPr>
            <w:r w:rsidRPr="00EE43C6">
              <w:rPr>
                <w:rFonts w:eastAsia="Calibri" w:cs="Arial"/>
                <w:b/>
                <w:bCs/>
                <w:color w:val="000000"/>
                <w:sz w:val="16"/>
                <w:szCs w:val="16"/>
                <w:lang w:eastAsia="en-US"/>
              </w:rPr>
              <w:t>Air Quality</w:t>
            </w:r>
          </w:p>
        </w:tc>
        <w:tc>
          <w:tcPr>
            <w:tcW w:w="1276" w:type="dxa"/>
            <w:tcBorders>
              <w:top w:val="single" w:sz="4" w:space="0" w:color="auto"/>
              <w:left w:val="single" w:sz="4" w:space="0" w:color="auto"/>
              <w:bottom w:val="single" w:sz="4" w:space="0" w:color="auto"/>
              <w:right w:val="single" w:sz="4" w:space="0" w:color="auto"/>
            </w:tcBorders>
            <w:noWrap/>
            <w:hideMark/>
          </w:tcPr>
          <w:p w14:paraId="4488583D" w14:textId="77777777" w:rsidR="009155D1" w:rsidRPr="00EE43C6" w:rsidRDefault="009155D1" w:rsidP="00D6172A">
            <w:pPr>
              <w:autoSpaceDE w:val="0"/>
              <w:autoSpaceDN w:val="0"/>
              <w:adjustRightInd w:val="0"/>
              <w:spacing w:before="0" w:after="0" w:line="240" w:lineRule="auto"/>
              <w:ind w:left="-17" w:right="113" w:hanging="14"/>
              <w:jc w:val="left"/>
              <w:rPr>
                <w:rFonts w:eastAsia="Calibri" w:cs="Arial"/>
                <w:color w:val="000000"/>
                <w:sz w:val="16"/>
                <w:szCs w:val="16"/>
                <w:lang w:eastAsia="en-US"/>
              </w:rPr>
            </w:pPr>
            <w:r w:rsidRPr="00EE43C6">
              <w:rPr>
                <w:rFonts w:eastAsia="Calibri" w:cs="Arial"/>
                <w:color w:val="000000"/>
                <w:sz w:val="16"/>
                <w:szCs w:val="16"/>
                <w:lang w:eastAsia="en-US"/>
              </w:rPr>
              <w:t>Air pollution from Construction Works</w:t>
            </w:r>
          </w:p>
        </w:tc>
        <w:tc>
          <w:tcPr>
            <w:tcW w:w="851" w:type="dxa"/>
            <w:tcBorders>
              <w:top w:val="single" w:sz="4" w:space="0" w:color="auto"/>
              <w:left w:val="single" w:sz="4" w:space="0" w:color="auto"/>
              <w:bottom w:val="single" w:sz="4" w:space="0" w:color="auto"/>
              <w:right w:val="single" w:sz="4" w:space="0" w:color="auto"/>
            </w:tcBorders>
            <w:noWrap/>
            <w:hideMark/>
          </w:tcPr>
          <w:p w14:paraId="3DADEF42"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54C07B4F" w14:textId="11402B58" w:rsidR="009155D1" w:rsidRPr="000E280D" w:rsidRDefault="00232B8B"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Medium</w:t>
            </w:r>
          </w:p>
        </w:tc>
        <w:tc>
          <w:tcPr>
            <w:tcW w:w="1134" w:type="dxa"/>
            <w:tcBorders>
              <w:top w:val="single" w:sz="4" w:space="0" w:color="auto"/>
              <w:left w:val="single" w:sz="4" w:space="0" w:color="auto"/>
              <w:bottom w:val="single" w:sz="4" w:space="0" w:color="auto"/>
              <w:right w:val="single" w:sz="4" w:space="0" w:color="auto"/>
            </w:tcBorders>
            <w:hideMark/>
          </w:tcPr>
          <w:p w14:paraId="774778B6" w14:textId="590F8833"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6C372541" w14:textId="622F4D3A" w:rsidR="005E6B5F" w:rsidRDefault="005E6B5F" w:rsidP="000E280D">
            <w:pPr>
              <w:numPr>
                <w:ilvl w:val="0"/>
                <w:numId w:val="7"/>
              </w:numPr>
              <w:spacing w:before="60" w:after="60" w:line="240" w:lineRule="auto"/>
              <w:ind w:left="113" w:right="113" w:hanging="180"/>
              <w:jc w:val="left"/>
              <w:rPr>
                <w:rFonts w:eastAsia="Arial TUR" w:cs="Arial"/>
                <w:color w:val="000000"/>
                <w:sz w:val="16"/>
                <w:szCs w:val="16"/>
                <w:lang w:eastAsia="en-US"/>
              </w:rPr>
            </w:pPr>
            <w:r>
              <w:rPr>
                <w:rFonts w:eastAsia="Arial TUR" w:cs="Arial"/>
                <w:color w:val="000000"/>
                <w:sz w:val="16"/>
                <w:szCs w:val="16"/>
                <w:lang w:eastAsia="en-US"/>
              </w:rPr>
              <w:t xml:space="preserve">Dust Management Plan will be prepared for the construction phase of the Project. </w:t>
            </w:r>
          </w:p>
          <w:p w14:paraId="0BEED75B" w14:textId="3FC7B9FE"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Dust from outdoor sources will be minimized by employing control measures such as covering the piles and increasing the moisture content.</w:t>
            </w:r>
          </w:p>
          <w:p w14:paraId="64C86DA3"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Dust suppression techniques such as the application of water or non-toxic chemicals will be used to minimize dust from vehicle movements.</w:t>
            </w:r>
          </w:p>
          <w:p w14:paraId="7822ED2A"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Truck loading and unloading operations will be carried out with due care, and materials will be prevented from scattering around.</w:t>
            </w:r>
          </w:p>
          <w:p w14:paraId="6EF15420"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Modern equipment and vehicles that can meet the applicable emission standards will be selected for construction works.</w:t>
            </w:r>
          </w:p>
          <w:p w14:paraId="3B3530CF"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All vehicles will have exhaust emission permits and all vehicles will be regularly maintained.</w:t>
            </w:r>
          </w:p>
          <w:p w14:paraId="029E3F4F"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Exhaust systems and emission levels of machinery and vehicles will be checked by the contractor.</w:t>
            </w:r>
          </w:p>
          <w:p w14:paraId="0BEF5F77"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Project Grievance mechanism will be implemented.</w:t>
            </w:r>
          </w:p>
          <w:p w14:paraId="792E20AF"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In case of any complaints, air quality measurement will be carried out at the nearest sensitive receptors in accordance with international standards, and the results will be recorded.</w:t>
            </w:r>
          </w:p>
          <w:p w14:paraId="79A8E334"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Speed limits will be set for construction equipment, and actions will be taken to ensure that such limits are complied with.</w:t>
            </w:r>
          </w:p>
          <w:p w14:paraId="5F214CBB"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During transportation, excavated materials will be covered with nylon canvas or materials with grain size larger than 10 mm</w:t>
            </w:r>
          </w:p>
          <w:p w14:paraId="1B89921B"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t xml:space="preserve">Any damage caused by inadequate dust suppression measures (i.e. pollution of the surrounding area, transport to </w:t>
            </w:r>
            <w:r w:rsidRPr="00EE43C6">
              <w:rPr>
                <w:rFonts w:eastAsia="Calibri" w:cs="Arial"/>
                <w:color w:val="000000"/>
                <w:sz w:val="16"/>
                <w:szCs w:val="16"/>
                <w:lang w:eastAsia="en-US"/>
              </w:rPr>
              <w:lastRenderedPageBreak/>
              <w:t>a residential area by wind, dust deposits by the wind, etc.) will be compensated by the contractor.</w:t>
            </w:r>
          </w:p>
        </w:tc>
        <w:tc>
          <w:tcPr>
            <w:tcW w:w="1418" w:type="dxa"/>
            <w:tcBorders>
              <w:top w:val="single" w:sz="4" w:space="0" w:color="auto"/>
              <w:left w:val="single" w:sz="4" w:space="0" w:color="auto"/>
              <w:bottom w:val="single" w:sz="4" w:space="0" w:color="auto"/>
              <w:right w:val="single" w:sz="4" w:space="0" w:color="auto"/>
            </w:tcBorders>
            <w:hideMark/>
          </w:tcPr>
          <w:p w14:paraId="07B6C611"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lastRenderedPageBreak/>
              <w:t>Contractor</w:t>
            </w:r>
          </w:p>
          <w:p w14:paraId="09D92CC2" w14:textId="5015351B" w:rsidR="009155D1" w:rsidRPr="00EE43C6" w:rsidRDefault="00137E9E"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6B96B2E4" w14:textId="707D12DA"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tc>
        <w:tc>
          <w:tcPr>
            <w:tcW w:w="1843" w:type="dxa"/>
            <w:tcBorders>
              <w:top w:val="single" w:sz="4" w:space="0" w:color="auto"/>
              <w:left w:val="single" w:sz="4" w:space="0" w:color="auto"/>
              <w:bottom w:val="single" w:sz="4" w:space="0" w:color="auto"/>
              <w:right w:val="single" w:sz="4" w:space="0" w:color="auto"/>
            </w:tcBorders>
            <w:hideMark/>
          </w:tcPr>
          <w:p w14:paraId="0F59B94F"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Air Quality incidents</w:t>
            </w:r>
          </w:p>
          <w:p w14:paraId="7D7A533A" w14:textId="77777777" w:rsidR="001A78E1" w:rsidRDefault="001A78E1" w:rsidP="000E280D">
            <w:pPr>
              <w:numPr>
                <w:ilvl w:val="0"/>
                <w:numId w:val="7"/>
              </w:numPr>
              <w:spacing w:before="60" w:after="60" w:line="240" w:lineRule="auto"/>
              <w:ind w:left="113" w:right="113" w:hanging="180"/>
              <w:jc w:val="left"/>
              <w:rPr>
                <w:rFonts w:eastAsia="Arial TUR" w:cs="Arial"/>
                <w:color w:val="000000"/>
                <w:sz w:val="16"/>
                <w:szCs w:val="16"/>
                <w:lang w:eastAsia="en-US"/>
              </w:rPr>
            </w:pPr>
          </w:p>
          <w:p w14:paraId="291F350C" w14:textId="33835E56" w:rsidR="001A78E1" w:rsidRDefault="001A78E1" w:rsidP="000E280D">
            <w:pPr>
              <w:numPr>
                <w:ilvl w:val="0"/>
                <w:numId w:val="7"/>
              </w:numPr>
              <w:spacing w:before="60" w:after="60" w:line="240" w:lineRule="auto"/>
              <w:ind w:left="113" w:right="113" w:hanging="180"/>
              <w:jc w:val="left"/>
              <w:rPr>
                <w:rFonts w:eastAsia="Arial TUR" w:cs="Arial"/>
                <w:color w:val="000000"/>
                <w:sz w:val="16"/>
                <w:szCs w:val="16"/>
                <w:lang w:eastAsia="en-US"/>
              </w:rPr>
            </w:pPr>
            <w:r>
              <w:rPr>
                <w:rFonts w:eastAsia="Arial TUR" w:cs="Arial"/>
                <w:color w:val="000000"/>
                <w:sz w:val="16"/>
                <w:szCs w:val="16"/>
                <w:lang w:eastAsia="en-US"/>
              </w:rPr>
              <w:t>Air Quality incidents</w:t>
            </w:r>
          </w:p>
          <w:p w14:paraId="0026D582"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Records of Non-Compliance with air quality standards</w:t>
            </w:r>
          </w:p>
          <w:p w14:paraId="6CD98C7A" w14:textId="4F128C4A" w:rsidR="009155D1" w:rsidRPr="00EE43C6" w:rsidDel="001A78E1"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sidDel="001A78E1">
              <w:rPr>
                <w:rFonts w:eastAsia="Arial TUR" w:cs="Arial"/>
                <w:color w:val="000000"/>
                <w:sz w:val="16"/>
                <w:szCs w:val="16"/>
                <w:lang w:eastAsia="en-US"/>
              </w:rPr>
              <w:t>Violation on spe</w:t>
            </w:r>
            <w:r w:rsidRPr="00EE43C6">
              <w:rPr>
                <w:rFonts w:eastAsia="Arial TUR" w:cs="Arial"/>
                <w:color w:val="000000"/>
                <w:sz w:val="16"/>
                <w:szCs w:val="16"/>
                <w:lang w:eastAsia="en-US"/>
              </w:rPr>
              <w:t>e</w:t>
            </w:r>
            <w:r w:rsidRPr="00EE43C6" w:rsidDel="001A78E1">
              <w:rPr>
                <w:rFonts w:eastAsia="Arial TUR" w:cs="Arial"/>
                <w:color w:val="000000"/>
                <w:sz w:val="16"/>
                <w:szCs w:val="16"/>
                <w:lang w:eastAsia="en-US"/>
              </w:rPr>
              <w:t>d limit</w:t>
            </w:r>
          </w:p>
          <w:p w14:paraId="70EF239F"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t>Community complaints related to air pollution</w:t>
            </w:r>
          </w:p>
        </w:tc>
      </w:tr>
      <w:tr w:rsidR="009155D1" w:rsidRPr="00EE43C6" w14:paraId="5FA94062"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4466F883" w14:textId="43E900D1" w:rsidR="009155D1" w:rsidRPr="00EE43C6" w:rsidRDefault="009155D1" w:rsidP="00D6172A">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C1</w:t>
            </w:r>
            <w:r w:rsidR="003210EF" w:rsidRPr="00EE43C6">
              <w:rPr>
                <w:rFonts w:cs="Arial"/>
                <w:color w:val="000000"/>
                <w:sz w:val="16"/>
                <w:szCs w:val="16"/>
                <w:lang w:eastAsia="tr-TR"/>
              </w:rPr>
              <w:t>5</w:t>
            </w:r>
          </w:p>
        </w:tc>
        <w:tc>
          <w:tcPr>
            <w:tcW w:w="1559" w:type="dxa"/>
            <w:tcBorders>
              <w:top w:val="single" w:sz="4" w:space="0" w:color="auto"/>
              <w:left w:val="single" w:sz="4" w:space="0" w:color="auto"/>
              <w:bottom w:val="single" w:sz="4" w:space="0" w:color="auto"/>
              <w:right w:val="single" w:sz="4" w:space="0" w:color="auto"/>
            </w:tcBorders>
            <w:hideMark/>
          </w:tcPr>
          <w:p w14:paraId="3D58948E" w14:textId="77777777" w:rsidR="009155D1" w:rsidRPr="00EE43C6" w:rsidRDefault="009155D1" w:rsidP="00D6172A">
            <w:pPr>
              <w:keepNext/>
              <w:spacing w:before="0" w:after="0" w:line="240" w:lineRule="auto"/>
              <w:ind w:left="113" w:hanging="18"/>
              <w:jc w:val="left"/>
              <w:rPr>
                <w:rFonts w:eastAsia="Arial TUR" w:cs="Arial"/>
                <w:color w:val="000000"/>
                <w:sz w:val="16"/>
                <w:szCs w:val="16"/>
                <w:lang w:eastAsia="tr-TR"/>
              </w:rPr>
            </w:pPr>
            <w:r w:rsidRPr="00EE43C6">
              <w:rPr>
                <w:rFonts w:eastAsia="Calibri" w:cs="Arial"/>
                <w:b/>
                <w:bCs/>
                <w:sz w:val="16"/>
                <w:szCs w:val="16"/>
                <w:lang w:eastAsia="en-US"/>
              </w:rPr>
              <w:t>Noise</w:t>
            </w:r>
          </w:p>
        </w:tc>
        <w:tc>
          <w:tcPr>
            <w:tcW w:w="1276" w:type="dxa"/>
            <w:tcBorders>
              <w:top w:val="single" w:sz="4" w:space="0" w:color="auto"/>
              <w:left w:val="single" w:sz="4" w:space="0" w:color="auto"/>
              <w:bottom w:val="single" w:sz="4" w:space="0" w:color="auto"/>
              <w:right w:val="single" w:sz="4" w:space="0" w:color="auto"/>
            </w:tcBorders>
            <w:noWrap/>
            <w:hideMark/>
          </w:tcPr>
          <w:p w14:paraId="0A47D2B2"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Noise from Construction Works</w:t>
            </w:r>
          </w:p>
        </w:tc>
        <w:tc>
          <w:tcPr>
            <w:tcW w:w="851" w:type="dxa"/>
            <w:tcBorders>
              <w:top w:val="single" w:sz="4" w:space="0" w:color="auto"/>
              <w:left w:val="single" w:sz="4" w:space="0" w:color="auto"/>
              <w:bottom w:val="single" w:sz="4" w:space="0" w:color="auto"/>
              <w:right w:val="single" w:sz="4" w:space="0" w:color="auto"/>
            </w:tcBorders>
            <w:noWrap/>
            <w:hideMark/>
          </w:tcPr>
          <w:p w14:paraId="006AB89B"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1938BFCB" w14:textId="0E6A7D26" w:rsidR="009155D1" w:rsidRPr="000E280D" w:rsidRDefault="00275987"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Medium</w:t>
            </w:r>
          </w:p>
        </w:tc>
        <w:tc>
          <w:tcPr>
            <w:tcW w:w="1134" w:type="dxa"/>
            <w:tcBorders>
              <w:top w:val="single" w:sz="4" w:space="0" w:color="auto"/>
              <w:left w:val="single" w:sz="4" w:space="0" w:color="auto"/>
              <w:bottom w:val="single" w:sz="4" w:space="0" w:color="auto"/>
              <w:right w:val="single" w:sz="4" w:space="0" w:color="auto"/>
            </w:tcBorders>
            <w:hideMark/>
          </w:tcPr>
          <w:p w14:paraId="31228C0A" w14:textId="5CD1282B"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vAlign w:val="center"/>
            <w:hideMark/>
          </w:tcPr>
          <w:p w14:paraId="66A606FC" w14:textId="73C6E00C" w:rsidR="006B50BF" w:rsidRDefault="006B50BF" w:rsidP="000E280D">
            <w:pPr>
              <w:keepNext/>
              <w:numPr>
                <w:ilvl w:val="0"/>
                <w:numId w:val="7"/>
              </w:numPr>
              <w:spacing w:before="60" w:after="60" w:line="240" w:lineRule="auto"/>
              <w:ind w:left="113" w:right="113" w:hanging="181"/>
              <w:jc w:val="left"/>
              <w:rPr>
                <w:rFonts w:cs="Arial"/>
                <w:color w:val="000000"/>
                <w:sz w:val="16"/>
                <w:szCs w:val="16"/>
                <w:lang w:eastAsia="en-US"/>
              </w:rPr>
            </w:pPr>
            <w:r>
              <w:rPr>
                <w:rFonts w:cs="Arial"/>
                <w:color w:val="000000"/>
                <w:sz w:val="16"/>
                <w:szCs w:val="16"/>
                <w:lang w:eastAsia="en-US"/>
              </w:rPr>
              <w:t xml:space="preserve">Noise Management Plan </w:t>
            </w:r>
            <w:r w:rsidR="008A2A5C">
              <w:rPr>
                <w:rFonts w:cs="Arial"/>
                <w:color w:val="000000"/>
                <w:sz w:val="16"/>
                <w:szCs w:val="16"/>
                <w:lang w:eastAsia="en-US"/>
              </w:rPr>
              <w:t xml:space="preserve">will be prepared </w:t>
            </w:r>
            <w:r>
              <w:rPr>
                <w:rFonts w:eastAsia="Arial TUR" w:cs="Arial"/>
                <w:color w:val="000000"/>
                <w:sz w:val="16"/>
                <w:szCs w:val="16"/>
                <w:lang w:eastAsia="en-US"/>
              </w:rPr>
              <w:t>for the construction phase of the Project.</w:t>
            </w:r>
          </w:p>
          <w:p w14:paraId="156330F1" w14:textId="7E1AD68E" w:rsidR="009155D1" w:rsidRPr="00EE43C6" w:rsidRDefault="009155D1" w:rsidP="000E280D">
            <w:pPr>
              <w:keepNext/>
              <w:numPr>
                <w:ilvl w:val="0"/>
                <w:numId w:val="7"/>
              </w:numPr>
              <w:spacing w:before="60" w:after="60" w:line="240" w:lineRule="auto"/>
              <w:ind w:left="113" w:right="113" w:hanging="181"/>
              <w:jc w:val="left"/>
              <w:rPr>
                <w:rFonts w:cs="Arial"/>
                <w:color w:val="000000"/>
                <w:sz w:val="16"/>
                <w:szCs w:val="16"/>
                <w:lang w:eastAsia="en-US"/>
              </w:rPr>
            </w:pPr>
            <w:r w:rsidRPr="00EE43C6">
              <w:rPr>
                <w:rFonts w:cs="Arial"/>
                <w:color w:val="000000"/>
                <w:sz w:val="16"/>
                <w:szCs w:val="16"/>
                <w:lang w:eastAsia="tr-TR"/>
              </w:rPr>
              <w:t>Residents living near the project area will be informed during the construction phase.</w:t>
            </w:r>
          </w:p>
          <w:p w14:paraId="19594C75" w14:textId="77777777" w:rsidR="009155D1" w:rsidRPr="00EE43C6" w:rsidRDefault="009155D1" w:rsidP="000E280D">
            <w:pPr>
              <w:keepNext/>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Construction works will be planned in consultation with local communities, and operations with the highest noise generation potential will be scheduled during the time of the day that will cause minimum disturbance.</w:t>
            </w:r>
          </w:p>
          <w:p w14:paraId="11D6D77F" w14:textId="77777777" w:rsidR="009155D1" w:rsidRPr="00EE43C6" w:rsidRDefault="009155D1" w:rsidP="000E280D">
            <w:pPr>
              <w:keepNext/>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cs="Arial"/>
                <w:color w:val="000000"/>
                <w:sz w:val="16"/>
                <w:szCs w:val="16"/>
                <w:lang w:eastAsia="tr-TR"/>
              </w:rPr>
              <w:t>Noise control devices, such as temporary noise barriers and deflectors, will be used for operations causing impact as well as exhaust silencers for combustion engines.</w:t>
            </w:r>
          </w:p>
          <w:p w14:paraId="7A15DAB1" w14:textId="77777777" w:rsidR="009155D1" w:rsidRPr="00EE43C6" w:rsidRDefault="009155D1" w:rsidP="000E280D">
            <w:pPr>
              <w:keepNext/>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Use of roads close to the settlements in transportation activities for the project will be avoided or minimized.</w:t>
            </w:r>
          </w:p>
          <w:p w14:paraId="3373BFA9" w14:textId="77777777" w:rsidR="009155D1" w:rsidRPr="00EE43C6" w:rsidRDefault="009155D1" w:rsidP="000E280D">
            <w:pPr>
              <w:keepNext/>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Equipment and vehicles used externally will be regularly maintained.</w:t>
            </w:r>
          </w:p>
          <w:p w14:paraId="7A8C824B" w14:textId="77777777" w:rsidR="009155D1" w:rsidRPr="00EE43C6" w:rsidRDefault="009155D1" w:rsidP="000E280D">
            <w:pPr>
              <w:keepNext/>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"Low noise" equipment will be used as much as possible during the construction phase. Where construction equipment is provided with impermeable acoustic covers or enclosures, covers will be kept closed while equipment is in operation.</w:t>
            </w:r>
          </w:p>
          <w:p w14:paraId="7B6F7785" w14:textId="77777777" w:rsidR="009155D1" w:rsidRPr="00EE43C6" w:rsidRDefault="009155D1" w:rsidP="000E280D">
            <w:pPr>
              <w:keepNext/>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When equipment is not working, they will be turned off or reduced to the minimum level.</w:t>
            </w:r>
          </w:p>
          <w:p w14:paraId="7E492851" w14:textId="77777777" w:rsidR="009155D1" w:rsidRPr="00EE43C6" w:rsidRDefault="009155D1" w:rsidP="000E280D">
            <w:pPr>
              <w:keepNext/>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Vibration levels will be monitored in case of complaints, and measures will be taken to reduce vibration if standards are exceeded.</w:t>
            </w:r>
          </w:p>
          <w:p w14:paraId="579CA722" w14:textId="1F4F8ACA" w:rsidR="009155D1" w:rsidRPr="00EE43C6" w:rsidRDefault="009155D1" w:rsidP="000E280D">
            <w:pPr>
              <w:keepNext/>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Noise measurement will be carried out at the </w:t>
            </w:r>
            <w:r w:rsidR="00C02F5C">
              <w:rPr>
                <w:rFonts w:cs="Arial"/>
                <w:color w:val="000000"/>
                <w:sz w:val="16"/>
                <w:szCs w:val="16"/>
                <w:lang w:eastAsia="tr-TR"/>
              </w:rPr>
              <w:t>complaint area</w:t>
            </w:r>
            <w:r w:rsidRPr="00EE43C6">
              <w:rPr>
                <w:rFonts w:cs="Arial"/>
                <w:color w:val="000000"/>
                <w:sz w:val="16"/>
                <w:szCs w:val="16"/>
                <w:lang w:eastAsia="tr-TR"/>
              </w:rPr>
              <w:t xml:space="preserve"> in accordance with the international standard, in case of any complaints.</w:t>
            </w:r>
          </w:p>
        </w:tc>
        <w:tc>
          <w:tcPr>
            <w:tcW w:w="1418" w:type="dxa"/>
            <w:tcBorders>
              <w:top w:val="single" w:sz="4" w:space="0" w:color="auto"/>
              <w:left w:val="single" w:sz="4" w:space="0" w:color="auto"/>
              <w:bottom w:val="single" w:sz="4" w:space="0" w:color="auto"/>
              <w:right w:val="single" w:sz="4" w:space="0" w:color="auto"/>
            </w:tcBorders>
            <w:hideMark/>
          </w:tcPr>
          <w:p w14:paraId="2FC498FF" w14:textId="598990AE"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p w14:paraId="242E39B8" w14:textId="709D30C6" w:rsidR="009155D1" w:rsidRPr="00EE43C6" w:rsidRDefault="00137E9E"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1C68FB79"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Contractor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2840A35" w14:textId="77777777" w:rsidR="009155D1" w:rsidRPr="00EE43C6" w:rsidRDefault="009155D1" w:rsidP="000E280D">
            <w:pPr>
              <w:keepNext/>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Noise and Vibration incidents</w:t>
            </w:r>
          </w:p>
          <w:p w14:paraId="1E883E0A" w14:textId="77777777" w:rsidR="009155D1" w:rsidRPr="00EE43C6" w:rsidRDefault="009155D1" w:rsidP="000E280D">
            <w:pPr>
              <w:keepNext/>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Records of Non-Compliance with Project standards</w:t>
            </w:r>
          </w:p>
          <w:p w14:paraId="6BC0D49B" w14:textId="77777777" w:rsidR="009155D1" w:rsidRPr="00EE43C6" w:rsidRDefault="009155D1" w:rsidP="000E280D">
            <w:pPr>
              <w:keepNext/>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t>Number of noise-related community grievances</w:t>
            </w:r>
          </w:p>
        </w:tc>
      </w:tr>
      <w:tr w:rsidR="009155D1" w:rsidRPr="00EE43C6" w14:paraId="7498D7BA"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7B17D606" w14:textId="5EFED615" w:rsidR="009155D1" w:rsidRPr="00EE43C6" w:rsidRDefault="009155D1" w:rsidP="00D6172A">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C1</w:t>
            </w:r>
            <w:r w:rsidR="003210EF" w:rsidRPr="00EE43C6">
              <w:rPr>
                <w:rFonts w:cs="Arial"/>
                <w:color w:val="000000"/>
                <w:sz w:val="16"/>
                <w:szCs w:val="16"/>
                <w:lang w:eastAsia="tr-TR"/>
              </w:rPr>
              <w:t>6</w:t>
            </w:r>
          </w:p>
        </w:tc>
        <w:tc>
          <w:tcPr>
            <w:tcW w:w="1559" w:type="dxa"/>
            <w:tcBorders>
              <w:top w:val="single" w:sz="4" w:space="0" w:color="auto"/>
              <w:left w:val="single" w:sz="4" w:space="0" w:color="auto"/>
              <w:bottom w:val="single" w:sz="4" w:space="0" w:color="auto"/>
              <w:right w:val="single" w:sz="4" w:space="0" w:color="auto"/>
            </w:tcBorders>
            <w:hideMark/>
          </w:tcPr>
          <w:p w14:paraId="5C7AAFFF" w14:textId="77777777" w:rsidR="009155D1" w:rsidRPr="00EE43C6" w:rsidRDefault="009155D1" w:rsidP="00D6172A">
            <w:pPr>
              <w:spacing w:before="0" w:after="0" w:line="240" w:lineRule="auto"/>
              <w:ind w:left="113" w:hanging="18"/>
              <w:jc w:val="left"/>
              <w:rPr>
                <w:rFonts w:eastAsia="Arial TUR" w:cs="Arial"/>
                <w:color w:val="000000"/>
                <w:sz w:val="16"/>
                <w:szCs w:val="16"/>
                <w:lang w:eastAsia="tr-TR"/>
              </w:rPr>
            </w:pPr>
            <w:r w:rsidRPr="00EE43C6">
              <w:rPr>
                <w:rFonts w:eastAsia="Calibri" w:cs="Arial"/>
                <w:b/>
                <w:bCs/>
                <w:sz w:val="16"/>
                <w:szCs w:val="16"/>
                <w:lang w:eastAsia="en-US"/>
              </w:rPr>
              <w:t>Waste Management</w:t>
            </w:r>
          </w:p>
        </w:tc>
        <w:tc>
          <w:tcPr>
            <w:tcW w:w="1276" w:type="dxa"/>
            <w:tcBorders>
              <w:top w:val="single" w:sz="4" w:space="0" w:color="auto"/>
              <w:left w:val="single" w:sz="4" w:space="0" w:color="auto"/>
              <w:bottom w:val="single" w:sz="4" w:space="0" w:color="auto"/>
              <w:right w:val="single" w:sz="4" w:space="0" w:color="auto"/>
            </w:tcBorders>
            <w:noWrap/>
          </w:tcPr>
          <w:p w14:paraId="69BEA160"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Wastes of Construction Works</w:t>
            </w:r>
          </w:p>
          <w:p w14:paraId="5141D49D"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p>
        </w:tc>
        <w:tc>
          <w:tcPr>
            <w:tcW w:w="851" w:type="dxa"/>
            <w:tcBorders>
              <w:top w:val="single" w:sz="4" w:space="0" w:color="auto"/>
              <w:left w:val="single" w:sz="4" w:space="0" w:color="auto"/>
              <w:bottom w:val="single" w:sz="4" w:space="0" w:color="auto"/>
              <w:right w:val="single" w:sz="4" w:space="0" w:color="auto"/>
            </w:tcBorders>
            <w:noWrap/>
            <w:hideMark/>
          </w:tcPr>
          <w:p w14:paraId="658664B9"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6FD2F74E" w14:textId="5BF8F735" w:rsidR="009155D1" w:rsidRPr="000E280D" w:rsidRDefault="00FE7249"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High</w:t>
            </w:r>
          </w:p>
        </w:tc>
        <w:tc>
          <w:tcPr>
            <w:tcW w:w="1134" w:type="dxa"/>
            <w:tcBorders>
              <w:top w:val="single" w:sz="4" w:space="0" w:color="auto"/>
              <w:left w:val="single" w:sz="4" w:space="0" w:color="auto"/>
              <w:bottom w:val="single" w:sz="4" w:space="0" w:color="auto"/>
              <w:right w:val="single" w:sz="4" w:space="0" w:color="auto"/>
            </w:tcBorders>
            <w:hideMark/>
          </w:tcPr>
          <w:p w14:paraId="0B664CF9" w14:textId="7167C303"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vAlign w:val="center"/>
            <w:hideMark/>
          </w:tcPr>
          <w:p w14:paraId="1324AF2C" w14:textId="2F027417" w:rsidR="008F18AE" w:rsidRDefault="007C1616" w:rsidP="000E280D">
            <w:pPr>
              <w:numPr>
                <w:ilvl w:val="0"/>
                <w:numId w:val="7"/>
              </w:numPr>
              <w:spacing w:before="60" w:after="60" w:line="240" w:lineRule="auto"/>
              <w:ind w:left="113" w:right="113" w:hanging="181"/>
              <w:jc w:val="left"/>
              <w:rPr>
                <w:rFonts w:cs="Arial"/>
                <w:color w:val="000000"/>
                <w:sz w:val="16"/>
                <w:szCs w:val="16"/>
                <w:lang w:eastAsia="tr-TR"/>
              </w:rPr>
            </w:pPr>
            <w:r w:rsidRPr="007C1616">
              <w:rPr>
                <w:rFonts w:cs="Arial"/>
                <w:color w:val="000000"/>
                <w:sz w:val="16"/>
                <w:szCs w:val="16"/>
                <w:lang w:eastAsia="tr-TR"/>
              </w:rPr>
              <w:t>Waste Management Plan</w:t>
            </w:r>
            <w:r>
              <w:rPr>
                <w:rFonts w:cs="Arial"/>
                <w:color w:val="000000"/>
                <w:sz w:val="16"/>
                <w:szCs w:val="16"/>
                <w:lang w:eastAsia="tr-TR"/>
              </w:rPr>
              <w:t xml:space="preserve"> </w:t>
            </w:r>
            <w:r w:rsidR="0043647F">
              <w:rPr>
                <w:rFonts w:cs="Arial"/>
                <w:color w:val="000000"/>
                <w:sz w:val="16"/>
                <w:szCs w:val="16"/>
                <w:lang w:eastAsia="tr-TR"/>
              </w:rPr>
              <w:t xml:space="preserve">and Pollution </w:t>
            </w:r>
            <w:r w:rsidR="000A3FB3">
              <w:rPr>
                <w:rFonts w:cs="Arial"/>
                <w:color w:val="000000"/>
                <w:sz w:val="16"/>
                <w:szCs w:val="16"/>
                <w:lang w:eastAsia="tr-TR"/>
              </w:rPr>
              <w:t xml:space="preserve">Prevention Plan </w:t>
            </w:r>
            <w:r>
              <w:rPr>
                <w:rFonts w:cs="Arial"/>
                <w:color w:val="000000"/>
                <w:sz w:val="16"/>
                <w:szCs w:val="16"/>
                <w:lang w:eastAsia="tr-TR"/>
              </w:rPr>
              <w:t xml:space="preserve">will be </w:t>
            </w:r>
            <w:r w:rsidR="000D0CDE">
              <w:rPr>
                <w:rFonts w:cs="Arial"/>
                <w:color w:val="000000"/>
                <w:sz w:val="16"/>
                <w:szCs w:val="16"/>
                <w:lang w:eastAsia="tr-TR"/>
              </w:rPr>
              <w:t>prepared</w:t>
            </w:r>
            <w:r w:rsidR="005E6B5F">
              <w:rPr>
                <w:rFonts w:cs="Arial"/>
                <w:color w:val="000000"/>
                <w:sz w:val="16"/>
                <w:szCs w:val="16"/>
                <w:lang w:eastAsia="tr-TR"/>
              </w:rPr>
              <w:t xml:space="preserve"> </w:t>
            </w:r>
            <w:r w:rsidR="005E6B5F" w:rsidRPr="007178AC">
              <w:rPr>
                <w:rFonts w:eastAsia="Arial TUR" w:cs="Arial"/>
                <w:color w:val="000000"/>
                <w:sz w:val="16"/>
                <w:szCs w:val="16"/>
                <w:lang w:eastAsia="tr-TR"/>
              </w:rPr>
              <w:t>for the construction phase of the Project</w:t>
            </w:r>
            <w:r>
              <w:rPr>
                <w:rFonts w:cs="Arial"/>
                <w:color w:val="000000"/>
                <w:sz w:val="16"/>
                <w:szCs w:val="16"/>
                <w:lang w:eastAsia="tr-TR"/>
              </w:rPr>
              <w:t>.</w:t>
            </w:r>
          </w:p>
          <w:p w14:paraId="3A43B21C" w14:textId="0A56314B" w:rsidR="004B63F1" w:rsidRPr="00AE2F06" w:rsidRDefault="0065502D"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It should be ensured the waste management primarily in the area where the gas station that was previously operating.</w:t>
            </w:r>
            <w:r w:rsidR="00AE2F06">
              <w:rPr>
                <w:rFonts w:cs="Arial"/>
                <w:color w:val="000000"/>
                <w:sz w:val="16"/>
                <w:szCs w:val="16"/>
                <w:lang w:eastAsia="tr-TR"/>
              </w:rPr>
              <w:t xml:space="preserve"> In this context, W</w:t>
            </w:r>
            <w:r w:rsidR="00AE2F06" w:rsidRPr="005242F6">
              <w:rPr>
                <w:rFonts w:cs="Arial"/>
                <w:color w:val="000000"/>
                <w:sz w:val="16"/>
                <w:szCs w:val="16"/>
                <w:lang w:eastAsia="tr-TR"/>
              </w:rPr>
              <w:t xml:space="preserve">aste </w:t>
            </w:r>
            <w:r w:rsidR="00AE2F06">
              <w:rPr>
                <w:rFonts w:cs="Arial"/>
                <w:color w:val="000000"/>
                <w:sz w:val="16"/>
                <w:szCs w:val="16"/>
                <w:lang w:eastAsia="tr-TR"/>
              </w:rPr>
              <w:t>M</w:t>
            </w:r>
            <w:r w:rsidR="00AE2F06" w:rsidRPr="005242F6">
              <w:rPr>
                <w:rFonts w:cs="Arial"/>
                <w:color w:val="000000"/>
                <w:sz w:val="16"/>
                <w:szCs w:val="16"/>
                <w:lang w:eastAsia="tr-TR"/>
              </w:rPr>
              <w:t xml:space="preserve">anagement </w:t>
            </w:r>
            <w:r w:rsidR="00AE2F06">
              <w:rPr>
                <w:rFonts w:cs="Arial"/>
                <w:color w:val="000000"/>
                <w:sz w:val="16"/>
                <w:szCs w:val="16"/>
                <w:lang w:eastAsia="tr-TR"/>
              </w:rPr>
              <w:t>P</w:t>
            </w:r>
            <w:r w:rsidR="00AE2F06" w:rsidRPr="005242F6">
              <w:rPr>
                <w:rFonts w:cs="Arial"/>
                <w:color w:val="000000"/>
                <w:sz w:val="16"/>
                <w:szCs w:val="16"/>
                <w:lang w:eastAsia="tr-TR"/>
              </w:rPr>
              <w:t>lan</w:t>
            </w:r>
            <w:r w:rsidR="00AE2F06">
              <w:rPr>
                <w:rFonts w:cs="Arial"/>
                <w:color w:val="000000"/>
                <w:sz w:val="16"/>
                <w:szCs w:val="16"/>
                <w:lang w:eastAsia="tr-TR"/>
              </w:rPr>
              <w:t xml:space="preserve"> to be prepared</w:t>
            </w:r>
            <w:r w:rsidR="00AE2F06" w:rsidRPr="005242F6">
              <w:rPr>
                <w:rFonts w:cs="Arial"/>
                <w:color w:val="000000"/>
                <w:sz w:val="16"/>
                <w:szCs w:val="16"/>
                <w:lang w:eastAsia="tr-TR"/>
              </w:rPr>
              <w:t xml:space="preserve"> will include special measures for the removal of the inert wastes from the buildings used as gas station previously</w:t>
            </w:r>
            <w:r w:rsidR="00AE2F06">
              <w:rPr>
                <w:rFonts w:cs="Arial"/>
                <w:color w:val="000000"/>
                <w:sz w:val="16"/>
                <w:szCs w:val="16"/>
                <w:lang w:eastAsia="tr-TR"/>
              </w:rPr>
              <w:t>.</w:t>
            </w:r>
          </w:p>
          <w:p w14:paraId="6EA393A4" w14:textId="11F6DC06" w:rsidR="009155D1" w:rsidRPr="00EE43C6" w:rsidRDefault="009155D1"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During the construction period, any waste will be collected separately at source, and stored in the temporary waste </w:t>
            </w:r>
            <w:r w:rsidRPr="00EE43C6">
              <w:rPr>
                <w:rFonts w:cs="Arial"/>
                <w:color w:val="000000"/>
                <w:sz w:val="16"/>
                <w:szCs w:val="16"/>
                <w:lang w:eastAsia="tr-TR"/>
              </w:rPr>
              <w:lastRenderedPageBreak/>
              <w:t>storage area</w:t>
            </w:r>
            <w:r w:rsidR="00CF62AA" w:rsidRPr="00EE43C6">
              <w:rPr>
                <w:rFonts w:cs="Arial"/>
                <w:color w:val="000000"/>
                <w:sz w:val="16"/>
                <w:szCs w:val="16"/>
                <w:lang w:eastAsia="tr-TR"/>
              </w:rPr>
              <w:t xml:space="preserve"> in compliance with the relevant national regulation</w:t>
            </w:r>
            <w:r w:rsidR="00E032FE">
              <w:rPr>
                <w:rFonts w:cs="Arial"/>
                <w:color w:val="000000"/>
                <w:sz w:val="16"/>
                <w:szCs w:val="16"/>
                <w:lang w:eastAsia="tr-TR"/>
              </w:rPr>
              <w:t>s</w:t>
            </w:r>
            <w:r w:rsidR="005E6B5F">
              <w:rPr>
                <w:rFonts w:cs="Arial"/>
                <w:color w:val="000000"/>
                <w:sz w:val="16"/>
                <w:szCs w:val="16"/>
                <w:lang w:eastAsia="tr-TR"/>
              </w:rPr>
              <w:t>.</w:t>
            </w:r>
          </w:p>
          <w:p w14:paraId="1463FAB5" w14:textId="77777777" w:rsidR="009155D1" w:rsidRPr="00EE43C6" w:rsidRDefault="009155D1"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Topsoil will be separated from general trash and organic, liquid, and chemical wastes on site, and stored in appropriate containers.</w:t>
            </w:r>
          </w:p>
          <w:p w14:paraId="5A95BC9B" w14:textId="0C0C8401" w:rsidR="009155D1" w:rsidRPr="00EE43C6" w:rsidRDefault="009155D1"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Construction waste</w:t>
            </w:r>
            <w:r w:rsidR="00CF62AA" w:rsidRPr="00EE43C6">
              <w:rPr>
                <w:rFonts w:cs="Arial"/>
                <w:color w:val="000000"/>
                <w:sz w:val="16"/>
                <w:szCs w:val="16"/>
                <w:lang w:eastAsia="tr-TR"/>
              </w:rPr>
              <w:t>s</w:t>
            </w:r>
            <w:r w:rsidRPr="00EE43C6">
              <w:rPr>
                <w:rFonts w:cs="Arial"/>
                <w:color w:val="000000"/>
                <w:sz w:val="16"/>
                <w:szCs w:val="16"/>
                <w:lang w:eastAsia="tr-TR"/>
              </w:rPr>
              <w:t xml:space="preserve"> will be regularly collected by licensed collectors at the permitted excavation waste storage site of the Municipality.</w:t>
            </w:r>
          </w:p>
          <w:p w14:paraId="3D7171C2" w14:textId="77777777" w:rsidR="009155D1" w:rsidRPr="00EE43C6" w:rsidRDefault="009155D1"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Waste disposal records will be kept regularly. To keep these records, a Waste Registry Information Form will be prepared, which will contain information on the waste code, amount, and transfer and disposal method as presented in the Waste Management Regulation – ANNEX 4.</w:t>
            </w:r>
          </w:p>
          <w:p w14:paraId="5917DC6D" w14:textId="73EAE477" w:rsidR="00B07C65" w:rsidRPr="005242F6" w:rsidRDefault="009155D1"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Where appropriate, waste can be reused or recycled.</w:t>
            </w:r>
          </w:p>
          <w:p w14:paraId="7B4CCDD1" w14:textId="77777777" w:rsidR="00B07C65" w:rsidRPr="00B07C65" w:rsidRDefault="00B07C65" w:rsidP="000E280D">
            <w:pPr>
              <w:numPr>
                <w:ilvl w:val="0"/>
                <w:numId w:val="7"/>
              </w:numPr>
              <w:spacing w:before="60" w:after="60" w:line="240" w:lineRule="auto"/>
              <w:ind w:left="113" w:right="113" w:hanging="181"/>
              <w:jc w:val="left"/>
              <w:rPr>
                <w:rFonts w:cs="Arial"/>
                <w:color w:val="000000"/>
                <w:sz w:val="16"/>
                <w:szCs w:val="16"/>
                <w:lang w:eastAsia="tr-TR"/>
              </w:rPr>
            </w:pPr>
            <w:r w:rsidRPr="00B07C65">
              <w:rPr>
                <w:rFonts w:cs="Arial"/>
                <w:color w:val="000000"/>
                <w:sz w:val="16"/>
                <w:szCs w:val="16"/>
                <w:lang w:eastAsia="tr-TR"/>
              </w:rPr>
              <w:t>Mitigation measures during the land preparation and construction phase of the Project are follows.</w:t>
            </w:r>
          </w:p>
          <w:p w14:paraId="4C80BB2B" w14:textId="65771466"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Identify waste collection and disposal pathways for all major waste types expected from demolition and construction activities,</w:t>
            </w:r>
          </w:p>
          <w:p w14:paraId="01993E5C" w14:textId="220EDD9B"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Separate mineral construction and demolition wastes from general refuse, organic, liquid, and chemical wastes by on-site sorting and stored in appropriate containers,</w:t>
            </w:r>
          </w:p>
          <w:p w14:paraId="6EFA0BD0" w14:textId="73C835DA"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Collect construction waste and dispose properly to the designated locations,</w:t>
            </w:r>
          </w:p>
          <w:p w14:paraId="09A413D7" w14:textId="47182342"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Whenever feasible, reuse and recycle appropriate and viable materials (except asbestos).</w:t>
            </w:r>
          </w:p>
          <w:p w14:paraId="7699E60F" w14:textId="1A73E79A"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Temporarily store all hazardous or toxic substances on site in safe containers labelled with details of composition, properties, and handling information,</w:t>
            </w:r>
          </w:p>
          <w:p w14:paraId="091BCE2E" w14:textId="649C5C39"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Place containers of hazardous substances in leak-proof containers to prevent spillage and leaching,</w:t>
            </w:r>
          </w:p>
          <w:p w14:paraId="0AC17097" w14:textId="3BFE7D55"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Transport waste to official landfills and dispose excess excavated material at sites agreed with the local authorities,</w:t>
            </w:r>
          </w:p>
          <w:p w14:paraId="3A08F4F9" w14:textId="7BBB2EF4"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Do not use paints with toxic ingredients or solvents, or lead-based paints.</w:t>
            </w:r>
          </w:p>
          <w:p w14:paraId="04AABD11" w14:textId="77777777" w:rsidR="00B07C65" w:rsidRPr="00B07C65" w:rsidRDefault="00B07C65" w:rsidP="000E280D">
            <w:pPr>
              <w:spacing w:before="60" w:after="60" w:line="240" w:lineRule="auto"/>
              <w:ind w:right="113"/>
              <w:jc w:val="left"/>
              <w:rPr>
                <w:rFonts w:cs="Arial"/>
                <w:color w:val="000000"/>
                <w:sz w:val="16"/>
                <w:szCs w:val="16"/>
                <w:lang w:eastAsia="tr-TR"/>
              </w:rPr>
            </w:pPr>
            <w:r w:rsidRPr="00B07C65">
              <w:rPr>
                <w:rFonts w:cs="Arial"/>
                <w:color w:val="000000"/>
                <w:sz w:val="16"/>
                <w:szCs w:val="16"/>
                <w:lang w:eastAsia="tr-TR"/>
              </w:rPr>
              <w:lastRenderedPageBreak/>
              <w:t>The presence of contaminated lands or asbestos containing material was not established. If any asbestos is identified, asbestos management of the Project is follows.</w:t>
            </w:r>
          </w:p>
          <w:p w14:paraId="2523E907" w14:textId="1494196E"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If asbestos is located on Project Area, mark it clearly as hazardous material,</w:t>
            </w:r>
          </w:p>
          <w:p w14:paraId="6DAF7FB1" w14:textId="6B815EA7"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When possible, appropriately contain and seal asbestos to minimize exposure,</w:t>
            </w:r>
          </w:p>
          <w:p w14:paraId="00C29474" w14:textId="5DD6422A"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Treat asbestos prior to removal (if removal is necessary) with a wetting agent to minimize asbestos dust,</w:t>
            </w:r>
          </w:p>
          <w:p w14:paraId="43C5D007" w14:textId="4D7E64BB"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Handle and disposed asbestos using skilled &amp; experienced professionals,</w:t>
            </w:r>
          </w:p>
          <w:p w14:paraId="16CA64A1" w14:textId="36504D20" w:rsidR="00B07C65" w:rsidRPr="00B07C65"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If asbestos material is being stored temporarily, securely enclosed it inside closed containments and mark appropriately. Take security measures against unauthorized removal from the area,</w:t>
            </w:r>
          </w:p>
          <w:p w14:paraId="4425E516" w14:textId="3B2DCDFB" w:rsidR="009155D1" w:rsidRPr="00EE43C6" w:rsidRDefault="00B07C65" w:rsidP="000E280D">
            <w:pPr>
              <w:numPr>
                <w:ilvl w:val="1"/>
                <w:numId w:val="7"/>
              </w:numPr>
              <w:spacing w:before="60" w:after="60" w:line="240" w:lineRule="auto"/>
              <w:ind w:left="464" w:right="113"/>
              <w:jc w:val="left"/>
              <w:rPr>
                <w:rFonts w:cs="Arial"/>
                <w:color w:val="000000"/>
                <w:sz w:val="16"/>
                <w:szCs w:val="16"/>
                <w:lang w:eastAsia="tr-TR"/>
              </w:rPr>
            </w:pPr>
            <w:r w:rsidRPr="00B07C65">
              <w:rPr>
                <w:rFonts w:cs="Arial"/>
                <w:color w:val="000000"/>
                <w:sz w:val="16"/>
                <w:szCs w:val="16"/>
                <w:lang w:eastAsia="tr-TR"/>
              </w:rPr>
              <w:t>Do not reuse the removed asbestos</w:t>
            </w:r>
          </w:p>
        </w:tc>
        <w:tc>
          <w:tcPr>
            <w:tcW w:w="1418" w:type="dxa"/>
            <w:tcBorders>
              <w:top w:val="single" w:sz="4" w:space="0" w:color="auto"/>
              <w:left w:val="single" w:sz="4" w:space="0" w:color="auto"/>
              <w:bottom w:val="single" w:sz="4" w:space="0" w:color="auto"/>
              <w:right w:val="single" w:sz="4" w:space="0" w:color="auto"/>
            </w:tcBorders>
            <w:hideMark/>
          </w:tcPr>
          <w:p w14:paraId="7CD24D03" w14:textId="0B4E51ED"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lastRenderedPageBreak/>
              <w:t>TUIOSB</w:t>
            </w:r>
          </w:p>
          <w:p w14:paraId="2AE16BFE" w14:textId="3AFDE8F1" w:rsidR="009155D1" w:rsidRPr="00EE43C6" w:rsidRDefault="00137E9E"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24F8CB83"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Contractor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7A42B11"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Total waste generated</w:t>
            </w:r>
          </w:p>
          <w:p w14:paraId="1A3890FD"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t>Ratio of recovered/reused/ recycled waste to total waste generated</w:t>
            </w:r>
          </w:p>
          <w:p w14:paraId="3A3C8895" w14:textId="77777777" w:rsidR="00CF62AA" w:rsidRPr="00EE43C6" w:rsidRDefault="00CF62AA"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lastRenderedPageBreak/>
              <w:t xml:space="preserve">Complaints on wastes to be raised by community </w:t>
            </w:r>
          </w:p>
          <w:p w14:paraId="70151A24" w14:textId="77777777" w:rsidR="009155D1" w:rsidRPr="00EE43C6" w:rsidRDefault="00CF62AA"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Records of penalty related to waste management</w:t>
            </w:r>
          </w:p>
        </w:tc>
      </w:tr>
      <w:tr w:rsidR="009155D1" w:rsidRPr="00EE43C6" w14:paraId="31ABD503"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2698F621" w14:textId="5730DDF3" w:rsidR="009155D1" w:rsidRPr="00EE43C6" w:rsidRDefault="009155D1" w:rsidP="00854BE8">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lastRenderedPageBreak/>
              <w:t>C1</w:t>
            </w:r>
            <w:r w:rsidR="003210EF" w:rsidRPr="00EE43C6">
              <w:rPr>
                <w:rFonts w:cs="Arial"/>
                <w:color w:val="000000"/>
                <w:sz w:val="16"/>
                <w:szCs w:val="16"/>
                <w:lang w:eastAsia="tr-TR"/>
              </w:rPr>
              <w:t>7</w:t>
            </w:r>
          </w:p>
        </w:tc>
        <w:tc>
          <w:tcPr>
            <w:tcW w:w="1559" w:type="dxa"/>
            <w:tcBorders>
              <w:top w:val="single" w:sz="4" w:space="0" w:color="auto"/>
              <w:left w:val="single" w:sz="4" w:space="0" w:color="auto"/>
              <w:bottom w:val="single" w:sz="4" w:space="0" w:color="auto"/>
              <w:right w:val="single" w:sz="4" w:space="0" w:color="auto"/>
            </w:tcBorders>
            <w:hideMark/>
          </w:tcPr>
          <w:p w14:paraId="552717B2" w14:textId="77777777" w:rsidR="009155D1" w:rsidRPr="00EE43C6" w:rsidRDefault="009155D1" w:rsidP="00854BE8">
            <w:pPr>
              <w:spacing w:before="0" w:after="0" w:line="240" w:lineRule="auto"/>
              <w:jc w:val="left"/>
              <w:rPr>
                <w:rFonts w:eastAsia="Arial TUR" w:cs="Arial"/>
                <w:color w:val="000000"/>
                <w:sz w:val="16"/>
                <w:szCs w:val="16"/>
                <w:lang w:eastAsia="tr-TR"/>
              </w:rPr>
            </w:pPr>
            <w:r w:rsidRPr="00EE43C6">
              <w:rPr>
                <w:rFonts w:eastAsia="Calibri" w:cs="Arial"/>
                <w:b/>
                <w:bCs/>
                <w:sz w:val="16"/>
                <w:szCs w:val="16"/>
                <w:lang w:eastAsia="en-US"/>
              </w:rPr>
              <w:t>Domestic Waste</w:t>
            </w:r>
          </w:p>
        </w:tc>
        <w:tc>
          <w:tcPr>
            <w:tcW w:w="1276" w:type="dxa"/>
            <w:tcBorders>
              <w:top w:val="single" w:sz="4" w:space="0" w:color="auto"/>
              <w:left w:val="single" w:sz="4" w:space="0" w:color="auto"/>
              <w:bottom w:val="single" w:sz="4" w:space="0" w:color="auto"/>
              <w:right w:val="single" w:sz="4" w:space="0" w:color="auto"/>
            </w:tcBorders>
            <w:noWrap/>
            <w:hideMark/>
          </w:tcPr>
          <w:p w14:paraId="57C4DAFC" w14:textId="77777777" w:rsidR="009155D1" w:rsidRPr="00EE43C6" w:rsidRDefault="009155D1" w:rsidP="00854BE8">
            <w:pPr>
              <w:spacing w:before="0" w:after="0" w:line="240" w:lineRule="auto"/>
              <w:jc w:val="left"/>
              <w:rPr>
                <w:rFonts w:eastAsia="Arial TUR" w:cs="Arial"/>
                <w:color w:val="000000"/>
                <w:sz w:val="16"/>
                <w:szCs w:val="16"/>
                <w:lang w:eastAsia="tr-TR"/>
              </w:rPr>
            </w:pPr>
            <w:r w:rsidRPr="00EE43C6">
              <w:rPr>
                <w:rFonts w:eastAsia="Calibri" w:cs="Arial"/>
                <w:bCs/>
                <w:color w:val="000000"/>
                <w:sz w:val="16"/>
                <w:szCs w:val="16"/>
                <w:lang w:eastAsia="tr-TR"/>
              </w:rPr>
              <w:t>Waste management failure, pollution from waste</w:t>
            </w:r>
          </w:p>
        </w:tc>
        <w:tc>
          <w:tcPr>
            <w:tcW w:w="851" w:type="dxa"/>
            <w:tcBorders>
              <w:top w:val="single" w:sz="4" w:space="0" w:color="auto"/>
              <w:left w:val="single" w:sz="4" w:space="0" w:color="auto"/>
              <w:bottom w:val="single" w:sz="4" w:space="0" w:color="auto"/>
              <w:right w:val="single" w:sz="4" w:space="0" w:color="auto"/>
            </w:tcBorders>
            <w:noWrap/>
            <w:hideMark/>
          </w:tcPr>
          <w:p w14:paraId="3611CECA"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6436DBAB"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Low</w:t>
            </w:r>
          </w:p>
        </w:tc>
        <w:tc>
          <w:tcPr>
            <w:tcW w:w="1134" w:type="dxa"/>
            <w:tcBorders>
              <w:top w:val="single" w:sz="4" w:space="0" w:color="auto"/>
              <w:left w:val="single" w:sz="4" w:space="0" w:color="auto"/>
              <w:bottom w:val="single" w:sz="4" w:space="0" w:color="auto"/>
              <w:right w:val="single" w:sz="4" w:space="0" w:color="auto"/>
            </w:tcBorders>
            <w:hideMark/>
          </w:tcPr>
          <w:p w14:paraId="2796297B" w14:textId="08BF86FA"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tcPr>
          <w:p w14:paraId="46C21EE9" w14:textId="77777777" w:rsidR="009155D1" w:rsidRPr="00EE43C6" w:rsidRDefault="009155D1"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Any domestic waste generated will be sorted at source (plastic, glass, paper, etc.), and reusable waste will be recycled.</w:t>
            </w:r>
          </w:p>
          <w:p w14:paraId="553D9068" w14:textId="2FF1672E" w:rsidR="009155D1" w:rsidRPr="00C10BB5" w:rsidRDefault="009155D1"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Unrecyclable waste will be collected in closed sanitary trash bins and will be disposed of by the solid waste collection system of </w:t>
            </w:r>
            <w:r w:rsidRPr="00EE43C6">
              <w:rPr>
                <w:rFonts w:cs="Arial"/>
                <w:color w:val="000000"/>
                <w:sz w:val="16"/>
                <w:szCs w:val="16"/>
              </w:rPr>
              <w:t>M</w:t>
            </w:r>
            <w:r w:rsidR="00A40458" w:rsidRPr="00EE43C6">
              <w:rPr>
                <w:rFonts w:cs="Arial"/>
                <w:color w:val="000000"/>
                <w:sz w:val="16"/>
                <w:szCs w:val="16"/>
              </w:rPr>
              <w:t>ersin</w:t>
            </w:r>
            <w:r w:rsidRPr="00EE43C6">
              <w:rPr>
                <w:rFonts w:cs="Arial"/>
                <w:color w:val="000000"/>
                <w:sz w:val="16"/>
                <w:szCs w:val="16"/>
              </w:rPr>
              <w:t>/</w:t>
            </w:r>
            <w:r w:rsidR="00A40458" w:rsidRPr="00EE43C6">
              <w:rPr>
                <w:rFonts w:cs="Arial"/>
                <w:color w:val="000000"/>
                <w:sz w:val="16"/>
                <w:szCs w:val="16"/>
              </w:rPr>
              <w:t>Tarsus</w:t>
            </w:r>
            <w:r w:rsidRPr="00EE43C6">
              <w:rPr>
                <w:rFonts w:cs="Arial"/>
                <w:color w:val="000000"/>
                <w:sz w:val="16"/>
                <w:szCs w:val="16"/>
              </w:rPr>
              <w:t xml:space="preserve"> </w:t>
            </w:r>
            <w:r w:rsidRPr="00EE43C6">
              <w:rPr>
                <w:rFonts w:cs="Arial"/>
                <w:color w:val="000000"/>
                <w:sz w:val="16"/>
                <w:szCs w:val="16"/>
                <w:lang w:eastAsia="tr-TR"/>
              </w:rPr>
              <w:t>Municipalities</w:t>
            </w:r>
            <w:r w:rsidR="00CB4C7A" w:rsidRPr="00EE43C6">
              <w:rPr>
                <w:rFonts w:cs="Arial"/>
                <w:color w:val="000000"/>
                <w:sz w:val="16"/>
                <w:szCs w:val="16"/>
                <w:lang w:eastAsia="tr-TR"/>
              </w:rPr>
              <w:t xml:space="preserve"> periodically</w:t>
            </w:r>
            <w:r w:rsidRPr="00EE43C6">
              <w:rPr>
                <w:rFonts w:cs="Arial"/>
                <w:color w:val="000000"/>
                <w:sz w:val="16"/>
                <w:szCs w:val="16"/>
                <w:lang w:eastAsia="tr-TR"/>
              </w:rPr>
              <w:t>.</w:t>
            </w:r>
          </w:p>
        </w:tc>
        <w:tc>
          <w:tcPr>
            <w:tcW w:w="1418" w:type="dxa"/>
            <w:tcBorders>
              <w:top w:val="single" w:sz="4" w:space="0" w:color="auto"/>
              <w:left w:val="single" w:sz="4" w:space="0" w:color="auto"/>
              <w:bottom w:val="single" w:sz="4" w:space="0" w:color="auto"/>
              <w:right w:val="single" w:sz="4" w:space="0" w:color="auto"/>
            </w:tcBorders>
            <w:hideMark/>
          </w:tcPr>
          <w:p w14:paraId="35D9B7AE" w14:textId="43A89DC2"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p w14:paraId="7C685624" w14:textId="67339CF4" w:rsidR="009155D1" w:rsidRPr="00EE43C6" w:rsidRDefault="00137E9E"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49BD8B4E"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Contractor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795FC4B"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Total waste generated</w:t>
            </w:r>
          </w:p>
          <w:p w14:paraId="1FFC6B44"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t>Ratio of recovered/reused/ recycled waste to total waste generated</w:t>
            </w:r>
            <w:r w:rsidRPr="00EE43C6" w:rsidDel="00340042">
              <w:rPr>
                <w:rFonts w:eastAsia="Calibri" w:cs="Arial"/>
                <w:color w:val="000000"/>
                <w:sz w:val="16"/>
                <w:szCs w:val="16"/>
                <w:lang w:eastAsia="en-US"/>
              </w:rPr>
              <w:t xml:space="preserve"> </w:t>
            </w:r>
          </w:p>
        </w:tc>
      </w:tr>
      <w:tr w:rsidR="009155D1" w:rsidRPr="00EE43C6" w14:paraId="47187890"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2817AE9B" w14:textId="36A9D42D" w:rsidR="009155D1" w:rsidRPr="00EE43C6" w:rsidRDefault="009155D1" w:rsidP="00854BE8">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C1</w:t>
            </w:r>
            <w:r w:rsidR="003210EF" w:rsidRPr="00EE43C6">
              <w:rPr>
                <w:rFonts w:cs="Arial"/>
                <w:color w:val="000000"/>
                <w:sz w:val="16"/>
                <w:szCs w:val="16"/>
                <w:lang w:eastAsia="tr-TR"/>
              </w:rPr>
              <w:t>8</w:t>
            </w:r>
          </w:p>
        </w:tc>
        <w:tc>
          <w:tcPr>
            <w:tcW w:w="1559" w:type="dxa"/>
            <w:tcBorders>
              <w:top w:val="single" w:sz="4" w:space="0" w:color="auto"/>
              <w:left w:val="single" w:sz="4" w:space="0" w:color="auto"/>
              <w:bottom w:val="single" w:sz="4" w:space="0" w:color="auto"/>
              <w:right w:val="single" w:sz="4" w:space="0" w:color="auto"/>
            </w:tcBorders>
            <w:hideMark/>
          </w:tcPr>
          <w:p w14:paraId="2F9233F8" w14:textId="77777777" w:rsidR="009155D1" w:rsidRPr="00EE43C6" w:rsidRDefault="009155D1" w:rsidP="00854BE8">
            <w:pPr>
              <w:spacing w:before="0" w:after="0" w:line="240" w:lineRule="auto"/>
              <w:jc w:val="left"/>
              <w:rPr>
                <w:rFonts w:eastAsia="Arial TUR" w:cs="Arial"/>
                <w:color w:val="000000"/>
                <w:sz w:val="16"/>
                <w:szCs w:val="16"/>
                <w:lang w:eastAsia="tr-TR"/>
              </w:rPr>
            </w:pPr>
            <w:r w:rsidRPr="00EE43C6">
              <w:rPr>
                <w:rFonts w:eastAsia="Calibri" w:cs="Arial"/>
                <w:b/>
                <w:bCs/>
                <w:sz w:val="16"/>
                <w:szCs w:val="16"/>
                <w:lang w:eastAsia="en-US"/>
              </w:rPr>
              <w:t>Waste Oils</w:t>
            </w:r>
          </w:p>
        </w:tc>
        <w:tc>
          <w:tcPr>
            <w:tcW w:w="1276" w:type="dxa"/>
            <w:tcBorders>
              <w:top w:val="single" w:sz="4" w:space="0" w:color="auto"/>
              <w:left w:val="single" w:sz="4" w:space="0" w:color="auto"/>
              <w:bottom w:val="single" w:sz="4" w:space="0" w:color="auto"/>
              <w:right w:val="single" w:sz="4" w:space="0" w:color="auto"/>
            </w:tcBorders>
            <w:noWrap/>
            <w:hideMark/>
          </w:tcPr>
          <w:p w14:paraId="16E08BC3" w14:textId="77777777" w:rsidR="009155D1" w:rsidRPr="00EE43C6" w:rsidRDefault="009155D1" w:rsidP="00854BE8">
            <w:pPr>
              <w:spacing w:before="0" w:after="0" w:line="240" w:lineRule="auto"/>
              <w:jc w:val="left"/>
              <w:rPr>
                <w:rFonts w:eastAsia="Arial TUR" w:cs="Arial"/>
                <w:color w:val="000000"/>
                <w:sz w:val="16"/>
                <w:szCs w:val="16"/>
                <w:lang w:eastAsia="tr-TR"/>
              </w:rPr>
            </w:pPr>
            <w:r w:rsidRPr="00EE43C6">
              <w:rPr>
                <w:rFonts w:eastAsia="Calibri" w:cs="Arial"/>
                <w:bCs/>
                <w:color w:val="000000"/>
                <w:sz w:val="16"/>
                <w:szCs w:val="16"/>
                <w:lang w:eastAsia="tr-TR"/>
              </w:rPr>
              <w:t>Waste management failure,</w:t>
            </w:r>
            <w:r w:rsidRPr="00EE43C6">
              <w:rPr>
                <w:rFonts w:eastAsia="Calibri" w:cs="Arial"/>
                <w:sz w:val="16"/>
                <w:szCs w:val="16"/>
                <w:lang w:eastAsia="en-US"/>
              </w:rPr>
              <w:t xml:space="preserve"> </w:t>
            </w:r>
            <w:r w:rsidRPr="00EE43C6">
              <w:rPr>
                <w:rFonts w:eastAsia="Calibri" w:cs="Arial"/>
                <w:bCs/>
                <w:color w:val="000000"/>
                <w:sz w:val="16"/>
                <w:szCs w:val="16"/>
                <w:lang w:eastAsia="tr-TR"/>
              </w:rPr>
              <w:t>pollution from waste</w:t>
            </w:r>
          </w:p>
        </w:tc>
        <w:tc>
          <w:tcPr>
            <w:tcW w:w="851" w:type="dxa"/>
            <w:tcBorders>
              <w:top w:val="single" w:sz="4" w:space="0" w:color="auto"/>
              <w:left w:val="single" w:sz="4" w:space="0" w:color="auto"/>
              <w:bottom w:val="single" w:sz="4" w:space="0" w:color="auto"/>
              <w:right w:val="single" w:sz="4" w:space="0" w:color="auto"/>
            </w:tcBorders>
            <w:noWrap/>
            <w:hideMark/>
          </w:tcPr>
          <w:p w14:paraId="3F5E6313"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230BA253"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Low</w:t>
            </w:r>
          </w:p>
        </w:tc>
        <w:tc>
          <w:tcPr>
            <w:tcW w:w="1134" w:type="dxa"/>
            <w:tcBorders>
              <w:top w:val="single" w:sz="4" w:space="0" w:color="auto"/>
              <w:left w:val="single" w:sz="4" w:space="0" w:color="auto"/>
              <w:bottom w:val="single" w:sz="4" w:space="0" w:color="auto"/>
              <w:right w:val="single" w:sz="4" w:space="0" w:color="auto"/>
            </w:tcBorders>
            <w:hideMark/>
          </w:tcPr>
          <w:p w14:paraId="105F1C80" w14:textId="2C3D9465"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2BD525E1" w14:textId="77777777" w:rsidR="009155D1" w:rsidRPr="00EE43C6" w:rsidRDefault="009155D1"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If different categories of oils are generated from the works at the construction site, these oils will be stored separately.</w:t>
            </w:r>
          </w:p>
          <w:p w14:paraId="2B1AF83D" w14:textId="5172BC8F" w:rsidR="009155D1" w:rsidRPr="00EE43C6" w:rsidRDefault="009155D1"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 xml:space="preserve">Containers where waste oils are stored will be kept closed and protected from </w:t>
            </w:r>
            <w:r w:rsidR="009D51FC" w:rsidRPr="00EE43C6">
              <w:rPr>
                <w:rFonts w:cs="Arial"/>
                <w:color w:val="000000"/>
                <w:sz w:val="16"/>
                <w:szCs w:val="16"/>
                <w:lang w:eastAsia="tr-TR"/>
              </w:rPr>
              <w:t>stormwater</w:t>
            </w:r>
            <w:r w:rsidR="00CB4C7A" w:rsidRPr="00EE43C6">
              <w:rPr>
                <w:rFonts w:cs="Arial"/>
                <w:color w:val="000000"/>
                <w:sz w:val="16"/>
                <w:szCs w:val="16"/>
                <w:lang w:eastAsia="tr-TR"/>
              </w:rPr>
              <w:t>, and they will be kept impermeable ground</w:t>
            </w:r>
            <w:r w:rsidRPr="00EE43C6">
              <w:rPr>
                <w:rFonts w:cs="Arial"/>
                <w:color w:val="000000"/>
                <w:sz w:val="16"/>
                <w:szCs w:val="16"/>
                <w:lang w:eastAsia="tr-TR"/>
              </w:rPr>
              <w:t>.</w:t>
            </w:r>
          </w:p>
          <w:p w14:paraId="44B20B49" w14:textId="77777777"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Waste oils will only be transported by licensed transportation companies and will only be delivered to licensed recycling or disposal facilities.</w:t>
            </w:r>
          </w:p>
        </w:tc>
        <w:tc>
          <w:tcPr>
            <w:tcW w:w="1418" w:type="dxa"/>
            <w:tcBorders>
              <w:top w:val="single" w:sz="4" w:space="0" w:color="auto"/>
              <w:left w:val="single" w:sz="4" w:space="0" w:color="auto"/>
              <w:bottom w:val="single" w:sz="4" w:space="0" w:color="auto"/>
              <w:right w:val="single" w:sz="4" w:space="0" w:color="auto"/>
            </w:tcBorders>
            <w:hideMark/>
          </w:tcPr>
          <w:p w14:paraId="7D67C229" w14:textId="6FC4E050"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p w14:paraId="1090AC83" w14:textId="3B759528" w:rsidR="009155D1" w:rsidRPr="00EE43C6" w:rsidRDefault="00137E9E"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1936DCC2"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Contractor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8BFB6AC"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Total waste generated</w:t>
            </w:r>
          </w:p>
          <w:p w14:paraId="1DCFC72B"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t xml:space="preserve">Ratio of recycled to </w:t>
            </w:r>
            <w:r w:rsidRPr="00EE43C6">
              <w:rPr>
                <w:rFonts w:cs="Arial"/>
                <w:color w:val="000000"/>
                <w:sz w:val="16"/>
                <w:szCs w:val="16"/>
              </w:rPr>
              <w:t>total waste</w:t>
            </w:r>
            <w:r w:rsidRPr="00EE43C6">
              <w:rPr>
                <w:rFonts w:eastAsia="Calibri" w:cs="Arial"/>
                <w:color w:val="000000"/>
                <w:sz w:val="16"/>
                <w:szCs w:val="16"/>
                <w:lang w:eastAsia="en-US"/>
              </w:rPr>
              <w:t xml:space="preserve"> generated</w:t>
            </w:r>
            <w:r w:rsidRPr="00EE43C6" w:rsidDel="00A05773">
              <w:rPr>
                <w:rFonts w:eastAsia="Calibri" w:cs="Arial"/>
                <w:color w:val="000000"/>
                <w:sz w:val="16"/>
                <w:szCs w:val="16"/>
                <w:lang w:eastAsia="en-US"/>
              </w:rPr>
              <w:t xml:space="preserve"> </w:t>
            </w:r>
          </w:p>
        </w:tc>
      </w:tr>
      <w:tr w:rsidR="009155D1" w:rsidRPr="00EE43C6" w14:paraId="433C23A4"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10D61225" w14:textId="39B899EF" w:rsidR="009155D1" w:rsidRPr="00EE43C6" w:rsidRDefault="009155D1" w:rsidP="00854BE8">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C1</w:t>
            </w:r>
            <w:r w:rsidR="003210EF" w:rsidRPr="00EE43C6">
              <w:rPr>
                <w:rFonts w:cs="Arial"/>
                <w:color w:val="000000"/>
                <w:sz w:val="16"/>
                <w:szCs w:val="16"/>
                <w:lang w:eastAsia="tr-TR"/>
              </w:rPr>
              <w:t>9</w:t>
            </w:r>
          </w:p>
        </w:tc>
        <w:tc>
          <w:tcPr>
            <w:tcW w:w="1559" w:type="dxa"/>
            <w:tcBorders>
              <w:top w:val="single" w:sz="4" w:space="0" w:color="auto"/>
              <w:left w:val="single" w:sz="4" w:space="0" w:color="auto"/>
              <w:bottom w:val="single" w:sz="4" w:space="0" w:color="auto"/>
              <w:right w:val="single" w:sz="4" w:space="0" w:color="auto"/>
            </w:tcBorders>
            <w:hideMark/>
          </w:tcPr>
          <w:p w14:paraId="7F82C325" w14:textId="77777777" w:rsidR="009155D1" w:rsidRPr="00EE43C6" w:rsidRDefault="009155D1" w:rsidP="00854BE8">
            <w:pPr>
              <w:spacing w:before="0" w:after="0" w:line="240" w:lineRule="auto"/>
              <w:jc w:val="left"/>
              <w:rPr>
                <w:rFonts w:eastAsia="Arial TUR" w:cs="Arial"/>
                <w:color w:val="000000"/>
                <w:sz w:val="16"/>
                <w:szCs w:val="16"/>
                <w:lang w:eastAsia="tr-TR"/>
              </w:rPr>
            </w:pPr>
            <w:r w:rsidRPr="00EE43C6">
              <w:rPr>
                <w:rFonts w:eastAsia="Calibri" w:cs="Arial"/>
                <w:b/>
                <w:bCs/>
                <w:sz w:val="16"/>
                <w:szCs w:val="16"/>
                <w:lang w:eastAsia="en-US"/>
              </w:rPr>
              <w:t>Waste Batteries and Accumulators</w:t>
            </w:r>
          </w:p>
        </w:tc>
        <w:tc>
          <w:tcPr>
            <w:tcW w:w="1276" w:type="dxa"/>
            <w:tcBorders>
              <w:top w:val="single" w:sz="4" w:space="0" w:color="auto"/>
              <w:left w:val="single" w:sz="4" w:space="0" w:color="auto"/>
              <w:bottom w:val="single" w:sz="4" w:space="0" w:color="auto"/>
              <w:right w:val="single" w:sz="4" w:space="0" w:color="auto"/>
            </w:tcBorders>
            <w:noWrap/>
            <w:hideMark/>
          </w:tcPr>
          <w:p w14:paraId="56855B00" w14:textId="77777777" w:rsidR="009155D1" w:rsidRPr="00EE43C6" w:rsidRDefault="009155D1" w:rsidP="00854BE8">
            <w:pPr>
              <w:spacing w:before="0" w:after="0" w:line="240" w:lineRule="auto"/>
              <w:jc w:val="left"/>
              <w:rPr>
                <w:rFonts w:eastAsia="Arial TUR" w:cs="Arial"/>
                <w:color w:val="000000"/>
                <w:sz w:val="16"/>
                <w:szCs w:val="16"/>
                <w:lang w:eastAsia="tr-TR"/>
              </w:rPr>
            </w:pPr>
            <w:r w:rsidRPr="00EE43C6">
              <w:rPr>
                <w:rFonts w:eastAsia="Calibri" w:cs="Arial"/>
                <w:bCs/>
                <w:color w:val="000000"/>
                <w:sz w:val="16"/>
                <w:szCs w:val="16"/>
                <w:lang w:eastAsia="tr-TR"/>
              </w:rPr>
              <w:t>Waste management failure, pollution from waste</w:t>
            </w:r>
          </w:p>
        </w:tc>
        <w:tc>
          <w:tcPr>
            <w:tcW w:w="851" w:type="dxa"/>
            <w:tcBorders>
              <w:top w:val="single" w:sz="4" w:space="0" w:color="auto"/>
              <w:left w:val="single" w:sz="4" w:space="0" w:color="auto"/>
              <w:bottom w:val="single" w:sz="4" w:space="0" w:color="auto"/>
              <w:right w:val="single" w:sz="4" w:space="0" w:color="auto"/>
            </w:tcBorders>
            <w:noWrap/>
            <w:hideMark/>
          </w:tcPr>
          <w:p w14:paraId="5500F2E1"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20728073"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Low</w:t>
            </w:r>
          </w:p>
        </w:tc>
        <w:tc>
          <w:tcPr>
            <w:tcW w:w="1134" w:type="dxa"/>
            <w:tcBorders>
              <w:top w:val="single" w:sz="4" w:space="0" w:color="auto"/>
              <w:left w:val="single" w:sz="4" w:space="0" w:color="auto"/>
              <w:bottom w:val="single" w:sz="4" w:space="0" w:color="auto"/>
              <w:right w:val="single" w:sz="4" w:space="0" w:color="auto"/>
            </w:tcBorders>
            <w:hideMark/>
          </w:tcPr>
          <w:p w14:paraId="63B68608" w14:textId="79F63372"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6C40BAF8" w14:textId="77777777" w:rsidR="009155D1" w:rsidRPr="00EE43C6" w:rsidRDefault="009155D1"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Waste batteries will be collected separately from other wastes, delivered to authorized organizations and recycled.</w:t>
            </w:r>
          </w:p>
          <w:p w14:paraId="0A51A2AD" w14:textId="77777777" w:rsidR="009155D1" w:rsidRPr="00EE43C6" w:rsidRDefault="009155D1"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Waste batteries and accumulators will be delivered to waste battery and accumulator disposal facilities within the Municipal borders through authorized transportation companies.</w:t>
            </w:r>
          </w:p>
        </w:tc>
        <w:tc>
          <w:tcPr>
            <w:tcW w:w="1418" w:type="dxa"/>
            <w:tcBorders>
              <w:top w:val="single" w:sz="4" w:space="0" w:color="auto"/>
              <w:left w:val="single" w:sz="4" w:space="0" w:color="auto"/>
              <w:bottom w:val="single" w:sz="4" w:space="0" w:color="auto"/>
              <w:right w:val="single" w:sz="4" w:space="0" w:color="auto"/>
            </w:tcBorders>
            <w:hideMark/>
          </w:tcPr>
          <w:p w14:paraId="78DA6D95" w14:textId="60A78E50"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p w14:paraId="6EAAE9CF" w14:textId="3AB3583D" w:rsidR="009155D1" w:rsidRPr="00EE43C6" w:rsidRDefault="00137E9E"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2DD88DA1"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Contractor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BE34D3"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Total waste generated</w:t>
            </w:r>
          </w:p>
          <w:p w14:paraId="06FD6C9B"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tr-TR"/>
              </w:rPr>
            </w:pPr>
            <w:r w:rsidRPr="00EE43C6">
              <w:rPr>
                <w:rFonts w:eastAsia="Calibri" w:cs="Arial"/>
                <w:color w:val="000000"/>
                <w:sz w:val="16"/>
                <w:szCs w:val="16"/>
                <w:lang w:eastAsia="en-US"/>
              </w:rPr>
              <w:t>Ratio of recycled</w:t>
            </w:r>
            <w:r w:rsidRPr="00EE43C6">
              <w:rPr>
                <w:rFonts w:cs="Arial"/>
                <w:color w:val="000000"/>
                <w:sz w:val="16"/>
                <w:szCs w:val="16"/>
              </w:rPr>
              <w:t xml:space="preserve"> total waste</w:t>
            </w:r>
            <w:r w:rsidRPr="00EE43C6">
              <w:rPr>
                <w:rFonts w:eastAsia="Calibri" w:cs="Arial"/>
                <w:color w:val="000000"/>
                <w:sz w:val="16"/>
                <w:szCs w:val="16"/>
                <w:lang w:eastAsia="en-US"/>
              </w:rPr>
              <w:t xml:space="preserve"> generated</w:t>
            </w:r>
          </w:p>
        </w:tc>
      </w:tr>
      <w:tr w:rsidR="009155D1" w:rsidRPr="00EE43C6" w14:paraId="413BCA09"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7530204B" w14:textId="7520A382" w:rsidR="009155D1" w:rsidRPr="00EE43C6" w:rsidRDefault="009155D1" w:rsidP="00854BE8">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lastRenderedPageBreak/>
              <w:t>C</w:t>
            </w:r>
            <w:r w:rsidR="003210EF" w:rsidRPr="00EE43C6">
              <w:rPr>
                <w:rFonts w:cs="Arial"/>
                <w:color w:val="000000"/>
                <w:sz w:val="16"/>
                <w:szCs w:val="16"/>
                <w:lang w:eastAsia="tr-TR"/>
              </w:rPr>
              <w:t>20</w:t>
            </w:r>
          </w:p>
        </w:tc>
        <w:tc>
          <w:tcPr>
            <w:tcW w:w="1559" w:type="dxa"/>
            <w:tcBorders>
              <w:top w:val="single" w:sz="4" w:space="0" w:color="auto"/>
              <w:left w:val="single" w:sz="4" w:space="0" w:color="auto"/>
              <w:bottom w:val="single" w:sz="4" w:space="0" w:color="auto"/>
              <w:right w:val="single" w:sz="4" w:space="0" w:color="auto"/>
            </w:tcBorders>
            <w:hideMark/>
          </w:tcPr>
          <w:p w14:paraId="5253D5A8" w14:textId="77777777" w:rsidR="009155D1" w:rsidRPr="00EE43C6" w:rsidRDefault="009155D1" w:rsidP="00854BE8">
            <w:pPr>
              <w:spacing w:before="0" w:after="0" w:line="240" w:lineRule="auto"/>
              <w:jc w:val="left"/>
              <w:rPr>
                <w:rFonts w:eastAsia="Arial TUR" w:cs="Arial"/>
                <w:color w:val="000000"/>
                <w:sz w:val="16"/>
                <w:szCs w:val="16"/>
                <w:lang w:eastAsia="tr-TR"/>
              </w:rPr>
            </w:pPr>
            <w:r w:rsidRPr="00EE43C6">
              <w:rPr>
                <w:rFonts w:eastAsia="Calibri" w:cs="Arial"/>
                <w:b/>
                <w:bCs/>
                <w:sz w:val="16"/>
                <w:szCs w:val="16"/>
                <w:lang w:eastAsia="en-US"/>
              </w:rPr>
              <w:t>End-of-life Tires</w:t>
            </w:r>
          </w:p>
        </w:tc>
        <w:tc>
          <w:tcPr>
            <w:tcW w:w="1276" w:type="dxa"/>
            <w:tcBorders>
              <w:top w:val="single" w:sz="4" w:space="0" w:color="auto"/>
              <w:left w:val="single" w:sz="4" w:space="0" w:color="auto"/>
              <w:bottom w:val="single" w:sz="4" w:space="0" w:color="auto"/>
              <w:right w:val="single" w:sz="4" w:space="0" w:color="auto"/>
            </w:tcBorders>
            <w:noWrap/>
            <w:hideMark/>
          </w:tcPr>
          <w:p w14:paraId="753863F9"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Waste management failure, pollution from waste</w:t>
            </w:r>
          </w:p>
        </w:tc>
        <w:tc>
          <w:tcPr>
            <w:tcW w:w="851" w:type="dxa"/>
            <w:tcBorders>
              <w:top w:val="single" w:sz="4" w:space="0" w:color="auto"/>
              <w:left w:val="single" w:sz="4" w:space="0" w:color="auto"/>
              <w:bottom w:val="single" w:sz="4" w:space="0" w:color="auto"/>
              <w:right w:val="single" w:sz="4" w:space="0" w:color="auto"/>
            </w:tcBorders>
            <w:noWrap/>
            <w:hideMark/>
          </w:tcPr>
          <w:p w14:paraId="0F602E69"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77E13BCC"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Low</w:t>
            </w:r>
          </w:p>
        </w:tc>
        <w:tc>
          <w:tcPr>
            <w:tcW w:w="1134" w:type="dxa"/>
            <w:tcBorders>
              <w:top w:val="single" w:sz="4" w:space="0" w:color="auto"/>
              <w:left w:val="single" w:sz="4" w:space="0" w:color="auto"/>
              <w:bottom w:val="single" w:sz="4" w:space="0" w:color="auto"/>
              <w:right w:val="single" w:sz="4" w:space="0" w:color="auto"/>
            </w:tcBorders>
            <w:hideMark/>
          </w:tcPr>
          <w:p w14:paraId="16BFF028" w14:textId="002D9F40"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5C6CE980" w14:textId="77777777" w:rsidR="009155D1" w:rsidRPr="00EE43C6" w:rsidRDefault="009155D1" w:rsidP="000E280D">
            <w:pPr>
              <w:numPr>
                <w:ilvl w:val="0"/>
                <w:numId w:val="7"/>
              </w:numPr>
              <w:spacing w:before="60" w:after="60" w:line="240" w:lineRule="auto"/>
              <w:ind w:left="113" w:right="113" w:hanging="181"/>
              <w:jc w:val="left"/>
              <w:rPr>
                <w:rFonts w:cs="Arial"/>
                <w:color w:val="000000"/>
                <w:sz w:val="16"/>
                <w:szCs w:val="16"/>
                <w:lang w:eastAsia="tr-TR"/>
              </w:rPr>
            </w:pPr>
            <w:r w:rsidRPr="00EE43C6">
              <w:rPr>
                <w:rFonts w:cs="Arial"/>
                <w:color w:val="000000"/>
                <w:sz w:val="16"/>
                <w:szCs w:val="16"/>
                <w:lang w:eastAsia="tr-TR"/>
              </w:rPr>
              <w:t>In cases when tires of the vehicles to be changed during construction activities; end-of-life tires will be delivered to the companies that distributes and sells tires via the authorized transportation companies.</w:t>
            </w:r>
          </w:p>
        </w:tc>
        <w:tc>
          <w:tcPr>
            <w:tcW w:w="1418" w:type="dxa"/>
            <w:tcBorders>
              <w:top w:val="single" w:sz="4" w:space="0" w:color="auto"/>
              <w:left w:val="single" w:sz="4" w:space="0" w:color="auto"/>
              <w:bottom w:val="single" w:sz="4" w:space="0" w:color="auto"/>
              <w:right w:val="single" w:sz="4" w:space="0" w:color="auto"/>
            </w:tcBorders>
            <w:hideMark/>
          </w:tcPr>
          <w:p w14:paraId="5946AB77" w14:textId="2DCD9B0A"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p w14:paraId="072CD784" w14:textId="420B72B1" w:rsidR="009155D1" w:rsidRPr="00EE43C6" w:rsidRDefault="00137E9E"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5E5489EA"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Contractor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3BC13A"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Total waste generated</w:t>
            </w:r>
          </w:p>
          <w:p w14:paraId="4B70CB80"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tr-TR"/>
              </w:rPr>
            </w:pPr>
            <w:r w:rsidRPr="00EE43C6">
              <w:rPr>
                <w:rFonts w:eastAsia="Calibri" w:cs="Arial"/>
                <w:color w:val="000000"/>
                <w:sz w:val="16"/>
                <w:szCs w:val="16"/>
                <w:lang w:eastAsia="en-US"/>
              </w:rPr>
              <w:t xml:space="preserve">Ratio of recycled </w:t>
            </w:r>
            <w:r w:rsidRPr="00EE43C6">
              <w:rPr>
                <w:rFonts w:cs="Arial"/>
                <w:color w:val="000000"/>
                <w:sz w:val="16"/>
                <w:szCs w:val="16"/>
              </w:rPr>
              <w:t>waste</w:t>
            </w:r>
            <w:r w:rsidRPr="00EE43C6">
              <w:rPr>
                <w:rFonts w:eastAsia="Calibri" w:cs="Arial"/>
                <w:color w:val="000000"/>
                <w:sz w:val="16"/>
                <w:szCs w:val="16"/>
                <w:lang w:eastAsia="en-US"/>
              </w:rPr>
              <w:t xml:space="preserve"> to </w:t>
            </w:r>
            <w:r w:rsidRPr="00EE43C6">
              <w:rPr>
                <w:rFonts w:cs="Arial"/>
                <w:color w:val="000000"/>
                <w:sz w:val="16"/>
                <w:szCs w:val="16"/>
              </w:rPr>
              <w:t xml:space="preserve">total waste </w:t>
            </w:r>
            <w:r w:rsidRPr="00EE43C6">
              <w:rPr>
                <w:rFonts w:eastAsia="Calibri" w:cs="Arial"/>
                <w:color w:val="000000"/>
                <w:sz w:val="16"/>
                <w:szCs w:val="16"/>
                <w:lang w:eastAsia="en-US"/>
              </w:rPr>
              <w:t>generated</w:t>
            </w:r>
            <w:r w:rsidRPr="00EE43C6" w:rsidDel="006D7F5D">
              <w:rPr>
                <w:rFonts w:eastAsia="Calibri" w:cs="Arial"/>
                <w:color w:val="000000"/>
                <w:sz w:val="16"/>
                <w:szCs w:val="16"/>
                <w:lang w:eastAsia="en-US"/>
              </w:rPr>
              <w:t xml:space="preserve"> </w:t>
            </w:r>
            <w:r w:rsidRPr="00EE43C6">
              <w:rPr>
                <w:rFonts w:cs="Arial"/>
                <w:color w:val="000000"/>
                <w:sz w:val="16"/>
                <w:szCs w:val="16"/>
              </w:rPr>
              <w:t xml:space="preserve"> </w:t>
            </w:r>
          </w:p>
        </w:tc>
      </w:tr>
      <w:tr w:rsidR="009155D1" w:rsidRPr="00EE43C6" w14:paraId="4BE5EA56"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2DC2A19F" w14:textId="714318D0" w:rsidR="009155D1" w:rsidRPr="00EE43C6" w:rsidRDefault="009155D1" w:rsidP="00854BE8">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C2</w:t>
            </w:r>
            <w:r w:rsidR="003210EF" w:rsidRPr="00EE43C6">
              <w:rPr>
                <w:rFonts w:cs="Arial"/>
                <w:color w:val="000000"/>
                <w:sz w:val="16"/>
                <w:szCs w:val="16"/>
                <w:lang w:eastAsia="tr-TR"/>
              </w:rPr>
              <w:t>1</w:t>
            </w:r>
          </w:p>
        </w:tc>
        <w:tc>
          <w:tcPr>
            <w:tcW w:w="1559" w:type="dxa"/>
            <w:tcBorders>
              <w:top w:val="single" w:sz="4" w:space="0" w:color="auto"/>
              <w:left w:val="single" w:sz="4" w:space="0" w:color="auto"/>
              <w:bottom w:val="single" w:sz="4" w:space="0" w:color="auto"/>
              <w:right w:val="single" w:sz="4" w:space="0" w:color="auto"/>
            </w:tcBorders>
            <w:hideMark/>
          </w:tcPr>
          <w:p w14:paraId="1EBF2F40" w14:textId="77777777" w:rsidR="009155D1" w:rsidRPr="00EE43C6" w:rsidRDefault="009155D1" w:rsidP="00854BE8">
            <w:pPr>
              <w:spacing w:before="0" w:after="0" w:line="240" w:lineRule="auto"/>
              <w:jc w:val="left"/>
              <w:rPr>
                <w:rFonts w:eastAsia="Arial TUR" w:cs="Arial"/>
                <w:color w:val="000000"/>
                <w:sz w:val="16"/>
                <w:szCs w:val="16"/>
                <w:lang w:eastAsia="tr-TR"/>
              </w:rPr>
            </w:pPr>
            <w:r w:rsidRPr="00EE43C6">
              <w:rPr>
                <w:rFonts w:eastAsia="Calibri" w:cs="Arial"/>
                <w:b/>
                <w:bCs/>
                <w:sz w:val="16"/>
                <w:szCs w:val="16"/>
                <w:lang w:eastAsia="en-US"/>
              </w:rPr>
              <w:t>Excavation Soil, Construction and Demolition Wastes</w:t>
            </w:r>
          </w:p>
        </w:tc>
        <w:tc>
          <w:tcPr>
            <w:tcW w:w="1276" w:type="dxa"/>
            <w:tcBorders>
              <w:top w:val="single" w:sz="4" w:space="0" w:color="auto"/>
              <w:left w:val="single" w:sz="4" w:space="0" w:color="auto"/>
              <w:bottom w:val="single" w:sz="4" w:space="0" w:color="auto"/>
              <w:right w:val="single" w:sz="4" w:space="0" w:color="auto"/>
            </w:tcBorders>
            <w:noWrap/>
            <w:hideMark/>
          </w:tcPr>
          <w:p w14:paraId="27845F9A" w14:textId="36948C3C"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 xml:space="preserve">Waste management failure, pollution from waste, loss of </w:t>
            </w:r>
            <w:r w:rsidR="00BD2672" w:rsidRPr="000E280D">
              <w:rPr>
                <w:rFonts w:cs="Arial"/>
                <w:bCs/>
                <w:sz w:val="16"/>
                <w:szCs w:val="16"/>
                <w:lang w:eastAsia="en-GB"/>
              </w:rPr>
              <w:t>topsoil</w:t>
            </w:r>
          </w:p>
        </w:tc>
        <w:tc>
          <w:tcPr>
            <w:tcW w:w="851" w:type="dxa"/>
            <w:tcBorders>
              <w:top w:val="single" w:sz="4" w:space="0" w:color="auto"/>
              <w:left w:val="single" w:sz="4" w:space="0" w:color="auto"/>
              <w:bottom w:val="single" w:sz="4" w:space="0" w:color="auto"/>
              <w:right w:val="single" w:sz="4" w:space="0" w:color="auto"/>
            </w:tcBorders>
            <w:noWrap/>
            <w:hideMark/>
          </w:tcPr>
          <w:p w14:paraId="1C545703"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6A9ACD2D"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Low</w:t>
            </w:r>
          </w:p>
        </w:tc>
        <w:tc>
          <w:tcPr>
            <w:tcW w:w="1134" w:type="dxa"/>
            <w:tcBorders>
              <w:top w:val="single" w:sz="4" w:space="0" w:color="auto"/>
              <w:left w:val="single" w:sz="4" w:space="0" w:color="auto"/>
              <w:bottom w:val="single" w:sz="4" w:space="0" w:color="auto"/>
              <w:right w:val="single" w:sz="4" w:space="0" w:color="auto"/>
            </w:tcBorders>
            <w:hideMark/>
          </w:tcPr>
          <w:p w14:paraId="4FBE354D" w14:textId="361BD71B"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0A595B0C" w14:textId="454D512A" w:rsidR="00334C61" w:rsidRPr="00EE43C6" w:rsidRDefault="00EA1F50"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 xml:space="preserve">Stripped topsoil should continue to be transported to the area </w:t>
            </w:r>
            <w:r w:rsidR="00913BC5" w:rsidRPr="00EE43C6">
              <w:rPr>
                <w:rFonts w:eastAsia="Arial TUR" w:cs="Arial"/>
                <w:color w:val="000000"/>
                <w:sz w:val="16"/>
                <w:szCs w:val="16"/>
                <w:lang w:eastAsia="en-US"/>
              </w:rPr>
              <w:t>allocated</w:t>
            </w:r>
            <w:r w:rsidRPr="00EE43C6">
              <w:rPr>
                <w:rFonts w:eastAsia="Arial TUR" w:cs="Arial"/>
                <w:color w:val="000000"/>
                <w:sz w:val="16"/>
                <w:szCs w:val="16"/>
                <w:lang w:eastAsia="en-US"/>
              </w:rPr>
              <w:t xml:space="preserve"> for afforestation in the Project Area.</w:t>
            </w:r>
          </w:p>
          <w:p w14:paraId="4F0FB1C6" w14:textId="12C45D91" w:rsidR="009155D1" w:rsidRPr="00EE43C6" w:rsidRDefault="00EB07DF"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Before starting excavation</w:t>
            </w:r>
            <w:r w:rsidR="0001712F" w:rsidRPr="00EE43C6">
              <w:rPr>
                <w:rFonts w:eastAsia="Arial TUR" w:cs="Arial"/>
                <w:color w:val="000000"/>
                <w:sz w:val="16"/>
                <w:szCs w:val="16"/>
                <w:lang w:eastAsia="en-US"/>
              </w:rPr>
              <w:t xml:space="preserve"> works </w:t>
            </w:r>
            <w:r w:rsidRPr="00EE43C6">
              <w:rPr>
                <w:rFonts w:eastAsia="Arial TUR" w:cs="Arial"/>
                <w:color w:val="000000"/>
                <w:sz w:val="16"/>
                <w:szCs w:val="16"/>
                <w:lang w:eastAsia="en-US"/>
              </w:rPr>
              <w:t xml:space="preserve">elsewhere where there is topsoil, </w:t>
            </w:r>
            <w:r w:rsidR="00BD2672" w:rsidRPr="00EE43C6">
              <w:rPr>
                <w:rFonts w:eastAsia="Arial TUR" w:cs="Arial"/>
                <w:color w:val="000000"/>
                <w:sz w:val="16"/>
                <w:szCs w:val="16"/>
                <w:lang w:eastAsia="en-US"/>
              </w:rPr>
              <w:t>concerned</w:t>
            </w:r>
            <w:r w:rsidR="009155D1" w:rsidRPr="00EE43C6">
              <w:rPr>
                <w:rFonts w:eastAsia="Arial TUR" w:cs="Arial"/>
                <w:color w:val="000000"/>
                <w:sz w:val="16"/>
                <w:szCs w:val="16"/>
                <w:lang w:eastAsia="en-US"/>
              </w:rPr>
              <w:t xml:space="preserve"> topsoil will be stripped to a sufficient depth (minimum 20 cm)</w:t>
            </w:r>
            <w:r w:rsidR="009155D1" w:rsidRPr="00EE43C6">
              <w:rPr>
                <w:rStyle w:val="FootnoteReference"/>
                <w:rFonts w:eastAsia="Arial TUR" w:cs="Arial"/>
                <w:color w:val="000000"/>
                <w:sz w:val="16"/>
                <w:szCs w:val="16"/>
                <w:lang w:eastAsia="en-US"/>
              </w:rPr>
              <w:footnoteReference w:id="33"/>
            </w:r>
            <w:r w:rsidR="009155D1" w:rsidRPr="00EE43C6">
              <w:rPr>
                <w:rFonts w:eastAsia="Arial TUR" w:cs="Arial"/>
                <w:color w:val="000000"/>
                <w:sz w:val="16"/>
                <w:szCs w:val="16"/>
                <w:lang w:eastAsia="en-US"/>
              </w:rPr>
              <w:t xml:space="preserve"> prior to the start of the construction activities. To avoid soil compaction, stripping operation will not be done when soil is wet. Average height of topsoil stacks will be 1.5 meters. Side slope of these stacks will not exceed 3:1 (h:v).</w:t>
            </w:r>
          </w:p>
          <w:p w14:paraId="2823DADD"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t>Consideration will be given to recycling of excavation soil and construction wastes and especially to their reuse as infrastructure material.</w:t>
            </w:r>
          </w:p>
          <w:p w14:paraId="02901346" w14:textId="77777777" w:rsidR="009155D1" w:rsidRPr="00EE43C6" w:rsidRDefault="009155D1" w:rsidP="000E280D">
            <w:pPr>
              <w:numPr>
                <w:ilvl w:val="0"/>
                <w:numId w:val="7"/>
              </w:numPr>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For a robust recycling and disposal system, waste will be sorted at source.</w:t>
            </w:r>
          </w:p>
          <w:p w14:paraId="6C4026BD" w14:textId="2C43163E" w:rsidR="009155D1" w:rsidRPr="00EE43C6" w:rsidRDefault="009155D1" w:rsidP="000E280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EE43C6">
              <w:rPr>
                <w:rFonts w:eastAsia="Calibri" w:cs="Arial"/>
                <w:color w:val="000000"/>
                <w:sz w:val="16"/>
                <w:szCs w:val="16"/>
                <w:lang w:eastAsia="en-US"/>
              </w:rPr>
              <w:t xml:space="preserve">Removal of the excavated material, which will not be used for backfilling, from the site will be performed at regular intervals without waiting. </w:t>
            </w:r>
            <w:r w:rsidR="00B561CF" w:rsidRPr="00EE43C6">
              <w:rPr>
                <w:rFonts w:eastAsia="Calibri" w:cs="Arial"/>
                <w:color w:val="000000"/>
                <w:sz w:val="16"/>
                <w:szCs w:val="16"/>
                <w:lang w:eastAsia="en-US"/>
              </w:rPr>
              <w:t>TUIOSB</w:t>
            </w:r>
            <w:r w:rsidRPr="00EE43C6">
              <w:rPr>
                <w:rFonts w:eastAsia="Calibri" w:cs="Arial"/>
                <w:color w:val="000000"/>
                <w:sz w:val="16"/>
                <w:szCs w:val="16"/>
                <w:lang w:eastAsia="en-US"/>
              </w:rPr>
              <w:t xml:space="preserve"> plans to backfill excavation soil in a region within the boundaries of the </w:t>
            </w:r>
            <w:r w:rsidR="00FB2E2F" w:rsidRPr="00EE43C6">
              <w:rPr>
                <w:rFonts w:eastAsia="Calibri" w:cs="Arial"/>
                <w:color w:val="000000"/>
                <w:sz w:val="16"/>
                <w:szCs w:val="16"/>
                <w:lang w:eastAsia="en-US"/>
              </w:rPr>
              <w:t>Project</w:t>
            </w:r>
            <w:r w:rsidRPr="00EE43C6">
              <w:rPr>
                <w:rFonts w:eastAsia="Calibri" w:cs="Arial"/>
                <w:color w:val="000000"/>
                <w:sz w:val="16"/>
                <w:szCs w:val="16"/>
                <w:lang w:eastAsia="en-US"/>
              </w:rPr>
              <w:t xml:space="preserve"> Area. In case of a change in planning, these materials will be transferred to permitted excavation waste storage area by licensed transportation companies.</w:t>
            </w:r>
          </w:p>
        </w:tc>
        <w:tc>
          <w:tcPr>
            <w:tcW w:w="1418" w:type="dxa"/>
            <w:tcBorders>
              <w:top w:val="single" w:sz="4" w:space="0" w:color="auto"/>
              <w:left w:val="single" w:sz="4" w:space="0" w:color="auto"/>
              <w:bottom w:val="single" w:sz="4" w:space="0" w:color="auto"/>
              <w:right w:val="single" w:sz="4" w:space="0" w:color="auto"/>
            </w:tcBorders>
            <w:hideMark/>
          </w:tcPr>
          <w:p w14:paraId="741B1759" w14:textId="760CDEF5" w:rsidR="009155D1" w:rsidRPr="00EE43C6" w:rsidRDefault="00B561CF"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TUIOSB</w:t>
            </w:r>
          </w:p>
          <w:p w14:paraId="4E5B9775" w14:textId="6EBA5CDA" w:rsidR="009155D1" w:rsidRPr="00EE43C6" w:rsidRDefault="00137E9E"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cs="Arial"/>
                <w:color w:val="000000"/>
                <w:sz w:val="16"/>
                <w:szCs w:val="16"/>
                <w:lang w:eastAsia="en-US"/>
              </w:rPr>
              <w:t>Consultant</w:t>
            </w:r>
          </w:p>
          <w:p w14:paraId="2ACE5386" w14:textId="77777777" w:rsidR="009155D1" w:rsidRPr="00EE43C6" w:rsidRDefault="009155D1" w:rsidP="000E280D">
            <w:pPr>
              <w:autoSpaceDE w:val="0"/>
              <w:autoSpaceDN w:val="0"/>
              <w:adjustRightInd w:val="0"/>
              <w:spacing w:before="0" w:after="0" w:line="240" w:lineRule="auto"/>
              <w:ind w:right="113"/>
              <w:jc w:val="left"/>
              <w:rPr>
                <w:rFonts w:cs="Arial"/>
                <w:color w:val="000000"/>
                <w:sz w:val="16"/>
                <w:szCs w:val="16"/>
                <w:lang w:eastAsia="en-US"/>
              </w:rPr>
            </w:pPr>
            <w:r w:rsidRPr="00EE43C6">
              <w:rPr>
                <w:rFonts w:cs="Arial"/>
                <w:color w:val="000000"/>
                <w:sz w:val="16"/>
                <w:szCs w:val="16"/>
                <w:lang w:eastAsia="en-US"/>
              </w:rPr>
              <w:t>Contractor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67045C"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Total waste generated</w:t>
            </w:r>
          </w:p>
          <w:p w14:paraId="6561EEE1"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tr-TR"/>
              </w:rPr>
            </w:pPr>
            <w:r w:rsidRPr="00EE43C6">
              <w:rPr>
                <w:rFonts w:eastAsia="Calibri" w:cs="Arial"/>
                <w:color w:val="000000"/>
                <w:sz w:val="16"/>
                <w:szCs w:val="16"/>
                <w:lang w:eastAsia="en-US"/>
              </w:rPr>
              <w:t>Ratio of recovered/reused/ recycled waste to total waste generated</w:t>
            </w:r>
            <w:r w:rsidRPr="00EE43C6" w:rsidDel="00340042">
              <w:rPr>
                <w:rFonts w:eastAsia="Calibri" w:cs="Arial"/>
                <w:color w:val="000000"/>
                <w:sz w:val="16"/>
                <w:szCs w:val="16"/>
                <w:lang w:eastAsia="en-US"/>
              </w:rPr>
              <w:t xml:space="preserve"> </w:t>
            </w:r>
          </w:p>
          <w:p w14:paraId="331F1E9B" w14:textId="77777777" w:rsidR="009155D1" w:rsidRPr="00EE43C6" w:rsidRDefault="00CB4C7A" w:rsidP="000E280D">
            <w:pPr>
              <w:numPr>
                <w:ilvl w:val="0"/>
                <w:numId w:val="7"/>
              </w:numPr>
              <w:spacing w:before="60" w:after="60" w:line="240" w:lineRule="auto"/>
              <w:ind w:left="113" w:right="113" w:hanging="180"/>
              <w:jc w:val="left"/>
              <w:rPr>
                <w:rFonts w:eastAsia="Arial TUR" w:cs="Arial"/>
                <w:color w:val="000000"/>
                <w:sz w:val="16"/>
                <w:szCs w:val="16"/>
                <w:lang w:eastAsia="tr-TR"/>
              </w:rPr>
            </w:pPr>
            <w:r w:rsidRPr="00EE43C6">
              <w:rPr>
                <w:rFonts w:eastAsia="Arial TUR" w:cs="Arial"/>
                <w:color w:val="000000"/>
                <w:sz w:val="16"/>
                <w:szCs w:val="16"/>
                <w:lang w:eastAsia="tr-TR"/>
              </w:rPr>
              <w:t xml:space="preserve">Ratio of allocated stripped topsoil / remained </w:t>
            </w:r>
            <w:r w:rsidR="000E3317" w:rsidRPr="00EE43C6">
              <w:rPr>
                <w:rFonts w:eastAsia="Arial TUR" w:cs="Arial"/>
                <w:color w:val="000000"/>
                <w:sz w:val="16"/>
                <w:szCs w:val="16"/>
                <w:lang w:eastAsia="tr-TR"/>
              </w:rPr>
              <w:t>topsoil on site</w:t>
            </w:r>
          </w:p>
        </w:tc>
      </w:tr>
      <w:tr w:rsidR="009155D1" w:rsidRPr="00EE43C6" w14:paraId="5A5EB901"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4E5BD0C4" w14:textId="6517EC1E" w:rsidR="009155D1" w:rsidRPr="00EE43C6" w:rsidRDefault="009155D1" w:rsidP="00854BE8">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C2</w:t>
            </w:r>
            <w:r w:rsidR="003210EF" w:rsidRPr="00EE43C6">
              <w:rPr>
                <w:rFonts w:cs="Arial"/>
                <w:color w:val="000000"/>
                <w:sz w:val="16"/>
                <w:szCs w:val="16"/>
                <w:lang w:eastAsia="tr-TR"/>
              </w:rPr>
              <w:t>2</w:t>
            </w:r>
          </w:p>
        </w:tc>
        <w:tc>
          <w:tcPr>
            <w:tcW w:w="1559" w:type="dxa"/>
            <w:tcBorders>
              <w:top w:val="single" w:sz="4" w:space="0" w:color="auto"/>
              <w:left w:val="single" w:sz="4" w:space="0" w:color="auto"/>
              <w:bottom w:val="single" w:sz="4" w:space="0" w:color="auto"/>
              <w:right w:val="single" w:sz="4" w:space="0" w:color="auto"/>
            </w:tcBorders>
            <w:hideMark/>
          </w:tcPr>
          <w:p w14:paraId="3364BBC8" w14:textId="77777777" w:rsidR="009155D1" w:rsidRPr="00EE43C6" w:rsidRDefault="009155D1" w:rsidP="00854BE8">
            <w:pPr>
              <w:spacing w:before="0" w:after="0" w:line="240" w:lineRule="auto"/>
              <w:jc w:val="left"/>
              <w:rPr>
                <w:rFonts w:eastAsia="Arial TUR" w:cs="Arial"/>
                <w:color w:val="000000"/>
                <w:sz w:val="16"/>
                <w:szCs w:val="16"/>
                <w:lang w:eastAsia="tr-TR"/>
              </w:rPr>
            </w:pPr>
            <w:r w:rsidRPr="00EE43C6">
              <w:rPr>
                <w:rFonts w:eastAsia="Calibri" w:cs="Arial"/>
                <w:b/>
                <w:bCs/>
                <w:sz w:val="16"/>
                <w:szCs w:val="16"/>
                <w:lang w:eastAsia="en-US"/>
              </w:rPr>
              <w:t>Wastewater and Water Management</w:t>
            </w:r>
          </w:p>
        </w:tc>
        <w:tc>
          <w:tcPr>
            <w:tcW w:w="1276" w:type="dxa"/>
            <w:tcBorders>
              <w:top w:val="single" w:sz="4" w:space="0" w:color="auto"/>
              <w:left w:val="single" w:sz="4" w:space="0" w:color="auto"/>
              <w:bottom w:val="single" w:sz="4" w:space="0" w:color="auto"/>
              <w:right w:val="single" w:sz="4" w:space="0" w:color="auto"/>
            </w:tcBorders>
            <w:noWrap/>
            <w:hideMark/>
          </w:tcPr>
          <w:p w14:paraId="3A84B38F" w14:textId="77777777" w:rsidR="009155D1" w:rsidRPr="00EE43C6" w:rsidRDefault="009155D1" w:rsidP="00854BE8">
            <w:pPr>
              <w:spacing w:before="0" w:after="0" w:line="240" w:lineRule="auto"/>
              <w:ind w:right="113"/>
              <w:jc w:val="left"/>
              <w:rPr>
                <w:rFonts w:eastAsia="Arial TUR" w:cs="Arial"/>
                <w:color w:val="000000"/>
                <w:sz w:val="16"/>
                <w:szCs w:val="16"/>
                <w:lang w:eastAsia="tr-TR"/>
              </w:rPr>
            </w:pPr>
            <w:r w:rsidRPr="00EE43C6">
              <w:rPr>
                <w:rFonts w:eastAsia="Calibri" w:cs="Arial"/>
                <w:bCs/>
                <w:color w:val="000000"/>
                <w:sz w:val="16"/>
                <w:szCs w:val="16"/>
                <w:lang w:eastAsia="tr-TR"/>
              </w:rPr>
              <w:t>Wastewater management failure,</w:t>
            </w:r>
            <w:r w:rsidRPr="00EE43C6">
              <w:rPr>
                <w:rFonts w:eastAsia="Calibri" w:cs="Arial"/>
                <w:sz w:val="16"/>
                <w:szCs w:val="16"/>
                <w:lang w:eastAsia="en-US"/>
              </w:rPr>
              <w:t xml:space="preserve"> </w:t>
            </w:r>
            <w:r w:rsidRPr="00EE43C6">
              <w:rPr>
                <w:rFonts w:eastAsia="Calibri" w:cs="Arial"/>
                <w:bCs/>
                <w:color w:val="000000"/>
                <w:sz w:val="16"/>
                <w:szCs w:val="16"/>
                <w:lang w:eastAsia="tr-TR"/>
              </w:rPr>
              <w:t>pollution from wastewater</w:t>
            </w:r>
          </w:p>
        </w:tc>
        <w:tc>
          <w:tcPr>
            <w:tcW w:w="851" w:type="dxa"/>
            <w:tcBorders>
              <w:top w:val="single" w:sz="4" w:space="0" w:color="auto"/>
              <w:left w:val="single" w:sz="4" w:space="0" w:color="auto"/>
              <w:bottom w:val="single" w:sz="4" w:space="0" w:color="auto"/>
              <w:right w:val="single" w:sz="4" w:space="0" w:color="auto"/>
            </w:tcBorders>
            <w:noWrap/>
            <w:hideMark/>
          </w:tcPr>
          <w:p w14:paraId="0FE94EDE"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04834CEE"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Low</w:t>
            </w:r>
          </w:p>
        </w:tc>
        <w:tc>
          <w:tcPr>
            <w:tcW w:w="1134" w:type="dxa"/>
            <w:tcBorders>
              <w:top w:val="single" w:sz="4" w:space="0" w:color="auto"/>
              <w:left w:val="single" w:sz="4" w:space="0" w:color="auto"/>
              <w:bottom w:val="single" w:sz="4" w:space="0" w:color="auto"/>
              <w:right w:val="single" w:sz="4" w:space="0" w:color="auto"/>
            </w:tcBorders>
            <w:hideMark/>
          </w:tcPr>
          <w:p w14:paraId="3C2AF55E" w14:textId="61CA1569"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vAlign w:val="center"/>
            <w:hideMark/>
          </w:tcPr>
          <w:p w14:paraId="5994DC40" w14:textId="01E0C589" w:rsidR="00215859" w:rsidRPr="00EE43C6" w:rsidRDefault="00215859"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t>The number of employees at peak time during the construction phase of the Project is expected to be 250.</w:t>
            </w:r>
          </w:p>
          <w:p w14:paraId="3161BEFB" w14:textId="77D24B04"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Surface runoff or wastewater generation due to dust suppression activities will be prevented.</w:t>
            </w:r>
          </w:p>
          <w:p w14:paraId="0DE880EC"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The limited amount of domestic wastewater generated at site will be sent to a temporary isolated impermeable septic tank, then it will be sent to the nearest WWTPs after pumped-out from septic tanks by sewer trucks</w:t>
            </w:r>
            <w:r w:rsidR="000E3317" w:rsidRPr="00EE43C6">
              <w:rPr>
                <w:rFonts w:eastAsia="Arial TUR" w:cs="Arial"/>
                <w:color w:val="000000"/>
                <w:sz w:val="16"/>
                <w:szCs w:val="16"/>
                <w:lang w:eastAsia="en-US"/>
              </w:rPr>
              <w:t xml:space="preserve"> periodically</w:t>
            </w:r>
            <w:r w:rsidRPr="00EE43C6">
              <w:rPr>
                <w:rFonts w:eastAsia="Arial TUR" w:cs="Arial"/>
                <w:color w:val="000000"/>
                <w:sz w:val="16"/>
                <w:szCs w:val="16"/>
                <w:lang w:eastAsia="en-US"/>
              </w:rPr>
              <w:t>.</w:t>
            </w:r>
          </w:p>
          <w:p w14:paraId="2BA69A21"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 xml:space="preserve">The units of the Project that are in touch with water, wastewater and chemicals will be constructed with using </w:t>
            </w:r>
            <w:r w:rsidRPr="00EE43C6">
              <w:rPr>
                <w:rFonts w:eastAsia="Arial TUR" w:cs="Arial"/>
                <w:color w:val="000000"/>
                <w:sz w:val="16"/>
                <w:szCs w:val="16"/>
                <w:lang w:eastAsia="en-US"/>
              </w:rPr>
              <w:lastRenderedPageBreak/>
              <w:t>concrete with appropriate cement ratio and durability in order to provide basement impermeability. Thus, no leakages to soil and groundwater will occur during the construction phase of the Project.</w:t>
            </w:r>
          </w:p>
          <w:p w14:paraId="3173A6E7"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Construction activities may pose the potential for accidental release/leakages of petroleum-based products, such as lubricants, hydraulic fluids, or fuels during their storage, transfer, or use in equipment. All chemical storage containers, including diesel fuel, and hazardous liquid waste drums/containers should be placed in secondary containment so as to minimize the risk of soil, surface water and groundwater contamination during construction phase.</w:t>
            </w:r>
          </w:p>
          <w:p w14:paraId="3CD6A743" w14:textId="1C9FC3E9" w:rsidR="009155D1" w:rsidRPr="00EE43C6" w:rsidRDefault="009155D1" w:rsidP="000E280D">
            <w:pPr>
              <w:spacing w:before="60" w:after="60" w:line="240" w:lineRule="auto"/>
              <w:ind w:left="113" w:right="113"/>
              <w:jc w:val="left"/>
              <w:rPr>
                <w:rFonts w:eastAsia="Arial TUR" w:cs="Arial"/>
                <w:color w:val="000000"/>
                <w:sz w:val="16"/>
                <w:szCs w:val="16"/>
                <w:lang w:eastAsia="en-US"/>
              </w:rPr>
            </w:pPr>
            <w:r w:rsidRPr="00EE43C6">
              <w:rPr>
                <w:rFonts w:eastAsia="Calibri" w:cs="Arial"/>
                <w:color w:val="000000"/>
                <w:sz w:val="16"/>
                <w:szCs w:val="16"/>
                <w:lang w:eastAsia="en-US"/>
              </w:rPr>
              <w:t>Therefore, the wastewater generation and its impact on the environment will be negligible.</w:t>
            </w:r>
          </w:p>
        </w:tc>
        <w:tc>
          <w:tcPr>
            <w:tcW w:w="1418" w:type="dxa"/>
            <w:tcBorders>
              <w:top w:val="single" w:sz="4" w:space="0" w:color="auto"/>
              <w:left w:val="single" w:sz="4" w:space="0" w:color="auto"/>
              <w:bottom w:val="single" w:sz="4" w:space="0" w:color="auto"/>
              <w:right w:val="single" w:sz="4" w:space="0" w:color="auto"/>
            </w:tcBorders>
            <w:hideMark/>
          </w:tcPr>
          <w:p w14:paraId="11DB89CA" w14:textId="2D18458E" w:rsidR="009155D1" w:rsidRPr="00EE43C6" w:rsidRDefault="00B561CF" w:rsidP="000E280D">
            <w:pPr>
              <w:spacing w:before="0" w:after="0" w:line="240" w:lineRule="auto"/>
              <w:ind w:left="28" w:right="113"/>
              <w:jc w:val="left"/>
              <w:rPr>
                <w:rFonts w:eastAsia="Arial TUR" w:cs="Arial"/>
                <w:color w:val="000000"/>
                <w:sz w:val="16"/>
                <w:szCs w:val="16"/>
                <w:lang w:eastAsia="tr-TR"/>
              </w:rPr>
            </w:pPr>
            <w:r w:rsidRPr="00EE43C6">
              <w:rPr>
                <w:rFonts w:eastAsia="Arial TUR" w:cs="Arial"/>
                <w:color w:val="000000"/>
                <w:sz w:val="16"/>
                <w:szCs w:val="16"/>
                <w:lang w:eastAsia="tr-TR"/>
              </w:rPr>
              <w:lastRenderedPageBreak/>
              <w:t>TUIOSB</w:t>
            </w:r>
          </w:p>
          <w:p w14:paraId="2E41B2B2" w14:textId="1351B352" w:rsidR="009155D1" w:rsidRPr="00EE43C6" w:rsidRDefault="00137E9E" w:rsidP="000E280D">
            <w:pPr>
              <w:autoSpaceDE w:val="0"/>
              <w:autoSpaceDN w:val="0"/>
              <w:adjustRightInd w:val="0"/>
              <w:spacing w:before="0" w:after="0" w:line="240" w:lineRule="auto"/>
              <w:ind w:left="28" w:right="113"/>
              <w:jc w:val="left"/>
              <w:rPr>
                <w:rFonts w:eastAsia="Arial TUR"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eastAsia="Arial TUR" w:cs="Arial"/>
                <w:color w:val="000000"/>
                <w:sz w:val="16"/>
                <w:szCs w:val="16"/>
                <w:lang w:eastAsia="en-US"/>
              </w:rPr>
              <w:t>Consultant</w:t>
            </w:r>
          </w:p>
          <w:p w14:paraId="297125DD" w14:textId="77777777" w:rsidR="009155D1" w:rsidRPr="00EE43C6" w:rsidRDefault="009155D1" w:rsidP="000E280D">
            <w:pPr>
              <w:spacing w:before="0" w:after="0" w:line="240" w:lineRule="auto"/>
              <w:ind w:left="28" w:right="113"/>
              <w:jc w:val="left"/>
              <w:rPr>
                <w:rFonts w:eastAsia="Arial TUR" w:cs="Arial"/>
                <w:color w:val="000000"/>
                <w:sz w:val="16"/>
                <w:szCs w:val="16"/>
                <w:lang w:eastAsia="tr-TR"/>
              </w:rPr>
            </w:pPr>
            <w:r w:rsidRPr="00EE43C6">
              <w:rPr>
                <w:rFonts w:eastAsia="Calibri" w:cs="Arial"/>
                <w:bCs/>
                <w:color w:val="000000"/>
                <w:sz w:val="16"/>
                <w:szCs w:val="16"/>
                <w:lang w:eastAsia="tr-TR"/>
              </w:rPr>
              <w:t>Contractor</w:t>
            </w:r>
          </w:p>
        </w:tc>
        <w:tc>
          <w:tcPr>
            <w:tcW w:w="1843" w:type="dxa"/>
            <w:tcBorders>
              <w:top w:val="single" w:sz="4" w:space="0" w:color="auto"/>
              <w:left w:val="single" w:sz="4" w:space="0" w:color="auto"/>
              <w:bottom w:val="single" w:sz="4" w:space="0" w:color="auto"/>
              <w:right w:val="single" w:sz="4" w:space="0" w:color="auto"/>
            </w:tcBorders>
            <w:hideMark/>
          </w:tcPr>
          <w:p w14:paraId="74C668E6"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Minimization and continued improvement in the number of the reported water quality related incidents.</w:t>
            </w:r>
          </w:p>
          <w:p w14:paraId="7AB322AE"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Zero NCRs per year</w:t>
            </w:r>
          </w:p>
          <w:p w14:paraId="45467967"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lastRenderedPageBreak/>
              <w:t>Zero grievances per year</w:t>
            </w:r>
          </w:p>
          <w:p w14:paraId="3BAC3890"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No significant adverse impact</w:t>
            </w:r>
          </w:p>
          <w:p w14:paraId="5902C57A"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t>No infrastructure damage and damage to loads/humans</w:t>
            </w:r>
          </w:p>
        </w:tc>
      </w:tr>
      <w:tr w:rsidR="009155D1" w:rsidRPr="00EE43C6" w14:paraId="514B48E1"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7EEC337A" w14:textId="20A4472C" w:rsidR="009155D1" w:rsidRPr="00EE43C6" w:rsidRDefault="009155D1" w:rsidP="00854BE8">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lastRenderedPageBreak/>
              <w:t>C2</w:t>
            </w:r>
            <w:r w:rsidR="003210EF" w:rsidRPr="00EE43C6">
              <w:rPr>
                <w:rFonts w:cs="Arial"/>
                <w:color w:val="000000"/>
                <w:sz w:val="16"/>
                <w:szCs w:val="16"/>
                <w:lang w:eastAsia="tr-TR"/>
              </w:rPr>
              <w:t>3</w:t>
            </w:r>
          </w:p>
        </w:tc>
        <w:tc>
          <w:tcPr>
            <w:tcW w:w="1559" w:type="dxa"/>
            <w:tcBorders>
              <w:top w:val="single" w:sz="4" w:space="0" w:color="auto"/>
              <w:left w:val="single" w:sz="4" w:space="0" w:color="auto"/>
              <w:bottom w:val="single" w:sz="4" w:space="0" w:color="auto"/>
              <w:right w:val="single" w:sz="4" w:space="0" w:color="auto"/>
            </w:tcBorders>
            <w:hideMark/>
          </w:tcPr>
          <w:p w14:paraId="467FC089" w14:textId="77777777" w:rsidR="009155D1" w:rsidRPr="00EE43C6" w:rsidRDefault="009155D1" w:rsidP="00854BE8">
            <w:pPr>
              <w:spacing w:before="0" w:after="0" w:line="240" w:lineRule="auto"/>
              <w:ind w:left="113"/>
              <w:jc w:val="left"/>
              <w:rPr>
                <w:rFonts w:eastAsia="Arial TUR" w:cs="Arial"/>
                <w:color w:val="000000"/>
                <w:sz w:val="16"/>
                <w:szCs w:val="16"/>
                <w:lang w:eastAsia="tr-TR"/>
              </w:rPr>
            </w:pPr>
            <w:r w:rsidRPr="00EE43C6">
              <w:rPr>
                <w:rFonts w:eastAsia="Calibri" w:cs="Arial"/>
                <w:b/>
                <w:bCs/>
                <w:sz w:val="16"/>
                <w:szCs w:val="16"/>
                <w:lang w:eastAsia="en-US"/>
              </w:rPr>
              <w:t>Hazardous Materials</w:t>
            </w:r>
          </w:p>
        </w:tc>
        <w:tc>
          <w:tcPr>
            <w:tcW w:w="1276" w:type="dxa"/>
            <w:tcBorders>
              <w:top w:val="single" w:sz="4" w:space="0" w:color="auto"/>
              <w:left w:val="single" w:sz="4" w:space="0" w:color="auto"/>
              <w:bottom w:val="single" w:sz="4" w:space="0" w:color="auto"/>
              <w:right w:val="single" w:sz="4" w:space="0" w:color="auto"/>
            </w:tcBorders>
            <w:noWrap/>
            <w:hideMark/>
          </w:tcPr>
          <w:p w14:paraId="2E0A334B" w14:textId="77777777" w:rsidR="009155D1" w:rsidRPr="00EE43C6" w:rsidRDefault="009155D1" w:rsidP="00854BE8">
            <w:pPr>
              <w:spacing w:before="0" w:after="0" w:line="240" w:lineRule="auto"/>
              <w:ind w:right="113"/>
              <w:jc w:val="left"/>
              <w:rPr>
                <w:rFonts w:eastAsia="Arial TUR" w:cs="Arial"/>
                <w:color w:val="000000"/>
                <w:sz w:val="16"/>
                <w:szCs w:val="16"/>
                <w:lang w:eastAsia="tr-TR"/>
              </w:rPr>
            </w:pPr>
            <w:r w:rsidRPr="00EE43C6">
              <w:rPr>
                <w:rFonts w:eastAsia="Calibri" w:cs="Arial"/>
                <w:bCs/>
                <w:color w:val="000000"/>
                <w:sz w:val="16"/>
                <w:szCs w:val="16"/>
                <w:lang w:eastAsia="tr-TR"/>
              </w:rPr>
              <w:t>Pollution from hazardous materials</w:t>
            </w:r>
          </w:p>
        </w:tc>
        <w:tc>
          <w:tcPr>
            <w:tcW w:w="851" w:type="dxa"/>
            <w:tcBorders>
              <w:top w:val="single" w:sz="4" w:space="0" w:color="auto"/>
              <w:left w:val="single" w:sz="4" w:space="0" w:color="auto"/>
              <w:bottom w:val="single" w:sz="4" w:space="0" w:color="auto"/>
              <w:right w:val="single" w:sz="4" w:space="0" w:color="auto"/>
            </w:tcBorders>
            <w:noWrap/>
            <w:hideMark/>
          </w:tcPr>
          <w:p w14:paraId="585E90D2"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3EE6BA8E" w14:textId="49D5BAE6" w:rsidR="009155D1" w:rsidRPr="000E280D" w:rsidRDefault="00CE3034" w:rsidP="000E280D">
            <w:pPr>
              <w:autoSpaceDE w:val="0"/>
              <w:autoSpaceDN w:val="0"/>
              <w:adjustRightInd w:val="0"/>
              <w:spacing w:before="0" w:after="0" w:line="240" w:lineRule="auto"/>
              <w:ind w:hanging="18"/>
              <w:jc w:val="left"/>
              <w:rPr>
                <w:rFonts w:cs="Arial"/>
                <w:bCs/>
                <w:sz w:val="16"/>
                <w:szCs w:val="16"/>
                <w:lang w:eastAsia="en-GB"/>
              </w:rPr>
            </w:pPr>
            <w:r w:rsidRPr="000E280D">
              <w:rPr>
                <w:rFonts w:cs="Arial"/>
                <w:bCs/>
                <w:sz w:val="16"/>
                <w:szCs w:val="16"/>
                <w:lang w:eastAsia="en-GB"/>
              </w:rPr>
              <w:t>High</w:t>
            </w:r>
          </w:p>
        </w:tc>
        <w:tc>
          <w:tcPr>
            <w:tcW w:w="1134" w:type="dxa"/>
            <w:tcBorders>
              <w:top w:val="single" w:sz="4" w:space="0" w:color="auto"/>
              <w:left w:val="single" w:sz="4" w:space="0" w:color="auto"/>
              <w:bottom w:val="single" w:sz="4" w:space="0" w:color="auto"/>
              <w:right w:val="single" w:sz="4" w:space="0" w:color="auto"/>
            </w:tcBorders>
            <w:hideMark/>
          </w:tcPr>
          <w:p w14:paraId="348FB380" w14:textId="594B1748"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62FA08C0" w14:textId="4220CDCE" w:rsidR="00E16634" w:rsidRDefault="00E16634" w:rsidP="000E280D">
            <w:pPr>
              <w:numPr>
                <w:ilvl w:val="0"/>
                <w:numId w:val="7"/>
              </w:numPr>
              <w:spacing w:before="60" w:after="60" w:line="240" w:lineRule="auto"/>
              <w:ind w:left="113" w:right="113" w:hanging="180"/>
              <w:jc w:val="left"/>
              <w:rPr>
                <w:rFonts w:eastAsia="Arial TUR" w:cs="Arial"/>
                <w:color w:val="000000"/>
                <w:sz w:val="16"/>
                <w:szCs w:val="16"/>
                <w:lang w:eastAsia="en-US"/>
              </w:rPr>
            </w:pPr>
            <w:r>
              <w:rPr>
                <w:rFonts w:eastAsia="Arial TUR" w:cs="Arial"/>
                <w:color w:val="000000"/>
                <w:sz w:val="16"/>
                <w:szCs w:val="16"/>
                <w:lang w:eastAsia="en-US"/>
              </w:rPr>
              <w:t>Chemical Spill Emergency Management Plan will be prepared for the construction phase of the Project.</w:t>
            </w:r>
          </w:p>
          <w:p w14:paraId="07E60E25" w14:textId="764F804D"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If hazardous wastes are stored in the project area, those wastes will be stored in containers that are strong, leak-proof, safe and in accordance with internationally recognized standards. The containers will bear "hazardous waste" label, with the amount, content, properties, storage conditions and storage date of the stored material indicated on the containers.</w:t>
            </w:r>
          </w:p>
          <w:p w14:paraId="1FB95059"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Containers containing hazardous materials will be placed in sealed vessels to prevent spills and leaks.</w:t>
            </w:r>
          </w:p>
          <w:p w14:paraId="234C34EF"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Hazardous wastes will be transported by licensed waste transportation companies and will be disposed of at licensed facilities.</w:t>
            </w:r>
          </w:p>
          <w:p w14:paraId="3D977D0E"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Toxic paints, solvents or lead-based paints will not be used.</w:t>
            </w:r>
          </w:p>
          <w:p w14:paraId="77A55FD1"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Hazardous chemicals and wastes likely to be generated at the construction site will be stored not to pose a threat to community health.</w:t>
            </w:r>
          </w:p>
          <w:p w14:paraId="1E59DE0C"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t>The disposal of hazardous chemicals and wastes that may be generated at the construction site will be carried out at licensed facilities under the supervision of authorized companies and experts.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A8356B" w14:textId="529C9179" w:rsidR="009155D1" w:rsidRPr="00EE43C6" w:rsidRDefault="00B561CF" w:rsidP="000E280D">
            <w:pPr>
              <w:spacing w:before="0" w:after="0" w:line="240" w:lineRule="auto"/>
              <w:ind w:left="113" w:right="113"/>
              <w:jc w:val="left"/>
              <w:rPr>
                <w:rFonts w:eastAsia="Arial TUR" w:cs="Arial"/>
                <w:color w:val="000000"/>
                <w:sz w:val="16"/>
                <w:szCs w:val="16"/>
                <w:lang w:eastAsia="tr-TR"/>
              </w:rPr>
            </w:pPr>
            <w:r w:rsidRPr="00EE43C6">
              <w:rPr>
                <w:rFonts w:eastAsia="Arial TUR" w:cs="Arial"/>
                <w:color w:val="000000"/>
                <w:sz w:val="16"/>
                <w:szCs w:val="16"/>
                <w:lang w:eastAsia="tr-TR"/>
              </w:rPr>
              <w:t>TUIOSB</w:t>
            </w:r>
          </w:p>
          <w:p w14:paraId="68163983" w14:textId="2704D863" w:rsidR="009155D1" w:rsidRPr="00EE43C6" w:rsidRDefault="0043490D" w:rsidP="000E280D">
            <w:pPr>
              <w:autoSpaceDE w:val="0"/>
              <w:autoSpaceDN w:val="0"/>
              <w:adjustRightInd w:val="0"/>
              <w:spacing w:before="0" w:after="0" w:line="240" w:lineRule="auto"/>
              <w:ind w:left="113" w:right="113"/>
              <w:jc w:val="left"/>
              <w:rPr>
                <w:rFonts w:eastAsia="Arial TUR"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eastAsia="Arial TUR" w:cs="Arial"/>
                <w:color w:val="000000"/>
                <w:sz w:val="16"/>
                <w:szCs w:val="16"/>
                <w:lang w:eastAsia="en-US"/>
              </w:rPr>
              <w:t>Consultant</w:t>
            </w:r>
          </w:p>
          <w:p w14:paraId="37A9494E" w14:textId="77777777" w:rsidR="009155D1" w:rsidRPr="00EE43C6" w:rsidRDefault="009155D1" w:rsidP="000E280D">
            <w:pPr>
              <w:spacing w:before="0" w:after="0" w:line="240" w:lineRule="auto"/>
              <w:ind w:left="113" w:right="113"/>
              <w:jc w:val="left"/>
              <w:rPr>
                <w:rFonts w:eastAsia="Arial TUR" w:cs="Arial"/>
                <w:color w:val="000000"/>
                <w:sz w:val="16"/>
                <w:szCs w:val="16"/>
                <w:lang w:eastAsia="tr-TR"/>
              </w:rPr>
            </w:pPr>
            <w:r w:rsidRPr="00EE43C6">
              <w:rPr>
                <w:rFonts w:eastAsia="Calibri" w:cs="Arial"/>
                <w:bCs/>
                <w:color w:val="000000"/>
                <w:sz w:val="16"/>
                <w:szCs w:val="16"/>
                <w:lang w:eastAsia="tr-TR"/>
              </w:rPr>
              <w:t>Contractor</w:t>
            </w:r>
          </w:p>
        </w:tc>
        <w:tc>
          <w:tcPr>
            <w:tcW w:w="1843" w:type="dxa"/>
            <w:tcBorders>
              <w:top w:val="single" w:sz="4" w:space="0" w:color="auto"/>
              <w:left w:val="single" w:sz="4" w:space="0" w:color="auto"/>
              <w:bottom w:val="single" w:sz="4" w:space="0" w:color="auto"/>
              <w:right w:val="single" w:sz="4" w:space="0" w:color="auto"/>
            </w:tcBorders>
            <w:vAlign w:val="center"/>
          </w:tcPr>
          <w:p w14:paraId="746E12B2"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Ratio of hazardous waste generated to total waste (by contamination + by generation)</w:t>
            </w:r>
          </w:p>
          <w:p w14:paraId="3DD01CF1" w14:textId="30C91D1E"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Number of incident</w:t>
            </w:r>
            <w:r w:rsidR="00036007" w:rsidRPr="00EE43C6">
              <w:rPr>
                <w:rFonts w:eastAsia="Arial TUR" w:cs="Arial"/>
                <w:color w:val="000000"/>
                <w:sz w:val="16"/>
                <w:szCs w:val="16"/>
                <w:lang w:eastAsia="en-US"/>
              </w:rPr>
              <w:t>s</w:t>
            </w:r>
            <w:r w:rsidRPr="00EE43C6">
              <w:rPr>
                <w:rFonts w:eastAsia="Arial TUR" w:cs="Arial"/>
                <w:color w:val="000000"/>
                <w:sz w:val="16"/>
                <w:szCs w:val="16"/>
                <w:lang w:eastAsia="en-US"/>
              </w:rPr>
              <w:t xml:space="preserve"> caused by hazardous materials</w:t>
            </w:r>
          </w:p>
          <w:p w14:paraId="73F32124" w14:textId="77777777" w:rsidR="009155D1" w:rsidRPr="00EE43C6" w:rsidRDefault="009155D1" w:rsidP="000E280D">
            <w:pPr>
              <w:spacing w:before="60" w:after="60" w:line="240" w:lineRule="auto"/>
              <w:ind w:left="113" w:right="113"/>
              <w:jc w:val="left"/>
              <w:rPr>
                <w:rFonts w:eastAsia="Arial TUR" w:cs="Arial"/>
                <w:color w:val="000000"/>
                <w:sz w:val="16"/>
                <w:szCs w:val="16"/>
                <w:lang w:eastAsia="tr-TR"/>
              </w:rPr>
            </w:pPr>
          </w:p>
        </w:tc>
      </w:tr>
      <w:tr w:rsidR="009155D1" w:rsidRPr="00EE43C6" w14:paraId="27C17776"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5037C1AB" w14:textId="2E6EDA52" w:rsidR="009155D1" w:rsidRPr="00EE43C6" w:rsidRDefault="009155D1" w:rsidP="00854BE8">
            <w:pPr>
              <w:autoSpaceDE w:val="0"/>
              <w:autoSpaceDN w:val="0"/>
              <w:adjustRightInd w:val="0"/>
              <w:spacing w:before="0" w:after="0" w:line="240" w:lineRule="auto"/>
              <w:jc w:val="left"/>
              <w:rPr>
                <w:rFonts w:cs="Arial"/>
                <w:color w:val="000000"/>
                <w:sz w:val="16"/>
                <w:szCs w:val="16"/>
                <w:lang w:eastAsia="tr-TR"/>
              </w:rPr>
            </w:pPr>
            <w:r w:rsidRPr="00EE43C6">
              <w:rPr>
                <w:rFonts w:cs="Arial"/>
                <w:color w:val="000000"/>
                <w:sz w:val="16"/>
                <w:szCs w:val="16"/>
                <w:lang w:eastAsia="tr-TR"/>
              </w:rPr>
              <w:t>C2</w:t>
            </w:r>
            <w:r w:rsidR="003210EF" w:rsidRPr="00EE43C6">
              <w:rPr>
                <w:rFonts w:cs="Arial"/>
                <w:color w:val="000000"/>
                <w:sz w:val="16"/>
                <w:szCs w:val="16"/>
                <w:lang w:eastAsia="tr-TR"/>
              </w:rPr>
              <w:t>4</w:t>
            </w:r>
          </w:p>
        </w:tc>
        <w:tc>
          <w:tcPr>
            <w:tcW w:w="1559" w:type="dxa"/>
            <w:tcBorders>
              <w:top w:val="single" w:sz="4" w:space="0" w:color="auto"/>
              <w:left w:val="single" w:sz="4" w:space="0" w:color="auto"/>
              <w:bottom w:val="single" w:sz="4" w:space="0" w:color="auto"/>
              <w:right w:val="single" w:sz="4" w:space="0" w:color="auto"/>
            </w:tcBorders>
            <w:hideMark/>
          </w:tcPr>
          <w:p w14:paraId="060DA679" w14:textId="77777777" w:rsidR="009155D1" w:rsidRPr="00EE43C6" w:rsidRDefault="009155D1" w:rsidP="00854BE8">
            <w:pPr>
              <w:spacing w:before="0" w:after="0" w:line="240" w:lineRule="auto"/>
              <w:ind w:left="113"/>
              <w:jc w:val="left"/>
              <w:rPr>
                <w:rFonts w:eastAsia="Arial TUR" w:cs="Arial"/>
                <w:b/>
                <w:sz w:val="16"/>
                <w:szCs w:val="16"/>
                <w:lang w:eastAsia="en-US"/>
              </w:rPr>
            </w:pPr>
            <w:r w:rsidRPr="00EE43C6">
              <w:rPr>
                <w:rFonts w:eastAsia="Calibri" w:cs="Arial"/>
                <w:b/>
                <w:sz w:val="16"/>
                <w:szCs w:val="16"/>
                <w:lang w:eastAsia="en-US"/>
              </w:rPr>
              <w:t>Cultural Heritage</w:t>
            </w:r>
          </w:p>
        </w:tc>
        <w:tc>
          <w:tcPr>
            <w:tcW w:w="1276" w:type="dxa"/>
            <w:tcBorders>
              <w:top w:val="single" w:sz="4" w:space="0" w:color="auto"/>
              <w:left w:val="single" w:sz="4" w:space="0" w:color="auto"/>
              <w:bottom w:val="single" w:sz="4" w:space="0" w:color="auto"/>
              <w:right w:val="single" w:sz="4" w:space="0" w:color="auto"/>
            </w:tcBorders>
            <w:noWrap/>
            <w:hideMark/>
          </w:tcPr>
          <w:p w14:paraId="54B83245" w14:textId="77777777" w:rsidR="009155D1" w:rsidRPr="00EE43C6" w:rsidRDefault="009155D1" w:rsidP="00854BE8">
            <w:pPr>
              <w:spacing w:before="0" w:after="0" w:line="240" w:lineRule="auto"/>
              <w:ind w:right="113"/>
              <w:jc w:val="left"/>
              <w:rPr>
                <w:rFonts w:eastAsia="Arial TUR" w:cs="Arial"/>
                <w:color w:val="000000"/>
                <w:sz w:val="16"/>
                <w:szCs w:val="16"/>
                <w:lang w:eastAsia="tr-TR"/>
              </w:rPr>
            </w:pPr>
            <w:r w:rsidRPr="00EE43C6">
              <w:rPr>
                <w:rFonts w:eastAsia="Calibri" w:cs="Arial"/>
                <w:bCs/>
                <w:color w:val="000000"/>
                <w:sz w:val="16"/>
                <w:szCs w:val="16"/>
                <w:lang w:eastAsia="tr-TR"/>
              </w:rPr>
              <w:t>Loss of cultural heritage</w:t>
            </w:r>
          </w:p>
        </w:tc>
        <w:tc>
          <w:tcPr>
            <w:tcW w:w="851" w:type="dxa"/>
            <w:tcBorders>
              <w:top w:val="single" w:sz="4" w:space="0" w:color="auto"/>
              <w:left w:val="single" w:sz="4" w:space="0" w:color="auto"/>
              <w:bottom w:val="single" w:sz="4" w:space="0" w:color="auto"/>
              <w:right w:val="single" w:sz="4" w:space="0" w:color="auto"/>
            </w:tcBorders>
            <w:noWrap/>
            <w:hideMark/>
          </w:tcPr>
          <w:p w14:paraId="396D5164"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Adverse</w:t>
            </w:r>
          </w:p>
        </w:tc>
        <w:tc>
          <w:tcPr>
            <w:tcW w:w="1276" w:type="dxa"/>
            <w:tcBorders>
              <w:top w:val="single" w:sz="4" w:space="0" w:color="auto"/>
              <w:left w:val="single" w:sz="4" w:space="0" w:color="auto"/>
              <w:bottom w:val="single" w:sz="4" w:space="0" w:color="auto"/>
              <w:right w:val="single" w:sz="4" w:space="0" w:color="auto"/>
            </w:tcBorders>
            <w:hideMark/>
          </w:tcPr>
          <w:p w14:paraId="31D83861" w14:textId="77777777" w:rsidR="009155D1" w:rsidRPr="000E280D" w:rsidRDefault="009155D1" w:rsidP="000E280D">
            <w:pPr>
              <w:autoSpaceDE w:val="0"/>
              <w:autoSpaceDN w:val="0"/>
              <w:adjustRightInd w:val="0"/>
              <w:spacing w:before="0" w:after="0" w:line="240" w:lineRule="auto"/>
              <w:ind w:hanging="18"/>
              <w:jc w:val="left"/>
              <w:rPr>
                <w:rFonts w:cs="Arial"/>
                <w:bCs/>
                <w:sz w:val="16"/>
                <w:szCs w:val="16"/>
                <w:lang w:eastAsia="en-GB"/>
              </w:rPr>
            </w:pPr>
            <w:r w:rsidRPr="000E280D">
              <w:rPr>
                <w:rFonts w:cs="Arial"/>
                <w:bCs/>
                <w:sz w:val="16"/>
                <w:szCs w:val="16"/>
                <w:lang w:eastAsia="en-GB"/>
              </w:rPr>
              <w:t>Low</w:t>
            </w:r>
          </w:p>
        </w:tc>
        <w:tc>
          <w:tcPr>
            <w:tcW w:w="1134" w:type="dxa"/>
            <w:tcBorders>
              <w:top w:val="single" w:sz="4" w:space="0" w:color="auto"/>
              <w:left w:val="single" w:sz="4" w:space="0" w:color="auto"/>
              <w:bottom w:val="single" w:sz="4" w:space="0" w:color="auto"/>
              <w:right w:val="single" w:sz="4" w:space="0" w:color="auto"/>
            </w:tcBorders>
            <w:hideMark/>
          </w:tcPr>
          <w:p w14:paraId="4EF7ACEA" w14:textId="6DBA4E22" w:rsidR="009155D1" w:rsidRPr="000E280D" w:rsidRDefault="00BF38B6"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0EB17862" w14:textId="6ACAD6F1"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xml:space="preserve">Any artifacts found during the construction works will be indicated and recorded as “chance finds”. A “Chance Find Procedure” </w:t>
            </w:r>
            <w:r w:rsidR="00E032FE">
              <w:rPr>
                <w:rFonts w:eastAsia="Arial TUR" w:cs="Arial"/>
                <w:color w:val="000000" w:themeColor="text1"/>
                <w:sz w:val="16"/>
                <w:szCs w:val="16"/>
                <w:lang w:eastAsia="en-US"/>
              </w:rPr>
              <w:t xml:space="preserve">, annexed to this ESMP, </w:t>
            </w:r>
            <w:r w:rsidRPr="00EE43C6">
              <w:rPr>
                <w:rFonts w:eastAsia="Arial TUR" w:cs="Arial"/>
                <w:color w:val="000000" w:themeColor="text1"/>
                <w:sz w:val="16"/>
                <w:szCs w:val="16"/>
                <w:lang w:eastAsia="en-US"/>
              </w:rPr>
              <w:t xml:space="preserve">has been prepared for </w:t>
            </w:r>
            <w:r w:rsidRPr="00EE43C6">
              <w:rPr>
                <w:rFonts w:eastAsia="Arial TUR" w:cs="Arial"/>
                <w:color w:val="000000" w:themeColor="text1"/>
                <w:sz w:val="16"/>
                <w:szCs w:val="16"/>
                <w:lang w:eastAsia="en-US"/>
              </w:rPr>
              <w:lastRenderedPageBreak/>
              <w:t>the steps to be followed and implemented after the chance finding.</w:t>
            </w:r>
          </w:p>
          <w:p w14:paraId="4964063E"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The Cultural and Natural Assets Conservation Boards will be informed about the chance finds and the approval of the Conservation Board, who is responsible for the area where the construction site is located, will be required.  No demolition/construction work will be carried out when awaiting the said approval.</w:t>
            </w:r>
          </w:p>
          <w:p w14:paraId="1D504CAC"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sz w:val="16"/>
                <w:szCs w:val="16"/>
                <w:lang w:eastAsia="en-US"/>
              </w:rPr>
              <w:t>All relevant actions for demolition, postponing or rescheduling of construction activities regarding the chance finds will be put into effect.</w:t>
            </w:r>
          </w:p>
          <w:p w14:paraId="2C9A154A"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Calibri" w:cs="Arial"/>
                <w:color w:val="000000"/>
                <w:sz w:val="16"/>
                <w:szCs w:val="16"/>
                <w:lang w:eastAsia="en-US"/>
              </w:rPr>
              <w:t>Any correspondence on this subject will be updated in accordance with all decisions taken, and all documents will be submitted as annexed to ESMP.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2F7134" w14:textId="30255D3E" w:rsidR="009155D1" w:rsidRPr="00EE43C6" w:rsidRDefault="00B561CF" w:rsidP="000E280D">
            <w:pPr>
              <w:spacing w:before="0" w:after="0" w:line="240" w:lineRule="auto"/>
              <w:ind w:left="113" w:right="113"/>
              <w:jc w:val="left"/>
              <w:rPr>
                <w:rFonts w:eastAsia="Arial TUR" w:cs="Arial"/>
                <w:color w:val="000000"/>
                <w:sz w:val="16"/>
                <w:szCs w:val="16"/>
                <w:lang w:eastAsia="tr-TR"/>
              </w:rPr>
            </w:pPr>
            <w:r w:rsidRPr="00EE43C6">
              <w:rPr>
                <w:rFonts w:eastAsia="Arial TUR" w:cs="Arial"/>
                <w:color w:val="000000"/>
                <w:sz w:val="16"/>
                <w:szCs w:val="16"/>
                <w:lang w:eastAsia="tr-TR"/>
              </w:rPr>
              <w:lastRenderedPageBreak/>
              <w:t>TUIOSB</w:t>
            </w:r>
          </w:p>
          <w:p w14:paraId="6D16B001" w14:textId="2582A236" w:rsidR="009155D1" w:rsidRPr="00EE43C6" w:rsidRDefault="0043490D" w:rsidP="000E280D">
            <w:pPr>
              <w:autoSpaceDE w:val="0"/>
              <w:autoSpaceDN w:val="0"/>
              <w:adjustRightInd w:val="0"/>
              <w:spacing w:before="0" w:after="0" w:line="240" w:lineRule="auto"/>
              <w:ind w:left="113" w:right="113"/>
              <w:jc w:val="left"/>
              <w:rPr>
                <w:rFonts w:eastAsia="Arial TUR"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eastAsia="Arial TUR" w:cs="Arial"/>
                <w:color w:val="000000"/>
                <w:sz w:val="16"/>
                <w:szCs w:val="16"/>
                <w:lang w:eastAsia="en-US"/>
              </w:rPr>
              <w:t>Consultant</w:t>
            </w:r>
          </w:p>
          <w:p w14:paraId="1A6B0795" w14:textId="77777777" w:rsidR="009155D1" w:rsidRPr="00EE43C6" w:rsidRDefault="009155D1" w:rsidP="000E280D">
            <w:pPr>
              <w:spacing w:before="0" w:after="0" w:line="240" w:lineRule="auto"/>
              <w:ind w:left="113" w:right="113"/>
              <w:jc w:val="left"/>
              <w:rPr>
                <w:rFonts w:eastAsia="Arial TUR" w:cs="Arial"/>
                <w:color w:val="000000"/>
                <w:sz w:val="16"/>
                <w:szCs w:val="16"/>
                <w:lang w:eastAsia="tr-TR"/>
              </w:rPr>
            </w:pPr>
            <w:r w:rsidRPr="00EE43C6">
              <w:rPr>
                <w:rFonts w:eastAsia="Calibri" w:cs="Arial"/>
                <w:bCs/>
                <w:color w:val="000000"/>
                <w:sz w:val="16"/>
                <w:szCs w:val="16"/>
                <w:lang w:eastAsia="tr-TR"/>
              </w:rPr>
              <w:lastRenderedPageBreak/>
              <w:t>Contractor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70EA44A" w14:textId="77777777" w:rsidR="009155D1" w:rsidRPr="00EE43C6" w:rsidRDefault="009155D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cs="Arial"/>
                <w:color w:val="000000"/>
                <w:sz w:val="16"/>
                <w:szCs w:val="16"/>
                <w:lang w:eastAsia="tr-TR"/>
              </w:rPr>
              <w:lastRenderedPageBreak/>
              <w:t>Number of chance find records and reports</w:t>
            </w:r>
          </w:p>
        </w:tc>
      </w:tr>
      <w:tr w:rsidR="009155D1" w:rsidRPr="00EE43C6" w14:paraId="00C17175" w14:textId="77777777" w:rsidTr="00E961E6">
        <w:trPr>
          <w:jc w:val="center"/>
        </w:trPr>
        <w:tc>
          <w:tcPr>
            <w:tcW w:w="562" w:type="dxa"/>
            <w:tcBorders>
              <w:top w:val="single" w:sz="4" w:space="0" w:color="auto"/>
              <w:left w:val="single" w:sz="4" w:space="0" w:color="auto"/>
              <w:bottom w:val="single" w:sz="4" w:space="0" w:color="auto"/>
              <w:right w:val="single" w:sz="4" w:space="0" w:color="auto"/>
            </w:tcBorders>
            <w:hideMark/>
          </w:tcPr>
          <w:p w14:paraId="4410B5C5" w14:textId="1F546018" w:rsidR="009155D1" w:rsidRPr="00EE43C6" w:rsidRDefault="009155D1" w:rsidP="00854BE8">
            <w:pPr>
              <w:autoSpaceDE w:val="0"/>
              <w:autoSpaceDN w:val="0"/>
              <w:adjustRightInd w:val="0"/>
              <w:spacing w:before="0" w:after="0" w:line="240" w:lineRule="auto"/>
              <w:jc w:val="left"/>
              <w:rPr>
                <w:rFonts w:cs="Arial"/>
                <w:color w:val="000000"/>
                <w:sz w:val="16"/>
                <w:szCs w:val="16"/>
                <w:lang w:eastAsia="tr-TR"/>
              </w:rPr>
            </w:pPr>
            <w:bookmarkStart w:id="1580" w:name="_Hlk97638426"/>
            <w:r w:rsidRPr="00EE43C6">
              <w:rPr>
                <w:rFonts w:cs="Arial"/>
                <w:color w:val="000000"/>
                <w:sz w:val="16"/>
                <w:szCs w:val="16"/>
                <w:lang w:eastAsia="tr-TR"/>
              </w:rPr>
              <w:t>C2</w:t>
            </w:r>
            <w:r w:rsidR="003210EF" w:rsidRPr="00EE43C6">
              <w:rPr>
                <w:rFonts w:cs="Arial"/>
                <w:color w:val="000000"/>
                <w:sz w:val="16"/>
                <w:szCs w:val="16"/>
                <w:lang w:eastAsia="tr-TR"/>
              </w:rPr>
              <w:t>5</w:t>
            </w:r>
          </w:p>
        </w:tc>
        <w:tc>
          <w:tcPr>
            <w:tcW w:w="1559" w:type="dxa"/>
            <w:tcBorders>
              <w:top w:val="single" w:sz="4" w:space="0" w:color="auto"/>
              <w:left w:val="single" w:sz="4" w:space="0" w:color="auto"/>
              <w:bottom w:val="single" w:sz="4" w:space="0" w:color="auto"/>
              <w:right w:val="single" w:sz="4" w:space="0" w:color="auto"/>
            </w:tcBorders>
            <w:hideMark/>
          </w:tcPr>
          <w:p w14:paraId="501A207B" w14:textId="4F45CDE3" w:rsidR="009155D1" w:rsidRPr="00EE43C6" w:rsidRDefault="59AFA9C4" w:rsidP="00854BE8">
            <w:pPr>
              <w:spacing w:before="0" w:after="0" w:line="240" w:lineRule="auto"/>
              <w:ind w:left="113"/>
              <w:jc w:val="left"/>
              <w:rPr>
                <w:rFonts w:eastAsia="Arial TUR" w:cs="Arial"/>
                <w:b/>
                <w:bCs/>
                <w:sz w:val="16"/>
                <w:szCs w:val="16"/>
                <w:lang w:eastAsia="en-US"/>
              </w:rPr>
            </w:pPr>
            <w:r w:rsidRPr="00EE43C6">
              <w:rPr>
                <w:rFonts w:eastAsia="Calibri" w:cs="Arial"/>
                <w:b/>
                <w:bCs/>
                <w:sz w:val="16"/>
                <w:szCs w:val="16"/>
                <w:lang w:eastAsia="en-US"/>
              </w:rPr>
              <w:t xml:space="preserve">Biodiversity </w:t>
            </w:r>
          </w:p>
        </w:tc>
        <w:tc>
          <w:tcPr>
            <w:tcW w:w="1276" w:type="dxa"/>
            <w:tcBorders>
              <w:top w:val="single" w:sz="4" w:space="0" w:color="auto"/>
              <w:left w:val="single" w:sz="4" w:space="0" w:color="auto"/>
              <w:bottom w:val="single" w:sz="4" w:space="0" w:color="auto"/>
              <w:right w:val="single" w:sz="4" w:space="0" w:color="auto"/>
            </w:tcBorders>
            <w:noWrap/>
            <w:hideMark/>
          </w:tcPr>
          <w:p w14:paraId="2CB76F27" w14:textId="3EE0F792" w:rsidR="009155D1" w:rsidRPr="00EE43C6" w:rsidRDefault="0581B2D8" w:rsidP="00854BE8">
            <w:pPr>
              <w:spacing w:before="0" w:after="0" w:line="240" w:lineRule="auto"/>
              <w:ind w:right="113"/>
              <w:jc w:val="left"/>
              <w:rPr>
                <w:rFonts w:eastAsia="Calibri" w:cs="Arial"/>
                <w:sz w:val="16"/>
                <w:szCs w:val="16"/>
                <w:lang w:eastAsia="en-US"/>
              </w:rPr>
            </w:pPr>
            <w:r w:rsidRPr="00EE43C6">
              <w:rPr>
                <w:rFonts w:eastAsia="Calibri" w:cs="Arial"/>
                <w:sz w:val="16"/>
                <w:szCs w:val="16"/>
                <w:lang w:eastAsia="en-US"/>
              </w:rPr>
              <w:t xml:space="preserve">Habitat loss due to </w:t>
            </w:r>
            <w:r w:rsidR="769E99A5" w:rsidRPr="00EE43C6">
              <w:rPr>
                <w:rFonts w:eastAsia="Calibri" w:cs="Arial"/>
                <w:sz w:val="16"/>
                <w:szCs w:val="16"/>
                <w:lang w:eastAsia="en-US"/>
              </w:rPr>
              <w:t>v</w:t>
            </w:r>
            <w:r w:rsidRPr="00EE43C6">
              <w:rPr>
                <w:rFonts w:eastAsia="Calibri" w:cs="Arial"/>
                <w:sz w:val="16"/>
                <w:szCs w:val="16"/>
                <w:lang w:eastAsia="en-US"/>
              </w:rPr>
              <w:t xml:space="preserve">egetation </w:t>
            </w:r>
            <w:r w:rsidR="00243409" w:rsidRPr="00EE43C6">
              <w:rPr>
                <w:rFonts w:eastAsia="Calibri" w:cs="Arial"/>
                <w:sz w:val="16"/>
                <w:szCs w:val="16"/>
                <w:lang w:eastAsia="en-US"/>
              </w:rPr>
              <w:t>clearance</w:t>
            </w:r>
            <w:r w:rsidR="37D2E96F" w:rsidRPr="00EE43C6">
              <w:rPr>
                <w:rFonts w:eastAsia="Calibri" w:cs="Arial"/>
                <w:sz w:val="16"/>
                <w:szCs w:val="16"/>
                <w:lang w:eastAsia="en-US"/>
              </w:rPr>
              <w:t>,</w:t>
            </w:r>
          </w:p>
          <w:p w14:paraId="7E5C6D2A" w14:textId="1401D27C" w:rsidR="009155D1" w:rsidRPr="00EE43C6" w:rsidRDefault="37D2E96F" w:rsidP="00854BE8">
            <w:pPr>
              <w:spacing w:before="0" w:after="0" w:line="240" w:lineRule="auto"/>
              <w:ind w:right="113"/>
              <w:jc w:val="left"/>
            </w:pPr>
            <w:r w:rsidRPr="00EE43C6">
              <w:rPr>
                <w:rFonts w:eastAsia="Calibri" w:cs="Arial"/>
                <w:sz w:val="16"/>
                <w:szCs w:val="16"/>
                <w:lang w:eastAsia="en-US"/>
              </w:rPr>
              <w:t>F</w:t>
            </w:r>
            <w:r w:rsidR="0581B2D8" w:rsidRPr="00EE43C6">
              <w:rPr>
                <w:rFonts w:eastAsia="Calibri" w:cs="Arial"/>
                <w:sz w:val="16"/>
                <w:szCs w:val="16"/>
                <w:lang w:eastAsia="en-US"/>
              </w:rPr>
              <w:t>auna injury, death or disturbance</w:t>
            </w:r>
            <w:r w:rsidR="52B1D6EE" w:rsidRPr="00EE43C6">
              <w:rPr>
                <w:rFonts w:eastAsia="Calibri" w:cs="Arial"/>
                <w:sz w:val="16"/>
                <w:szCs w:val="16"/>
                <w:lang w:eastAsia="en-US"/>
              </w:rPr>
              <w:t>,</w:t>
            </w:r>
          </w:p>
          <w:p w14:paraId="155CE754" w14:textId="7C210B79" w:rsidR="009155D1" w:rsidRPr="00EE43C6" w:rsidRDefault="6365F6C2" w:rsidP="00854BE8">
            <w:pPr>
              <w:spacing w:before="0" w:after="0" w:line="240" w:lineRule="auto"/>
              <w:ind w:right="113"/>
              <w:jc w:val="left"/>
              <w:rPr>
                <w:rFonts w:eastAsia="Calibri" w:cs="Arial"/>
                <w:sz w:val="16"/>
                <w:szCs w:val="16"/>
                <w:lang w:eastAsia="en-US"/>
              </w:rPr>
            </w:pPr>
            <w:r w:rsidRPr="00EE43C6">
              <w:rPr>
                <w:rFonts w:eastAsia="Calibri" w:cs="Arial"/>
                <w:sz w:val="16"/>
                <w:szCs w:val="16"/>
                <w:lang w:eastAsia="en-US"/>
              </w:rPr>
              <w:t>T</w:t>
            </w:r>
            <w:r w:rsidR="0581B2D8" w:rsidRPr="00EE43C6">
              <w:rPr>
                <w:rFonts w:eastAsia="Calibri" w:cs="Arial"/>
                <w:sz w:val="16"/>
                <w:szCs w:val="16"/>
                <w:lang w:eastAsia="en-US"/>
              </w:rPr>
              <w:t xml:space="preserve">rapped/caught </w:t>
            </w:r>
            <w:r w:rsidR="4012DD8F" w:rsidRPr="00EE43C6">
              <w:rPr>
                <w:rFonts w:eastAsia="Calibri" w:cs="Arial"/>
                <w:sz w:val="16"/>
                <w:szCs w:val="16"/>
                <w:lang w:eastAsia="en-US"/>
              </w:rPr>
              <w:t>f</w:t>
            </w:r>
            <w:r w:rsidR="5DE81BF7" w:rsidRPr="00EE43C6">
              <w:rPr>
                <w:rFonts w:eastAsia="Calibri" w:cs="Arial"/>
                <w:sz w:val="16"/>
                <w:szCs w:val="16"/>
                <w:lang w:eastAsia="en-US"/>
              </w:rPr>
              <w:t xml:space="preserve">auna </w:t>
            </w:r>
            <w:r w:rsidR="0581B2D8" w:rsidRPr="00EE43C6">
              <w:rPr>
                <w:rFonts w:eastAsia="Calibri" w:cs="Arial"/>
                <w:sz w:val="16"/>
                <w:szCs w:val="16"/>
                <w:lang w:eastAsia="en-US"/>
              </w:rPr>
              <w:t>in infrastructure, such as fences and excavations</w:t>
            </w:r>
            <w:r w:rsidR="310769AD" w:rsidRPr="00EE43C6">
              <w:rPr>
                <w:rFonts w:eastAsia="Calibri" w:cs="Arial"/>
                <w:sz w:val="16"/>
                <w:szCs w:val="16"/>
                <w:lang w:eastAsia="en-US"/>
              </w:rPr>
              <w:t xml:space="preserve">, </w:t>
            </w:r>
            <w:r w:rsidR="0581B2D8" w:rsidRPr="00EE43C6">
              <w:rPr>
                <w:rFonts w:eastAsia="Calibri" w:cs="Arial"/>
                <w:sz w:val="16"/>
                <w:szCs w:val="16"/>
                <w:lang w:eastAsia="en-US"/>
              </w:rPr>
              <w:t>The disturbance and displacement of resident fauna species</w:t>
            </w:r>
            <w:r w:rsidR="45540417" w:rsidRPr="00EE43C6">
              <w:rPr>
                <w:rFonts w:eastAsia="Calibri" w:cs="Arial"/>
                <w:sz w:val="16"/>
                <w:szCs w:val="16"/>
                <w:lang w:eastAsia="en-US"/>
              </w:rPr>
              <w:t xml:space="preserve">, </w:t>
            </w:r>
            <w:r w:rsidR="0581B2D8" w:rsidRPr="00EE43C6">
              <w:rPr>
                <w:rFonts w:eastAsia="Calibri" w:cs="Arial"/>
                <w:sz w:val="16"/>
                <w:szCs w:val="16"/>
                <w:lang w:eastAsia="en-US"/>
              </w:rPr>
              <w:t>Noise, light and vibration disturbance</w:t>
            </w:r>
            <w:r w:rsidR="5B6988AE" w:rsidRPr="00EE43C6">
              <w:rPr>
                <w:rFonts w:eastAsia="Calibri" w:cs="Arial"/>
                <w:sz w:val="16"/>
                <w:szCs w:val="16"/>
                <w:lang w:eastAsia="en-US"/>
              </w:rPr>
              <w:t xml:space="preserve">, </w:t>
            </w:r>
            <w:r w:rsidR="42EEBED5" w:rsidRPr="00EE43C6">
              <w:rPr>
                <w:rFonts w:eastAsia="Calibri" w:cs="Arial"/>
                <w:sz w:val="16"/>
                <w:szCs w:val="16"/>
                <w:lang w:eastAsia="en-US"/>
              </w:rPr>
              <w:t>D</w:t>
            </w:r>
            <w:r w:rsidR="55C0375D" w:rsidRPr="00EE43C6">
              <w:rPr>
                <w:rFonts w:eastAsia="Calibri" w:cs="Arial"/>
                <w:sz w:val="16"/>
                <w:szCs w:val="16"/>
                <w:lang w:eastAsia="en-US"/>
              </w:rPr>
              <w:t>ust</w:t>
            </w:r>
            <w:r w:rsidR="0581B2D8" w:rsidRPr="00EE43C6">
              <w:rPr>
                <w:rFonts w:eastAsia="Calibri" w:cs="Arial"/>
                <w:sz w:val="16"/>
                <w:szCs w:val="16"/>
                <w:lang w:eastAsia="en-US"/>
              </w:rPr>
              <w:t xml:space="preserve"> </w:t>
            </w:r>
            <w:r w:rsidR="00C10BB5" w:rsidRPr="00EE43C6">
              <w:rPr>
                <w:rFonts w:eastAsia="Calibri" w:cs="Arial"/>
                <w:sz w:val="16"/>
                <w:szCs w:val="16"/>
                <w:lang w:eastAsia="en-US"/>
              </w:rPr>
              <w:t>generation</w:t>
            </w:r>
            <w:r w:rsidR="45F1E123" w:rsidRPr="00EE43C6">
              <w:rPr>
                <w:rFonts w:eastAsia="Calibri" w:cs="Arial"/>
                <w:sz w:val="16"/>
                <w:szCs w:val="16"/>
                <w:lang w:eastAsia="en-US"/>
              </w:rPr>
              <w:t xml:space="preserve">, </w:t>
            </w:r>
            <w:r w:rsidR="3A619890" w:rsidRPr="00EE43C6">
              <w:rPr>
                <w:rFonts w:eastAsia="Calibri" w:cs="Arial"/>
                <w:sz w:val="16"/>
                <w:szCs w:val="16"/>
                <w:lang w:eastAsia="en-US"/>
              </w:rPr>
              <w:t xml:space="preserve">Habitat pollution due to waste </w:t>
            </w:r>
            <w:r w:rsidR="3A619890" w:rsidRPr="00EE43C6">
              <w:rPr>
                <w:rFonts w:eastAsia="Calibri" w:cs="Arial"/>
                <w:sz w:val="16"/>
                <w:szCs w:val="16"/>
                <w:lang w:eastAsia="en-US"/>
              </w:rPr>
              <w:lastRenderedPageBreak/>
              <w:t>from construction works</w:t>
            </w:r>
            <w:r w:rsidR="4450DCD0" w:rsidRPr="00EE43C6">
              <w:rPr>
                <w:rFonts w:eastAsia="Calibri" w:cs="Arial"/>
                <w:sz w:val="16"/>
                <w:szCs w:val="16"/>
                <w:lang w:eastAsia="en-US"/>
              </w:rPr>
              <w:t xml:space="preserve">, </w:t>
            </w:r>
            <w:r w:rsidR="6B6E478E" w:rsidRPr="00EE43C6">
              <w:rPr>
                <w:rFonts w:eastAsia="Calibri" w:cs="Arial"/>
                <w:sz w:val="16"/>
                <w:szCs w:val="16"/>
                <w:lang w:eastAsia="en-US"/>
              </w:rPr>
              <w:t>I</w:t>
            </w:r>
            <w:r w:rsidR="0581B2D8" w:rsidRPr="00EE43C6">
              <w:rPr>
                <w:rFonts w:eastAsia="Calibri" w:cs="Arial"/>
                <w:sz w:val="16"/>
                <w:szCs w:val="16"/>
                <w:lang w:eastAsia="en-US"/>
              </w:rPr>
              <w:t xml:space="preserve">ntroduction of alien invasive species. </w:t>
            </w:r>
          </w:p>
        </w:tc>
        <w:tc>
          <w:tcPr>
            <w:tcW w:w="851" w:type="dxa"/>
            <w:tcBorders>
              <w:top w:val="single" w:sz="4" w:space="0" w:color="auto"/>
              <w:left w:val="single" w:sz="4" w:space="0" w:color="auto"/>
              <w:bottom w:val="single" w:sz="4" w:space="0" w:color="auto"/>
              <w:right w:val="single" w:sz="4" w:space="0" w:color="auto"/>
            </w:tcBorders>
            <w:noWrap/>
            <w:hideMark/>
          </w:tcPr>
          <w:p w14:paraId="2823306C" w14:textId="77777777" w:rsidR="009155D1" w:rsidRPr="000E280D" w:rsidRDefault="009155D1" w:rsidP="000E280D">
            <w:pPr>
              <w:autoSpaceDE w:val="0"/>
              <w:autoSpaceDN w:val="0"/>
              <w:adjustRightInd w:val="0"/>
              <w:spacing w:before="0" w:after="0" w:line="240" w:lineRule="auto"/>
              <w:jc w:val="left"/>
              <w:rPr>
                <w:rFonts w:cs="Arial"/>
                <w:bCs/>
                <w:sz w:val="16"/>
                <w:szCs w:val="16"/>
                <w:lang w:eastAsia="en-GB"/>
              </w:rPr>
            </w:pPr>
            <w:r w:rsidRPr="000E280D">
              <w:rPr>
                <w:rFonts w:cs="Arial"/>
                <w:bCs/>
                <w:sz w:val="16"/>
                <w:szCs w:val="16"/>
                <w:lang w:eastAsia="en-GB"/>
              </w:rPr>
              <w:lastRenderedPageBreak/>
              <w:t>Adverse</w:t>
            </w:r>
          </w:p>
        </w:tc>
        <w:tc>
          <w:tcPr>
            <w:tcW w:w="1276" w:type="dxa"/>
            <w:tcBorders>
              <w:top w:val="single" w:sz="4" w:space="0" w:color="auto"/>
              <w:left w:val="single" w:sz="4" w:space="0" w:color="auto"/>
              <w:bottom w:val="single" w:sz="4" w:space="0" w:color="auto"/>
              <w:right w:val="single" w:sz="4" w:space="0" w:color="auto"/>
            </w:tcBorders>
            <w:hideMark/>
          </w:tcPr>
          <w:p w14:paraId="69056DD5" w14:textId="0FA64899" w:rsidR="009155D1" w:rsidRPr="000E280D" w:rsidRDefault="67A95DA0" w:rsidP="000E280D">
            <w:pPr>
              <w:autoSpaceDE w:val="0"/>
              <w:autoSpaceDN w:val="0"/>
              <w:adjustRightInd w:val="0"/>
              <w:jc w:val="left"/>
              <w:rPr>
                <w:rFonts w:cs="Arial"/>
                <w:bCs/>
                <w:sz w:val="16"/>
                <w:szCs w:val="16"/>
                <w:lang w:eastAsia="en-GB"/>
              </w:rPr>
            </w:pPr>
            <w:r w:rsidRPr="000E280D">
              <w:rPr>
                <w:rFonts w:cs="Arial"/>
                <w:bCs/>
                <w:sz w:val="16"/>
                <w:szCs w:val="16"/>
                <w:lang w:eastAsia="en-GB"/>
              </w:rPr>
              <w:t>Medium</w:t>
            </w:r>
          </w:p>
        </w:tc>
        <w:tc>
          <w:tcPr>
            <w:tcW w:w="1134" w:type="dxa"/>
            <w:tcBorders>
              <w:top w:val="single" w:sz="4" w:space="0" w:color="auto"/>
              <w:left w:val="single" w:sz="4" w:space="0" w:color="auto"/>
              <w:bottom w:val="single" w:sz="4" w:space="0" w:color="auto"/>
              <w:right w:val="single" w:sz="4" w:space="0" w:color="auto"/>
            </w:tcBorders>
            <w:hideMark/>
          </w:tcPr>
          <w:p w14:paraId="105372FA" w14:textId="02F7485F" w:rsidR="009155D1" w:rsidRPr="000E280D" w:rsidRDefault="00BF38B6" w:rsidP="000E280D">
            <w:pPr>
              <w:autoSpaceDE w:val="0"/>
              <w:autoSpaceDN w:val="0"/>
              <w:adjustRightInd w:val="0"/>
              <w:spacing w:before="0" w:after="0" w:line="240" w:lineRule="auto"/>
              <w:ind w:firstLine="31"/>
              <w:jc w:val="left"/>
              <w:rPr>
                <w:rFonts w:cs="Arial"/>
                <w:bCs/>
                <w:sz w:val="16"/>
                <w:szCs w:val="16"/>
                <w:lang w:eastAsia="en-GB"/>
              </w:rPr>
            </w:pPr>
            <w:r w:rsidRPr="000E280D">
              <w:rPr>
                <w:rFonts w:cs="Arial"/>
                <w:bCs/>
                <w:sz w:val="16"/>
                <w:szCs w:val="16"/>
                <w:lang w:eastAsia="en-GB"/>
              </w:rPr>
              <w:t>No additional costs</w:t>
            </w:r>
          </w:p>
        </w:tc>
        <w:tc>
          <w:tcPr>
            <w:tcW w:w="4819" w:type="dxa"/>
            <w:tcBorders>
              <w:top w:val="single" w:sz="4" w:space="0" w:color="auto"/>
              <w:left w:val="single" w:sz="4" w:space="0" w:color="auto"/>
              <w:bottom w:val="single" w:sz="4" w:space="0" w:color="auto"/>
              <w:right w:val="single" w:sz="4" w:space="0" w:color="auto"/>
            </w:tcBorders>
            <w:noWrap/>
            <w:hideMark/>
          </w:tcPr>
          <w:p w14:paraId="652CEF02" w14:textId="1EEC95FE" w:rsidR="007D70C1" w:rsidRPr="00890B50" w:rsidRDefault="0007705A" w:rsidP="000E280D">
            <w:pPr>
              <w:numPr>
                <w:ilvl w:val="0"/>
                <w:numId w:val="7"/>
              </w:numPr>
              <w:spacing w:before="60" w:after="60" w:line="240" w:lineRule="auto"/>
              <w:ind w:left="113" w:right="113" w:hanging="180"/>
              <w:jc w:val="left"/>
              <w:rPr>
                <w:rFonts w:eastAsia="Arial" w:cs="Arial"/>
                <w:color w:val="000000"/>
                <w:sz w:val="16"/>
                <w:szCs w:val="16"/>
              </w:rPr>
            </w:pPr>
            <w:r>
              <w:rPr>
                <w:rFonts w:eastAsia="Arial" w:cs="Arial"/>
                <w:color w:val="000000"/>
                <w:sz w:val="16"/>
                <w:szCs w:val="16"/>
              </w:rPr>
              <w:t>P</w:t>
            </w:r>
            <w:r w:rsidR="007D70C1" w:rsidRPr="007D70C1">
              <w:rPr>
                <w:rFonts w:eastAsia="Arial" w:cs="Arial"/>
                <w:color w:val="000000"/>
                <w:sz w:val="16"/>
                <w:szCs w:val="16"/>
              </w:rPr>
              <w:t>re-construction biodiversity survey will be conducted to identify biodiversity sensitivities before starting construction activities.</w:t>
            </w:r>
          </w:p>
          <w:p w14:paraId="3A6E51B1" w14:textId="0479B521" w:rsidR="009155D1" w:rsidRPr="00EE43C6" w:rsidRDefault="00754EB2" w:rsidP="000E280D">
            <w:pPr>
              <w:numPr>
                <w:ilvl w:val="0"/>
                <w:numId w:val="7"/>
              </w:numPr>
              <w:spacing w:before="60" w:after="60" w:line="240" w:lineRule="auto"/>
              <w:ind w:left="113" w:right="113" w:hanging="180"/>
              <w:jc w:val="left"/>
              <w:rPr>
                <w:rFonts w:eastAsia="Arial" w:cs="Arial"/>
                <w:color w:val="000000"/>
                <w:sz w:val="16"/>
                <w:szCs w:val="16"/>
              </w:rPr>
            </w:pPr>
            <w:r>
              <w:rPr>
                <w:rFonts w:eastAsia="Arial" w:cs="Arial"/>
                <w:color w:val="000000" w:themeColor="text1"/>
                <w:sz w:val="16"/>
                <w:szCs w:val="16"/>
              </w:rPr>
              <w:t xml:space="preserve">If </w:t>
            </w:r>
            <w:r w:rsidR="009273DB">
              <w:rPr>
                <w:rFonts w:eastAsia="Arial" w:cs="Arial"/>
                <w:color w:val="000000" w:themeColor="text1"/>
                <w:sz w:val="16"/>
                <w:szCs w:val="16"/>
              </w:rPr>
              <w:t xml:space="preserve">reptile and bird </w:t>
            </w:r>
            <w:r w:rsidR="009273DB" w:rsidRPr="00EE43C6">
              <w:rPr>
                <w:rFonts w:eastAsia="Arial" w:cs="Arial"/>
                <w:color w:val="000000" w:themeColor="text1"/>
                <w:sz w:val="16"/>
                <w:szCs w:val="16"/>
              </w:rPr>
              <w:t xml:space="preserve">species </w:t>
            </w:r>
            <w:r w:rsidR="51A312D2" w:rsidRPr="00EE43C6">
              <w:rPr>
                <w:rFonts w:eastAsia="Arial" w:cs="Arial"/>
                <w:color w:val="000000" w:themeColor="text1"/>
                <w:sz w:val="16"/>
                <w:szCs w:val="16"/>
              </w:rPr>
              <w:t xml:space="preserve">are encountered in the project area, they </w:t>
            </w:r>
            <w:r w:rsidR="00344F2E">
              <w:rPr>
                <w:rFonts w:eastAsia="Arial" w:cs="Arial"/>
                <w:color w:val="000000" w:themeColor="text1"/>
                <w:sz w:val="16"/>
                <w:szCs w:val="16"/>
              </w:rPr>
              <w:t>will</w:t>
            </w:r>
            <w:r w:rsidR="51A312D2" w:rsidRPr="00EE43C6">
              <w:rPr>
                <w:rFonts w:eastAsia="Arial" w:cs="Arial"/>
                <w:color w:val="000000" w:themeColor="text1"/>
                <w:sz w:val="16"/>
                <w:szCs w:val="16"/>
              </w:rPr>
              <w:t xml:space="preserve"> not be disturbed especially during breeding, feeding, and wintering periods, the eggs of these species </w:t>
            </w:r>
            <w:r w:rsidR="00344F2E">
              <w:rPr>
                <w:rFonts w:eastAsia="Arial" w:cs="Arial"/>
                <w:color w:val="000000" w:themeColor="text1"/>
                <w:sz w:val="16"/>
                <w:szCs w:val="16"/>
              </w:rPr>
              <w:t>will</w:t>
            </w:r>
            <w:r w:rsidR="51A312D2" w:rsidRPr="00EE43C6">
              <w:rPr>
                <w:rFonts w:eastAsia="Arial" w:cs="Arial"/>
                <w:color w:val="000000" w:themeColor="text1"/>
                <w:sz w:val="16"/>
                <w:szCs w:val="16"/>
              </w:rPr>
              <w:t xml:space="preserve"> not be damaged, and these eggs </w:t>
            </w:r>
            <w:r w:rsidR="00DC3C92">
              <w:rPr>
                <w:rFonts w:eastAsia="Arial" w:cs="Arial"/>
                <w:color w:val="000000" w:themeColor="text1"/>
                <w:sz w:val="16"/>
                <w:szCs w:val="16"/>
              </w:rPr>
              <w:t>must</w:t>
            </w:r>
            <w:r w:rsidR="51A312D2" w:rsidRPr="00EE43C6">
              <w:rPr>
                <w:rFonts w:eastAsia="Arial" w:cs="Arial"/>
                <w:color w:val="000000" w:themeColor="text1"/>
                <w:sz w:val="16"/>
                <w:szCs w:val="16"/>
              </w:rPr>
              <w:t xml:space="preserve"> not be collected even if they are empty.</w:t>
            </w:r>
          </w:p>
          <w:p w14:paraId="31BA1595" w14:textId="4FD8E056"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 xml:space="preserve">If individuals belonging to </w:t>
            </w:r>
            <w:r w:rsidR="052069F2" w:rsidRPr="00EE43C6">
              <w:rPr>
                <w:rFonts w:eastAsia="Arial" w:cs="Arial"/>
                <w:color w:val="000000" w:themeColor="text1"/>
                <w:sz w:val="16"/>
                <w:szCs w:val="16"/>
              </w:rPr>
              <w:t>amphibians, reptiles and mammals</w:t>
            </w:r>
            <w:r w:rsidRPr="00EE43C6">
              <w:rPr>
                <w:rFonts w:eastAsia="Arial" w:cs="Arial"/>
                <w:color w:val="000000" w:themeColor="text1"/>
                <w:sz w:val="16"/>
                <w:szCs w:val="16"/>
              </w:rPr>
              <w:t xml:space="preserve"> are detected, they will be carefully moved to another safe place. Special attention will be paid to </w:t>
            </w:r>
            <w:r w:rsidR="7F3E05AF" w:rsidRPr="00EE43C6">
              <w:rPr>
                <w:rFonts w:eastAsia="Arial" w:cs="Arial"/>
                <w:color w:val="000000" w:themeColor="text1"/>
                <w:sz w:val="16"/>
                <w:szCs w:val="16"/>
              </w:rPr>
              <w:t>threatened and endemic species</w:t>
            </w:r>
            <w:r w:rsidRPr="00EE43C6">
              <w:rPr>
                <w:rFonts w:eastAsia="Arial" w:cs="Arial"/>
                <w:color w:val="000000" w:themeColor="text1"/>
                <w:sz w:val="16"/>
                <w:szCs w:val="16"/>
              </w:rPr>
              <w:t>.</w:t>
            </w:r>
          </w:p>
          <w:p w14:paraId="797965EA" w14:textId="79FBDCD9"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 xml:space="preserve">After the ground has been cleared and the amphibians, reptiles and mammals to be encountered at the site have been transported, the surface </w:t>
            </w:r>
            <w:r w:rsidR="00243409" w:rsidRPr="00EE43C6">
              <w:rPr>
                <w:rFonts w:eastAsia="Arial" w:cs="Arial"/>
                <w:color w:val="000000" w:themeColor="text1"/>
                <w:sz w:val="16"/>
                <w:szCs w:val="16"/>
              </w:rPr>
              <w:t>soil</w:t>
            </w:r>
            <w:r w:rsidRPr="00EE43C6">
              <w:rPr>
                <w:rFonts w:eastAsia="Arial" w:cs="Arial"/>
                <w:color w:val="000000" w:themeColor="text1"/>
                <w:sz w:val="16"/>
                <w:szCs w:val="16"/>
              </w:rPr>
              <w:t xml:space="preserve"> will be carefully stripped. During the stripping, some amphibians, reptiles and mammals can be seen again in the excavated soil. All these animals will be collected and moved to a suitable habitat nearby.</w:t>
            </w:r>
          </w:p>
          <w:p w14:paraId="12E1F8F7" w14:textId="67FFCA42" w:rsidR="009155D1" w:rsidRPr="00EE43C6" w:rsidRDefault="00243409"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Waste</w:t>
            </w:r>
            <w:r w:rsidR="51A312D2" w:rsidRPr="00EE43C6">
              <w:rPr>
                <w:rFonts w:eastAsia="Arial" w:cs="Arial"/>
                <w:color w:val="000000" w:themeColor="text1"/>
                <w:sz w:val="16"/>
                <w:szCs w:val="16"/>
              </w:rPr>
              <w:t xml:space="preserve"> from construction works and activities will be stored in designated areas and then disposed of. Solid </w:t>
            </w:r>
            <w:r w:rsidR="00804F0A" w:rsidRPr="00EE43C6">
              <w:rPr>
                <w:rFonts w:eastAsia="Arial" w:cs="Arial"/>
                <w:color w:val="000000" w:themeColor="text1"/>
                <w:sz w:val="16"/>
                <w:szCs w:val="16"/>
              </w:rPr>
              <w:t>waste</w:t>
            </w:r>
            <w:r w:rsidR="51A312D2" w:rsidRPr="00EE43C6">
              <w:rPr>
                <w:rFonts w:eastAsia="Arial" w:cs="Arial"/>
                <w:color w:val="000000" w:themeColor="text1"/>
                <w:sz w:val="16"/>
                <w:szCs w:val="16"/>
              </w:rPr>
              <w:t xml:space="preserve"> will not be allowed to be left in natural habitats.</w:t>
            </w:r>
          </w:p>
          <w:p w14:paraId="5E385664" w14:textId="3DA0831C"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 xml:space="preserve">Solid and liquid </w:t>
            </w:r>
            <w:r w:rsidR="00243409" w:rsidRPr="00EE43C6">
              <w:rPr>
                <w:rFonts w:eastAsia="Arial" w:cs="Arial"/>
                <w:color w:val="000000" w:themeColor="text1"/>
                <w:sz w:val="16"/>
                <w:szCs w:val="16"/>
              </w:rPr>
              <w:t>waste</w:t>
            </w:r>
            <w:r w:rsidRPr="00EE43C6">
              <w:rPr>
                <w:rFonts w:eastAsia="Arial" w:cs="Arial"/>
                <w:color w:val="000000" w:themeColor="text1"/>
                <w:sz w:val="16"/>
                <w:szCs w:val="16"/>
              </w:rPr>
              <w:t xml:space="preserve"> will never be poured into the stream, they will be collected in a designated area and disposed of by licensed companies or municipalities.</w:t>
            </w:r>
          </w:p>
          <w:p w14:paraId="6337B14F" w14:textId="5AF81793"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lastRenderedPageBreak/>
              <w:t>Paint, solvent, etc., which may pose a threat to the freshwater ecosystem. Chemicals will be collected separately and disposed of by licensed companies.</w:t>
            </w:r>
          </w:p>
          <w:p w14:paraId="264D9510" w14:textId="04A5C603"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As mentioned in the “Air Quality” section, measures will be taken to reduce dust and air quality.</w:t>
            </w:r>
          </w:p>
          <w:p w14:paraId="665D86C8" w14:textId="4631D00D"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As mentioned in the “Noise” section, measures to reduce noise will be taken.</w:t>
            </w:r>
          </w:p>
          <w:p w14:paraId="7F84631A" w14:textId="79B38FFA"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Environmental Awareness training will be provided to all staff to raise awareness about the impacts of disturbance, waste and spills on habitats and fauna.</w:t>
            </w:r>
          </w:p>
          <w:p w14:paraId="16596FB9" w14:textId="7A55AA8E"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Rapid replanting (i.e. planting native herbaceous species and/or planting native shrubs/trees) in bare soil with native or semi-natural vegetation will reduce the spread of alien species.</w:t>
            </w:r>
          </w:p>
          <w:p w14:paraId="42742035" w14:textId="1F5F423F"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Any invasive flora species will be prevented from entering the project area and its surroundings. For this purpose, especially the tools used for plant cleaning and/or plant transfer will be washed/cleaned before use.</w:t>
            </w:r>
          </w:p>
          <w:p w14:paraId="43AB46BC" w14:textId="3FD8AC6A"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In order to avoid the risk of pest/invasive species in the project area, project workers will not be allowed to bring live animals or plants to the construction site.</w:t>
            </w:r>
          </w:p>
          <w:p w14:paraId="043DC9B3" w14:textId="38FD654E"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Planting of alien species will be prohibited in the Project Area or project-related areas, including the landscaping of re-vegetated areas.</w:t>
            </w:r>
          </w:p>
          <w:p w14:paraId="5736126A" w14:textId="66EF37DB"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An Invasive Species Management Plan will be produced and implemented, detailing the measures necessary to manage any risk of introduction/spread of invasive species during the construction of the Project.</w:t>
            </w:r>
          </w:p>
          <w:p w14:paraId="643D3E6F" w14:textId="2443B892"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Invasive species will not be used in the replanting/seeding activities to be carried out due to the Project.</w:t>
            </w:r>
          </w:p>
          <w:p w14:paraId="69D1728E" w14:textId="4EE66F73" w:rsidR="009155D1" w:rsidRPr="00EE43C6" w:rsidRDefault="51A312D2"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Arial" w:cs="Arial"/>
                <w:color w:val="000000" w:themeColor="text1"/>
                <w:sz w:val="16"/>
                <w:szCs w:val="16"/>
              </w:rPr>
              <w:t>Lighting for construction and security purposes will be inward and downward to minimize light pollution in remote areas and to minimize disturbance to nocturnal wildlife, birds and invertebrates.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249B03" w14:textId="7E8E9C35" w:rsidR="009155D1" w:rsidRPr="00EE43C6" w:rsidRDefault="00B561CF" w:rsidP="000E280D">
            <w:pPr>
              <w:spacing w:before="0" w:after="0" w:line="240" w:lineRule="auto"/>
              <w:ind w:left="113" w:right="113"/>
              <w:jc w:val="left"/>
              <w:rPr>
                <w:rFonts w:eastAsia="Arial TUR" w:cs="Arial"/>
                <w:color w:val="000000"/>
                <w:sz w:val="16"/>
                <w:szCs w:val="16"/>
                <w:lang w:eastAsia="tr-TR"/>
              </w:rPr>
            </w:pPr>
            <w:r w:rsidRPr="00EE43C6">
              <w:rPr>
                <w:rFonts w:eastAsia="Arial TUR" w:cs="Arial"/>
                <w:color w:val="000000"/>
                <w:sz w:val="16"/>
                <w:szCs w:val="16"/>
                <w:lang w:eastAsia="tr-TR"/>
              </w:rPr>
              <w:lastRenderedPageBreak/>
              <w:t>TUIOSB</w:t>
            </w:r>
          </w:p>
          <w:p w14:paraId="4E5B8B5F" w14:textId="40606CCB" w:rsidR="009155D1" w:rsidRPr="00EE43C6" w:rsidRDefault="0043490D" w:rsidP="000E280D">
            <w:pPr>
              <w:autoSpaceDE w:val="0"/>
              <w:autoSpaceDN w:val="0"/>
              <w:adjustRightInd w:val="0"/>
              <w:spacing w:before="0" w:after="0" w:line="240" w:lineRule="auto"/>
              <w:ind w:left="113" w:right="113"/>
              <w:jc w:val="left"/>
              <w:rPr>
                <w:rFonts w:eastAsia="Arial TUR" w:cs="Arial"/>
                <w:color w:val="000000"/>
                <w:sz w:val="16"/>
                <w:szCs w:val="16"/>
                <w:lang w:eastAsia="en-US"/>
              </w:rPr>
            </w:pPr>
            <w:r w:rsidRPr="00EE43C6">
              <w:rPr>
                <w:rFonts w:eastAsia="Arial TUR" w:cs="Arial"/>
                <w:color w:val="000000"/>
                <w:sz w:val="16"/>
                <w:szCs w:val="16"/>
                <w:lang w:eastAsia="en-US"/>
              </w:rPr>
              <w:t xml:space="preserve">Construction </w:t>
            </w:r>
            <w:r w:rsidR="00EF3036" w:rsidRPr="00EE43C6">
              <w:rPr>
                <w:rFonts w:eastAsia="Arial TUR" w:cs="Arial"/>
                <w:color w:val="000000"/>
                <w:sz w:val="16"/>
                <w:szCs w:val="16"/>
                <w:lang w:eastAsia="en-US"/>
              </w:rPr>
              <w:t xml:space="preserve">Supervision </w:t>
            </w:r>
            <w:r w:rsidR="009155D1" w:rsidRPr="00EE43C6">
              <w:rPr>
                <w:rFonts w:eastAsia="Arial TUR" w:cs="Arial"/>
                <w:color w:val="000000"/>
                <w:sz w:val="16"/>
                <w:szCs w:val="16"/>
                <w:lang w:eastAsia="en-US"/>
              </w:rPr>
              <w:t>Consultant</w:t>
            </w:r>
          </w:p>
          <w:p w14:paraId="28FE87B7" w14:textId="77777777" w:rsidR="009155D1" w:rsidRPr="00EE43C6" w:rsidRDefault="009155D1" w:rsidP="000E280D">
            <w:pPr>
              <w:spacing w:before="0" w:after="0" w:line="240" w:lineRule="auto"/>
              <w:ind w:left="113" w:right="113"/>
              <w:jc w:val="left"/>
              <w:rPr>
                <w:rFonts w:eastAsia="Arial TUR" w:cs="Arial"/>
                <w:color w:val="000000"/>
                <w:sz w:val="16"/>
                <w:szCs w:val="16"/>
                <w:lang w:eastAsia="tr-TR"/>
              </w:rPr>
            </w:pPr>
            <w:r w:rsidRPr="00EE43C6">
              <w:rPr>
                <w:rFonts w:eastAsia="Calibri" w:cs="Arial"/>
                <w:bCs/>
                <w:color w:val="000000"/>
                <w:sz w:val="16"/>
                <w:szCs w:val="16"/>
                <w:lang w:eastAsia="tr-TR"/>
              </w:rPr>
              <w:t>Contractor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A946E8" w14:textId="15E95DD3" w:rsidR="009155D1" w:rsidRPr="00EE43C6" w:rsidRDefault="59AFA9C4"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xml:space="preserve">Zero damage to natural habitats, wetlands and sites </w:t>
            </w:r>
          </w:p>
          <w:p w14:paraId="4411FA70" w14:textId="770BAED4" w:rsidR="009155D1" w:rsidRPr="00EE43C6" w:rsidRDefault="59AFA9C4" w:rsidP="000E280D">
            <w:pPr>
              <w:numPr>
                <w:ilvl w:val="0"/>
                <w:numId w:val="7"/>
              </w:numPr>
              <w:spacing w:before="60" w:after="60" w:line="240" w:lineRule="auto"/>
              <w:ind w:left="113" w:right="113" w:hanging="180"/>
              <w:jc w:val="left"/>
              <w:rPr>
                <w:rFonts w:eastAsia="Arial" w:cs="Arial"/>
                <w:color w:val="000000" w:themeColor="text1"/>
                <w:sz w:val="16"/>
                <w:szCs w:val="16"/>
              </w:rPr>
            </w:pPr>
            <w:r w:rsidRPr="00EE43C6">
              <w:rPr>
                <w:rFonts w:eastAsia="Calibri" w:cs="Arial"/>
                <w:color w:val="000000" w:themeColor="text1"/>
                <w:sz w:val="16"/>
                <w:szCs w:val="16"/>
                <w:lang w:eastAsia="en-US"/>
              </w:rPr>
              <w:t xml:space="preserve">Zero loss of </w:t>
            </w:r>
            <w:r w:rsidR="769CD5EE" w:rsidRPr="00EE43C6">
              <w:rPr>
                <w:rFonts w:eastAsia="Arial" w:cs="Arial"/>
                <w:color w:val="000000" w:themeColor="text1"/>
                <w:sz w:val="16"/>
                <w:szCs w:val="16"/>
              </w:rPr>
              <w:t>threatened and endemic species</w:t>
            </w:r>
          </w:p>
        </w:tc>
      </w:tr>
      <w:bookmarkEnd w:id="1580"/>
    </w:tbl>
    <w:p w14:paraId="4D5E9A22" w14:textId="77777777" w:rsidR="00063811" w:rsidRPr="00EE43C6" w:rsidRDefault="00063811">
      <w:pPr>
        <w:spacing w:before="0" w:after="200" w:line="276" w:lineRule="auto"/>
        <w:jc w:val="left"/>
      </w:pPr>
    </w:p>
    <w:p w14:paraId="6542261D" w14:textId="59FE47AE" w:rsidR="00BD0C7C" w:rsidRPr="00EE43C6" w:rsidRDefault="00BD0C7C">
      <w:pPr>
        <w:spacing w:before="0" w:after="200" w:line="276" w:lineRule="auto"/>
        <w:jc w:val="left"/>
        <w:sectPr w:rsidR="00BD0C7C" w:rsidRPr="00EE43C6" w:rsidSect="00D719FE">
          <w:headerReference w:type="default" r:id="rId77"/>
          <w:footerReference w:type="default" r:id="rId78"/>
          <w:pgSz w:w="16838" w:h="11906" w:orient="landscape" w:code="9"/>
          <w:pgMar w:top="1418" w:right="1418" w:bottom="1418" w:left="1418" w:header="709" w:footer="709" w:gutter="0"/>
          <w:cols w:space="708"/>
          <w:docGrid w:linePitch="299"/>
        </w:sectPr>
      </w:pPr>
    </w:p>
    <w:p w14:paraId="6D26E78E" w14:textId="173D02DF" w:rsidR="002D0046" w:rsidRPr="00EE43C6" w:rsidRDefault="002D0046" w:rsidP="005B5CD4">
      <w:pPr>
        <w:pStyle w:val="Heading2"/>
        <w:rPr>
          <w:lang w:val="en-GB"/>
        </w:rPr>
      </w:pPr>
      <w:bookmarkStart w:id="1581" w:name="_Toc120204541"/>
      <w:bookmarkStart w:id="1582" w:name="_Toc97307023"/>
      <w:bookmarkStart w:id="1583" w:name="_Hlk98332963"/>
      <w:bookmarkStart w:id="1584" w:name="_Ref118898217"/>
      <w:bookmarkStart w:id="1585" w:name="_Toc120016989"/>
      <w:bookmarkStart w:id="1586" w:name="_Toc120004766"/>
      <w:bookmarkStart w:id="1587" w:name="_Toc141445470"/>
      <w:bookmarkEnd w:id="1581"/>
      <w:r w:rsidRPr="00EE43C6">
        <w:rPr>
          <w:lang w:val="en-GB"/>
        </w:rPr>
        <w:lastRenderedPageBreak/>
        <w:t>Mitigation Plan for the Operation Phase of the Project</w:t>
      </w:r>
      <w:bookmarkStart w:id="1588" w:name="_Hlk98332998"/>
      <w:bookmarkEnd w:id="1582"/>
      <w:bookmarkEnd w:id="1583"/>
      <w:bookmarkEnd w:id="1584"/>
      <w:bookmarkEnd w:id="1585"/>
      <w:bookmarkEnd w:id="1586"/>
      <w:bookmarkEnd w:id="1587"/>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2"/>
        <w:gridCol w:w="2410"/>
        <w:gridCol w:w="6"/>
        <w:gridCol w:w="854"/>
        <w:gridCol w:w="2261"/>
        <w:gridCol w:w="983"/>
        <w:gridCol w:w="8"/>
        <w:gridCol w:w="2697"/>
        <w:gridCol w:w="1275"/>
        <w:gridCol w:w="1840"/>
        <w:gridCol w:w="17"/>
      </w:tblGrid>
      <w:tr w:rsidR="000E280D" w:rsidRPr="00EE43C6" w14:paraId="28CCC10F" w14:textId="77777777" w:rsidTr="000E280D">
        <w:trPr>
          <w:trHeight w:val="22"/>
          <w:tblHeader/>
        </w:trPr>
        <w:tc>
          <w:tcPr>
            <w:tcW w:w="200"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bookmarkEnd w:id="1588"/>
          <w:p w14:paraId="0AC3CB4D" w14:textId="77777777" w:rsidR="00975228" w:rsidRPr="00EE43C6" w:rsidRDefault="00975228">
            <w:pPr>
              <w:spacing w:before="0" w:after="0" w:line="240" w:lineRule="auto"/>
              <w:jc w:val="left"/>
              <w:rPr>
                <w:rFonts w:eastAsia="Arial TUR" w:cs="Arial"/>
                <w:b/>
                <w:snapToGrid w:val="0"/>
                <w:color w:val="FFFFFF"/>
                <w:sz w:val="16"/>
                <w:szCs w:val="16"/>
                <w:lang w:eastAsia="tr-TR"/>
              </w:rPr>
            </w:pPr>
            <w:r w:rsidRPr="00EE43C6">
              <w:rPr>
                <w:rFonts w:eastAsia="Calibri" w:cs="Arial"/>
                <w:b/>
                <w:snapToGrid w:val="0"/>
                <w:color w:val="FFFFFF"/>
                <w:sz w:val="16"/>
                <w:szCs w:val="16"/>
                <w:lang w:eastAsia="tr-TR"/>
              </w:rPr>
              <w:t>No.</w:t>
            </w:r>
          </w:p>
        </w:tc>
        <w:tc>
          <w:tcPr>
            <w:tcW w:w="403"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45B025F" w14:textId="3721CF79" w:rsidR="00975228" w:rsidRPr="00EE43C6" w:rsidRDefault="00975228">
            <w:pPr>
              <w:spacing w:before="0" w:after="0" w:line="240" w:lineRule="auto"/>
              <w:jc w:val="left"/>
              <w:rPr>
                <w:rFonts w:cs="Arial"/>
                <w:b/>
                <w:snapToGrid w:val="0"/>
                <w:color w:val="FFFFFF"/>
                <w:sz w:val="16"/>
                <w:szCs w:val="16"/>
                <w:lang w:eastAsia="en-GB"/>
              </w:rPr>
            </w:pPr>
            <w:r w:rsidRPr="00EE43C6">
              <w:rPr>
                <w:rFonts w:eastAsia="Arial TUR" w:cs="Arial"/>
                <w:snapToGrid w:val="0"/>
                <w:color w:val="FFFFFF"/>
                <w:sz w:val="16"/>
                <w:szCs w:val="16"/>
                <w:lang w:eastAsia="tr-TR"/>
              </w:rPr>
              <w:br w:type="page"/>
            </w:r>
            <w:r w:rsidRPr="00EE43C6">
              <w:rPr>
                <w:rFonts w:cs="Arial"/>
                <w:b/>
                <w:snapToGrid w:val="0"/>
                <w:color w:val="FFFFFF"/>
                <w:sz w:val="16"/>
                <w:szCs w:val="16"/>
                <w:lang w:eastAsia="en-GB"/>
              </w:rPr>
              <w:t>Topic</w:t>
            </w:r>
          </w:p>
        </w:tc>
        <w:tc>
          <w:tcPr>
            <w:tcW w:w="860" w:type="pct"/>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0276AF3D" w14:textId="77777777" w:rsidR="00975228" w:rsidRPr="00EE43C6" w:rsidRDefault="00975228">
            <w:pPr>
              <w:spacing w:before="0" w:after="0" w:line="240" w:lineRule="auto"/>
              <w:jc w:val="left"/>
              <w:rPr>
                <w:rFonts w:cs="Arial"/>
                <w:b/>
                <w:snapToGrid w:val="0"/>
                <w:color w:val="FFFFFF"/>
                <w:sz w:val="16"/>
                <w:szCs w:val="16"/>
                <w:lang w:eastAsia="en-GB"/>
              </w:rPr>
            </w:pPr>
            <w:r w:rsidRPr="00EE43C6">
              <w:rPr>
                <w:rFonts w:cs="Arial"/>
                <w:b/>
                <w:bCs/>
                <w:snapToGrid w:val="0"/>
                <w:color w:val="FFFFFF"/>
                <w:sz w:val="16"/>
                <w:szCs w:val="16"/>
                <w:lang w:eastAsia="tr-TR"/>
              </w:rPr>
              <w:t>Definition of Potential Impact</w:t>
            </w:r>
          </w:p>
        </w:tc>
        <w:tc>
          <w:tcPr>
            <w:tcW w:w="304" w:type="pct"/>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1E2D5788" w14:textId="77777777" w:rsidR="00975228" w:rsidRPr="00EE43C6" w:rsidRDefault="00975228">
            <w:pPr>
              <w:spacing w:before="0" w:after="0" w:line="240" w:lineRule="auto"/>
              <w:jc w:val="left"/>
              <w:rPr>
                <w:rFonts w:cs="Arial"/>
                <w:b/>
                <w:snapToGrid w:val="0"/>
                <w:color w:val="FFFFFF"/>
                <w:sz w:val="16"/>
                <w:szCs w:val="16"/>
                <w:lang w:eastAsia="en-GB"/>
              </w:rPr>
            </w:pPr>
            <w:r w:rsidRPr="00EE43C6">
              <w:rPr>
                <w:rFonts w:cs="Arial"/>
                <w:b/>
                <w:bCs/>
                <w:snapToGrid w:val="0"/>
                <w:color w:val="FFFFFF"/>
                <w:sz w:val="16"/>
                <w:szCs w:val="16"/>
                <w:lang w:eastAsia="tr-TR"/>
              </w:rPr>
              <w:t>Type of Impact</w:t>
            </w:r>
          </w:p>
        </w:tc>
        <w:tc>
          <w:tcPr>
            <w:tcW w:w="805"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4C83C1DE" w14:textId="77777777" w:rsidR="00975228" w:rsidRPr="00EE43C6" w:rsidRDefault="00975228">
            <w:pPr>
              <w:spacing w:before="0" w:after="0" w:line="240" w:lineRule="auto"/>
              <w:jc w:val="left"/>
              <w:rPr>
                <w:rFonts w:cs="Arial"/>
                <w:b/>
                <w:snapToGrid w:val="0"/>
                <w:color w:val="FFFFFF"/>
                <w:sz w:val="16"/>
                <w:szCs w:val="16"/>
                <w:lang w:eastAsia="en-GB"/>
              </w:rPr>
            </w:pPr>
            <w:r w:rsidRPr="00EE43C6">
              <w:rPr>
                <w:rFonts w:cs="Arial"/>
                <w:b/>
                <w:bCs/>
                <w:snapToGrid w:val="0"/>
                <w:color w:val="FFFFFF"/>
                <w:sz w:val="16"/>
                <w:szCs w:val="16"/>
                <w:lang w:eastAsia="tr-TR"/>
              </w:rPr>
              <w:t>Impact Significance Before Mitigation</w:t>
            </w:r>
          </w:p>
        </w:tc>
        <w:tc>
          <w:tcPr>
            <w:tcW w:w="350"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5B13ABC" w14:textId="5B578EC1" w:rsidR="00975228" w:rsidRPr="00EE43C6" w:rsidRDefault="00975228">
            <w:pPr>
              <w:spacing w:before="0" w:after="0" w:line="240" w:lineRule="auto"/>
              <w:jc w:val="left"/>
              <w:rPr>
                <w:rFonts w:cs="Arial"/>
                <w:b/>
                <w:snapToGrid w:val="0"/>
                <w:color w:val="FFFFFF"/>
                <w:sz w:val="16"/>
                <w:szCs w:val="16"/>
                <w:lang w:eastAsia="en-GB"/>
              </w:rPr>
            </w:pPr>
            <w:r w:rsidRPr="00EE43C6">
              <w:rPr>
                <w:rFonts w:cs="Arial"/>
                <w:b/>
                <w:bCs/>
                <w:snapToGrid w:val="0"/>
                <w:color w:val="FFFFFF"/>
                <w:sz w:val="16"/>
                <w:szCs w:val="16"/>
                <w:lang w:eastAsia="en-GB"/>
              </w:rPr>
              <w:t>Cost</w:t>
            </w:r>
          </w:p>
        </w:tc>
        <w:tc>
          <w:tcPr>
            <w:tcW w:w="963" w:type="pct"/>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2B273D60" w14:textId="77777777" w:rsidR="00975228" w:rsidRPr="00EE43C6" w:rsidRDefault="00975228" w:rsidP="000E280D">
            <w:pPr>
              <w:spacing w:before="60" w:after="60" w:line="240" w:lineRule="auto"/>
              <w:jc w:val="left"/>
              <w:rPr>
                <w:rFonts w:cs="Arial"/>
                <w:b/>
                <w:snapToGrid w:val="0"/>
                <w:color w:val="FFFFFF"/>
                <w:sz w:val="16"/>
                <w:szCs w:val="16"/>
                <w:lang w:eastAsia="en-GB"/>
              </w:rPr>
            </w:pPr>
            <w:r w:rsidRPr="00EE43C6">
              <w:rPr>
                <w:rFonts w:cs="Arial"/>
                <w:b/>
                <w:bCs/>
                <w:snapToGrid w:val="0"/>
                <w:color w:val="FFFFFF"/>
                <w:sz w:val="16"/>
                <w:szCs w:val="16"/>
                <w:lang w:eastAsia="en-GB"/>
              </w:rPr>
              <w:t>Measures to be Taken</w:t>
            </w:r>
          </w:p>
        </w:tc>
        <w:tc>
          <w:tcPr>
            <w:tcW w:w="454"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B6A681D" w14:textId="77777777" w:rsidR="00975228" w:rsidRPr="00EE43C6" w:rsidRDefault="00975228" w:rsidP="00926F0A">
            <w:pPr>
              <w:spacing w:before="0" w:after="0" w:line="240" w:lineRule="auto"/>
              <w:ind w:right="-46"/>
              <w:jc w:val="left"/>
              <w:rPr>
                <w:rFonts w:cs="Arial"/>
                <w:b/>
                <w:snapToGrid w:val="0"/>
                <w:color w:val="FFFFFF"/>
                <w:sz w:val="16"/>
                <w:szCs w:val="16"/>
                <w:lang w:eastAsia="en-GB"/>
              </w:rPr>
            </w:pPr>
            <w:r w:rsidRPr="00EE43C6">
              <w:rPr>
                <w:rFonts w:cs="Arial"/>
                <w:b/>
                <w:bCs/>
                <w:snapToGrid w:val="0"/>
                <w:color w:val="FFFFFF"/>
                <w:sz w:val="16"/>
                <w:szCs w:val="16"/>
                <w:lang w:eastAsia="en-GB"/>
              </w:rPr>
              <w:t>Responsibility</w:t>
            </w:r>
          </w:p>
        </w:tc>
        <w:tc>
          <w:tcPr>
            <w:tcW w:w="662" w:type="pct"/>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5C28EB03" w14:textId="77777777" w:rsidR="00975228" w:rsidRPr="00EE43C6" w:rsidRDefault="00975228">
            <w:pPr>
              <w:spacing w:before="0" w:after="0" w:line="240" w:lineRule="auto"/>
              <w:jc w:val="left"/>
              <w:rPr>
                <w:rFonts w:cs="Arial"/>
                <w:b/>
                <w:snapToGrid w:val="0"/>
                <w:color w:val="FFFFFF"/>
                <w:sz w:val="16"/>
                <w:szCs w:val="16"/>
                <w:lang w:eastAsia="en-GB"/>
              </w:rPr>
            </w:pPr>
            <w:r w:rsidRPr="00EE43C6">
              <w:rPr>
                <w:rFonts w:cs="Arial"/>
                <w:b/>
                <w:bCs/>
                <w:snapToGrid w:val="0"/>
                <w:color w:val="FFFFFF"/>
                <w:sz w:val="16"/>
                <w:szCs w:val="16"/>
                <w:lang w:eastAsia="en-GB"/>
              </w:rPr>
              <w:t>Key Performance Indicators</w:t>
            </w:r>
          </w:p>
        </w:tc>
      </w:tr>
      <w:tr w:rsidR="000E280D" w:rsidRPr="00EE43C6" w14:paraId="0ECC2953" w14:textId="77777777" w:rsidTr="000E280D">
        <w:trPr>
          <w:trHeight w:val="561"/>
        </w:trPr>
        <w:tc>
          <w:tcPr>
            <w:tcW w:w="200" w:type="pct"/>
            <w:tcBorders>
              <w:top w:val="single" w:sz="4" w:space="0" w:color="auto"/>
              <w:left w:val="single" w:sz="4" w:space="0" w:color="auto"/>
              <w:right w:val="single" w:sz="4" w:space="0" w:color="auto"/>
            </w:tcBorders>
          </w:tcPr>
          <w:p w14:paraId="521736A9" w14:textId="77777777" w:rsidR="00975228" w:rsidRPr="00EE43C6" w:rsidRDefault="00975228" w:rsidP="00854BE8">
            <w:pPr>
              <w:spacing w:before="0" w:after="0" w:line="240" w:lineRule="auto"/>
              <w:jc w:val="left"/>
              <w:rPr>
                <w:rFonts w:cs="Arial"/>
                <w:snapToGrid w:val="0"/>
                <w:sz w:val="16"/>
                <w:szCs w:val="16"/>
                <w:lang w:eastAsia="en-GB"/>
              </w:rPr>
            </w:pPr>
            <w:r w:rsidRPr="00EE43C6">
              <w:rPr>
                <w:rFonts w:cs="Arial"/>
                <w:snapToGrid w:val="0"/>
                <w:sz w:val="16"/>
                <w:szCs w:val="16"/>
                <w:lang w:eastAsia="en-GB"/>
              </w:rPr>
              <w:t>O1</w:t>
            </w:r>
          </w:p>
        </w:tc>
        <w:tc>
          <w:tcPr>
            <w:tcW w:w="403" w:type="pct"/>
            <w:tcBorders>
              <w:top w:val="single" w:sz="4" w:space="0" w:color="auto"/>
              <w:left w:val="single" w:sz="4" w:space="0" w:color="auto"/>
              <w:right w:val="single" w:sz="4" w:space="0" w:color="auto"/>
            </w:tcBorders>
            <w:shd w:val="clear" w:color="auto" w:fill="auto"/>
          </w:tcPr>
          <w:p w14:paraId="5F98E5E8" w14:textId="68DCB348" w:rsidR="00975228" w:rsidRPr="00EE43C6" w:rsidRDefault="00C10BB5" w:rsidP="00854BE8">
            <w:pPr>
              <w:spacing w:before="0" w:after="0" w:line="240" w:lineRule="auto"/>
              <w:jc w:val="left"/>
              <w:rPr>
                <w:rFonts w:cs="Arial"/>
                <w:snapToGrid w:val="0"/>
                <w:sz w:val="16"/>
                <w:szCs w:val="16"/>
                <w:lang w:eastAsia="en-GB"/>
              </w:rPr>
            </w:pPr>
            <w:r w:rsidRPr="00EE43C6">
              <w:rPr>
                <w:rFonts w:cs="Arial"/>
                <w:b/>
                <w:bCs/>
                <w:snapToGrid w:val="0"/>
                <w:sz w:val="16"/>
                <w:szCs w:val="16"/>
                <w:lang w:eastAsia="en-GB"/>
              </w:rPr>
              <w:t>Labour</w:t>
            </w:r>
            <w:r w:rsidR="00975228" w:rsidRPr="00EE43C6">
              <w:rPr>
                <w:rFonts w:cs="Arial"/>
                <w:b/>
                <w:bCs/>
                <w:snapToGrid w:val="0"/>
                <w:sz w:val="16"/>
                <w:szCs w:val="16"/>
                <w:lang w:eastAsia="en-GB"/>
              </w:rPr>
              <w:t xml:space="preserve"> </w:t>
            </w:r>
            <w:r w:rsidR="0028689C" w:rsidRPr="00EE43C6">
              <w:rPr>
                <w:rFonts w:cs="Arial"/>
                <w:b/>
                <w:bCs/>
                <w:snapToGrid w:val="0"/>
                <w:sz w:val="16"/>
                <w:szCs w:val="16"/>
                <w:lang w:eastAsia="en-GB"/>
              </w:rPr>
              <w:t xml:space="preserve">and Working </w:t>
            </w:r>
            <w:r w:rsidR="00975228" w:rsidRPr="00EE43C6">
              <w:rPr>
                <w:rFonts w:cs="Arial"/>
                <w:b/>
                <w:bCs/>
                <w:snapToGrid w:val="0"/>
                <w:sz w:val="16"/>
                <w:szCs w:val="16"/>
                <w:lang w:eastAsia="en-GB"/>
              </w:rPr>
              <w:t>Conditions</w:t>
            </w:r>
          </w:p>
        </w:tc>
        <w:tc>
          <w:tcPr>
            <w:tcW w:w="860" w:type="pct"/>
            <w:gridSpan w:val="2"/>
            <w:tcBorders>
              <w:top w:val="single" w:sz="4" w:space="0" w:color="auto"/>
              <w:left w:val="single" w:sz="4" w:space="0" w:color="auto"/>
              <w:right w:val="single" w:sz="4" w:space="0" w:color="auto"/>
            </w:tcBorders>
            <w:shd w:val="clear" w:color="auto" w:fill="auto"/>
            <w:noWrap/>
          </w:tcPr>
          <w:p w14:paraId="07B8E06F" w14:textId="0D28DD3A" w:rsidR="00975228" w:rsidRPr="00EE43C6" w:rsidRDefault="00975228" w:rsidP="00854BE8">
            <w:pPr>
              <w:spacing w:before="0" w:after="0" w:line="240" w:lineRule="auto"/>
              <w:jc w:val="left"/>
              <w:rPr>
                <w:rFonts w:cs="Arial"/>
                <w:snapToGrid w:val="0"/>
                <w:sz w:val="16"/>
                <w:szCs w:val="16"/>
                <w:lang w:eastAsia="en-GB"/>
              </w:rPr>
            </w:pPr>
            <w:r w:rsidRPr="00EE43C6">
              <w:rPr>
                <w:rFonts w:cs="Arial"/>
                <w:bCs/>
                <w:snapToGrid w:val="0"/>
                <w:color w:val="000000"/>
                <w:sz w:val="16"/>
                <w:szCs w:val="16"/>
                <w:lang w:eastAsia="tr-TR"/>
              </w:rPr>
              <w:t>Improper Working Conditions</w:t>
            </w:r>
            <w:r w:rsidRPr="00EE43C6">
              <w:rPr>
                <w:rFonts w:cs="Arial"/>
                <w:bCs/>
                <w:snapToGrid w:val="0"/>
                <w:color w:val="000000"/>
                <w:sz w:val="16"/>
                <w:szCs w:val="16"/>
                <w:lang w:eastAsia="tr-TR"/>
              </w:rPr>
              <w:br/>
              <w:t xml:space="preserve">Child </w:t>
            </w:r>
            <w:r w:rsidR="00C10BB5" w:rsidRPr="00EE43C6">
              <w:rPr>
                <w:rFonts w:cs="Arial"/>
                <w:bCs/>
                <w:snapToGrid w:val="0"/>
                <w:color w:val="000000"/>
                <w:sz w:val="16"/>
                <w:szCs w:val="16"/>
                <w:lang w:eastAsia="tr-TR"/>
              </w:rPr>
              <w:t>Labour</w:t>
            </w:r>
            <w:r w:rsidRPr="00EE43C6">
              <w:rPr>
                <w:rFonts w:cs="Arial"/>
                <w:bCs/>
                <w:snapToGrid w:val="0"/>
                <w:color w:val="000000"/>
                <w:sz w:val="16"/>
                <w:szCs w:val="16"/>
                <w:lang w:eastAsia="tr-TR"/>
              </w:rPr>
              <w:t xml:space="preserve">, forced </w:t>
            </w:r>
            <w:r w:rsidR="00C10BB5" w:rsidRPr="00EE43C6">
              <w:rPr>
                <w:rFonts w:cs="Arial"/>
                <w:bCs/>
                <w:snapToGrid w:val="0"/>
                <w:color w:val="000000"/>
                <w:sz w:val="16"/>
                <w:szCs w:val="16"/>
                <w:lang w:eastAsia="tr-TR"/>
              </w:rPr>
              <w:t>Labour</w:t>
            </w:r>
            <w:r w:rsidRPr="00EE43C6">
              <w:rPr>
                <w:rFonts w:cs="Arial"/>
                <w:bCs/>
                <w:snapToGrid w:val="0"/>
                <w:color w:val="000000"/>
                <w:sz w:val="16"/>
                <w:szCs w:val="16"/>
                <w:lang w:eastAsia="tr-TR"/>
              </w:rPr>
              <w:t xml:space="preserve"> and unregistered employment</w:t>
            </w:r>
          </w:p>
        </w:tc>
        <w:tc>
          <w:tcPr>
            <w:tcW w:w="304" w:type="pct"/>
            <w:tcBorders>
              <w:top w:val="single" w:sz="4" w:space="0" w:color="auto"/>
              <w:left w:val="single" w:sz="4" w:space="0" w:color="auto"/>
              <w:right w:val="single" w:sz="4" w:space="0" w:color="auto"/>
            </w:tcBorders>
            <w:shd w:val="clear" w:color="auto" w:fill="auto"/>
            <w:noWrap/>
          </w:tcPr>
          <w:p w14:paraId="5A86AC0F"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Adverse</w:t>
            </w:r>
          </w:p>
        </w:tc>
        <w:tc>
          <w:tcPr>
            <w:tcW w:w="805" w:type="pct"/>
            <w:tcBorders>
              <w:top w:val="single" w:sz="4" w:space="0" w:color="auto"/>
              <w:left w:val="single" w:sz="4" w:space="0" w:color="auto"/>
              <w:right w:val="single" w:sz="4" w:space="0" w:color="auto"/>
            </w:tcBorders>
            <w:shd w:val="clear" w:color="auto" w:fill="auto"/>
          </w:tcPr>
          <w:p w14:paraId="7B839BF4" w14:textId="73667C8A" w:rsidR="00975228" w:rsidRPr="00EE43C6" w:rsidRDefault="001C17CF" w:rsidP="00854BE8">
            <w:pPr>
              <w:spacing w:before="0" w:after="0" w:line="240" w:lineRule="auto"/>
              <w:jc w:val="left"/>
              <w:rPr>
                <w:rFonts w:cs="Arial"/>
                <w:snapToGrid w:val="0"/>
                <w:color w:val="000000"/>
                <w:sz w:val="16"/>
                <w:szCs w:val="16"/>
                <w:lang w:eastAsia="tr-TR"/>
              </w:rPr>
            </w:pPr>
            <w:r w:rsidRPr="00EE43C6">
              <w:rPr>
                <w:rFonts w:cs="Arial"/>
                <w:snapToGrid w:val="0"/>
                <w:color w:val="000000"/>
                <w:sz w:val="16"/>
                <w:szCs w:val="16"/>
                <w:lang w:eastAsia="tr-TR"/>
              </w:rPr>
              <w:t>Medium</w:t>
            </w:r>
          </w:p>
        </w:tc>
        <w:tc>
          <w:tcPr>
            <w:tcW w:w="350" w:type="pct"/>
            <w:tcBorders>
              <w:top w:val="single" w:sz="4" w:space="0" w:color="auto"/>
              <w:left w:val="single" w:sz="4" w:space="0" w:color="auto"/>
              <w:right w:val="single" w:sz="4" w:space="0" w:color="auto"/>
            </w:tcBorders>
          </w:tcPr>
          <w:p w14:paraId="0302DE0C" w14:textId="63A01B35" w:rsidR="00975228" w:rsidRPr="00EE43C6" w:rsidRDefault="00BF38B6" w:rsidP="00854BE8">
            <w:pPr>
              <w:spacing w:before="0" w:after="0" w:line="240" w:lineRule="auto"/>
              <w:jc w:val="left"/>
              <w:rPr>
                <w:rFonts w:eastAsia="Arial TUR" w:cs="Arial"/>
                <w:color w:val="000000"/>
                <w:sz w:val="16"/>
                <w:szCs w:val="16"/>
                <w:lang w:eastAsia="en-US"/>
              </w:rPr>
            </w:pPr>
            <w:r w:rsidRPr="00EE43C6">
              <w:rPr>
                <w:rFonts w:cs="Arial"/>
                <w:color w:val="000000"/>
                <w:sz w:val="16"/>
                <w:szCs w:val="16"/>
              </w:rPr>
              <w:t>No additional costs</w:t>
            </w:r>
          </w:p>
        </w:tc>
        <w:tc>
          <w:tcPr>
            <w:tcW w:w="963" w:type="pct"/>
            <w:gridSpan w:val="2"/>
            <w:tcBorders>
              <w:top w:val="single" w:sz="4" w:space="0" w:color="auto"/>
              <w:left w:val="single" w:sz="4" w:space="0" w:color="auto"/>
              <w:right w:val="single" w:sz="4" w:space="0" w:color="auto"/>
            </w:tcBorders>
            <w:shd w:val="clear" w:color="auto" w:fill="auto"/>
            <w:noWrap/>
          </w:tcPr>
          <w:p w14:paraId="328E7F18" w14:textId="73F56DEC" w:rsidR="00282665" w:rsidRPr="00214D49" w:rsidRDefault="00282665" w:rsidP="000E280D">
            <w:pPr>
              <w:numPr>
                <w:ilvl w:val="0"/>
                <w:numId w:val="7"/>
              </w:numPr>
              <w:spacing w:before="60" w:after="60" w:line="240" w:lineRule="auto"/>
              <w:ind w:left="113" w:right="113" w:hanging="180"/>
              <w:jc w:val="left"/>
              <w:rPr>
                <w:rFonts w:eastAsia="Arial TUR" w:cs="Arial"/>
                <w:color w:val="000000"/>
                <w:sz w:val="16"/>
                <w:szCs w:val="16"/>
                <w:lang w:eastAsia="en-US"/>
              </w:rPr>
            </w:pPr>
            <w:r>
              <w:rPr>
                <w:rFonts w:eastAsia="Arial TUR" w:cs="Arial"/>
                <w:color w:val="000000"/>
                <w:sz w:val="16"/>
                <w:szCs w:val="16"/>
                <w:lang w:eastAsia="en-US"/>
              </w:rPr>
              <w:t>Labour Management Plan will be developed and implemented for the operation phase of the Project.</w:t>
            </w:r>
          </w:p>
          <w:p w14:paraId="200D3652" w14:textId="0C0B8F8B" w:rsidR="00975228" w:rsidRPr="00E119DC" w:rsidRDefault="64E9DE45"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xml:space="preserve">Workers will be familiar with the Grievance mechanism officer and will be enabled to have access to and be aware of the Grievance mechanism. </w:t>
            </w:r>
          </w:p>
          <w:p w14:paraId="7C40807E" w14:textId="4F617BAB" w:rsidR="000648B1" w:rsidRPr="00EE43C6" w:rsidRDefault="000648B1"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0648B1">
              <w:rPr>
                <w:rFonts w:eastAsia="Arial TUR" w:cs="Arial"/>
                <w:color w:val="000000"/>
                <w:sz w:val="16"/>
                <w:szCs w:val="16"/>
                <w:lang w:eastAsia="en-US"/>
              </w:rPr>
              <w:t>All workers are receiving written contract with job description, wages, work hours etc.</w:t>
            </w:r>
          </w:p>
          <w:p w14:paraId="35E9B7F7" w14:textId="47EA64B3" w:rsidR="00975228" w:rsidRPr="00EE43C6" w:rsidRDefault="64E9DE45"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xml:space="preserve">Minimum legal </w:t>
            </w:r>
            <w:r w:rsidR="00804F0A" w:rsidRPr="00EE43C6">
              <w:rPr>
                <w:rFonts w:eastAsia="Arial TUR" w:cs="Arial"/>
                <w:color w:val="000000" w:themeColor="text1"/>
                <w:sz w:val="16"/>
                <w:szCs w:val="16"/>
                <w:lang w:eastAsia="en-US"/>
              </w:rPr>
              <w:t>labour</w:t>
            </w:r>
            <w:r w:rsidRPr="00EE43C6">
              <w:rPr>
                <w:rFonts w:eastAsia="Arial TUR" w:cs="Arial"/>
                <w:color w:val="000000" w:themeColor="text1"/>
                <w:sz w:val="16"/>
                <w:szCs w:val="16"/>
                <w:lang w:eastAsia="en-US"/>
              </w:rPr>
              <w:t xml:space="preserve"> standards will be met (child/forced </w:t>
            </w:r>
            <w:r w:rsidR="00804F0A" w:rsidRPr="00EE43C6">
              <w:rPr>
                <w:rFonts w:eastAsia="Arial TUR" w:cs="Arial"/>
                <w:color w:val="000000" w:themeColor="text1"/>
                <w:sz w:val="16"/>
                <w:szCs w:val="16"/>
                <w:lang w:eastAsia="en-US"/>
              </w:rPr>
              <w:t>labour</w:t>
            </w:r>
            <w:r w:rsidRPr="00EE43C6">
              <w:rPr>
                <w:rFonts w:eastAsia="Arial TUR" w:cs="Arial"/>
                <w:color w:val="000000" w:themeColor="text1"/>
                <w:sz w:val="16"/>
                <w:szCs w:val="16"/>
                <w:lang w:eastAsia="en-US"/>
              </w:rPr>
              <w:t>, anti-discrimination, working hours, minimum wages) as per ILO regulations.</w:t>
            </w:r>
          </w:p>
          <w:p w14:paraId="640E7942" w14:textId="77777777" w:rsidR="00975228" w:rsidRPr="00EE43C6" w:rsidRDefault="64E9DE45" w:rsidP="000E280D">
            <w:pPr>
              <w:numPr>
                <w:ilvl w:val="0"/>
                <w:numId w:val="7"/>
              </w:numPr>
              <w:spacing w:before="60" w:after="60" w:line="240" w:lineRule="auto"/>
              <w:ind w:left="113" w:right="113" w:hanging="180"/>
              <w:jc w:val="left"/>
              <w:rPr>
                <w:rFonts w:cs="Arial"/>
                <w:color w:val="000000"/>
                <w:sz w:val="16"/>
                <w:szCs w:val="16"/>
                <w:lang w:eastAsia="en-US"/>
              </w:rPr>
            </w:pPr>
            <w:r w:rsidRPr="00EE43C6">
              <w:rPr>
                <w:rFonts w:eastAsia="Arial TUR" w:cs="Arial"/>
                <w:color w:val="000000"/>
                <w:sz w:val="16"/>
                <w:szCs w:val="16"/>
                <w:lang w:eastAsia="en-US"/>
              </w:rPr>
              <w:t xml:space="preserve">At the same time, WB ESSs given in Chapter 3 and the national legislation given in </w:t>
            </w:r>
            <w:r w:rsidR="00975228" w:rsidRPr="00EE43C6">
              <w:rPr>
                <w:rFonts w:eastAsia="Arial TUR" w:cs="Arial"/>
                <w:color w:val="000000"/>
                <w:sz w:val="16"/>
                <w:szCs w:val="16"/>
                <w:lang w:eastAsia="en-US"/>
              </w:rPr>
              <w:fldChar w:fldCharType="begin"/>
            </w:r>
            <w:r w:rsidR="00975228" w:rsidRPr="00EE43C6">
              <w:rPr>
                <w:rFonts w:eastAsia="Arial TUR" w:cs="Arial"/>
                <w:color w:val="000000"/>
                <w:sz w:val="16"/>
                <w:szCs w:val="16"/>
                <w:lang w:eastAsia="en-US"/>
              </w:rPr>
              <w:instrText xml:space="preserve"> REF _Ref118897310 \h  \* MERGEFORMAT </w:instrText>
            </w:r>
            <w:r w:rsidR="00975228" w:rsidRPr="00EE43C6">
              <w:rPr>
                <w:rFonts w:eastAsia="Arial TUR" w:cs="Arial"/>
                <w:color w:val="000000"/>
                <w:sz w:val="16"/>
                <w:szCs w:val="16"/>
                <w:lang w:eastAsia="en-US"/>
              </w:rPr>
            </w:r>
            <w:r w:rsidR="00975228" w:rsidRPr="00EE43C6">
              <w:rPr>
                <w:rFonts w:eastAsia="Arial TUR" w:cs="Arial"/>
                <w:color w:val="000000"/>
                <w:sz w:val="16"/>
                <w:szCs w:val="16"/>
                <w:lang w:eastAsia="en-US"/>
              </w:rPr>
              <w:fldChar w:fldCharType="separate"/>
            </w:r>
            <w:r w:rsidR="00CE3B94" w:rsidRPr="00EE43C6">
              <w:rPr>
                <w:rFonts w:eastAsia="Arial TUR" w:cs="Arial"/>
                <w:color w:val="000000"/>
                <w:sz w:val="16"/>
                <w:szCs w:val="16"/>
                <w:lang w:eastAsia="en-US"/>
              </w:rPr>
              <w:t>Table 3</w:t>
            </w:r>
            <w:r w:rsidR="00CE3B94" w:rsidRPr="00EE43C6">
              <w:rPr>
                <w:rFonts w:eastAsia="Arial TUR" w:cs="Arial"/>
                <w:color w:val="000000"/>
                <w:sz w:val="16"/>
                <w:szCs w:val="16"/>
                <w:lang w:eastAsia="en-US"/>
              </w:rPr>
              <w:noBreakHyphen/>
              <w:t>1</w:t>
            </w:r>
            <w:r w:rsidR="00975228" w:rsidRPr="00EE43C6">
              <w:rPr>
                <w:rFonts w:eastAsia="Arial TUR" w:cs="Arial"/>
                <w:color w:val="000000"/>
                <w:sz w:val="16"/>
                <w:szCs w:val="16"/>
                <w:lang w:eastAsia="en-US"/>
              </w:rPr>
              <w:fldChar w:fldCharType="end"/>
            </w:r>
            <w:r w:rsidRPr="00EE43C6">
              <w:rPr>
                <w:rFonts w:eastAsia="Arial TUR" w:cs="Arial"/>
                <w:color w:val="000000"/>
                <w:sz w:val="16"/>
                <w:szCs w:val="16"/>
                <w:lang w:eastAsia="en-US"/>
              </w:rPr>
              <w:t xml:space="preserve"> will be complied with in terms of the working conditions.</w:t>
            </w:r>
          </w:p>
          <w:p w14:paraId="2D454402" w14:textId="60F2C4C1" w:rsidR="00CD6A0C" w:rsidRPr="00EE43C6" w:rsidRDefault="00CD6A0C" w:rsidP="000E280D">
            <w:pPr>
              <w:autoSpaceDE w:val="0"/>
              <w:autoSpaceDN w:val="0"/>
              <w:adjustRightInd w:val="0"/>
              <w:spacing w:before="60" w:after="60" w:line="240" w:lineRule="auto"/>
              <w:ind w:left="113" w:right="113"/>
              <w:jc w:val="left"/>
              <w:rPr>
                <w:rFonts w:eastAsia="Arial TUR" w:cs="Arial"/>
                <w:color w:val="000000"/>
                <w:sz w:val="16"/>
                <w:szCs w:val="16"/>
                <w:lang w:eastAsia="en-US"/>
              </w:rPr>
            </w:pPr>
            <w:r w:rsidRPr="00EE43C6">
              <w:rPr>
                <w:rFonts w:eastAsia="Arial TUR" w:cs="Arial"/>
                <w:color w:val="000000"/>
                <w:sz w:val="16"/>
                <w:szCs w:val="16"/>
                <w:lang w:eastAsia="en-US"/>
              </w:rPr>
              <w:t xml:space="preserve">In addition, according to the Labour Management Procedure prepared for </w:t>
            </w:r>
            <w:r w:rsidR="00117757">
              <w:rPr>
                <w:rFonts w:eastAsia="Arial TUR" w:cs="Arial"/>
                <w:color w:val="000000"/>
                <w:sz w:val="16"/>
                <w:szCs w:val="16"/>
                <w:lang w:eastAsia="en-US"/>
              </w:rPr>
              <w:t>Türkiye</w:t>
            </w:r>
            <w:r w:rsidRPr="00EE43C6">
              <w:rPr>
                <w:rFonts w:eastAsia="Arial TUR" w:cs="Arial"/>
                <w:color w:val="000000"/>
                <w:sz w:val="16"/>
                <w:szCs w:val="16"/>
                <w:lang w:eastAsia="en-US"/>
              </w:rPr>
              <w:t xml:space="preserve"> Organised Industrial Zones Project;</w:t>
            </w:r>
          </w:p>
          <w:p w14:paraId="554ECDC0" w14:textId="77777777" w:rsidR="00CD6A0C" w:rsidRPr="00EE43C6" w:rsidRDefault="00CD6A0C"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Rest Breaks</w:t>
            </w:r>
          </w:p>
          <w:p w14:paraId="4B383476" w14:textId="77777777" w:rsidR="00CD6A0C" w:rsidRPr="00EE43C6" w:rsidRDefault="00CD6A0C"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Leaves,</w:t>
            </w:r>
          </w:p>
          <w:p w14:paraId="46417A6B" w14:textId="77777777" w:rsidR="00CD6A0C" w:rsidRPr="00EE43C6" w:rsidRDefault="00CD6A0C"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Overtime Work,</w:t>
            </w:r>
          </w:p>
          <w:p w14:paraId="590235C2" w14:textId="54E934F5" w:rsidR="00CD6A0C" w:rsidRPr="00EE43C6" w:rsidRDefault="00CD6A0C"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 xml:space="preserve">Labour </w:t>
            </w:r>
            <w:r w:rsidR="002B3D63" w:rsidRPr="00EE43C6">
              <w:rPr>
                <w:rFonts w:eastAsia="Arial TUR" w:cs="Arial"/>
                <w:color w:val="000000"/>
                <w:sz w:val="16"/>
                <w:szCs w:val="16"/>
                <w:lang w:eastAsia="en-US"/>
              </w:rPr>
              <w:t>disputes</w:t>
            </w:r>
            <w:r w:rsidRPr="00EE43C6">
              <w:rPr>
                <w:rFonts w:eastAsia="Arial TUR" w:cs="Arial"/>
                <w:color w:val="000000"/>
                <w:sz w:val="16"/>
                <w:szCs w:val="16"/>
                <w:lang w:eastAsia="en-US"/>
              </w:rPr>
              <w:t>,</w:t>
            </w:r>
          </w:p>
          <w:p w14:paraId="44D539FA" w14:textId="77777777" w:rsidR="00CD6A0C" w:rsidRPr="00EE43C6" w:rsidRDefault="00CD6A0C" w:rsidP="000E280D">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EE43C6">
              <w:rPr>
                <w:rFonts w:eastAsia="Arial TUR" w:cs="Arial"/>
                <w:color w:val="000000"/>
                <w:sz w:val="16"/>
                <w:szCs w:val="16"/>
                <w:lang w:eastAsia="en-US"/>
              </w:rPr>
              <w:t>Freedom of association,</w:t>
            </w:r>
          </w:p>
          <w:p w14:paraId="624356D8" w14:textId="05464FD4" w:rsidR="00975228" w:rsidRPr="00EE43C6" w:rsidRDefault="00CD6A0C" w:rsidP="000E280D">
            <w:pPr>
              <w:numPr>
                <w:ilvl w:val="0"/>
                <w:numId w:val="7"/>
              </w:numPr>
              <w:spacing w:before="60" w:after="60" w:line="240" w:lineRule="auto"/>
              <w:ind w:left="113" w:right="113" w:hanging="180"/>
              <w:jc w:val="left"/>
              <w:rPr>
                <w:rFonts w:cs="Arial"/>
                <w:color w:val="000000"/>
                <w:sz w:val="16"/>
                <w:szCs w:val="16"/>
                <w:lang w:eastAsia="en-US"/>
              </w:rPr>
            </w:pPr>
            <w:r w:rsidRPr="00EE43C6">
              <w:rPr>
                <w:rFonts w:eastAsia="Arial TUR" w:cs="Arial"/>
                <w:color w:val="000000"/>
                <w:sz w:val="16"/>
                <w:szCs w:val="16"/>
                <w:lang w:eastAsia="en-US"/>
              </w:rPr>
              <w:t>Collecti</w:t>
            </w:r>
            <w:r w:rsidR="002B3D63" w:rsidRPr="00EE43C6">
              <w:rPr>
                <w:rFonts w:eastAsia="Arial TUR" w:cs="Arial"/>
                <w:color w:val="000000"/>
                <w:sz w:val="16"/>
                <w:szCs w:val="16"/>
                <w:lang w:eastAsia="en-US"/>
              </w:rPr>
              <w:t>v</w:t>
            </w:r>
            <w:r w:rsidRPr="00EE43C6">
              <w:rPr>
                <w:rFonts w:eastAsia="Arial TUR" w:cs="Arial"/>
                <w:color w:val="000000"/>
                <w:sz w:val="16"/>
                <w:szCs w:val="16"/>
                <w:lang w:eastAsia="en-US"/>
              </w:rPr>
              <w:t>e dismissal will be handled according to ESS2 and Turkish Labour Law-4857.</w:t>
            </w:r>
          </w:p>
        </w:tc>
        <w:tc>
          <w:tcPr>
            <w:tcW w:w="454" w:type="pct"/>
            <w:tcBorders>
              <w:top w:val="single" w:sz="4" w:space="0" w:color="auto"/>
              <w:left w:val="single" w:sz="4" w:space="0" w:color="auto"/>
              <w:right w:val="single" w:sz="4" w:space="0" w:color="auto"/>
            </w:tcBorders>
          </w:tcPr>
          <w:p w14:paraId="4C678DAF" w14:textId="2B7815A9" w:rsidR="00975228" w:rsidRPr="00EE43C6" w:rsidRDefault="00B561CF" w:rsidP="00854BE8">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t>TUIOSB</w:t>
            </w:r>
          </w:p>
          <w:p w14:paraId="3BB35E06" w14:textId="1CD40BD3" w:rsidR="00975228" w:rsidRPr="00EE43C6" w:rsidRDefault="00975228" w:rsidP="00854BE8">
            <w:pPr>
              <w:autoSpaceDE w:val="0"/>
              <w:autoSpaceDN w:val="0"/>
              <w:adjustRightInd w:val="0"/>
              <w:spacing w:before="0" w:after="0" w:line="240" w:lineRule="auto"/>
              <w:jc w:val="left"/>
              <w:rPr>
                <w:rFonts w:eastAsia="Arial TUR" w:cs="Arial"/>
                <w:color w:val="000000"/>
                <w:sz w:val="16"/>
                <w:szCs w:val="16"/>
                <w:lang w:eastAsia="en-US"/>
              </w:rPr>
            </w:pPr>
          </w:p>
        </w:tc>
        <w:tc>
          <w:tcPr>
            <w:tcW w:w="662" w:type="pct"/>
            <w:gridSpan w:val="2"/>
            <w:tcBorders>
              <w:top w:val="single" w:sz="4" w:space="0" w:color="auto"/>
              <w:left w:val="single" w:sz="4" w:space="0" w:color="auto"/>
              <w:right w:val="single" w:sz="4" w:space="0" w:color="auto"/>
            </w:tcBorders>
          </w:tcPr>
          <w:p w14:paraId="6B2AD1C9" w14:textId="720905D3"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xml:space="preserve">Number </w:t>
            </w:r>
            <w:r w:rsidR="00E032FE">
              <w:rPr>
                <w:rFonts w:eastAsia="Arial TUR" w:cs="Arial"/>
                <w:color w:val="000000" w:themeColor="text1"/>
                <w:sz w:val="16"/>
                <w:szCs w:val="16"/>
                <w:lang w:eastAsia="en-US"/>
              </w:rPr>
              <w:t xml:space="preserve">and nature </w:t>
            </w:r>
            <w:r w:rsidRPr="00EE43C6">
              <w:rPr>
                <w:rFonts w:eastAsia="Arial TUR" w:cs="Arial"/>
                <w:color w:val="000000" w:themeColor="text1"/>
                <w:sz w:val="16"/>
                <w:szCs w:val="16"/>
                <w:lang w:eastAsia="en-US"/>
              </w:rPr>
              <w:t xml:space="preserve">of grievances </w:t>
            </w:r>
          </w:p>
          <w:p w14:paraId="64BF0268" w14:textId="77777777" w:rsidR="00975228" w:rsidRPr="00EE43C6" w:rsidRDefault="64E9DE45" w:rsidP="00854BE8">
            <w:pPr>
              <w:numPr>
                <w:ilvl w:val="0"/>
                <w:numId w:val="7"/>
              </w:numPr>
              <w:spacing w:before="0" w:after="0" w:line="240" w:lineRule="auto"/>
              <w:ind w:left="113" w:right="113" w:hanging="180"/>
              <w:jc w:val="left"/>
              <w:rPr>
                <w:rFonts w:cs="Arial"/>
                <w:color w:val="000000"/>
                <w:sz w:val="16"/>
                <w:szCs w:val="16"/>
                <w:lang w:eastAsia="tr-TR"/>
              </w:rPr>
            </w:pPr>
            <w:r w:rsidRPr="00EE43C6">
              <w:rPr>
                <w:rFonts w:eastAsia="Arial TUR" w:cs="Arial"/>
                <w:color w:val="000000" w:themeColor="text1"/>
                <w:sz w:val="16"/>
                <w:szCs w:val="16"/>
                <w:lang w:eastAsia="en-US"/>
              </w:rPr>
              <w:t>Percentage of closed grievances within the target timeframe</w:t>
            </w:r>
          </w:p>
        </w:tc>
      </w:tr>
      <w:tr w:rsidR="000E280D" w:rsidRPr="00EE43C6" w14:paraId="74151051" w14:textId="77777777" w:rsidTr="000E280D">
        <w:trPr>
          <w:trHeight w:val="381"/>
        </w:trPr>
        <w:tc>
          <w:tcPr>
            <w:tcW w:w="200" w:type="pct"/>
            <w:tcBorders>
              <w:top w:val="single" w:sz="4" w:space="0" w:color="auto"/>
              <w:left w:val="single" w:sz="4" w:space="0" w:color="auto"/>
              <w:right w:val="single" w:sz="4" w:space="0" w:color="auto"/>
            </w:tcBorders>
          </w:tcPr>
          <w:p w14:paraId="610587B9" w14:textId="77777777" w:rsidR="00E27033" w:rsidRPr="00EE43C6" w:rsidRDefault="00E27033" w:rsidP="00381E6F">
            <w:pPr>
              <w:spacing w:before="0" w:after="0" w:line="240" w:lineRule="auto"/>
              <w:jc w:val="left"/>
              <w:rPr>
                <w:rFonts w:cs="Arial"/>
                <w:snapToGrid w:val="0"/>
                <w:sz w:val="16"/>
                <w:szCs w:val="16"/>
                <w:lang w:eastAsia="en-GB"/>
              </w:rPr>
            </w:pPr>
            <w:r w:rsidRPr="00EE43C6">
              <w:rPr>
                <w:rFonts w:cs="Arial"/>
                <w:snapToGrid w:val="0"/>
                <w:sz w:val="16"/>
                <w:szCs w:val="16"/>
                <w:lang w:eastAsia="en-GB"/>
              </w:rPr>
              <w:lastRenderedPageBreak/>
              <w:t>O2</w:t>
            </w:r>
          </w:p>
        </w:tc>
        <w:tc>
          <w:tcPr>
            <w:tcW w:w="403" w:type="pct"/>
            <w:tcBorders>
              <w:top w:val="single" w:sz="4" w:space="0" w:color="auto"/>
              <w:left w:val="single" w:sz="4" w:space="0" w:color="auto"/>
              <w:right w:val="single" w:sz="4" w:space="0" w:color="auto"/>
            </w:tcBorders>
            <w:shd w:val="clear" w:color="auto" w:fill="auto"/>
          </w:tcPr>
          <w:p w14:paraId="2C34AB9C" w14:textId="77777777" w:rsidR="00E27033" w:rsidRPr="00EE43C6" w:rsidRDefault="00E27033" w:rsidP="00381E6F">
            <w:pPr>
              <w:spacing w:before="0" w:after="0" w:line="240" w:lineRule="auto"/>
              <w:jc w:val="left"/>
              <w:rPr>
                <w:rFonts w:cs="Arial"/>
                <w:snapToGrid w:val="0"/>
                <w:sz w:val="16"/>
                <w:szCs w:val="16"/>
                <w:lang w:eastAsia="en-GB"/>
              </w:rPr>
            </w:pPr>
            <w:r w:rsidRPr="00EE43C6">
              <w:rPr>
                <w:rFonts w:cs="Arial"/>
                <w:b/>
                <w:bCs/>
                <w:snapToGrid w:val="0"/>
                <w:sz w:val="16"/>
                <w:szCs w:val="16"/>
                <w:lang w:eastAsia="en-GB"/>
              </w:rPr>
              <w:t>Occupational Health and Safety</w:t>
            </w:r>
          </w:p>
        </w:tc>
        <w:tc>
          <w:tcPr>
            <w:tcW w:w="860" w:type="pct"/>
            <w:gridSpan w:val="2"/>
            <w:tcBorders>
              <w:top w:val="single" w:sz="4" w:space="0" w:color="auto"/>
              <w:left w:val="single" w:sz="4" w:space="0" w:color="auto"/>
              <w:right w:val="single" w:sz="4" w:space="0" w:color="auto"/>
            </w:tcBorders>
            <w:shd w:val="clear" w:color="auto" w:fill="auto"/>
            <w:noWrap/>
          </w:tcPr>
          <w:p w14:paraId="7BA84C9F" w14:textId="77777777" w:rsidR="00E27033" w:rsidRPr="00EE43C6" w:rsidRDefault="00E27033" w:rsidP="00381E6F">
            <w:pPr>
              <w:spacing w:before="0" w:after="0" w:line="240" w:lineRule="auto"/>
              <w:jc w:val="left"/>
              <w:rPr>
                <w:rFonts w:cs="Arial"/>
                <w:snapToGrid w:val="0"/>
                <w:sz w:val="16"/>
                <w:szCs w:val="16"/>
                <w:lang w:eastAsia="en-GB"/>
              </w:rPr>
            </w:pPr>
            <w:r w:rsidRPr="00EE43C6">
              <w:rPr>
                <w:rFonts w:cs="Arial"/>
                <w:bCs/>
                <w:snapToGrid w:val="0"/>
                <w:color w:val="000000"/>
                <w:sz w:val="16"/>
                <w:szCs w:val="16"/>
                <w:lang w:eastAsia="tr-TR"/>
              </w:rPr>
              <w:t>Inadequate workers health and safety conditions</w:t>
            </w:r>
          </w:p>
        </w:tc>
        <w:tc>
          <w:tcPr>
            <w:tcW w:w="304" w:type="pct"/>
            <w:tcBorders>
              <w:top w:val="single" w:sz="4" w:space="0" w:color="auto"/>
              <w:left w:val="single" w:sz="4" w:space="0" w:color="auto"/>
              <w:right w:val="single" w:sz="4" w:space="0" w:color="auto"/>
            </w:tcBorders>
            <w:shd w:val="clear" w:color="auto" w:fill="auto"/>
            <w:noWrap/>
          </w:tcPr>
          <w:p w14:paraId="02905E83" w14:textId="77777777" w:rsidR="00E27033" w:rsidRPr="00EE43C6" w:rsidRDefault="00E27033" w:rsidP="00381E6F">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Adverse</w:t>
            </w:r>
          </w:p>
        </w:tc>
        <w:tc>
          <w:tcPr>
            <w:tcW w:w="805" w:type="pct"/>
            <w:tcBorders>
              <w:top w:val="single" w:sz="4" w:space="0" w:color="auto"/>
              <w:left w:val="single" w:sz="4" w:space="0" w:color="auto"/>
              <w:right w:val="single" w:sz="4" w:space="0" w:color="auto"/>
            </w:tcBorders>
            <w:shd w:val="clear" w:color="auto" w:fill="auto"/>
          </w:tcPr>
          <w:p w14:paraId="778666AF" w14:textId="77777777" w:rsidR="00E27033" w:rsidRPr="00EE43C6" w:rsidRDefault="00E27033" w:rsidP="00381E6F">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Medium</w:t>
            </w:r>
          </w:p>
        </w:tc>
        <w:tc>
          <w:tcPr>
            <w:tcW w:w="350" w:type="pct"/>
            <w:tcBorders>
              <w:top w:val="single" w:sz="4" w:space="0" w:color="auto"/>
              <w:left w:val="single" w:sz="4" w:space="0" w:color="auto"/>
              <w:right w:val="single" w:sz="4" w:space="0" w:color="auto"/>
            </w:tcBorders>
          </w:tcPr>
          <w:p w14:paraId="7A1E3006" w14:textId="77777777" w:rsidR="00E27033" w:rsidRPr="00EE43C6" w:rsidRDefault="00E27033" w:rsidP="00381E6F">
            <w:pPr>
              <w:spacing w:before="0" w:after="0" w:line="240" w:lineRule="auto"/>
              <w:jc w:val="left"/>
              <w:rPr>
                <w:rFonts w:cs="Arial"/>
                <w:sz w:val="16"/>
                <w:szCs w:val="16"/>
              </w:rPr>
            </w:pPr>
            <w:r w:rsidRPr="00EE43C6">
              <w:rPr>
                <w:rFonts w:cs="Arial"/>
                <w:color w:val="000000"/>
                <w:sz w:val="16"/>
                <w:szCs w:val="16"/>
              </w:rPr>
              <w:t>No additional costs</w:t>
            </w:r>
          </w:p>
        </w:tc>
        <w:tc>
          <w:tcPr>
            <w:tcW w:w="963" w:type="pct"/>
            <w:gridSpan w:val="2"/>
            <w:tcBorders>
              <w:top w:val="single" w:sz="4" w:space="0" w:color="auto"/>
              <w:left w:val="single" w:sz="4" w:space="0" w:color="auto"/>
              <w:right w:val="single" w:sz="4" w:space="0" w:color="auto"/>
            </w:tcBorders>
            <w:shd w:val="clear" w:color="auto" w:fill="auto"/>
            <w:noWrap/>
          </w:tcPr>
          <w:p w14:paraId="5F526F1F" w14:textId="752BC572" w:rsidR="00CF5C5D" w:rsidRPr="00214D49" w:rsidRDefault="00C3558A"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C3558A">
              <w:rPr>
                <w:rFonts w:eastAsia="Arial TUR" w:cs="Arial"/>
                <w:color w:val="000000"/>
                <w:sz w:val="16"/>
                <w:szCs w:val="16"/>
                <w:lang w:eastAsia="en-US"/>
              </w:rPr>
              <w:t>Occupational Health and Safety Management Plan</w:t>
            </w:r>
            <w:r>
              <w:rPr>
                <w:rFonts w:eastAsia="Arial TUR" w:cs="Arial"/>
                <w:color w:val="000000"/>
                <w:sz w:val="16"/>
                <w:szCs w:val="16"/>
                <w:lang w:eastAsia="en-US"/>
              </w:rPr>
              <w:t xml:space="preserve"> will be developed and implemented for the operation phase of the Project.</w:t>
            </w:r>
          </w:p>
          <w:p w14:paraId="73254F09" w14:textId="731DF525" w:rsidR="00E27033" w:rsidRPr="00EE43C6" w:rsidRDefault="00E27033"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cs="Arial"/>
                <w:color w:val="000000" w:themeColor="text1"/>
                <w:sz w:val="16"/>
                <w:szCs w:val="16"/>
              </w:rPr>
              <w:t xml:space="preserve">Before starting work, employees will be knowledgeable about </w:t>
            </w:r>
            <w:r w:rsidRPr="00EE43C6">
              <w:rPr>
                <w:rFonts w:eastAsia="Arial TUR" w:cs="Arial"/>
                <w:color w:val="000000" w:themeColor="text1"/>
                <w:sz w:val="16"/>
                <w:szCs w:val="16"/>
                <w:lang w:eastAsia="en-US"/>
              </w:rPr>
              <w:t>job descriptions, responsibilities, relationships with the local people, and risks that may threaten occupational health and safety.</w:t>
            </w:r>
          </w:p>
          <w:p w14:paraId="79560C05" w14:textId="77777777" w:rsidR="00E27033" w:rsidRPr="00EE43C6" w:rsidRDefault="00E27033"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Workers will be provided with appropriate induction, health and safety training and information.</w:t>
            </w:r>
          </w:p>
          <w:p w14:paraId="7518107A" w14:textId="77777777" w:rsidR="00E27033" w:rsidRPr="00EE43C6" w:rsidRDefault="00E27033"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All equipment used during the operation phase will be kept in good working condition.</w:t>
            </w:r>
          </w:p>
          <w:p w14:paraId="373D117B" w14:textId="0D6A174E" w:rsidR="00E27033" w:rsidRPr="00EE43C6" w:rsidRDefault="00E27033"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xml:space="preserve">Emergency </w:t>
            </w:r>
            <w:r w:rsidR="00CF5C5D" w:rsidRPr="00CF5C5D">
              <w:rPr>
                <w:rFonts w:eastAsia="Arial TUR" w:cs="Arial"/>
                <w:color w:val="000000" w:themeColor="text1"/>
                <w:sz w:val="16"/>
                <w:szCs w:val="16"/>
                <w:lang w:eastAsia="en-US"/>
              </w:rPr>
              <w:t>Preparedness and Response Plan</w:t>
            </w:r>
            <w:r w:rsidR="00CF5C5D" w:rsidRPr="00CF5C5D" w:rsidDel="00CF5C5D">
              <w:rPr>
                <w:rFonts w:eastAsia="Arial TUR" w:cs="Arial"/>
                <w:color w:val="000000" w:themeColor="text1"/>
                <w:sz w:val="16"/>
                <w:szCs w:val="16"/>
                <w:lang w:eastAsia="en-US"/>
              </w:rPr>
              <w:t xml:space="preserve"> </w:t>
            </w:r>
            <w:r w:rsidRPr="00EE43C6">
              <w:rPr>
                <w:rFonts w:eastAsia="Arial TUR" w:cs="Arial"/>
                <w:color w:val="000000" w:themeColor="text1"/>
                <w:sz w:val="16"/>
                <w:szCs w:val="16"/>
                <w:lang w:eastAsia="en-US"/>
              </w:rPr>
              <w:t>will be prepared for a potential accident and emergency. Emergency teams will be formed, and drills and training programs will be carried out in line with emergency scenarios.</w:t>
            </w:r>
          </w:p>
          <w:p w14:paraId="3CD46A95" w14:textId="77777777" w:rsidR="00E27033" w:rsidRPr="00EE43C6" w:rsidRDefault="00E27033"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Employees will have a good command of emergency plans, and the grievance will be reported to the authorized teams and resolved, if they require urgent action.</w:t>
            </w:r>
          </w:p>
          <w:p w14:paraId="3C09BA3C" w14:textId="77777777" w:rsidR="00E27033" w:rsidRPr="00EE43C6" w:rsidRDefault="00E27033"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xml:space="preserve">In case of any potential accident involving injury during the operation phase, the equipment for the first aid will be kept available at the rehabilitation centre, taking into account that first aid response may be required before the </w:t>
            </w:r>
            <w:r w:rsidRPr="00EE43C6">
              <w:rPr>
                <w:rFonts w:eastAsia="Arial TUR" w:cs="Arial"/>
                <w:color w:val="000000" w:themeColor="text1"/>
                <w:sz w:val="16"/>
                <w:szCs w:val="16"/>
                <w:lang w:eastAsia="en-US"/>
              </w:rPr>
              <w:lastRenderedPageBreak/>
              <w:t>casualty is referred to the nearest healthcare provider.</w:t>
            </w:r>
          </w:p>
          <w:p w14:paraId="5C3A5D0C" w14:textId="77777777" w:rsidR="00E27033" w:rsidRPr="00EE43C6" w:rsidRDefault="00E27033"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The TUIOSB formally agrees that all work will be carried out in a safe and disciplined manner and is designed to minimize risks on neighbouring residents and environment.</w:t>
            </w:r>
          </w:p>
          <w:p w14:paraId="4610799D" w14:textId="77777777" w:rsidR="00E27033" w:rsidRPr="00EE43C6" w:rsidRDefault="00E27033"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All activities will be implemented in line with both the Law on Occupational Health and Safety and its relevant regulations, and also the WBG’s EHS Guidelines.</w:t>
            </w:r>
          </w:p>
          <w:p w14:paraId="0116573A" w14:textId="77777777" w:rsidR="00E27033" w:rsidRPr="00EE43C6" w:rsidRDefault="00E27033"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Both trainings and incidents (fatalities, lost time incidents, outbreak of pandemic or communicable diseases, social unrest, etc.) will be recorded.</w:t>
            </w:r>
          </w:p>
          <w:p w14:paraId="511D01B8" w14:textId="77777777" w:rsidR="00E27033" w:rsidRPr="00EE43C6" w:rsidRDefault="00E27033"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In the event of any significant incident (e.g. environmental, social, labour or lost-time incidents) TUIOSB shall inform the MoIT and WB within three business days. Then, within 30 days, a report on the root causes of the incident and the corrective actions to be taken will be presented to the MoIT and WB.</w:t>
            </w:r>
          </w:p>
          <w:p w14:paraId="60D7CBC8" w14:textId="77777777" w:rsidR="00E27033" w:rsidRPr="00EE43C6" w:rsidRDefault="00E27033" w:rsidP="000E280D">
            <w:pPr>
              <w:numPr>
                <w:ilvl w:val="0"/>
                <w:numId w:val="7"/>
              </w:numPr>
              <w:spacing w:before="60" w:after="60" w:line="240" w:lineRule="auto"/>
              <w:ind w:left="113" w:right="113" w:hanging="180"/>
              <w:jc w:val="left"/>
              <w:rPr>
                <w:rFonts w:cs="Arial"/>
                <w:color w:val="000000"/>
                <w:sz w:val="16"/>
                <w:szCs w:val="16"/>
              </w:rPr>
            </w:pPr>
            <w:r w:rsidRPr="00EE43C6">
              <w:rPr>
                <w:rFonts w:eastAsia="Arial TUR" w:cs="Arial"/>
                <w:color w:val="000000" w:themeColor="text1"/>
                <w:sz w:val="16"/>
                <w:szCs w:val="16"/>
                <w:lang w:eastAsia="en-US"/>
              </w:rPr>
              <w:t>Equipment that meets international standards in terms of performance and safety will be used in the Project.</w:t>
            </w:r>
          </w:p>
        </w:tc>
        <w:tc>
          <w:tcPr>
            <w:tcW w:w="454" w:type="pct"/>
            <w:tcBorders>
              <w:top w:val="single" w:sz="4" w:space="0" w:color="auto"/>
              <w:left w:val="single" w:sz="4" w:space="0" w:color="auto"/>
              <w:right w:val="single" w:sz="4" w:space="0" w:color="auto"/>
            </w:tcBorders>
          </w:tcPr>
          <w:p w14:paraId="51B19817" w14:textId="77777777" w:rsidR="00E27033" w:rsidRPr="00EE43C6" w:rsidRDefault="00E27033" w:rsidP="00381E6F">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lastRenderedPageBreak/>
              <w:t>TUIOSB</w:t>
            </w:r>
          </w:p>
          <w:p w14:paraId="25247B6E" w14:textId="77777777" w:rsidR="00E27033" w:rsidRPr="00EE43C6" w:rsidRDefault="00E27033" w:rsidP="00381E6F">
            <w:pPr>
              <w:autoSpaceDE w:val="0"/>
              <w:autoSpaceDN w:val="0"/>
              <w:adjustRightInd w:val="0"/>
              <w:spacing w:before="0" w:after="0" w:line="240" w:lineRule="auto"/>
              <w:jc w:val="left"/>
              <w:rPr>
                <w:rFonts w:eastAsia="Arial TUR" w:cs="Arial"/>
                <w:color w:val="000000"/>
                <w:sz w:val="16"/>
                <w:szCs w:val="16"/>
              </w:rPr>
            </w:pPr>
          </w:p>
        </w:tc>
        <w:tc>
          <w:tcPr>
            <w:tcW w:w="662" w:type="pct"/>
            <w:gridSpan w:val="2"/>
            <w:tcBorders>
              <w:top w:val="single" w:sz="4" w:space="0" w:color="auto"/>
              <w:left w:val="single" w:sz="4" w:space="0" w:color="auto"/>
              <w:right w:val="single" w:sz="4" w:space="0" w:color="auto"/>
            </w:tcBorders>
          </w:tcPr>
          <w:p w14:paraId="039FF2F9"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of scheduled HSE Inspection</w:t>
            </w:r>
          </w:p>
          <w:p w14:paraId="2A38DCED"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of attendance at HSE meetings</w:t>
            </w:r>
          </w:p>
          <w:p w14:paraId="628038DA"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of closing of NCRs</w:t>
            </w:r>
          </w:p>
          <w:p w14:paraId="6C11EB58"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Reporting safe observations</w:t>
            </w:r>
          </w:p>
          <w:p w14:paraId="067E7B3E"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Reporting unsafe observations</w:t>
            </w:r>
          </w:p>
          <w:p w14:paraId="3D4ABF22"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Reporting near misses</w:t>
            </w:r>
          </w:p>
          <w:p w14:paraId="77934B5F"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of Toolbox attending</w:t>
            </w:r>
          </w:p>
          <w:p w14:paraId="68BF7B6A"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of Risk Assessment compliance</w:t>
            </w:r>
          </w:p>
          <w:p w14:paraId="14EE6DBF"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of Legal Requirements compliance</w:t>
            </w:r>
          </w:p>
          <w:p w14:paraId="19F502DE"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Results of scheduled audits</w:t>
            </w:r>
          </w:p>
          <w:p w14:paraId="677BC740"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HSE training carried out to training matrix</w:t>
            </w:r>
          </w:p>
          <w:p w14:paraId="1297E2D4"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xml:space="preserve"> &gt; 90% of all training to matrix</w:t>
            </w:r>
          </w:p>
          <w:p w14:paraId="67E5AD2A"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of attendance at scheduled trainings</w:t>
            </w:r>
          </w:p>
          <w:p w14:paraId="71310F67" w14:textId="77777777" w:rsidR="00E27033" w:rsidRPr="00EE43C6" w:rsidRDefault="00E27033" w:rsidP="00381E6F">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Engagement in HSE program by individual managers and supervisors</w:t>
            </w:r>
          </w:p>
          <w:p w14:paraId="0228D8E2" w14:textId="77777777" w:rsidR="00E27033" w:rsidRPr="00EE43C6" w:rsidRDefault="00E27033" w:rsidP="00381E6F">
            <w:pPr>
              <w:numPr>
                <w:ilvl w:val="0"/>
                <w:numId w:val="7"/>
              </w:numPr>
              <w:spacing w:before="0" w:after="0" w:line="240" w:lineRule="auto"/>
              <w:ind w:left="113" w:right="113" w:hanging="180"/>
              <w:jc w:val="left"/>
              <w:rPr>
                <w:rFonts w:cs="Arial"/>
                <w:color w:val="000000"/>
                <w:sz w:val="16"/>
                <w:szCs w:val="16"/>
                <w:lang w:eastAsia="en-US"/>
              </w:rPr>
            </w:pPr>
            <w:r w:rsidRPr="00EE43C6">
              <w:rPr>
                <w:rFonts w:eastAsia="Arial TUR" w:cs="Arial"/>
                <w:color w:val="000000" w:themeColor="text1"/>
                <w:sz w:val="16"/>
                <w:szCs w:val="16"/>
                <w:lang w:eastAsia="en-US"/>
              </w:rPr>
              <w:t xml:space="preserve"> Engagement in HSE program by contractor’s</w:t>
            </w:r>
          </w:p>
        </w:tc>
      </w:tr>
      <w:tr w:rsidR="000E280D" w:rsidRPr="00EE43C6" w14:paraId="728E3635" w14:textId="77777777" w:rsidTr="000E280D">
        <w:trPr>
          <w:trHeight w:val="381"/>
        </w:trPr>
        <w:tc>
          <w:tcPr>
            <w:tcW w:w="200" w:type="pct"/>
            <w:tcBorders>
              <w:top w:val="single" w:sz="4" w:space="0" w:color="auto"/>
              <w:left w:val="single" w:sz="4" w:space="0" w:color="auto"/>
              <w:right w:val="single" w:sz="4" w:space="0" w:color="auto"/>
            </w:tcBorders>
          </w:tcPr>
          <w:p w14:paraId="495A0AF3" w14:textId="0DD64C90" w:rsidR="00975228" w:rsidRPr="00EE43C6" w:rsidRDefault="00975228" w:rsidP="00854BE8">
            <w:pPr>
              <w:spacing w:before="0" w:after="0" w:line="240" w:lineRule="auto"/>
              <w:jc w:val="left"/>
              <w:rPr>
                <w:rFonts w:cs="Arial"/>
                <w:snapToGrid w:val="0"/>
                <w:sz w:val="16"/>
                <w:szCs w:val="16"/>
                <w:lang w:eastAsia="en-GB"/>
              </w:rPr>
            </w:pPr>
            <w:r w:rsidRPr="00EE43C6">
              <w:rPr>
                <w:rFonts w:cs="Arial"/>
                <w:snapToGrid w:val="0"/>
                <w:sz w:val="16"/>
                <w:szCs w:val="16"/>
                <w:lang w:eastAsia="en-GB"/>
              </w:rPr>
              <w:t>O</w:t>
            </w:r>
            <w:r w:rsidR="00E27033" w:rsidRPr="00EE43C6">
              <w:rPr>
                <w:rFonts w:cs="Arial"/>
                <w:snapToGrid w:val="0"/>
                <w:sz w:val="16"/>
                <w:szCs w:val="16"/>
                <w:lang w:eastAsia="en-GB"/>
              </w:rPr>
              <w:t>3</w:t>
            </w:r>
          </w:p>
        </w:tc>
        <w:tc>
          <w:tcPr>
            <w:tcW w:w="403" w:type="pct"/>
            <w:tcBorders>
              <w:top w:val="single" w:sz="4" w:space="0" w:color="auto"/>
              <w:left w:val="single" w:sz="4" w:space="0" w:color="auto"/>
              <w:right w:val="single" w:sz="4" w:space="0" w:color="auto"/>
            </w:tcBorders>
            <w:shd w:val="clear" w:color="auto" w:fill="auto"/>
          </w:tcPr>
          <w:p w14:paraId="1E62F627" w14:textId="7143D88C" w:rsidR="00975228" w:rsidRPr="00EE43C6" w:rsidRDefault="00E27033" w:rsidP="00854BE8">
            <w:pPr>
              <w:spacing w:before="0" w:after="0" w:line="240" w:lineRule="auto"/>
              <w:jc w:val="left"/>
              <w:rPr>
                <w:rFonts w:cs="Arial"/>
                <w:snapToGrid w:val="0"/>
                <w:sz w:val="16"/>
                <w:szCs w:val="16"/>
                <w:lang w:eastAsia="en-GB"/>
              </w:rPr>
            </w:pPr>
            <w:r w:rsidRPr="00EE43C6">
              <w:rPr>
                <w:rFonts w:cs="Arial"/>
                <w:b/>
                <w:bCs/>
                <w:snapToGrid w:val="0"/>
                <w:sz w:val="16"/>
                <w:szCs w:val="16"/>
                <w:lang w:eastAsia="en-GB"/>
              </w:rPr>
              <w:t>Economy/Employment</w:t>
            </w:r>
          </w:p>
        </w:tc>
        <w:tc>
          <w:tcPr>
            <w:tcW w:w="860" w:type="pct"/>
            <w:gridSpan w:val="2"/>
            <w:tcBorders>
              <w:top w:val="single" w:sz="4" w:space="0" w:color="auto"/>
              <w:left w:val="single" w:sz="4" w:space="0" w:color="auto"/>
              <w:right w:val="single" w:sz="4" w:space="0" w:color="auto"/>
            </w:tcBorders>
            <w:shd w:val="clear" w:color="auto" w:fill="auto"/>
            <w:noWrap/>
          </w:tcPr>
          <w:p w14:paraId="1811D5A0" w14:textId="77777777" w:rsidR="00A84A79" w:rsidRPr="00EE43C6" w:rsidRDefault="00A84A79" w:rsidP="00A84A79">
            <w:pPr>
              <w:autoSpaceDE w:val="0"/>
              <w:autoSpaceDN w:val="0"/>
              <w:adjustRightInd w:val="0"/>
              <w:spacing w:before="0" w:after="0" w:line="240" w:lineRule="auto"/>
              <w:jc w:val="left"/>
              <w:rPr>
                <w:rFonts w:cs="Arial"/>
                <w:bCs/>
                <w:sz w:val="16"/>
                <w:szCs w:val="16"/>
                <w:lang w:eastAsia="en-GB"/>
              </w:rPr>
            </w:pPr>
            <w:r w:rsidRPr="00EE43C6">
              <w:rPr>
                <w:rFonts w:cs="Arial"/>
                <w:bCs/>
                <w:sz w:val="16"/>
                <w:szCs w:val="16"/>
                <w:lang w:eastAsia="en-GB"/>
              </w:rPr>
              <w:t>Child labour, forced labour and unregistered employment</w:t>
            </w:r>
          </w:p>
          <w:p w14:paraId="558A02E5" w14:textId="52D76174" w:rsidR="00975228" w:rsidRPr="00EE43C6" w:rsidRDefault="00A84A79" w:rsidP="00854BE8">
            <w:pPr>
              <w:spacing w:before="0" w:after="0" w:line="240" w:lineRule="auto"/>
              <w:jc w:val="left"/>
              <w:rPr>
                <w:rFonts w:cs="Arial"/>
                <w:snapToGrid w:val="0"/>
                <w:sz w:val="16"/>
                <w:szCs w:val="16"/>
                <w:lang w:eastAsia="en-GB"/>
              </w:rPr>
            </w:pPr>
            <w:r w:rsidRPr="00EE43C6">
              <w:rPr>
                <w:rFonts w:cs="Arial"/>
                <w:bCs/>
                <w:sz w:val="16"/>
                <w:szCs w:val="16"/>
                <w:lang w:eastAsia="en-GB"/>
              </w:rPr>
              <w:t>Contribution to economy</w:t>
            </w:r>
          </w:p>
        </w:tc>
        <w:tc>
          <w:tcPr>
            <w:tcW w:w="304" w:type="pct"/>
            <w:tcBorders>
              <w:top w:val="single" w:sz="4" w:space="0" w:color="auto"/>
              <w:left w:val="single" w:sz="4" w:space="0" w:color="auto"/>
              <w:right w:val="single" w:sz="4" w:space="0" w:color="auto"/>
            </w:tcBorders>
            <w:shd w:val="clear" w:color="auto" w:fill="auto"/>
            <w:noWrap/>
          </w:tcPr>
          <w:p w14:paraId="2A9DE508" w14:textId="2BC27CE1" w:rsidR="00975228" w:rsidRPr="00EE43C6" w:rsidRDefault="00A84A79" w:rsidP="00854BE8">
            <w:pPr>
              <w:spacing w:before="0" w:after="0" w:line="240" w:lineRule="auto"/>
              <w:jc w:val="left"/>
              <w:rPr>
                <w:rFonts w:cs="Arial"/>
                <w:snapToGrid w:val="0"/>
                <w:color w:val="000000"/>
                <w:sz w:val="16"/>
                <w:szCs w:val="16"/>
                <w:lang w:eastAsia="tr-TR"/>
              </w:rPr>
            </w:pPr>
            <w:r w:rsidRPr="00EE43C6">
              <w:rPr>
                <w:rFonts w:cs="Arial"/>
                <w:bCs/>
                <w:color w:val="000000"/>
                <w:sz w:val="16"/>
                <w:szCs w:val="16"/>
                <w:lang w:eastAsia="tr-TR"/>
              </w:rPr>
              <w:t>Adverse</w:t>
            </w:r>
          </w:p>
        </w:tc>
        <w:tc>
          <w:tcPr>
            <w:tcW w:w="805" w:type="pct"/>
            <w:tcBorders>
              <w:top w:val="single" w:sz="4" w:space="0" w:color="auto"/>
              <w:left w:val="single" w:sz="4" w:space="0" w:color="auto"/>
              <w:right w:val="single" w:sz="4" w:space="0" w:color="auto"/>
            </w:tcBorders>
            <w:shd w:val="clear" w:color="auto" w:fill="auto"/>
          </w:tcPr>
          <w:p w14:paraId="06683595" w14:textId="5F3D8021" w:rsidR="00975228" w:rsidRPr="00EE43C6" w:rsidRDefault="00A84A79" w:rsidP="00854BE8">
            <w:pPr>
              <w:spacing w:before="0" w:after="0" w:line="240" w:lineRule="auto"/>
              <w:jc w:val="left"/>
              <w:rPr>
                <w:rFonts w:cs="Arial"/>
                <w:snapToGrid w:val="0"/>
                <w:color w:val="000000"/>
                <w:sz w:val="16"/>
                <w:szCs w:val="16"/>
                <w:lang w:eastAsia="tr-TR"/>
              </w:rPr>
            </w:pPr>
            <w:r w:rsidRPr="00EE43C6">
              <w:rPr>
                <w:rFonts w:cs="Arial"/>
                <w:bCs/>
                <w:color w:val="000000"/>
                <w:sz w:val="16"/>
                <w:szCs w:val="16"/>
                <w:lang w:eastAsia="tr-TR"/>
              </w:rPr>
              <w:t>Low</w:t>
            </w:r>
          </w:p>
        </w:tc>
        <w:tc>
          <w:tcPr>
            <w:tcW w:w="350" w:type="pct"/>
            <w:tcBorders>
              <w:top w:val="single" w:sz="4" w:space="0" w:color="auto"/>
              <w:left w:val="single" w:sz="4" w:space="0" w:color="auto"/>
              <w:right w:val="single" w:sz="4" w:space="0" w:color="auto"/>
            </w:tcBorders>
          </w:tcPr>
          <w:p w14:paraId="66DC4827" w14:textId="45DEFB0C" w:rsidR="00975228" w:rsidRPr="00EE43C6" w:rsidRDefault="00A84A79" w:rsidP="00854BE8">
            <w:pPr>
              <w:spacing w:before="0" w:after="0" w:line="240" w:lineRule="auto"/>
              <w:jc w:val="left"/>
              <w:rPr>
                <w:rFonts w:cs="Arial"/>
                <w:sz w:val="16"/>
                <w:szCs w:val="16"/>
              </w:rPr>
            </w:pPr>
            <w:r w:rsidRPr="00EE43C6">
              <w:rPr>
                <w:rFonts w:cs="Arial"/>
                <w:color w:val="000000"/>
                <w:sz w:val="16"/>
                <w:szCs w:val="16"/>
              </w:rPr>
              <w:t>No additional costs</w:t>
            </w:r>
          </w:p>
        </w:tc>
        <w:tc>
          <w:tcPr>
            <w:tcW w:w="963" w:type="pct"/>
            <w:gridSpan w:val="2"/>
            <w:tcBorders>
              <w:top w:val="single" w:sz="4" w:space="0" w:color="auto"/>
              <w:left w:val="single" w:sz="4" w:space="0" w:color="auto"/>
              <w:right w:val="single" w:sz="4" w:space="0" w:color="auto"/>
            </w:tcBorders>
            <w:shd w:val="clear" w:color="auto" w:fill="auto"/>
            <w:noWrap/>
          </w:tcPr>
          <w:p w14:paraId="029B7856" w14:textId="77777777" w:rsidR="00A84A79" w:rsidRPr="00EE43C6" w:rsidRDefault="00A84A79"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eastAsia="Arial TUR" w:cs="Arial"/>
                <w:sz w:val="16"/>
                <w:szCs w:val="16"/>
                <w:lang w:eastAsia="en-US"/>
              </w:rPr>
              <w:t>Care will be taken to contributing to the local economy through the use of local materials and to procuring various goods and services from local resources.</w:t>
            </w:r>
          </w:p>
          <w:p w14:paraId="21641C23" w14:textId="77777777" w:rsidR="00A84A79" w:rsidRPr="00EE43C6" w:rsidRDefault="00A84A79" w:rsidP="000E280D">
            <w:pPr>
              <w:numPr>
                <w:ilvl w:val="0"/>
                <w:numId w:val="7"/>
              </w:numPr>
              <w:spacing w:before="60" w:after="60" w:line="240" w:lineRule="auto"/>
              <w:ind w:left="113" w:right="113" w:hanging="181"/>
              <w:jc w:val="left"/>
              <w:rPr>
                <w:rFonts w:eastAsia="Arial TUR" w:cs="Arial"/>
                <w:color w:val="000000"/>
                <w:sz w:val="16"/>
                <w:szCs w:val="16"/>
                <w:lang w:eastAsia="tr-TR"/>
              </w:rPr>
            </w:pPr>
            <w:r w:rsidRPr="00EE43C6">
              <w:rPr>
                <w:rFonts w:cs="Arial"/>
                <w:sz w:val="16"/>
                <w:szCs w:val="16"/>
              </w:rPr>
              <w:t xml:space="preserve">Priority should be given to the local labour where possible and practical. </w:t>
            </w:r>
          </w:p>
          <w:p w14:paraId="18983A98" w14:textId="77777777" w:rsidR="00A84A79" w:rsidRPr="00EE43C6" w:rsidRDefault="00A84A79"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eastAsia="Arial TUR" w:cs="Arial"/>
                <w:sz w:val="16"/>
                <w:szCs w:val="16"/>
                <w:lang w:eastAsia="en-US"/>
              </w:rPr>
              <w:lastRenderedPageBreak/>
              <w:t>Efforts will be exercised to allocate employment opportunities to the local parties and the settlements within the AoI.</w:t>
            </w:r>
          </w:p>
          <w:p w14:paraId="230C9577" w14:textId="3A0CC3FB" w:rsidR="00A84A79" w:rsidRPr="00EE43C6" w:rsidRDefault="00A84A79"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eastAsia="Arial TUR" w:cs="Arial"/>
                <w:sz w:val="16"/>
                <w:szCs w:val="16"/>
                <w:lang w:eastAsia="en-US"/>
              </w:rPr>
              <w:t>The work permits of the employees will be controlled within the scope of the Project, prohibiting</w:t>
            </w:r>
            <w:r w:rsidR="00612BC2">
              <w:rPr>
                <w:rFonts w:eastAsia="Arial TUR" w:cs="Arial"/>
                <w:sz w:val="16"/>
                <w:szCs w:val="16"/>
                <w:lang w:eastAsia="en-US"/>
              </w:rPr>
              <w:t xml:space="preserve"> use of </w:t>
            </w:r>
            <w:r w:rsidRPr="00EE43C6">
              <w:rPr>
                <w:rFonts w:eastAsia="Arial TUR" w:cs="Arial"/>
                <w:sz w:val="16"/>
                <w:szCs w:val="16"/>
                <w:lang w:eastAsia="en-US"/>
              </w:rPr>
              <w:t xml:space="preserve"> forced labour, and child labour under the age of 18.</w:t>
            </w:r>
          </w:p>
          <w:p w14:paraId="34CEAB35" w14:textId="6C7E6821" w:rsidR="00A84A79" w:rsidRPr="00EE43C6" w:rsidRDefault="00A84A79" w:rsidP="000E280D">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EE43C6">
              <w:rPr>
                <w:rFonts w:eastAsia="Arial TUR" w:cs="Arial"/>
                <w:sz w:val="16"/>
                <w:szCs w:val="16"/>
                <w:lang w:eastAsia="en-US"/>
              </w:rPr>
              <w:t xml:space="preserve">Employees will be trained to prevent discrimination in the </w:t>
            </w:r>
            <w:r w:rsidR="00E5348F" w:rsidRPr="00EE43C6">
              <w:rPr>
                <w:rFonts w:eastAsia="Arial TUR" w:cs="Arial"/>
                <w:sz w:val="16"/>
                <w:szCs w:val="16"/>
                <w:lang w:eastAsia="en-US"/>
              </w:rPr>
              <w:t>workplace.</w:t>
            </w:r>
          </w:p>
          <w:p w14:paraId="463ABDFC" w14:textId="16BFC50E" w:rsidR="00975228" w:rsidRPr="00EE43C6" w:rsidRDefault="00A84A79" w:rsidP="000E280D">
            <w:pPr>
              <w:numPr>
                <w:ilvl w:val="0"/>
                <w:numId w:val="7"/>
              </w:numPr>
              <w:spacing w:before="60" w:after="60" w:line="240" w:lineRule="auto"/>
              <w:ind w:left="113" w:right="113" w:hanging="180"/>
              <w:jc w:val="left"/>
              <w:rPr>
                <w:rFonts w:cs="Arial"/>
                <w:color w:val="000000"/>
                <w:sz w:val="16"/>
                <w:szCs w:val="16"/>
              </w:rPr>
            </w:pPr>
            <w:r w:rsidRPr="00EE43C6">
              <w:rPr>
                <w:rFonts w:eastAsia="Calibri" w:cs="Arial"/>
                <w:sz w:val="16"/>
                <w:szCs w:val="16"/>
                <w:lang w:eastAsia="en-US"/>
              </w:rPr>
              <w:t>Necessary measures will be taken by contractor to make sure that workers coming from outside the city will be given a training program on dialogue and communication with local communities, and that there are no social or cultural issues between host communities and external workers. It is the Consultant’s responsibility to ensure that the contractor complies with the determined criteria.</w:t>
            </w:r>
          </w:p>
        </w:tc>
        <w:tc>
          <w:tcPr>
            <w:tcW w:w="454" w:type="pct"/>
            <w:tcBorders>
              <w:top w:val="single" w:sz="4" w:space="0" w:color="auto"/>
              <w:left w:val="single" w:sz="4" w:space="0" w:color="auto"/>
              <w:right w:val="single" w:sz="4" w:space="0" w:color="auto"/>
            </w:tcBorders>
          </w:tcPr>
          <w:p w14:paraId="05BBC6E6" w14:textId="4C8ADD64" w:rsidR="00975228" w:rsidRPr="00EE43C6" w:rsidRDefault="00A84A79" w:rsidP="00854BE8">
            <w:pPr>
              <w:autoSpaceDE w:val="0"/>
              <w:autoSpaceDN w:val="0"/>
              <w:adjustRightInd w:val="0"/>
              <w:spacing w:before="0" w:after="0" w:line="240" w:lineRule="auto"/>
              <w:jc w:val="left"/>
              <w:rPr>
                <w:rFonts w:eastAsia="Arial TUR" w:cs="Arial"/>
                <w:color w:val="000000"/>
                <w:sz w:val="16"/>
                <w:szCs w:val="16"/>
              </w:rPr>
            </w:pPr>
            <w:r w:rsidRPr="00EE43C6">
              <w:rPr>
                <w:rFonts w:cs="Arial"/>
                <w:color w:val="000000"/>
                <w:sz w:val="16"/>
                <w:szCs w:val="16"/>
                <w:lang w:eastAsia="en-US"/>
              </w:rPr>
              <w:lastRenderedPageBreak/>
              <w:t>TUIOSB</w:t>
            </w:r>
          </w:p>
        </w:tc>
        <w:tc>
          <w:tcPr>
            <w:tcW w:w="662" w:type="pct"/>
            <w:gridSpan w:val="2"/>
            <w:tcBorders>
              <w:top w:val="single" w:sz="4" w:space="0" w:color="auto"/>
              <w:left w:val="single" w:sz="4" w:space="0" w:color="auto"/>
              <w:right w:val="single" w:sz="4" w:space="0" w:color="auto"/>
            </w:tcBorders>
          </w:tcPr>
          <w:p w14:paraId="0C0FD803" w14:textId="5427C8EC" w:rsidR="00A84A79" w:rsidRPr="00EE43C6" w:rsidRDefault="68CCF2FE" w:rsidP="00A84A79">
            <w:pPr>
              <w:numPr>
                <w:ilvl w:val="0"/>
                <w:numId w:val="7"/>
              </w:numPr>
              <w:autoSpaceDE w:val="0"/>
              <w:autoSpaceDN w:val="0"/>
              <w:adjustRightInd w:val="0"/>
              <w:spacing w:before="0" w:after="0" w:line="240" w:lineRule="auto"/>
              <w:ind w:left="113" w:right="113" w:hanging="181"/>
              <w:jc w:val="left"/>
              <w:rPr>
                <w:rFonts w:cs="Arial"/>
                <w:color w:val="000000"/>
                <w:sz w:val="16"/>
                <w:szCs w:val="16"/>
                <w:lang w:eastAsia="tr-TR"/>
              </w:rPr>
            </w:pPr>
            <w:r w:rsidRPr="5F58EB95">
              <w:rPr>
                <w:rFonts w:cs="Arial"/>
                <w:color w:val="000000" w:themeColor="text1"/>
                <w:sz w:val="16"/>
                <w:szCs w:val="16"/>
                <w:lang w:eastAsia="tr-TR"/>
              </w:rPr>
              <w:t xml:space="preserve">Number </w:t>
            </w:r>
            <w:r w:rsidR="0F9F896D" w:rsidRPr="5F58EB95">
              <w:rPr>
                <w:rFonts w:cs="Arial"/>
                <w:color w:val="000000" w:themeColor="text1"/>
                <w:sz w:val="16"/>
                <w:szCs w:val="16"/>
                <w:lang w:eastAsia="tr-TR"/>
              </w:rPr>
              <w:t xml:space="preserve">and nature </w:t>
            </w:r>
            <w:r w:rsidRPr="5F58EB95">
              <w:rPr>
                <w:rFonts w:cs="Arial"/>
                <w:color w:val="000000" w:themeColor="text1"/>
                <w:sz w:val="16"/>
                <w:szCs w:val="16"/>
                <w:lang w:eastAsia="tr-TR"/>
              </w:rPr>
              <w:t xml:space="preserve">of grievances </w:t>
            </w:r>
          </w:p>
          <w:p w14:paraId="0895B6B0" w14:textId="3208BF39" w:rsidR="00975228" w:rsidRPr="00EE43C6" w:rsidRDefault="00A84A79" w:rsidP="0048108D">
            <w:pPr>
              <w:spacing w:before="0" w:after="0" w:line="240" w:lineRule="auto"/>
              <w:ind w:left="113" w:right="113"/>
              <w:jc w:val="left"/>
              <w:rPr>
                <w:rFonts w:cs="Arial"/>
                <w:color w:val="000000"/>
                <w:sz w:val="16"/>
                <w:szCs w:val="16"/>
                <w:lang w:eastAsia="en-US"/>
              </w:rPr>
            </w:pPr>
            <w:r w:rsidRPr="00EE43C6">
              <w:rPr>
                <w:rFonts w:cs="Arial"/>
                <w:color w:val="000000"/>
                <w:sz w:val="16"/>
                <w:szCs w:val="16"/>
                <w:lang w:eastAsia="tr-TR"/>
              </w:rPr>
              <w:t>Percentage of closed grievances within the target timeframe</w:t>
            </w:r>
          </w:p>
        </w:tc>
      </w:tr>
      <w:tr w:rsidR="000E280D" w:rsidRPr="00EE43C6" w14:paraId="120B0954" w14:textId="77777777" w:rsidTr="000E280D">
        <w:trPr>
          <w:trHeight w:val="161"/>
        </w:trPr>
        <w:tc>
          <w:tcPr>
            <w:tcW w:w="200" w:type="pct"/>
            <w:tcBorders>
              <w:left w:val="single" w:sz="4" w:space="0" w:color="auto"/>
              <w:right w:val="single" w:sz="4" w:space="0" w:color="auto"/>
            </w:tcBorders>
          </w:tcPr>
          <w:p w14:paraId="54C278E7" w14:textId="149CB125" w:rsidR="00975228" w:rsidRPr="00EE43C6" w:rsidRDefault="00975228" w:rsidP="00854BE8">
            <w:pPr>
              <w:spacing w:before="0" w:after="0" w:line="240" w:lineRule="auto"/>
              <w:jc w:val="left"/>
              <w:rPr>
                <w:rFonts w:cs="Arial"/>
                <w:snapToGrid w:val="0"/>
                <w:sz w:val="16"/>
                <w:szCs w:val="16"/>
                <w:lang w:eastAsia="en-GB"/>
              </w:rPr>
            </w:pPr>
            <w:r w:rsidRPr="00EE43C6">
              <w:rPr>
                <w:rFonts w:cs="Arial"/>
                <w:snapToGrid w:val="0"/>
                <w:sz w:val="16"/>
                <w:szCs w:val="16"/>
                <w:lang w:eastAsia="en-GB"/>
              </w:rPr>
              <w:t>O</w:t>
            </w:r>
            <w:r w:rsidR="00E27033" w:rsidRPr="00EE43C6">
              <w:rPr>
                <w:rFonts w:cs="Arial"/>
                <w:snapToGrid w:val="0"/>
                <w:sz w:val="16"/>
                <w:szCs w:val="16"/>
                <w:lang w:eastAsia="en-GB"/>
              </w:rPr>
              <w:t>4</w:t>
            </w:r>
          </w:p>
        </w:tc>
        <w:tc>
          <w:tcPr>
            <w:tcW w:w="403" w:type="pct"/>
            <w:tcBorders>
              <w:left w:val="single" w:sz="4" w:space="0" w:color="auto"/>
              <w:right w:val="single" w:sz="4" w:space="0" w:color="auto"/>
            </w:tcBorders>
            <w:shd w:val="clear" w:color="auto" w:fill="auto"/>
          </w:tcPr>
          <w:p w14:paraId="43A51441" w14:textId="77777777" w:rsidR="00975228" w:rsidRPr="00EE43C6" w:rsidRDefault="00975228" w:rsidP="00854BE8">
            <w:pPr>
              <w:spacing w:before="0" w:after="0" w:line="240" w:lineRule="auto"/>
              <w:jc w:val="left"/>
              <w:rPr>
                <w:rFonts w:cs="Arial"/>
                <w:snapToGrid w:val="0"/>
                <w:sz w:val="16"/>
                <w:szCs w:val="16"/>
                <w:lang w:eastAsia="en-GB"/>
              </w:rPr>
            </w:pPr>
            <w:r w:rsidRPr="00EE43C6">
              <w:rPr>
                <w:rFonts w:cs="Arial"/>
                <w:b/>
                <w:bCs/>
                <w:snapToGrid w:val="0"/>
                <w:sz w:val="16"/>
                <w:szCs w:val="16"/>
                <w:lang w:eastAsia="en-GB"/>
              </w:rPr>
              <w:t>Community Health and Safety</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noWrap/>
          </w:tcPr>
          <w:p w14:paraId="2F06CF64" w14:textId="77777777" w:rsidR="00975228" w:rsidRPr="00EE43C6" w:rsidRDefault="00975228" w:rsidP="00854BE8">
            <w:pPr>
              <w:spacing w:before="0" w:after="0" w:line="240" w:lineRule="auto"/>
              <w:jc w:val="left"/>
              <w:rPr>
                <w:rFonts w:cs="Arial"/>
                <w:sz w:val="16"/>
                <w:szCs w:val="16"/>
              </w:rPr>
            </w:pPr>
            <w:r w:rsidRPr="00EE43C6">
              <w:rPr>
                <w:rFonts w:cs="Arial"/>
                <w:sz w:val="16"/>
                <w:szCs w:val="16"/>
              </w:rPr>
              <w:t>Community health and safety risks</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334EF7A3"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Adverse</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777EE68D"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Medium</w:t>
            </w:r>
          </w:p>
        </w:tc>
        <w:tc>
          <w:tcPr>
            <w:tcW w:w="350" w:type="pct"/>
            <w:tcBorders>
              <w:top w:val="single" w:sz="4" w:space="0" w:color="auto"/>
              <w:left w:val="single" w:sz="4" w:space="0" w:color="auto"/>
              <w:bottom w:val="single" w:sz="4" w:space="0" w:color="auto"/>
              <w:right w:val="single" w:sz="4" w:space="0" w:color="auto"/>
            </w:tcBorders>
          </w:tcPr>
          <w:p w14:paraId="5A5FB438" w14:textId="5A449E33" w:rsidR="00975228" w:rsidRPr="00EE43C6" w:rsidRDefault="00BF38B6" w:rsidP="00854BE8">
            <w:pPr>
              <w:spacing w:before="0" w:after="0" w:line="240" w:lineRule="auto"/>
              <w:jc w:val="left"/>
              <w:rPr>
                <w:rFonts w:cs="Arial"/>
                <w:color w:val="000000"/>
                <w:sz w:val="16"/>
                <w:szCs w:val="16"/>
              </w:rPr>
            </w:pPr>
            <w:r w:rsidRPr="00EE43C6">
              <w:rPr>
                <w:rFonts w:cs="Arial"/>
                <w:color w:val="000000"/>
                <w:sz w:val="16"/>
                <w:szCs w:val="16"/>
              </w:rPr>
              <w:t>No additional costs</w:t>
            </w:r>
          </w:p>
        </w:tc>
        <w:tc>
          <w:tcPr>
            <w:tcW w:w="963" w:type="pct"/>
            <w:gridSpan w:val="2"/>
            <w:tcBorders>
              <w:top w:val="single" w:sz="4" w:space="0" w:color="auto"/>
              <w:left w:val="single" w:sz="4" w:space="0" w:color="auto"/>
              <w:bottom w:val="single" w:sz="4" w:space="0" w:color="auto"/>
              <w:right w:val="single" w:sz="4" w:space="0" w:color="auto"/>
            </w:tcBorders>
            <w:shd w:val="clear" w:color="auto" w:fill="auto"/>
            <w:noWrap/>
          </w:tcPr>
          <w:p w14:paraId="133D8367" w14:textId="15D87EA6" w:rsidR="00C3558A" w:rsidRPr="007178AC" w:rsidRDefault="00282665"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282665">
              <w:rPr>
                <w:rFonts w:eastAsia="Arial TUR" w:cs="Arial"/>
                <w:color w:val="000000"/>
                <w:sz w:val="16"/>
                <w:szCs w:val="16"/>
                <w:lang w:eastAsia="en-US"/>
              </w:rPr>
              <w:t>Community Health, Safety, and Security Management Plan</w:t>
            </w:r>
            <w:r>
              <w:rPr>
                <w:rFonts w:eastAsia="Arial TUR" w:cs="Arial"/>
                <w:color w:val="000000"/>
                <w:sz w:val="16"/>
                <w:szCs w:val="16"/>
                <w:lang w:eastAsia="en-US"/>
              </w:rPr>
              <w:t xml:space="preserve"> </w:t>
            </w:r>
            <w:r w:rsidR="005F7A85">
              <w:rPr>
                <w:rFonts w:eastAsia="Arial TUR" w:cs="Arial"/>
                <w:color w:val="000000"/>
                <w:sz w:val="16"/>
                <w:szCs w:val="16"/>
                <w:lang w:eastAsia="en-US"/>
              </w:rPr>
              <w:t xml:space="preserve">and </w:t>
            </w:r>
            <w:r w:rsidR="00E81306" w:rsidRPr="00E81306">
              <w:rPr>
                <w:rFonts w:eastAsia="Arial TUR" w:cs="Arial"/>
                <w:color w:val="000000"/>
                <w:sz w:val="16"/>
                <w:szCs w:val="16"/>
                <w:lang w:eastAsia="en-US"/>
              </w:rPr>
              <w:t xml:space="preserve">Transport and Traffic Management Plan </w:t>
            </w:r>
            <w:r>
              <w:rPr>
                <w:rFonts w:eastAsia="Arial TUR" w:cs="Arial"/>
                <w:color w:val="000000"/>
                <w:sz w:val="16"/>
                <w:szCs w:val="16"/>
                <w:lang w:eastAsia="en-US"/>
              </w:rPr>
              <w:t>will be developed and implemented for the operation phase of the Project.</w:t>
            </w:r>
          </w:p>
          <w:p w14:paraId="2491B212" w14:textId="62528823" w:rsidR="00975228" w:rsidRPr="00EE43C6" w:rsidRDefault="64E9DE45"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The public, and nearby institutions and organizations, and hospitals and schools will be informed at least two days before starting repair / maintenance works that may cause disturbance temporarily.</w:t>
            </w:r>
          </w:p>
          <w:p w14:paraId="63FE6F46" w14:textId="77777777" w:rsidR="00975228" w:rsidRPr="00EE43C6" w:rsidRDefault="64E9DE45" w:rsidP="000E280D">
            <w:pPr>
              <w:numPr>
                <w:ilvl w:val="0"/>
                <w:numId w:val="7"/>
              </w:numPr>
              <w:spacing w:before="60" w:after="60" w:line="240" w:lineRule="auto"/>
              <w:ind w:left="113" w:right="113" w:hanging="180"/>
              <w:jc w:val="left"/>
              <w:rPr>
                <w:rFonts w:cs="Arial"/>
                <w:color w:val="000000"/>
                <w:sz w:val="16"/>
                <w:szCs w:val="16"/>
              </w:rPr>
            </w:pPr>
            <w:r w:rsidRPr="00EE43C6">
              <w:rPr>
                <w:rFonts w:eastAsia="Arial TUR" w:cs="Arial"/>
                <w:color w:val="000000" w:themeColor="text1"/>
                <w:sz w:val="16"/>
                <w:szCs w:val="16"/>
                <w:lang w:eastAsia="en-US"/>
              </w:rPr>
              <w:lastRenderedPageBreak/>
              <w:t>The grievance mechanism officer will be introduced to the local people and updated information about the grievance mechanism will continue to be provided. In case of an update in the documents, the updated information will be announced to the local people through the relevant headman's office.</w:t>
            </w:r>
          </w:p>
          <w:p w14:paraId="04691B55" w14:textId="64EB5378" w:rsidR="00F65869" w:rsidRPr="00EE43C6" w:rsidRDefault="0025166D" w:rsidP="000E280D">
            <w:pPr>
              <w:numPr>
                <w:ilvl w:val="0"/>
                <w:numId w:val="7"/>
              </w:numPr>
              <w:spacing w:before="60" w:after="60" w:line="240" w:lineRule="auto"/>
              <w:ind w:left="113" w:right="113" w:hanging="180"/>
              <w:jc w:val="left"/>
              <w:rPr>
                <w:rFonts w:cs="Arial"/>
                <w:color w:val="000000"/>
                <w:sz w:val="16"/>
                <w:szCs w:val="16"/>
              </w:rPr>
            </w:pPr>
            <w:r w:rsidRPr="00EE43C6">
              <w:rPr>
                <w:rFonts w:cs="Arial"/>
                <w:color w:val="000000"/>
                <w:sz w:val="16"/>
                <w:szCs w:val="16"/>
              </w:rPr>
              <w:t xml:space="preserve">Trainings will be provided to Project staff on risks such as </w:t>
            </w:r>
            <w:r w:rsidR="003A7031" w:rsidRPr="00EE43C6">
              <w:rPr>
                <w:rFonts w:cs="Arial"/>
                <w:color w:val="000000"/>
                <w:sz w:val="16"/>
                <w:szCs w:val="16"/>
              </w:rPr>
              <w:t>SEA/SH</w:t>
            </w:r>
            <w:r w:rsidRPr="00EE43C6">
              <w:rPr>
                <w:rFonts w:cs="Arial"/>
                <w:color w:val="000000"/>
                <w:sz w:val="16"/>
                <w:szCs w:val="16"/>
              </w:rPr>
              <w:t>.</w:t>
            </w:r>
          </w:p>
        </w:tc>
        <w:tc>
          <w:tcPr>
            <w:tcW w:w="454" w:type="pct"/>
            <w:tcBorders>
              <w:top w:val="single" w:sz="4" w:space="0" w:color="auto"/>
              <w:left w:val="single" w:sz="4" w:space="0" w:color="auto"/>
              <w:bottom w:val="single" w:sz="4" w:space="0" w:color="auto"/>
              <w:right w:val="single" w:sz="4" w:space="0" w:color="auto"/>
            </w:tcBorders>
          </w:tcPr>
          <w:p w14:paraId="4F4A4799" w14:textId="22ED388B" w:rsidR="00975228" w:rsidRPr="00EE43C6" w:rsidRDefault="00B561CF" w:rsidP="00854BE8">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lastRenderedPageBreak/>
              <w:t>TUIOSB</w:t>
            </w:r>
          </w:p>
          <w:p w14:paraId="6FA98981" w14:textId="1575E87E" w:rsidR="00975228" w:rsidRPr="00EE43C6" w:rsidRDefault="00975228" w:rsidP="00854BE8">
            <w:pPr>
              <w:autoSpaceDE w:val="0"/>
              <w:autoSpaceDN w:val="0"/>
              <w:adjustRightInd w:val="0"/>
              <w:spacing w:before="0" w:after="0" w:line="240" w:lineRule="auto"/>
              <w:jc w:val="left"/>
              <w:rPr>
                <w:rFonts w:eastAsia="Arial TUR" w:cs="Arial"/>
                <w:sz w:val="16"/>
                <w:szCs w:val="16"/>
              </w:rPr>
            </w:pPr>
          </w:p>
        </w:tc>
        <w:tc>
          <w:tcPr>
            <w:tcW w:w="662" w:type="pct"/>
            <w:gridSpan w:val="2"/>
            <w:tcBorders>
              <w:top w:val="single" w:sz="4" w:space="0" w:color="auto"/>
              <w:left w:val="single" w:sz="4" w:space="0" w:color="auto"/>
              <w:bottom w:val="single" w:sz="4" w:space="0" w:color="auto"/>
              <w:right w:val="single" w:sz="4" w:space="0" w:color="auto"/>
            </w:tcBorders>
          </w:tcPr>
          <w:p w14:paraId="560CFA4C" w14:textId="7777777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Number of communicable and non-communicable diseases and injuries.</w:t>
            </w:r>
          </w:p>
          <w:p w14:paraId="4AEB06C2" w14:textId="7777777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Number of community health safety &amp; security complaints from local communities as recorded in the grievance register</w:t>
            </w:r>
          </w:p>
          <w:p w14:paraId="356F0F74" w14:textId="7777777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Number of reported community health &amp; safety incidents</w:t>
            </w:r>
          </w:p>
          <w:p w14:paraId="00B099DB" w14:textId="77777777" w:rsidR="00975228" w:rsidRPr="00EE43C6" w:rsidRDefault="64E9DE45" w:rsidP="00854BE8">
            <w:pPr>
              <w:numPr>
                <w:ilvl w:val="0"/>
                <w:numId w:val="7"/>
              </w:numPr>
              <w:spacing w:before="0" w:after="0" w:line="240" w:lineRule="auto"/>
              <w:ind w:left="113" w:right="113" w:hanging="180"/>
              <w:jc w:val="left"/>
              <w:rPr>
                <w:rFonts w:eastAsia="Arial TUR" w:cs="Arial"/>
                <w:sz w:val="16"/>
                <w:szCs w:val="16"/>
              </w:rPr>
            </w:pPr>
            <w:r w:rsidRPr="00EE43C6">
              <w:rPr>
                <w:rFonts w:eastAsia="Arial TUR" w:cs="Arial"/>
                <w:color w:val="000000" w:themeColor="text1"/>
                <w:sz w:val="16"/>
                <w:szCs w:val="16"/>
                <w:lang w:eastAsia="en-US"/>
              </w:rPr>
              <w:lastRenderedPageBreak/>
              <w:t>Number of reported noise incidents</w:t>
            </w:r>
          </w:p>
        </w:tc>
      </w:tr>
      <w:tr w:rsidR="000E280D" w:rsidRPr="00EE43C6" w14:paraId="6D2B44F4" w14:textId="77777777" w:rsidTr="000E280D">
        <w:trPr>
          <w:trHeight w:val="161"/>
        </w:trPr>
        <w:tc>
          <w:tcPr>
            <w:tcW w:w="200" w:type="pct"/>
            <w:tcBorders>
              <w:left w:val="single" w:sz="4" w:space="0" w:color="auto"/>
              <w:right w:val="single" w:sz="4" w:space="0" w:color="auto"/>
            </w:tcBorders>
          </w:tcPr>
          <w:p w14:paraId="4C7199C8" w14:textId="6764D4B5" w:rsidR="00975228" w:rsidRPr="00EE43C6" w:rsidRDefault="00975228" w:rsidP="00854BE8">
            <w:pPr>
              <w:spacing w:before="0" w:after="0" w:line="240" w:lineRule="auto"/>
              <w:jc w:val="left"/>
              <w:rPr>
                <w:rFonts w:cs="Arial"/>
                <w:snapToGrid w:val="0"/>
                <w:sz w:val="16"/>
                <w:szCs w:val="16"/>
                <w:lang w:eastAsia="en-GB"/>
              </w:rPr>
            </w:pPr>
            <w:r w:rsidRPr="00EE43C6">
              <w:rPr>
                <w:rFonts w:cs="Arial"/>
                <w:snapToGrid w:val="0"/>
                <w:sz w:val="16"/>
                <w:szCs w:val="16"/>
                <w:lang w:eastAsia="en-GB"/>
              </w:rPr>
              <w:lastRenderedPageBreak/>
              <w:t>O</w:t>
            </w:r>
            <w:r w:rsidR="00E27033" w:rsidRPr="00EE43C6">
              <w:rPr>
                <w:rFonts w:cs="Arial"/>
                <w:snapToGrid w:val="0"/>
                <w:sz w:val="16"/>
                <w:szCs w:val="16"/>
                <w:lang w:eastAsia="en-GB"/>
              </w:rPr>
              <w:t>5</w:t>
            </w:r>
          </w:p>
        </w:tc>
        <w:tc>
          <w:tcPr>
            <w:tcW w:w="403" w:type="pct"/>
            <w:tcBorders>
              <w:left w:val="single" w:sz="4" w:space="0" w:color="auto"/>
              <w:right w:val="single" w:sz="4" w:space="0" w:color="auto"/>
            </w:tcBorders>
            <w:shd w:val="clear" w:color="auto" w:fill="auto"/>
          </w:tcPr>
          <w:p w14:paraId="3D2570D3" w14:textId="77777777" w:rsidR="00975228" w:rsidRPr="00EE43C6" w:rsidRDefault="00975228" w:rsidP="00854BE8">
            <w:pPr>
              <w:spacing w:before="0" w:after="0" w:line="240" w:lineRule="auto"/>
              <w:jc w:val="left"/>
              <w:rPr>
                <w:rFonts w:cs="Arial"/>
                <w:b/>
                <w:snapToGrid w:val="0"/>
                <w:sz w:val="16"/>
                <w:szCs w:val="16"/>
                <w:lang w:eastAsia="en-GB"/>
              </w:rPr>
            </w:pPr>
            <w:r w:rsidRPr="00EE43C6">
              <w:rPr>
                <w:rFonts w:cs="Arial"/>
                <w:b/>
                <w:bCs/>
                <w:snapToGrid w:val="0"/>
                <w:sz w:val="16"/>
                <w:szCs w:val="16"/>
                <w:lang w:eastAsia="en-GB"/>
              </w:rPr>
              <w:t>Grievance mechanism</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noWrap/>
          </w:tcPr>
          <w:p w14:paraId="606624AB" w14:textId="77777777" w:rsidR="00975228" w:rsidRPr="00EE43C6" w:rsidRDefault="00975228" w:rsidP="00854BE8">
            <w:pPr>
              <w:spacing w:before="0" w:after="0" w:line="240" w:lineRule="auto"/>
              <w:jc w:val="left"/>
              <w:rPr>
                <w:rFonts w:cs="Arial"/>
                <w:sz w:val="16"/>
                <w:szCs w:val="16"/>
              </w:rPr>
            </w:pPr>
            <w:r w:rsidRPr="00EE43C6">
              <w:rPr>
                <w:rFonts w:cs="Arial"/>
                <w:bCs/>
                <w:color w:val="000000"/>
                <w:sz w:val="16"/>
                <w:szCs w:val="16"/>
                <w:lang w:eastAsia="tr-TR"/>
              </w:rPr>
              <w:t>Grievance issues</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4999A20A"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Adverse</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25EA4562"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Low</w:t>
            </w:r>
          </w:p>
        </w:tc>
        <w:tc>
          <w:tcPr>
            <w:tcW w:w="350" w:type="pct"/>
            <w:tcBorders>
              <w:top w:val="single" w:sz="4" w:space="0" w:color="auto"/>
              <w:left w:val="single" w:sz="4" w:space="0" w:color="auto"/>
              <w:bottom w:val="single" w:sz="4" w:space="0" w:color="auto"/>
              <w:right w:val="single" w:sz="4" w:space="0" w:color="auto"/>
            </w:tcBorders>
          </w:tcPr>
          <w:p w14:paraId="27747BB9" w14:textId="32C35C97" w:rsidR="00975228" w:rsidRPr="00EE43C6" w:rsidRDefault="00BF38B6" w:rsidP="00854BE8">
            <w:pPr>
              <w:spacing w:before="0" w:after="0" w:line="240" w:lineRule="auto"/>
              <w:jc w:val="left"/>
              <w:rPr>
                <w:rFonts w:cs="Arial"/>
                <w:color w:val="000000"/>
                <w:sz w:val="16"/>
                <w:szCs w:val="16"/>
              </w:rPr>
            </w:pPr>
            <w:r w:rsidRPr="00EE43C6">
              <w:rPr>
                <w:rFonts w:cs="Arial"/>
                <w:color w:val="000000"/>
                <w:sz w:val="16"/>
                <w:szCs w:val="16"/>
              </w:rPr>
              <w:t>No additional costs</w:t>
            </w:r>
          </w:p>
        </w:tc>
        <w:tc>
          <w:tcPr>
            <w:tcW w:w="963" w:type="pct"/>
            <w:gridSpan w:val="2"/>
            <w:tcBorders>
              <w:top w:val="single" w:sz="4" w:space="0" w:color="auto"/>
              <w:left w:val="single" w:sz="4" w:space="0" w:color="auto"/>
              <w:bottom w:val="single" w:sz="4" w:space="0" w:color="auto"/>
              <w:right w:val="single" w:sz="4" w:space="0" w:color="auto"/>
            </w:tcBorders>
            <w:shd w:val="clear" w:color="auto" w:fill="auto"/>
            <w:noWrap/>
          </w:tcPr>
          <w:p w14:paraId="3ABB27BF" w14:textId="0BC3D6BD" w:rsidR="00975228" w:rsidRPr="00EE43C6" w:rsidRDefault="64E9DE45" w:rsidP="000E280D">
            <w:pPr>
              <w:numPr>
                <w:ilvl w:val="0"/>
                <w:numId w:val="7"/>
              </w:numPr>
              <w:spacing w:before="60" w:after="60" w:line="240" w:lineRule="auto"/>
              <w:ind w:left="113" w:right="113" w:hanging="180"/>
              <w:jc w:val="left"/>
              <w:rPr>
                <w:rFonts w:cs="Arial"/>
                <w:color w:val="000000"/>
                <w:sz w:val="16"/>
                <w:szCs w:val="16"/>
              </w:rPr>
            </w:pPr>
            <w:r w:rsidRPr="00EE43C6">
              <w:rPr>
                <w:rFonts w:eastAsia="Arial TUR" w:cs="Arial"/>
                <w:color w:val="000000" w:themeColor="text1"/>
                <w:sz w:val="16"/>
                <w:szCs w:val="16"/>
                <w:lang w:eastAsia="en-US"/>
              </w:rPr>
              <w:t xml:space="preserve">An efficient Grievance mechanism will be initiated to allow </w:t>
            </w:r>
            <w:r w:rsidR="00743C31" w:rsidRPr="00EE43C6">
              <w:rPr>
                <w:rFonts w:eastAsia="Arial TUR" w:cs="Arial"/>
                <w:color w:val="000000" w:themeColor="text1"/>
                <w:sz w:val="16"/>
                <w:szCs w:val="16"/>
                <w:lang w:eastAsia="en-US"/>
              </w:rPr>
              <w:t xml:space="preserve">all stakeholders </w:t>
            </w:r>
            <w:r w:rsidRPr="00EE43C6">
              <w:rPr>
                <w:rFonts w:eastAsia="Arial TUR" w:cs="Arial"/>
                <w:color w:val="000000" w:themeColor="text1"/>
                <w:sz w:val="16"/>
                <w:szCs w:val="16"/>
                <w:lang w:eastAsia="en-US"/>
              </w:rPr>
              <w:t>to voice their concerns on the Project.</w:t>
            </w:r>
          </w:p>
        </w:tc>
        <w:tc>
          <w:tcPr>
            <w:tcW w:w="454" w:type="pct"/>
            <w:tcBorders>
              <w:top w:val="single" w:sz="4" w:space="0" w:color="auto"/>
              <w:left w:val="single" w:sz="4" w:space="0" w:color="auto"/>
              <w:bottom w:val="single" w:sz="4" w:space="0" w:color="auto"/>
              <w:right w:val="single" w:sz="4" w:space="0" w:color="auto"/>
            </w:tcBorders>
          </w:tcPr>
          <w:p w14:paraId="38F0A56D" w14:textId="47596140" w:rsidR="00975228" w:rsidRPr="00EE43C6" w:rsidRDefault="00B561CF" w:rsidP="00854BE8">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t>TUIOSB</w:t>
            </w:r>
          </w:p>
          <w:p w14:paraId="030714AD" w14:textId="7311C7E1" w:rsidR="00975228" w:rsidRPr="00EE43C6" w:rsidRDefault="00975228" w:rsidP="00854BE8">
            <w:pPr>
              <w:autoSpaceDE w:val="0"/>
              <w:autoSpaceDN w:val="0"/>
              <w:adjustRightInd w:val="0"/>
              <w:spacing w:before="0" w:after="0" w:line="240" w:lineRule="auto"/>
              <w:jc w:val="left"/>
              <w:rPr>
                <w:rFonts w:cs="Arial"/>
                <w:color w:val="000000"/>
                <w:sz w:val="16"/>
                <w:szCs w:val="16"/>
              </w:rPr>
            </w:pPr>
          </w:p>
        </w:tc>
        <w:tc>
          <w:tcPr>
            <w:tcW w:w="662" w:type="pct"/>
            <w:gridSpan w:val="2"/>
            <w:tcBorders>
              <w:top w:val="single" w:sz="4" w:space="0" w:color="auto"/>
              <w:left w:val="single" w:sz="4" w:space="0" w:color="auto"/>
              <w:bottom w:val="single" w:sz="4" w:space="0" w:color="auto"/>
              <w:right w:val="single" w:sz="4" w:space="0" w:color="auto"/>
            </w:tcBorders>
          </w:tcPr>
          <w:p w14:paraId="41B0EEAA" w14:textId="77F7F871"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xml:space="preserve">Number </w:t>
            </w:r>
            <w:r w:rsidR="00612BC2">
              <w:rPr>
                <w:rFonts w:eastAsia="Arial TUR" w:cs="Arial"/>
                <w:color w:val="000000" w:themeColor="text1"/>
                <w:sz w:val="16"/>
                <w:szCs w:val="16"/>
                <w:lang w:eastAsia="en-US"/>
              </w:rPr>
              <w:t xml:space="preserve">and nature </w:t>
            </w:r>
            <w:r w:rsidRPr="00EE43C6">
              <w:rPr>
                <w:rFonts w:eastAsia="Arial TUR" w:cs="Arial"/>
                <w:color w:val="000000" w:themeColor="text1"/>
                <w:sz w:val="16"/>
                <w:szCs w:val="16"/>
                <w:lang w:eastAsia="en-US"/>
              </w:rPr>
              <w:t xml:space="preserve">of grievances </w:t>
            </w:r>
          </w:p>
          <w:p w14:paraId="3BC0C3FB" w14:textId="7777777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Percentage of closed grievances within the target timeframe</w:t>
            </w:r>
          </w:p>
        </w:tc>
      </w:tr>
      <w:tr w:rsidR="000E280D" w:rsidRPr="00EE43C6" w14:paraId="319A7956" w14:textId="77777777" w:rsidTr="000E280D">
        <w:trPr>
          <w:trHeight w:val="161"/>
        </w:trPr>
        <w:tc>
          <w:tcPr>
            <w:tcW w:w="200" w:type="pct"/>
            <w:tcBorders>
              <w:left w:val="single" w:sz="4" w:space="0" w:color="auto"/>
              <w:right w:val="single" w:sz="4" w:space="0" w:color="auto"/>
            </w:tcBorders>
          </w:tcPr>
          <w:p w14:paraId="30013D80" w14:textId="0C2DFDED" w:rsidR="00975228" w:rsidRPr="00EE43C6" w:rsidRDefault="00975228" w:rsidP="00854BE8">
            <w:pPr>
              <w:spacing w:before="0" w:after="0" w:line="240" w:lineRule="auto"/>
              <w:jc w:val="left"/>
              <w:rPr>
                <w:rFonts w:cs="Arial"/>
                <w:snapToGrid w:val="0"/>
                <w:sz w:val="16"/>
                <w:szCs w:val="16"/>
                <w:lang w:eastAsia="en-GB"/>
              </w:rPr>
            </w:pPr>
            <w:r w:rsidRPr="00EE43C6">
              <w:rPr>
                <w:rFonts w:cs="Arial"/>
                <w:snapToGrid w:val="0"/>
                <w:sz w:val="16"/>
                <w:szCs w:val="16"/>
                <w:lang w:eastAsia="en-GB"/>
              </w:rPr>
              <w:t>O</w:t>
            </w:r>
            <w:r w:rsidR="00E27033" w:rsidRPr="00EE43C6">
              <w:rPr>
                <w:rFonts w:cs="Arial"/>
                <w:snapToGrid w:val="0"/>
                <w:sz w:val="16"/>
                <w:szCs w:val="16"/>
                <w:lang w:eastAsia="en-GB"/>
              </w:rPr>
              <w:t>6</w:t>
            </w:r>
          </w:p>
        </w:tc>
        <w:tc>
          <w:tcPr>
            <w:tcW w:w="403" w:type="pct"/>
            <w:tcBorders>
              <w:left w:val="single" w:sz="4" w:space="0" w:color="auto"/>
              <w:right w:val="single" w:sz="4" w:space="0" w:color="auto"/>
            </w:tcBorders>
            <w:shd w:val="clear" w:color="auto" w:fill="auto"/>
          </w:tcPr>
          <w:p w14:paraId="3AA130E4" w14:textId="77777777" w:rsidR="00975228" w:rsidRPr="00EE43C6" w:rsidRDefault="00975228" w:rsidP="00854BE8">
            <w:pPr>
              <w:spacing w:before="0" w:after="0" w:line="240" w:lineRule="auto"/>
              <w:ind w:left="-46" w:right="-76" w:hanging="14"/>
              <w:jc w:val="left"/>
              <w:rPr>
                <w:rFonts w:cs="Arial"/>
                <w:b/>
                <w:snapToGrid w:val="0"/>
                <w:sz w:val="16"/>
                <w:szCs w:val="16"/>
                <w:lang w:eastAsia="en-GB"/>
              </w:rPr>
            </w:pPr>
            <w:r w:rsidRPr="00EE43C6">
              <w:rPr>
                <w:rFonts w:cs="Arial"/>
                <w:b/>
                <w:bCs/>
                <w:snapToGrid w:val="0"/>
                <w:sz w:val="16"/>
                <w:szCs w:val="16"/>
                <w:lang w:eastAsia="en-GB"/>
              </w:rPr>
              <w:t>Stakeholder Engagement</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noWrap/>
          </w:tcPr>
          <w:p w14:paraId="54DD690D" w14:textId="77777777" w:rsidR="00975228" w:rsidRPr="00EE43C6" w:rsidRDefault="00975228" w:rsidP="00854BE8">
            <w:pPr>
              <w:spacing w:before="0" w:after="0" w:line="240" w:lineRule="auto"/>
              <w:jc w:val="left"/>
              <w:rPr>
                <w:rFonts w:cs="Arial"/>
                <w:color w:val="000000"/>
                <w:sz w:val="16"/>
                <w:szCs w:val="16"/>
                <w:lang w:eastAsia="tr-TR"/>
              </w:rPr>
            </w:pPr>
            <w:r w:rsidRPr="00EE43C6">
              <w:rPr>
                <w:rFonts w:cs="Arial"/>
                <w:bCs/>
                <w:color w:val="000000"/>
                <w:sz w:val="16"/>
                <w:szCs w:val="16"/>
                <w:lang w:eastAsia="tr-TR"/>
              </w:rPr>
              <w:t>Communication issues with the stakeholders</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4D1409D7"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Adverse</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14CA4916"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Low</w:t>
            </w:r>
          </w:p>
        </w:tc>
        <w:tc>
          <w:tcPr>
            <w:tcW w:w="350" w:type="pct"/>
            <w:tcBorders>
              <w:top w:val="single" w:sz="4" w:space="0" w:color="auto"/>
              <w:left w:val="single" w:sz="4" w:space="0" w:color="auto"/>
              <w:bottom w:val="single" w:sz="4" w:space="0" w:color="auto"/>
              <w:right w:val="single" w:sz="4" w:space="0" w:color="auto"/>
            </w:tcBorders>
          </w:tcPr>
          <w:p w14:paraId="2F628B83" w14:textId="5B7311E3" w:rsidR="00975228" w:rsidRPr="00EE43C6" w:rsidRDefault="00BF38B6" w:rsidP="00854BE8">
            <w:pPr>
              <w:spacing w:before="0" w:after="0" w:line="240" w:lineRule="auto"/>
              <w:jc w:val="left"/>
              <w:rPr>
                <w:rFonts w:cs="Arial"/>
                <w:color w:val="000000"/>
                <w:sz w:val="16"/>
                <w:szCs w:val="16"/>
              </w:rPr>
            </w:pPr>
            <w:r w:rsidRPr="00EE43C6">
              <w:rPr>
                <w:rFonts w:cs="Arial"/>
                <w:color w:val="000000"/>
                <w:sz w:val="16"/>
                <w:szCs w:val="16"/>
              </w:rPr>
              <w:t>No additional costs</w:t>
            </w:r>
          </w:p>
        </w:tc>
        <w:tc>
          <w:tcPr>
            <w:tcW w:w="963" w:type="pct"/>
            <w:gridSpan w:val="2"/>
            <w:tcBorders>
              <w:top w:val="single" w:sz="4" w:space="0" w:color="auto"/>
              <w:left w:val="single" w:sz="4" w:space="0" w:color="auto"/>
              <w:bottom w:val="single" w:sz="4" w:space="0" w:color="auto"/>
              <w:right w:val="single" w:sz="4" w:space="0" w:color="auto"/>
            </w:tcBorders>
            <w:shd w:val="clear" w:color="auto" w:fill="auto"/>
            <w:noWrap/>
          </w:tcPr>
          <w:p w14:paraId="789CC28D" w14:textId="77777777" w:rsidR="00A43D0E" w:rsidRPr="007178AC" w:rsidRDefault="003008FF" w:rsidP="000E280D">
            <w:pPr>
              <w:numPr>
                <w:ilvl w:val="0"/>
                <w:numId w:val="7"/>
              </w:numPr>
              <w:spacing w:before="60" w:after="60" w:line="240" w:lineRule="auto"/>
              <w:ind w:left="113" w:right="113" w:hanging="180"/>
              <w:jc w:val="left"/>
              <w:rPr>
                <w:rFonts w:cs="Arial"/>
                <w:color w:val="000000"/>
                <w:sz w:val="16"/>
                <w:szCs w:val="16"/>
              </w:rPr>
            </w:pPr>
            <w:r>
              <w:rPr>
                <w:rFonts w:eastAsia="Arial TUR" w:cs="Arial"/>
                <w:color w:val="000000" w:themeColor="text1"/>
                <w:sz w:val="16"/>
                <w:szCs w:val="16"/>
                <w:lang w:eastAsia="en-US"/>
              </w:rPr>
              <w:t xml:space="preserve">Stakeholder </w:t>
            </w:r>
            <w:r w:rsidR="003E21DF">
              <w:rPr>
                <w:rFonts w:eastAsia="Arial TUR" w:cs="Arial"/>
                <w:color w:val="000000" w:themeColor="text1"/>
                <w:sz w:val="16"/>
                <w:szCs w:val="16"/>
                <w:lang w:eastAsia="en-US"/>
              </w:rPr>
              <w:t xml:space="preserve">Engagement Plan </w:t>
            </w:r>
            <w:r w:rsidR="00310099">
              <w:rPr>
                <w:rFonts w:eastAsia="Arial TUR" w:cs="Arial"/>
                <w:color w:val="000000" w:themeColor="text1"/>
                <w:sz w:val="16"/>
                <w:szCs w:val="16"/>
                <w:lang w:eastAsia="en-US"/>
              </w:rPr>
              <w:t xml:space="preserve">will be </w:t>
            </w:r>
            <w:r w:rsidR="00481418">
              <w:rPr>
                <w:rFonts w:eastAsia="Arial TUR" w:cs="Arial"/>
                <w:color w:val="000000" w:themeColor="text1"/>
                <w:sz w:val="16"/>
                <w:szCs w:val="16"/>
                <w:lang w:eastAsia="en-US"/>
              </w:rPr>
              <w:t xml:space="preserve">developed and implemented for </w:t>
            </w:r>
            <w:r w:rsidR="00A43D0E">
              <w:rPr>
                <w:rFonts w:eastAsia="Arial TUR" w:cs="Arial"/>
                <w:color w:val="000000" w:themeColor="text1"/>
                <w:sz w:val="16"/>
                <w:szCs w:val="16"/>
                <w:lang w:eastAsia="en-US"/>
              </w:rPr>
              <w:t>the operation phase of the Project</w:t>
            </w:r>
            <w:r w:rsidR="00481418">
              <w:rPr>
                <w:rFonts w:eastAsia="Arial TUR" w:cs="Arial"/>
                <w:color w:val="000000" w:themeColor="text1"/>
                <w:sz w:val="16"/>
                <w:szCs w:val="16"/>
                <w:lang w:eastAsia="en-US"/>
              </w:rPr>
              <w:t>.</w:t>
            </w:r>
          </w:p>
          <w:p w14:paraId="728EF51B" w14:textId="668ADF13" w:rsidR="00975228" w:rsidRPr="00EE43C6" w:rsidRDefault="64E9DE45" w:rsidP="000E280D">
            <w:pPr>
              <w:numPr>
                <w:ilvl w:val="0"/>
                <w:numId w:val="7"/>
              </w:numPr>
              <w:spacing w:before="60" w:after="60" w:line="240" w:lineRule="auto"/>
              <w:ind w:left="113" w:right="113" w:hanging="180"/>
              <w:jc w:val="left"/>
              <w:rPr>
                <w:rFonts w:cs="Arial"/>
                <w:color w:val="000000"/>
                <w:sz w:val="16"/>
                <w:szCs w:val="16"/>
              </w:rPr>
            </w:pPr>
            <w:r w:rsidRPr="00EE43C6">
              <w:rPr>
                <w:rFonts w:eastAsia="Arial TUR" w:cs="Arial"/>
                <w:color w:val="000000" w:themeColor="text1"/>
                <w:sz w:val="16"/>
                <w:szCs w:val="16"/>
                <w:lang w:eastAsia="en-US"/>
              </w:rPr>
              <w:t>Interaction / communication will be established with communities, and adequate timing will be planned for engagement activities. Additionally, regular consultations will be carried out with the authorities and communities regarding the project management.</w:t>
            </w:r>
          </w:p>
        </w:tc>
        <w:tc>
          <w:tcPr>
            <w:tcW w:w="454" w:type="pct"/>
            <w:tcBorders>
              <w:top w:val="single" w:sz="4" w:space="0" w:color="auto"/>
              <w:left w:val="single" w:sz="4" w:space="0" w:color="auto"/>
              <w:bottom w:val="single" w:sz="4" w:space="0" w:color="auto"/>
              <w:right w:val="single" w:sz="4" w:space="0" w:color="auto"/>
            </w:tcBorders>
          </w:tcPr>
          <w:p w14:paraId="715E08D0" w14:textId="266E9503" w:rsidR="00975228" w:rsidRPr="00EE43C6" w:rsidRDefault="00B561CF" w:rsidP="00854BE8">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t>TUIOSB</w:t>
            </w:r>
          </w:p>
          <w:p w14:paraId="3F850514" w14:textId="6882126B" w:rsidR="00975228" w:rsidRPr="00EE43C6" w:rsidRDefault="00975228" w:rsidP="00854BE8">
            <w:pPr>
              <w:autoSpaceDE w:val="0"/>
              <w:autoSpaceDN w:val="0"/>
              <w:adjustRightInd w:val="0"/>
              <w:spacing w:before="0" w:after="0" w:line="240" w:lineRule="auto"/>
              <w:jc w:val="left"/>
              <w:rPr>
                <w:rFonts w:cs="Arial"/>
                <w:color w:val="000000"/>
                <w:sz w:val="16"/>
                <w:szCs w:val="16"/>
              </w:rPr>
            </w:pPr>
          </w:p>
        </w:tc>
        <w:tc>
          <w:tcPr>
            <w:tcW w:w="662" w:type="pct"/>
            <w:gridSpan w:val="2"/>
            <w:tcBorders>
              <w:top w:val="single" w:sz="4" w:space="0" w:color="auto"/>
              <w:left w:val="single" w:sz="4" w:space="0" w:color="auto"/>
              <w:bottom w:val="single" w:sz="4" w:space="0" w:color="auto"/>
              <w:right w:val="single" w:sz="4" w:space="0" w:color="auto"/>
            </w:tcBorders>
          </w:tcPr>
          <w:p w14:paraId="6D20B14C" w14:textId="26B879E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xml:space="preserve">Number </w:t>
            </w:r>
            <w:r w:rsidR="00612BC2">
              <w:rPr>
                <w:rFonts w:eastAsia="Arial TUR" w:cs="Arial"/>
                <w:color w:val="000000" w:themeColor="text1"/>
                <w:sz w:val="16"/>
                <w:szCs w:val="16"/>
                <w:lang w:eastAsia="en-US"/>
              </w:rPr>
              <w:t xml:space="preserve">and nature </w:t>
            </w:r>
            <w:r w:rsidRPr="00EE43C6">
              <w:rPr>
                <w:rFonts w:eastAsia="Arial TUR" w:cs="Arial"/>
                <w:color w:val="000000" w:themeColor="text1"/>
                <w:sz w:val="16"/>
                <w:szCs w:val="16"/>
                <w:lang w:eastAsia="en-US"/>
              </w:rPr>
              <w:t xml:space="preserve">of grievances </w:t>
            </w:r>
          </w:p>
          <w:p w14:paraId="1A3E9311" w14:textId="7777777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Percentage of closed grievances within the target timeframe</w:t>
            </w:r>
          </w:p>
          <w:p w14:paraId="6D9CC0B9" w14:textId="7777777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Records of stakeholder engagement activities</w:t>
            </w:r>
          </w:p>
        </w:tc>
      </w:tr>
      <w:tr w:rsidR="000E280D" w:rsidRPr="00EE43C6" w14:paraId="74022A69" w14:textId="77777777" w:rsidTr="000E280D">
        <w:trPr>
          <w:trHeight w:val="161"/>
        </w:trPr>
        <w:tc>
          <w:tcPr>
            <w:tcW w:w="200" w:type="pct"/>
            <w:tcBorders>
              <w:left w:val="single" w:sz="4" w:space="0" w:color="auto"/>
              <w:right w:val="single" w:sz="4" w:space="0" w:color="auto"/>
            </w:tcBorders>
          </w:tcPr>
          <w:p w14:paraId="0E2DA319" w14:textId="610994B8" w:rsidR="00975228" w:rsidRPr="00EE43C6" w:rsidRDefault="00975228" w:rsidP="00854BE8">
            <w:pPr>
              <w:spacing w:before="0" w:after="0" w:line="240" w:lineRule="auto"/>
              <w:jc w:val="left"/>
              <w:rPr>
                <w:rFonts w:cs="Arial"/>
                <w:snapToGrid w:val="0"/>
                <w:sz w:val="16"/>
                <w:szCs w:val="16"/>
                <w:lang w:eastAsia="en-GB"/>
              </w:rPr>
            </w:pPr>
            <w:r w:rsidRPr="00EE43C6">
              <w:rPr>
                <w:rFonts w:cs="Arial"/>
                <w:snapToGrid w:val="0"/>
                <w:sz w:val="16"/>
                <w:szCs w:val="16"/>
                <w:lang w:eastAsia="en-GB"/>
              </w:rPr>
              <w:t>O</w:t>
            </w:r>
            <w:r w:rsidR="00E27033" w:rsidRPr="00EE43C6">
              <w:rPr>
                <w:rFonts w:cs="Arial"/>
                <w:snapToGrid w:val="0"/>
                <w:sz w:val="16"/>
                <w:szCs w:val="16"/>
                <w:lang w:eastAsia="en-GB"/>
              </w:rPr>
              <w:t>7</w:t>
            </w:r>
          </w:p>
        </w:tc>
        <w:tc>
          <w:tcPr>
            <w:tcW w:w="403" w:type="pct"/>
            <w:tcBorders>
              <w:left w:val="single" w:sz="4" w:space="0" w:color="auto"/>
              <w:right w:val="single" w:sz="4" w:space="0" w:color="auto"/>
            </w:tcBorders>
            <w:shd w:val="clear" w:color="auto" w:fill="auto"/>
          </w:tcPr>
          <w:p w14:paraId="07D6BB2B" w14:textId="77777777" w:rsidR="00975228" w:rsidRPr="00EE43C6" w:rsidRDefault="00975228" w:rsidP="00854BE8">
            <w:pPr>
              <w:spacing w:before="0" w:after="0" w:line="240" w:lineRule="auto"/>
              <w:jc w:val="left"/>
              <w:rPr>
                <w:rFonts w:cs="Arial"/>
                <w:b/>
                <w:snapToGrid w:val="0"/>
                <w:sz w:val="16"/>
                <w:szCs w:val="16"/>
                <w:lang w:eastAsia="en-GB"/>
              </w:rPr>
            </w:pPr>
            <w:r w:rsidRPr="00EE43C6">
              <w:rPr>
                <w:rFonts w:cs="Arial"/>
                <w:b/>
                <w:bCs/>
                <w:snapToGrid w:val="0"/>
                <w:sz w:val="16"/>
                <w:szCs w:val="16"/>
                <w:lang w:eastAsia="en-GB"/>
              </w:rPr>
              <w:t>Air Quality and Energy Saving</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noWrap/>
          </w:tcPr>
          <w:p w14:paraId="53D7263B" w14:textId="77777777" w:rsidR="00975228" w:rsidRPr="00EE43C6" w:rsidRDefault="00975228" w:rsidP="00854BE8">
            <w:pPr>
              <w:spacing w:before="0" w:after="0" w:line="240" w:lineRule="auto"/>
              <w:jc w:val="left"/>
              <w:rPr>
                <w:rFonts w:cs="Arial"/>
                <w:color w:val="000000"/>
                <w:sz w:val="16"/>
                <w:szCs w:val="16"/>
                <w:lang w:eastAsia="tr-TR"/>
              </w:rPr>
            </w:pPr>
            <w:r w:rsidRPr="00EE43C6">
              <w:rPr>
                <w:rFonts w:cs="Arial"/>
                <w:bCs/>
                <w:color w:val="000000"/>
                <w:sz w:val="16"/>
                <w:szCs w:val="16"/>
                <w:lang w:eastAsia="tr-TR"/>
              </w:rPr>
              <w:t>Low air quality</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7FE27574"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Adverse</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2DC0E30B"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Low</w:t>
            </w:r>
          </w:p>
        </w:tc>
        <w:tc>
          <w:tcPr>
            <w:tcW w:w="350" w:type="pct"/>
            <w:tcBorders>
              <w:top w:val="single" w:sz="4" w:space="0" w:color="auto"/>
              <w:left w:val="single" w:sz="4" w:space="0" w:color="auto"/>
              <w:bottom w:val="single" w:sz="4" w:space="0" w:color="auto"/>
              <w:right w:val="single" w:sz="4" w:space="0" w:color="auto"/>
            </w:tcBorders>
          </w:tcPr>
          <w:p w14:paraId="5BD2F93B" w14:textId="479B4EBB" w:rsidR="00975228" w:rsidRPr="00EE43C6" w:rsidRDefault="00BF38B6" w:rsidP="00854BE8">
            <w:pPr>
              <w:spacing w:before="0" w:after="0" w:line="240" w:lineRule="auto"/>
              <w:jc w:val="left"/>
              <w:rPr>
                <w:rFonts w:cs="Arial"/>
                <w:color w:val="000000"/>
                <w:sz w:val="16"/>
                <w:szCs w:val="16"/>
              </w:rPr>
            </w:pPr>
            <w:r w:rsidRPr="00EE43C6">
              <w:rPr>
                <w:rFonts w:cs="Arial"/>
                <w:color w:val="000000"/>
                <w:sz w:val="16"/>
                <w:szCs w:val="16"/>
              </w:rPr>
              <w:t>No additional costs</w:t>
            </w:r>
          </w:p>
        </w:tc>
        <w:tc>
          <w:tcPr>
            <w:tcW w:w="963" w:type="pct"/>
            <w:gridSpan w:val="2"/>
            <w:tcBorders>
              <w:top w:val="single" w:sz="4" w:space="0" w:color="auto"/>
              <w:left w:val="single" w:sz="4" w:space="0" w:color="auto"/>
              <w:bottom w:val="single" w:sz="4" w:space="0" w:color="auto"/>
              <w:right w:val="single" w:sz="4" w:space="0" w:color="auto"/>
            </w:tcBorders>
            <w:shd w:val="clear" w:color="auto" w:fill="auto"/>
            <w:noWrap/>
          </w:tcPr>
          <w:p w14:paraId="47B03D47" w14:textId="77777777" w:rsidR="00975228" w:rsidRPr="00EE43C6" w:rsidRDefault="64E9DE45"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Vehicles and equipment to be used during the operation phase will be regularly maintained, and maintenance records will be kept.</w:t>
            </w:r>
          </w:p>
          <w:p w14:paraId="4F2B9566" w14:textId="77777777" w:rsidR="00975228" w:rsidRPr="00EE43C6" w:rsidRDefault="64E9DE45" w:rsidP="000E280D">
            <w:pPr>
              <w:numPr>
                <w:ilvl w:val="0"/>
                <w:numId w:val="7"/>
              </w:numPr>
              <w:spacing w:before="60" w:after="6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Where possible, electric powered vehicles and equipment will be used instead of fossil fuel ones.</w:t>
            </w:r>
          </w:p>
          <w:p w14:paraId="560F4444" w14:textId="77777777" w:rsidR="00975228" w:rsidRPr="00EE43C6" w:rsidRDefault="64E9DE45" w:rsidP="000E280D">
            <w:pPr>
              <w:numPr>
                <w:ilvl w:val="0"/>
                <w:numId w:val="7"/>
              </w:numPr>
              <w:spacing w:before="60" w:after="60" w:line="240" w:lineRule="auto"/>
              <w:ind w:left="113" w:right="113" w:hanging="180"/>
              <w:jc w:val="left"/>
              <w:rPr>
                <w:rFonts w:cs="Arial"/>
                <w:color w:val="000000"/>
                <w:sz w:val="16"/>
                <w:szCs w:val="16"/>
              </w:rPr>
            </w:pPr>
            <w:r w:rsidRPr="00EE43C6">
              <w:rPr>
                <w:rFonts w:eastAsia="Arial TUR" w:cs="Arial"/>
                <w:color w:val="000000" w:themeColor="text1"/>
                <w:sz w:val="16"/>
                <w:szCs w:val="16"/>
                <w:lang w:eastAsia="en-US"/>
              </w:rPr>
              <w:lastRenderedPageBreak/>
              <w:t>During the operation phase, emissions that may cause air pollution due to the treatment process will be minimized by providing good operating conditions.</w:t>
            </w:r>
          </w:p>
        </w:tc>
        <w:tc>
          <w:tcPr>
            <w:tcW w:w="454" w:type="pct"/>
            <w:tcBorders>
              <w:top w:val="single" w:sz="4" w:space="0" w:color="auto"/>
              <w:left w:val="single" w:sz="4" w:space="0" w:color="auto"/>
              <w:bottom w:val="single" w:sz="4" w:space="0" w:color="auto"/>
              <w:right w:val="single" w:sz="4" w:space="0" w:color="auto"/>
            </w:tcBorders>
          </w:tcPr>
          <w:p w14:paraId="22BAD938" w14:textId="623B4AFD" w:rsidR="00975228" w:rsidRPr="00EE43C6" w:rsidRDefault="00B561CF" w:rsidP="00854BE8">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lastRenderedPageBreak/>
              <w:t>TUIOSB</w:t>
            </w:r>
          </w:p>
          <w:p w14:paraId="752BFE20" w14:textId="2C282763" w:rsidR="00975228" w:rsidRPr="00EE43C6" w:rsidRDefault="00975228" w:rsidP="00854BE8">
            <w:pPr>
              <w:autoSpaceDE w:val="0"/>
              <w:autoSpaceDN w:val="0"/>
              <w:adjustRightInd w:val="0"/>
              <w:spacing w:before="0" w:after="0" w:line="240" w:lineRule="auto"/>
              <w:jc w:val="left"/>
              <w:rPr>
                <w:rFonts w:cs="Arial"/>
                <w:color w:val="000000"/>
                <w:sz w:val="16"/>
                <w:szCs w:val="16"/>
              </w:rPr>
            </w:pPr>
          </w:p>
        </w:tc>
        <w:tc>
          <w:tcPr>
            <w:tcW w:w="662" w:type="pct"/>
            <w:gridSpan w:val="2"/>
            <w:tcBorders>
              <w:top w:val="single" w:sz="4" w:space="0" w:color="auto"/>
              <w:left w:val="single" w:sz="4" w:space="0" w:color="auto"/>
              <w:bottom w:val="single" w:sz="4" w:space="0" w:color="auto"/>
              <w:right w:val="single" w:sz="4" w:space="0" w:color="auto"/>
            </w:tcBorders>
          </w:tcPr>
          <w:p w14:paraId="33C10816" w14:textId="1AC98078"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xml:space="preserve">Number </w:t>
            </w:r>
            <w:r w:rsidR="00612BC2">
              <w:rPr>
                <w:rFonts w:eastAsia="Arial TUR" w:cs="Arial"/>
                <w:color w:val="000000" w:themeColor="text1"/>
                <w:sz w:val="16"/>
                <w:szCs w:val="16"/>
                <w:lang w:eastAsia="en-US"/>
              </w:rPr>
              <w:t xml:space="preserve">and nature </w:t>
            </w:r>
            <w:r w:rsidRPr="00EE43C6">
              <w:rPr>
                <w:rFonts w:eastAsia="Arial TUR" w:cs="Arial"/>
                <w:color w:val="000000" w:themeColor="text1"/>
                <w:sz w:val="16"/>
                <w:szCs w:val="16"/>
                <w:lang w:eastAsia="en-US"/>
              </w:rPr>
              <w:t xml:space="preserve">of grievances </w:t>
            </w:r>
          </w:p>
          <w:p w14:paraId="0F601494" w14:textId="77777777" w:rsidR="00975228" w:rsidRPr="00EE43C6" w:rsidRDefault="64E9DE45" w:rsidP="00854BE8">
            <w:pPr>
              <w:numPr>
                <w:ilvl w:val="0"/>
                <w:numId w:val="7"/>
              </w:numPr>
              <w:spacing w:before="0" w:after="0" w:line="240" w:lineRule="auto"/>
              <w:ind w:left="113" w:right="113" w:hanging="180"/>
              <w:jc w:val="left"/>
              <w:rPr>
                <w:rFonts w:cs="Arial"/>
                <w:color w:val="000000"/>
                <w:sz w:val="16"/>
                <w:szCs w:val="16"/>
                <w:lang w:eastAsia="tr-TR"/>
              </w:rPr>
            </w:pPr>
            <w:r w:rsidRPr="00EE43C6">
              <w:rPr>
                <w:rFonts w:eastAsia="Arial TUR" w:cs="Arial"/>
                <w:color w:val="000000" w:themeColor="text1"/>
                <w:sz w:val="16"/>
                <w:szCs w:val="16"/>
                <w:lang w:eastAsia="en-US"/>
              </w:rPr>
              <w:t>Percentage of closed grievances within the target timeframe</w:t>
            </w:r>
          </w:p>
        </w:tc>
      </w:tr>
      <w:tr w:rsidR="000E280D" w:rsidRPr="00EE43C6" w14:paraId="6F6BA9CB" w14:textId="77777777" w:rsidTr="000E280D">
        <w:trPr>
          <w:trHeight w:val="161"/>
        </w:trPr>
        <w:tc>
          <w:tcPr>
            <w:tcW w:w="200" w:type="pct"/>
            <w:tcBorders>
              <w:left w:val="single" w:sz="4" w:space="0" w:color="auto"/>
              <w:right w:val="single" w:sz="4" w:space="0" w:color="auto"/>
            </w:tcBorders>
          </w:tcPr>
          <w:p w14:paraId="5CDFCFDF" w14:textId="1B7BD76F" w:rsidR="00975228" w:rsidRPr="00EE43C6" w:rsidRDefault="00975228" w:rsidP="00854BE8">
            <w:pPr>
              <w:spacing w:before="0" w:after="0" w:line="240" w:lineRule="auto"/>
              <w:jc w:val="left"/>
              <w:rPr>
                <w:rFonts w:cs="Arial"/>
                <w:snapToGrid w:val="0"/>
                <w:sz w:val="16"/>
                <w:szCs w:val="16"/>
                <w:lang w:eastAsia="en-GB"/>
              </w:rPr>
            </w:pPr>
            <w:r w:rsidRPr="00EE43C6">
              <w:rPr>
                <w:rFonts w:cs="Arial"/>
                <w:snapToGrid w:val="0"/>
                <w:sz w:val="16"/>
                <w:szCs w:val="16"/>
                <w:lang w:eastAsia="en-GB"/>
              </w:rPr>
              <w:t>O</w:t>
            </w:r>
            <w:r w:rsidR="00E27033" w:rsidRPr="00EE43C6">
              <w:rPr>
                <w:rFonts w:cs="Arial"/>
                <w:snapToGrid w:val="0"/>
                <w:sz w:val="16"/>
                <w:szCs w:val="16"/>
                <w:lang w:eastAsia="en-GB"/>
              </w:rPr>
              <w:t>8</w:t>
            </w:r>
          </w:p>
        </w:tc>
        <w:tc>
          <w:tcPr>
            <w:tcW w:w="403" w:type="pct"/>
            <w:tcBorders>
              <w:left w:val="single" w:sz="4" w:space="0" w:color="auto"/>
              <w:right w:val="single" w:sz="4" w:space="0" w:color="auto"/>
            </w:tcBorders>
            <w:shd w:val="clear" w:color="auto" w:fill="auto"/>
          </w:tcPr>
          <w:p w14:paraId="11367ED2" w14:textId="77777777" w:rsidR="00975228" w:rsidRPr="00EE43C6" w:rsidRDefault="00975228" w:rsidP="00854BE8">
            <w:pPr>
              <w:spacing w:before="0" w:after="0" w:line="240" w:lineRule="auto"/>
              <w:jc w:val="left"/>
              <w:rPr>
                <w:rFonts w:cs="Arial"/>
                <w:b/>
                <w:snapToGrid w:val="0"/>
                <w:sz w:val="16"/>
                <w:szCs w:val="16"/>
                <w:lang w:eastAsia="en-GB"/>
              </w:rPr>
            </w:pPr>
            <w:r w:rsidRPr="00EE43C6">
              <w:rPr>
                <w:rFonts w:cs="Arial"/>
                <w:b/>
                <w:bCs/>
                <w:snapToGrid w:val="0"/>
                <w:sz w:val="16"/>
                <w:szCs w:val="16"/>
                <w:lang w:eastAsia="en-GB"/>
              </w:rPr>
              <w:t>Water Use and Wastewater</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noWrap/>
          </w:tcPr>
          <w:p w14:paraId="72AC0BD6" w14:textId="77777777" w:rsidR="00975228" w:rsidRPr="00EE43C6" w:rsidRDefault="00975228" w:rsidP="00854BE8">
            <w:pPr>
              <w:spacing w:before="0" w:after="0" w:line="240" w:lineRule="auto"/>
              <w:jc w:val="left"/>
              <w:rPr>
                <w:rFonts w:cs="Arial"/>
                <w:color w:val="000000"/>
                <w:sz w:val="16"/>
                <w:szCs w:val="16"/>
                <w:lang w:eastAsia="tr-TR"/>
              </w:rPr>
            </w:pPr>
            <w:r w:rsidRPr="00EE43C6">
              <w:rPr>
                <w:rFonts w:cs="Arial"/>
                <w:color w:val="000000"/>
                <w:sz w:val="16"/>
                <w:szCs w:val="16"/>
                <w:lang w:eastAsia="tr-TR"/>
              </w:rPr>
              <w:t xml:space="preserve">Sewage Overflows  </w:t>
            </w:r>
          </w:p>
          <w:p w14:paraId="4D4F10DE" w14:textId="77777777" w:rsidR="00975228" w:rsidRPr="00EE43C6" w:rsidRDefault="00975228" w:rsidP="00854BE8">
            <w:pPr>
              <w:spacing w:before="0" w:after="0" w:line="240" w:lineRule="auto"/>
              <w:jc w:val="left"/>
              <w:rPr>
                <w:rFonts w:cs="Arial"/>
                <w:color w:val="000000"/>
                <w:sz w:val="16"/>
                <w:szCs w:val="16"/>
                <w:lang w:eastAsia="tr-TR"/>
              </w:rPr>
            </w:pPr>
            <w:r w:rsidRPr="00EE43C6">
              <w:rPr>
                <w:rFonts w:cs="Arial"/>
                <w:color w:val="000000"/>
                <w:sz w:val="16"/>
                <w:szCs w:val="16"/>
                <w:lang w:eastAsia="tr-TR"/>
              </w:rPr>
              <w:t>Discharge of treated effluent</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6D4705DD"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Adverse</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58B8DABB"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High</w:t>
            </w:r>
          </w:p>
        </w:tc>
        <w:tc>
          <w:tcPr>
            <w:tcW w:w="350" w:type="pct"/>
            <w:tcBorders>
              <w:top w:val="single" w:sz="4" w:space="0" w:color="auto"/>
              <w:left w:val="single" w:sz="4" w:space="0" w:color="auto"/>
              <w:bottom w:val="single" w:sz="4" w:space="0" w:color="auto"/>
              <w:right w:val="single" w:sz="4" w:space="0" w:color="auto"/>
            </w:tcBorders>
          </w:tcPr>
          <w:p w14:paraId="46AC240E" w14:textId="79048853" w:rsidR="00975228" w:rsidRPr="00EE43C6" w:rsidRDefault="00BF38B6" w:rsidP="00854BE8">
            <w:pPr>
              <w:spacing w:before="0" w:after="0" w:line="240" w:lineRule="auto"/>
              <w:jc w:val="left"/>
              <w:rPr>
                <w:rFonts w:cs="Arial"/>
                <w:color w:val="000000"/>
                <w:sz w:val="16"/>
                <w:szCs w:val="16"/>
              </w:rPr>
            </w:pPr>
            <w:r w:rsidRPr="00EE43C6">
              <w:rPr>
                <w:rFonts w:cs="Arial"/>
                <w:color w:val="000000"/>
                <w:sz w:val="16"/>
                <w:szCs w:val="16"/>
              </w:rPr>
              <w:t>No additional costs</w:t>
            </w:r>
          </w:p>
        </w:tc>
        <w:tc>
          <w:tcPr>
            <w:tcW w:w="963" w:type="pct"/>
            <w:gridSpan w:val="2"/>
            <w:tcBorders>
              <w:top w:val="single" w:sz="4" w:space="0" w:color="auto"/>
              <w:left w:val="single" w:sz="4" w:space="0" w:color="auto"/>
              <w:bottom w:val="single" w:sz="4" w:space="0" w:color="auto"/>
              <w:right w:val="single" w:sz="4" w:space="0" w:color="auto"/>
            </w:tcBorders>
            <w:shd w:val="clear" w:color="auto" w:fill="auto"/>
            <w:noWrap/>
          </w:tcPr>
          <w:p w14:paraId="74C65B91" w14:textId="77777777" w:rsidR="00B75CB2" w:rsidRDefault="26A62B6D" w:rsidP="000E280D">
            <w:pPr>
              <w:spacing w:before="60" w:after="60" w:line="240" w:lineRule="auto"/>
              <w:ind w:right="113"/>
              <w:jc w:val="left"/>
              <w:rPr>
                <w:rFonts w:eastAsia="Arial TUR"/>
                <w:sz w:val="16"/>
                <w:szCs w:val="16"/>
              </w:rPr>
            </w:pPr>
            <w:r w:rsidRPr="00AF11E2">
              <w:rPr>
                <w:rFonts w:eastAsia="Arial TUR"/>
                <w:sz w:val="16"/>
                <w:szCs w:val="16"/>
              </w:rPr>
              <w:t>With regard to w</w:t>
            </w:r>
            <w:r w:rsidR="64E9DE45" w:rsidRPr="00AF11E2">
              <w:rPr>
                <w:rFonts w:eastAsia="Arial TUR"/>
                <w:sz w:val="16"/>
                <w:szCs w:val="16"/>
              </w:rPr>
              <w:t xml:space="preserve">ell </w:t>
            </w:r>
            <w:r w:rsidR="001906C7" w:rsidRPr="00AF11E2">
              <w:rPr>
                <w:rFonts w:eastAsia="Arial TUR"/>
                <w:sz w:val="16"/>
                <w:szCs w:val="16"/>
              </w:rPr>
              <w:t xml:space="preserve">which </w:t>
            </w:r>
            <w:r w:rsidR="00C018B5" w:rsidRPr="00AF11E2">
              <w:rPr>
                <w:rFonts w:eastAsia="Arial TUR"/>
                <w:sz w:val="16"/>
                <w:szCs w:val="16"/>
              </w:rPr>
              <w:t>is</w:t>
            </w:r>
            <w:r w:rsidR="64E9DE45" w:rsidRPr="00AF11E2">
              <w:rPr>
                <w:rFonts w:eastAsia="Arial TUR"/>
                <w:sz w:val="16"/>
                <w:szCs w:val="16"/>
              </w:rPr>
              <w:t xml:space="preserve"> currently used </w:t>
            </w:r>
            <w:r w:rsidR="2BAF3D8A" w:rsidRPr="00AF11E2">
              <w:rPr>
                <w:rFonts w:eastAsia="Arial TUR"/>
                <w:sz w:val="16"/>
                <w:szCs w:val="16"/>
              </w:rPr>
              <w:t xml:space="preserve">and to be </w:t>
            </w:r>
            <w:r w:rsidR="02F8E182" w:rsidRPr="00AF11E2">
              <w:rPr>
                <w:rFonts w:eastAsia="Arial TUR"/>
                <w:sz w:val="16"/>
                <w:szCs w:val="16"/>
              </w:rPr>
              <w:t>used</w:t>
            </w:r>
            <w:r w:rsidR="2BAF3D8A" w:rsidRPr="00AF11E2">
              <w:rPr>
                <w:rFonts w:eastAsia="Arial TUR"/>
                <w:sz w:val="16"/>
                <w:szCs w:val="16"/>
              </w:rPr>
              <w:t xml:space="preserve"> later </w:t>
            </w:r>
            <w:r w:rsidR="64E9DE45" w:rsidRPr="00AF11E2">
              <w:rPr>
                <w:rFonts w:eastAsia="Arial TUR"/>
                <w:sz w:val="16"/>
                <w:szCs w:val="16"/>
              </w:rPr>
              <w:t xml:space="preserve">by </w:t>
            </w:r>
            <w:r w:rsidR="05A4A4AC" w:rsidRPr="00AF11E2">
              <w:rPr>
                <w:rFonts w:eastAsia="Arial TUR"/>
                <w:sz w:val="16"/>
                <w:szCs w:val="16"/>
              </w:rPr>
              <w:t>TUIOSB</w:t>
            </w:r>
            <w:r w:rsidR="64E9DE45" w:rsidRPr="00AF11E2">
              <w:rPr>
                <w:rFonts w:eastAsia="Arial TUR"/>
                <w:sz w:val="16"/>
                <w:szCs w:val="16"/>
              </w:rPr>
              <w:t xml:space="preserve"> Management for water network, considering the water that will be needed due to capacity increase, Sustainable Water Management Plan for the Project should be prepared.</w:t>
            </w:r>
          </w:p>
          <w:p w14:paraId="026D42FA" w14:textId="16C75A50" w:rsidR="00897028" w:rsidRDefault="00B75CB2" w:rsidP="000E280D">
            <w:pPr>
              <w:spacing w:before="60" w:after="60" w:line="240" w:lineRule="auto"/>
              <w:ind w:right="113"/>
              <w:jc w:val="left"/>
              <w:rPr>
                <w:rFonts w:eastAsia="Arial TUR"/>
                <w:sz w:val="16"/>
                <w:szCs w:val="16"/>
              </w:rPr>
            </w:pPr>
            <w:r w:rsidRPr="00EE43C6">
              <w:rPr>
                <w:rFonts w:eastAsia="Arial TUR"/>
                <w:sz w:val="16"/>
                <w:szCs w:val="16"/>
              </w:rPr>
              <w:t xml:space="preserve">The number of employees in the facilities within the planned OIZ operation is expected to be about 3,500. The environmental impacts will be high due to the demand for excess water use from groundwater, WWTP to be established in the OIZ Area and the discharge of treated wastewater into the </w:t>
            </w:r>
            <w:r w:rsidR="00E84E70">
              <w:rPr>
                <w:rFonts w:eastAsia="Arial TUR"/>
                <w:sz w:val="16"/>
                <w:szCs w:val="16"/>
              </w:rPr>
              <w:t xml:space="preserve">Evcisuyu Stream as </w:t>
            </w:r>
            <w:r>
              <w:rPr>
                <w:rFonts w:eastAsia="Arial TUR"/>
                <w:sz w:val="16"/>
                <w:szCs w:val="16"/>
              </w:rPr>
              <w:t xml:space="preserve">receiving </w:t>
            </w:r>
            <w:r w:rsidRPr="00EE43C6">
              <w:rPr>
                <w:rFonts w:eastAsia="Arial TUR"/>
                <w:sz w:val="16"/>
                <w:szCs w:val="16"/>
              </w:rPr>
              <w:t>environment.</w:t>
            </w:r>
            <w:r>
              <w:rPr>
                <w:rFonts w:eastAsia="Arial TUR"/>
                <w:sz w:val="16"/>
                <w:szCs w:val="16"/>
              </w:rPr>
              <w:t xml:space="preserve"> </w:t>
            </w:r>
            <w:r w:rsidR="004F2D09">
              <w:rPr>
                <w:rFonts w:eastAsia="Arial TUR"/>
                <w:sz w:val="16"/>
                <w:szCs w:val="16"/>
              </w:rPr>
              <w:t xml:space="preserve">In this context, Sustainable Water Management </w:t>
            </w:r>
            <w:r w:rsidR="00897028">
              <w:rPr>
                <w:rFonts w:eastAsia="Arial TUR"/>
                <w:sz w:val="16"/>
                <w:szCs w:val="16"/>
              </w:rPr>
              <w:t>Plan will be developed and implemented.</w:t>
            </w:r>
          </w:p>
          <w:p w14:paraId="52E9BF7B" w14:textId="77777777" w:rsidR="00897028" w:rsidRDefault="00897028" w:rsidP="000E280D">
            <w:pPr>
              <w:spacing w:before="60" w:after="60" w:line="240" w:lineRule="auto"/>
              <w:ind w:right="113"/>
              <w:jc w:val="left"/>
              <w:rPr>
                <w:rFonts w:eastAsia="Arial TUR"/>
                <w:sz w:val="16"/>
                <w:szCs w:val="16"/>
              </w:rPr>
            </w:pPr>
          </w:p>
          <w:p w14:paraId="0C1EC9BF" w14:textId="53D2A3FB" w:rsidR="002F6B1F" w:rsidRPr="00AF11E2" w:rsidRDefault="0045053D" w:rsidP="000E280D">
            <w:pPr>
              <w:spacing w:before="60" w:after="60" w:line="240" w:lineRule="auto"/>
              <w:ind w:right="113"/>
              <w:jc w:val="left"/>
              <w:rPr>
                <w:rFonts w:eastAsia="Arial TUR"/>
                <w:sz w:val="16"/>
                <w:szCs w:val="16"/>
              </w:rPr>
            </w:pPr>
            <w:r w:rsidRPr="00AF11E2">
              <w:rPr>
                <w:rFonts w:eastAsia="Arial TUR"/>
                <w:sz w:val="16"/>
                <w:szCs w:val="16"/>
              </w:rPr>
              <w:t>Effluent Management Plan shall be prepared and implemented that includes measures and procedures for operational activities.</w:t>
            </w:r>
          </w:p>
          <w:p w14:paraId="17E49CA9" w14:textId="77777777" w:rsidR="00975228" w:rsidRPr="00EE43C6" w:rsidRDefault="64E9DE45"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EE43C6">
              <w:rPr>
                <w:rFonts w:eastAsia="Arial TUR"/>
                <w:noProof w:val="0"/>
                <w:sz w:val="16"/>
                <w:szCs w:val="16"/>
              </w:rPr>
              <w:t>Broken pipes and other repairs to be undertaken without delay,</w:t>
            </w:r>
          </w:p>
          <w:p w14:paraId="385AB5F1" w14:textId="77777777" w:rsidR="00975228" w:rsidRPr="00EE43C6" w:rsidRDefault="64E9DE45"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EE43C6">
              <w:rPr>
                <w:rFonts w:eastAsia="Arial TUR"/>
                <w:noProof w:val="0"/>
                <w:sz w:val="16"/>
                <w:szCs w:val="16"/>
              </w:rPr>
              <w:t>Pumps and pumping stations to be adequately maintained,</w:t>
            </w:r>
          </w:p>
          <w:p w14:paraId="0B02C162" w14:textId="77777777" w:rsidR="00975228" w:rsidRPr="00EE43C6" w:rsidRDefault="64E9DE45"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EE43C6">
              <w:rPr>
                <w:rFonts w:eastAsia="Arial TUR"/>
                <w:noProof w:val="0"/>
                <w:sz w:val="16"/>
                <w:szCs w:val="16"/>
              </w:rPr>
              <w:t xml:space="preserve">All storage tanks and drums will be placed on concrete areas with proper secondary containments. When </w:t>
            </w:r>
            <w:r w:rsidRPr="00EE43C6">
              <w:rPr>
                <w:rFonts w:eastAsia="Arial TUR"/>
                <w:noProof w:val="0"/>
                <w:sz w:val="16"/>
                <w:szCs w:val="16"/>
              </w:rPr>
              <w:lastRenderedPageBreak/>
              <w:t>necessary; spill kits, absorbent pads or materials and adsorbent sands will be provided near the chemical storage areas at all times.</w:t>
            </w:r>
          </w:p>
          <w:p w14:paraId="03C1967C" w14:textId="77777777" w:rsidR="00975228" w:rsidRPr="00EE43C6" w:rsidRDefault="64E9DE45"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EE43C6">
              <w:rPr>
                <w:rFonts w:eastAsia="Arial TUR"/>
                <w:noProof w:val="0"/>
                <w:sz w:val="16"/>
                <w:szCs w:val="16"/>
              </w:rPr>
              <w:t>System overflows will be prevented as much as possible by using level meters,</w:t>
            </w:r>
          </w:p>
          <w:p w14:paraId="34B6CA45" w14:textId="77777777" w:rsidR="00975228" w:rsidRPr="00EE43C6" w:rsidRDefault="64E9DE45"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EE43C6">
              <w:rPr>
                <w:rFonts w:eastAsia="Arial TUR"/>
                <w:noProof w:val="0"/>
                <w:sz w:val="16"/>
                <w:szCs w:val="16"/>
              </w:rPr>
              <w:t xml:space="preserve">Bypass of the treatment system will be </w:t>
            </w:r>
            <w:r w:rsidR="004F4CC5" w:rsidRPr="00EE43C6">
              <w:rPr>
                <w:rFonts w:eastAsia="Arial TUR"/>
                <w:noProof w:val="0"/>
                <w:sz w:val="16"/>
                <w:szCs w:val="16"/>
              </w:rPr>
              <w:t xml:space="preserve">avoided, if not possible, will be </w:t>
            </w:r>
            <w:r w:rsidRPr="00EE43C6">
              <w:rPr>
                <w:rFonts w:eastAsia="Arial TUR"/>
                <w:noProof w:val="0"/>
                <w:sz w:val="16"/>
                <w:szCs w:val="16"/>
              </w:rPr>
              <w:t>minimized,</w:t>
            </w:r>
          </w:p>
          <w:p w14:paraId="637A8DE2" w14:textId="3DEED189" w:rsidR="00975228" w:rsidRPr="00EE43C6" w:rsidRDefault="64E9DE45"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EE43C6">
              <w:rPr>
                <w:rFonts w:eastAsia="Arial TUR"/>
                <w:noProof w:val="0"/>
                <w:sz w:val="16"/>
                <w:szCs w:val="16"/>
              </w:rPr>
              <w:t>Effluent water quality of the Project will comply with the limit values stipulated in National Legislation and World Bank Group’s General EHS Guidelines,</w:t>
            </w:r>
            <w:r w:rsidR="004F4CC5" w:rsidRPr="00EE43C6">
              <w:rPr>
                <w:rFonts w:eastAsia="Arial TUR"/>
                <w:noProof w:val="0"/>
                <w:sz w:val="16"/>
                <w:szCs w:val="16"/>
              </w:rPr>
              <w:t xml:space="preserve"> the more </w:t>
            </w:r>
            <w:r w:rsidR="004660D0" w:rsidRPr="00EE43C6">
              <w:rPr>
                <w:rFonts w:eastAsia="Arial TUR"/>
                <w:noProof w:val="0"/>
                <w:sz w:val="16"/>
                <w:szCs w:val="16"/>
              </w:rPr>
              <w:t>comprehensive</w:t>
            </w:r>
            <w:r w:rsidR="004F4CC5" w:rsidRPr="00EE43C6">
              <w:rPr>
                <w:rFonts w:eastAsia="Arial TUR"/>
                <w:noProof w:val="0"/>
                <w:sz w:val="16"/>
                <w:szCs w:val="16"/>
              </w:rPr>
              <w:t xml:space="preserve"> and strict ones will be </w:t>
            </w:r>
            <w:r w:rsidR="007C115F" w:rsidRPr="00EE43C6">
              <w:rPr>
                <w:rFonts w:eastAsia="Arial TUR"/>
                <w:noProof w:val="0"/>
                <w:sz w:val="16"/>
                <w:szCs w:val="16"/>
              </w:rPr>
              <w:t>considered.</w:t>
            </w:r>
          </w:p>
          <w:p w14:paraId="3631765B" w14:textId="57905073" w:rsidR="00975228" w:rsidRPr="00AF11E2" w:rsidRDefault="64E9DE45" w:rsidP="000E280D">
            <w:pPr>
              <w:pStyle w:val="ListParagraph"/>
              <w:numPr>
                <w:ilvl w:val="0"/>
                <w:numId w:val="7"/>
              </w:numPr>
              <w:spacing w:before="60" w:after="60" w:line="240" w:lineRule="auto"/>
              <w:ind w:left="113" w:right="113" w:hanging="180"/>
              <w:contextualSpacing w:val="0"/>
              <w:jc w:val="left"/>
              <w:rPr>
                <w:sz w:val="16"/>
                <w:szCs w:val="16"/>
              </w:rPr>
            </w:pPr>
            <w:r w:rsidRPr="00EE43C6">
              <w:rPr>
                <w:rFonts w:eastAsia="Arial TUR"/>
                <w:noProof w:val="0"/>
                <w:sz w:val="16"/>
                <w:szCs w:val="16"/>
              </w:rPr>
              <w:t xml:space="preserve">An Emergency Preparedness and Response Plan </w:t>
            </w:r>
            <w:r w:rsidR="007E51D9">
              <w:rPr>
                <w:rFonts w:eastAsia="Arial TUR"/>
                <w:noProof w:val="0"/>
                <w:sz w:val="16"/>
                <w:szCs w:val="16"/>
              </w:rPr>
              <w:t>will</w:t>
            </w:r>
            <w:r w:rsidRPr="00EE43C6">
              <w:rPr>
                <w:rFonts w:eastAsia="Arial TUR"/>
                <w:noProof w:val="0"/>
                <w:sz w:val="16"/>
                <w:szCs w:val="16"/>
              </w:rPr>
              <w:t xml:space="preserve"> be developed and implemented,</w:t>
            </w:r>
          </w:p>
        </w:tc>
        <w:tc>
          <w:tcPr>
            <w:tcW w:w="454" w:type="pct"/>
            <w:tcBorders>
              <w:top w:val="single" w:sz="4" w:space="0" w:color="auto"/>
              <w:left w:val="single" w:sz="4" w:space="0" w:color="auto"/>
              <w:bottom w:val="single" w:sz="4" w:space="0" w:color="auto"/>
              <w:right w:val="single" w:sz="4" w:space="0" w:color="auto"/>
            </w:tcBorders>
          </w:tcPr>
          <w:p w14:paraId="22965CB3" w14:textId="4315BED5" w:rsidR="00975228" w:rsidRPr="00EE43C6" w:rsidRDefault="00B561CF" w:rsidP="00854BE8">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lastRenderedPageBreak/>
              <w:t>TUIOSB</w:t>
            </w:r>
          </w:p>
          <w:p w14:paraId="7D6EF81F" w14:textId="0C112784" w:rsidR="00975228" w:rsidRPr="00EE43C6" w:rsidRDefault="00975228" w:rsidP="00854BE8">
            <w:pPr>
              <w:autoSpaceDE w:val="0"/>
              <w:autoSpaceDN w:val="0"/>
              <w:adjustRightInd w:val="0"/>
              <w:spacing w:before="0" w:after="0" w:line="240" w:lineRule="auto"/>
              <w:jc w:val="left"/>
              <w:rPr>
                <w:rFonts w:cs="Arial"/>
                <w:color w:val="000000"/>
                <w:sz w:val="16"/>
                <w:szCs w:val="16"/>
              </w:rPr>
            </w:pPr>
          </w:p>
        </w:tc>
        <w:tc>
          <w:tcPr>
            <w:tcW w:w="662" w:type="pct"/>
            <w:gridSpan w:val="2"/>
            <w:tcBorders>
              <w:top w:val="single" w:sz="4" w:space="0" w:color="auto"/>
              <w:left w:val="single" w:sz="4" w:space="0" w:color="auto"/>
              <w:bottom w:val="single" w:sz="4" w:space="0" w:color="auto"/>
              <w:right w:val="single" w:sz="4" w:space="0" w:color="auto"/>
            </w:tcBorders>
          </w:tcPr>
          <w:p w14:paraId="2531A6D6" w14:textId="7777777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Minimization and continued improvement in the number of the reported water quality related incidents.</w:t>
            </w:r>
          </w:p>
          <w:p w14:paraId="7CDA3708" w14:textId="7777777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Zero NCRs per year</w:t>
            </w:r>
          </w:p>
          <w:p w14:paraId="5A7E1F32" w14:textId="7777777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Zero grievances per year</w:t>
            </w:r>
          </w:p>
          <w:p w14:paraId="337FB395" w14:textId="7777777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No significant adverse impact</w:t>
            </w:r>
          </w:p>
          <w:p w14:paraId="45191C9E" w14:textId="77777777" w:rsidR="00975228" w:rsidRPr="00EE43C6" w:rsidRDefault="64E9DE45" w:rsidP="00854BE8">
            <w:pPr>
              <w:numPr>
                <w:ilvl w:val="0"/>
                <w:numId w:val="7"/>
              </w:numPr>
              <w:spacing w:before="0" w:after="0" w:line="240" w:lineRule="auto"/>
              <w:ind w:left="113" w:right="113" w:hanging="180"/>
              <w:jc w:val="left"/>
              <w:rPr>
                <w:rFonts w:cs="Arial"/>
                <w:sz w:val="16"/>
                <w:szCs w:val="16"/>
                <w:lang w:eastAsia="tr-TR"/>
              </w:rPr>
            </w:pPr>
            <w:r w:rsidRPr="00EE43C6">
              <w:rPr>
                <w:rFonts w:eastAsia="Arial TUR" w:cs="Arial"/>
                <w:color w:val="000000" w:themeColor="text1"/>
                <w:sz w:val="16"/>
                <w:szCs w:val="16"/>
                <w:lang w:eastAsia="en-US"/>
              </w:rPr>
              <w:t>No infrastructure damage and damage to loads/humans</w:t>
            </w:r>
          </w:p>
        </w:tc>
      </w:tr>
      <w:tr w:rsidR="000E280D" w:rsidRPr="00EE43C6" w14:paraId="5F9F7B74" w14:textId="77777777" w:rsidTr="000E280D">
        <w:trPr>
          <w:trHeight w:val="161"/>
        </w:trPr>
        <w:tc>
          <w:tcPr>
            <w:tcW w:w="200" w:type="pct"/>
            <w:tcBorders>
              <w:left w:val="single" w:sz="4" w:space="0" w:color="auto"/>
              <w:right w:val="single" w:sz="4" w:space="0" w:color="auto"/>
            </w:tcBorders>
          </w:tcPr>
          <w:p w14:paraId="74DBACC7" w14:textId="69455AA0" w:rsidR="00BA26BC" w:rsidRPr="00EE43C6" w:rsidRDefault="008863D0" w:rsidP="00854BE8">
            <w:pPr>
              <w:spacing w:before="0" w:after="0" w:line="240" w:lineRule="auto"/>
              <w:jc w:val="left"/>
              <w:rPr>
                <w:rFonts w:cs="Arial"/>
                <w:snapToGrid w:val="0"/>
                <w:sz w:val="16"/>
                <w:szCs w:val="16"/>
                <w:lang w:eastAsia="en-GB"/>
              </w:rPr>
            </w:pPr>
            <w:r>
              <w:rPr>
                <w:rFonts w:cs="Arial"/>
                <w:snapToGrid w:val="0"/>
                <w:sz w:val="16"/>
                <w:szCs w:val="16"/>
                <w:lang w:eastAsia="en-GB"/>
              </w:rPr>
              <w:t>O9</w:t>
            </w:r>
          </w:p>
        </w:tc>
        <w:tc>
          <w:tcPr>
            <w:tcW w:w="403" w:type="pct"/>
            <w:tcBorders>
              <w:left w:val="single" w:sz="4" w:space="0" w:color="auto"/>
              <w:right w:val="single" w:sz="4" w:space="0" w:color="auto"/>
            </w:tcBorders>
            <w:shd w:val="clear" w:color="auto" w:fill="auto"/>
          </w:tcPr>
          <w:p w14:paraId="2A8043A2" w14:textId="479E96C1" w:rsidR="00BA26BC" w:rsidRPr="00EE43C6" w:rsidRDefault="008863D0" w:rsidP="00854BE8">
            <w:pPr>
              <w:spacing w:before="0" w:after="0" w:line="240" w:lineRule="auto"/>
              <w:ind w:left="-60" w:right="-146" w:firstLine="14"/>
              <w:jc w:val="left"/>
              <w:rPr>
                <w:rFonts w:eastAsia="Calibri" w:cs="Arial"/>
                <w:b/>
                <w:bCs/>
                <w:sz w:val="16"/>
                <w:szCs w:val="16"/>
                <w:lang w:eastAsia="en-US"/>
              </w:rPr>
            </w:pPr>
            <w:r>
              <w:rPr>
                <w:rFonts w:eastAsia="Calibri" w:cs="Arial"/>
                <w:b/>
                <w:bCs/>
                <w:sz w:val="16"/>
                <w:szCs w:val="16"/>
                <w:lang w:eastAsia="en-US"/>
              </w:rPr>
              <w:t>Odour</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noWrap/>
          </w:tcPr>
          <w:p w14:paraId="15AF62B7" w14:textId="659CE1A6" w:rsidR="00BA26BC" w:rsidRPr="00EE43C6" w:rsidRDefault="00D9657D" w:rsidP="00854BE8">
            <w:pPr>
              <w:spacing w:before="0" w:after="0" w:line="240" w:lineRule="auto"/>
              <w:jc w:val="left"/>
              <w:rPr>
                <w:rFonts w:cs="Arial"/>
                <w:color w:val="000000"/>
                <w:sz w:val="16"/>
                <w:szCs w:val="16"/>
                <w:lang w:eastAsia="tr-TR"/>
              </w:rPr>
            </w:pPr>
            <w:r>
              <w:rPr>
                <w:rFonts w:cs="Arial"/>
                <w:color w:val="000000"/>
                <w:sz w:val="16"/>
                <w:szCs w:val="16"/>
                <w:lang w:eastAsia="tr-TR"/>
              </w:rPr>
              <w:t>Odour nuisance</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046AB730" w14:textId="67DCFF66" w:rsidR="00BA26BC" w:rsidRPr="00EE43C6" w:rsidRDefault="00D9657D" w:rsidP="00854BE8">
            <w:pPr>
              <w:spacing w:before="0" w:after="0" w:line="240" w:lineRule="auto"/>
              <w:jc w:val="left"/>
              <w:rPr>
                <w:rFonts w:cs="Arial"/>
                <w:bCs/>
                <w:snapToGrid w:val="0"/>
                <w:color w:val="000000"/>
                <w:sz w:val="16"/>
                <w:szCs w:val="16"/>
                <w:lang w:eastAsia="tr-TR"/>
              </w:rPr>
            </w:pPr>
            <w:r>
              <w:rPr>
                <w:rFonts w:cs="Arial"/>
                <w:bCs/>
                <w:snapToGrid w:val="0"/>
                <w:color w:val="000000"/>
                <w:sz w:val="16"/>
                <w:szCs w:val="16"/>
                <w:lang w:eastAsia="tr-TR"/>
              </w:rPr>
              <w:t>Adverse</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0D026277" w14:textId="15890626" w:rsidR="00BA26BC" w:rsidRPr="00EE43C6" w:rsidRDefault="00D9657D" w:rsidP="00854BE8">
            <w:pPr>
              <w:spacing w:before="0" w:after="0" w:line="240" w:lineRule="auto"/>
              <w:jc w:val="left"/>
              <w:rPr>
                <w:rFonts w:cs="Arial"/>
                <w:bCs/>
                <w:snapToGrid w:val="0"/>
                <w:color w:val="000000"/>
                <w:sz w:val="16"/>
                <w:szCs w:val="16"/>
                <w:lang w:eastAsia="tr-TR"/>
              </w:rPr>
            </w:pPr>
            <w:r>
              <w:rPr>
                <w:rFonts w:cs="Arial"/>
                <w:bCs/>
                <w:snapToGrid w:val="0"/>
                <w:color w:val="000000"/>
                <w:sz w:val="16"/>
                <w:szCs w:val="16"/>
                <w:lang w:eastAsia="tr-TR"/>
              </w:rPr>
              <w:t>Medium</w:t>
            </w:r>
          </w:p>
        </w:tc>
        <w:tc>
          <w:tcPr>
            <w:tcW w:w="350" w:type="pct"/>
            <w:tcBorders>
              <w:top w:val="single" w:sz="4" w:space="0" w:color="auto"/>
              <w:left w:val="single" w:sz="4" w:space="0" w:color="auto"/>
              <w:bottom w:val="single" w:sz="4" w:space="0" w:color="auto"/>
              <w:right w:val="single" w:sz="4" w:space="0" w:color="auto"/>
            </w:tcBorders>
          </w:tcPr>
          <w:p w14:paraId="2F882149" w14:textId="77777777" w:rsidR="00BA26BC" w:rsidRPr="00EE43C6" w:rsidRDefault="00BA26BC" w:rsidP="00854BE8">
            <w:pPr>
              <w:spacing w:before="0" w:after="0" w:line="240" w:lineRule="auto"/>
              <w:jc w:val="left"/>
              <w:rPr>
                <w:rFonts w:cs="Arial"/>
                <w:color w:val="000000"/>
                <w:sz w:val="16"/>
                <w:szCs w:val="16"/>
              </w:rPr>
            </w:pPr>
          </w:p>
        </w:tc>
        <w:tc>
          <w:tcPr>
            <w:tcW w:w="963" w:type="pct"/>
            <w:gridSpan w:val="2"/>
            <w:tcBorders>
              <w:top w:val="single" w:sz="4" w:space="0" w:color="auto"/>
              <w:left w:val="single" w:sz="4" w:space="0" w:color="auto"/>
              <w:bottom w:val="single" w:sz="4" w:space="0" w:color="auto"/>
              <w:right w:val="single" w:sz="4" w:space="0" w:color="auto"/>
            </w:tcBorders>
            <w:shd w:val="clear" w:color="auto" w:fill="auto"/>
            <w:noWrap/>
          </w:tcPr>
          <w:p w14:paraId="4AB48CAD" w14:textId="0507005C" w:rsidR="00C54C50" w:rsidRPr="00AF11E2" w:rsidRDefault="00C54C50" w:rsidP="000E280D">
            <w:pPr>
              <w:spacing w:before="60" w:after="60" w:line="240" w:lineRule="auto"/>
              <w:ind w:right="113"/>
              <w:jc w:val="left"/>
              <w:rPr>
                <w:rFonts w:eastAsia="Arial TUR"/>
                <w:sz w:val="16"/>
                <w:szCs w:val="16"/>
              </w:rPr>
            </w:pPr>
            <w:r w:rsidRPr="00AF11E2">
              <w:rPr>
                <w:rFonts w:eastAsia="Arial TUR"/>
                <w:sz w:val="16"/>
                <w:szCs w:val="16"/>
              </w:rPr>
              <w:t xml:space="preserve">An </w:t>
            </w:r>
            <w:r w:rsidR="002224D0" w:rsidRPr="002224D0">
              <w:rPr>
                <w:rFonts w:eastAsia="Arial TUR"/>
                <w:sz w:val="16"/>
                <w:szCs w:val="16"/>
              </w:rPr>
              <w:t>Odour</w:t>
            </w:r>
            <w:r w:rsidRPr="00AF11E2">
              <w:rPr>
                <w:rFonts w:eastAsia="Arial TUR"/>
                <w:sz w:val="16"/>
                <w:szCs w:val="16"/>
              </w:rPr>
              <w:t xml:space="preserve"> Management Plan will be prepared and implemented that offers strategies to ensure the following especially at the WWTP </w:t>
            </w:r>
            <w:r w:rsidR="002014D6">
              <w:rPr>
                <w:rFonts w:eastAsia="Arial TUR"/>
                <w:sz w:val="16"/>
                <w:szCs w:val="16"/>
              </w:rPr>
              <w:t>area</w:t>
            </w:r>
            <w:r w:rsidRPr="00AF11E2">
              <w:rPr>
                <w:rFonts w:eastAsia="Arial TUR"/>
                <w:sz w:val="16"/>
                <w:szCs w:val="16"/>
              </w:rPr>
              <w:t>:</w:t>
            </w:r>
            <w:r w:rsidR="00585F0D">
              <w:rPr>
                <w:rFonts w:eastAsia="Arial TUR"/>
                <w:sz w:val="16"/>
                <w:szCs w:val="16"/>
              </w:rPr>
              <w:t xml:space="preserve"> </w:t>
            </w:r>
            <w:r w:rsidRPr="00AF11E2">
              <w:rPr>
                <w:rFonts w:eastAsia="Arial TUR"/>
                <w:sz w:val="16"/>
                <w:szCs w:val="16"/>
              </w:rPr>
              <w:t>The first level measures:</w:t>
            </w:r>
          </w:p>
          <w:p w14:paraId="0B85AE01"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Prevention of wastewater influents which exceed treatment plant capacity.</w:t>
            </w:r>
          </w:p>
          <w:p w14:paraId="22711815"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Reduction of solid waste and activated sludge amounts.</w:t>
            </w:r>
          </w:p>
          <w:p w14:paraId="67B5AE8D"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Increasing disposal frequency of screenings.</w:t>
            </w:r>
          </w:p>
          <w:p w14:paraId="3FF637A8"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Proper and timely disposal of sludge to prevent flies and odour.</w:t>
            </w:r>
          </w:p>
          <w:p w14:paraId="63C1F91A"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Increasing aeration rate in biological treatment process.</w:t>
            </w:r>
          </w:p>
          <w:p w14:paraId="237E48D1"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lastRenderedPageBreak/>
              <w:t>Addition of chlorinated water to sludge thickeners if activated sludge is in open area.</w:t>
            </w:r>
          </w:p>
          <w:p w14:paraId="3EBC42C2"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Addition of lime to activated sludge.</w:t>
            </w:r>
          </w:p>
          <w:p w14:paraId="5759D53B"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Keeping water level under control in order to prevent turbulence as a result of instant decrease of water.</w:t>
            </w:r>
          </w:p>
          <w:p w14:paraId="2C562096"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If odour nuisance prevails after the proper implementation of first level measures, the second level measures shall be taken. These are:</w:t>
            </w:r>
          </w:p>
          <w:p w14:paraId="7F2CE066"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Addition of oxidizing material (such as hydrogen peroxide, sodium hypochloride) (oxidizing materials, prevent generation of especially hydrogen sulphide). Addition of sodium hydroxide can also be considered.  Sodium hydroxide will dissolve hydrogen sulphur gas in water.</w:t>
            </w:r>
          </w:p>
          <w:p w14:paraId="77A994F3"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Preventing anaerobic bacteria with control of pH levels or disinfection.</w:t>
            </w:r>
          </w:p>
          <w:p w14:paraId="3FC41DB2"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Oxidizing odorous compound by the help of chemicals.</w:t>
            </w:r>
          </w:p>
          <w:p w14:paraId="61B41366" w14:textId="794168E5"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 xml:space="preserve">Planting trees in the WWTP </w:t>
            </w:r>
            <w:r w:rsidR="002014D6">
              <w:rPr>
                <w:rFonts w:eastAsia="Arial TUR"/>
                <w:noProof w:val="0"/>
                <w:sz w:val="16"/>
                <w:szCs w:val="16"/>
              </w:rPr>
              <w:t>area</w:t>
            </w:r>
            <w:r w:rsidRPr="00C54C50">
              <w:rPr>
                <w:rFonts w:eastAsia="Arial TUR"/>
                <w:noProof w:val="0"/>
                <w:sz w:val="16"/>
                <w:szCs w:val="16"/>
              </w:rPr>
              <w:t xml:space="preserve"> and the buffer zone around the treatment plant for the prevention of odour distribution.</w:t>
            </w:r>
          </w:p>
          <w:p w14:paraId="545912CF"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If nuisance still prevails after implementation of first and second measures, the final measure shall be determined as:</w:t>
            </w:r>
          </w:p>
          <w:p w14:paraId="78337878"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lastRenderedPageBreak/>
              <w:t xml:space="preserve">Enclosing of preliminary treatment units, aeration tanks and bio-P tanks  </w:t>
            </w:r>
          </w:p>
          <w:p w14:paraId="69A19BA9"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Apart from that, following mitigation measures will be implemented throughout the Project.</w:t>
            </w:r>
          </w:p>
          <w:p w14:paraId="77DD9D33" w14:textId="46B4A6BB"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 xml:space="preserve">Establishment of an operating grievance redress mechanism to manage </w:t>
            </w:r>
            <w:r w:rsidR="00252F32" w:rsidRPr="00C54C50">
              <w:rPr>
                <w:rFonts w:eastAsia="Arial TUR"/>
                <w:noProof w:val="0"/>
                <w:sz w:val="16"/>
                <w:szCs w:val="16"/>
              </w:rPr>
              <w:t>odour</w:t>
            </w:r>
            <w:r w:rsidRPr="00C54C50">
              <w:rPr>
                <w:rFonts w:eastAsia="Arial TUR"/>
                <w:noProof w:val="0"/>
                <w:sz w:val="16"/>
                <w:szCs w:val="16"/>
              </w:rPr>
              <w:t xml:space="preserve"> related grievances.</w:t>
            </w:r>
          </w:p>
          <w:p w14:paraId="0BE4A292"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Maintaining pipelines and ensuring effective management and operation of the sewerage system including effective maintenance of all elements of the sewerage system and rapid response to emergencies.</w:t>
            </w:r>
          </w:p>
          <w:p w14:paraId="5D3D6406" w14:textId="56B9B20C"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 xml:space="preserve">Regular maintenance and cleaning works shall be conducted on the machinery and equipment in order to prevent occurrence of </w:t>
            </w:r>
            <w:r w:rsidR="00252F32" w:rsidRPr="00C54C50">
              <w:rPr>
                <w:rFonts w:eastAsia="Arial TUR"/>
                <w:noProof w:val="0"/>
                <w:sz w:val="16"/>
                <w:szCs w:val="16"/>
              </w:rPr>
              <w:t>odour</w:t>
            </w:r>
            <w:r w:rsidRPr="00C54C50">
              <w:rPr>
                <w:rFonts w:eastAsia="Arial TUR"/>
                <w:noProof w:val="0"/>
                <w:sz w:val="16"/>
                <w:szCs w:val="16"/>
              </w:rPr>
              <w:t>.</w:t>
            </w:r>
          </w:p>
          <w:p w14:paraId="173321BC" w14:textId="77777777" w:rsidR="00C54C50" w:rsidRPr="00C54C50"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Regular and sufficient ventilation at the pumping stations will be provided.</w:t>
            </w:r>
          </w:p>
          <w:p w14:paraId="1471ADE3" w14:textId="1FA1DDD3" w:rsidR="00BA26BC" w:rsidRPr="00EE43C6" w:rsidRDefault="00C54C50" w:rsidP="000E280D">
            <w:pPr>
              <w:pStyle w:val="ListParagraph"/>
              <w:numPr>
                <w:ilvl w:val="0"/>
                <w:numId w:val="66"/>
              </w:numPr>
              <w:spacing w:before="60" w:after="60" w:line="240" w:lineRule="auto"/>
              <w:ind w:left="332" w:right="113" w:hanging="283"/>
              <w:contextualSpacing w:val="0"/>
              <w:jc w:val="left"/>
              <w:rPr>
                <w:rFonts w:eastAsia="Arial TUR"/>
                <w:noProof w:val="0"/>
                <w:sz w:val="16"/>
                <w:szCs w:val="16"/>
              </w:rPr>
            </w:pPr>
            <w:r w:rsidRPr="00C54C50">
              <w:rPr>
                <w:rFonts w:eastAsia="Arial TUR"/>
                <w:noProof w:val="0"/>
                <w:sz w:val="16"/>
                <w:szCs w:val="16"/>
              </w:rPr>
              <w:t>Trees will be planted around the pumping station areas</w:t>
            </w:r>
          </w:p>
        </w:tc>
        <w:tc>
          <w:tcPr>
            <w:tcW w:w="454" w:type="pct"/>
            <w:tcBorders>
              <w:top w:val="single" w:sz="4" w:space="0" w:color="auto"/>
              <w:left w:val="single" w:sz="4" w:space="0" w:color="auto"/>
              <w:bottom w:val="single" w:sz="4" w:space="0" w:color="auto"/>
              <w:right w:val="single" w:sz="4" w:space="0" w:color="auto"/>
            </w:tcBorders>
          </w:tcPr>
          <w:p w14:paraId="68289210" w14:textId="44457932" w:rsidR="00BA26BC" w:rsidRPr="00EE43C6" w:rsidRDefault="007C7EBB" w:rsidP="00854BE8">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lastRenderedPageBreak/>
              <w:t>TUIOSB</w:t>
            </w:r>
          </w:p>
        </w:tc>
        <w:tc>
          <w:tcPr>
            <w:tcW w:w="662" w:type="pct"/>
            <w:gridSpan w:val="2"/>
            <w:tcBorders>
              <w:top w:val="single" w:sz="4" w:space="0" w:color="auto"/>
              <w:left w:val="single" w:sz="4" w:space="0" w:color="auto"/>
              <w:bottom w:val="single" w:sz="4" w:space="0" w:color="auto"/>
              <w:right w:val="single" w:sz="4" w:space="0" w:color="auto"/>
            </w:tcBorders>
          </w:tcPr>
          <w:p w14:paraId="7B219301" w14:textId="77777777" w:rsidR="002224D0" w:rsidRPr="002224D0" w:rsidRDefault="002224D0" w:rsidP="00AF11E2">
            <w:pPr>
              <w:numPr>
                <w:ilvl w:val="0"/>
                <w:numId w:val="7"/>
              </w:numPr>
              <w:spacing w:before="0" w:after="0" w:line="240" w:lineRule="auto"/>
              <w:ind w:left="113" w:right="113" w:hanging="180"/>
              <w:jc w:val="left"/>
              <w:rPr>
                <w:rFonts w:eastAsia="Arial TUR" w:cs="Arial"/>
                <w:color w:val="000000" w:themeColor="text1"/>
                <w:sz w:val="16"/>
                <w:szCs w:val="16"/>
                <w:lang w:eastAsia="en-US"/>
              </w:rPr>
            </w:pPr>
            <w:r w:rsidRPr="002224D0">
              <w:rPr>
                <w:rFonts w:eastAsia="Arial TUR" w:cs="Arial"/>
                <w:color w:val="000000" w:themeColor="text1"/>
                <w:sz w:val="16"/>
                <w:szCs w:val="16"/>
                <w:lang w:eastAsia="en-US"/>
              </w:rPr>
              <w:t>Grievance Records</w:t>
            </w:r>
          </w:p>
          <w:p w14:paraId="5211992E" w14:textId="51DDDF84" w:rsidR="002224D0" w:rsidRPr="002224D0" w:rsidRDefault="002224D0" w:rsidP="00AF11E2">
            <w:pPr>
              <w:numPr>
                <w:ilvl w:val="0"/>
                <w:numId w:val="7"/>
              </w:numPr>
              <w:spacing w:before="0" w:after="0" w:line="240" w:lineRule="auto"/>
              <w:ind w:left="113" w:right="113" w:hanging="180"/>
              <w:jc w:val="left"/>
              <w:rPr>
                <w:rFonts w:eastAsia="Arial TUR" w:cs="Arial"/>
                <w:color w:val="000000" w:themeColor="text1"/>
                <w:sz w:val="16"/>
                <w:szCs w:val="16"/>
                <w:lang w:eastAsia="en-US"/>
              </w:rPr>
            </w:pPr>
            <w:r w:rsidRPr="002224D0">
              <w:rPr>
                <w:rFonts w:eastAsia="Arial TUR" w:cs="Arial"/>
                <w:color w:val="000000" w:themeColor="text1"/>
                <w:sz w:val="16"/>
                <w:szCs w:val="16"/>
                <w:lang w:eastAsia="en-US"/>
              </w:rPr>
              <w:t>Odour Measurement Results</w:t>
            </w:r>
          </w:p>
          <w:p w14:paraId="77785D48" w14:textId="082E5175" w:rsidR="00BA26BC" w:rsidRPr="00EE43C6" w:rsidRDefault="002224D0" w:rsidP="00AF11E2">
            <w:pPr>
              <w:numPr>
                <w:ilvl w:val="0"/>
                <w:numId w:val="7"/>
              </w:numPr>
              <w:spacing w:before="0" w:after="0" w:line="240" w:lineRule="auto"/>
              <w:ind w:left="113" w:right="113" w:hanging="180"/>
              <w:jc w:val="left"/>
              <w:rPr>
                <w:rFonts w:eastAsia="Arial TUR" w:cs="Arial"/>
                <w:color w:val="000000" w:themeColor="text1"/>
                <w:sz w:val="16"/>
                <w:szCs w:val="16"/>
                <w:lang w:eastAsia="en-US"/>
              </w:rPr>
            </w:pPr>
            <w:r w:rsidRPr="002224D0">
              <w:rPr>
                <w:rFonts w:eastAsia="Arial TUR" w:cs="Arial"/>
                <w:color w:val="000000" w:themeColor="text1"/>
                <w:sz w:val="16"/>
                <w:szCs w:val="16"/>
                <w:lang w:eastAsia="en-US"/>
              </w:rPr>
              <w:t>Monitoring Report Findings</w:t>
            </w:r>
          </w:p>
        </w:tc>
      </w:tr>
      <w:tr w:rsidR="000E280D" w:rsidRPr="00EE43C6" w14:paraId="32B1DABC" w14:textId="77777777" w:rsidTr="000E280D">
        <w:trPr>
          <w:trHeight w:val="161"/>
        </w:trPr>
        <w:tc>
          <w:tcPr>
            <w:tcW w:w="200" w:type="pct"/>
            <w:tcBorders>
              <w:left w:val="single" w:sz="4" w:space="0" w:color="auto"/>
              <w:right w:val="single" w:sz="4" w:space="0" w:color="auto"/>
            </w:tcBorders>
          </w:tcPr>
          <w:p w14:paraId="105DCD21" w14:textId="02EA8D19" w:rsidR="00975228" w:rsidRPr="00EE43C6" w:rsidRDefault="00975228" w:rsidP="00854BE8">
            <w:pPr>
              <w:spacing w:before="0" w:after="0" w:line="240" w:lineRule="auto"/>
              <w:jc w:val="left"/>
              <w:rPr>
                <w:rFonts w:cs="Arial"/>
                <w:snapToGrid w:val="0"/>
                <w:sz w:val="16"/>
                <w:szCs w:val="16"/>
                <w:lang w:eastAsia="en-GB"/>
              </w:rPr>
            </w:pPr>
            <w:r w:rsidRPr="00EE43C6">
              <w:rPr>
                <w:rFonts w:cs="Arial"/>
                <w:snapToGrid w:val="0"/>
                <w:sz w:val="16"/>
                <w:szCs w:val="16"/>
                <w:lang w:eastAsia="en-GB"/>
              </w:rPr>
              <w:lastRenderedPageBreak/>
              <w:t>O</w:t>
            </w:r>
            <w:r w:rsidR="00894B7E">
              <w:rPr>
                <w:rFonts w:cs="Arial"/>
                <w:snapToGrid w:val="0"/>
                <w:sz w:val="16"/>
                <w:szCs w:val="16"/>
                <w:lang w:eastAsia="en-GB"/>
              </w:rPr>
              <w:t>10</w:t>
            </w:r>
          </w:p>
        </w:tc>
        <w:tc>
          <w:tcPr>
            <w:tcW w:w="403" w:type="pct"/>
            <w:tcBorders>
              <w:left w:val="single" w:sz="4" w:space="0" w:color="auto"/>
              <w:right w:val="single" w:sz="4" w:space="0" w:color="auto"/>
            </w:tcBorders>
            <w:shd w:val="clear" w:color="auto" w:fill="auto"/>
          </w:tcPr>
          <w:p w14:paraId="7993328B" w14:textId="77777777" w:rsidR="00975228" w:rsidRPr="00EE43C6" w:rsidRDefault="00975228" w:rsidP="00854BE8">
            <w:pPr>
              <w:spacing w:before="0" w:after="0" w:line="240" w:lineRule="auto"/>
              <w:ind w:left="-60" w:right="-146" w:firstLine="14"/>
              <w:jc w:val="left"/>
              <w:rPr>
                <w:rFonts w:cs="Arial"/>
                <w:b/>
                <w:snapToGrid w:val="0"/>
                <w:sz w:val="16"/>
                <w:szCs w:val="16"/>
                <w:lang w:eastAsia="en-GB"/>
              </w:rPr>
            </w:pPr>
            <w:r w:rsidRPr="00EE43C6">
              <w:rPr>
                <w:rFonts w:eastAsia="Calibri" w:cs="Arial"/>
                <w:b/>
                <w:bCs/>
                <w:sz w:val="16"/>
                <w:szCs w:val="16"/>
                <w:lang w:eastAsia="en-US"/>
              </w:rPr>
              <w:t>Waste and Chemical Management</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noWrap/>
          </w:tcPr>
          <w:p w14:paraId="1F06EA3F" w14:textId="77777777" w:rsidR="00975228" w:rsidRPr="00EE43C6" w:rsidRDefault="00975228" w:rsidP="00854BE8">
            <w:pPr>
              <w:spacing w:before="0" w:after="0" w:line="240" w:lineRule="auto"/>
              <w:jc w:val="left"/>
              <w:rPr>
                <w:rFonts w:cs="Arial"/>
                <w:color w:val="000000"/>
                <w:sz w:val="16"/>
                <w:szCs w:val="16"/>
                <w:lang w:eastAsia="tr-TR"/>
              </w:rPr>
            </w:pPr>
            <w:r w:rsidRPr="00EE43C6">
              <w:rPr>
                <w:rFonts w:cs="Arial"/>
                <w:color w:val="000000"/>
                <w:sz w:val="16"/>
                <w:szCs w:val="16"/>
                <w:lang w:eastAsia="tr-TR"/>
              </w:rPr>
              <w:t>Waste generation</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67552E27"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Adverse</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49D88202"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High</w:t>
            </w:r>
          </w:p>
        </w:tc>
        <w:tc>
          <w:tcPr>
            <w:tcW w:w="350" w:type="pct"/>
            <w:tcBorders>
              <w:top w:val="single" w:sz="4" w:space="0" w:color="auto"/>
              <w:left w:val="single" w:sz="4" w:space="0" w:color="auto"/>
              <w:bottom w:val="single" w:sz="4" w:space="0" w:color="auto"/>
              <w:right w:val="single" w:sz="4" w:space="0" w:color="auto"/>
            </w:tcBorders>
          </w:tcPr>
          <w:p w14:paraId="12005987" w14:textId="7B339800" w:rsidR="00975228" w:rsidRPr="00EE43C6" w:rsidRDefault="00BF38B6" w:rsidP="00854BE8">
            <w:pPr>
              <w:spacing w:before="0" w:after="0" w:line="240" w:lineRule="auto"/>
              <w:jc w:val="left"/>
              <w:rPr>
                <w:rFonts w:cs="Arial"/>
                <w:color w:val="000000"/>
                <w:sz w:val="16"/>
                <w:szCs w:val="16"/>
              </w:rPr>
            </w:pPr>
            <w:r w:rsidRPr="00EE43C6">
              <w:rPr>
                <w:rFonts w:cs="Arial"/>
                <w:color w:val="000000"/>
                <w:sz w:val="16"/>
                <w:szCs w:val="16"/>
              </w:rPr>
              <w:t>No additional costs</w:t>
            </w:r>
          </w:p>
        </w:tc>
        <w:tc>
          <w:tcPr>
            <w:tcW w:w="963" w:type="pct"/>
            <w:gridSpan w:val="2"/>
            <w:tcBorders>
              <w:top w:val="single" w:sz="4" w:space="0" w:color="auto"/>
              <w:left w:val="single" w:sz="4" w:space="0" w:color="auto"/>
              <w:bottom w:val="single" w:sz="4" w:space="0" w:color="auto"/>
              <w:right w:val="single" w:sz="4" w:space="0" w:color="auto"/>
            </w:tcBorders>
            <w:shd w:val="clear" w:color="auto" w:fill="auto"/>
            <w:noWrap/>
          </w:tcPr>
          <w:p w14:paraId="75428383" w14:textId="76EF5A0E" w:rsidR="00D8701E" w:rsidRDefault="00FF7893"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Pr>
                <w:rFonts w:eastAsia="Arial TUR"/>
                <w:noProof w:val="0"/>
                <w:sz w:val="16"/>
                <w:szCs w:val="16"/>
              </w:rPr>
              <w:t>Waste Management Plan will be prepared for the operation phase of the Project.</w:t>
            </w:r>
          </w:p>
          <w:p w14:paraId="32773881" w14:textId="67C114A9" w:rsidR="00975228" w:rsidRPr="00EE43C6" w:rsidRDefault="64E9DE45"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EE43C6">
              <w:rPr>
                <w:rFonts w:eastAsia="Arial TUR"/>
                <w:noProof w:val="0"/>
                <w:sz w:val="16"/>
                <w:szCs w:val="16"/>
              </w:rPr>
              <w:t>Waste will be characterized based on their composition, source, types, generation rates or local legal requirements.</w:t>
            </w:r>
          </w:p>
          <w:p w14:paraId="22BF8A00" w14:textId="77777777" w:rsidR="00975228" w:rsidRPr="00EE43C6" w:rsidRDefault="64E9DE45"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EE43C6">
              <w:rPr>
                <w:rFonts w:eastAsia="Arial TUR"/>
                <w:noProof w:val="0"/>
                <w:sz w:val="16"/>
                <w:szCs w:val="16"/>
              </w:rPr>
              <w:t xml:space="preserve">In addition to the adoption of waste prevention strategies, putting recycling plans into practice will considerably </w:t>
            </w:r>
            <w:r w:rsidRPr="00EE43C6">
              <w:rPr>
                <w:rFonts w:eastAsia="Arial TUR"/>
                <w:noProof w:val="0"/>
                <w:sz w:val="16"/>
                <w:szCs w:val="16"/>
              </w:rPr>
              <w:lastRenderedPageBreak/>
              <w:t>reduce the total amount of waste.</w:t>
            </w:r>
          </w:p>
          <w:p w14:paraId="291DF360" w14:textId="77777777" w:rsidR="00975228" w:rsidRPr="00EE43C6" w:rsidRDefault="64E9DE45"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EE43C6">
              <w:rPr>
                <w:rFonts w:eastAsia="Arial TUR"/>
                <w:noProof w:val="0"/>
                <w:sz w:val="16"/>
                <w:szCs w:val="16"/>
              </w:rPr>
              <w:t>If waste materials are still generated after appropriate waste prevention, reduction, reuse, and recycling measures are put into action, all necessary measures will be taken to avoid potential effects of waste material treatment and disposal on human health and the environment.</w:t>
            </w:r>
          </w:p>
          <w:p w14:paraId="7D0E6763" w14:textId="77777777" w:rsidR="00975228" w:rsidRPr="00EE43C6" w:rsidRDefault="64E9DE45" w:rsidP="000E280D">
            <w:pPr>
              <w:pStyle w:val="ListParagraph"/>
              <w:numPr>
                <w:ilvl w:val="0"/>
                <w:numId w:val="7"/>
              </w:numPr>
              <w:spacing w:before="60" w:after="60" w:line="240" w:lineRule="auto"/>
              <w:ind w:left="113" w:right="113" w:hanging="180"/>
              <w:contextualSpacing w:val="0"/>
              <w:jc w:val="left"/>
              <w:rPr>
                <w:noProof w:val="0"/>
                <w:sz w:val="16"/>
                <w:szCs w:val="16"/>
              </w:rPr>
            </w:pPr>
            <w:r w:rsidRPr="00EE43C6">
              <w:rPr>
                <w:rFonts w:eastAsia="Arial TUR"/>
                <w:noProof w:val="0"/>
                <w:sz w:val="16"/>
                <w:szCs w:val="16"/>
              </w:rPr>
              <w:t>The following measures will be taken, including the oils, greases to be used during maintenance activities and chemicals used during the operation of the Project. All storage tanks and drums will be placed on concrete areas with proper secondary containments. When necessary; spill kits, absorbent pads or materials and adsorbent sands will be provided near the chemical storage areas at all times.</w:t>
            </w:r>
          </w:p>
        </w:tc>
        <w:tc>
          <w:tcPr>
            <w:tcW w:w="454" w:type="pct"/>
            <w:tcBorders>
              <w:top w:val="single" w:sz="4" w:space="0" w:color="auto"/>
              <w:left w:val="single" w:sz="4" w:space="0" w:color="auto"/>
              <w:bottom w:val="single" w:sz="4" w:space="0" w:color="auto"/>
              <w:right w:val="single" w:sz="4" w:space="0" w:color="auto"/>
            </w:tcBorders>
          </w:tcPr>
          <w:p w14:paraId="2CA1460A" w14:textId="19C40278" w:rsidR="00975228" w:rsidRPr="00EE43C6" w:rsidRDefault="00B561CF" w:rsidP="00854BE8">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lastRenderedPageBreak/>
              <w:t>TUIOSB</w:t>
            </w:r>
          </w:p>
          <w:p w14:paraId="4208B7E3" w14:textId="055B2062" w:rsidR="00975228" w:rsidRPr="00EE43C6" w:rsidRDefault="00975228" w:rsidP="00854BE8">
            <w:pPr>
              <w:autoSpaceDE w:val="0"/>
              <w:autoSpaceDN w:val="0"/>
              <w:adjustRightInd w:val="0"/>
              <w:spacing w:before="0" w:after="0" w:line="240" w:lineRule="auto"/>
              <w:jc w:val="left"/>
              <w:rPr>
                <w:rFonts w:cs="Arial"/>
                <w:color w:val="000000"/>
                <w:sz w:val="16"/>
                <w:szCs w:val="16"/>
              </w:rPr>
            </w:pPr>
          </w:p>
        </w:tc>
        <w:tc>
          <w:tcPr>
            <w:tcW w:w="662" w:type="pct"/>
            <w:gridSpan w:val="2"/>
            <w:tcBorders>
              <w:top w:val="single" w:sz="4" w:space="0" w:color="auto"/>
              <w:left w:val="single" w:sz="4" w:space="0" w:color="auto"/>
              <w:bottom w:val="single" w:sz="4" w:space="0" w:color="auto"/>
              <w:right w:val="single" w:sz="4" w:space="0" w:color="auto"/>
            </w:tcBorders>
          </w:tcPr>
          <w:p w14:paraId="63835987" w14:textId="7777777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Total waste generated</w:t>
            </w:r>
          </w:p>
          <w:p w14:paraId="410E769F" w14:textId="77777777" w:rsidR="00975228" w:rsidRPr="00EE43C6" w:rsidRDefault="64E9DE45" w:rsidP="00854BE8">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Ratio of hazardous waste generated to total waste (by contamination + by generation)</w:t>
            </w:r>
          </w:p>
          <w:p w14:paraId="62E97EC9" w14:textId="77777777" w:rsidR="00975228" w:rsidRPr="00EE43C6" w:rsidRDefault="64E9DE45" w:rsidP="00854BE8">
            <w:pPr>
              <w:numPr>
                <w:ilvl w:val="0"/>
                <w:numId w:val="7"/>
              </w:numPr>
              <w:spacing w:before="0" w:after="0" w:line="240" w:lineRule="auto"/>
              <w:ind w:left="113" w:right="113" w:hanging="180"/>
              <w:jc w:val="left"/>
              <w:rPr>
                <w:rFonts w:cs="Arial"/>
                <w:sz w:val="16"/>
                <w:szCs w:val="16"/>
                <w:lang w:eastAsia="tr-TR"/>
              </w:rPr>
            </w:pPr>
            <w:r w:rsidRPr="00EE43C6">
              <w:rPr>
                <w:rFonts w:eastAsia="Arial TUR" w:cs="Arial"/>
                <w:color w:val="000000" w:themeColor="text1"/>
                <w:sz w:val="16"/>
                <w:szCs w:val="16"/>
                <w:lang w:eastAsia="en-US"/>
              </w:rPr>
              <w:t>Ratio of recovered/reused/ recycled waste to total waste generated</w:t>
            </w:r>
          </w:p>
        </w:tc>
      </w:tr>
      <w:tr w:rsidR="000E280D" w:rsidRPr="00EE43C6" w14:paraId="37A8CE65" w14:textId="77777777" w:rsidTr="000E280D">
        <w:trPr>
          <w:trHeight w:val="161"/>
        </w:trPr>
        <w:tc>
          <w:tcPr>
            <w:tcW w:w="200" w:type="pct"/>
            <w:tcBorders>
              <w:left w:val="single" w:sz="4" w:space="0" w:color="auto"/>
              <w:right w:val="single" w:sz="4" w:space="0" w:color="auto"/>
            </w:tcBorders>
          </w:tcPr>
          <w:p w14:paraId="6C211F7B" w14:textId="5DB900C4" w:rsidR="00975228" w:rsidRPr="00EE43C6" w:rsidRDefault="00975228" w:rsidP="00854BE8">
            <w:pPr>
              <w:spacing w:before="0" w:after="0" w:line="240" w:lineRule="auto"/>
              <w:jc w:val="left"/>
              <w:rPr>
                <w:rFonts w:cs="Arial"/>
                <w:snapToGrid w:val="0"/>
                <w:sz w:val="16"/>
                <w:szCs w:val="16"/>
                <w:lang w:eastAsia="en-GB"/>
              </w:rPr>
            </w:pPr>
            <w:r w:rsidRPr="00EE43C6">
              <w:rPr>
                <w:rFonts w:cs="Arial"/>
                <w:snapToGrid w:val="0"/>
                <w:sz w:val="16"/>
                <w:szCs w:val="16"/>
                <w:lang w:eastAsia="en-GB"/>
              </w:rPr>
              <w:t>O</w:t>
            </w:r>
            <w:r w:rsidR="00E27033" w:rsidRPr="00EE43C6">
              <w:rPr>
                <w:rFonts w:cs="Arial"/>
                <w:snapToGrid w:val="0"/>
                <w:sz w:val="16"/>
                <w:szCs w:val="16"/>
                <w:lang w:eastAsia="en-GB"/>
              </w:rPr>
              <w:t>1</w:t>
            </w:r>
            <w:r w:rsidR="00894B7E">
              <w:rPr>
                <w:rFonts w:cs="Arial"/>
                <w:snapToGrid w:val="0"/>
                <w:sz w:val="16"/>
                <w:szCs w:val="16"/>
                <w:lang w:eastAsia="en-GB"/>
              </w:rPr>
              <w:t>1</w:t>
            </w:r>
          </w:p>
        </w:tc>
        <w:tc>
          <w:tcPr>
            <w:tcW w:w="403" w:type="pct"/>
            <w:tcBorders>
              <w:left w:val="single" w:sz="4" w:space="0" w:color="auto"/>
              <w:right w:val="single" w:sz="4" w:space="0" w:color="auto"/>
            </w:tcBorders>
            <w:shd w:val="clear" w:color="auto" w:fill="auto"/>
          </w:tcPr>
          <w:p w14:paraId="4DC1B2EF" w14:textId="77777777" w:rsidR="00975228" w:rsidRPr="00EE43C6" w:rsidRDefault="00975228" w:rsidP="00854BE8">
            <w:pPr>
              <w:spacing w:before="0" w:after="0" w:line="240" w:lineRule="auto"/>
              <w:ind w:left="-102" w:right="-118" w:firstLine="14"/>
              <w:jc w:val="left"/>
              <w:rPr>
                <w:rFonts w:cs="Arial"/>
                <w:b/>
                <w:snapToGrid w:val="0"/>
                <w:sz w:val="16"/>
                <w:szCs w:val="16"/>
                <w:lang w:eastAsia="en-GB"/>
              </w:rPr>
            </w:pPr>
            <w:r w:rsidRPr="00EE43C6">
              <w:rPr>
                <w:rFonts w:cs="Arial"/>
                <w:b/>
                <w:bCs/>
                <w:snapToGrid w:val="0"/>
                <w:sz w:val="16"/>
                <w:szCs w:val="16"/>
                <w:lang w:eastAsia="en-GB"/>
              </w:rPr>
              <w:t>Waste Batteries and Accumulators</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noWrap/>
          </w:tcPr>
          <w:p w14:paraId="1AFA6167" w14:textId="77777777" w:rsidR="00975228" w:rsidRPr="00EE43C6" w:rsidRDefault="00975228" w:rsidP="00854BE8">
            <w:pPr>
              <w:spacing w:before="0" w:after="0" w:line="240" w:lineRule="auto"/>
              <w:jc w:val="left"/>
              <w:rPr>
                <w:rFonts w:cs="Arial"/>
                <w:color w:val="000000"/>
                <w:sz w:val="16"/>
                <w:szCs w:val="16"/>
                <w:lang w:eastAsia="tr-TR"/>
              </w:rPr>
            </w:pPr>
            <w:r w:rsidRPr="00EE43C6">
              <w:rPr>
                <w:rFonts w:cs="Arial"/>
                <w:color w:val="000000"/>
                <w:sz w:val="16"/>
                <w:szCs w:val="16"/>
                <w:lang w:eastAsia="tr-TR"/>
              </w:rPr>
              <w:t>Waste generation</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12777973"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Adverse</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0C7AD9C4"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Low</w:t>
            </w:r>
          </w:p>
        </w:tc>
        <w:tc>
          <w:tcPr>
            <w:tcW w:w="350" w:type="pct"/>
            <w:tcBorders>
              <w:top w:val="single" w:sz="4" w:space="0" w:color="auto"/>
              <w:left w:val="single" w:sz="4" w:space="0" w:color="auto"/>
              <w:bottom w:val="single" w:sz="4" w:space="0" w:color="auto"/>
              <w:right w:val="single" w:sz="4" w:space="0" w:color="auto"/>
            </w:tcBorders>
          </w:tcPr>
          <w:p w14:paraId="6000F564" w14:textId="1D5F5092" w:rsidR="00975228" w:rsidRPr="00EE43C6" w:rsidRDefault="00BF38B6" w:rsidP="00854BE8">
            <w:pPr>
              <w:spacing w:before="0" w:after="0" w:line="240" w:lineRule="auto"/>
              <w:jc w:val="left"/>
              <w:rPr>
                <w:rFonts w:cs="Arial"/>
                <w:color w:val="000000"/>
                <w:sz w:val="16"/>
                <w:szCs w:val="16"/>
              </w:rPr>
            </w:pPr>
            <w:r w:rsidRPr="00EE43C6">
              <w:rPr>
                <w:rFonts w:cs="Arial"/>
                <w:color w:val="000000"/>
                <w:sz w:val="16"/>
                <w:szCs w:val="16"/>
              </w:rPr>
              <w:t>No additional costs</w:t>
            </w:r>
          </w:p>
        </w:tc>
        <w:tc>
          <w:tcPr>
            <w:tcW w:w="963" w:type="pct"/>
            <w:gridSpan w:val="2"/>
            <w:tcBorders>
              <w:top w:val="single" w:sz="4" w:space="0" w:color="auto"/>
              <w:left w:val="single" w:sz="4" w:space="0" w:color="auto"/>
              <w:bottom w:val="single" w:sz="4" w:space="0" w:color="auto"/>
              <w:right w:val="single" w:sz="4" w:space="0" w:color="auto"/>
            </w:tcBorders>
            <w:shd w:val="clear" w:color="auto" w:fill="auto"/>
            <w:noWrap/>
          </w:tcPr>
          <w:p w14:paraId="1FD2D838" w14:textId="77777777" w:rsidR="00975228" w:rsidRPr="00EE43C6" w:rsidRDefault="64E9DE45"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EE43C6">
              <w:rPr>
                <w:rFonts w:eastAsia="Arial TUR"/>
                <w:noProof w:val="0"/>
                <w:sz w:val="16"/>
                <w:szCs w:val="16"/>
              </w:rPr>
              <w:t>Waste batteries will be collected separately from other wastes, delivered to authorized organizations and recycled.</w:t>
            </w:r>
          </w:p>
          <w:p w14:paraId="76BD9C7B" w14:textId="77777777" w:rsidR="00975228" w:rsidRPr="00EE43C6" w:rsidRDefault="64E9DE45" w:rsidP="000E280D">
            <w:pPr>
              <w:pStyle w:val="ListParagraph"/>
              <w:numPr>
                <w:ilvl w:val="0"/>
                <w:numId w:val="7"/>
              </w:numPr>
              <w:spacing w:before="60" w:after="60" w:line="240" w:lineRule="auto"/>
              <w:ind w:left="113" w:right="113" w:hanging="180"/>
              <w:contextualSpacing w:val="0"/>
              <w:jc w:val="left"/>
              <w:rPr>
                <w:noProof w:val="0"/>
                <w:sz w:val="16"/>
                <w:szCs w:val="16"/>
              </w:rPr>
            </w:pPr>
            <w:r w:rsidRPr="00EE43C6">
              <w:rPr>
                <w:rFonts w:eastAsia="Arial TUR"/>
                <w:noProof w:val="0"/>
                <w:sz w:val="16"/>
                <w:szCs w:val="16"/>
              </w:rPr>
              <w:t>Waste batteries and accumulators will be delivered to waste battery and accumulator disposal facilities within the Municipal boundaries through authorized transportation companies.</w:t>
            </w:r>
          </w:p>
        </w:tc>
        <w:tc>
          <w:tcPr>
            <w:tcW w:w="454" w:type="pct"/>
            <w:tcBorders>
              <w:top w:val="single" w:sz="4" w:space="0" w:color="auto"/>
              <w:left w:val="single" w:sz="4" w:space="0" w:color="auto"/>
              <w:bottom w:val="single" w:sz="4" w:space="0" w:color="auto"/>
              <w:right w:val="single" w:sz="4" w:space="0" w:color="auto"/>
            </w:tcBorders>
          </w:tcPr>
          <w:p w14:paraId="6329071A" w14:textId="727A5E9A" w:rsidR="00975228" w:rsidRPr="00EE43C6" w:rsidRDefault="00B561CF" w:rsidP="00854BE8">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t>TUIOSB</w:t>
            </w:r>
          </w:p>
          <w:p w14:paraId="38026A5B" w14:textId="6CA2C40F" w:rsidR="00975228" w:rsidRPr="00EE43C6" w:rsidRDefault="00975228" w:rsidP="00854BE8">
            <w:pPr>
              <w:autoSpaceDE w:val="0"/>
              <w:autoSpaceDN w:val="0"/>
              <w:adjustRightInd w:val="0"/>
              <w:spacing w:before="0" w:after="0" w:line="240" w:lineRule="auto"/>
              <w:jc w:val="left"/>
              <w:rPr>
                <w:rFonts w:cs="Arial"/>
                <w:color w:val="000000"/>
                <w:sz w:val="16"/>
                <w:szCs w:val="16"/>
              </w:rPr>
            </w:pPr>
          </w:p>
        </w:tc>
        <w:tc>
          <w:tcPr>
            <w:tcW w:w="662" w:type="pct"/>
            <w:gridSpan w:val="2"/>
            <w:tcBorders>
              <w:top w:val="single" w:sz="4" w:space="0" w:color="auto"/>
              <w:left w:val="single" w:sz="4" w:space="0" w:color="auto"/>
              <w:bottom w:val="single" w:sz="4" w:space="0" w:color="auto"/>
              <w:right w:val="single" w:sz="4" w:space="0" w:color="auto"/>
            </w:tcBorders>
          </w:tcPr>
          <w:p w14:paraId="4FB6ECD7" w14:textId="77777777" w:rsidR="00975228" w:rsidRPr="00EE43C6" w:rsidRDefault="64E9DE45" w:rsidP="00854BE8">
            <w:pPr>
              <w:numPr>
                <w:ilvl w:val="0"/>
                <w:numId w:val="7"/>
              </w:numPr>
              <w:spacing w:before="0" w:after="0" w:line="240" w:lineRule="auto"/>
              <w:ind w:left="113" w:right="113" w:hanging="180"/>
              <w:jc w:val="left"/>
              <w:rPr>
                <w:rFonts w:cs="Arial"/>
                <w:sz w:val="16"/>
                <w:szCs w:val="16"/>
                <w:lang w:eastAsia="tr-TR"/>
              </w:rPr>
            </w:pPr>
            <w:r w:rsidRPr="00EE43C6">
              <w:rPr>
                <w:rFonts w:eastAsia="Arial TUR" w:cs="Arial"/>
                <w:color w:val="000000" w:themeColor="text1"/>
                <w:sz w:val="16"/>
                <w:szCs w:val="16"/>
                <w:lang w:eastAsia="en-US"/>
              </w:rPr>
              <w:t>Total waste generated</w:t>
            </w:r>
          </w:p>
        </w:tc>
      </w:tr>
      <w:tr w:rsidR="000E280D" w:rsidRPr="00EE43C6" w14:paraId="3D674F7B" w14:textId="77777777" w:rsidTr="000E280D">
        <w:trPr>
          <w:trHeight w:val="161"/>
        </w:trPr>
        <w:tc>
          <w:tcPr>
            <w:tcW w:w="200" w:type="pct"/>
            <w:tcBorders>
              <w:left w:val="single" w:sz="4" w:space="0" w:color="auto"/>
              <w:right w:val="single" w:sz="4" w:space="0" w:color="auto"/>
            </w:tcBorders>
          </w:tcPr>
          <w:p w14:paraId="6202CDCF" w14:textId="6145508F" w:rsidR="00975228" w:rsidRPr="00EE43C6" w:rsidRDefault="00975228" w:rsidP="00854BE8">
            <w:pPr>
              <w:spacing w:before="0" w:after="0" w:line="240" w:lineRule="auto"/>
              <w:jc w:val="left"/>
              <w:rPr>
                <w:rFonts w:cs="Arial"/>
                <w:snapToGrid w:val="0"/>
                <w:sz w:val="16"/>
                <w:szCs w:val="16"/>
                <w:lang w:eastAsia="en-GB"/>
              </w:rPr>
            </w:pPr>
            <w:r w:rsidRPr="00EE43C6">
              <w:rPr>
                <w:rFonts w:cs="Arial"/>
                <w:snapToGrid w:val="0"/>
                <w:sz w:val="16"/>
                <w:szCs w:val="16"/>
                <w:lang w:eastAsia="en-GB"/>
              </w:rPr>
              <w:t>O1</w:t>
            </w:r>
            <w:r w:rsidR="00894B7E">
              <w:rPr>
                <w:rFonts w:cs="Arial"/>
                <w:snapToGrid w:val="0"/>
                <w:sz w:val="16"/>
                <w:szCs w:val="16"/>
                <w:lang w:eastAsia="en-GB"/>
              </w:rPr>
              <w:t>2</w:t>
            </w:r>
          </w:p>
        </w:tc>
        <w:tc>
          <w:tcPr>
            <w:tcW w:w="403" w:type="pct"/>
            <w:tcBorders>
              <w:left w:val="single" w:sz="4" w:space="0" w:color="auto"/>
              <w:right w:val="single" w:sz="4" w:space="0" w:color="auto"/>
            </w:tcBorders>
            <w:shd w:val="clear" w:color="auto" w:fill="auto"/>
          </w:tcPr>
          <w:p w14:paraId="209E653A" w14:textId="77777777" w:rsidR="00975228" w:rsidRPr="00EE43C6" w:rsidRDefault="00975228" w:rsidP="00AF11E2">
            <w:pPr>
              <w:spacing w:before="0" w:after="0" w:line="240" w:lineRule="auto"/>
              <w:ind w:left="-102" w:right="-118" w:firstLine="14"/>
              <w:jc w:val="left"/>
              <w:rPr>
                <w:rFonts w:cs="Arial"/>
                <w:b/>
                <w:snapToGrid w:val="0"/>
                <w:sz w:val="16"/>
                <w:szCs w:val="16"/>
                <w:lang w:eastAsia="en-GB"/>
              </w:rPr>
            </w:pPr>
            <w:r w:rsidRPr="00EE43C6">
              <w:rPr>
                <w:rFonts w:cs="Arial"/>
                <w:b/>
                <w:bCs/>
                <w:snapToGrid w:val="0"/>
                <w:sz w:val="16"/>
                <w:szCs w:val="16"/>
                <w:lang w:eastAsia="en-GB"/>
              </w:rPr>
              <w:t>Medical Waste</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noWrap/>
          </w:tcPr>
          <w:p w14:paraId="779E328A" w14:textId="77777777" w:rsidR="00975228" w:rsidRPr="00EE43C6" w:rsidRDefault="00975228" w:rsidP="00854BE8">
            <w:pPr>
              <w:spacing w:before="0" w:after="0" w:line="240" w:lineRule="auto"/>
              <w:jc w:val="left"/>
              <w:rPr>
                <w:rFonts w:cs="Arial"/>
                <w:color w:val="000000"/>
                <w:sz w:val="16"/>
                <w:szCs w:val="16"/>
                <w:lang w:eastAsia="tr-TR"/>
              </w:rPr>
            </w:pPr>
            <w:r w:rsidRPr="00EE43C6">
              <w:rPr>
                <w:rFonts w:cs="Arial"/>
                <w:color w:val="000000"/>
                <w:sz w:val="16"/>
                <w:szCs w:val="16"/>
                <w:lang w:eastAsia="tr-TR"/>
              </w:rPr>
              <w:t>Waste generation</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0B05DB7C"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Adverse</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7AC1E78E" w14:textId="77777777" w:rsidR="00975228" w:rsidRPr="00EE43C6" w:rsidRDefault="00975228" w:rsidP="00854BE8">
            <w:pPr>
              <w:spacing w:before="0" w:after="0" w:line="240" w:lineRule="auto"/>
              <w:jc w:val="left"/>
              <w:rPr>
                <w:rFonts w:cs="Arial"/>
                <w:snapToGrid w:val="0"/>
                <w:color w:val="000000"/>
                <w:sz w:val="16"/>
                <w:szCs w:val="16"/>
                <w:lang w:eastAsia="tr-TR"/>
              </w:rPr>
            </w:pPr>
            <w:r w:rsidRPr="00EE43C6">
              <w:rPr>
                <w:rFonts w:cs="Arial"/>
                <w:bCs/>
                <w:snapToGrid w:val="0"/>
                <w:color w:val="000000"/>
                <w:sz w:val="16"/>
                <w:szCs w:val="16"/>
                <w:lang w:eastAsia="tr-TR"/>
              </w:rPr>
              <w:t>Low</w:t>
            </w:r>
          </w:p>
        </w:tc>
        <w:tc>
          <w:tcPr>
            <w:tcW w:w="350" w:type="pct"/>
            <w:tcBorders>
              <w:top w:val="single" w:sz="4" w:space="0" w:color="auto"/>
              <w:left w:val="single" w:sz="4" w:space="0" w:color="auto"/>
              <w:bottom w:val="single" w:sz="4" w:space="0" w:color="auto"/>
              <w:right w:val="single" w:sz="4" w:space="0" w:color="auto"/>
            </w:tcBorders>
          </w:tcPr>
          <w:p w14:paraId="7BDD25AC" w14:textId="3B30576A" w:rsidR="00975228" w:rsidRPr="00EE43C6" w:rsidRDefault="00BF38B6" w:rsidP="00854BE8">
            <w:pPr>
              <w:spacing w:before="0" w:after="0" w:line="240" w:lineRule="auto"/>
              <w:jc w:val="left"/>
              <w:rPr>
                <w:rFonts w:cs="Arial"/>
                <w:color w:val="000000"/>
                <w:sz w:val="16"/>
                <w:szCs w:val="16"/>
              </w:rPr>
            </w:pPr>
            <w:r w:rsidRPr="00EE43C6">
              <w:rPr>
                <w:rFonts w:cs="Arial"/>
                <w:color w:val="000000"/>
                <w:sz w:val="16"/>
                <w:szCs w:val="16"/>
              </w:rPr>
              <w:t>No additional costs</w:t>
            </w:r>
          </w:p>
        </w:tc>
        <w:tc>
          <w:tcPr>
            <w:tcW w:w="963" w:type="pct"/>
            <w:gridSpan w:val="2"/>
            <w:tcBorders>
              <w:top w:val="single" w:sz="4" w:space="0" w:color="auto"/>
              <w:left w:val="single" w:sz="4" w:space="0" w:color="auto"/>
              <w:bottom w:val="single" w:sz="4" w:space="0" w:color="auto"/>
              <w:right w:val="single" w:sz="4" w:space="0" w:color="auto"/>
            </w:tcBorders>
            <w:shd w:val="clear" w:color="auto" w:fill="auto"/>
            <w:noWrap/>
          </w:tcPr>
          <w:p w14:paraId="6DFB37AF" w14:textId="07C36D2E" w:rsidR="00975228" w:rsidRPr="00EE43C6" w:rsidRDefault="00613B5E" w:rsidP="000E280D">
            <w:pPr>
              <w:pStyle w:val="ListParagraph"/>
              <w:numPr>
                <w:ilvl w:val="0"/>
                <w:numId w:val="7"/>
              </w:numPr>
              <w:spacing w:before="60" w:after="60" w:line="240" w:lineRule="auto"/>
              <w:ind w:left="113" w:right="113" w:hanging="180"/>
              <w:contextualSpacing w:val="0"/>
              <w:jc w:val="left"/>
              <w:rPr>
                <w:noProof w:val="0"/>
                <w:sz w:val="16"/>
                <w:szCs w:val="16"/>
              </w:rPr>
            </w:pPr>
            <w:r w:rsidRPr="00EE43C6">
              <w:rPr>
                <w:rFonts w:eastAsia="Arial TUR"/>
                <w:noProof w:val="0"/>
                <w:sz w:val="16"/>
                <w:szCs w:val="16"/>
              </w:rPr>
              <w:t>I</w:t>
            </w:r>
            <w:r w:rsidR="64E9DE45" w:rsidRPr="00EE43C6">
              <w:rPr>
                <w:rFonts w:eastAsia="Arial TUR"/>
                <w:noProof w:val="0"/>
                <w:sz w:val="16"/>
                <w:szCs w:val="16"/>
              </w:rPr>
              <w:t xml:space="preserve">nfirmary is planned within the Project. </w:t>
            </w:r>
            <w:r w:rsidR="001B4C45" w:rsidRPr="00EE43C6">
              <w:rPr>
                <w:rFonts w:eastAsia="Arial TUR"/>
                <w:noProof w:val="0"/>
                <w:sz w:val="16"/>
                <w:szCs w:val="16"/>
              </w:rPr>
              <w:t>Thus</w:t>
            </w:r>
            <w:r w:rsidR="64E9DE45" w:rsidRPr="00EE43C6">
              <w:rPr>
                <w:rFonts w:eastAsia="Arial TUR"/>
                <w:noProof w:val="0"/>
                <w:sz w:val="16"/>
                <w:szCs w:val="16"/>
              </w:rPr>
              <w:t xml:space="preserve">, red plastic bags of the following qualities will be used: Bearing the 'International Biohazard' emblem, Resistant </w:t>
            </w:r>
            <w:r w:rsidR="64E9DE45" w:rsidRPr="00EE43C6">
              <w:rPr>
                <w:rFonts w:eastAsia="Arial TUR"/>
                <w:noProof w:val="0"/>
                <w:sz w:val="16"/>
                <w:szCs w:val="16"/>
              </w:rPr>
              <w:lastRenderedPageBreak/>
              <w:t>to tearing, puncture, explosion, transportation, made of medium density polyethylene, equipped with seal, with double bottom seam and without bellows, with a 100-micron thick double layer, having a minimum lifting capacity of 10 kilograms, and Bearing 'Caution Medical Waste' warning on both sides. Medical waste will be collected by being filled in coloured plastic bags or boxes made of laminated cardboard or containers of the same qualities at a maximum rate of 3/4. Medical waste bags / containers will be delivered to the nearest healthcare provider or the nearest municipality without being compressed with the help of transportation companies authorized for the transportation of such wastes.</w:t>
            </w:r>
          </w:p>
        </w:tc>
        <w:tc>
          <w:tcPr>
            <w:tcW w:w="454" w:type="pct"/>
            <w:tcBorders>
              <w:top w:val="single" w:sz="4" w:space="0" w:color="auto"/>
              <w:left w:val="single" w:sz="4" w:space="0" w:color="auto"/>
              <w:bottom w:val="single" w:sz="4" w:space="0" w:color="auto"/>
              <w:right w:val="single" w:sz="4" w:space="0" w:color="auto"/>
            </w:tcBorders>
          </w:tcPr>
          <w:p w14:paraId="59942CAF" w14:textId="2EA809A8" w:rsidR="00975228" w:rsidRPr="00EE43C6" w:rsidRDefault="00B561CF" w:rsidP="00854BE8">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lastRenderedPageBreak/>
              <w:t>TUIOSB</w:t>
            </w:r>
          </w:p>
          <w:p w14:paraId="24831602" w14:textId="489652B3" w:rsidR="00975228" w:rsidRPr="00EE43C6" w:rsidRDefault="00975228" w:rsidP="00854BE8">
            <w:pPr>
              <w:autoSpaceDE w:val="0"/>
              <w:autoSpaceDN w:val="0"/>
              <w:adjustRightInd w:val="0"/>
              <w:spacing w:before="0" w:after="0" w:line="240" w:lineRule="auto"/>
              <w:jc w:val="left"/>
              <w:rPr>
                <w:rFonts w:cs="Arial"/>
                <w:color w:val="000000"/>
                <w:sz w:val="16"/>
                <w:szCs w:val="16"/>
              </w:rPr>
            </w:pPr>
          </w:p>
        </w:tc>
        <w:tc>
          <w:tcPr>
            <w:tcW w:w="662" w:type="pct"/>
            <w:gridSpan w:val="2"/>
            <w:tcBorders>
              <w:top w:val="single" w:sz="4" w:space="0" w:color="auto"/>
              <w:left w:val="single" w:sz="4" w:space="0" w:color="auto"/>
              <w:bottom w:val="single" w:sz="4" w:space="0" w:color="auto"/>
              <w:right w:val="single" w:sz="4" w:space="0" w:color="auto"/>
            </w:tcBorders>
          </w:tcPr>
          <w:p w14:paraId="53F01BCC" w14:textId="77777777" w:rsidR="00975228" w:rsidRPr="00EE43C6" w:rsidRDefault="64E9DE45" w:rsidP="00854BE8">
            <w:pPr>
              <w:numPr>
                <w:ilvl w:val="0"/>
                <w:numId w:val="7"/>
              </w:numPr>
              <w:spacing w:before="0" w:after="0" w:line="240" w:lineRule="auto"/>
              <w:ind w:left="113" w:right="113" w:hanging="180"/>
              <w:jc w:val="left"/>
              <w:rPr>
                <w:rFonts w:cs="Arial"/>
                <w:sz w:val="16"/>
                <w:szCs w:val="16"/>
                <w:lang w:eastAsia="tr-TR"/>
              </w:rPr>
            </w:pPr>
            <w:r w:rsidRPr="00EE43C6">
              <w:rPr>
                <w:rFonts w:eastAsia="Arial TUR" w:cs="Arial"/>
                <w:color w:val="000000" w:themeColor="text1"/>
                <w:sz w:val="16"/>
                <w:szCs w:val="16"/>
                <w:lang w:eastAsia="en-US"/>
              </w:rPr>
              <w:t>Total waste generated</w:t>
            </w:r>
          </w:p>
        </w:tc>
      </w:tr>
      <w:tr w:rsidR="000E280D" w:rsidRPr="00EE43C6" w14:paraId="4A02BD4A" w14:textId="77777777" w:rsidTr="000E280D">
        <w:trPr>
          <w:trHeight w:val="161"/>
        </w:trPr>
        <w:tc>
          <w:tcPr>
            <w:tcW w:w="200" w:type="pct"/>
            <w:tcBorders>
              <w:left w:val="single" w:sz="4" w:space="0" w:color="auto"/>
              <w:bottom w:val="single" w:sz="4" w:space="0" w:color="auto"/>
              <w:right w:val="single" w:sz="4" w:space="0" w:color="auto"/>
            </w:tcBorders>
          </w:tcPr>
          <w:p w14:paraId="6D96FFA2" w14:textId="0E4C3A79" w:rsidR="00E36F94" w:rsidRDefault="00E36F94" w:rsidP="00E36F94">
            <w:pPr>
              <w:spacing w:before="0" w:after="0" w:line="240" w:lineRule="auto"/>
              <w:jc w:val="left"/>
              <w:rPr>
                <w:rFonts w:cs="Arial"/>
                <w:snapToGrid w:val="0"/>
                <w:sz w:val="16"/>
                <w:szCs w:val="16"/>
                <w:lang w:eastAsia="en-GB"/>
              </w:rPr>
            </w:pPr>
            <w:r>
              <w:rPr>
                <w:rFonts w:cs="Arial"/>
                <w:snapToGrid w:val="0"/>
                <w:sz w:val="16"/>
                <w:szCs w:val="16"/>
                <w:lang w:eastAsia="en-GB"/>
              </w:rPr>
              <w:t>O13</w:t>
            </w:r>
          </w:p>
        </w:tc>
        <w:tc>
          <w:tcPr>
            <w:tcW w:w="403" w:type="pct"/>
            <w:tcBorders>
              <w:left w:val="single" w:sz="4" w:space="0" w:color="auto"/>
              <w:bottom w:val="single" w:sz="4" w:space="0" w:color="auto"/>
              <w:right w:val="single" w:sz="4" w:space="0" w:color="auto"/>
            </w:tcBorders>
            <w:shd w:val="clear" w:color="auto" w:fill="auto"/>
          </w:tcPr>
          <w:p w14:paraId="54D9C8C9" w14:textId="1D6BEA95" w:rsidR="00E36F94" w:rsidRPr="006D1AB5" w:rsidRDefault="00E36F94" w:rsidP="00E36F94">
            <w:pPr>
              <w:spacing w:before="0" w:after="0" w:line="240" w:lineRule="auto"/>
              <w:jc w:val="left"/>
              <w:rPr>
                <w:rFonts w:cs="Arial"/>
                <w:b/>
                <w:bCs/>
                <w:snapToGrid w:val="0"/>
                <w:sz w:val="16"/>
                <w:szCs w:val="16"/>
                <w:lang w:eastAsia="en-GB"/>
              </w:rPr>
            </w:pPr>
            <w:r w:rsidRPr="006D1AB5">
              <w:rPr>
                <w:rFonts w:cs="Arial"/>
                <w:b/>
                <w:bCs/>
                <w:snapToGrid w:val="0"/>
                <w:sz w:val="16"/>
                <w:szCs w:val="16"/>
                <w:lang w:eastAsia="en-GB"/>
              </w:rPr>
              <w:t>Sludge Disposal</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noWrap/>
          </w:tcPr>
          <w:p w14:paraId="41F8A641" w14:textId="50131990" w:rsidR="00E36F94" w:rsidRPr="001A555E" w:rsidRDefault="00E36F94" w:rsidP="00E36F94">
            <w:pPr>
              <w:spacing w:before="0" w:after="0" w:line="240" w:lineRule="auto"/>
              <w:jc w:val="left"/>
              <w:rPr>
                <w:rFonts w:cs="Arial"/>
                <w:color w:val="000000"/>
                <w:sz w:val="16"/>
                <w:szCs w:val="16"/>
                <w:lang w:eastAsia="tr-TR"/>
              </w:rPr>
            </w:pPr>
            <w:r w:rsidRPr="001A555E">
              <w:rPr>
                <w:rFonts w:cs="Arial"/>
                <w:color w:val="000000"/>
                <w:sz w:val="16"/>
                <w:szCs w:val="16"/>
                <w:lang w:eastAsia="tr-TR"/>
              </w:rPr>
              <w:t>Waste Sludge generation</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7B0EE047" w14:textId="07C89570" w:rsidR="00E36F94" w:rsidRDefault="00E36F94" w:rsidP="00E36F94">
            <w:pPr>
              <w:spacing w:before="0" w:after="0" w:line="240" w:lineRule="auto"/>
              <w:jc w:val="left"/>
              <w:rPr>
                <w:rFonts w:cs="Arial"/>
                <w:bCs/>
                <w:snapToGrid w:val="0"/>
                <w:color w:val="000000"/>
                <w:sz w:val="16"/>
                <w:szCs w:val="16"/>
                <w:lang w:eastAsia="tr-TR"/>
              </w:rPr>
            </w:pPr>
            <w:r>
              <w:rPr>
                <w:rFonts w:cs="Arial"/>
                <w:bCs/>
                <w:snapToGrid w:val="0"/>
                <w:color w:val="000000"/>
                <w:sz w:val="16"/>
                <w:szCs w:val="16"/>
                <w:lang w:eastAsia="tr-TR"/>
              </w:rPr>
              <w:t>Adverse</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04BF0DBD" w14:textId="3519A149" w:rsidR="00E36F94" w:rsidRDefault="00E36F94" w:rsidP="00E36F94">
            <w:pPr>
              <w:spacing w:before="0" w:after="0" w:line="240" w:lineRule="auto"/>
              <w:jc w:val="left"/>
              <w:rPr>
                <w:rFonts w:cs="Arial"/>
                <w:bCs/>
                <w:snapToGrid w:val="0"/>
                <w:color w:val="000000"/>
                <w:sz w:val="16"/>
                <w:szCs w:val="16"/>
                <w:lang w:eastAsia="tr-TR"/>
              </w:rPr>
            </w:pPr>
            <w:r>
              <w:rPr>
                <w:rFonts w:cs="Arial"/>
                <w:bCs/>
                <w:snapToGrid w:val="0"/>
                <w:color w:val="000000"/>
                <w:sz w:val="16"/>
                <w:szCs w:val="16"/>
                <w:lang w:eastAsia="tr-TR"/>
              </w:rPr>
              <w:t>High</w:t>
            </w:r>
          </w:p>
        </w:tc>
        <w:tc>
          <w:tcPr>
            <w:tcW w:w="350" w:type="pct"/>
            <w:tcBorders>
              <w:top w:val="single" w:sz="4" w:space="0" w:color="auto"/>
              <w:left w:val="single" w:sz="4" w:space="0" w:color="auto"/>
              <w:bottom w:val="single" w:sz="4" w:space="0" w:color="auto"/>
              <w:right w:val="single" w:sz="4" w:space="0" w:color="auto"/>
            </w:tcBorders>
          </w:tcPr>
          <w:p w14:paraId="307ECE93" w14:textId="334D3ED1" w:rsidR="00E36F94" w:rsidRPr="00EE43C6" w:rsidRDefault="00E36F94" w:rsidP="00E36F94">
            <w:pPr>
              <w:spacing w:before="0" w:after="0" w:line="240" w:lineRule="auto"/>
              <w:jc w:val="left"/>
              <w:rPr>
                <w:rFonts w:cs="Arial"/>
                <w:color w:val="000000"/>
                <w:sz w:val="16"/>
                <w:szCs w:val="16"/>
              </w:rPr>
            </w:pPr>
            <w:r w:rsidRPr="00EE43C6">
              <w:rPr>
                <w:rFonts w:cs="Arial"/>
                <w:color w:val="000000"/>
                <w:sz w:val="16"/>
                <w:szCs w:val="16"/>
              </w:rPr>
              <w:t>No additional costs</w:t>
            </w:r>
          </w:p>
        </w:tc>
        <w:tc>
          <w:tcPr>
            <w:tcW w:w="963" w:type="pct"/>
            <w:gridSpan w:val="2"/>
            <w:tcBorders>
              <w:top w:val="single" w:sz="4" w:space="0" w:color="auto"/>
              <w:left w:val="single" w:sz="4" w:space="0" w:color="auto"/>
              <w:bottom w:val="single" w:sz="4" w:space="0" w:color="auto"/>
              <w:right w:val="single" w:sz="4" w:space="0" w:color="auto"/>
            </w:tcBorders>
            <w:shd w:val="clear" w:color="auto" w:fill="auto"/>
            <w:noWrap/>
          </w:tcPr>
          <w:p w14:paraId="356FB4D6" w14:textId="77777777" w:rsidR="00E36F94" w:rsidRDefault="00E36F94"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2D34C4">
              <w:rPr>
                <w:rFonts w:eastAsia="Arial TUR"/>
                <w:noProof w:val="0"/>
                <w:sz w:val="16"/>
                <w:szCs w:val="16"/>
              </w:rPr>
              <w:t>After stabilization and dewatering, the excess sludge will be analysed to determine compliance with the Annex-2 of the Regulation on Landfilling of Wastes and if it is deemed appropriate,</w:t>
            </w:r>
          </w:p>
          <w:p w14:paraId="0BC798C0" w14:textId="19795893" w:rsidR="00E36F94" w:rsidRPr="002D34C4" w:rsidRDefault="00E36F94"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7C024E">
              <w:rPr>
                <w:rFonts w:eastAsia="Arial TUR"/>
                <w:noProof w:val="0"/>
                <w:sz w:val="16"/>
                <w:szCs w:val="16"/>
              </w:rPr>
              <w:t>Sludge Management Plan</w:t>
            </w:r>
            <w:r>
              <w:rPr>
                <w:rFonts w:eastAsia="Arial TUR"/>
                <w:noProof w:val="0"/>
                <w:sz w:val="16"/>
                <w:szCs w:val="16"/>
              </w:rPr>
              <w:t xml:space="preserve"> will be implemented.</w:t>
            </w:r>
          </w:p>
        </w:tc>
        <w:tc>
          <w:tcPr>
            <w:tcW w:w="454" w:type="pct"/>
            <w:tcBorders>
              <w:top w:val="single" w:sz="4" w:space="0" w:color="auto"/>
              <w:left w:val="single" w:sz="4" w:space="0" w:color="auto"/>
              <w:bottom w:val="single" w:sz="4" w:space="0" w:color="auto"/>
              <w:right w:val="single" w:sz="4" w:space="0" w:color="auto"/>
            </w:tcBorders>
          </w:tcPr>
          <w:p w14:paraId="033BABD6" w14:textId="5F47C948" w:rsidR="00E36F94" w:rsidRPr="00EE43C6" w:rsidRDefault="00E36F94" w:rsidP="00E36F94">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t>TUIOSB</w:t>
            </w:r>
          </w:p>
        </w:tc>
        <w:tc>
          <w:tcPr>
            <w:tcW w:w="662" w:type="pct"/>
            <w:gridSpan w:val="2"/>
            <w:tcBorders>
              <w:top w:val="single" w:sz="4" w:space="0" w:color="auto"/>
              <w:left w:val="single" w:sz="4" w:space="0" w:color="auto"/>
              <w:bottom w:val="single" w:sz="4" w:space="0" w:color="auto"/>
              <w:right w:val="single" w:sz="4" w:space="0" w:color="auto"/>
            </w:tcBorders>
          </w:tcPr>
          <w:p w14:paraId="6001ACBD" w14:textId="77777777" w:rsidR="00E36F94" w:rsidRPr="00756699" w:rsidRDefault="00E36F94" w:rsidP="00E36F94">
            <w:pPr>
              <w:numPr>
                <w:ilvl w:val="0"/>
                <w:numId w:val="7"/>
              </w:numPr>
              <w:spacing w:before="0" w:after="0" w:line="240" w:lineRule="auto"/>
              <w:ind w:left="113" w:right="113" w:hanging="180"/>
              <w:jc w:val="left"/>
              <w:rPr>
                <w:rFonts w:eastAsia="Arial TUR" w:cs="Arial"/>
                <w:color w:val="000000" w:themeColor="text1"/>
                <w:sz w:val="16"/>
                <w:szCs w:val="16"/>
                <w:lang w:eastAsia="en-US"/>
              </w:rPr>
            </w:pPr>
            <w:r w:rsidRPr="00756699">
              <w:rPr>
                <w:rFonts w:eastAsia="Arial TUR" w:cs="Arial"/>
                <w:color w:val="000000" w:themeColor="text1"/>
                <w:sz w:val="16"/>
                <w:szCs w:val="16"/>
                <w:lang w:eastAsia="en-US"/>
              </w:rPr>
              <w:t>Total waste sludge generated</w:t>
            </w:r>
          </w:p>
          <w:p w14:paraId="233BD90E" w14:textId="3B4CC9D8" w:rsidR="00E36F94" w:rsidRPr="00756699" w:rsidRDefault="00E36F94" w:rsidP="00E36F94">
            <w:pPr>
              <w:numPr>
                <w:ilvl w:val="0"/>
                <w:numId w:val="7"/>
              </w:numPr>
              <w:spacing w:before="0" w:after="0" w:line="240" w:lineRule="auto"/>
              <w:ind w:left="113" w:right="113" w:hanging="180"/>
              <w:jc w:val="left"/>
              <w:rPr>
                <w:rFonts w:eastAsia="Arial TUR" w:cs="Arial"/>
                <w:color w:val="000000" w:themeColor="text1"/>
                <w:sz w:val="16"/>
                <w:szCs w:val="16"/>
                <w:lang w:eastAsia="en-US"/>
              </w:rPr>
            </w:pPr>
            <w:r w:rsidRPr="00756699">
              <w:rPr>
                <w:rFonts w:eastAsia="Arial TUR" w:cs="Arial"/>
                <w:color w:val="000000" w:themeColor="text1"/>
                <w:sz w:val="16"/>
                <w:szCs w:val="16"/>
                <w:lang w:eastAsia="en-US"/>
              </w:rPr>
              <w:t>Ratio of hazardous waste sludge to total waste sludge generated</w:t>
            </w:r>
          </w:p>
        </w:tc>
      </w:tr>
      <w:tr w:rsidR="000E280D" w:rsidRPr="00EE43C6" w14:paraId="54B19209" w14:textId="77777777" w:rsidTr="000E280D">
        <w:trPr>
          <w:gridAfter w:val="1"/>
          <w:wAfter w:w="7" w:type="pct"/>
          <w:trHeight w:val="161"/>
        </w:trPr>
        <w:tc>
          <w:tcPr>
            <w:tcW w:w="200" w:type="pct"/>
            <w:tcBorders>
              <w:left w:val="single" w:sz="4" w:space="0" w:color="auto"/>
              <w:bottom w:val="single" w:sz="4" w:space="0" w:color="auto"/>
              <w:right w:val="single" w:sz="4" w:space="0" w:color="auto"/>
            </w:tcBorders>
          </w:tcPr>
          <w:p w14:paraId="4E62C680" w14:textId="3CD782B1" w:rsidR="00225396" w:rsidRPr="00EE43C6" w:rsidRDefault="00E36F94" w:rsidP="00854BE8">
            <w:pPr>
              <w:spacing w:before="0" w:after="0" w:line="240" w:lineRule="auto"/>
              <w:jc w:val="left"/>
              <w:rPr>
                <w:rFonts w:cs="Arial"/>
                <w:snapToGrid w:val="0"/>
                <w:sz w:val="16"/>
                <w:szCs w:val="16"/>
                <w:lang w:eastAsia="en-GB"/>
              </w:rPr>
            </w:pPr>
            <w:r w:rsidRPr="00EE43C6">
              <w:rPr>
                <w:rFonts w:cs="Arial"/>
                <w:snapToGrid w:val="0"/>
                <w:sz w:val="16"/>
                <w:szCs w:val="16"/>
                <w:lang w:eastAsia="en-GB"/>
              </w:rPr>
              <w:t>O1</w:t>
            </w:r>
            <w:r w:rsidR="0059415D">
              <w:rPr>
                <w:rFonts w:cs="Arial"/>
                <w:snapToGrid w:val="0"/>
                <w:sz w:val="16"/>
                <w:szCs w:val="16"/>
                <w:lang w:eastAsia="en-GB"/>
              </w:rPr>
              <w:t>4</w:t>
            </w:r>
          </w:p>
        </w:tc>
        <w:tc>
          <w:tcPr>
            <w:tcW w:w="403" w:type="pct"/>
            <w:tcBorders>
              <w:left w:val="single" w:sz="4" w:space="0" w:color="auto"/>
              <w:bottom w:val="single" w:sz="4" w:space="0" w:color="auto"/>
              <w:right w:val="single" w:sz="4" w:space="0" w:color="auto"/>
            </w:tcBorders>
            <w:shd w:val="clear" w:color="auto" w:fill="auto"/>
          </w:tcPr>
          <w:p w14:paraId="3E65EBD9" w14:textId="1E13D839" w:rsidR="00225396" w:rsidRPr="00EE43C6" w:rsidRDefault="00E36F94" w:rsidP="00AF11E2">
            <w:pPr>
              <w:spacing w:before="0" w:after="0" w:line="240" w:lineRule="auto"/>
              <w:jc w:val="left"/>
              <w:rPr>
                <w:rFonts w:cs="Arial"/>
                <w:b/>
                <w:bCs/>
                <w:snapToGrid w:val="0"/>
                <w:sz w:val="16"/>
                <w:szCs w:val="16"/>
                <w:lang w:eastAsia="en-GB"/>
              </w:rPr>
            </w:pPr>
            <w:r w:rsidRPr="00EE43C6">
              <w:rPr>
                <w:rFonts w:cs="Arial"/>
                <w:b/>
                <w:bCs/>
                <w:snapToGrid w:val="0"/>
                <w:sz w:val="16"/>
                <w:szCs w:val="16"/>
                <w:lang w:eastAsia="en-GB"/>
              </w:rPr>
              <w:t>Biodiversity</w:t>
            </w:r>
          </w:p>
        </w:tc>
        <w:tc>
          <w:tcPr>
            <w:tcW w:w="858" w:type="pct"/>
            <w:tcBorders>
              <w:top w:val="single" w:sz="4" w:space="0" w:color="auto"/>
              <w:left w:val="single" w:sz="4" w:space="0" w:color="auto"/>
              <w:bottom w:val="single" w:sz="4" w:space="0" w:color="auto"/>
              <w:right w:val="single" w:sz="4" w:space="0" w:color="auto"/>
            </w:tcBorders>
            <w:shd w:val="clear" w:color="auto" w:fill="auto"/>
            <w:noWrap/>
          </w:tcPr>
          <w:p w14:paraId="465FE2A8" w14:textId="77777777" w:rsidR="00E36F94" w:rsidRPr="00EE43C6" w:rsidRDefault="00E36F94" w:rsidP="00E36F94">
            <w:pPr>
              <w:spacing w:before="60" w:after="60" w:line="240" w:lineRule="auto"/>
              <w:jc w:val="left"/>
              <w:rPr>
                <w:rFonts w:eastAsia="Arial" w:cs="Arial"/>
                <w:color w:val="000000" w:themeColor="text1"/>
                <w:sz w:val="16"/>
                <w:szCs w:val="16"/>
              </w:rPr>
            </w:pPr>
            <w:r w:rsidRPr="00EE43C6">
              <w:rPr>
                <w:rFonts w:cs="Arial"/>
                <w:color w:val="000000" w:themeColor="text1"/>
                <w:sz w:val="16"/>
                <w:szCs w:val="16"/>
                <w:lang w:eastAsia="tr-TR"/>
              </w:rPr>
              <w:t>-</w:t>
            </w:r>
            <w:r w:rsidRPr="00EE43C6">
              <w:rPr>
                <w:rFonts w:eastAsia="Arial" w:cs="Arial"/>
                <w:color w:val="000000" w:themeColor="text1"/>
                <w:sz w:val="16"/>
                <w:szCs w:val="16"/>
              </w:rPr>
              <w:t xml:space="preserve"> Disturbance of fauna species due to project</w:t>
            </w:r>
          </w:p>
          <w:p w14:paraId="67871195" w14:textId="77777777" w:rsidR="00E36F94" w:rsidRPr="00EE43C6" w:rsidRDefault="00E36F94" w:rsidP="00E36F94">
            <w:pPr>
              <w:spacing w:before="60" w:after="60" w:line="240" w:lineRule="auto"/>
              <w:jc w:val="left"/>
              <w:rPr>
                <w:rFonts w:eastAsia="Arial" w:cs="Arial"/>
                <w:color w:val="000000" w:themeColor="text1"/>
                <w:sz w:val="16"/>
                <w:szCs w:val="16"/>
              </w:rPr>
            </w:pPr>
          </w:p>
          <w:p w14:paraId="43BA7711" w14:textId="77777777" w:rsidR="00E36F94" w:rsidRPr="00EE43C6" w:rsidRDefault="00E36F94" w:rsidP="00E36F94">
            <w:pPr>
              <w:spacing w:before="60" w:after="60" w:line="240" w:lineRule="auto"/>
              <w:jc w:val="left"/>
              <w:rPr>
                <w:rFonts w:eastAsia="Arial" w:cs="Arial"/>
                <w:color w:val="000000" w:themeColor="text1"/>
                <w:sz w:val="16"/>
                <w:szCs w:val="16"/>
              </w:rPr>
            </w:pPr>
            <w:r w:rsidRPr="00EE43C6">
              <w:rPr>
                <w:rFonts w:eastAsia="Arial" w:cs="Arial"/>
                <w:color w:val="000000" w:themeColor="text1"/>
                <w:sz w:val="16"/>
                <w:szCs w:val="16"/>
              </w:rPr>
              <w:t>Loss of fauna species due to hunting</w:t>
            </w:r>
          </w:p>
          <w:p w14:paraId="63769D44" w14:textId="77777777" w:rsidR="00E36F94" w:rsidRPr="00EE43C6" w:rsidRDefault="00E36F94" w:rsidP="00E36F94">
            <w:pPr>
              <w:spacing w:before="60" w:after="60" w:line="240" w:lineRule="auto"/>
              <w:jc w:val="left"/>
              <w:rPr>
                <w:rFonts w:eastAsia="Arial" w:cs="Arial"/>
                <w:color w:val="000000" w:themeColor="text1"/>
                <w:sz w:val="16"/>
                <w:szCs w:val="16"/>
              </w:rPr>
            </w:pPr>
          </w:p>
          <w:p w14:paraId="587C2E97" w14:textId="77777777" w:rsidR="00E36F94" w:rsidRPr="00EE43C6" w:rsidRDefault="00E36F94" w:rsidP="00E36F94">
            <w:pPr>
              <w:spacing w:before="60" w:after="60" w:line="240" w:lineRule="auto"/>
              <w:jc w:val="left"/>
              <w:rPr>
                <w:rFonts w:eastAsia="Arial" w:cs="Arial"/>
                <w:color w:val="000000" w:themeColor="text1"/>
                <w:sz w:val="16"/>
                <w:szCs w:val="16"/>
              </w:rPr>
            </w:pPr>
            <w:r w:rsidRPr="00EE43C6">
              <w:rPr>
                <w:rFonts w:eastAsia="Arial" w:cs="Arial"/>
                <w:color w:val="000000" w:themeColor="text1"/>
                <w:sz w:val="16"/>
                <w:szCs w:val="16"/>
              </w:rPr>
              <w:t>Accidental or deliberate damage to habitat or species by the working staff</w:t>
            </w:r>
          </w:p>
          <w:p w14:paraId="2F143E7C" w14:textId="77777777" w:rsidR="00E36F94" w:rsidRPr="00EE43C6" w:rsidRDefault="00E36F94" w:rsidP="00E36F94">
            <w:pPr>
              <w:spacing w:before="60" w:after="60" w:line="240" w:lineRule="auto"/>
              <w:jc w:val="left"/>
              <w:rPr>
                <w:rFonts w:eastAsia="Arial" w:cs="Arial"/>
                <w:color w:val="000000" w:themeColor="text1"/>
                <w:sz w:val="16"/>
                <w:szCs w:val="16"/>
              </w:rPr>
            </w:pPr>
          </w:p>
          <w:p w14:paraId="36ADD68A" w14:textId="77777777" w:rsidR="00E36F94" w:rsidRPr="00EE43C6" w:rsidRDefault="00E36F94" w:rsidP="00E36F94">
            <w:pPr>
              <w:spacing w:before="60" w:after="60" w:line="240" w:lineRule="auto"/>
              <w:jc w:val="left"/>
              <w:rPr>
                <w:rFonts w:eastAsia="Arial" w:cs="Arial"/>
                <w:color w:val="000000" w:themeColor="text1"/>
                <w:sz w:val="16"/>
                <w:szCs w:val="16"/>
              </w:rPr>
            </w:pPr>
            <w:r w:rsidRPr="00EE43C6">
              <w:rPr>
                <w:rFonts w:eastAsia="Arial" w:cs="Arial"/>
                <w:color w:val="000000" w:themeColor="text1"/>
                <w:sz w:val="16"/>
                <w:szCs w:val="16"/>
              </w:rPr>
              <w:t>Spread of invasive species</w:t>
            </w:r>
          </w:p>
          <w:p w14:paraId="460C4E83" w14:textId="77777777" w:rsidR="00E36F94" w:rsidRPr="00EE43C6" w:rsidRDefault="00E36F94" w:rsidP="00E36F94">
            <w:pPr>
              <w:spacing w:before="60" w:after="60" w:line="240" w:lineRule="auto"/>
              <w:jc w:val="left"/>
              <w:rPr>
                <w:rFonts w:eastAsia="Arial" w:cs="Arial"/>
                <w:color w:val="000000" w:themeColor="text1"/>
                <w:sz w:val="16"/>
                <w:szCs w:val="16"/>
              </w:rPr>
            </w:pPr>
          </w:p>
          <w:p w14:paraId="6715CB62" w14:textId="65A2BDAD" w:rsidR="00225396" w:rsidRPr="00EE43C6" w:rsidRDefault="00E36F94" w:rsidP="00854BE8">
            <w:pPr>
              <w:spacing w:before="0" w:after="0" w:line="240" w:lineRule="auto"/>
              <w:jc w:val="left"/>
              <w:rPr>
                <w:rFonts w:cs="Arial"/>
                <w:color w:val="000000"/>
                <w:sz w:val="16"/>
                <w:szCs w:val="16"/>
                <w:lang w:eastAsia="tr-TR"/>
              </w:rPr>
            </w:pPr>
            <w:r w:rsidRPr="00EE43C6">
              <w:rPr>
                <w:rFonts w:eastAsia="Arial" w:cs="Arial"/>
                <w:color w:val="000000" w:themeColor="text1"/>
                <w:sz w:val="16"/>
                <w:szCs w:val="16"/>
              </w:rPr>
              <w:t>Loss of flora</w:t>
            </w:r>
          </w:p>
        </w:tc>
        <w:tc>
          <w:tcPr>
            <w:tcW w:w="306" w:type="pct"/>
            <w:gridSpan w:val="2"/>
            <w:tcBorders>
              <w:top w:val="single" w:sz="4" w:space="0" w:color="auto"/>
              <w:left w:val="single" w:sz="4" w:space="0" w:color="auto"/>
              <w:bottom w:val="single" w:sz="4" w:space="0" w:color="auto"/>
              <w:right w:val="single" w:sz="4" w:space="0" w:color="auto"/>
            </w:tcBorders>
            <w:shd w:val="clear" w:color="auto" w:fill="auto"/>
            <w:noWrap/>
          </w:tcPr>
          <w:p w14:paraId="4A28497D" w14:textId="13F57EBB" w:rsidR="00225396" w:rsidRPr="00EE43C6" w:rsidRDefault="001A555E" w:rsidP="00854BE8">
            <w:pPr>
              <w:spacing w:before="0" w:after="0" w:line="240" w:lineRule="auto"/>
              <w:jc w:val="left"/>
              <w:rPr>
                <w:rFonts w:cs="Arial"/>
                <w:bCs/>
                <w:snapToGrid w:val="0"/>
                <w:color w:val="000000"/>
                <w:sz w:val="16"/>
                <w:szCs w:val="16"/>
                <w:lang w:eastAsia="tr-TR"/>
              </w:rPr>
            </w:pPr>
            <w:r w:rsidRPr="00EE43C6">
              <w:rPr>
                <w:rFonts w:cs="Arial"/>
                <w:color w:val="000000" w:themeColor="text1"/>
                <w:sz w:val="16"/>
                <w:szCs w:val="16"/>
                <w:lang w:eastAsia="tr-TR"/>
              </w:rPr>
              <w:lastRenderedPageBreak/>
              <w:t>Adverse</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069826EA" w14:textId="460B0034" w:rsidR="00225396" w:rsidRPr="00EE43C6" w:rsidRDefault="00E36F94" w:rsidP="00854BE8">
            <w:pPr>
              <w:spacing w:before="0" w:after="0" w:line="240" w:lineRule="auto"/>
              <w:jc w:val="left"/>
              <w:rPr>
                <w:rFonts w:cs="Arial"/>
                <w:bCs/>
                <w:snapToGrid w:val="0"/>
                <w:color w:val="000000"/>
                <w:sz w:val="16"/>
                <w:szCs w:val="16"/>
                <w:lang w:eastAsia="tr-TR"/>
              </w:rPr>
            </w:pPr>
            <w:r w:rsidRPr="00EE43C6">
              <w:rPr>
                <w:rFonts w:cs="Arial"/>
                <w:snapToGrid w:val="0"/>
                <w:color w:val="000000"/>
                <w:sz w:val="16"/>
                <w:szCs w:val="16"/>
                <w:lang w:eastAsia="tr-TR"/>
              </w:rPr>
              <w:t>Medium</w:t>
            </w:r>
          </w:p>
        </w:tc>
        <w:tc>
          <w:tcPr>
            <w:tcW w:w="353" w:type="pct"/>
            <w:gridSpan w:val="2"/>
            <w:tcBorders>
              <w:top w:val="single" w:sz="4" w:space="0" w:color="auto"/>
              <w:left w:val="single" w:sz="4" w:space="0" w:color="auto"/>
              <w:bottom w:val="single" w:sz="4" w:space="0" w:color="auto"/>
              <w:right w:val="single" w:sz="4" w:space="0" w:color="auto"/>
            </w:tcBorders>
          </w:tcPr>
          <w:p w14:paraId="1619A512" w14:textId="1C9C76CA" w:rsidR="00225396" w:rsidRPr="00EE43C6" w:rsidRDefault="001A555E" w:rsidP="00854BE8">
            <w:pPr>
              <w:spacing w:before="0" w:after="0" w:line="240" w:lineRule="auto"/>
              <w:jc w:val="left"/>
              <w:rPr>
                <w:rFonts w:cs="Arial"/>
                <w:color w:val="000000"/>
                <w:sz w:val="16"/>
                <w:szCs w:val="16"/>
              </w:rPr>
            </w:pPr>
            <w:r w:rsidRPr="00EE43C6">
              <w:rPr>
                <w:rFonts w:cs="Arial"/>
                <w:color w:val="000000"/>
                <w:sz w:val="16"/>
                <w:szCs w:val="16"/>
              </w:rPr>
              <w:t>No additional costs</w:t>
            </w:r>
          </w:p>
        </w:tc>
        <w:tc>
          <w:tcPr>
            <w:tcW w:w="959" w:type="pct"/>
            <w:tcBorders>
              <w:top w:val="single" w:sz="4" w:space="0" w:color="auto"/>
              <w:left w:val="single" w:sz="4" w:space="0" w:color="auto"/>
              <w:bottom w:val="single" w:sz="4" w:space="0" w:color="auto"/>
              <w:right w:val="single" w:sz="4" w:space="0" w:color="auto"/>
            </w:tcBorders>
            <w:shd w:val="clear" w:color="auto" w:fill="auto"/>
            <w:noWrap/>
          </w:tcPr>
          <w:p w14:paraId="3FE363DC" w14:textId="53C19CC4" w:rsidR="00E36F94" w:rsidRPr="00EE43C6" w:rsidRDefault="00E36F94" w:rsidP="000E280D">
            <w:pPr>
              <w:pStyle w:val="ListParagraph"/>
              <w:numPr>
                <w:ilvl w:val="0"/>
                <w:numId w:val="7"/>
              </w:numPr>
              <w:spacing w:before="60" w:after="60" w:line="240" w:lineRule="auto"/>
              <w:ind w:left="113" w:right="113" w:hanging="180"/>
              <w:contextualSpacing w:val="0"/>
              <w:jc w:val="left"/>
              <w:rPr>
                <w:rFonts w:eastAsia="Arial"/>
                <w:noProof w:val="0"/>
                <w:color w:val="000000" w:themeColor="text1"/>
                <w:sz w:val="16"/>
                <w:szCs w:val="16"/>
              </w:rPr>
            </w:pPr>
            <w:r w:rsidRPr="00EE43C6">
              <w:rPr>
                <w:rFonts w:eastAsia="Arial"/>
                <w:noProof w:val="0"/>
                <w:color w:val="000000" w:themeColor="text1"/>
                <w:sz w:val="16"/>
                <w:szCs w:val="16"/>
              </w:rPr>
              <w:t xml:space="preserve">Species are encountered in the project area, they </w:t>
            </w:r>
            <w:r w:rsidR="00CD598D">
              <w:rPr>
                <w:rFonts w:eastAsia="Arial"/>
                <w:noProof w:val="0"/>
                <w:color w:val="000000" w:themeColor="text1"/>
                <w:sz w:val="16"/>
                <w:szCs w:val="16"/>
              </w:rPr>
              <w:t>must</w:t>
            </w:r>
            <w:r w:rsidRPr="00EE43C6">
              <w:rPr>
                <w:rFonts w:eastAsia="Arial"/>
                <w:noProof w:val="0"/>
                <w:color w:val="000000" w:themeColor="text1"/>
                <w:sz w:val="16"/>
                <w:szCs w:val="16"/>
              </w:rPr>
              <w:t xml:space="preserve"> not be disturbed especially during breeding, feeding, and wintering periods, the eggs of these species </w:t>
            </w:r>
            <w:r w:rsidR="00CD598D">
              <w:rPr>
                <w:rFonts w:eastAsia="Arial"/>
                <w:noProof w:val="0"/>
                <w:color w:val="000000" w:themeColor="text1"/>
                <w:sz w:val="16"/>
                <w:szCs w:val="16"/>
              </w:rPr>
              <w:t>will</w:t>
            </w:r>
            <w:r w:rsidRPr="00EE43C6">
              <w:rPr>
                <w:rFonts w:eastAsia="Arial"/>
                <w:noProof w:val="0"/>
                <w:color w:val="000000" w:themeColor="text1"/>
                <w:sz w:val="16"/>
                <w:szCs w:val="16"/>
              </w:rPr>
              <w:t xml:space="preserve"> not be damaged, and these eggs </w:t>
            </w:r>
            <w:r w:rsidR="00CD598D">
              <w:rPr>
                <w:rFonts w:eastAsia="Arial"/>
                <w:noProof w:val="0"/>
                <w:color w:val="000000" w:themeColor="text1"/>
                <w:sz w:val="16"/>
                <w:szCs w:val="16"/>
              </w:rPr>
              <w:t>must</w:t>
            </w:r>
            <w:r w:rsidRPr="00EE43C6">
              <w:rPr>
                <w:rFonts w:eastAsia="Arial"/>
                <w:noProof w:val="0"/>
                <w:color w:val="000000" w:themeColor="text1"/>
                <w:sz w:val="16"/>
                <w:szCs w:val="16"/>
              </w:rPr>
              <w:t xml:space="preserve"> not be collected even if they are empty,</w:t>
            </w:r>
          </w:p>
          <w:p w14:paraId="117ABF2C" w14:textId="77777777" w:rsidR="00E36F94" w:rsidRPr="00EE43C6" w:rsidRDefault="00E36F94" w:rsidP="000E280D">
            <w:pPr>
              <w:pStyle w:val="ListParagraph"/>
              <w:numPr>
                <w:ilvl w:val="0"/>
                <w:numId w:val="7"/>
              </w:numPr>
              <w:spacing w:before="60" w:after="60" w:line="240" w:lineRule="auto"/>
              <w:ind w:left="113" w:right="113" w:hanging="180"/>
              <w:contextualSpacing w:val="0"/>
              <w:jc w:val="left"/>
              <w:rPr>
                <w:rFonts w:eastAsia="Arial"/>
                <w:noProof w:val="0"/>
                <w:color w:val="000000" w:themeColor="text1"/>
                <w:sz w:val="16"/>
                <w:szCs w:val="16"/>
              </w:rPr>
            </w:pPr>
            <w:r w:rsidRPr="00EE43C6">
              <w:rPr>
                <w:rFonts w:eastAsia="Arial"/>
                <w:noProof w:val="0"/>
                <w:color w:val="000000" w:themeColor="text1"/>
                <w:sz w:val="16"/>
                <w:szCs w:val="16"/>
              </w:rPr>
              <w:t xml:space="preserve">Necessary measures will be taken to prevent hunting </w:t>
            </w:r>
            <w:r w:rsidRPr="00EE43C6">
              <w:rPr>
                <w:rFonts w:eastAsia="Arial"/>
                <w:noProof w:val="0"/>
                <w:color w:val="000000" w:themeColor="text1"/>
                <w:sz w:val="16"/>
                <w:szCs w:val="16"/>
              </w:rPr>
              <w:lastRenderedPageBreak/>
              <w:t>activities in the project area and its immediate surroundings.</w:t>
            </w:r>
          </w:p>
          <w:p w14:paraId="2D04C311" w14:textId="77777777" w:rsidR="00E36F94" w:rsidRPr="00EE43C6" w:rsidRDefault="00E36F94" w:rsidP="000E280D">
            <w:pPr>
              <w:pStyle w:val="ListParagraph"/>
              <w:numPr>
                <w:ilvl w:val="0"/>
                <w:numId w:val="7"/>
              </w:numPr>
              <w:spacing w:before="60" w:after="60" w:line="240" w:lineRule="auto"/>
              <w:ind w:left="113" w:right="113" w:hanging="180"/>
              <w:contextualSpacing w:val="0"/>
              <w:jc w:val="left"/>
              <w:rPr>
                <w:rFonts w:eastAsia="Arial"/>
                <w:noProof w:val="0"/>
                <w:color w:val="000000" w:themeColor="text1"/>
                <w:sz w:val="16"/>
                <w:szCs w:val="16"/>
              </w:rPr>
            </w:pPr>
            <w:r w:rsidRPr="00EE43C6">
              <w:rPr>
                <w:rFonts w:eastAsia="Arial"/>
                <w:noProof w:val="0"/>
                <w:color w:val="000000" w:themeColor="text1"/>
                <w:sz w:val="16"/>
                <w:szCs w:val="16"/>
              </w:rPr>
              <w:t>Project workers will not be allowed to bring any live animals or plants into the construction site to avoid the risk of pest/invasive species establishing in the Project Area,</w:t>
            </w:r>
          </w:p>
          <w:p w14:paraId="2ABC32FA" w14:textId="77777777" w:rsidR="00E36F94" w:rsidRPr="00EE43C6" w:rsidRDefault="00E36F94" w:rsidP="000E280D">
            <w:pPr>
              <w:pStyle w:val="ListParagraph"/>
              <w:numPr>
                <w:ilvl w:val="0"/>
                <w:numId w:val="7"/>
              </w:numPr>
              <w:spacing w:before="60" w:after="60" w:line="240" w:lineRule="auto"/>
              <w:ind w:left="113" w:right="113" w:hanging="180"/>
              <w:contextualSpacing w:val="0"/>
              <w:jc w:val="left"/>
              <w:rPr>
                <w:rFonts w:eastAsia="Arial"/>
                <w:noProof w:val="0"/>
                <w:color w:val="000000" w:themeColor="text1"/>
                <w:sz w:val="16"/>
                <w:szCs w:val="16"/>
              </w:rPr>
            </w:pPr>
            <w:r w:rsidRPr="00EE43C6">
              <w:rPr>
                <w:rFonts w:eastAsia="Arial"/>
                <w:noProof w:val="0"/>
                <w:color w:val="000000" w:themeColor="text1"/>
                <w:sz w:val="16"/>
                <w:szCs w:val="16"/>
              </w:rPr>
              <w:t>Operation sites will be fenced in order to prevent fauna species’ entrance into these areas.</w:t>
            </w:r>
          </w:p>
          <w:p w14:paraId="10FC6575" w14:textId="77777777" w:rsidR="00E36F94" w:rsidRPr="00EE43C6" w:rsidRDefault="00E36F94" w:rsidP="000E280D">
            <w:pPr>
              <w:pStyle w:val="ListParagraph"/>
              <w:numPr>
                <w:ilvl w:val="0"/>
                <w:numId w:val="7"/>
              </w:numPr>
              <w:spacing w:before="60" w:after="60" w:line="240" w:lineRule="auto"/>
              <w:ind w:left="113" w:right="113" w:hanging="180"/>
              <w:contextualSpacing w:val="0"/>
              <w:jc w:val="left"/>
              <w:rPr>
                <w:rFonts w:eastAsia="Arial"/>
                <w:noProof w:val="0"/>
                <w:color w:val="000000" w:themeColor="text1"/>
                <w:sz w:val="16"/>
                <w:szCs w:val="16"/>
              </w:rPr>
            </w:pPr>
            <w:r w:rsidRPr="00EE43C6">
              <w:rPr>
                <w:rFonts w:eastAsia="Arial"/>
                <w:noProof w:val="0"/>
                <w:color w:val="000000" w:themeColor="text1"/>
                <w:sz w:val="16"/>
                <w:szCs w:val="16"/>
              </w:rPr>
              <w:t>Mitigation measures to reduce noise, dust and air pollution will be taken.</w:t>
            </w:r>
          </w:p>
          <w:p w14:paraId="3DCCFBAB" w14:textId="77777777" w:rsidR="00E36F94" w:rsidRPr="00EE43C6" w:rsidRDefault="00E36F94" w:rsidP="000E280D">
            <w:pPr>
              <w:pStyle w:val="ListParagraph"/>
              <w:numPr>
                <w:ilvl w:val="0"/>
                <w:numId w:val="7"/>
              </w:numPr>
              <w:spacing w:before="60" w:after="60" w:line="240" w:lineRule="auto"/>
              <w:ind w:left="113" w:right="113" w:hanging="180"/>
              <w:contextualSpacing w:val="0"/>
              <w:jc w:val="left"/>
              <w:rPr>
                <w:rFonts w:eastAsia="Arial"/>
                <w:noProof w:val="0"/>
                <w:color w:val="000000" w:themeColor="text1"/>
                <w:sz w:val="16"/>
                <w:szCs w:val="16"/>
              </w:rPr>
            </w:pPr>
            <w:r w:rsidRPr="00EE43C6">
              <w:rPr>
                <w:rFonts w:eastAsia="Arial"/>
                <w:noProof w:val="0"/>
                <w:color w:val="000000" w:themeColor="text1"/>
                <w:sz w:val="16"/>
                <w:szCs w:val="16"/>
              </w:rPr>
              <w:t>Materials will not be poured into the bed of stream.</w:t>
            </w:r>
          </w:p>
          <w:p w14:paraId="7BDF9181" w14:textId="77777777" w:rsidR="00E36F94" w:rsidRPr="00EE43C6" w:rsidRDefault="00E36F94" w:rsidP="000E280D">
            <w:pPr>
              <w:pStyle w:val="ListParagraph"/>
              <w:numPr>
                <w:ilvl w:val="0"/>
                <w:numId w:val="7"/>
              </w:numPr>
              <w:spacing w:before="60" w:after="60" w:line="240" w:lineRule="auto"/>
              <w:ind w:left="113" w:right="113" w:hanging="180"/>
              <w:contextualSpacing w:val="0"/>
              <w:jc w:val="left"/>
              <w:rPr>
                <w:rFonts w:eastAsia="Arial"/>
                <w:noProof w:val="0"/>
                <w:color w:val="000000" w:themeColor="text1"/>
                <w:sz w:val="16"/>
                <w:szCs w:val="16"/>
              </w:rPr>
            </w:pPr>
            <w:r w:rsidRPr="00EE43C6">
              <w:rPr>
                <w:rFonts w:eastAsia="Arial"/>
                <w:noProof w:val="0"/>
                <w:color w:val="000000" w:themeColor="text1"/>
                <w:sz w:val="16"/>
                <w:szCs w:val="16"/>
              </w:rPr>
              <w:t>The natural structure of the riparian vegetation, which is a spawning and shelter area for many aquatic and terrestrial organisms, will not be interfered with in any way.</w:t>
            </w:r>
          </w:p>
          <w:p w14:paraId="70DE50A5" w14:textId="774D6E4A" w:rsidR="007C2F78" w:rsidRPr="00AF11E2" w:rsidRDefault="00E36F94" w:rsidP="000E280D">
            <w:pPr>
              <w:pStyle w:val="ListParagraph"/>
              <w:numPr>
                <w:ilvl w:val="0"/>
                <w:numId w:val="7"/>
              </w:numPr>
              <w:spacing w:before="60" w:after="60" w:line="240" w:lineRule="auto"/>
              <w:ind w:left="113" w:right="113" w:hanging="180"/>
              <w:contextualSpacing w:val="0"/>
              <w:jc w:val="left"/>
              <w:rPr>
                <w:rFonts w:eastAsia="Arial TUR"/>
                <w:noProof w:val="0"/>
                <w:sz w:val="16"/>
                <w:szCs w:val="16"/>
              </w:rPr>
            </w:pPr>
            <w:r w:rsidRPr="00EE43C6">
              <w:rPr>
                <w:rFonts w:eastAsia="Arial"/>
                <w:noProof w:val="0"/>
                <w:color w:val="000000" w:themeColor="text1"/>
                <w:sz w:val="16"/>
                <w:szCs w:val="16"/>
              </w:rPr>
              <w:t>An Invasive Species Management Plan will be produced and implemented, detailing the measures necessary to manage any risk of introduction/spread of invasive species</w:t>
            </w:r>
            <w:r w:rsidR="007C2F78" w:rsidRPr="00EE43C6">
              <w:rPr>
                <w:rFonts w:eastAsia="Arial"/>
                <w:color w:val="000000" w:themeColor="text1"/>
                <w:sz w:val="16"/>
                <w:szCs w:val="16"/>
              </w:rPr>
              <w:t>.</w:t>
            </w:r>
          </w:p>
        </w:tc>
        <w:tc>
          <w:tcPr>
            <w:tcW w:w="454" w:type="pct"/>
            <w:tcBorders>
              <w:top w:val="single" w:sz="4" w:space="0" w:color="auto"/>
              <w:left w:val="single" w:sz="4" w:space="0" w:color="auto"/>
              <w:bottom w:val="single" w:sz="4" w:space="0" w:color="auto"/>
              <w:right w:val="single" w:sz="4" w:space="0" w:color="auto"/>
            </w:tcBorders>
          </w:tcPr>
          <w:p w14:paraId="1BC8B11F" w14:textId="60A0F47F" w:rsidR="00225396" w:rsidRPr="00EE43C6" w:rsidRDefault="002D34C4" w:rsidP="00854BE8">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lastRenderedPageBreak/>
              <w:t>TUIOSB</w:t>
            </w:r>
          </w:p>
        </w:tc>
        <w:tc>
          <w:tcPr>
            <w:tcW w:w="655" w:type="pct"/>
            <w:tcBorders>
              <w:top w:val="single" w:sz="4" w:space="0" w:color="auto"/>
              <w:left w:val="single" w:sz="4" w:space="0" w:color="auto"/>
              <w:bottom w:val="single" w:sz="4" w:space="0" w:color="auto"/>
              <w:right w:val="single" w:sz="4" w:space="0" w:color="auto"/>
            </w:tcBorders>
          </w:tcPr>
          <w:p w14:paraId="400288CF" w14:textId="77777777" w:rsidR="00E36F94" w:rsidRPr="00EE43C6" w:rsidRDefault="00E36F94" w:rsidP="00E36F94">
            <w:pPr>
              <w:numPr>
                <w:ilvl w:val="0"/>
                <w:numId w:val="7"/>
              </w:numPr>
              <w:spacing w:before="0" w:after="0" w:line="240" w:lineRule="auto"/>
              <w:ind w:left="113" w:right="113" w:hanging="180"/>
              <w:jc w:val="left"/>
              <w:rPr>
                <w:rFonts w:eastAsia="Arial TUR" w:cs="Arial"/>
                <w:color w:val="000000"/>
                <w:sz w:val="16"/>
                <w:szCs w:val="16"/>
                <w:lang w:eastAsia="en-US"/>
              </w:rPr>
            </w:pPr>
            <w:r w:rsidRPr="00EE43C6">
              <w:rPr>
                <w:rFonts w:eastAsia="Arial TUR" w:cs="Arial"/>
                <w:color w:val="000000" w:themeColor="text1"/>
                <w:sz w:val="16"/>
                <w:szCs w:val="16"/>
                <w:lang w:eastAsia="en-US"/>
              </w:rPr>
              <w:t xml:space="preserve">Zero damage to natural habitats, wetlands and sites </w:t>
            </w:r>
          </w:p>
          <w:p w14:paraId="3C4750EE" w14:textId="77777777" w:rsidR="00E36F94" w:rsidRPr="00EE43C6" w:rsidRDefault="00E36F94" w:rsidP="00E36F94">
            <w:pPr>
              <w:numPr>
                <w:ilvl w:val="0"/>
                <w:numId w:val="7"/>
              </w:numPr>
              <w:spacing w:before="0" w:after="0" w:line="240" w:lineRule="auto"/>
              <w:ind w:left="113" w:right="113" w:hanging="180"/>
              <w:jc w:val="left"/>
              <w:rPr>
                <w:rFonts w:eastAsia="Arial" w:cs="Arial"/>
                <w:color w:val="000000" w:themeColor="text1"/>
                <w:sz w:val="16"/>
                <w:szCs w:val="16"/>
              </w:rPr>
            </w:pPr>
            <w:r w:rsidRPr="00EE43C6">
              <w:rPr>
                <w:rFonts w:eastAsia="Calibri" w:cs="Arial"/>
                <w:color w:val="000000" w:themeColor="text1"/>
                <w:sz w:val="16"/>
                <w:szCs w:val="16"/>
                <w:lang w:eastAsia="en-US"/>
              </w:rPr>
              <w:t xml:space="preserve">Zero loss of </w:t>
            </w:r>
            <w:r w:rsidRPr="00EE43C6">
              <w:rPr>
                <w:rFonts w:eastAsia="Arial" w:cs="Arial"/>
                <w:color w:val="000000" w:themeColor="text1"/>
                <w:sz w:val="16"/>
                <w:szCs w:val="16"/>
              </w:rPr>
              <w:t>threatened and endemic species</w:t>
            </w:r>
          </w:p>
          <w:p w14:paraId="7D3FAA61" w14:textId="1CE3E5B2" w:rsidR="00225396" w:rsidRPr="00EE43C6" w:rsidRDefault="00225396" w:rsidP="00890B50">
            <w:pPr>
              <w:spacing w:before="0" w:after="0" w:line="240" w:lineRule="auto"/>
              <w:ind w:right="113"/>
              <w:jc w:val="left"/>
              <w:rPr>
                <w:rFonts w:eastAsia="Arial TUR" w:cs="Arial"/>
                <w:color w:val="000000" w:themeColor="text1"/>
                <w:sz w:val="16"/>
                <w:szCs w:val="16"/>
                <w:lang w:eastAsia="en-US"/>
              </w:rPr>
            </w:pPr>
          </w:p>
        </w:tc>
      </w:tr>
      <w:tr w:rsidR="000E280D" w:rsidRPr="00EE43C6" w14:paraId="551B4FE2" w14:textId="77777777" w:rsidTr="000E280D">
        <w:trPr>
          <w:trHeight w:val="704"/>
        </w:trPr>
        <w:tc>
          <w:tcPr>
            <w:tcW w:w="200" w:type="pct"/>
            <w:tcBorders>
              <w:left w:val="single" w:sz="4" w:space="0" w:color="auto"/>
              <w:bottom w:val="single" w:sz="4" w:space="0" w:color="auto"/>
              <w:right w:val="single" w:sz="4" w:space="0" w:color="auto"/>
            </w:tcBorders>
          </w:tcPr>
          <w:p w14:paraId="5132B78D" w14:textId="30720186" w:rsidR="00975228" w:rsidRPr="00EE43C6" w:rsidRDefault="00E36F94" w:rsidP="00854BE8">
            <w:pPr>
              <w:spacing w:before="0" w:after="0" w:line="240" w:lineRule="auto"/>
              <w:jc w:val="left"/>
              <w:rPr>
                <w:rFonts w:cs="Arial"/>
                <w:snapToGrid w:val="0"/>
                <w:sz w:val="16"/>
                <w:szCs w:val="16"/>
                <w:lang w:eastAsia="en-GB"/>
              </w:rPr>
            </w:pPr>
            <w:r>
              <w:rPr>
                <w:rFonts w:cs="Arial"/>
                <w:snapToGrid w:val="0"/>
                <w:sz w:val="16"/>
                <w:szCs w:val="16"/>
                <w:lang w:eastAsia="en-GB"/>
              </w:rPr>
              <w:t>O1</w:t>
            </w:r>
            <w:r w:rsidR="0059415D">
              <w:rPr>
                <w:rFonts w:cs="Arial"/>
                <w:snapToGrid w:val="0"/>
                <w:sz w:val="16"/>
                <w:szCs w:val="16"/>
                <w:lang w:eastAsia="en-GB"/>
              </w:rPr>
              <w:t>5</w:t>
            </w:r>
          </w:p>
        </w:tc>
        <w:tc>
          <w:tcPr>
            <w:tcW w:w="403" w:type="pct"/>
            <w:tcBorders>
              <w:left w:val="single" w:sz="4" w:space="0" w:color="auto"/>
              <w:bottom w:val="single" w:sz="4" w:space="0" w:color="auto"/>
              <w:right w:val="single" w:sz="4" w:space="0" w:color="auto"/>
            </w:tcBorders>
            <w:shd w:val="clear" w:color="auto" w:fill="auto"/>
          </w:tcPr>
          <w:p w14:paraId="21B88BB8" w14:textId="1AB233D2" w:rsidR="00975228" w:rsidRPr="00EE43C6" w:rsidRDefault="00E36F94" w:rsidP="0048108D">
            <w:pPr>
              <w:spacing w:before="0" w:after="0" w:line="240" w:lineRule="auto"/>
              <w:jc w:val="left"/>
              <w:rPr>
                <w:rFonts w:cs="Arial"/>
                <w:b/>
                <w:bCs/>
                <w:snapToGrid w:val="0"/>
                <w:sz w:val="16"/>
                <w:szCs w:val="16"/>
                <w:lang w:eastAsia="en-GB"/>
              </w:rPr>
            </w:pPr>
            <w:r>
              <w:rPr>
                <w:rFonts w:cs="Arial"/>
                <w:b/>
                <w:bCs/>
                <w:snapToGrid w:val="0"/>
                <w:sz w:val="16"/>
                <w:szCs w:val="16"/>
                <w:lang w:eastAsia="en-GB"/>
              </w:rPr>
              <w:t>Landscape</w:t>
            </w:r>
            <w:r w:rsidRPr="00EE43C6" w:rsidDel="00E36F94">
              <w:rPr>
                <w:rFonts w:cs="Arial"/>
                <w:b/>
                <w:bCs/>
                <w:snapToGrid w:val="0"/>
                <w:sz w:val="16"/>
                <w:szCs w:val="16"/>
                <w:lang w:eastAsia="en-GB"/>
              </w:rPr>
              <w:t xml:space="preserve"> </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noWrap/>
          </w:tcPr>
          <w:p w14:paraId="3FD4D01C" w14:textId="3000F0CD" w:rsidR="00975228" w:rsidRPr="00EE43C6" w:rsidRDefault="00E36F94" w:rsidP="00854BE8">
            <w:pPr>
              <w:spacing w:before="60" w:after="60" w:line="240" w:lineRule="auto"/>
              <w:jc w:val="left"/>
              <w:rPr>
                <w:rFonts w:eastAsia="Arial" w:cs="Arial"/>
                <w:color w:val="000000" w:themeColor="text1"/>
                <w:sz w:val="16"/>
                <w:szCs w:val="16"/>
              </w:rPr>
            </w:pPr>
            <w:r>
              <w:rPr>
                <w:rFonts w:cs="Arial"/>
                <w:color w:val="000000" w:themeColor="text1"/>
                <w:sz w:val="16"/>
                <w:szCs w:val="16"/>
                <w:lang w:eastAsia="tr-TR"/>
              </w:rPr>
              <w:t>Soil Contamination</w:t>
            </w:r>
            <w:r w:rsidRPr="00EE43C6" w:rsidDel="00E36F94">
              <w:rPr>
                <w:rFonts w:cs="Arial"/>
                <w:color w:val="000000" w:themeColor="text1"/>
                <w:sz w:val="16"/>
                <w:szCs w:val="16"/>
                <w:lang w:eastAsia="tr-TR"/>
              </w:rPr>
              <w:t xml:space="preserve"> </w:t>
            </w:r>
          </w:p>
        </w:tc>
        <w:tc>
          <w:tcPr>
            <w:tcW w:w="304" w:type="pct"/>
            <w:tcBorders>
              <w:top w:val="single" w:sz="4" w:space="0" w:color="auto"/>
              <w:left w:val="single" w:sz="4" w:space="0" w:color="auto"/>
              <w:bottom w:val="single" w:sz="4" w:space="0" w:color="auto"/>
              <w:right w:val="single" w:sz="4" w:space="0" w:color="auto"/>
            </w:tcBorders>
            <w:shd w:val="clear" w:color="auto" w:fill="auto"/>
            <w:noWrap/>
          </w:tcPr>
          <w:p w14:paraId="624099D6" w14:textId="55628906" w:rsidR="00975228" w:rsidRPr="00EE43C6" w:rsidRDefault="00E36F94" w:rsidP="00854BE8">
            <w:pPr>
              <w:spacing w:before="0" w:after="0" w:line="240" w:lineRule="auto"/>
              <w:jc w:val="left"/>
              <w:rPr>
                <w:rFonts w:cs="Arial"/>
                <w:snapToGrid w:val="0"/>
                <w:color w:val="000000"/>
                <w:sz w:val="16"/>
                <w:szCs w:val="16"/>
                <w:lang w:eastAsia="tr-TR"/>
              </w:rPr>
            </w:pPr>
            <w:r w:rsidRPr="00EE43C6">
              <w:rPr>
                <w:rFonts w:cs="Arial"/>
                <w:color w:val="000000" w:themeColor="text1"/>
                <w:sz w:val="16"/>
                <w:szCs w:val="16"/>
                <w:lang w:eastAsia="tr-TR"/>
              </w:rPr>
              <w:t>Adverse</w:t>
            </w:r>
            <w:r w:rsidRPr="00EE43C6" w:rsidDel="00E36F94">
              <w:rPr>
                <w:rFonts w:cs="Arial"/>
                <w:color w:val="000000" w:themeColor="text1"/>
                <w:sz w:val="16"/>
                <w:szCs w:val="16"/>
                <w:lang w:eastAsia="tr-TR"/>
              </w:rPr>
              <w:t xml:space="preserve"> </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635A9483" w14:textId="61D90791" w:rsidR="00975228" w:rsidRPr="00EE43C6" w:rsidRDefault="00E36F94" w:rsidP="00854BE8">
            <w:pPr>
              <w:spacing w:before="0" w:after="0" w:line="240" w:lineRule="auto"/>
              <w:jc w:val="left"/>
              <w:rPr>
                <w:rFonts w:cs="Arial"/>
                <w:snapToGrid w:val="0"/>
                <w:color w:val="000000"/>
                <w:sz w:val="16"/>
                <w:szCs w:val="16"/>
                <w:lang w:eastAsia="tr-TR"/>
              </w:rPr>
            </w:pPr>
            <w:r w:rsidRPr="00EE43C6">
              <w:rPr>
                <w:rFonts w:cs="Arial"/>
                <w:snapToGrid w:val="0"/>
                <w:color w:val="000000"/>
                <w:sz w:val="16"/>
                <w:szCs w:val="16"/>
                <w:lang w:eastAsia="tr-TR"/>
              </w:rPr>
              <w:t>Medium</w:t>
            </w:r>
            <w:r w:rsidRPr="00EE43C6" w:rsidDel="00E36F94">
              <w:rPr>
                <w:rFonts w:cs="Arial"/>
                <w:snapToGrid w:val="0"/>
                <w:color w:val="000000"/>
                <w:sz w:val="16"/>
                <w:szCs w:val="16"/>
                <w:lang w:eastAsia="tr-TR"/>
              </w:rPr>
              <w:t xml:space="preserve"> </w:t>
            </w:r>
          </w:p>
        </w:tc>
        <w:tc>
          <w:tcPr>
            <w:tcW w:w="350" w:type="pct"/>
            <w:tcBorders>
              <w:top w:val="single" w:sz="4" w:space="0" w:color="auto"/>
              <w:left w:val="single" w:sz="4" w:space="0" w:color="auto"/>
              <w:bottom w:val="single" w:sz="4" w:space="0" w:color="auto"/>
              <w:right w:val="single" w:sz="4" w:space="0" w:color="auto"/>
            </w:tcBorders>
          </w:tcPr>
          <w:p w14:paraId="25004367" w14:textId="7E064338" w:rsidR="00975228" w:rsidRPr="00EE43C6" w:rsidRDefault="00E36F94" w:rsidP="00854BE8">
            <w:pPr>
              <w:spacing w:before="0" w:after="0" w:line="240" w:lineRule="auto"/>
              <w:jc w:val="left"/>
              <w:rPr>
                <w:rFonts w:cs="Arial"/>
                <w:color w:val="000000"/>
                <w:sz w:val="16"/>
                <w:szCs w:val="16"/>
              </w:rPr>
            </w:pPr>
            <w:r w:rsidRPr="00EE43C6">
              <w:rPr>
                <w:rFonts w:cs="Arial"/>
                <w:color w:val="000000"/>
                <w:sz w:val="16"/>
                <w:szCs w:val="16"/>
              </w:rPr>
              <w:t>No additional costs</w:t>
            </w:r>
            <w:r w:rsidRPr="00EE43C6" w:rsidDel="00E36F94">
              <w:rPr>
                <w:rFonts w:cs="Arial"/>
                <w:color w:val="000000"/>
                <w:sz w:val="16"/>
                <w:szCs w:val="16"/>
              </w:rPr>
              <w:t xml:space="preserve"> </w:t>
            </w:r>
          </w:p>
        </w:tc>
        <w:tc>
          <w:tcPr>
            <w:tcW w:w="963" w:type="pct"/>
            <w:gridSpan w:val="2"/>
            <w:tcBorders>
              <w:top w:val="single" w:sz="4" w:space="0" w:color="auto"/>
              <w:left w:val="single" w:sz="4" w:space="0" w:color="auto"/>
              <w:bottom w:val="single" w:sz="4" w:space="0" w:color="auto"/>
              <w:right w:val="single" w:sz="4" w:space="0" w:color="auto"/>
            </w:tcBorders>
            <w:shd w:val="clear" w:color="auto" w:fill="auto"/>
            <w:noWrap/>
          </w:tcPr>
          <w:p w14:paraId="5889A162" w14:textId="77777777" w:rsidR="00E36F94" w:rsidRPr="007178AC" w:rsidRDefault="00E36F94" w:rsidP="000E280D">
            <w:pPr>
              <w:spacing w:before="60" w:after="60" w:line="240" w:lineRule="auto"/>
              <w:ind w:right="113"/>
              <w:jc w:val="left"/>
              <w:rPr>
                <w:rFonts w:eastAsia="Arial"/>
                <w:color w:val="000000" w:themeColor="text1"/>
                <w:sz w:val="16"/>
                <w:szCs w:val="16"/>
              </w:rPr>
            </w:pPr>
            <w:r w:rsidRPr="007178AC">
              <w:rPr>
                <w:rFonts w:eastAsia="Arial"/>
                <w:color w:val="000000" w:themeColor="text1"/>
                <w:sz w:val="16"/>
                <w:szCs w:val="16"/>
              </w:rPr>
              <w:t xml:space="preserve">In case of pesticide use during the landscaping works for the operation phase of the Project, </w:t>
            </w:r>
          </w:p>
          <w:p w14:paraId="330116A0" w14:textId="77777777" w:rsidR="00E36F94" w:rsidRPr="005A6A70" w:rsidRDefault="00E36F94" w:rsidP="000E280D">
            <w:pPr>
              <w:pStyle w:val="ListParagraph"/>
              <w:numPr>
                <w:ilvl w:val="0"/>
                <w:numId w:val="67"/>
              </w:numPr>
              <w:spacing w:before="60" w:after="60" w:line="240" w:lineRule="auto"/>
              <w:ind w:left="332" w:right="113" w:hanging="283"/>
              <w:contextualSpacing w:val="0"/>
              <w:jc w:val="left"/>
              <w:rPr>
                <w:rFonts w:eastAsia="Arial"/>
                <w:noProof w:val="0"/>
                <w:color w:val="000000" w:themeColor="text1"/>
                <w:sz w:val="16"/>
                <w:szCs w:val="16"/>
              </w:rPr>
            </w:pPr>
            <w:r w:rsidRPr="005A6A70">
              <w:rPr>
                <w:rFonts w:eastAsia="Arial"/>
                <w:noProof w:val="0"/>
                <w:color w:val="000000" w:themeColor="text1"/>
                <w:sz w:val="16"/>
                <w:szCs w:val="16"/>
              </w:rPr>
              <w:t>where practicable, avoiding or minimizing the use of persistent organic pollutants (POPs) in pesticides formulation.</w:t>
            </w:r>
          </w:p>
          <w:p w14:paraId="4BCDD2CA" w14:textId="77777777" w:rsidR="00E36F94" w:rsidRDefault="00E36F94" w:rsidP="000E280D">
            <w:pPr>
              <w:pStyle w:val="ListParagraph"/>
              <w:numPr>
                <w:ilvl w:val="0"/>
                <w:numId w:val="67"/>
              </w:numPr>
              <w:spacing w:before="60" w:after="60" w:line="240" w:lineRule="auto"/>
              <w:ind w:left="332" w:right="113" w:hanging="283"/>
              <w:contextualSpacing w:val="0"/>
              <w:jc w:val="left"/>
              <w:rPr>
                <w:rFonts w:eastAsia="Arial"/>
                <w:noProof w:val="0"/>
                <w:color w:val="000000" w:themeColor="text1"/>
                <w:sz w:val="16"/>
                <w:szCs w:val="16"/>
              </w:rPr>
            </w:pPr>
            <w:r w:rsidRPr="005A6A70">
              <w:rPr>
                <w:rFonts w:eastAsia="Arial"/>
                <w:noProof w:val="0"/>
                <w:color w:val="000000" w:themeColor="text1"/>
                <w:sz w:val="16"/>
                <w:szCs w:val="16"/>
              </w:rPr>
              <w:t xml:space="preserve">Following safety guidelines for the storage, transport, and distribution of pesticides to minimize the potential for </w:t>
            </w:r>
            <w:r w:rsidRPr="005A6A70">
              <w:rPr>
                <w:rFonts w:eastAsia="Arial"/>
                <w:noProof w:val="0"/>
                <w:color w:val="000000" w:themeColor="text1"/>
                <w:sz w:val="16"/>
                <w:szCs w:val="16"/>
              </w:rPr>
              <w:lastRenderedPageBreak/>
              <w:t>misuse, spills, and accidental human exposure</w:t>
            </w:r>
            <w:r>
              <w:rPr>
                <w:rFonts w:eastAsia="Arial"/>
                <w:noProof w:val="0"/>
                <w:color w:val="000000" w:themeColor="text1"/>
                <w:sz w:val="16"/>
                <w:szCs w:val="16"/>
              </w:rPr>
              <w:t>.</w:t>
            </w:r>
          </w:p>
          <w:p w14:paraId="162689C8" w14:textId="4BF5106E" w:rsidR="00975228" w:rsidRPr="00EE43C6" w:rsidRDefault="00E36F94" w:rsidP="000E280D">
            <w:pPr>
              <w:pStyle w:val="ListParagraph"/>
              <w:numPr>
                <w:ilvl w:val="0"/>
                <w:numId w:val="7"/>
              </w:numPr>
              <w:spacing w:before="60" w:after="60" w:line="240" w:lineRule="auto"/>
              <w:ind w:left="113" w:right="113" w:hanging="180"/>
              <w:contextualSpacing w:val="0"/>
              <w:jc w:val="left"/>
              <w:rPr>
                <w:rFonts w:eastAsia="Arial"/>
                <w:noProof w:val="0"/>
                <w:color w:val="000000" w:themeColor="text1"/>
                <w:sz w:val="16"/>
                <w:szCs w:val="16"/>
              </w:rPr>
            </w:pPr>
            <w:r w:rsidRPr="00DC2714">
              <w:rPr>
                <w:rFonts w:eastAsia="Arial"/>
                <w:noProof w:val="0"/>
                <w:color w:val="000000" w:themeColor="text1"/>
                <w:sz w:val="16"/>
                <w:szCs w:val="16"/>
              </w:rPr>
              <w:t>Usage of pesticides containing the chemicals listed in The Rotterdam Convention on the Prior Informed Consent Procedure for Certain Hazardous Chemicals and Pesticides in International Trade, Annex III, will be avoided</w:t>
            </w:r>
          </w:p>
        </w:tc>
        <w:tc>
          <w:tcPr>
            <w:tcW w:w="454" w:type="pct"/>
            <w:tcBorders>
              <w:top w:val="single" w:sz="4" w:space="0" w:color="auto"/>
              <w:left w:val="single" w:sz="4" w:space="0" w:color="auto"/>
              <w:bottom w:val="single" w:sz="4" w:space="0" w:color="auto"/>
              <w:right w:val="single" w:sz="4" w:space="0" w:color="auto"/>
            </w:tcBorders>
          </w:tcPr>
          <w:p w14:paraId="5F33037E" w14:textId="205805F0" w:rsidR="00975228" w:rsidRPr="00EE43C6" w:rsidRDefault="00B561CF" w:rsidP="00854BE8">
            <w:pPr>
              <w:autoSpaceDE w:val="0"/>
              <w:autoSpaceDN w:val="0"/>
              <w:adjustRightInd w:val="0"/>
              <w:spacing w:before="0" w:after="0" w:line="240" w:lineRule="auto"/>
              <w:jc w:val="left"/>
              <w:rPr>
                <w:rFonts w:cs="Arial"/>
                <w:color w:val="000000"/>
                <w:sz w:val="16"/>
                <w:szCs w:val="16"/>
              </w:rPr>
            </w:pPr>
            <w:r w:rsidRPr="00EE43C6">
              <w:rPr>
                <w:rFonts w:cs="Arial"/>
                <w:color w:val="000000"/>
                <w:sz w:val="16"/>
                <w:szCs w:val="16"/>
              </w:rPr>
              <w:lastRenderedPageBreak/>
              <w:t>TUIOSB</w:t>
            </w:r>
          </w:p>
        </w:tc>
        <w:tc>
          <w:tcPr>
            <w:tcW w:w="662" w:type="pct"/>
            <w:gridSpan w:val="2"/>
            <w:tcBorders>
              <w:top w:val="single" w:sz="4" w:space="0" w:color="auto"/>
              <w:left w:val="single" w:sz="4" w:space="0" w:color="auto"/>
              <w:bottom w:val="single" w:sz="4" w:space="0" w:color="auto"/>
              <w:right w:val="single" w:sz="4" w:space="0" w:color="auto"/>
            </w:tcBorders>
          </w:tcPr>
          <w:p w14:paraId="2669847F" w14:textId="77777777" w:rsidR="00E36F94" w:rsidRDefault="00E36F94" w:rsidP="00E36F94">
            <w:pPr>
              <w:numPr>
                <w:ilvl w:val="0"/>
                <w:numId w:val="7"/>
              </w:numPr>
              <w:spacing w:before="0" w:after="0" w:line="240" w:lineRule="auto"/>
              <w:ind w:left="113" w:right="113" w:hanging="180"/>
              <w:jc w:val="left"/>
              <w:rPr>
                <w:rFonts w:eastAsia="Arial TUR" w:cs="Arial"/>
                <w:color w:val="000000" w:themeColor="text1"/>
                <w:sz w:val="16"/>
                <w:szCs w:val="16"/>
                <w:lang w:eastAsia="en-US"/>
              </w:rPr>
            </w:pPr>
            <w:r w:rsidRPr="000A7978">
              <w:rPr>
                <w:rFonts w:eastAsia="Arial TUR" w:cs="Arial"/>
                <w:color w:val="000000" w:themeColor="text1"/>
                <w:sz w:val="16"/>
                <w:szCs w:val="16"/>
                <w:lang w:eastAsia="en-US"/>
              </w:rPr>
              <w:t>Spill incident</w:t>
            </w:r>
          </w:p>
          <w:p w14:paraId="390CB41C" w14:textId="77777777" w:rsidR="00E36F94" w:rsidRDefault="00E36F94" w:rsidP="00E36F94">
            <w:pPr>
              <w:numPr>
                <w:ilvl w:val="0"/>
                <w:numId w:val="7"/>
              </w:numPr>
              <w:spacing w:before="0" w:after="0" w:line="240" w:lineRule="auto"/>
              <w:ind w:left="113" w:right="113" w:hanging="180"/>
              <w:jc w:val="left"/>
              <w:rPr>
                <w:rFonts w:eastAsia="Arial TUR" w:cs="Arial"/>
                <w:color w:val="000000" w:themeColor="text1"/>
                <w:sz w:val="16"/>
                <w:szCs w:val="16"/>
                <w:lang w:eastAsia="en-US"/>
              </w:rPr>
            </w:pPr>
            <w:r w:rsidRPr="00BE02DC">
              <w:rPr>
                <w:rFonts w:eastAsia="Arial TUR" w:cs="Arial"/>
                <w:color w:val="000000" w:themeColor="text1"/>
                <w:sz w:val="16"/>
                <w:szCs w:val="16"/>
                <w:lang w:eastAsia="en-US"/>
              </w:rPr>
              <w:t>Non-Compliance with Project standards</w:t>
            </w:r>
          </w:p>
          <w:p w14:paraId="4319F00F" w14:textId="1BA525A5" w:rsidR="00975228" w:rsidRPr="00EE43C6" w:rsidRDefault="00E36F94" w:rsidP="00854BE8">
            <w:pPr>
              <w:spacing w:before="0" w:after="0" w:line="240" w:lineRule="auto"/>
              <w:ind w:left="113" w:right="113" w:hanging="180"/>
              <w:jc w:val="left"/>
              <w:rPr>
                <w:rFonts w:eastAsia="Arial TUR" w:cs="Arial"/>
                <w:color w:val="000000"/>
                <w:sz w:val="16"/>
                <w:szCs w:val="16"/>
                <w:lang w:eastAsia="en-US"/>
              </w:rPr>
            </w:pPr>
            <w:r w:rsidRPr="00BE02DC">
              <w:rPr>
                <w:rFonts w:eastAsia="Arial TUR" w:cs="Arial"/>
                <w:color w:val="000000" w:themeColor="text1"/>
                <w:sz w:val="16"/>
                <w:szCs w:val="16"/>
                <w:lang w:eastAsia="en-US"/>
              </w:rPr>
              <w:t>Number of soil-related community grievances</w:t>
            </w:r>
            <w:r w:rsidRPr="00EE43C6" w:rsidDel="00E36F94">
              <w:rPr>
                <w:rFonts w:eastAsia="Arial TUR" w:cs="Arial"/>
                <w:color w:val="000000" w:themeColor="text1"/>
                <w:sz w:val="16"/>
                <w:szCs w:val="16"/>
                <w:lang w:eastAsia="en-US"/>
              </w:rPr>
              <w:t xml:space="preserve"> </w:t>
            </w:r>
          </w:p>
        </w:tc>
      </w:tr>
    </w:tbl>
    <w:p w14:paraId="429E190D" w14:textId="77777777" w:rsidR="00063811" w:rsidRPr="00EE43C6" w:rsidRDefault="00063811" w:rsidP="004339AC">
      <w:pPr>
        <w:rPr>
          <w:b/>
          <w:bCs/>
        </w:rPr>
      </w:pPr>
    </w:p>
    <w:p w14:paraId="67354D52" w14:textId="34913B56" w:rsidR="00063811" w:rsidRPr="00EE43C6" w:rsidRDefault="00063811" w:rsidP="004339AC">
      <w:pPr>
        <w:rPr>
          <w:b/>
          <w:bCs/>
        </w:rPr>
        <w:sectPr w:rsidR="00063811" w:rsidRPr="00EE43C6" w:rsidSect="000E280D">
          <w:footerReference w:type="default" r:id="rId79"/>
          <w:pgSz w:w="16838" w:h="11906" w:orient="landscape" w:code="9"/>
          <w:pgMar w:top="1418" w:right="1418" w:bottom="1418" w:left="1418" w:header="709" w:footer="709" w:gutter="0"/>
          <w:cols w:space="708"/>
          <w:docGrid w:linePitch="299"/>
        </w:sectPr>
      </w:pPr>
    </w:p>
    <w:p w14:paraId="0BF20F4F" w14:textId="4D9DD230" w:rsidR="004339AC" w:rsidRPr="00EE43C6" w:rsidRDefault="007D734A" w:rsidP="00616769">
      <w:pPr>
        <w:pStyle w:val="Heading1"/>
        <w:ind w:left="426"/>
        <w:rPr>
          <w:noProof w:val="0"/>
          <w:lang w:val="en-GB"/>
        </w:rPr>
      </w:pPr>
      <w:bookmarkStart w:id="1589" w:name="_Toc120204543"/>
      <w:bookmarkStart w:id="1590" w:name="_Toc82779484"/>
      <w:bookmarkStart w:id="1591" w:name="_Toc80633596"/>
      <w:bookmarkStart w:id="1592" w:name="_Toc120016990"/>
      <w:bookmarkStart w:id="1593" w:name="_Toc120004767"/>
      <w:bookmarkStart w:id="1594" w:name="_Toc141445471"/>
      <w:bookmarkEnd w:id="1589"/>
      <w:bookmarkEnd w:id="1590"/>
      <w:r w:rsidRPr="00EE43C6">
        <w:rPr>
          <w:noProof w:val="0"/>
          <w:lang w:val="en-GB"/>
        </w:rPr>
        <w:lastRenderedPageBreak/>
        <w:t>EN</w:t>
      </w:r>
      <w:r w:rsidR="009620CB" w:rsidRPr="00EE43C6">
        <w:rPr>
          <w:noProof w:val="0"/>
          <w:lang w:val="en-GB"/>
        </w:rPr>
        <w:t xml:space="preserve">VIRONMENTAL AND </w:t>
      </w:r>
      <w:r w:rsidR="004339AC" w:rsidRPr="00EE43C6">
        <w:rPr>
          <w:noProof w:val="0"/>
          <w:lang w:val="en-GB"/>
        </w:rPr>
        <w:t xml:space="preserve">SOCIAL </w:t>
      </w:r>
      <w:r w:rsidR="009620CB" w:rsidRPr="00EE43C6">
        <w:rPr>
          <w:noProof w:val="0"/>
          <w:lang w:val="en-GB"/>
        </w:rPr>
        <w:t>MONITORING PLAN</w:t>
      </w:r>
      <w:bookmarkEnd w:id="1591"/>
      <w:bookmarkEnd w:id="1592"/>
      <w:bookmarkEnd w:id="1593"/>
      <w:bookmarkEnd w:id="1594"/>
    </w:p>
    <w:p w14:paraId="0797DFE1" w14:textId="568113A7" w:rsidR="00E85581" w:rsidRPr="00EE43C6" w:rsidRDefault="00E85581" w:rsidP="00E85581">
      <w:pPr>
        <w:rPr>
          <w:lang w:eastAsia="en-US"/>
        </w:rPr>
      </w:pPr>
      <w:r w:rsidRPr="5F58EB95">
        <w:rPr>
          <w:lang w:eastAsia="en-US"/>
        </w:rPr>
        <w:t xml:space="preserve">The monitoring, review and audit program detailed in </w:t>
      </w:r>
      <w:r w:rsidR="00C20194">
        <w:rPr>
          <w:lang w:eastAsia="en-US"/>
        </w:rPr>
        <w:t xml:space="preserve">Section </w:t>
      </w:r>
      <w:r w:rsidR="00C20194">
        <w:rPr>
          <w:lang w:eastAsia="en-US"/>
        </w:rPr>
        <w:fldChar w:fldCharType="begin"/>
      </w:r>
      <w:r w:rsidR="00C20194">
        <w:rPr>
          <w:lang w:eastAsia="en-US"/>
        </w:rPr>
        <w:instrText xml:space="preserve"> REF _Ref141367816 \w \h </w:instrText>
      </w:r>
      <w:r w:rsidR="00C20194">
        <w:rPr>
          <w:lang w:eastAsia="en-US"/>
        </w:rPr>
      </w:r>
      <w:r w:rsidR="00C20194">
        <w:rPr>
          <w:lang w:eastAsia="en-US"/>
        </w:rPr>
        <w:fldChar w:fldCharType="separate"/>
      </w:r>
      <w:r w:rsidR="00C20194">
        <w:rPr>
          <w:lang w:eastAsia="en-US"/>
        </w:rPr>
        <w:t>8.1</w:t>
      </w:r>
      <w:r w:rsidR="00C20194">
        <w:rPr>
          <w:lang w:eastAsia="en-US"/>
        </w:rPr>
        <w:fldChar w:fldCharType="end"/>
      </w:r>
      <w:r w:rsidR="00C20194">
        <w:rPr>
          <w:lang w:eastAsia="en-US"/>
        </w:rPr>
        <w:t xml:space="preserve"> </w:t>
      </w:r>
      <w:r w:rsidRPr="5F58EB95">
        <w:rPr>
          <w:lang w:eastAsia="en-US"/>
        </w:rPr>
        <w:t xml:space="preserve">and Section </w:t>
      </w:r>
      <w:r w:rsidR="00C20194">
        <w:rPr>
          <w:lang w:eastAsia="en-US"/>
        </w:rPr>
        <w:fldChar w:fldCharType="begin"/>
      </w:r>
      <w:r w:rsidR="00C20194">
        <w:rPr>
          <w:lang w:eastAsia="en-US"/>
        </w:rPr>
        <w:instrText xml:space="preserve"> REF _Ref141367817 \w \h </w:instrText>
      </w:r>
      <w:r w:rsidR="00C20194">
        <w:rPr>
          <w:lang w:eastAsia="en-US"/>
        </w:rPr>
      </w:r>
      <w:r w:rsidR="00C20194">
        <w:rPr>
          <w:lang w:eastAsia="en-US"/>
        </w:rPr>
        <w:fldChar w:fldCharType="separate"/>
      </w:r>
      <w:r w:rsidR="00C20194">
        <w:rPr>
          <w:lang w:eastAsia="en-US"/>
        </w:rPr>
        <w:t>8.2</w:t>
      </w:r>
      <w:r w:rsidR="00C20194">
        <w:rPr>
          <w:lang w:eastAsia="en-US"/>
        </w:rPr>
        <w:fldChar w:fldCharType="end"/>
      </w:r>
      <w:r w:rsidRPr="5F58EB95">
        <w:rPr>
          <w:lang w:eastAsia="en-US"/>
        </w:rPr>
        <w:t xml:space="preserve"> will be implemented during construction and operation phases to monitor the implementation of the environmental and social commitments of th</w:t>
      </w:r>
      <w:r w:rsidR="001A6F20" w:rsidRPr="5F58EB95">
        <w:rPr>
          <w:lang w:eastAsia="en-US"/>
        </w:rPr>
        <w:t>is</w:t>
      </w:r>
      <w:r w:rsidRPr="5F58EB95">
        <w:rPr>
          <w:lang w:eastAsia="en-US"/>
        </w:rPr>
        <w:t xml:space="preserve"> ESMP requirements. </w:t>
      </w:r>
      <w:r w:rsidR="00023C66" w:rsidRPr="5F58EB95">
        <w:rPr>
          <w:lang w:eastAsia="en-US"/>
        </w:rPr>
        <w:t xml:space="preserve">According to </w:t>
      </w:r>
      <w:r w:rsidR="001849D8" w:rsidRPr="5F58EB95">
        <w:rPr>
          <w:lang w:eastAsia="en-US"/>
        </w:rPr>
        <w:t xml:space="preserve">ESMF, </w:t>
      </w:r>
      <w:r w:rsidR="00023C66" w:rsidRPr="5F58EB95">
        <w:rPr>
          <w:lang w:eastAsia="en-US"/>
        </w:rPr>
        <w:t>MoIT PIU environmental and social experts shall monitor the sites on quarterly/biannually basis during construction</w:t>
      </w:r>
      <w:r w:rsidR="00F16B60" w:rsidRPr="5F58EB95">
        <w:rPr>
          <w:lang w:eastAsia="en-US"/>
        </w:rPr>
        <w:t>/operation phases</w:t>
      </w:r>
      <w:r w:rsidR="00023C66" w:rsidRPr="5F58EB95">
        <w:rPr>
          <w:lang w:eastAsia="en-US"/>
        </w:rPr>
        <w:t xml:space="preserve">, depending on the sub-project scope. More frequent monitoring may be conducted if needed to ensure compliance with the mitigation measures and resolution of any issues that are noted. Monthly monitoring activities </w:t>
      </w:r>
      <w:r w:rsidR="00A67A37" w:rsidRPr="5F58EB95">
        <w:rPr>
          <w:lang w:eastAsia="en-US"/>
        </w:rPr>
        <w:t>will be</w:t>
      </w:r>
      <w:r w:rsidR="00023C66" w:rsidRPr="5F58EB95">
        <w:rPr>
          <w:lang w:eastAsia="en-US"/>
        </w:rPr>
        <w:t xml:space="preserve"> carried out by </w:t>
      </w:r>
      <w:r w:rsidR="002C6984" w:rsidRPr="5F58EB95">
        <w:rPr>
          <w:lang w:eastAsia="en-US"/>
        </w:rPr>
        <w:t xml:space="preserve">Construction Supervision </w:t>
      </w:r>
      <w:r w:rsidR="00A67A37" w:rsidRPr="5F58EB95">
        <w:rPr>
          <w:lang w:eastAsia="en-US"/>
        </w:rPr>
        <w:t xml:space="preserve">Consultant and </w:t>
      </w:r>
      <w:r w:rsidR="00356C7B" w:rsidRPr="5F58EB95">
        <w:rPr>
          <w:lang w:eastAsia="en-US"/>
        </w:rPr>
        <w:t>TUIOSB</w:t>
      </w:r>
      <w:r w:rsidR="00A67A37" w:rsidRPr="5F58EB95">
        <w:rPr>
          <w:lang w:eastAsia="en-US"/>
        </w:rPr>
        <w:t>, and</w:t>
      </w:r>
      <w:r w:rsidR="00023C66" w:rsidRPr="5F58EB95">
        <w:rPr>
          <w:lang w:eastAsia="en-US"/>
        </w:rPr>
        <w:t xml:space="preserve"> E&amp;S compliance will be reported regularly to MoIT. MoIT will carry out its supervision monitoring as required and report to World Bank semi-annually on the progress and updates.</w:t>
      </w:r>
    </w:p>
    <w:p w14:paraId="0A557A22" w14:textId="7C3C43FB" w:rsidR="00617591" w:rsidRPr="00EE43C6" w:rsidRDefault="00E85581" w:rsidP="00E85581">
      <w:pPr>
        <w:rPr>
          <w:lang w:eastAsia="en-US"/>
        </w:rPr>
      </w:pPr>
      <w:r w:rsidRPr="00EE43C6">
        <w:rPr>
          <w:lang w:eastAsia="en-US"/>
        </w:rPr>
        <w:t xml:space="preserve">Key performance indicators (KPIs) of this procedure will be monitored, </w:t>
      </w:r>
      <w:r w:rsidR="004C55F1" w:rsidRPr="00EE43C6">
        <w:rPr>
          <w:lang w:eastAsia="en-US"/>
        </w:rPr>
        <w:t>verified,</w:t>
      </w:r>
      <w:r w:rsidRPr="00EE43C6">
        <w:rPr>
          <w:lang w:eastAsia="en-US"/>
        </w:rPr>
        <w:t xml:space="preserve"> and evaluated within the scope of the project monitoring phase.</w:t>
      </w:r>
      <w:r w:rsidRPr="00EE43C6">
        <w:t xml:space="preserve"> </w:t>
      </w:r>
      <w:r w:rsidRPr="00EE43C6">
        <w:rPr>
          <w:lang w:eastAsia="en-US"/>
        </w:rPr>
        <w:t xml:space="preserve">The KPIs are presented in </w:t>
      </w:r>
      <w:r w:rsidRPr="00EE43C6">
        <w:rPr>
          <w:lang w:eastAsia="en-US"/>
        </w:rPr>
        <w:fldChar w:fldCharType="begin"/>
      </w:r>
      <w:r w:rsidRPr="00EE43C6">
        <w:rPr>
          <w:lang w:eastAsia="en-US"/>
        </w:rPr>
        <w:instrText xml:space="preserve"> REF _Ref93497815 \h  \* MERGEFORMAT </w:instrText>
      </w:r>
      <w:r w:rsidRPr="00EE43C6">
        <w:rPr>
          <w:lang w:eastAsia="en-US"/>
        </w:rPr>
      </w:r>
      <w:r w:rsidRPr="00EE43C6">
        <w:rPr>
          <w:lang w:eastAsia="en-US"/>
        </w:rPr>
        <w:fldChar w:fldCharType="separate"/>
      </w:r>
      <w:r w:rsidR="00C46ED1" w:rsidRPr="00EE43C6">
        <w:t xml:space="preserve">Table </w:t>
      </w:r>
      <w:r w:rsidR="00C46ED1">
        <w:t>8</w:t>
      </w:r>
      <w:r w:rsidR="00C46ED1">
        <w:noBreakHyphen/>
        <w:t>1</w:t>
      </w:r>
      <w:r w:rsidRPr="00EE43C6">
        <w:rPr>
          <w:lang w:eastAsia="en-US"/>
        </w:rPr>
        <w:fldChar w:fldCharType="end"/>
      </w:r>
      <w:r w:rsidRPr="00EE43C6">
        <w:rPr>
          <w:lang w:eastAsia="en-US"/>
        </w:rPr>
        <w:t xml:space="preserve"> below.</w:t>
      </w:r>
    </w:p>
    <w:p w14:paraId="50EACE6F" w14:textId="3B30E32E" w:rsidR="00247386" w:rsidRPr="00EE43C6" w:rsidRDefault="00247386" w:rsidP="00247386">
      <w:pPr>
        <w:pStyle w:val="Caption"/>
        <w:spacing w:before="240"/>
        <w:rPr>
          <w:noProof w:val="0"/>
        </w:rPr>
      </w:pPr>
      <w:bookmarkStart w:id="1595" w:name="_Ref93497815"/>
      <w:bookmarkStart w:id="1596" w:name="_Toc97307073"/>
      <w:bookmarkStart w:id="1597" w:name="_Toc120004652"/>
      <w:bookmarkStart w:id="1598" w:name="_Toc120016874"/>
      <w:bookmarkStart w:id="1599" w:name="_Toc141445542"/>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C46ED1">
        <w:t>8</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C46ED1">
        <w:t>1</w:t>
      </w:r>
      <w:r w:rsidR="006D2DE8">
        <w:rPr>
          <w:noProof w:val="0"/>
        </w:rPr>
        <w:fldChar w:fldCharType="end"/>
      </w:r>
      <w:bookmarkEnd w:id="1595"/>
      <w:r w:rsidRPr="00EE43C6">
        <w:rPr>
          <w:noProof w:val="0"/>
        </w:rPr>
        <w:t xml:space="preserve">. </w:t>
      </w:r>
      <w:r w:rsidRPr="00EE43C6">
        <w:rPr>
          <w:b w:val="0"/>
          <w:noProof w:val="0"/>
          <w:color w:val="auto"/>
        </w:rPr>
        <w:t>Key Performance Indicators</w:t>
      </w:r>
      <w:bookmarkEnd w:id="1596"/>
      <w:bookmarkEnd w:id="1597"/>
      <w:bookmarkEnd w:id="1598"/>
      <w:r w:rsidR="0049662A">
        <w:rPr>
          <w:b w:val="0"/>
          <w:noProof w:val="0"/>
          <w:color w:val="auto"/>
        </w:rPr>
        <w:t xml:space="preserve"> for </w:t>
      </w:r>
      <w:r w:rsidR="00A77105">
        <w:rPr>
          <w:b w:val="0"/>
          <w:noProof w:val="0"/>
          <w:color w:val="auto"/>
        </w:rPr>
        <w:t>both</w:t>
      </w:r>
      <w:r w:rsidR="00444E73" w:rsidRPr="00444E73">
        <w:rPr>
          <w:b w:val="0"/>
          <w:noProof w:val="0"/>
          <w:color w:val="auto"/>
        </w:rPr>
        <w:t xml:space="preserve"> construction and operation phases </w:t>
      </w:r>
      <w:r w:rsidR="00444E73">
        <w:rPr>
          <w:b w:val="0"/>
          <w:noProof w:val="0"/>
          <w:color w:val="auto"/>
        </w:rPr>
        <w:t>of the Project</w:t>
      </w:r>
      <w:bookmarkEnd w:id="1599"/>
    </w:p>
    <w:tbl>
      <w:tblPr>
        <w:tblStyle w:val="zel2"/>
        <w:tblW w:w="5000" w:type="pct"/>
        <w:jc w:val="center"/>
        <w:tblLook w:val="04A0" w:firstRow="1" w:lastRow="0" w:firstColumn="1" w:lastColumn="0" w:noHBand="0" w:noVBand="1"/>
      </w:tblPr>
      <w:tblGrid>
        <w:gridCol w:w="4526"/>
        <w:gridCol w:w="4534"/>
      </w:tblGrid>
      <w:tr w:rsidR="00247386" w:rsidRPr="00EE43C6" w14:paraId="3548C18E" w14:textId="77777777" w:rsidTr="00C62F21">
        <w:trPr>
          <w:tblHeader/>
          <w:jc w:val="center"/>
        </w:trPr>
        <w:tc>
          <w:tcPr>
            <w:tcW w:w="2498" w:type="pct"/>
            <w:shd w:val="clear" w:color="auto" w:fill="4F81BD" w:themeFill="accent1"/>
            <w:vAlign w:val="center"/>
          </w:tcPr>
          <w:p w14:paraId="5AFE53BC" w14:textId="77777777" w:rsidR="00247386" w:rsidRPr="00EE43C6" w:rsidRDefault="00247386" w:rsidP="003C297A">
            <w:pPr>
              <w:spacing w:before="40" w:after="40" w:line="240" w:lineRule="auto"/>
              <w:jc w:val="center"/>
              <w:rPr>
                <w:rFonts w:cs="Wingdings"/>
                <w:b/>
                <w:color w:val="FFFFFF"/>
                <w:sz w:val="18"/>
                <w:szCs w:val="18"/>
                <w:lang w:eastAsia="tr-TR"/>
              </w:rPr>
            </w:pPr>
            <w:r w:rsidRPr="00EE43C6">
              <w:rPr>
                <w:rFonts w:cs="Wingdings"/>
                <w:b/>
                <w:color w:val="FFFFFF"/>
                <w:sz w:val="18"/>
                <w:szCs w:val="18"/>
                <w:lang w:eastAsia="tr-TR"/>
              </w:rPr>
              <w:t>KPI</w:t>
            </w:r>
          </w:p>
        </w:tc>
        <w:tc>
          <w:tcPr>
            <w:tcW w:w="2502" w:type="pct"/>
            <w:shd w:val="clear" w:color="auto" w:fill="4F81BD" w:themeFill="accent1"/>
            <w:vAlign w:val="center"/>
          </w:tcPr>
          <w:p w14:paraId="69DF4436" w14:textId="15A5C413" w:rsidR="00247386" w:rsidRPr="00EE43C6" w:rsidRDefault="00247386" w:rsidP="003C297A">
            <w:pPr>
              <w:spacing w:before="40" w:after="40" w:line="240" w:lineRule="auto"/>
              <w:jc w:val="center"/>
              <w:rPr>
                <w:rFonts w:cs="Wingdings"/>
                <w:b/>
                <w:color w:val="FFFFFF"/>
                <w:sz w:val="18"/>
                <w:szCs w:val="18"/>
                <w:lang w:eastAsia="tr-TR"/>
              </w:rPr>
            </w:pPr>
            <w:r w:rsidRPr="00EE43C6">
              <w:rPr>
                <w:rFonts w:cs="Wingdings"/>
                <w:b/>
                <w:color w:val="FFFFFF"/>
                <w:sz w:val="18"/>
                <w:szCs w:val="18"/>
                <w:lang w:eastAsia="tr-TR"/>
              </w:rPr>
              <w:t>Target</w:t>
            </w:r>
          </w:p>
        </w:tc>
      </w:tr>
      <w:tr w:rsidR="00247386" w:rsidRPr="00EE43C6" w14:paraId="1275F3BD" w14:textId="77777777" w:rsidTr="00C62F21">
        <w:trPr>
          <w:jc w:val="center"/>
        </w:trPr>
        <w:tc>
          <w:tcPr>
            <w:tcW w:w="5000" w:type="pct"/>
            <w:gridSpan w:val="2"/>
            <w:shd w:val="clear" w:color="auto" w:fill="4F81BD" w:themeFill="accent1"/>
            <w:vAlign w:val="center"/>
          </w:tcPr>
          <w:p w14:paraId="43363AAE" w14:textId="77777777" w:rsidR="00247386" w:rsidRPr="00EE43C6" w:rsidRDefault="00247386" w:rsidP="003C297A">
            <w:pPr>
              <w:spacing w:before="40" w:after="40" w:line="240" w:lineRule="auto"/>
              <w:jc w:val="center"/>
              <w:rPr>
                <w:rFonts w:cs="Wingdings"/>
                <w:b/>
                <w:color w:val="FFFFFF"/>
                <w:sz w:val="18"/>
                <w:szCs w:val="18"/>
                <w:lang w:eastAsia="tr-TR"/>
              </w:rPr>
            </w:pPr>
            <w:r w:rsidRPr="00EE43C6">
              <w:rPr>
                <w:rFonts w:cs="Wingdings"/>
                <w:b/>
                <w:color w:val="FFFFFF"/>
                <w:sz w:val="18"/>
                <w:szCs w:val="18"/>
                <w:lang w:eastAsia="tr-TR"/>
              </w:rPr>
              <w:t>Air Quality</w:t>
            </w:r>
          </w:p>
        </w:tc>
      </w:tr>
      <w:tr w:rsidR="00247386" w:rsidRPr="00EE43C6" w14:paraId="4371103D" w14:textId="77777777" w:rsidTr="00C62F21">
        <w:trPr>
          <w:jc w:val="center"/>
        </w:trPr>
        <w:tc>
          <w:tcPr>
            <w:tcW w:w="2498" w:type="pct"/>
            <w:vAlign w:val="center"/>
          </w:tcPr>
          <w:p w14:paraId="52145AEC" w14:textId="77777777" w:rsidR="00247386" w:rsidRPr="00EE43C6" w:rsidRDefault="00247386" w:rsidP="003C297A">
            <w:pPr>
              <w:spacing w:before="40" w:after="40" w:line="240" w:lineRule="auto"/>
              <w:jc w:val="center"/>
              <w:rPr>
                <w:rFonts w:cs="Wingdings"/>
                <w:sz w:val="18"/>
                <w:szCs w:val="18"/>
                <w:lang w:eastAsia="tr-TR"/>
              </w:rPr>
            </w:pPr>
            <w:r w:rsidRPr="00EE43C6">
              <w:rPr>
                <w:rFonts w:cs="Wingdings"/>
                <w:sz w:val="18"/>
                <w:szCs w:val="18"/>
                <w:lang w:eastAsia="tr-TR"/>
              </w:rPr>
              <w:t>Air Quality incidents</w:t>
            </w:r>
          </w:p>
        </w:tc>
        <w:tc>
          <w:tcPr>
            <w:tcW w:w="2502" w:type="pct"/>
            <w:vAlign w:val="center"/>
          </w:tcPr>
          <w:p w14:paraId="71F0F197" w14:textId="77777777" w:rsidR="00247386" w:rsidRPr="00EE43C6" w:rsidRDefault="00247386" w:rsidP="003C297A">
            <w:pPr>
              <w:spacing w:before="40" w:after="40" w:line="240" w:lineRule="auto"/>
              <w:jc w:val="center"/>
              <w:rPr>
                <w:rFonts w:cs="Wingdings"/>
                <w:sz w:val="18"/>
                <w:szCs w:val="18"/>
                <w:lang w:eastAsia="tr-TR"/>
              </w:rPr>
            </w:pPr>
            <w:r w:rsidRPr="00EE43C6">
              <w:rPr>
                <w:rFonts w:cs="Wingdings"/>
                <w:sz w:val="18"/>
                <w:szCs w:val="18"/>
                <w:lang w:eastAsia="tr-TR"/>
              </w:rPr>
              <w:t>Minimization and continued improvement in the number of the reported air quality related incidents.</w:t>
            </w:r>
          </w:p>
        </w:tc>
      </w:tr>
      <w:tr w:rsidR="00247386" w:rsidRPr="00EE43C6" w14:paraId="1FE06D4A" w14:textId="77777777" w:rsidTr="00C62F21">
        <w:trPr>
          <w:jc w:val="center"/>
        </w:trPr>
        <w:tc>
          <w:tcPr>
            <w:tcW w:w="2498" w:type="pct"/>
            <w:vAlign w:val="center"/>
          </w:tcPr>
          <w:p w14:paraId="6388BAAA" w14:textId="77777777" w:rsidR="00247386" w:rsidRPr="00EE43C6" w:rsidRDefault="00247386" w:rsidP="003C297A">
            <w:pPr>
              <w:spacing w:before="40" w:after="40" w:line="240" w:lineRule="auto"/>
              <w:jc w:val="center"/>
              <w:rPr>
                <w:rFonts w:cs="Wingdings"/>
                <w:sz w:val="18"/>
                <w:szCs w:val="18"/>
                <w:lang w:eastAsia="tr-TR"/>
              </w:rPr>
            </w:pPr>
            <w:r w:rsidRPr="00EE43C6">
              <w:rPr>
                <w:rFonts w:cs="Wingdings"/>
                <w:sz w:val="18"/>
                <w:szCs w:val="18"/>
                <w:lang w:eastAsia="tr-TR"/>
              </w:rPr>
              <w:t>Non-Compliance with air</w:t>
            </w:r>
          </w:p>
          <w:p w14:paraId="0F6E090B" w14:textId="77777777" w:rsidR="00247386" w:rsidRPr="00EE43C6" w:rsidRDefault="00247386" w:rsidP="003C297A">
            <w:pPr>
              <w:spacing w:before="40" w:after="40" w:line="240" w:lineRule="auto"/>
              <w:jc w:val="center"/>
              <w:rPr>
                <w:rFonts w:cs="Wingdings"/>
                <w:sz w:val="18"/>
                <w:szCs w:val="18"/>
                <w:lang w:eastAsia="tr-TR"/>
              </w:rPr>
            </w:pPr>
            <w:r w:rsidRPr="00EE43C6">
              <w:rPr>
                <w:rFonts w:cs="Wingdings"/>
                <w:sz w:val="18"/>
                <w:szCs w:val="18"/>
                <w:lang w:eastAsia="tr-TR"/>
              </w:rPr>
              <w:t>quality standards</w:t>
            </w:r>
          </w:p>
        </w:tc>
        <w:tc>
          <w:tcPr>
            <w:tcW w:w="2502" w:type="pct"/>
            <w:vAlign w:val="center"/>
          </w:tcPr>
          <w:p w14:paraId="0B5D9316" w14:textId="77777777" w:rsidR="00247386" w:rsidRPr="00EE43C6" w:rsidRDefault="00247386" w:rsidP="003C297A">
            <w:pPr>
              <w:spacing w:before="40" w:after="40" w:line="240" w:lineRule="auto"/>
              <w:jc w:val="center"/>
              <w:rPr>
                <w:rFonts w:cs="Wingdings"/>
                <w:sz w:val="18"/>
                <w:szCs w:val="18"/>
                <w:lang w:eastAsia="tr-TR"/>
              </w:rPr>
            </w:pPr>
            <w:r w:rsidRPr="00EE43C6">
              <w:rPr>
                <w:rFonts w:cs="Wingdings"/>
                <w:sz w:val="18"/>
                <w:szCs w:val="18"/>
                <w:lang w:eastAsia="tr-TR"/>
              </w:rPr>
              <w:t>Zero complaints per year</w:t>
            </w:r>
          </w:p>
        </w:tc>
      </w:tr>
      <w:tr w:rsidR="00247386" w:rsidRPr="00EE43C6" w14:paraId="06A57E66" w14:textId="77777777" w:rsidTr="00616769">
        <w:trPr>
          <w:jc w:val="center"/>
        </w:trPr>
        <w:tc>
          <w:tcPr>
            <w:tcW w:w="2498" w:type="pct"/>
            <w:tcBorders>
              <w:bottom w:val="single" w:sz="4" w:space="0" w:color="auto"/>
            </w:tcBorders>
            <w:vAlign w:val="center"/>
          </w:tcPr>
          <w:p w14:paraId="7FCD6F7E" w14:textId="77777777" w:rsidR="00247386" w:rsidRPr="00EE43C6" w:rsidRDefault="00247386" w:rsidP="003C297A">
            <w:pPr>
              <w:spacing w:before="40" w:after="40" w:line="240" w:lineRule="auto"/>
              <w:jc w:val="center"/>
              <w:rPr>
                <w:rFonts w:cs="Wingdings"/>
                <w:sz w:val="18"/>
                <w:szCs w:val="18"/>
                <w:lang w:eastAsia="tr-TR"/>
              </w:rPr>
            </w:pPr>
            <w:r w:rsidRPr="00EE43C6">
              <w:rPr>
                <w:rFonts w:cs="Wingdings"/>
                <w:sz w:val="18"/>
                <w:szCs w:val="18"/>
                <w:lang w:eastAsia="tr-TR"/>
              </w:rPr>
              <w:t>Community complaints</w:t>
            </w:r>
          </w:p>
        </w:tc>
        <w:tc>
          <w:tcPr>
            <w:tcW w:w="2502" w:type="pct"/>
            <w:tcBorders>
              <w:bottom w:val="single" w:sz="4" w:space="0" w:color="auto"/>
            </w:tcBorders>
            <w:vAlign w:val="center"/>
          </w:tcPr>
          <w:p w14:paraId="073B3D26" w14:textId="16A375E7" w:rsidR="00247386" w:rsidRPr="00EE43C6" w:rsidRDefault="00247386" w:rsidP="003C297A">
            <w:pPr>
              <w:spacing w:before="40" w:after="40" w:line="240" w:lineRule="auto"/>
              <w:jc w:val="center"/>
              <w:rPr>
                <w:rFonts w:cs="Wingdings"/>
                <w:sz w:val="18"/>
                <w:szCs w:val="18"/>
                <w:lang w:eastAsia="tr-TR"/>
              </w:rPr>
            </w:pPr>
            <w:r w:rsidRPr="00EE43C6">
              <w:rPr>
                <w:rFonts w:cs="Wingdings"/>
                <w:sz w:val="18"/>
                <w:szCs w:val="18"/>
                <w:lang w:eastAsia="tr-TR"/>
              </w:rPr>
              <w:t>Minimization and continued improvement in the number of air quality related community complaints.</w:t>
            </w:r>
          </w:p>
        </w:tc>
      </w:tr>
      <w:tr w:rsidR="00682D49" w:rsidRPr="00EE43C6" w14:paraId="54321DD7" w14:textId="77777777" w:rsidTr="00616769">
        <w:trPr>
          <w:jc w:val="center"/>
        </w:trPr>
        <w:tc>
          <w:tcPr>
            <w:tcW w:w="2498" w:type="pct"/>
            <w:tcBorders>
              <w:bottom w:val="single" w:sz="4" w:space="0" w:color="auto"/>
            </w:tcBorders>
            <w:vAlign w:val="center"/>
          </w:tcPr>
          <w:p w14:paraId="13F24264" w14:textId="4A775F8F" w:rsidR="00682D49" w:rsidRPr="00EE43C6" w:rsidRDefault="00682D49" w:rsidP="003C297A">
            <w:pPr>
              <w:spacing w:before="40" w:after="40" w:line="240" w:lineRule="auto"/>
              <w:jc w:val="center"/>
              <w:rPr>
                <w:rFonts w:cs="Wingdings"/>
                <w:sz w:val="18"/>
                <w:szCs w:val="18"/>
                <w:lang w:eastAsia="tr-TR"/>
              </w:rPr>
            </w:pPr>
            <w:r>
              <w:rPr>
                <w:rFonts w:cs="Wingdings"/>
                <w:sz w:val="18"/>
                <w:szCs w:val="18"/>
                <w:lang w:eastAsia="tr-TR"/>
              </w:rPr>
              <w:t>Violation o</w:t>
            </w:r>
            <w:r w:rsidR="00F11D09">
              <w:rPr>
                <w:rFonts w:cs="Wingdings"/>
                <w:sz w:val="18"/>
                <w:szCs w:val="18"/>
                <w:lang w:eastAsia="tr-TR"/>
              </w:rPr>
              <w:t>n</w:t>
            </w:r>
            <w:r>
              <w:rPr>
                <w:rFonts w:cs="Wingdings"/>
                <w:sz w:val="18"/>
                <w:szCs w:val="18"/>
                <w:lang w:eastAsia="tr-TR"/>
              </w:rPr>
              <w:t xml:space="preserve"> </w:t>
            </w:r>
            <w:r w:rsidR="00F11D09">
              <w:rPr>
                <w:rFonts w:cs="Wingdings"/>
                <w:sz w:val="18"/>
                <w:szCs w:val="18"/>
                <w:lang w:eastAsia="tr-TR"/>
              </w:rPr>
              <w:t>s</w:t>
            </w:r>
            <w:r>
              <w:rPr>
                <w:rFonts w:cs="Wingdings"/>
                <w:sz w:val="18"/>
                <w:szCs w:val="18"/>
                <w:lang w:eastAsia="tr-TR"/>
              </w:rPr>
              <w:t>peed</w:t>
            </w:r>
            <w:r w:rsidR="00F11D09">
              <w:rPr>
                <w:rFonts w:cs="Wingdings"/>
                <w:sz w:val="18"/>
                <w:szCs w:val="18"/>
                <w:lang w:eastAsia="tr-TR"/>
              </w:rPr>
              <w:t xml:space="preserve"> limit</w:t>
            </w:r>
          </w:p>
        </w:tc>
        <w:tc>
          <w:tcPr>
            <w:tcW w:w="2502" w:type="pct"/>
            <w:tcBorders>
              <w:bottom w:val="single" w:sz="4" w:space="0" w:color="auto"/>
            </w:tcBorders>
            <w:vAlign w:val="center"/>
          </w:tcPr>
          <w:p w14:paraId="4FE9B784" w14:textId="72AD387A" w:rsidR="00682D49" w:rsidRPr="00EE43C6" w:rsidRDefault="00682D49" w:rsidP="003C297A">
            <w:pPr>
              <w:spacing w:before="40" w:after="40" w:line="240" w:lineRule="auto"/>
              <w:jc w:val="center"/>
              <w:rPr>
                <w:rFonts w:cs="Wingdings"/>
                <w:sz w:val="18"/>
                <w:szCs w:val="18"/>
                <w:lang w:eastAsia="tr-TR"/>
              </w:rPr>
            </w:pPr>
            <w:r w:rsidRPr="00682D49">
              <w:rPr>
                <w:rFonts w:cs="Wingdings"/>
                <w:sz w:val="18"/>
                <w:szCs w:val="18"/>
                <w:lang w:eastAsia="tr-TR"/>
              </w:rPr>
              <w:t>Minimization and continued improvement in the</w:t>
            </w:r>
            <w:r w:rsidR="00DE6E1B">
              <w:rPr>
                <w:rFonts w:cs="Wingdings"/>
                <w:sz w:val="18"/>
                <w:szCs w:val="18"/>
                <w:lang w:eastAsia="tr-TR"/>
              </w:rPr>
              <w:t xml:space="preserve"> number of reported violation</w:t>
            </w:r>
            <w:r w:rsidR="00AE37DE">
              <w:rPr>
                <w:rFonts w:cs="Wingdings"/>
                <w:sz w:val="18"/>
                <w:szCs w:val="18"/>
                <w:lang w:eastAsia="tr-TR"/>
              </w:rPr>
              <w:t>s</w:t>
            </w:r>
            <w:r w:rsidR="00DE6E1B">
              <w:rPr>
                <w:rFonts w:cs="Wingdings"/>
                <w:sz w:val="18"/>
                <w:szCs w:val="18"/>
                <w:lang w:eastAsia="tr-TR"/>
              </w:rPr>
              <w:t xml:space="preserve"> on speed limit</w:t>
            </w:r>
          </w:p>
        </w:tc>
      </w:tr>
      <w:tr w:rsidR="00DE7A88" w:rsidRPr="00EE43C6" w14:paraId="4F3BC89B" w14:textId="77777777" w:rsidTr="00616769">
        <w:trPr>
          <w:jc w:val="center"/>
        </w:trPr>
        <w:tc>
          <w:tcPr>
            <w:tcW w:w="5000" w:type="pct"/>
            <w:gridSpan w:val="2"/>
            <w:shd w:val="clear" w:color="auto" w:fill="4F81BD"/>
            <w:vAlign w:val="center"/>
          </w:tcPr>
          <w:p w14:paraId="60FFC52A" w14:textId="32AA7D57" w:rsidR="00DE7A88" w:rsidRPr="00EE43C6" w:rsidRDefault="00DE7A88">
            <w:pPr>
              <w:spacing w:before="40" w:after="40" w:line="240" w:lineRule="auto"/>
              <w:jc w:val="center"/>
              <w:rPr>
                <w:rFonts w:cs="Wingdings"/>
                <w:b/>
                <w:color w:val="FFFFFF"/>
                <w:sz w:val="18"/>
                <w:szCs w:val="18"/>
                <w:lang w:eastAsia="tr-TR"/>
              </w:rPr>
            </w:pPr>
            <w:r>
              <w:rPr>
                <w:rFonts w:cs="Wingdings"/>
                <w:b/>
                <w:color w:val="FFFFFF"/>
                <w:sz w:val="18"/>
                <w:szCs w:val="18"/>
                <w:lang w:eastAsia="tr-TR"/>
              </w:rPr>
              <w:t>Odour</w:t>
            </w:r>
          </w:p>
        </w:tc>
      </w:tr>
      <w:tr w:rsidR="00187497" w:rsidRPr="00EE43C6" w14:paraId="581D26EF" w14:textId="77777777" w:rsidTr="00C62F21">
        <w:trPr>
          <w:jc w:val="center"/>
        </w:trPr>
        <w:tc>
          <w:tcPr>
            <w:tcW w:w="2498" w:type="pct"/>
            <w:vAlign w:val="center"/>
          </w:tcPr>
          <w:p w14:paraId="28CD720B" w14:textId="37B7A6C7" w:rsidR="00187497" w:rsidRPr="00EE43C6" w:rsidRDefault="00187497" w:rsidP="00187497">
            <w:pPr>
              <w:spacing w:before="40" w:after="40" w:line="240" w:lineRule="auto"/>
              <w:jc w:val="center"/>
              <w:rPr>
                <w:rFonts w:cs="Wingdings"/>
                <w:sz w:val="18"/>
                <w:szCs w:val="18"/>
                <w:lang w:eastAsia="tr-TR"/>
              </w:rPr>
            </w:pPr>
            <w:r w:rsidRPr="00FB1381">
              <w:rPr>
                <w:rFonts w:cs="Wingdings"/>
                <w:sz w:val="18"/>
                <w:szCs w:val="18"/>
                <w:lang w:eastAsia="tr-TR"/>
              </w:rPr>
              <w:t>Odour incidents</w:t>
            </w:r>
          </w:p>
        </w:tc>
        <w:tc>
          <w:tcPr>
            <w:tcW w:w="2502" w:type="pct"/>
            <w:vAlign w:val="center"/>
          </w:tcPr>
          <w:p w14:paraId="6C9CD826" w14:textId="0A1199A6" w:rsidR="00187497" w:rsidRPr="00EE43C6" w:rsidRDefault="00187497" w:rsidP="00187497">
            <w:pPr>
              <w:spacing w:before="40" w:after="40" w:line="240" w:lineRule="auto"/>
              <w:jc w:val="center"/>
              <w:rPr>
                <w:rFonts w:cs="Wingdings"/>
                <w:sz w:val="18"/>
                <w:szCs w:val="18"/>
                <w:lang w:eastAsia="tr-TR"/>
              </w:rPr>
            </w:pPr>
            <w:r w:rsidRPr="00FB1381">
              <w:rPr>
                <w:rFonts w:cs="Wingdings"/>
                <w:sz w:val="18"/>
                <w:szCs w:val="18"/>
                <w:lang w:eastAsia="tr-TR"/>
              </w:rPr>
              <w:t>Minimization and continued improvement in the number of the reported odour related incidents.</w:t>
            </w:r>
          </w:p>
        </w:tc>
      </w:tr>
      <w:tr w:rsidR="00187497" w:rsidRPr="00EE43C6" w14:paraId="5DEC23A4" w14:textId="77777777" w:rsidTr="00C62F21">
        <w:trPr>
          <w:jc w:val="center"/>
        </w:trPr>
        <w:tc>
          <w:tcPr>
            <w:tcW w:w="2498" w:type="pct"/>
            <w:vAlign w:val="center"/>
          </w:tcPr>
          <w:p w14:paraId="6EC2D25B" w14:textId="05D254CD" w:rsidR="00187497" w:rsidRPr="00EE43C6" w:rsidRDefault="00187497" w:rsidP="00187497">
            <w:pPr>
              <w:spacing w:before="40" w:after="40" w:line="240" w:lineRule="auto"/>
              <w:jc w:val="center"/>
              <w:rPr>
                <w:rFonts w:cs="Wingdings"/>
                <w:sz w:val="18"/>
                <w:szCs w:val="18"/>
                <w:lang w:eastAsia="tr-TR"/>
              </w:rPr>
            </w:pPr>
            <w:r w:rsidRPr="00FB1381">
              <w:rPr>
                <w:rFonts w:cs="Wingdings"/>
                <w:sz w:val="18"/>
                <w:szCs w:val="18"/>
                <w:lang w:eastAsia="tr-TR"/>
              </w:rPr>
              <w:t>Non-Compliance with odour standards</w:t>
            </w:r>
          </w:p>
        </w:tc>
        <w:tc>
          <w:tcPr>
            <w:tcW w:w="2502" w:type="pct"/>
            <w:vAlign w:val="center"/>
          </w:tcPr>
          <w:p w14:paraId="430CD249" w14:textId="6F815DD9" w:rsidR="00187497" w:rsidRPr="00EE43C6" w:rsidRDefault="00187497" w:rsidP="00187497">
            <w:pPr>
              <w:spacing w:before="40" w:after="40" w:line="240" w:lineRule="auto"/>
              <w:jc w:val="center"/>
              <w:rPr>
                <w:rFonts w:cs="Wingdings"/>
                <w:sz w:val="18"/>
                <w:szCs w:val="18"/>
                <w:lang w:eastAsia="tr-TR"/>
              </w:rPr>
            </w:pPr>
            <w:r w:rsidRPr="00FB1381">
              <w:rPr>
                <w:rFonts w:cs="Wingdings"/>
                <w:sz w:val="18"/>
                <w:szCs w:val="18"/>
                <w:lang w:eastAsia="tr-TR"/>
              </w:rPr>
              <w:t>Zero complaints per year</w:t>
            </w:r>
          </w:p>
        </w:tc>
      </w:tr>
      <w:tr w:rsidR="00187497" w:rsidRPr="00EE43C6" w14:paraId="4767A1C0" w14:textId="77777777" w:rsidTr="00C62F21">
        <w:trPr>
          <w:jc w:val="center"/>
        </w:trPr>
        <w:tc>
          <w:tcPr>
            <w:tcW w:w="2498" w:type="pct"/>
            <w:vAlign w:val="center"/>
          </w:tcPr>
          <w:p w14:paraId="0D65E074" w14:textId="7971F868" w:rsidR="00187497" w:rsidRPr="00EE43C6" w:rsidRDefault="00187497" w:rsidP="00187497">
            <w:pPr>
              <w:spacing w:before="40" w:after="40" w:line="240" w:lineRule="auto"/>
              <w:jc w:val="center"/>
              <w:rPr>
                <w:rFonts w:cs="Wingdings"/>
                <w:sz w:val="18"/>
                <w:szCs w:val="18"/>
                <w:lang w:eastAsia="tr-TR"/>
              </w:rPr>
            </w:pPr>
            <w:r w:rsidRPr="00FB1381">
              <w:rPr>
                <w:rFonts w:cs="Wingdings"/>
                <w:sz w:val="18"/>
                <w:szCs w:val="18"/>
                <w:lang w:eastAsia="tr-TR"/>
              </w:rPr>
              <w:t>Community complaints</w:t>
            </w:r>
          </w:p>
        </w:tc>
        <w:tc>
          <w:tcPr>
            <w:tcW w:w="2502" w:type="pct"/>
            <w:vAlign w:val="center"/>
          </w:tcPr>
          <w:p w14:paraId="186074A5" w14:textId="695C6311" w:rsidR="00187497" w:rsidRPr="00EE43C6" w:rsidRDefault="00187497" w:rsidP="00187497">
            <w:pPr>
              <w:spacing w:before="40" w:after="40" w:line="240" w:lineRule="auto"/>
              <w:jc w:val="center"/>
              <w:rPr>
                <w:rFonts w:cs="Wingdings"/>
                <w:sz w:val="18"/>
                <w:szCs w:val="18"/>
                <w:lang w:eastAsia="tr-TR"/>
              </w:rPr>
            </w:pPr>
            <w:r w:rsidRPr="00FB1381">
              <w:rPr>
                <w:rFonts w:cs="Wingdings"/>
                <w:sz w:val="18"/>
                <w:szCs w:val="18"/>
                <w:lang w:eastAsia="tr-TR"/>
              </w:rPr>
              <w:t>Minimization and continued improvement in the number of odour related community complaints.</w:t>
            </w:r>
          </w:p>
        </w:tc>
      </w:tr>
      <w:tr w:rsidR="00187497" w:rsidRPr="00EE43C6" w14:paraId="0544BA97" w14:textId="77777777" w:rsidTr="00854BE8">
        <w:trPr>
          <w:jc w:val="center"/>
        </w:trPr>
        <w:tc>
          <w:tcPr>
            <w:tcW w:w="5000" w:type="pct"/>
            <w:gridSpan w:val="2"/>
            <w:shd w:val="clear" w:color="auto" w:fill="4F81BD"/>
            <w:vAlign w:val="center"/>
          </w:tcPr>
          <w:p w14:paraId="15EECD40" w14:textId="77777777" w:rsidR="00187497" w:rsidRPr="00EE43C6" w:rsidRDefault="00187497" w:rsidP="00187497">
            <w:pPr>
              <w:spacing w:before="40" w:after="40" w:line="240" w:lineRule="auto"/>
              <w:jc w:val="center"/>
              <w:rPr>
                <w:rFonts w:cs="Wingdings"/>
                <w:b/>
                <w:color w:val="FFFFFF"/>
                <w:sz w:val="18"/>
                <w:szCs w:val="18"/>
                <w:lang w:eastAsia="tr-TR"/>
              </w:rPr>
            </w:pPr>
            <w:r w:rsidRPr="00EE43C6">
              <w:rPr>
                <w:rFonts w:cs="Wingdings"/>
                <w:b/>
                <w:color w:val="FFFFFF"/>
                <w:sz w:val="18"/>
                <w:szCs w:val="18"/>
                <w:lang w:eastAsia="tr-TR"/>
              </w:rPr>
              <w:t>Noise</w:t>
            </w:r>
          </w:p>
        </w:tc>
      </w:tr>
      <w:tr w:rsidR="00187497" w:rsidRPr="00EE43C6" w14:paraId="215E257F" w14:textId="77777777" w:rsidTr="00C62F21">
        <w:trPr>
          <w:trHeight w:val="379"/>
          <w:jc w:val="center"/>
        </w:trPr>
        <w:tc>
          <w:tcPr>
            <w:tcW w:w="2498" w:type="pct"/>
            <w:vAlign w:val="center"/>
          </w:tcPr>
          <w:p w14:paraId="38B6D805"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Noise and Vibration incidents</w:t>
            </w:r>
          </w:p>
        </w:tc>
        <w:tc>
          <w:tcPr>
            <w:tcW w:w="2502" w:type="pct"/>
            <w:vAlign w:val="center"/>
          </w:tcPr>
          <w:p w14:paraId="598A1540"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Minimize and continued improvement in number of reported noise and vibration related incidents.</w:t>
            </w:r>
          </w:p>
        </w:tc>
      </w:tr>
      <w:tr w:rsidR="00187497" w:rsidRPr="00EE43C6" w14:paraId="4E4FB291" w14:textId="77777777" w:rsidTr="00C62F21">
        <w:trPr>
          <w:jc w:val="center"/>
        </w:trPr>
        <w:tc>
          <w:tcPr>
            <w:tcW w:w="2498" w:type="pct"/>
            <w:vAlign w:val="center"/>
          </w:tcPr>
          <w:p w14:paraId="33D14C88"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Non-Compliance with Project standards</w:t>
            </w:r>
          </w:p>
        </w:tc>
        <w:tc>
          <w:tcPr>
            <w:tcW w:w="2502" w:type="pct"/>
            <w:vAlign w:val="center"/>
          </w:tcPr>
          <w:p w14:paraId="7F71DD9C" w14:textId="134F1A8F"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Zero Non-Compliance Reports (NCRs) per year</w:t>
            </w:r>
          </w:p>
        </w:tc>
      </w:tr>
      <w:tr w:rsidR="00187497" w:rsidRPr="00EE43C6" w14:paraId="0AED4E64" w14:textId="77777777" w:rsidTr="00C62F21">
        <w:trPr>
          <w:jc w:val="center"/>
        </w:trPr>
        <w:tc>
          <w:tcPr>
            <w:tcW w:w="2498" w:type="pct"/>
            <w:vAlign w:val="center"/>
          </w:tcPr>
          <w:p w14:paraId="6282391E"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Number of noise-related community grievances</w:t>
            </w:r>
          </w:p>
        </w:tc>
        <w:tc>
          <w:tcPr>
            <w:tcW w:w="2502" w:type="pct"/>
            <w:vAlign w:val="center"/>
          </w:tcPr>
          <w:p w14:paraId="38D628F0"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Zero grievances per year</w:t>
            </w:r>
          </w:p>
        </w:tc>
      </w:tr>
      <w:tr w:rsidR="00187497" w:rsidRPr="00EE43C6" w14:paraId="0913E1E6" w14:textId="77777777" w:rsidTr="00854BE8">
        <w:trPr>
          <w:jc w:val="center"/>
        </w:trPr>
        <w:tc>
          <w:tcPr>
            <w:tcW w:w="5000" w:type="pct"/>
            <w:gridSpan w:val="2"/>
            <w:shd w:val="clear" w:color="auto" w:fill="4F81BD"/>
            <w:vAlign w:val="center"/>
          </w:tcPr>
          <w:p w14:paraId="4CE50594" w14:textId="055D2195" w:rsidR="00187497" w:rsidRPr="00EE43C6" w:rsidRDefault="00187497" w:rsidP="00187497">
            <w:pPr>
              <w:spacing w:before="40" w:after="40" w:line="240" w:lineRule="auto"/>
              <w:jc w:val="center"/>
              <w:rPr>
                <w:rFonts w:cs="Wingdings"/>
                <w:b/>
                <w:color w:val="FFFFFF"/>
                <w:sz w:val="18"/>
                <w:szCs w:val="18"/>
                <w:lang w:eastAsia="tr-TR"/>
              </w:rPr>
            </w:pPr>
            <w:r w:rsidRPr="00EE43C6">
              <w:rPr>
                <w:rFonts w:cs="Wingdings"/>
                <w:b/>
                <w:color w:val="FFFFFF"/>
                <w:sz w:val="18"/>
                <w:szCs w:val="18"/>
                <w:lang w:eastAsia="tr-TR"/>
              </w:rPr>
              <w:t>Water</w:t>
            </w:r>
            <w:r w:rsidR="00630A6F">
              <w:rPr>
                <w:rFonts w:cs="Wingdings"/>
                <w:b/>
                <w:color w:val="FFFFFF"/>
                <w:sz w:val="18"/>
                <w:szCs w:val="18"/>
                <w:lang w:eastAsia="tr-TR"/>
              </w:rPr>
              <w:t xml:space="preserve"> / Wastewater</w:t>
            </w:r>
          </w:p>
        </w:tc>
      </w:tr>
      <w:tr w:rsidR="00187497" w:rsidRPr="00EE43C6" w14:paraId="698167C5" w14:textId="77777777" w:rsidTr="00C62F21">
        <w:trPr>
          <w:jc w:val="center"/>
        </w:trPr>
        <w:tc>
          <w:tcPr>
            <w:tcW w:w="2498" w:type="pct"/>
            <w:vAlign w:val="center"/>
          </w:tcPr>
          <w:p w14:paraId="5ACDF3F1"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Spill incident</w:t>
            </w:r>
          </w:p>
        </w:tc>
        <w:tc>
          <w:tcPr>
            <w:tcW w:w="2502" w:type="pct"/>
            <w:vAlign w:val="center"/>
          </w:tcPr>
          <w:p w14:paraId="2A145804"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Minimization and continued improvement in the number of the reported water quality related incidents.</w:t>
            </w:r>
          </w:p>
        </w:tc>
      </w:tr>
      <w:tr w:rsidR="00187497" w:rsidRPr="00EE43C6" w14:paraId="59553289" w14:textId="77777777" w:rsidTr="00C62F21">
        <w:trPr>
          <w:jc w:val="center"/>
        </w:trPr>
        <w:tc>
          <w:tcPr>
            <w:tcW w:w="2498" w:type="pct"/>
            <w:vAlign w:val="center"/>
          </w:tcPr>
          <w:p w14:paraId="2476D400"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Non-Compliance with Project standards</w:t>
            </w:r>
          </w:p>
        </w:tc>
        <w:tc>
          <w:tcPr>
            <w:tcW w:w="2502" w:type="pct"/>
            <w:vAlign w:val="center"/>
          </w:tcPr>
          <w:p w14:paraId="7DAFB8E5"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Zero NCRs per year</w:t>
            </w:r>
          </w:p>
        </w:tc>
      </w:tr>
      <w:tr w:rsidR="00187497" w:rsidRPr="00EE43C6" w14:paraId="78119533" w14:textId="77777777" w:rsidTr="00C62F21">
        <w:trPr>
          <w:jc w:val="center"/>
        </w:trPr>
        <w:tc>
          <w:tcPr>
            <w:tcW w:w="2498" w:type="pct"/>
            <w:vAlign w:val="center"/>
          </w:tcPr>
          <w:p w14:paraId="348089A9"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Wastewater collection system</w:t>
            </w:r>
          </w:p>
        </w:tc>
        <w:tc>
          <w:tcPr>
            <w:tcW w:w="2502" w:type="pct"/>
            <w:vAlign w:val="center"/>
          </w:tcPr>
          <w:p w14:paraId="422DF4B5"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Zero grievances per year</w:t>
            </w:r>
          </w:p>
        </w:tc>
      </w:tr>
      <w:tr w:rsidR="00187497" w:rsidRPr="00EE43C6" w14:paraId="048EB89B" w14:textId="77777777" w:rsidTr="00C62F21">
        <w:trPr>
          <w:jc w:val="center"/>
        </w:trPr>
        <w:tc>
          <w:tcPr>
            <w:tcW w:w="2498" w:type="pct"/>
            <w:vAlign w:val="center"/>
          </w:tcPr>
          <w:p w14:paraId="5595B060"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Groundwater levels of the community/private wells</w:t>
            </w:r>
          </w:p>
        </w:tc>
        <w:tc>
          <w:tcPr>
            <w:tcW w:w="2502" w:type="pct"/>
            <w:vAlign w:val="center"/>
          </w:tcPr>
          <w:p w14:paraId="6A9C2D9C"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No significant adverse impact</w:t>
            </w:r>
          </w:p>
        </w:tc>
      </w:tr>
      <w:tr w:rsidR="00187497" w:rsidRPr="00EE43C6" w14:paraId="69BC8987" w14:textId="77777777" w:rsidTr="00C62F21">
        <w:trPr>
          <w:jc w:val="center"/>
        </w:trPr>
        <w:tc>
          <w:tcPr>
            <w:tcW w:w="2498" w:type="pct"/>
            <w:vAlign w:val="center"/>
          </w:tcPr>
          <w:p w14:paraId="724CBA3E"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Water quality analyses</w:t>
            </w:r>
          </w:p>
        </w:tc>
        <w:tc>
          <w:tcPr>
            <w:tcW w:w="2502" w:type="pct"/>
            <w:vAlign w:val="center"/>
          </w:tcPr>
          <w:p w14:paraId="0491D59D"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Meeting set national and international water quality standards for surface and groundwater impacted and/or near the Project</w:t>
            </w:r>
          </w:p>
        </w:tc>
      </w:tr>
      <w:tr w:rsidR="00187497" w:rsidRPr="00EE43C6" w14:paraId="79C86C7E" w14:textId="77777777" w:rsidTr="00C62F21">
        <w:trPr>
          <w:jc w:val="center"/>
        </w:trPr>
        <w:tc>
          <w:tcPr>
            <w:tcW w:w="2498" w:type="pct"/>
            <w:vAlign w:val="center"/>
          </w:tcPr>
          <w:p w14:paraId="00F4E14E"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Flood incidents</w:t>
            </w:r>
          </w:p>
        </w:tc>
        <w:tc>
          <w:tcPr>
            <w:tcW w:w="2502" w:type="pct"/>
            <w:vAlign w:val="center"/>
          </w:tcPr>
          <w:p w14:paraId="4D7417F8"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No infrastructure damage and damage to loads/humans</w:t>
            </w:r>
          </w:p>
        </w:tc>
      </w:tr>
      <w:tr w:rsidR="00187497" w:rsidRPr="00EE43C6" w14:paraId="5B0F33F3" w14:textId="77777777" w:rsidTr="00854BE8">
        <w:trPr>
          <w:jc w:val="center"/>
        </w:trPr>
        <w:tc>
          <w:tcPr>
            <w:tcW w:w="5000" w:type="pct"/>
            <w:gridSpan w:val="2"/>
            <w:shd w:val="clear" w:color="auto" w:fill="4F81BD"/>
            <w:vAlign w:val="center"/>
          </w:tcPr>
          <w:p w14:paraId="18F71C8E"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b/>
                <w:color w:val="FFFFFF"/>
                <w:sz w:val="18"/>
                <w:szCs w:val="18"/>
                <w:lang w:eastAsia="tr-TR"/>
              </w:rPr>
              <w:lastRenderedPageBreak/>
              <w:t>Waste</w:t>
            </w:r>
          </w:p>
        </w:tc>
      </w:tr>
      <w:tr w:rsidR="00187497" w:rsidRPr="00EE43C6" w14:paraId="6E7E3619" w14:textId="77777777" w:rsidTr="00C62F21">
        <w:trPr>
          <w:jc w:val="center"/>
        </w:trPr>
        <w:tc>
          <w:tcPr>
            <w:tcW w:w="2498" w:type="pct"/>
            <w:vAlign w:val="center"/>
          </w:tcPr>
          <w:p w14:paraId="7148CC3D"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Waste Generation</w:t>
            </w:r>
          </w:p>
        </w:tc>
        <w:tc>
          <w:tcPr>
            <w:tcW w:w="2502" w:type="pct"/>
            <w:vAlign w:val="center"/>
          </w:tcPr>
          <w:p w14:paraId="10D02DA2"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Total waste generated</w:t>
            </w:r>
          </w:p>
          <w:p w14:paraId="1D7361DE"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Ratio of hazardous waste generated to total waste (by contamination + by generation)</w:t>
            </w:r>
          </w:p>
        </w:tc>
      </w:tr>
      <w:tr w:rsidR="00187497" w:rsidRPr="00EE43C6" w14:paraId="0C6837CF" w14:textId="77777777" w:rsidTr="00C62F21">
        <w:trPr>
          <w:jc w:val="center"/>
        </w:trPr>
        <w:tc>
          <w:tcPr>
            <w:tcW w:w="2498" w:type="pct"/>
            <w:vAlign w:val="center"/>
          </w:tcPr>
          <w:p w14:paraId="7AEE3C9D"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Waste Disposal</w:t>
            </w:r>
          </w:p>
        </w:tc>
        <w:tc>
          <w:tcPr>
            <w:tcW w:w="2502" w:type="pct"/>
            <w:vAlign w:val="center"/>
          </w:tcPr>
          <w:p w14:paraId="209843A8"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Ratio of recovered/reused/recycled waste to total waste</w:t>
            </w:r>
            <w:r w:rsidRPr="00EE43C6">
              <w:rPr>
                <w:rFonts w:eastAsia="Arial TUR" w:cs="Wingdings"/>
                <w:color w:val="000000"/>
                <w:sz w:val="18"/>
                <w:szCs w:val="18"/>
                <w:lang w:eastAsia="en-US"/>
              </w:rPr>
              <w:t xml:space="preserve"> generated</w:t>
            </w:r>
          </w:p>
        </w:tc>
      </w:tr>
      <w:tr w:rsidR="00080712" w:rsidRPr="00EE43C6" w14:paraId="2E9F6396" w14:textId="77777777" w:rsidTr="00AF11E2">
        <w:trPr>
          <w:jc w:val="center"/>
        </w:trPr>
        <w:tc>
          <w:tcPr>
            <w:tcW w:w="5000" w:type="pct"/>
            <w:gridSpan w:val="2"/>
            <w:shd w:val="clear" w:color="auto" w:fill="4F81BD"/>
            <w:vAlign w:val="center"/>
          </w:tcPr>
          <w:p w14:paraId="428620A6" w14:textId="2BB6940F" w:rsidR="00080712" w:rsidRPr="00EE43C6" w:rsidRDefault="00BC7A34">
            <w:pPr>
              <w:keepNext/>
              <w:spacing w:before="40" w:after="40" w:line="240" w:lineRule="auto"/>
              <w:jc w:val="center"/>
              <w:rPr>
                <w:rFonts w:cs="Wingdings"/>
                <w:b/>
                <w:color w:val="FFFFFF"/>
                <w:sz w:val="18"/>
                <w:szCs w:val="18"/>
                <w:lang w:eastAsia="tr-TR"/>
              </w:rPr>
            </w:pPr>
            <w:r>
              <w:rPr>
                <w:rFonts w:cs="Wingdings"/>
                <w:b/>
                <w:color w:val="FFFFFF"/>
                <w:sz w:val="18"/>
                <w:szCs w:val="18"/>
                <w:lang w:eastAsia="tr-TR"/>
              </w:rPr>
              <w:t>Sludge Disposal</w:t>
            </w:r>
          </w:p>
        </w:tc>
      </w:tr>
      <w:tr w:rsidR="008202C1" w:rsidRPr="00EE43C6" w14:paraId="3FDB4813" w14:textId="77777777" w:rsidTr="00C62F21">
        <w:trPr>
          <w:jc w:val="center"/>
        </w:trPr>
        <w:tc>
          <w:tcPr>
            <w:tcW w:w="2498" w:type="pct"/>
            <w:vAlign w:val="center"/>
          </w:tcPr>
          <w:p w14:paraId="4B7CD9F8" w14:textId="12B5FBCF" w:rsidR="008202C1" w:rsidRPr="00EE43C6" w:rsidRDefault="008202C1" w:rsidP="008202C1">
            <w:pPr>
              <w:spacing w:before="40" w:after="40" w:line="240" w:lineRule="auto"/>
              <w:jc w:val="center"/>
              <w:rPr>
                <w:rFonts w:cs="Wingdings"/>
                <w:sz w:val="18"/>
                <w:szCs w:val="18"/>
                <w:lang w:eastAsia="tr-TR"/>
              </w:rPr>
            </w:pPr>
            <w:r w:rsidRPr="00FB1381">
              <w:rPr>
                <w:rFonts w:cs="Wingdings"/>
                <w:sz w:val="18"/>
                <w:szCs w:val="18"/>
                <w:lang w:eastAsia="tr-TR"/>
              </w:rPr>
              <w:t>Waste Sludge Generation</w:t>
            </w:r>
          </w:p>
        </w:tc>
        <w:tc>
          <w:tcPr>
            <w:tcW w:w="2502" w:type="pct"/>
            <w:vAlign w:val="center"/>
          </w:tcPr>
          <w:p w14:paraId="0FC2D112" w14:textId="6A89E247" w:rsidR="008202C1" w:rsidRPr="00EE43C6" w:rsidRDefault="008202C1" w:rsidP="008202C1">
            <w:pPr>
              <w:spacing w:before="40" w:after="40" w:line="240" w:lineRule="auto"/>
              <w:jc w:val="center"/>
              <w:rPr>
                <w:rFonts w:cs="Wingdings"/>
                <w:sz w:val="18"/>
                <w:szCs w:val="18"/>
                <w:lang w:eastAsia="tr-TR"/>
              </w:rPr>
            </w:pPr>
            <w:r w:rsidRPr="00FB1381">
              <w:rPr>
                <w:rFonts w:cs="Wingdings"/>
                <w:sz w:val="18"/>
                <w:szCs w:val="18"/>
                <w:lang w:eastAsia="tr-TR"/>
              </w:rPr>
              <w:t>Total waste sludge generated</w:t>
            </w:r>
          </w:p>
        </w:tc>
      </w:tr>
      <w:tr w:rsidR="008202C1" w:rsidRPr="00EE43C6" w14:paraId="79AA318F" w14:textId="77777777" w:rsidTr="00C62F21">
        <w:trPr>
          <w:jc w:val="center"/>
        </w:trPr>
        <w:tc>
          <w:tcPr>
            <w:tcW w:w="2498" w:type="pct"/>
            <w:vAlign w:val="center"/>
          </w:tcPr>
          <w:p w14:paraId="6166031B" w14:textId="46BAB2D5" w:rsidR="008202C1" w:rsidRPr="00EE43C6" w:rsidRDefault="008202C1" w:rsidP="008202C1">
            <w:pPr>
              <w:spacing w:before="40" w:after="40" w:line="240" w:lineRule="auto"/>
              <w:jc w:val="center"/>
              <w:rPr>
                <w:rFonts w:cs="Wingdings"/>
                <w:sz w:val="18"/>
                <w:szCs w:val="18"/>
                <w:lang w:eastAsia="tr-TR"/>
              </w:rPr>
            </w:pPr>
            <w:r w:rsidRPr="00FB1381">
              <w:rPr>
                <w:rFonts w:cs="Wingdings"/>
                <w:sz w:val="18"/>
                <w:szCs w:val="18"/>
                <w:lang w:eastAsia="tr-TR"/>
              </w:rPr>
              <w:t>Waste Sludge Disposal</w:t>
            </w:r>
          </w:p>
        </w:tc>
        <w:tc>
          <w:tcPr>
            <w:tcW w:w="2502" w:type="pct"/>
            <w:vAlign w:val="center"/>
          </w:tcPr>
          <w:p w14:paraId="219203D8" w14:textId="036B6495" w:rsidR="008202C1" w:rsidRPr="00EE43C6" w:rsidRDefault="008202C1" w:rsidP="008202C1">
            <w:pPr>
              <w:spacing w:before="40" w:after="40" w:line="240" w:lineRule="auto"/>
              <w:jc w:val="center"/>
              <w:rPr>
                <w:rFonts w:cs="Wingdings"/>
                <w:sz w:val="18"/>
                <w:szCs w:val="18"/>
                <w:lang w:eastAsia="tr-TR"/>
              </w:rPr>
            </w:pPr>
            <w:r w:rsidRPr="00FB1381">
              <w:rPr>
                <w:rFonts w:cs="Wingdings"/>
                <w:sz w:val="18"/>
                <w:szCs w:val="18"/>
                <w:lang w:eastAsia="tr-TR"/>
              </w:rPr>
              <w:t>Ratio of hazardous waste sludge to total waste</w:t>
            </w:r>
            <w:r w:rsidRPr="00FB1381">
              <w:rPr>
                <w:rFonts w:eastAsia="Arial TUR" w:cs="Wingdings"/>
                <w:color w:val="000000"/>
                <w:sz w:val="18"/>
                <w:szCs w:val="18"/>
                <w:lang w:eastAsia="en-US"/>
              </w:rPr>
              <w:t xml:space="preserve"> sludge generated</w:t>
            </w:r>
          </w:p>
        </w:tc>
      </w:tr>
      <w:tr w:rsidR="00187497" w:rsidRPr="00EE43C6" w14:paraId="31BAC382" w14:textId="77777777" w:rsidTr="00854BE8">
        <w:trPr>
          <w:jc w:val="center"/>
        </w:trPr>
        <w:tc>
          <w:tcPr>
            <w:tcW w:w="5000" w:type="pct"/>
            <w:gridSpan w:val="2"/>
            <w:shd w:val="clear" w:color="auto" w:fill="4F81BD"/>
            <w:vAlign w:val="center"/>
          </w:tcPr>
          <w:p w14:paraId="1531C762" w14:textId="77777777" w:rsidR="00187497" w:rsidRPr="00EE43C6" w:rsidRDefault="00187497" w:rsidP="00187497">
            <w:pPr>
              <w:keepNext/>
              <w:spacing w:before="40" w:after="40" w:line="240" w:lineRule="auto"/>
              <w:jc w:val="center"/>
              <w:rPr>
                <w:rFonts w:cs="Wingdings"/>
                <w:b/>
                <w:color w:val="FFFFFF"/>
                <w:sz w:val="18"/>
                <w:szCs w:val="18"/>
                <w:lang w:eastAsia="tr-TR"/>
              </w:rPr>
            </w:pPr>
            <w:r w:rsidRPr="00EE43C6">
              <w:rPr>
                <w:rFonts w:cs="Wingdings"/>
                <w:b/>
                <w:color w:val="FFFFFF"/>
                <w:sz w:val="18"/>
                <w:szCs w:val="18"/>
                <w:lang w:eastAsia="tr-TR"/>
              </w:rPr>
              <w:t>Soil</w:t>
            </w:r>
          </w:p>
        </w:tc>
      </w:tr>
      <w:tr w:rsidR="00187497" w:rsidRPr="00EE43C6" w14:paraId="408FDBFB" w14:textId="77777777" w:rsidTr="00C62F21">
        <w:trPr>
          <w:jc w:val="center"/>
        </w:trPr>
        <w:tc>
          <w:tcPr>
            <w:tcW w:w="2498" w:type="pct"/>
            <w:vAlign w:val="center"/>
          </w:tcPr>
          <w:p w14:paraId="64EB21F3" w14:textId="77777777" w:rsidR="00187497" w:rsidRPr="00EE43C6" w:rsidRDefault="00187497" w:rsidP="00187497">
            <w:pPr>
              <w:keepNext/>
              <w:spacing w:before="40" w:after="40" w:line="240" w:lineRule="auto"/>
              <w:jc w:val="center"/>
              <w:rPr>
                <w:rFonts w:cs="Wingdings"/>
                <w:sz w:val="18"/>
                <w:szCs w:val="18"/>
                <w:lang w:eastAsia="tr-TR"/>
              </w:rPr>
            </w:pPr>
            <w:r w:rsidRPr="00EE43C6">
              <w:rPr>
                <w:rFonts w:cs="Wingdings"/>
                <w:sz w:val="18"/>
                <w:szCs w:val="18"/>
                <w:lang w:eastAsia="tr-TR"/>
              </w:rPr>
              <w:t>Spill incident</w:t>
            </w:r>
          </w:p>
        </w:tc>
        <w:tc>
          <w:tcPr>
            <w:tcW w:w="2502" w:type="pct"/>
            <w:vAlign w:val="center"/>
          </w:tcPr>
          <w:p w14:paraId="2B824B4F" w14:textId="77777777" w:rsidR="00187497" w:rsidRPr="00EE43C6" w:rsidRDefault="00187497" w:rsidP="00187497">
            <w:pPr>
              <w:keepNext/>
              <w:spacing w:before="40" w:after="40" w:line="240" w:lineRule="auto"/>
              <w:jc w:val="center"/>
              <w:rPr>
                <w:rFonts w:cs="Wingdings"/>
                <w:sz w:val="18"/>
                <w:szCs w:val="18"/>
                <w:lang w:eastAsia="tr-TR"/>
              </w:rPr>
            </w:pPr>
            <w:r w:rsidRPr="00EE43C6">
              <w:rPr>
                <w:rFonts w:cs="Wingdings"/>
                <w:sz w:val="18"/>
                <w:szCs w:val="18"/>
                <w:lang w:eastAsia="tr-TR"/>
              </w:rPr>
              <w:t>Minimization and continued improvement in the number of the reported soil quality related incidents.</w:t>
            </w:r>
          </w:p>
        </w:tc>
      </w:tr>
      <w:tr w:rsidR="00187497" w:rsidRPr="00EE43C6" w14:paraId="1610F460" w14:textId="77777777" w:rsidTr="00C62F21">
        <w:trPr>
          <w:jc w:val="center"/>
        </w:trPr>
        <w:tc>
          <w:tcPr>
            <w:tcW w:w="2498" w:type="pct"/>
            <w:vAlign w:val="center"/>
          </w:tcPr>
          <w:p w14:paraId="69F7148E" w14:textId="77777777" w:rsidR="00187497" w:rsidRPr="00EE43C6" w:rsidRDefault="00187497" w:rsidP="00187497">
            <w:pPr>
              <w:keepNext/>
              <w:spacing w:before="40" w:after="40" w:line="240" w:lineRule="auto"/>
              <w:jc w:val="center"/>
              <w:rPr>
                <w:rFonts w:cs="Wingdings"/>
                <w:sz w:val="18"/>
                <w:szCs w:val="18"/>
                <w:lang w:eastAsia="tr-TR"/>
              </w:rPr>
            </w:pPr>
            <w:r w:rsidRPr="00EE43C6">
              <w:rPr>
                <w:rFonts w:cs="Wingdings"/>
                <w:sz w:val="18"/>
                <w:szCs w:val="18"/>
                <w:lang w:eastAsia="tr-TR"/>
              </w:rPr>
              <w:t>Non-Compliance with Project standards</w:t>
            </w:r>
          </w:p>
        </w:tc>
        <w:tc>
          <w:tcPr>
            <w:tcW w:w="2502" w:type="pct"/>
            <w:vAlign w:val="center"/>
          </w:tcPr>
          <w:p w14:paraId="46DC8CC3" w14:textId="77777777" w:rsidR="00187497" w:rsidRPr="00EE43C6" w:rsidRDefault="00187497" w:rsidP="00187497">
            <w:pPr>
              <w:keepNext/>
              <w:spacing w:before="40" w:after="40" w:line="240" w:lineRule="auto"/>
              <w:jc w:val="center"/>
              <w:rPr>
                <w:rFonts w:cs="Wingdings"/>
                <w:sz w:val="18"/>
                <w:szCs w:val="18"/>
                <w:lang w:eastAsia="tr-TR"/>
              </w:rPr>
            </w:pPr>
            <w:r w:rsidRPr="00EE43C6">
              <w:rPr>
                <w:rFonts w:cs="Wingdings"/>
                <w:sz w:val="18"/>
                <w:szCs w:val="18"/>
                <w:lang w:eastAsia="tr-TR"/>
              </w:rPr>
              <w:t>Zero NCRs per year</w:t>
            </w:r>
          </w:p>
        </w:tc>
      </w:tr>
      <w:tr w:rsidR="00187497" w:rsidRPr="00EE43C6" w14:paraId="5B0BA468" w14:textId="77777777" w:rsidTr="00C62F21">
        <w:trPr>
          <w:jc w:val="center"/>
        </w:trPr>
        <w:tc>
          <w:tcPr>
            <w:tcW w:w="2498" w:type="pct"/>
            <w:vAlign w:val="center"/>
          </w:tcPr>
          <w:p w14:paraId="237BD10E" w14:textId="77777777" w:rsidR="00187497" w:rsidRPr="00EE43C6" w:rsidRDefault="00187497" w:rsidP="00187497">
            <w:pPr>
              <w:keepNext/>
              <w:spacing w:before="40" w:after="40" w:line="240" w:lineRule="auto"/>
              <w:jc w:val="center"/>
              <w:rPr>
                <w:rFonts w:cs="Wingdings"/>
                <w:sz w:val="18"/>
                <w:szCs w:val="18"/>
                <w:lang w:eastAsia="tr-TR"/>
              </w:rPr>
            </w:pPr>
            <w:r w:rsidRPr="00EE43C6">
              <w:rPr>
                <w:rFonts w:cs="Wingdings"/>
                <w:sz w:val="18"/>
                <w:szCs w:val="18"/>
                <w:lang w:eastAsia="tr-TR"/>
              </w:rPr>
              <w:t>Number of soil-related community grievances</w:t>
            </w:r>
          </w:p>
        </w:tc>
        <w:tc>
          <w:tcPr>
            <w:tcW w:w="2502" w:type="pct"/>
            <w:vAlign w:val="center"/>
          </w:tcPr>
          <w:p w14:paraId="600FD92E" w14:textId="77777777" w:rsidR="00187497" w:rsidRPr="00EE43C6" w:rsidRDefault="00187497" w:rsidP="00187497">
            <w:pPr>
              <w:keepNext/>
              <w:spacing w:before="40" w:after="40" w:line="240" w:lineRule="auto"/>
              <w:jc w:val="center"/>
              <w:rPr>
                <w:rFonts w:cs="Wingdings"/>
                <w:sz w:val="18"/>
                <w:szCs w:val="18"/>
                <w:lang w:eastAsia="tr-TR"/>
              </w:rPr>
            </w:pPr>
            <w:r w:rsidRPr="00EE43C6">
              <w:rPr>
                <w:rFonts w:cs="Wingdings"/>
                <w:sz w:val="18"/>
                <w:szCs w:val="18"/>
                <w:lang w:eastAsia="tr-TR"/>
              </w:rPr>
              <w:t>Zero grievances per year</w:t>
            </w:r>
          </w:p>
        </w:tc>
      </w:tr>
      <w:tr w:rsidR="00187497" w:rsidRPr="00EE43C6" w14:paraId="20F090FB" w14:textId="77777777" w:rsidTr="00854BE8">
        <w:trPr>
          <w:jc w:val="center"/>
        </w:trPr>
        <w:tc>
          <w:tcPr>
            <w:tcW w:w="5000" w:type="pct"/>
            <w:gridSpan w:val="2"/>
            <w:shd w:val="clear" w:color="auto" w:fill="4F81BD"/>
            <w:vAlign w:val="center"/>
          </w:tcPr>
          <w:p w14:paraId="68AF1CCB" w14:textId="77777777" w:rsidR="00187497" w:rsidRPr="00EE43C6" w:rsidRDefault="00187497" w:rsidP="00187497">
            <w:pPr>
              <w:spacing w:before="40" w:after="40" w:line="240" w:lineRule="auto"/>
              <w:jc w:val="center"/>
              <w:rPr>
                <w:rFonts w:cs="Wingdings"/>
                <w:b/>
                <w:color w:val="FFFFFF"/>
                <w:sz w:val="18"/>
                <w:szCs w:val="18"/>
                <w:lang w:eastAsia="tr-TR"/>
              </w:rPr>
            </w:pPr>
            <w:r w:rsidRPr="00EE43C6">
              <w:rPr>
                <w:rFonts w:cs="Wingdings"/>
                <w:b/>
                <w:color w:val="FFFFFF"/>
                <w:sz w:val="18"/>
                <w:szCs w:val="18"/>
                <w:lang w:eastAsia="tr-TR"/>
              </w:rPr>
              <w:t>Traffic</w:t>
            </w:r>
          </w:p>
        </w:tc>
      </w:tr>
      <w:tr w:rsidR="00187497" w:rsidRPr="00EE43C6" w14:paraId="6025E87D" w14:textId="77777777" w:rsidTr="00C62F21">
        <w:trPr>
          <w:jc w:val="center"/>
        </w:trPr>
        <w:tc>
          <w:tcPr>
            <w:tcW w:w="2498" w:type="pct"/>
            <w:vAlign w:val="center"/>
          </w:tcPr>
          <w:p w14:paraId="47F6C2FA"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Number of non-compliances against the mitigation controls identified in Traffic Management Plan</w:t>
            </w:r>
          </w:p>
        </w:tc>
        <w:tc>
          <w:tcPr>
            <w:tcW w:w="2502" w:type="pct"/>
            <w:vAlign w:val="center"/>
          </w:tcPr>
          <w:p w14:paraId="60A2C9D5"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Decreasing number/ continuous improvement in number of reported non-compliances</w:t>
            </w:r>
          </w:p>
        </w:tc>
      </w:tr>
      <w:tr w:rsidR="00187497" w:rsidRPr="00EE43C6" w14:paraId="3D7C809D" w14:textId="77777777" w:rsidTr="00C62F21">
        <w:trPr>
          <w:jc w:val="center"/>
        </w:trPr>
        <w:tc>
          <w:tcPr>
            <w:tcW w:w="2498" w:type="pct"/>
            <w:vAlign w:val="center"/>
          </w:tcPr>
          <w:p w14:paraId="2954E3C5"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Number of drivers found to be exceeding speed limits or driving unsafely</w:t>
            </w:r>
          </w:p>
        </w:tc>
        <w:tc>
          <w:tcPr>
            <w:tcW w:w="2502" w:type="pct"/>
            <w:vAlign w:val="center"/>
          </w:tcPr>
          <w:p w14:paraId="38B2C6AC"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Zero exceedance per year</w:t>
            </w:r>
          </w:p>
        </w:tc>
      </w:tr>
      <w:tr w:rsidR="00187497" w:rsidRPr="00EE43C6" w14:paraId="0082A292" w14:textId="77777777" w:rsidTr="00C62F21">
        <w:trPr>
          <w:jc w:val="center"/>
        </w:trPr>
        <w:tc>
          <w:tcPr>
            <w:tcW w:w="2498" w:type="pct"/>
            <w:vAlign w:val="center"/>
          </w:tcPr>
          <w:p w14:paraId="6C5ECF7D"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Number of road traffic accidents involving:</w:t>
            </w:r>
          </w:p>
          <w:p w14:paraId="0C4AE10E"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Accidental injuries and deaths,</w:t>
            </w:r>
          </w:p>
          <w:p w14:paraId="2FA88644"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Spillages (such as cargo or fuel),</w:t>
            </w:r>
          </w:p>
          <w:p w14:paraId="6F33B0AC"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Wildlife-vehicle collisions.</w:t>
            </w:r>
          </w:p>
        </w:tc>
        <w:tc>
          <w:tcPr>
            <w:tcW w:w="2502" w:type="pct"/>
            <w:vAlign w:val="center"/>
          </w:tcPr>
          <w:p w14:paraId="2D0DABC0"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Zero accidents per year</w:t>
            </w:r>
          </w:p>
        </w:tc>
      </w:tr>
      <w:tr w:rsidR="00187497" w:rsidRPr="00EE43C6" w14:paraId="5698CC37" w14:textId="77777777" w:rsidTr="00C62F21">
        <w:trPr>
          <w:jc w:val="center"/>
        </w:trPr>
        <w:tc>
          <w:tcPr>
            <w:tcW w:w="2498" w:type="pct"/>
            <w:vAlign w:val="center"/>
          </w:tcPr>
          <w:p w14:paraId="2EA368E6"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Number of traffic-related grievances</w:t>
            </w:r>
          </w:p>
        </w:tc>
        <w:tc>
          <w:tcPr>
            <w:tcW w:w="2502" w:type="pct"/>
            <w:vAlign w:val="center"/>
          </w:tcPr>
          <w:p w14:paraId="4DFBF953"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Zero grievances per year</w:t>
            </w:r>
          </w:p>
        </w:tc>
      </w:tr>
      <w:tr w:rsidR="00187497" w:rsidRPr="00EE43C6" w14:paraId="15D09A13" w14:textId="77777777" w:rsidTr="00854BE8">
        <w:trPr>
          <w:jc w:val="center"/>
        </w:trPr>
        <w:tc>
          <w:tcPr>
            <w:tcW w:w="5000" w:type="pct"/>
            <w:gridSpan w:val="2"/>
            <w:shd w:val="clear" w:color="auto" w:fill="4F81BD"/>
            <w:vAlign w:val="center"/>
          </w:tcPr>
          <w:p w14:paraId="3EDF4115" w14:textId="77777777" w:rsidR="00187497" w:rsidRPr="00EE43C6" w:rsidRDefault="00187497" w:rsidP="00187497">
            <w:pPr>
              <w:spacing w:before="40" w:after="40" w:line="240" w:lineRule="auto"/>
              <w:jc w:val="center"/>
              <w:rPr>
                <w:rFonts w:cs="Wingdings"/>
                <w:b/>
                <w:color w:val="FFFFFF"/>
                <w:sz w:val="18"/>
                <w:szCs w:val="18"/>
                <w:lang w:eastAsia="tr-TR"/>
              </w:rPr>
            </w:pPr>
            <w:r w:rsidRPr="00EE43C6">
              <w:rPr>
                <w:rFonts w:cs="Wingdings"/>
                <w:b/>
                <w:color w:val="FFFFFF"/>
                <w:sz w:val="18"/>
                <w:szCs w:val="18"/>
                <w:lang w:eastAsia="tr-TR"/>
              </w:rPr>
              <w:t>Health, Safety and Environment</w:t>
            </w:r>
          </w:p>
        </w:tc>
      </w:tr>
      <w:tr w:rsidR="00187497" w:rsidRPr="00EE43C6" w14:paraId="6ADC0387" w14:textId="77777777" w:rsidTr="00C62F21">
        <w:trPr>
          <w:jc w:val="center"/>
        </w:trPr>
        <w:tc>
          <w:tcPr>
            <w:tcW w:w="2498" w:type="pct"/>
            <w:vAlign w:val="center"/>
          </w:tcPr>
          <w:p w14:paraId="7EB37D67"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 of scheduled HSE Inspection</w:t>
            </w:r>
          </w:p>
        </w:tc>
        <w:tc>
          <w:tcPr>
            <w:tcW w:w="2502" w:type="pct"/>
            <w:vAlign w:val="center"/>
          </w:tcPr>
          <w:p w14:paraId="46DEC297"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&gt;90</w:t>
            </w:r>
          </w:p>
        </w:tc>
      </w:tr>
      <w:tr w:rsidR="00187497" w:rsidRPr="00EE43C6" w14:paraId="57601B39" w14:textId="77777777" w:rsidTr="00C62F21">
        <w:trPr>
          <w:jc w:val="center"/>
        </w:trPr>
        <w:tc>
          <w:tcPr>
            <w:tcW w:w="2498" w:type="pct"/>
            <w:vAlign w:val="center"/>
          </w:tcPr>
          <w:p w14:paraId="158048BB"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 of attendance at HSE meetings</w:t>
            </w:r>
          </w:p>
        </w:tc>
        <w:tc>
          <w:tcPr>
            <w:tcW w:w="2502" w:type="pct"/>
            <w:vAlign w:val="center"/>
          </w:tcPr>
          <w:p w14:paraId="7572FCFB"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&gt;90</w:t>
            </w:r>
          </w:p>
        </w:tc>
      </w:tr>
      <w:tr w:rsidR="00187497" w:rsidRPr="00EE43C6" w14:paraId="5931FFFE" w14:textId="77777777" w:rsidTr="00C62F21">
        <w:trPr>
          <w:jc w:val="center"/>
        </w:trPr>
        <w:tc>
          <w:tcPr>
            <w:tcW w:w="2498" w:type="pct"/>
            <w:vAlign w:val="center"/>
          </w:tcPr>
          <w:p w14:paraId="1D01453B"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 of closing of NCRs</w:t>
            </w:r>
          </w:p>
        </w:tc>
        <w:tc>
          <w:tcPr>
            <w:tcW w:w="2502" w:type="pct"/>
            <w:vAlign w:val="center"/>
          </w:tcPr>
          <w:p w14:paraId="54C9B502"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100</w:t>
            </w:r>
          </w:p>
        </w:tc>
      </w:tr>
      <w:tr w:rsidR="00187497" w:rsidRPr="00EE43C6" w14:paraId="6CC12B9B" w14:textId="77777777" w:rsidTr="00C62F21">
        <w:trPr>
          <w:jc w:val="center"/>
        </w:trPr>
        <w:tc>
          <w:tcPr>
            <w:tcW w:w="2498" w:type="pct"/>
            <w:vAlign w:val="center"/>
          </w:tcPr>
          <w:p w14:paraId="6E368D2F"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Reporting safe observations</w:t>
            </w:r>
          </w:p>
        </w:tc>
        <w:tc>
          <w:tcPr>
            <w:tcW w:w="2502" w:type="pct"/>
            <w:vAlign w:val="center"/>
          </w:tcPr>
          <w:p w14:paraId="3DD34314"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100%</w:t>
            </w:r>
          </w:p>
        </w:tc>
      </w:tr>
      <w:tr w:rsidR="00187497" w:rsidRPr="00EE43C6" w14:paraId="07EC37B5" w14:textId="77777777" w:rsidTr="00C62F21">
        <w:trPr>
          <w:jc w:val="center"/>
        </w:trPr>
        <w:tc>
          <w:tcPr>
            <w:tcW w:w="2498" w:type="pct"/>
            <w:vAlign w:val="center"/>
          </w:tcPr>
          <w:p w14:paraId="49B2D53D"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Reporting unsafe observations</w:t>
            </w:r>
          </w:p>
        </w:tc>
        <w:tc>
          <w:tcPr>
            <w:tcW w:w="2502" w:type="pct"/>
            <w:vAlign w:val="center"/>
          </w:tcPr>
          <w:p w14:paraId="6CAB6FC8"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100%</w:t>
            </w:r>
          </w:p>
        </w:tc>
      </w:tr>
      <w:tr w:rsidR="00187497" w:rsidRPr="00EE43C6" w14:paraId="54BF2422" w14:textId="77777777" w:rsidTr="00C62F21">
        <w:trPr>
          <w:jc w:val="center"/>
        </w:trPr>
        <w:tc>
          <w:tcPr>
            <w:tcW w:w="2498" w:type="pct"/>
            <w:vAlign w:val="center"/>
          </w:tcPr>
          <w:p w14:paraId="0C21CB89"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Reporting near misses</w:t>
            </w:r>
          </w:p>
        </w:tc>
        <w:tc>
          <w:tcPr>
            <w:tcW w:w="2502" w:type="pct"/>
            <w:vAlign w:val="center"/>
          </w:tcPr>
          <w:p w14:paraId="078A03C4"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100%</w:t>
            </w:r>
          </w:p>
        </w:tc>
      </w:tr>
      <w:tr w:rsidR="00187497" w:rsidRPr="00EE43C6" w14:paraId="64D3CCFE" w14:textId="77777777" w:rsidTr="00C62F21">
        <w:trPr>
          <w:jc w:val="center"/>
        </w:trPr>
        <w:tc>
          <w:tcPr>
            <w:tcW w:w="2498" w:type="pct"/>
            <w:vAlign w:val="center"/>
          </w:tcPr>
          <w:p w14:paraId="43DA1374"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 of Toolbox attending</w:t>
            </w:r>
          </w:p>
        </w:tc>
        <w:tc>
          <w:tcPr>
            <w:tcW w:w="2502" w:type="pct"/>
            <w:vAlign w:val="center"/>
          </w:tcPr>
          <w:p w14:paraId="20292096"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&gt;90</w:t>
            </w:r>
          </w:p>
        </w:tc>
      </w:tr>
      <w:tr w:rsidR="00187497" w:rsidRPr="00EE43C6" w14:paraId="7FC1EECE" w14:textId="77777777" w:rsidTr="00C62F21">
        <w:trPr>
          <w:jc w:val="center"/>
        </w:trPr>
        <w:tc>
          <w:tcPr>
            <w:tcW w:w="2498" w:type="pct"/>
            <w:vAlign w:val="center"/>
          </w:tcPr>
          <w:p w14:paraId="2C6C1673"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 of Risk Assessment compliance</w:t>
            </w:r>
          </w:p>
        </w:tc>
        <w:tc>
          <w:tcPr>
            <w:tcW w:w="2502" w:type="pct"/>
            <w:vAlign w:val="center"/>
          </w:tcPr>
          <w:p w14:paraId="49A5FC04"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&gt;90</w:t>
            </w:r>
          </w:p>
        </w:tc>
      </w:tr>
      <w:tr w:rsidR="00187497" w:rsidRPr="00EE43C6" w14:paraId="7DABA332" w14:textId="77777777" w:rsidTr="00C62F21">
        <w:trPr>
          <w:jc w:val="center"/>
        </w:trPr>
        <w:tc>
          <w:tcPr>
            <w:tcW w:w="2498" w:type="pct"/>
            <w:vAlign w:val="center"/>
          </w:tcPr>
          <w:p w14:paraId="4DF34E5E"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 of Legal Requirements compliance</w:t>
            </w:r>
          </w:p>
        </w:tc>
        <w:tc>
          <w:tcPr>
            <w:tcW w:w="2502" w:type="pct"/>
            <w:vAlign w:val="center"/>
          </w:tcPr>
          <w:p w14:paraId="0A125DF8" w14:textId="7F20D272"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100%</w:t>
            </w:r>
          </w:p>
        </w:tc>
      </w:tr>
      <w:tr w:rsidR="00187497" w:rsidRPr="00EE43C6" w14:paraId="72985332" w14:textId="77777777" w:rsidTr="00C62F21">
        <w:trPr>
          <w:jc w:val="center"/>
        </w:trPr>
        <w:tc>
          <w:tcPr>
            <w:tcW w:w="2498" w:type="pct"/>
            <w:vAlign w:val="center"/>
          </w:tcPr>
          <w:p w14:paraId="3CA0A688"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Results of scheduled audits</w:t>
            </w:r>
          </w:p>
        </w:tc>
        <w:tc>
          <w:tcPr>
            <w:tcW w:w="2502" w:type="pct"/>
            <w:vAlign w:val="center"/>
          </w:tcPr>
          <w:p w14:paraId="7A218280"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&gt;85</w:t>
            </w:r>
          </w:p>
        </w:tc>
      </w:tr>
      <w:tr w:rsidR="00187497" w:rsidRPr="00EE43C6" w14:paraId="51572CA4" w14:textId="77777777" w:rsidTr="00C62F21">
        <w:trPr>
          <w:jc w:val="center"/>
        </w:trPr>
        <w:tc>
          <w:tcPr>
            <w:tcW w:w="2498" w:type="pct"/>
            <w:vAlign w:val="center"/>
          </w:tcPr>
          <w:p w14:paraId="58BC982E"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HSE training carried out to training matrix</w:t>
            </w:r>
          </w:p>
          <w:p w14:paraId="5626EFA8"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 xml:space="preserve"> &gt; 90% of all training to matrix</w:t>
            </w:r>
          </w:p>
        </w:tc>
        <w:tc>
          <w:tcPr>
            <w:tcW w:w="2502" w:type="pct"/>
            <w:vAlign w:val="center"/>
          </w:tcPr>
          <w:p w14:paraId="2EC4DCCB"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&gt;90</w:t>
            </w:r>
          </w:p>
        </w:tc>
      </w:tr>
      <w:tr w:rsidR="00187497" w:rsidRPr="00EE43C6" w14:paraId="1893B626" w14:textId="77777777" w:rsidTr="00C62F21">
        <w:trPr>
          <w:jc w:val="center"/>
        </w:trPr>
        <w:tc>
          <w:tcPr>
            <w:tcW w:w="2498" w:type="pct"/>
            <w:vAlign w:val="center"/>
          </w:tcPr>
          <w:p w14:paraId="185861B4"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 of attendance at scheduled trainings</w:t>
            </w:r>
          </w:p>
        </w:tc>
        <w:tc>
          <w:tcPr>
            <w:tcW w:w="2502" w:type="pct"/>
            <w:vAlign w:val="center"/>
          </w:tcPr>
          <w:p w14:paraId="11A8ECDE"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&gt;90</w:t>
            </w:r>
          </w:p>
        </w:tc>
      </w:tr>
      <w:tr w:rsidR="00187497" w:rsidRPr="00EE43C6" w14:paraId="053535B4" w14:textId="77777777" w:rsidTr="00C62F21">
        <w:trPr>
          <w:jc w:val="center"/>
        </w:trPr>
        <w:tc>
          <w:tcPr>
            <w:tcW w:w="2498" w:type="pct"/>
            <w:vAlign w:val="center"/>
          </w:tcPr>
          <w:p w14:paraId="75BF9DCD"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 xml:space="preserve">Engagement in HSE program by individual managers and supervisors </w:t>
            </w:r>
          </w:p>
        </w:tc>
        <w:tc>
          <w:tcPr>
            <w:tcW w:w="2502" w:type="pct"/>
            <w:vAlign w:val="center"/>
          </w:tcPr>
          <w:p w14:paraId="5315C50C"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&gt;90</w:t>
            </w:r>
          </w:p>
        </w:tc>
      </w:tr>
      <w:tr w:rsidR="00187497" w:rsidRPr="00EE43C6" w14:paraId="2469E38B" w14:textId="77777777" w:rsidTr="00C62F21">
        <w:trPr>
          <w:jc w:val="center"/>
        </w:trPr>
        <w:tc>
          <w:tcPr>
            <w:tcW w:w="2498" w:type="pct"/>
            <w:vAlign w:val="center"/>
          </w:tcPr>
          <w:p w14:paraId="6559F3C9"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 xml:space="preserve">Engagement in HSE program by contractor’s </w:t>
            </w:r>
          </w:p>
        </w:tc>
        <w:tc>
          <w:tcPr>
            <w:tcW w:w="2502" w:type="pct"/>
            <w:vAlign w:val="center"/>
          </w:tcPr>
          <w:p w14:paraId="46EA451A"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&gt;90</w:t>
            </w:r>
          </w:p>
        </w:tc>
      </w:tr>
      <w:tr w:rsidR="00187497" w:rsidRPr="00EE43C6" w14:paraId="13D64918" w14:textId="77777777" w:rsidTr="00854BE8">
        <w:trPr>
          <w:jc w:val="center"/>
        </w:trPr>
        <w:tc>
          <w:tcPr>
            <w:tcW w:w="5000" w:type="pct"/>
            <w:gridSpan w:val="2"/>
            <w:shd w:val="clear" w:color="auto" w:fill="4F81BD"/>
            <w:vAlign w:val="center"/>
          </w:tcPr>
          <w:p w14:paraId="0D4B10F5" w14:textId="0BC6711B" w:rsidR="00187497" w:rsidRPr="00EE43C6" w:rsidRDefault="00187497" w:rsidP="00187497">
            <w:pPr>
              <w:spacing w:before="40" w:after="40" w:line="240" w:lineRule="auto"/>
              <w:jc w:val="center"/>
              <w:rPr>
                <w:rFonts w:cs="Wingdings"/>
                <w:b/>
                <w:color w:val="FFFFFF"/>
                <w:sz w:val="18"/>
                <w:szCs w:val="18"/>
                <w:lang w:eastAsia="tr-TR"/>
              </w:rPr>
            </w:pPr>
            <w:r w:rsidRPr="00EE43C6">
              <w:rPr>
                <w:rFonts w:cs="Wingdings"/>
                <w:b/>
                <w:color w:val="FFFFFF"/>
                <w:sz w:val="18"/>
                <w:szCs w:val="18"/>
                <w:lang w:eastAsia="tr-TR"/>
              </w:rPr>
              <w:t>Labour and Working Conditions</w:t>
            </w:r>
          </w:p>
        </w:tc>
      </w:tr>
      <w:tr w:rsidR="00187497" w:rsidRPr="00EE43C6" w14:paraId="118E8F8C" w14:textId="77777777" w:rsidTr="00C62F21">
        <w:trPr>
          <w:jc w:val="center"/>
        </w:trPr>
        <w:tc>
          <w:tcPr>
            <w:tcW w:w="2498" w:type="pct"/>
            <w:vAlign w:val="center"/>
          </w:tcPr>
          <w:p w14:paraId="1EBED924"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Number of worker grievances closed out within the target timeframe</w:t>
            </w:r>
          </w:p>
        </w:tc>
        <w:tc>
          <w:tcPr>
            <w:tcW w:w="2502" w:type="pct"/>
            <w:vAlign w:val="center"/>
          </w:tcPr>
          <w:p w14:paraId="1A9CEF21"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Zero worker grievances closed out of time</w:t>
            </w:r>
          </w:p>
        </w:tc>
      </w:tr>
      <w:tr w:rsidR="00187497" w:rsidRPr="00EE43C6" w14:paraId="2E2163A2" w14:textId="77777777" w:rsidTr="00854BE8">
        <w:trPr>
          <w:jc w:val="center"/>
        </w:trPr>
        <w:tc>
          <w:tcPr>
            <w:tcW w:w="5000" w:type="pct"/>
            <w:gridSpan w:val="2"/>
            <w:shd w:val="clear" w:color="auto" w:fill="4F81BD"/>
            <w:vAlign w:val="center"/>
          </w:tcPr>
          <w:p w14:paraId="25259712" w14:textId="77777777" w:rsidR="00187497" w:rsidRPr="00EE43C6" w:rsidRDefault="00187497" w:rsidP="00187497">
            <w:pPr>
              <w:spacing w:before="40" w:after="40" w:line="240" w:lineRule="auto"/>
              <w:jc w:val="center"/>
              <w:rPr>
                <w:rFonts w:cs="Wingdings"/>
                <w:b/>
                <w:color w:val="FFFFFF"/>
                <w:sz w:val="18"/>
                <w:szCs w:val="18"/>
                <w:lang w:eastAsia="tr-TR"/>
              </w:rPr>
            </w:pPr>
            <w:r w:rsidRPr="00EE43C6">
              <w:rPr>
                <w:rFonts w:cs="Wingdings"/>
                <w:b/>
                <w:color w:val="FFFFFF"/>
                <w:sz w:val="18"/>
                <w:szCs w:val="18"/>
                <w:lang w:eastAsia="tr-TR"/>
              </w:rPr>
              <w:t>Community Health and Safety</w:t>
            </w:r>
          </w:p>
        </w:tc>
      </w:tr>
      <w:tr w:rsidR="00187497" w:rsidRPr="00EE43C6" w14:paraId="71A35E5B" w14:textId="77777777" w:rsidTr="00C62F21">
        <w:trPr>
          <w:jc w:val="center"/>
        </w:trPr>
        <w:tc>
          <w:tcPr>
            <w:tcW w:w="2498" w:type="pct"/>
            <w:vAlign w:val="center"/>
          </w:tcPr>
          <w:p w14:paraId="51F80C60"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Number of communicable and non-communicable diseases and injuries.</w:t>
            </w:r>
          </w:p>
        </w:tc>
        <w:tc>
          <w:tcPr>
            <w:tcW w:w="2502" w:type="pct"/>
            <w:vAlign w:val="center"/>
          </w:tcPr>
          <w:p w14:paraId="33FFA680"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Negative Trend</w:t>
            </w:r>
          </w:p>
        </w:tc>
      </w:tr>
      <w:tr w:rsidR="00187497" w:rsidRPr="00EE43C6" w14:paraId="486F48DE" w14:textId="77777777" w:rsidTr="00C62F21">
        <w:trPr>
          <w:jc w:val="center"/>
        </w:trPr>
        <w:tc>
          <w:tcPr>
            <w:tcW w:w="2498" w:type="pct"/>
            <w:vAlign w:val="center"/>
          </w:tcPr>
          <w:p w14:paraId="2367AB71"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lastRenderedPageBreak/>
              <w:t>Number of community health safety &amp; security complaints from local communities as recorded in the grievance management system.</w:t>
            </w:r>
          </w:p>
        </w:tc>
        <w:tc>
          <w:tcPr>
            <w:tcW w:w="2502" w:type="pct"/>
            <w:vAlign w:val="center"/>
          </w:tcPr>
          <w:p w14:paraId="5B28D48F"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Decreasing number/ continuous improvement in number of complaints</w:t>
            </w:r>
          </w:p>
        </w:tc>
      </w:tr>
      <w:tr w:rsidR="00187497" w:rsidRPr="00EE43C6" w14:paraId="226D4ECA" w14:textId="77777777" w:rsidTr="00C62F21">
        <w:trPr>
          <w:jc w:val="center"/>
        </w:trPr>
        <w:tc>
          <w:tcPr>
            <w:tcW w:w="2498" w:type="pct"/>
            <w:vAlign w:val="center"/>
          </w:tcPr>
          <w:p w14:paraId="704B3B19"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Number of reported community health &amp; safety incidents</w:t>
            </w:r>
          </w:p>
        </w:tc>
        <w:tc>
          <w:tcPr>
            <w:tcW w:w="2502" w:type="pct"/>
            <w:vAlign w:val="center"/>
          </w:tcPr>
          <w:p w14:paraId="11270EBE"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Zero incidents per year</w:t>
            </w:r>
          </w:p>
        </w:tc>
      </w:tr>
      <w:tr w:rsidR="00187497" w:rsidRPr="00EE43C6" w14:paraId="4AA6E95A" w14:textId="77777777" w:rsidTr="00C62F21">
        <w:trPr>
          <w:jc w:val="center"/>
        </w:trPr>
        <w:tc>
          <w:tcPr>
            <w:tcW w:w="2498" w:type="pct"/>
            <w:vAlign w:val="center"/>
          </w:tcPr>
          <w:p w14:paraId="567464F6"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Number of reported noise incidents</w:t>
            </w:r>
          </w:p>
        </w:tc>
        <w:tc>
          <w:tcPr>
            <w:tcW w:w="2502" w:type="pct"/>
            <w:vAlign w:val="center"/>
          </w:tcPr>
          <w:p w14:paraId="4A521971" w14:textId="77777777" w:rsidR="00187497" w:rsidRPr="00EE43C6" w:rsidRDefault="00187497" w:rsidP="00187497">
            <w:pPr>
              <w:spacing w:before="40" w:after="40" w:line="240" w:lineRule="auto"/>
              <w:jc w:val="center"/>
              <w:rPr>
                <w:rFonts w:cs="Wingdings"/>
                <w:sz w:val="18"/>
                <w:szCs w:val="18"/>
                <w:lang w:eastAsia="tr-TR"/>
              </w:rPr>
            </w:pPr>
            <w:r w:rsidRPr="00EE43C6">
              <w:rPr>
                <w:rFonts w:cs="Wingdings"/>
                <w:sz w:val="18"/>
                <w:szCs w:val="18"/>
                <w:lang w:eastAsia="tr-TR"/>
              </w:rPr>
              <w:t>Zero incidents per year</w:t>
            </w:r>
          </w:p>
        </w:tc>
      </w:tr>
    </w:tbl>
    <w:p w14:paraId="741C941A" w14:textId="77777777" w:rsidR="00617591" w:rsidRPr="00EE43C6" w:rsidRDefault="00617591" w:rsidP="00617591">
      <w:pPr>
        <w:rPr>
          <w:lang w:eastAsia="en-US"/>
        </w:rPr>
        <w:sectPr w:rsidR="00617591" w:rsidRPr="00EE43C6" w:rsidSect="000E280D">
          <w:headerReference w:type="default" r:id="rId80"/>
          <w:footerReference w:type="default" r:id="rId81"/>
          <w:pgSz w:w="11906" w:h="16838" w:code="9"/>
          <w:pgMar w:top="1418" w:right="1418" w:bottom="1418" w:left="1418" w:header="709" w:footer="709" w:gutter="0"/>
          <w:cols w:space="708"/>
          <w:docGrid w:linePitch="299"/>
        </w:sectPr>
      </w:pPr>
    </w:p>
    <w:p w14:paraId="63B3B149" w14:textId="2C50EBD1" w:rsidR="00656757" w:rsidRPr="00EE43C6" w:rsidRDefault="009620CB" w:rsidP="00854BE8">
      <w:pPr>
        <w:pStyle w:val="Heading2"/>
        <w:ind w:hanging="718"/>
        <w:rPr>
          <w:iCs/>
          <w:lang w:val="en-GB"/>
        </w:rPr>
      </w:pPr>
      <w:bookmarkStart w:id="1600" w:name="_Toc98425379"/>
      <w:bookmarkStart w:id="1601" w:name="_Toc98429221"/>
      <w:bookmarkStart w:id="1602" w:name="_Toc120016991"/>
      <w:bookmarkStart w:id="1603" w:name="_Toc120004768"/>
      <w:bookmarkStart w:id="1604" w:name="_Ref141367816"/>
      <w:bookmarkStart w:id="1605" w:name="_Toc141445472"/>
      <w:bookmarkEnd w:id="1600"/>
      <w:bookmarkEnd w:id="1601"/>
      <w:r w:rsidRPr="00EE43C6">
        <w:rPr>
          <w:lang w:val="en-GB"/>
        </w:rPr>
        <w:lastRenderedPageBreak/>
        <w:t xml:space="preserve">Monitoring Plan for the </w:t>
      </w:r>
      <w:r w:rsidR="004339AC" w:rsidRPr="00EE43C6">
        <w:rPr>
          <w:iCs/>
          <w:lang w:val="en-GB"/>
        </w:rPr>
        <w:t>Construction Phase</w:t>
      </w:r>
      <w:bookmarkEnd w:id="1602"/>
      <w:bookmarkEnd w:id="1603"/>
      <w:bookmarkEnd w:id="1604"/>
      <w:bookmarkEnd w:id="1605"/>
    </w:p>
    <w:tbl>
      <w:tblPr>
        <w:tblStyle w:val="TableGrid"/>
        <w:tblW w:w="4898" w:type="pct"/>
        <w:tblLayout w:type="fixed"/>
        <w:tblLook w:val="04A0" w:firstRow="1" w:lastRow="0" w:firstColumn="1" w:lastColumn="0" w:noHBand="0" w:noVBand="1"/>
      </w:tblPr>
      <w:tblGrid>
        <w:gridCol w:w="1273"/>
        <w:gridCol w:w="1832"/>
        <w:gridCol w:w="1713"/>
        <w:gridCol w:w="1413"/>
        <w:gridCol w:w="2551"/>
        <w:gridCol w:w="3118"/>
        <w:gridCol w:w="3258"/>
        <w:gridCol w:w="2839"/>
        <w:gridCol w:w="1134"/>
        <w:gridCol w:w="1409"/>
      </w:tblGrid>
      <w:tr w:rsidR="00E4726B" w:rsidRPr="000E280D" w14:paraId="58784528" w14:textId="77777777" w:rsidTr="00270ACC">
        <w:trPr>
          <w:tblHeader/>
        </w:trPr>
        <w:tc>
          <w:tcPr>
            <w:tcW w:w="310" w:type="pct"/>
            <w:shd w:val="clear" w:color="auto" w:fill="4F81BD" w:themeFill="accent1"/>
            <w:vAlign w:val="center"/>
          </w:tcPr>
          <w:p w14:paraId="1D7134BD" w14:textId="77777777" w:rsidR="00A019D6" w:rsidRPr="000E280D" w:rsidRDefault="00A019D6">
            <w:pPr>
              <w:keepNext/>
              <w:spacing w:before="0" w:after="0" w:line="240" w:lineRule="auto"/>
              <w:jc w:val="center"/>
              <w:rPr>
                <w:rFonts w:cs="Wingdings"/>
                <w:b/>
                <w:color w:val="FFFFFF" w:themeColor="background1"/>
                <w:sz w:val="16"/>
                <w:szCs w:val="16"/>
              </w:rPr>
            </w:pPr>
            <w:r w:rsidRPr="000E280D">
              <w:rPr>
                <w:rFonts w:cs="Arial"/>
                <w:b/>
                <w:bCs/>
                <w:color w:val="FFFFFF" w:themeColor="background1"/>
                <w:sz w:val="16"/>
                <w:szCs w:val="16"/>
              </w:rPr>
              <w:t>Issue</w:t>
            </w:r>
          </w:p>
        </w:tc>
        <w:tc>
          <w:tcPr>
            <w:tcW w:w="446" w:type="pct"/>
            <w:shd w:val="clear" w:color="auto" w:fill="4F81BD" w:themeFill="accent1"/>
            <w:vAlign w:val="center"/>
          </w:tcPr>
          <w:p w14:paraId="1B00FFCB" w14:textId="77777777" w:rsidR="00A019D6" w:rsidRPr="000E280D" w:rsidRDefault="00A019D6">
            <w:pPr>
              <w:keepNext/>
              <w:spacing w:before="0" w:after="0" w:line="240" w:lineRule="auto"/>
              <w:jc w:val="center"/>
              <w:rPr>
                <w:rFonts w:cs="Wingdings"/>
                <w:b/>
                <w:color w:val="FFFFFF" w:themeColor="background1"/>
                <w:sz w:val="16"/>
                <w:szCs w:val="16"/>
              </w:rPr>
            </w:pPr>
            <w:r w:rsidRPr="000E280D">
              <w:rPr>
                <w:rFonts w:cs="Arial"/>
                <w:b/>
                <w:bCs/>
                <w:color w:val="FFFFFF" w:themeColor="background1"/>
                <w:sz w:val="16"/>
                <w:szCs w:val="16"/>
              </w:rPr>
              <w:t>Monitoring Location</w:t>
            </w:r>
          </w:p>
        </w:tc>
        <w:tc>
          <w:tcPr>
            <w:tcW w:w="417" w:type="pct"/>
            <w:shd w:val="clear" w:color="auto" w:fill="4F81BD" w:themeFill="accent1"/>
            <w:vAlign w:val="center"/>
          </w:tcPr>
          <w:p w14:paraId="1061CD04" w14:textId="77777777" w:rsidR="00A019D6" w:rsidRPr="000E280D" w:rsidRDefault="00A019D6">
            <w:pPr>
              <w:keepNext/>
              <w:spacing w:before="0" w:after="0" w:line="240" w:lineRule="auto"/>
              <w:jc w:val="center"/>
              <w:rPr>
                <w:rFonts w:cs="Wingdings"/>
                <w:b/>
                <w:color w:val="FFFFFF" w:themeColor="background1"/>
                <w:sz w:val="16"/>
                <w:szCs w:val="16"/>
              </w:rPr>
            </w:pPr>
            <w:r w:rsidRPr="000E280D">
              <w:rPr>
                <w:rFonts w:cs="Arial"/>
                <w:b/>
                <w:bCs/>
                <w:color w:val="FFFFFF" w:themeColor="background1"/>
                <w:sz w:val="16"/>
                <w:szCs w:val="16"/>
              </w:rPr>
              <w:t>Timing / Frequency of Monitoring</w:t>
            </w:r>
          </w:p>
        </w:tc>
        <w:tc>
          <w:tcPr>
            <w:tcW w:w="344" w:type="pct"/>
            <w:shd w:val="clear" w:color="auto" w:fill="4F81BD" w:themeFill="accent1"/>
            <w:vAlign w:val="center"/>
          </w:tcPr>
          <w:p w14:paraId="1302C3C2" w14:textId="77777777" w:rsidR="00A019D6" w:rsidRPr="000E280D" w:rsidRDefault="00A019D6">
            <w:pPr>
              <w:keepNext/>
              <w:spacing w:before="0" w:after="0" w:line="240" w:lineRule="auto"/>
              <w:jc w:val="center"/>
              <w:rPr>
                <w:rFonts w:cs="Wingdings"/>
                <w:b/>
                <w:color w:val="FFFFFF" w:themeColor="background1"/>
                <w:sz w:val="16"/>
                <w:szCs w:val="16"/>
              </w:rPr>
            </w:pPr>
            <w:r w:rsidRPr="000E280D">
              <w:rPr>
                <w:rFonts w:cs="Arial"/>
                <w:b/>
                <w:bCs/>
                <w:color w:val="FFFFFF" w:themeColor="background1"/>
                <w:sz w:val="16"/>
                <w:szCs w:val="16"/>
              </w:rPr>
              <w:t>Parameters Monitored</w:t>
            </w:r>
          </w:p>
        </w:tc>
        <w:tc>
          <w:tcPr>
            <w:tcW w:w="621" w:type="pct"/>
            <w:shd w:val="clear" w:color="auto" w:fill="4F81BD" w:themeFill="accent1"/>
            <w:vAlign w:val="center"/>
          </w:tcPr>
          <w:p w14:paraId="6C1CB0E2" w14:textId="77777777" w:rsidR="00A019D6" w:rsidRPr="000E280D" w:rsidRDefault="00A019D6">
            <w:pPr>
              <w:keepNext/>
              <w:spacing w:before="0" w:after="0" w:line="240" w:lineRule="auto"/>
              <w:jc w:val="center"/>
              <w:rPr>
                <w:rFonts w:cs="Wingdings"/>
                <w:b/>
                <w:color w:val="FFFFFF" w:themeColor="background1"/>
                <w:sz w:val="16"/>
                <w:szCs w:val="16"/>
              </w:rPr>
            </w:pPr>
            <w:r w:rsidRPr="000E280D">
              <w:rPr>
                <w:rFonts w:cs="Arial"/>
                <w:b/>
                <w:bCs/>
                <w:color w:val="FFFFFF" w:themeColor="background1"/>
                <w:sz w:val="16"/>
                <w:szCs w:val="16"/>
              </w:rPr>
              <w:t>Monitoring Method</w:t>
            </w:r>
          </w:p>
        </w:tc>
        <w:tc>
          <w:tcPr>
            <w:tcW w:w="758" w:type="pct"/>
            <w:shd w:val="clear" w:color="auto" w:fill="4F81BD" w:themeFill="accent1"/>
            <w:vAlign w:val="center"/>
          </w:tcPr>
          <w:p w14:paraId="23BAABEA" w14:textId="77777777" w:rsidR="00A019D6" w:rsidRPr="000E280D" w:rsidRDefault="00A019D6">
            <w:pPr>
              <w:keepNext/>
              <w:spacing w:before="0" w:after="0" w:line="240" w:lineRule="auto"/>
              <w:jc w:val="center"/>
              <w:rPr>
                <w:rFonts w:cs="Wingdings"/>
                <w:b/>
                <w:color w:val="FFFFFF" w:themeColor="background1"/>
                <w:sz w:val="16"/>
                <w:szCs w:val="16"/>
              </w:rPr>
            </w:pPr>
            <w:r w:rsidRPr="000E280D">
              <w:rPr>
                <w:rFonts w:cs="Arial"/>
                <w:b/>
                <w:bCs/>
                <w:color w:val="FFFFFF" w:themeColor="background1"/>
                <w:sz w:val="16"/>
                <w:szCs w:val="16"/>
              </w:rPr>
              <w:t>Target/ threshold values</w:t>
            </w:r>
          </w:p>
        </w:tc>
        <w:tc>
          <w:tcPr>
            <w:tcW w:w="793" w:type="pct"/>
            <w:shd w:val="clear" w:color="auto" w:fill="4F81BD" w:themeFill="accent1"/>
            <w:vAlign w:val="center"/>
          </w:tcPr>
          <w:p w14:paraId="4B61F35E" w14:textId="77777777" w:rsidR="00A019D6" w:rsidRPr="000E280D" w:rsidRDefault="00A019D6">
            <w:pPr>
              <w:keepNext/>
              <w:spacing w:before="0" w:after="0" w:line="240" w:lineRule="auto"/>
              <w:jc w:val="center"/>
              <w:rPr>
                <w:rFonts w:cs="Wingdings"/>
                <w:b/>
                <w:color w:val="FFFFFF" w:themeColor="background1"/>
                <w:sz w:val="16"/>
                <w:szCs w:val="16"/>
              </w:rPr>
            </w:pPr>
            <w:r w:rsidRPr="000E280D">
              <w:rPr>
                <w:rFonts w:cs="Arial"/>
                <w:b/>
                <w:bCs/>
                <w:color w:val="FFFFFF" w:themeColor="background1"/>
                <w:sz w:val="16"/>
                <w:szCs w:val="16"/>
              </w:rPr>
              <w:t>Legal Requirements for monitoring</w:t>
            </w:r>
          </w:p>
        </w:tc>
        <w:tc>
          <w:tcPr>
            <w:tcW w:w="691" w:type="pct"/>
            <w:shd w:val="clear" w:color="auto" w:fill="4F81BD" w:themeFill="accent1"/>
            <w:vAlign w:val="center"/>
          </w:tcPr>
          <w:p w14:paraId="07C2424E" w14:textId="135FBDFC" w:rsidR="00A019D6" w:rsidRPr="000E280D" w:rsidRDefault="00A019D6">
            <w:pPr>
              <w:keepNext/>
              <w:spacing w:before="0" w:after="0" w:line="240" w:lineRule="auto"/>
              <w:jc w:val="center"/>
              <w:rPr>
                <w:rFonts w:cs="Wingdings"/>
                <w:b/>
                <w:color w:val="FFFFFF" w:themeColor="background1"/>
                <w:sz w:val="16"/>
                <w:szCs w:val="16"/>
              </w:rPr>
            </w:pPr>
            <w:r w:rsidRPr="000E280D">
              <w:rPr>
                <w:rFonts w:cs="Arial"/>
                <w:b/>
                <w:bCs/>
                <w:color w:val="FFFFFF" w:themeColor="background1"/>
                <w:sz w:val="16"/>
                <w:szCs w:val="16"/>
              </w:rPr>
              <w:t>Key Performance Indicators</w:t>
            </w:r>
          </w:p>
        </w:tc>
        <w:tc>
          <w:tcPr>
            <w:tcW w:w="276" w:type="pct"/>
            <w:shd w:val="clear" w:color="auto" w:fill="4F81BD" w:themeFill="accent1"/>
            <w:vAlign w:val="center"/>
          </w:tcPr>
          <w:p w14:paraId="4276660E" w14:textId="77777777" w:rsidR="00A019D6" w:rsidRPr="000E280D" w:rsidRDefault="00A019D6">
            <w:pPr>
              <w:keepNext/>
              <w:spacing w:before="0" w:after="0" w:line="240" w:lineRule="auto"/>
              <w:jc w:val="center"/>
              <w:rPr>
                <w:rFonts w:cs="Wingdings"/>
                <w:b/>
                <w:color w:val="FFFFFF" w:themeColor="background1"/>
                <w:sz w:val="16"/>
                <w:szCs w:val="16"/>
              </w:rPr>
            </w:pPr>
            <w:r w:rsidRPr="000E280D">
              <w:rPr>
                <w:rFonts w:cs="Arial"/>
                <w:b/>
                <w:bCs/>
                <w:color w:val="FFFFFF" w:themeColor="background1"/>
                <w:sz w:val="16"/>
                <w:szCs w:val="16"/>
              </w:rPr>
              <w:t>Cost</w:t>
            </w:r>
          </w:p>
        </w:tc>
        <w:tc>
          <w:tcPr>
            <w:tcW w:w="344" w:type="pct"/>
            <w:shd w:val="clear" w:color="auto" w:fill="4F81BD" w:themeFill="accent1"/>
            <w:vAlign w:val="center"/>
          </w:tcPr>
          <w:p w14:paraId="5335F802" w14:textId="1D77AECD" w:rsidR="00A019D6" w:rsidRPr="000E280D" w:rsidRDefault="00A019D6">
            <w:pPr>
              <w:keepNext/>
              <w:spacing w:before="0" w:after="0" w:line="240" w:lineRule="auto"/>
              <w:jc w:val="center"/>
              <w:rPr>
                <w:rFonts w:cs="Wingdings"/>
                <w:b/>
                <w:color w:val="FFFFFF" w:themeColor="background1"/>
                <w:sz w:val="16"/>
                <w:szCs w:val="16"/>
              </w:rPr>
            </w:pPr>
            <w:r w:rsidRPr="000E280D">
              <w:rPr>
                <w:rFonts w:cs="Arial"/>
                <w:b/>
                <w:bCs/>
                <w:color w:val="FFFFFF" w:themeColor="background1"/>
                <w:sz w:val="16"/>
                <w:szCs w:val="16"/>
              </w:rPr>
              <w:t>Responsible Party</w:t>
            </w:r>
          </w:p>
        </w:tc>
      </w:tr>
      <w:tr w:rsidR="002F61F4" w:rsidRPr="000E280D" w14:paraId="4C22869A" w14:textId="77777777" w:rsidTr="00270ACC">
        <w:tc>
          <w:tcPr>
            <w:tcW w:w="310" w:type="pct"/>
          </w:tcPr>
          <w:p w14:paraId="190206F8" w14:textId="0F1AC112" w:rsidR="00A019D6" w:rsidRPr="000E280D" w:rsidRDefault="00A019D6" w:rsidP="000E280D">
            <w:pPr>
              <w:pStyle w:val="BodyText"/>
              <w:spacing w:before="40" w:after="40" w:line="240" w:lineRule="auto"/>
              <w:jc w:val="left"/>
              <w:rPr>
                <w:rFonts w:cs="Wingdings"/>
                <w:noProof w:val="0"/>
                <w:sz w:val="16"/>
                <w:szCs w:val="16"/>
              </w:rPr>
            </w:pPr>
            <w:r w:rsidRPr="000E280D">
              <w:rPr>
                <w:rFonts w:cs="Arial"/>
                <w:b/>
                <w:bCs/>
                <w:noProof w:val="0"/>
                <w:sz w:val="16"/>
                <w:szCs w:val="16"/>
              </w:rPr>
              <w:t>Disclosure</w:t>
            </w:r>
          </w:p>
        </w:tc>
        <w:tc>
          <w:tcPr>
            <w:tcW w:w="446" w:type="pct"/>
          </w:tcPr>
          <w:p w14:paraId="7DD22019"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Settlements near the project area</w:t>
            </w:r>
          </w:p>
        </w:tc>
        <w:tc>
          <w:tcPr>
            <w:tcW w:w="417" w:type="pct"/>
          </w:tcPr>
          <w:p w14:paraId="01264E48"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Wingdings"/>
                <w:noProof w:val="0"/>
                <w:sz w:val="16"/>
                <w:szCs w:val="16"/>
              </w:rPr>
              <w:t>During Construction</w:t>
            </w:r>
          </w:p>
          <w:p w14:paraId="3595C28D"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Monthly</w:t>
            </w:r>
          </w:p>
        </w:tc>
        <w:tc>
          <w:tcPr>
            <w:tcW w:w="344" w:type="pct"/>
          </w:tcPr>
          <w:p w14:paraId="4D555D03" w14:textId="5D8825F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Grievance</w:t>
            </w:r>
            <w:r w:rsidR="006F4F3F" w:rsidRPr="000E280D">
              <w:rPr>
                <w:rFonts w:cs="Arial"/>
                <w:noProof w:val="0"/>
                <w:sz w:val="16"/>
                <w:szCs w:val="16"/>
              </w:rPr>
              <w:t xml:space="preserve"> Records</w:t>
            </w:r>
          </w:p>
        </w:tc>
        <w:tc>
          <w:tcPr>
            <w:tcW w:w="621" w:type="pct"/>
          </w:tcPr>
          <w:p w14:paraId="5EDE0D76"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On-site inspections</w:t>
            </w:r>
          </w:p>
          <w:p w14:paraId="07B74BC0"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Minutes of meetings</w:t>
            </w:r>
          </w:p>
          <w:p w14:paraId="1DE1BD19"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Arial"/>
                <w:sz w:val="16"/>
                <w:szCs w:val="16"/>
              </w:rPr>
              <w:t>Grievance mechanism records</w:t>
            </w:r>
          </w:p>
        </w:tc>
        <w:tc>
          <w:tcPr>
            <w:tcW w:w="758" w:type="pct"/>
          </w:tcPr>
          <w:p w14:paraId="78203255" w14:textId="714CA852" w:rsidR="00A019D6" w:rsidRPr="000E280D" w:rsidRDefault="00196DDA" w:rsidP="000E280D">
            <w:pPr>
              <w:pStyle w:val="BodyText"/>
              <w:spacing w:before="40" w:after="40" w:line="240" w:lineRule="auto"/>
              <w:jc w:val="left"/>
              <w:rPr>
                <w:rFonts w:cs="Wingdings"/>
                <w:noProof w:val="0"/>
                <w:sz w:val="16"/>
                <w:szCs w:val="16"/>
              </w:rPr>
            </w:pPr>
            <w:r w:rsidRPr="000E280D">
              <w:rPr>
                <w:rStyle w:val="cf01"/>
                <w:sz w:val="16"/>
                <w:szCs w:val="16"/>
              </w:rPr>
              <w:t>All grievances closed-out within the target timeframe</w:t>
            </w:r>
          </w:p>
        </w:tc>
        <w:tc>
          <w:tcPr>
            <w:tcW w:w="793" w:type="pct"/>
          </w:tcPr>
          <w:p w14:paraId="0637E74F" w14:textId="77777777" w:rsidR="00A019D6" w:rsidRPr="000E280D" w:rsidRDefault="1FE75218" w:rsidP="000E280D">
            <w:pPr>
              <w:numPr>
                <w:ilvl w:val="0"/>
                <w:numId w:val="7"/>
              </w:numPr>
              <w:spacing w:before="60" w:after="0" w:line="240" w:lineRule="auto"/>
              <w:ind w:left="106" w:hanging="182"/>
              <w:jc w:val="left"/>
              <w:rPr>
                <w:rFonts w:cs="Wingdings"/>
                <w:sz w:val="16"/>
                <w:szCs w:val="16"/>
              </w:rPr>
            </w:pPr>
            <w:r w:rsidRPr="000E280D">
              <w:rPr>
                <w:rFonts w:cs="Wingdings"/>
                <w:sz w:val="16"/>
                <w:szCs w:val="16"/>
              </w:rPr>
              <w:t>Regulation on Assessment and Management of Environmental Noise</w:t>
            </w:r>
          </w:p>
          <w:p w14:paraId="29B18210" w14:textId="77777777" w:rsidR="00A019D6" w:rsidRPr="000E280D" w:rsidRDefault="1FE75218" w:rsidP="000E280D">
            <w:pPr>
              <w:numPr>
                <w:ilvl w:val="0"/>
                <w:numId w:val="7"/>
              </w:numPr>
              <w:spacing w:before="60" w:after="0" w:line="240" w:lineRule="auto"/>
              <w:ind w:left="139" w:hanging="210"/>
              <w:jc w:val="left"/>
              <w:rPr>
                <w:rFonts w:cs="Wingdings"/>
                <w:sz w:val="16"/>
                <w:szCs w:val="16"/>
              </w:rPr>
            </w:pPr>
            <w:r w:rsidRPr="000E280D">
              <w:rPr>
                <w:rFonts w:cs="Wingdings"/>
                <w:sz w:val="16"/>
                <w:szCs w:val="16"/>
              </w:rPr>
              <w:t xml:space="preserve">Regulation on Air Quality Assessment and Management </w:t>
            </w:r>
          </w:p>
          <w:p w14:paraId="19D77AC7" w14:textId="77777777" w:rsidR="00A019D6" w:rsidRPr="000E280D" w:rsidRDefault="1FE75218" w:rsidP="000E280D">
            <w:pPr>
              <w:numPr>
                <w:ilvl w:val="0"/>
                <w:numId w:val="7"/>
              </w:numPr>
              <w:spacing w:before="60" w:after="0" w:line="240" w:lineRule="auto"/>
              <w:ind w:left="106" w:hanging="182"/>
              <w:jc w:val="left"/>
              <w:rPr>
                <w:rFonts w:cs="Wingdings"/>
                <w:sz w:val="16"/>
                <w:szCs w:val="16"/>
              </w:rPr>
            </w:pPr>
            <w:r w:rsidRPr="000E280D">
              <w:rPr>
                <w:rFonts w:cs="Arial"/>
                <w:sz w:val="16"/>
                <w:szCs w:val="16"/>
              </w:rPr>
              <w:t xml:space="preserve"> WB ESS-10</w:t>
            </w:r>
          </w:p>
        </w:tc>
        <w:tc>
          <w:tcPr>
            <w:tcW w:w="691" w:type="pct"/>
          </w:tcPr>
          <w:p w14:paraId="318C905B" w14:textId="1784C510" w:rsidR="00A019D6" w:rsidRPr="000E280D" w:rsidRDefault="00F11744" w:rsidP="000E280D">
            <w:pPr>
              <w:numPr>
                <w:ilvl w:val="0"/>
                <w:numId w:val="7"/>
              </w:numPr>
              <w:autoSpaceDE w:val="0"/>
              <w:autoSpaceDN w:val="0"/>
              <w:adjustRightInd w:val="0"/>
              <w:spacing w:before="0" w:after="0" w:line="240" w:lineRule="auto"/>
              <w:ind w:left="181" w:hanging="181"/>
              <w:jc w:val="left"/>
              <w:rPr>
                <w:rFonts w:cs="Wingdings"/>
                <w:sz w:val="16"/>
                <w:szCs w:val="16"/>
                <w:lang w:eastAsia="en-US"/>
              </w:rPr>
            </w:pPr>
            <w:r w:rsidRPr="000E280D">
              <w:rPr>
                <w:rFonts w:cs="Wingdings"/>
                <w:sz w:val="16"/>
                <w:szCs w:val="16"/>
                <w:lang w:eastAsia="tr-TR"/>
              </w:rPr>
              <w:t>Minimum n</w:t>
            </w:r>
            <w:r w:rsidR="1FE75218" w:rsidRPr="000E280D">
              <w:rPr>
                <w:rFonts w:cs="Wingdings"/>
                <w:sz w:val="16"/>
                <w:szCs w:val="16"/>
                <w:lang w:eastAsia="tr-TR"/>
              </w:rPr>
              <w:t xml:space="preserve">umber </w:t>
            </w:r>
            <w:r w:rsidR="0015613B" w:rsidRPr="000E280D">
              <w:rPr>
                <w:rFonts w:cs="Wingdings"/>
                <w:sz w:val="16"/>
                <w:szCs w:val="16"/>
                <w:lang w:eastAsia="tr-TR"/>
              </w:rPr>
              <w:t xml:space="preserve">and nature </w:t>
            </w:r>
            <w:r w:rsidR="1FE75218" w:rsidRPr="000E280D">
              <w:rPr>
                <w:rFonts w:cs="Wingdings"/>
                <w:sz w:val="16"/>
                <w:szCs w:val="16"/>
                <w:lang w:eastAsia="tr-TR"/>
              </w:rPr>
              <w:t xml:space="preserve">of grievances </w:t>
            </w:r>
          </w:p>
          <w:p w14:paraId="788AC6E6" w14:textId="58086022" w:rsidR="00A019D6" w:rsidRPr="000E280D" w:rsidRDefault="1FE75218" w:rsidP="000E280D">
            <w:pPr>
              <w:numPr>
                <w:ilvl w:val="0"/>
                <w:numId w:val="7"/>
              </w:numPr>
              <w:autoSpaceDE w:val="0"/>
              <w:autoSpaceDN w:val="0"/>
              <w:adjustRightInd w:val="0"/>
              <w:spacing w:before="0" w:after="0" w:line="240" w:lineRule="auto"/>
              <w:ind w:left="181" w:hanging="181"/>
              <w:jc w:val="left"/>
              <w:rPr>
                <w:rFonts w:cs="Wingdings"/>
                <w:sz w:val="16"/>
                <w:szCs w:val="16"/>
                <w:lang w:eastAsia="tr-TR"/>
              </w:rPr>
            </w:pPr>
            <w:r w:rsidRPr="000E280D">
              <w:rPr>
                <w:rFonts w:cs="Arial"/>
                <w:sz w:val="16"/>
                <w:szCs w:val="16"/>
                <w:lang w:eastAsia="tr-TR"/>
              </w:rPr>
              <w:t xml:space="preserve">Percentage of closed grievances  </w:t>
            </w:r>
            <w:r w:rsidR="006F4F3F" w:rsidRPr="000E280D">
              <w:rPr>
                <w:rFonts w:cs="Arial"/>
                <w:color w:val="000000" w:themeColor="text1"/>
                <w:sz w:val="16"/>
                <w:szCs w:val="16"/>
                <w:lang w:eastAsia="tr-TR"/>
              </w:rPr>
              <w:t xml:space="preserve">according to number of grievances </w:t>
            </w:r>
            <w:r w:rsidRPr="000E280D">
              <w:rPr>
                <w:rFonts w:cs="Arial"/>
                <w:sz w:val="16"/>
                <w:szCs w:val="16"/>
                <w:lang w:eastAsia="tr-TR"/>
              </w:rPr>
              <w:t>within the target timeframe</w:t>
            </w:r>
          </w:p>
        </w:tc>
        <w:tc>
          <w:tcPr>
            <w:tcW w:w="276" w:type="pct"/>
          </w:tcPr>
          <w:p w14:paraId="7EFD6F9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Brings no additional cost</w:t>
            </w:r>
          </w:p>
        </w:tc>
        <w:tc>
          <w:tcPr>
            <w:tcW w:w="344" w:type="pct"/>
          </w:tcPr>
          <w:p w14:paraId="5BAE245B" w14:textId="458D1107" w:rsidR="00A019D6" w:rsidRPr="000E280D" w:rsidRDefault="00B561CF" w:rsidP="000E280D">
            <w:pPr>
              <w:pStyle w:val="BodyText"/>
              <w:spacing w:before="40" w:after="40" w:line="240" w:lineRule="auto"/>
              <w:jc w:val="left"/>
              <w:rPr>
                <w:rFonts w:cs="Arial"/>
                <w:noProof w:val="0"/>
                <w:sz w:val="16"/>
                <w:szCs w:val="16"/>
              </w:rPr>
            </w:pPr>
            <w:r w:rsidRPr="000E280D">
              <w:rPr>
                <w:rFonts w:cs="Arial"/>
                <w:noProof w:val="0"/>
                <w:sz w:val="16"/>
                <w:szCs w:val="16"/>
              </w:rPr>
              <w:t>TUIOSB</w:t>
            </w:r>
            <w:r w:rsidR="00A019D6" w:rsidRPr="000E280D">
              <w:rPr>
                <w:rFonts w:cs="Arial"/>
                <w:noProof w:val="0"/>
                <w:sz w:val="16"/>
                <w:szCs w:val="16"/>
              </w:rPr>
              <w:t xml:space="preserve"> Contractor</w:t>
            </w:r>
          </w:p>
          <w:p w14:paraId="42B59BB0" w14:textId="3C46A7DE"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 xml:space="preserve">Supervision </w:t>
            </w:r>
            <w:r w:rsidR="00A019D6" w:rsidRPr="000E280D">
              <w:rPr>
                <w:rFonts w:cs="Arial"/>
                <w:noProof w:val="0"/>
                <w:sz w:val="16"/>
                <w:szCs w:val="16"/>
              </w:rPr>
              <w:t>Consultant</w:t>
            </w:r>
          </w:p>
        </w:tc>
      </w:tr>
      <w:tr w:rsidR="002F61F4" w:rsidRPr="000E280D" w14:paraId="571D302E" w14:textId="77777777" w:rsidTr="00270ACC">
        <w:tc>
          <w:tcPr>
            <w:tcW w:w="310" w:type="pct"/>
          </w:tcPr>
          <w:p w14:paraId="6392AFB7" w14:textId="0BC98646" w:rsidR="00A019D6" w:rsidRPr="000E280D" w:rsidRDefault="005A4C93" w:rsidP="000E280D">
            <w:pPr>
              <w:pStyle w:val="BodyText"/>
              <w:spacing w:before="40" w:after="40" w:line="240" w:lineRule="auto"/>
              <w:jc w:val="left"/>
              <w:rPr>
                <w:rFonts w:cs="Wingdings"/>
                <w:noProof w:val="0"/>
                <w:sz w:val="16"/>
                <w:szCs w:val="16"/>
              </w:rPr>
            </w:pPr>
            <w:r w:rsidRPr="000E280D">
              <w:rPr>
                <w:rFonts w:cs="Arial"/>
                <w:b/>
                <w:bCs/>
                <w:noProof w:val="0"/>
                <w:sz w:val="16"/>
                <w:szCs w:val="16"/>
              </w:rPr>
              <w:t>Labour</w:t>
            </w:r>
            <w:r w:rsidR="00A019D6" w:rsidRPr="000E280D">
              <w:rPr>
                <w:rFonts w:cs="Arial"/>
                <w:b/>
                <w:bCs/>
                <w:noProof w:val="0"/>
                <w:sz w:val="16"/>
                <w:szCs w:val="16"/>
              </w:rPr>
              <w:t xml:space="preserve"> Conditions</w:t>
            </w:r>
          </w:p>
        </w:tc>
        <w:tc>
          <w:tcPr>
            <w:tcW w:w="446" w:type="pct"/>
          </w:tcPr>
          <w:p w14:paraId="0D6BDD4B"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Project area</w:t>
            </w:r>
          </w:p>
        </w:tc>
        <w:tc>
          <w:tcPr>
            <w:tcW w:w="417" w:type="pct"/>
          </w:tcPr>
          <w:p w14:paraId="7E15499A"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Monthly</w:t>
            </w:r>
          </w:p>
        </w:tc>
        <w:tc>
          <w:tcPr>
            <w:tcW w:w="344" w:type="pct"/>
          </w:tcPr>
          <w:p w14:paraId="11B5A477" w14:textId="5B88B800"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Grievance</w:t>
            </w:r>
            <w:r w:rsidR="006F4F3F" w:rsidRPr="000E280D">
              <w:rPr>
                <w:rFonts w:cs="Arial"/>
                <w:noProof w:val="0"/>
                <w:sz w:val="16"/>
                <w:szCs w:val="16"/>
              </w:rPr>
              <w:t xml:space="preserve"> Records</w:t>
            </w:r>
          </w:p>
        </w:tc>
        <w:tc>
          <w:tcPr>
            <w:tcW w:w="621" w:type="pct"/>
          </w:tcPr>
          <w:p w14:paraId="0073251A"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eastAsiaTheme="minorEastAsia" w:cs="Wingdings"/>
                <w:sz w:val="16"/>
                <w:szCs w:val="16"/>
              </w:rPr>
              <w:t>Internal and external audits</w:t>
            </w:r>
          </w:p>
          <w:p w14:paraId="5C630EF1"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eastAsiaTheme="minorEastAsia" w:cs="Wingdings"/>
                <w:sz w:val="16"/>
                <w:szCs w:val="16"/>
              </w:rPr>
              <w:t xml:space="preserve">Grievance records </w:t>
            </w:r>
          </w:p>
          <w:p w14:paraId="5F410BBE"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eastAsiaTheme="minorEastAsia" w:cs="Wingdings"/>
                <w:sz w:val="16"/>
                <w:szCs w:val="16"/>
              </w:rPr>
              <w:t>Accident records</w:t>
            </w:r>
          </w:p>
          <w:p w14:paraId="5D6C554F"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Training records</w:t>
            </w:r>
          </w:p>
          <w:p w14:paraId="20119703"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Sample contracts</w:t>
            </w:r>
          </w:p>
          <w:p w14:paraId="5DDB035D"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Human Resource Policy</w:t>
            </w:r>
          </w:p>
          <w:p w14:paraId="361CE63F"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Number of the local employees</w:t>
            </w:r>
          </w:p>
          <w:p w14:paraId="0DB9C21A"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Arial"/>
                <w:sz w:val="16"/>
                <w:szCs w:val="16"/>
              </w:rPr>
              <w:t>Legal work permit</w:t>
            </w:r>
          </w:p>
        </w:tc>
        <w:tc>
          <w:tcPr>
            <w:tcW w:w="758" w:type="pct"/>
          </w:tcPr>
          <w:p w14:paraId="2A58104D" w14:textId="6D6694F7" w:rsidR="00A019D6" w:rsidRPr="000E280D" w:rsidRDefault="00196DDA" w:rsidP="000E280D">
            <w:pPr>
              <w:pStyle w:val="BodyText"/>
              <w:spacing w:before="40" w:after="40" w:line="240" w:lineRule="auto"/>
              <w:jc w:val="left"/>
              <w:rPr>
                <w:rFonts w:cs="Wingdings"/>
                <w:noProof w:val="0"/>
                <w:sz w:val="16"/>
                <w:szCs w:val="16"/>
              </w:rPr>
            </w:pPr>
            <w:r w:rsidRPr="000E280D">
              <w:rPr>
                <w:rStyle w:val="cf01"/>
                <w:sz w:val="16"/>
                <w:szCs w:val="16"/>
              </w:rPr>
              <w:t>All grievances closed-out within the target timeframe</w:t>
            </w:r>
          </w:p>
        </w:tc>
        <w:tc>
          <w:tcPr>
            <w:tcW w:w="793" w:type="pct"/>
          </w:tcPr>
          <w:p w14:paraId="0F761DF0" w14:textId="53BDFBDB" w:rsidR="00A019D6" w:rsidRPr="000E280D" w:rsidRDefault="005A4C93" w:rsidP="000E280D">
            <w:pPr>
              <w:numPr>
                <w:ilvl w:val="0"/>
                <w:numId w:val="7"/>
              </w:numPr>
              <w:spacing w:before="60" w:after="0" w:line="240" w:lineRule="auto"/>
              <w:ind w:left="106" w:hanging="182"/>
              <w:jc w:val="left"/>
              <w:rPr>
                <w:rFonts w:cs="Wingdings"/>
                <w:sz w:val="16"/>
                <w:szCs w:val="16"/>
              </w:rPr>
            </w:pPr>
            <w:r w:rsidRPr="000E280D">
              <w:rPr>
                <w:rFonts w:cs="Wingdings"/>
                <w:sz w:val="16"/>
                <w:szCs w:val="16"/>
              </w:rPr>
              <w:t>Labour</w:t>
            </w:r>
            <w:r w:rsidR="1FE75218" w:rsidRPr="000E280D">
              <w:rPr>
                <w:rFonts w:cs="Wingdings"/>
                <w:sz w:val="16"/>
                <w:szCs w:val="16"/>
              </w:rPr>
              <w:t xml:space="preserve"> Law (No. 4857)</w:t>
            </w:r>
          </w:p>
          <w:p w14:paraId="416729FF" w14:textId="77777777" w:rsidR="00A019D6" w:rsidRPr="000E280D" w:rsidRDefault="1FE75218" w:rsidP="000E280D">
            <w:pPr>
              <w:numPr>
                <w:ilvl w:val="0"/>
                <w:numId w:val="7"/>
              </w:numPr>
              <w:spacing w:before="60" w:after="0" w:line="240" w:lineRule="auto"/>
              <w:ind w:left="106" w:hanging="182"/>
              <w:jc w:val="left"/>
              <w:rPr>
                <w:rFonts w:cs="Wingdings"/>
                <w:sz w:val="16"/>
                <w:szCs w:val="16"/>
              </w:rPr>
            </w:pPr>
            <w:r w:rsidRPr="000E280D">
              <w:rPr>
                <w:rFonts w:cs="Wingdings"/>
                <w:sz w:val="16"/>
                <w:szCs w:val="16"/>
              </w:rPr>
              <w:t>Law on Trade Unions and Collective Bargaining Agreements</w:t>
            </w:r>
          </w:p>
          <w:p w14:paraId="2DC3031D" w14:textId="77777777" w:rsidR="00A019D6" w:rsidRPr="000E280D" w:rsidRDefault="1FE75218" w:rsidP="000E280D">
            <w:pPr>
              <w:numPr>
                <w:ilvl w:val="0"/>
                <w:numId w:val="7"/>
              </w:numPr>
              <w:spacing w:before="60" w:after="0" w:line="240" w:lineRule="auto"/>
              <w:ind w:left="106" w:hanging="182"/>
              <w:jc w:val="left"/>
              <w:rPr>
                <w:rFonts w:cs="Wingdings"/>
                <w:sz w:val="16"/>
                <w:szCs w:val="16"/>
              </w:rPr>
            </w:pPr>
            <w:r w:rsidRPr="000E280D">
              <w:rPr>
                <w:rFonts w:cs="Arial"/>
                <w:sz w:val="16"/>
                <w:szCs w:val="16"/>
              </w:rPr>
              <w:t>ILO International Regulations</w:t>
            </w:r>
          </w:p>
        </w:tc>
        <w:tc>
          <w:tcPr>
            <w:tcW w:w="691" w:type="pct"/>
          </w:tcPr>
          <w:p w14:paraId="2D5B4375" w14:textId="136DB428" w:rsidR="00A019D6" w:rsidRPr="000E280D" w:rsidRDefault="00F11744" w:rsidP="000E280D">
            <w:pPr>
              <w:numPr>
                <w:ilvl w:val="0"/>
                <w:numId w:val="7"/>
              </w:numPr>
              <w:autoSpaceDE w:val="0"/>
              <w:autoSpaceDN w:val="0"/>
              <w:adjustRightInd w:val="0"/>
              <w:spacing w:before="0" w:after="0" w:line="240" w:lineRule="auto"/>
              <w:ind w:left="181" w:hanging="181"/>
              <w:jc w:val="left"/>
              <w:rPr>
                <w:rFonts w:cs="Wingdings"/>
                <w:sz w:val="16"/>
                <w:szCs w:val="16"/>
                <w:lang w:eastAsia="tr-TR"/>
              </w:rPr>
            </w:pPr>
            <w:r w:rsidRPr="000E280D">
              <w:rPr>
                <w:rFonts w:cs="Wingdings"/>
                <w:sz w:val="16"/>
                <w:szCs w:val="16"/>
                <w:lang w:eastAsia="tr-TR"/>
              </w:rPr>
              <w:t xml:space="preserve">Minimum </w:t>
            </w:r>
            <w:r w:rsidR="00F94DF0" w:rsidRPr="000E280D">
              <w:rPr>
                <w:rFonts w:cs="Wingdings"/>
                <w:sz w:val="16"/>
                <w:szCs w:val="16"/>
                <w:lang w:eastAsia="tr-TR"/>
              </w:rPr>
              <w:t>n</w:t>
            </w:r>
            <w:r w:rsidR="1FE75218" w:rsidRPr="000E280D">
              <w:rPr>
                <w:rFonts w:cs="Wingdings"/>
                <w:sz w:val="16"/>
                <w:szCs w:val="16"/>
                <w:lang w:eastAsia="tr-TR"/>
              </w:rPr>
              <w:t xml:space="preserve">umber </w:t>
            </w:r>
            <w:r w:rsidR="0015613B" w:rsidRPr="000E280D">
              <w:rPr>
                <w:rFonts w:cs="Wingdings"/>
                <w:sz w:val="16"/>
                <w:szCs w:val="16"/>
                <w:lang w:eastAsia="tr-TR"/>
              </w:rPr>
              <w:t xml:space="preserve">and nature </w:t>
            </w:r>
            <w:r w:rsidR="1FE75218" w:rsidRPr="000E280D">
              <w:rPr>
                <w:rFonts w:cs="Wingdings"/>
                <w:sz w:val="16"/>
                <w:szCs w:val="16"/>
                <w:lang w:eastAsia="tr-TR"/>
              </w:rPr>
              <w:t xml:space="preserve">of worker grievances </w:t>
            </w:r>
          </w:p>
          <w:p w14:paraId="2137A3C4" w14:textId="7B2B7B37" w:rsidR="00A019D6" w:rsidRPr="000E280D" w:rsidRDefault="1FE75218" w:rsidP="000E280D">
            <w:pPr>
              <w:numPr>
                <w:ilvl w:val="0"/>
                <w:numId w:val="7"/>
              </w:numPr>
              <w:autoSpaceDE w:val="0"/>
              <w:autoSpaceDN w:val="0"/>
              <w:adjustRightInd w:val="0"/>
              <w:spacing w:before="0" w:after="0" w:line="240" w:lineRule="auto"/>
              <w:ind w:left="181" w:hanging="181"/>
              <w:jc w:val="left"/>
              <w:rPr>
                <w:rFonts w:cs="Wingdings"/>
                <w:sz w:val="16"/>
                <w:szCs w:val="16"/>
                <w:lang w:eastAsia="tr-TR"/>
              </w:rPr>
            </w:pPr>
            <w:r w:rsidRPr="000E280D">
              <w:rPr>
                <w:rFonts w:cs="Arial"/>
                <w:sz w:val="16"/>
                <w:szCs w:val="16"/>
                <w:lang w:eastAsia="tr-TR"/>
              </w:rPr>
              <w:t xml:space="preserve">Percentage of closed grievances </w:t>
            </w:r>
            <w:r w:rsidR="006F4F3F" w:rsidRPr="000E280D">
              <w:rPr>
                <w:rFonts w:cs="Arial"/>
                <w:color w:val="000000" w:themeColor="text1"/>
                <w:sz w:val="16"/>
                <w:szCs w:val="16"/>
                <w:lang w:eastAsia="tr-TR"/>
              </w:rPr>
              <w:t>according to number of grievances</w:t>
            </w:r>
            <w:r w:rsidRPr="000E280D">
              <w:rPr>
                <w:rFonts w:cs="Arial"/>
                <w:sz w:val="16"/>
                <w:szCs w:val="16"/>
                <w:lang w:eastAsia="tr-TR"/>
              </w:rPr>
              <w:t xml:space="preserve"> within the target timeframe</w:t>
            </w:r>
          </w:p>
        </w:tc>
        <w:tc>
          <w:tcPr>
            <w:tcW w:w="276" w:type="pct"/>
          </w:tcPr>
          <w:p w14:paraId="6E925BE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No additional costs</w:t>
            </w:r>
          </w:p>
        </w:tc>
        <w:tc>
          <w:tcPr>
            <w:tcW w:w="344" w:type="pct"/>
          </w:tcPr>
          <w:p w14:paraId="7FDBEA74" w14:textId="6DFD7AE5" w:rsidR="00A019D6" w:rsidRPr="000E280D" w:rsidRDefault="00B561CF" w:rsidP="000E280D">
            <w:pPr>
              <w:spacing w:before="0" w:after="0" w:line="240" w:lineRule="auto"/>
              <w:jc w:val="left"/>
              <w:rPr>
                <w:rFonts w:cs="Wingdings"/>
                <w:sz w:val="16"/>
                <w:szCs w:val="16"/>
              </w:rPr>
            </w:pPr>
            <w:r w:rsidRPr="000E280D">
              <w:rPr>
                <w:rFonts w:cs="Wingdings"/>
                <w:sz w:val="16"/>
                <w:szCs w:val="16"/>
              </w:rPr>
              <w:t>TUIOSB</w:t>
            </w:r>
          </w:p>
          <w:p w14:paraId="32BE6000" w14:textId="77777777" w:rsidR="00A019D6" w:rsidRPr="000E280D" w:rsidRDefault="00A019D6" w:rsidP="000E280D">
            <w:pPr>
              <w:pStyle w:val="BodyText"/>
              <w:spacing w:before="40" w:after="40" w:line="240" w:lineRule="auto"/>
              <w:jc w:val="left"/>
              <w:rPr>
                <w:rFonts w:cs="Arial"/>
                <w:noProof w:val="0"/>
                <w:sz w:val="16"/>
                <w:szCs w:val="16"/>
              </w:rPr>
            </w:pPr>
            <w:r w:rsidRPr="000E280D">
              <w:rPr>
                <w:rFonts w:cs="Arial"/>
                <w:noProof w:val="0"/>
                <w:sz w:val="16"/>
                <w:szCs w:val="16"/>
              </w:rPr>
              <w:t>Contractors</w:t>
            </w:r>
          </w:p>
          <w:p w14:paraId="4C759D37" w14:textId="090E8D57"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 xml:space="preserve">Supervision </w:t>
            </w:r>
            <w:r w:rsidR="00A019D6" w:rsidRPr="000E280D">
              <w:rPr>
                <w:rFonts w:cs="Arial"/>
                <w:noProof w:val="0"/>
                <w:sz w:val="16"/>
                <w:szCs w:val="16"/>
              </w:rPr>
              <w:t>Consultant</w:t>
            </w:r>
          </w:p>
        </w:tc>
      </w:tr>
      <w:tr w:rsidR="002F61F4" w:rsidRPr="000E280D" w14:paraId="16CCB841" w14:textId="77777777" w:rsidTr="00270ACC">
        <w:tc>
          <w:tcPr>
            <w:tcW w:w="310" w:type="pct"/>
          </w:tcPr>
          <w:p w14:paraId="15CE2F74"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b/>
                <w:bCs/>
                <w:noProof w:val="0"/>
                <w:sz w:val="16"/>
                <w:szCs w:val="16"/>
              </w:rPr>
              <w:t>Occupational Health and Safety</w:t>
            </w:r>
          </w:p>
        </w:tc>
        <w:tc>
          <w:tcPr>
            <w:tcW w:w="446" w:type="pct"/>
          </w:tcPr>
          <w:p w14:paraId="21FF2758" w14:textId="77777777" w:rsidR="00A019D6" w:rsidRPr="000E280D" w:rsidRDefault="00A019D6" w:rsidP="000E280D">
            <w:pPr>
              <w:spacing w:before="0" w:after="0" w:line="240" w:lineRule="auto"/>
              <w:jc w:val="left"/>
              <w:rPr>
                <w:rFonts w:cs="Wingdings"/>
                <w:sz w:val="16"/>
                <w:szCs w:val="16"/>
              </w:rPr>
            </w:pPr>
            <w:r w:rsidRPr="000E280D">
              <w:rPr>
                <w:rFonts w:cs="Wingdings"/>
                <w:sz w:val="16"/>
                <w:szCs w:val="16"/>
              </w:rPr>
              <w:t>Project area</w:t>
            </w:r>
          </w:p>
          <w:p w14:paraId="54952945"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Settlements near the project area</w:t>
            </w:r>
          </w:p>
        </w:tc>
        <w:tc>
          <w:tcPr>
            <w:tcW w:w="417" w:type="pct"/>
          </w:tcPr>
          <w:p w14:paraId="795D0EC9"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Daily</w:t>
            </w:r>
          </w:p>
        </w:tc>
        <w:tc>
          <w:tcPr>
            <w:tcW w:w="344" w:type="pct"/>
          </w:tcPr>
          <w:p w14:paraId="020D233E"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Wingdings"/>
                <w:noProof w:val="0"/>
                <w:sz w:val="16"/>
                <w:szCs w:val="16"/>
              </w:rPr>
              <w:t>Safe conditions on the construction site</w:t>
            </w:r>
          </w:p>
          <w:p w14:paraId="4D0DBC7E"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Wingdings"/>
                <w:noProof w:val="0"/>
                <w:sz w:val="16"/>
                <w:szCs w:val="16"/>
              </w:rPr>
              <w:t xml:space="preserve">Risk analysis and procedures </w:t>
            </w:r>
          </w:p>
          <w:p w14:paraId="230505BE"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Wingdings"/>
                <w:noProof w:val="0"/>
                <w:sz w:val="16"/>
                <w:szCs w:val="16"/>
              </w:rPr>
              <w:t>Disease</w:t>
            </w:r>
          </w:p>
          <w:p w14:paraId="12BA1DF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Wingdings"/>
                <w:noProof w:val="0"/>
                <w:sz w:val="16"/>
                <w:szCs w:val="16"/>
              </w:rPr>
              <w:t>Incidents</w:t>
            </w:r>
          </w:p>
          <w:p w14:paraId="091B912D"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Wingdings"/>
                <w:noProof w:val="0"/>
                <w:sz w:val="16"/>
                <w:szCs w:val="16"/>
              </w:rPr>
              <w:t>Grievances</w:t>
            </w:r>
          </w:p>
          <w:p w14:paraId="019D3109"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Wingdings"/>
                <w:noProof w:val="0"/>
                <w:sz w:val="16"/>
                <w:szCs w:val="16"/>
              </w:rPr>
              <w:t>Toolbox talks and trainings</w:t>
            </w:r>
          </w:p>
          <w:p w14:paraId="066ED6E7"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Wingdings"/>
                <w:noProof w:val="0"/>
                <w:sz w:val="16"/>
                <w:szCs w:val="16"/>
              </w:rPr>
              <w:t>HSE Inspection</w:t>
            </w:r>
          </w:p>
          <w:p w14:paraId="65370AF9"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Wingdings"/>
                <w:noProof w:val="0"/>
                <w:sz w:val="16"/>
                <w:szCs w:val="16"/>
              </w:rPr>
              <w:t>Legal Requirements</w:t>
            </w:r>
          </w:p>
          <w:p w14:paraId="0BACDA7E"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EPRP</w:t>
            </w:r>
          </w:p>
        </w:tc>
        <w:tc>
          <w:tcPr>
            <w:tcW w:w="621" w:type="pct"/>
          </w:tcPr>
          <w:p w14:paraId="0146DACF"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On-site inspections</w:t>
            </w:r>
          </w:p>
          <w:p w14:paraId="1644F22C"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Interviews with employees</w:t>
            </w:r>
          </w:p>
          <w:p w14:paraId="6E0B3396"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Complaint records</w:t>
            </w:r>
          </w:p>
          <w:p w14:paraId="3EC6F046"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Training and toolbox records</w:t>
            </w:r>
          </w:p>
          <w:p w14:paraId="70FC8984"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Contract examples</w:t>
            </w:r>
          </w:p>
          <w:p w14:paraId="23346FDC"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Internal and external audits</w:t>
            </w:r>
          </w:p>
          <w:p w14:paraId="2DB41BC5"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Accident and near miss records</w:t>
            </w:r>
          </w:p>
          <w:p w14:paraId="719A2E07"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Wingdings"/>
                <w:sz w:val="16"/>
                <w:szCs w:val="16"/>
              </w:rPr>
              <w:t xml:space="preserve">Drill records </w:t>
            </w:r>
          </w:p>
          <w:p w14:paraId="42E4BE1A" w14:textId="77777777" w:rsidR="00A019D6" w:rsidRPr="000E280D" w:rsidRDefault="00A019D6" w:rsidP="000E280D">
            <w:pPr>
              <w:pStyle w:val="BodyText"/>
              <w:spacing w:before="40" w:after="40" w:line="240" w:lineRule="auto"/>
              <w:jc w:val="left"/>
              <w:rPr>
                <w:rFonts w:cs="Wingdings"/>
                <w:noProof w:val="0"/>
                <w:sz w:val="16"/>
                <w:szCs w:val="16"/>
              </w:rPr>
            </w:pPr>
          </w:p>
        </w:tc>
        <w:tc>
          <w:tcPr>
            <w:tcW w:w="758" w:type="pct"/>
          </w:tcPr>
          <w:p w14:paraId="5C5DB326" w14:textId="50C2AFDA" w:rsidR="00A019D6" w:rsidRPr="000E280D" w:rsidRDefault="00A019D6" w:rsidP="000E280D">
            <w:pPr>
              <w:pStyle w:val="BodyText"/>
              <w:spacing w:before="40" w:after="40" w:line="240" w:lineRule="auto"/>
              <w:jc w:val="left"/>
              <w:rPr>
                <w:rFonts w:cs="Wingdings"/>
                <w:noProof w:val="0"/>
                <w:sz w:val="16"/>
                <w:szCs w:val="16"/>
              </w:rPr>
            </w:pPr>
            <w:r w:rsidRPr="000E280D">
              <w:rPr>
                <w:rFonts w:cs="Wingdings"/>
                <w:noProof w:val="0"/>
                <w:sz w:val="16"/>
                <w:szCs w:val="16"/>
              </w:rPr>
              <w:t xml:space="preserve">The targets are expressed numerically in </w:t>
            </w:r>
            <w:r w:rsidRPr="000E280D">
              <w:rPr>
                <w:rFonts w:cs="Wingdings"/>
                <w:noProof w:val="0"/>
                <w:sz w:val="16"/>
                <w:szCs w:val="16"/>
              </w:rPr>
              <w:fldChar w:fldCharType="begin"/>
            </w:r>
            <w:r w:rsidRPr="000E280D">
              <w:rPr>
                <w:rFonts w:cs="Arial"/>
                <w:noProof w:val="0"/>
                <w:sz w:val="16"/>
                <w:szCs w:val="16"/>
              </w:rPr>
              <w:instrText xml:space="preserve"> REF _Ref93497815 \h  \* MERGEFORMAT </w:instrText>
            </w:r>
            <w:r w:rsidRPr="000E280D">
              <w:rPr>
                <w:rFonts w:cs="Wingdings"/>
                <w:noProof w:val="0"/>
                <w:sz w:val="16"/>
                <w:szCs w:val="16"/>
              </w:rPr>
            </w:r>
            <w:r w:rsidRPr="000E280D">
              <w:rPr>
                <w:rFonts w:cs="Wingdings"/>
                <w:noProof w:val="0"/>
                <w:sz w:val="16"/>
                <w:szCs w:val="16"/>
              </w:rPr>
              <w:fldChar w:fldCharType="separate"/>
            </w:r>
            <w:r w:rsidR="00CE3B94" w:rsidRPr="000E280D">
              <w:rPr>
                <w:rFonts w:cs="Arial"/>
                <w:noProof w:val="0"/>
                <w:sz w:val="16"/>
                <w:szCs w:val="16"/>
              </w:rPr>
              <w:t>Table 9</w:t>
            </w:r>
            <w:r w:rsidR="00CE3B94" w:rsidRPr="000E280D">
              <w:rPr>
                <w:rFonts w:cs="Arial"/>
                <w:noProof w:val="0"/>
                <w:sz w:val="16"/>
                <w:szCs w:val="16"/>
              </w:rPr>
              <w:noBreakHyphen/>
              <w:t>1</w:t>
            </w:r>
            <w:r w:rsidRPr="000E280D">
              <w:rPr>
                <w:rFonts w:cs="Wingdings"/>
                <w:noProof w:val="0"/>
                <w:sz w:val="16"/>
                <w:szCs w:val="16"/>
              </w:rPr>
              <w:fldChar w:fldCharType="end"/>
            </w:r>
            <w:r w:rsidRPr="000E280D">
              <w:rPr>
                <w:rFonts w:cs="Arial"/>
                <w:noProof w:val="0"/>
                <w:sz w:val="16"/>
                <w:szCs w:val="16"/>
              </w:rPr>
              <w:t xml:space="preserve">  </w:t>
            </w:r>
          </w:p>
        </w:tc>
        <w:tc>
          <w:tcPr>
            <w:tcW w:w="793" w:type="pct"/>
          </w:tcPr>
          <w:p w14:paraId="11AEB27E"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Occupational Health and Safety Law</w:t>
            </w:r>
          </w:p>
          <w:p w14:paraId="76023EA6"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Regulation on Emergency Responses at Workplaces</w:t>
            </w:r>
          </w:p>
          <w:p w14:paraId="4F2A4CF5"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Regulation on Fire Protection of Buildings</w:t>
            </w:r>
          </w:p>
          <w:p w14:paraId="24D72726"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Regulation on Health and Safety Signs</w:t>
            </w:r>
          </w:p>
          <w:p w14:paraId="6D05B5F8"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Regulation on Occupational Health and Safety Risk Assessment</w:t>
            </w:r>
          </w:p>
          <w:p w14:paraId="0F22CAC8"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Regulation on Occupational Hygiene Measurement, Test, and Analysis Laboratories</w:t>
            </w:r>
          </w:p>
          <w:p w14:paraId="44CA0C7C"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Regulation on the Health and Safety Measures to be Taken in the Workplace Buildings</w:t>
            </w:r>
          </w:p>
          <w:p w14:paraId="164DC2DF"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Regulation on First Aid</w:t>
            </w:r>
          </w:p>
          <w:p w14:paraId="4039A5FA"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Regulation on Procedures and Principles of Occupational Health and Safety Training of Employees</w:t>
            </w:r>
          </w:p>
          <w:p w14:paraId="7EA12DCD"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Regulation on Protection of Employees from Noise-Related Risks</w:t>
            </w:r>
          </w:p>
          <w:p w14:paraId="08670457" w14:textId="77777777" w:rsidR="00A019D6" w:rsidRPr="000E280D" w:rsidRDefault="1FE75218" w:rsidP="000E280D">
            <w:pPr>
              <w:numPr>
                <w:ilvl w:val="0"/>
                <w:numId w:val="7"/>
              </w:numPr>
              <w:spacing w:before="60" w:after="0" w:line="240" w:lineRule="auto"/>
              <w:ind w:left="106" w:hanging="182"/>
              <w:jc w:val="left"/>
              <w:rPr>
                <w:rFonts w:cs="Wingdings"/>
                <w:sz w:val="16"/>
                <w:szCs w:val="16"/>
              </w:rPr>
            </w:pPr>
            <w:r w:rsidRPr="000E280D">
              <w:rPr>
                <w:rFonts w:cs="Arial"/>
                <w:sz w:val="16"/>
                <w:szCs w:val="16"/>
              </w:rPr>
              <w:t>Regulation on Health and Safety Requirements for the Use of Work Equipment</w:t>
            </w:r>
          </w:p>
        </w:tc>
        <w:tc>
          <w:tcPr>
            <w:tcW w:w="691" w:type="pct"/>
          </w:tcPr>
          <w:p w14:paraId="731E429D"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 of scheduled HSE Inspection</w:t>
            </w:r>
          </w:p>
          <w:p w14:paraId="6AEE6609"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 of attendance at HSE meetings</w:t>
            </w:r>
          </w:p>
          <w:p w14:paraId="56CD61C7"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 of closing of NCRs</w:t>
            </w:r>
          </w:p>
          <w:p w14:paraId="202CE889"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Reporting safe observations</w:t>
            </w:r>
          </w:p>
          <w:p w14:paraId="75E1900E"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Reporting unsafe observations</w:t>
            </w:r>
          </w:p>
          <w:p w14:paraId="69606371"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Reporting near misses</w:t>
            </w:r>
          </w:p>
          <w:p w14:paraId="31D3D7B8"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 of Toolbox attending</w:t>
            </w:r>
          </w:p>
          <w:p w14:paraId="27077660"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 of Risk Assessment compliance</w:t>
            </w:r>
          </w:p>
          <w:p w14:paraId="6455141E"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 of Legal Requirements compliance</w:t>
            </w:r>
          </w:p>
          <w:p w14:paraId="0AB43B2F"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HSE training carried out to training matrix</w:t>
            </w:r>
          </w:p>
          <w:p w14:paraId="3F4F2755"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 xml:space="preserve"> &gt; 90% of all training to matrix</w:t>
            </w:r>
          </w:p>
          <w:p w14:paraId="5AA4B6A1"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 of attendance at scheduled trainings</w:t>
            </w:r>
          </w:p>
          <w:p w14:paraId="7BFF14A7"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Wingdings"/>
                <w:sz w:val="16"/>
                <w:szCs w:val="16"/>
              </w:rPr>
              <w:t xml:space="preserve">Engagement in HSE program by individual managers and supervisors </w:t>
            </w:r>
          </w:p>
          <w:p w14:paraId="03C84687" w14:textId="77777777" w:rsidR="00A019D6" w:rsidRPr="000E280D" w:rsidRDefault="1FE75218" w:rsidP="000E280D">
            <w:pPr>
              <w:numPr>
                <w:ilvl w:val="0"/>
                <w:numId w:val="7"/>
              </w:numPr>
              <w:spacing w:before="60" w:after="0" w:line="240" w:lineRule="auto"/>
              <w:ind w:left="92" w:hanging="182"/>
              <w:jc w:val="left"/>
              <w:rPr>
                <w:rFonts w:cs="Wingdings"/>
                <w:sz w:val="16"/>
                <w:szCs w:val="16"/>
              </w:rPr>
            </w:pPr>
            <w:r w:rsidRPr="000E280D">
              <w:rPr>
                <w:rFonts w:cs="Arial"/>
                <w:sz w:val="16"/>
                <w:szCs w:val="16"/>
              </w:rPr>
              <w:t>Engagement in HSE program by contractor’s</w:t>
            </w:r>
          </w:p>
        </w:tc>
        <w:tc>
          <w:tcPr>
            <w:tcW w:w="276" w:type="pct"/>
          </w:tcPr>
          <w:p w14:paraId="35466643"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No additional costs</w:t>
            </w:r>
          </w:p>
        </w:tc>
        <w:tc>
          <w:tcPr>
            <w:tcW w:w="344" w:type="pct"/>
          </w:tcPr>
          <w:p w14:paraId="68CDDB2C" w14:textId="034A0F65" w:rsidR="00A019D6" w:rsidRPr="000E280D" w:rsidRDefault="00B561CF" w:rsidP="000E280D">
            <w:pPr>
              <w:spacing w:before="0" w:after="0" w:line="240" w:lineRule="auto"/>
              <w:jc w:val="left"/>
              <w:rPr>
                <w:rFonts w:cs="Wingdings"/>
                <w:sz w:val="16"/>
                <w:szCs w:val="16"/>
              </w:rPr>
            </w:pPr>
            <w:r w:rsidRPr="000E280D">
              <w:rPr>
                <w:rFonts w:cs="Wingdings"/>
                <w:sz w:val="16"/>
                <w:szCs w:val="16"/>
              </w:rPr>
              <w:t>TUIOSB</w:t>
            </w:r>
          </w:p>
          <w:p w14:paraId="3C5E2816" w14:textId="77777777" w:rsidR="00A019D6" w:rsidRPr="000E280D" w:rsidRDefault="00A019D6" w:rsidP="000E280D">
            <w:pPr>
              <w:pStyle w:val="BodyText"/>
              <w:spacing w:before="40" w:after="40" w:line="240" w:lineRule="auto"/>
              <w:jc w:val="left"/>
              <w:rPr>
                <w:rFonts w:cs="Arial"/>
                <w:noProof w:val="0"/>
                <w:sz w:val="16"/>
                <w:szCs w:val="16"/>
              </w:rPr>
            </w:pPr>
            <w:r w:rsidRPr="000E280D">
              <w:rPr>
                <w:rFonts w:cs="Arial"/>
                <w:noProof w:val="0"/>
                <w:sz w:val="16"/>
                <w:szCs w:val="16"/>
              </w:rPr>
              <w:t>Contractors</w:t>
            </w:r>
          </w:p>
          <w:p w14:paraId="0334AC90" w14:textId="4EEADCCE"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 xml:space="preserve">Supervision </w:t>
            </w:r>
            <w:r w:rsidR="00A019D6" w:rsidRPr="000E280D">
              <w:rPr>
                <w:rFonts w:cs="Arial"/>
                <w:noProof w:val="0"/>
                <w:sz w:val="16"/>
                <w:szCs w:val="16"/>
              </w:rPr>
              <w:t>Consultant</w:t>
            </w:r>
          </w:p>
        </w:tc>
      </w:tr>
      <w:tr w:rsidR="002F61F4" w:rsidRPr="000E280D" w14:paraId="0D74C7D1" w14:textId="77777777" w:rsidTr="00270ACC">
        <w:tc>
          <w:tcPr>
            <w:tcW w:w="310" w:type="pct"/>
          </w:tcPr>
          <w:p w14:paraId="46C541F9"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Arial"/>
                <w:b/>
                <w:bCs/>
                <w:noProof w:val="0"/>
                <w:sz w:val="16"/>
                <w:szCs w:val="16"/>
              </w:rPr>
              <w:t>Community Health &amp; Safety</w:t>
            </w:r>
          </w:p>
        </w:tc>
        <w:tc>
          <w:tcPr>
            <w:tcW w:w="446" w:type="pct"/>
          </w:tcPr>
          <w:p w14:paraId="1880CC52"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Project area</w:t>
            </w:r>
          </w:p>
          <w:p w14:paraId="202B179E"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Arial"/>
                <w:noProof w:val="0"/>
                <w:color w:val="000000"/>
                <w:sz w:val="16"/>
                <w:szCs w:val="16"/>
              </w:rPr>
              <w:t>Residential areas around project area</w:t>
            </w:r>
          </w:p>
        </w:tc>
        <w:tc>
          <w:tcPr>
            <w:tcW w:w="417" w:type="pct"/>
          </w:tcPr>
          <w:p w14:paraId="3035DA39"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Arial"/>
                <w:noProof w:val="0"/>
                <w:color w:val="000000"/>
                <w:sz w:val="16"/>
                <w:szCs w:val="16"/>
              </w:rPr>
              <w:t>Daily</w:t>
            </w:r>
          </w:p>
        </w:tc>
        <w:tc>
          <w:tcPr>
            <w:tcW w:w="344" w:type="pct"/>
          </w:tcPr>
          <w:p w14:paraId="1D017DAC"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Wingdings"/>
                <w:noProof w:val="0"/>
                <w:sz w:val="16"/>
                <w:szCs w:val="16"/>
              </w:rPr>
              <w:t>Safety conditions at the site</w:t>
            </w:r>
          </w:p>
          <w:p w14:paraId="5D3EF577"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Wingdings"/>
                <w:noProof w:val="0"/>
                <w:sz w:val="16"/>
                <w:szCs w:val="16"/>
              </w:rPr>
              <w:t>Fencing of construction site</w:t>
            </w:r>
          </w:p>
          <w:p w14:paraId="535BC918"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Wingdings"/>
                <w:noProof w:val="0"/>
                <w:sz w:val="16"/>
                <w:szCs w:val="16"/>
              </w:rPr>
              <w:t>Warning signs and flashlights</w:t>
            </w:r>
          </w:p>
          <w:p w14:paraId="033E8905"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Wingdings"/>
                <w:noProof w:val="0"/>
                <w:sz w:val="16"/>
                <w:szCs w:val="16"/>
              </w:rPr>
              <w:t>Grievances</w:t>
            </w:r>
          </w:p>
          <w:p w14:paraId="111B3C7E"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Wingdings"/>
                <w:noProof w:val="0"/>
                <w:sz w:val="16"/>
                <w:szCs w:val="16"/>
              </w:rPr>
              <w:t>Incidents</w:t>
            </w:r>
          </w:p>
          <w:p w14:paraId="5CEC5FAD"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Arial"/>
                <w:noProof w:val="0"/>
                <w:sz w:val="16"/>
                <w:szCs w:val="16"/>
              </w:rPr>
              <w:t>Accidents</w:t>
            </w:r>
          </w:p>
        </w:tc>
        <w:tc>
          <w:tcPr>
            <w:tcW w:w="621" w:type="pct"/>
          </w:tcPr>
          <w:p w14:paraId="731F5FA3" w14:textId="77777777" w:rsidR="00A019D6" w:rsidRPr="000E280D" w:rsidRDefault="1FE75218" w:rsidP="000E280D">
            <w:pPr>
              <w:numPr>
                <w:ilvl w:val="0"/>
                <w:numId w:val="7"/>
              </w:numPr>
              <w:spacing w:before="60" w:after="0" w:line="240" w:lineRule="auto"/>
              <w:ind w:left="67" w:hanging="140"/>
              <w:jc w:val="left"/>
              <w:rPr>
                <w:rFonts w:cs="Wingdings"/>
                <w:color w:val="000000"/>
                <w:sz w:val="16"/>
                <w:szCs w:val="16"/>
              </w:rPr>
            </w:pPr>
            <w:r w:rsidRPr="000E280D">
              <w:rPr>
                <w:rFonts w:cs="Wingdings"/>
                <w:color w:val="000000" w:themeColor="text1"/>
                <w:sz w:val="16"/>
                <w:szCs w:val="16"/>
              </w:rPr>
              <w:t>Records of comments/ suggestions/ grievances</w:t>
            </w:r>
          </w:p>
          <w:p w14:paraId="15A4F0B8" w14:textId="77777777" w:rsidR="00A019D6" w:rsidRPr="000E280D" w:rsidRDefault="1FE75218" w:rsidP="000E280D">
            <w:pPr>
              <w:numPr>
                <w:ilvl w:val="0"/>
                <w:numId w:val="7"/>
              </w:numPr>
              <w:spacing w:before="60" w:after="0" w:line="240" w:lineRule="auto"/>
              <w:ind w:left="67" w:hanging="140"/>
              <w:jc w:val="left"/>
              <w:rPr>
                <w:rFonts w:cs="Wingdings"/>
                <w:color w:val="000000"/>
                <w:sz w:val="16"/>
                <w:szCs w:val="16"/>
              </w:rPr>
            </w:pPr>
            <w:r w:rsidRPr="000E280D">
              <w:rPr>
                <w:rFonts w:cs="Wingdings"/>
                <w:color w:val="000000" w:themeColor="text1"/>
                <w:sz w:val="16"/>
                <w:szCs w:val="16"/>
              </w:rPr>
              <w:t>Site Audits</w:t>
            </w:r>
          </w:p>
          <w:p w14:paraId="73B38A19" w14:textId="77777777" w:rsidR="00A019D6" w:rsidRPr="000E280D" w:rsidRDefault="1FE75218" w:rsidP="000E280D">
            <w:pPr>
              <w:numPr>
                <w:ilvl w:val="0"/>
                <w:numId w:val="7"/>
              </w:numPr>
              <w:spacing w:before="60" w:after="0" w:line="240" w:lineRule="auto"/>
              <w:ind w:left="67" w:hanging="140"/>
              <w:jc w:val="left"/>
              <w:rPr>
                <w:rFonts w:cs="Wingdings"/>
                <w:sz w:val="16"/>
                <w:szCs w:val="16"/>
              </w:rPr>
            </w:pPr>
            <w:r w:rsidRPr="000E280D">
              <w:rPr>
                <w:rFonts w:cs="Arial"/>
                <w:color w:val="000000" w:themeColor="text1"/>
                <w:sz w:val="16"/>
                <w:szCs w:val="16"/>
              </w:rPr>
              <w:t>Training records</w:t>
            </w:r>
          </w:p>
        </w:tc>
        <w:tc>
          <w:tcPr>
            <w:tcW w:w="758" w:type="pct"/>
          </w:tcPr>
          <w:p w14:paraId="45E2308B"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Wingdings"/>
                <w:noProof w:val="0"/>
                <w:sz w:val="16"/>
                <w:szCs w:val="16"/>
              </w:rPr>
              <w:t>Decreasing number/ continuous improvement in number of complaints</w:t>
            </w:r>
          </w:p>
          <w:p w14:paraId="116D107A"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Wingdings"/>
                <w:noProof w:val="0"/>
                <w:sz w:val="16"/>
                <w:szCs w:val="16"/>
              </w:rPr>
              <w:t>Zero incidents per year</w:t>
            </w:r>
          </w:p>
          <w:p w14:paraId="201DD2D7" w14:textId="77777777" w:rsidR="00A019D6" w:rsidRPr="000E280D" w:rsidRDefault="00A019D6" w:rsidP="000E280D">
            <w:pPr>
              <w:pStyle w:val="BodyText"/>
              <w:keepNext/>
              <w:spacing w:before="40" w:after="40" w:line="240" w:lineRule="auto"/>
              <w:jc w:val="left"/>
              <w:rPr>
                <w:rFonts w:cs="Wingdings"/>
                <w:noProof w:val="0"/>
                <w:sz w:val="16"/>
                <w:szCs w:val="16"/>
              </w:rPr>
            </w:pPr>
          </w:p>
        </w:tc>
        <w:tc>
          <w:tcPr>
            <w:tcW w:w="793" w:type="pct"/>
          </w:tcPr>
          <w:p w14:paraId="332E56A0" w14:textId="77777777" w:rsidR="00A019D6" w:rsidRPr="000E280D" w:rsidRDefault="1FE75218" w:rsidP="000E280D">
            <w:pPr>
              <w:keepNext/>
              <w:numPr>
                <w:ilvl w:val="0"/>
                <w:numId w:val="7"/>
              </w:numPr>
              <w:spacing w:before="60" w:after="0" w:line="240" w:lineRule="auto"/>
              <w:ind w:left="92" w:hanging="182"/>
              <w:jc w:val="left"/>
              <w:rPr>
                <w:rFonts w:cs="Wingdings"/>
                <w:color w:val="000000"/>
                <w:sz w:val="16"/>
                <w:szCs w:val="16"/>
              </w:rPr>
            </w:pPr>
            <w:r w:rsidRPr="000E280D">
              <w:rPr>
                <w:rFonts w:cs="Wingdings"/>
                <w:color w:val="000000" w:themeColor="text1"/>
                <w:sz w:val="16"/>
                <w:szCs w:val="16"/>
              </w:rPr>
              <w:t>Public Health Law</w:t>
            </w:r>
          </w:p>
          <w:p w14:paraId="13BE0DC5" w14:textId="77777777" w:rsidR="00A019D6" w:rsidRPr="000E280D" w:rsidRDefault="1FE75218" w:rsidP="000E280D">
            <w:pPr>
              <w:keepNext/>
              <w:numPr>
                <w:ilvl w:val="0"/>
                <w:numId w:val="7"/>
              </w:numPr>
              <w:spacing w:before="60" w:after="0" w:line="240" w:lineRule="auto"/>
              <w:ind w:left="92" w:hanging="182"/>
              <w:jc w:val="left"/>
              <w:rPr>
                <w:rFonts w:cs="Wingdings"/>
                <w:sz w:val="16"/>
                <w:szCs w:val="16"/>
              </w:rPr>
            </w:pPr>
            <w:r w:rsidRPr="000E280D">
              <w:rPr>
                <w:rFonts w:cs="Arial"/>
                <w:color w:val="000000" w:themeColor="text1"/>
                <w:sz w:val="16"/>
                <w:szCs w:val="16"/>
              </w:rPr>
              <w:t>Health and Safety Signs Regulation</w:t>
            </w:r>
          </w:p>
        </w:tc>
        <w:tc>
          <w:tcPr>
            <w:tcW w:w="691" w:type="pct"/>
          </w:tcPr>
          <w:p w14:paraId="7D2309A4" w14:textId="4158A743" w:rsidR="00A019D6" w:rsidRPr="000E280D" w:rsidRDefault="00A00483" w:rsidP="000E280D">
            <w:pPr>
              <w:keepNext/>
              <w:numPr>
                <w:ilvl w:val="0"/>
                <w:numId w:val="7"/>
              </w:numPr>
              <w:spacing w:before="60" w:after="0" w:line="240" w:lineRule="auto"/>
              <w:ind w:left="92" w:hanging="182"/>
              <w:jc w:val="left"/>
              <w:rPr>
                <w:rFonts w:cs="Wingdings"/>
                <w:color w:val="000000"/>
                <w:sz w:val="16"/>
                <w:szCs w:val="16"/>
              </w:rPr>
            </w:pPr>
            <w:r w:rsidRPr="000E280D">
              <w:rPr>
                <w:rFonts w:cs="Wingdings"/>
                <w:color w:val="000000" w:themeColor="text1"/>
                <w:sz w:val="16"/>
                <w:szCs w:val="16"/>
              </w:rPr>
              <w:t>Minimum n</w:t>
            </w:r>
            <w:r w:rsidR="1FE75218" w:rsidRPr="000E280D">
              <w:rPr>
                <w:rFonts w:cs="Wingdings"/>
                <w:color w:val="000000" w:themeColor="text1"/>
                <w:sz w:val="16"/>
                <w:szCs w:val="16"/>
              </w:rPr>
              <w:t>umber of communicable and non-communicable diseases and injuries.</w:t>
            </w:r>
          </w:p>
          <w:p w14:paraId="4435D8EE" w14:textId="01158FC8" w:rsidR="00A019D6" w:rsidRPr="000E280D" w:rsidRDefault="00A00483" w:rsidP="000E280D">
            <w:pPr>
              <w:keepNext/>
              <w:numPr>
                <w:ilvl w:val="0"/>
                <w:numId w:val="7"/>
              </w:numPr>
              <w:spacing w:before="60" w:after="0" w:line="240" w:lineRule="auto"/>
              <w:ind w:left="92" w:hanging="182"/>
              <w:jc w:val="left"/>
              <w:rPr>
                <w:rFonts w:cs="Wingdings"/>
                <w:color w:val="000000"/>
                <w:sz w:val="16"/>
                <w:szCs w:val="16"/>
              </w:rPr>
            </w:pPr>
            <w:r w:rsidRPr="000E280D">
              <w:rPr>
                <w:rFonts w:cs="Wingdings"/>
                <w:color w:val="000000" w:themeColor="text1"/>
                <w:sz w:val="16"/>
                <w:szCs w:val="16"/>
              </w:rPr>
              <w:t>Minimum n</w:t>
            </w:r>
            <w:r w:rsidR="1FE75218" w:rsidRPr="000E280D">
              <w:rPr>
                <w:rFonts w:cs="Wingdings"/>
                <w:color w:val="000000" w:themeColor="text1"/>
                <w:sz w:val="16"/>
                <w:szCs w:val="16"/>
              </w:rPr>
              <w:t>umber of community health safety &amp; security complaints from local communities as recorded in the grievance management system.</w:t>
            </w:r>
          </w:p>
          <w:p w14:paraId="60D00225" w14:textId="3339A859" w:rsidR="00A019D6" w:rsidRPr="000E280D" w:rsidRDefault="00FA50B9" w:rsidP="000E280D">
            <w:pPr>
              <w:keepNext/>
              <w:numPr>
                <w:ilvl w:val="0"/>
                <w:numId w:val="7"/>
              </w:numPr>
              <w:spacing w:before="60" w:after="0" w:line="240" w:lineRule="auto"/>
              <w:ind w:left="92" w:hanging="182"/>
              <w:jc w:val="left"/>
              <w:rPr>
                <w:rFonts w:cs="Wingdings"/>
                <w:color w:val="000000"/>
                <w:sz w:val="16"/>
                <w:szCs w:val="16"/>
              </w:rPr>
            </w:pPr>
            <w:r w:rsidRPr="000E280D">
              <w:rPr>
                <w:rFonts w:cs="Wingdings"/>
                <w:color w:val="000000" w:themeColor="text1"/>
                <w:sz w:val="16"/>
                <w:szCs w:val="16"/>
              </w:rPr>
              <w:t>Minimum n</w:t>
            </w:r>
            <w:r w:rsidR="1FE75218" w:rsidRPr="000E280D">
              <w:rPr>
                <w:rFonts w:cs="Wingdings"/>
                <w:color w:val="000000" w:themeColor="text1"/>
                <w:sz w:val="16"/>
                <w:szCs w:val="16"/>
              </w:rPr>
              <w:t>umber of reported community health &amp; safety incidents</w:t>
            </w:r>
          </w:p>
          <w:p w14:paraId="26EF1D8F" w14:textId="45FC3D1E" w:rsidR="00A019D6" w:rsidRPr="000E280D" w:rsidRDefault="00FA50B9" w:rsidP="000E280D">
            <w:pPr>
              <w:keepNext/>
              <w:numPr>
                <w:ilvl w:val="0"/>
                <w:numId w:val="7"/>
              </w:numPr>
              <w:spacing w:before="60" w:after="0" w:line="240" w:lineRule="auto"/>
              <w:ind w:left="92" w:hanging="182"/>
              <w:jc w:val="left"/>
              <w:rPr>
                <w:rFonts w:cs="Wingdings"/>
                <w:sz w:val="16"/>
                <w:szCs w:val="16"/>
              </w:rPr>
            </w:pPr>
            <w:r w:rsidRPr="000E280D">
              <w:rPr>
                <w:rFonts w:cs="Arial"/>
                <w:sz w:val="16"/>
                <w:szCs w:val="16"/>
              </w:rPr>
              <w:t>Minimum n</w:t>
            </w:r>
            <w:r w:rsidR="1FE75218" w:rsidRPr="000E280D">
              <w:rPr>
                <w:rFonts w:cs="Arial"/>
                <w:sz w:val="16"/>
                <w:szCs w:val="16"/>
              </w:rPr>
              <w:t>umber of reported noise incidents</w:t>
            </w:r>
          </w:p>
        </w:tc>
        <w:tc>
          <w:tcPr>
            <w:tcW w:w="276" w:type="pct"/>
          </w:tcPr>
          <w:p w14:paraId="3E4DC1CE"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4810C0EB" w14:textId="095DA61A" w:rsidR="00A019D6" w:rsidRPr="000E280D" w:rsidRDefault="00B561CF" w:rsidP="000E280D">
            <w:pPr>
              <w:keepNext/>
              <w:spacing w:before="0" w:after="0" w:line="240" w:lineRule="auto"/>
              <w:jc w:val="left"/>
              <w:rPr>
                <w:rFonts w:cs="Wingdings"/>
                <w:color w:val="000000"/>
                <w:sz w:val="16"/>
                <w:szCs w:val="16"/>
              </w:rPr>
            </w:pPr>
            <w:r w:rsidRPr="000E280D">
              <w:rPr>
                <w:rFonts w:cs="Wingdings"/>
                <w:color w:val="000000"/>
                <w:sz w:val="16"/>
                <w:szCs w:val="16"/>
              </w:rPr>
              <w:t>TUIOSB</w:t>
            </w:r>
          </w:p>
          <w:p w14:paraId="45C5E358" w14:textId="77777777" w:rsidR="00A019D6" w:rsidRPr="000E280D" w:rsidRDefault="00A019D6" w:rsidP="000E280D">
            <w:pPr>
              <w:pStyle w:val="BodyText"/>
              <w:keepN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53AF76FE" w14:textId="56DD8F60" w:rsidR="00A019D6" w:rsidRPr="000E280D" w:rsidRDefault="00EB5215" w:rsidP="000E280D">
            <w:pPr>
              <w:pStyle w:val="BodyText"/>
              <w:keepN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32D5ED98" w14:textId="77777777" w:rsidTr="00270ACC">
        <w:tc>
          <w:tcPr>
            <w:tcW w:w="310" w:type="pct"/>
          </w:tcPr>
          <w:p w14:paraId="542252B9" w14:textId="728DBE10" w:rsidR="00A019D6" w:rsidRPr="000E280D" w:rsidRDefault="00A019D6" w:rsidP="000E280D">
            <w:pPr>
              <w:pStyle w:val="BodyText"/>
              <w:spacing w:before="40" w:after="40" w:line="240" w:lineRule="auto"/>
              <w:jc w:val="left"/>
              <w:rPr>
                <w:rFonts w:cs="Wingdings"/>
                <w:noProof w:val="0"/>
                <w:sz w:val="16"/>
                <w:szCs w:val="16"/>
              </w:rPr>
            </w:pPr>
            <w:r w:rsidRPr="000E280D">
              <w:rPr>
                <w:rFonts w:cs="Arial"/>
                <w:b/>
                <w:bCs/>
                <w:noProof w:val="0"/>
                <w:sz w:val="16"/>
                <w:szCs w:val="16"/>
              </w:rPr>
              <w:t>Documentation</w:t>
            </w:r>
          </w:p>
        </w:tc>
        <w:tc>
          <w:tcPr>
            <w:tcW w:w="446" w:type="pct"/>
          </w:tcPr>
          <w:p w14:paraId="43CC6D15"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Project area</w:t>
            </w:r>
          </w:p>
        </w:tc>
        <w:tc>
          <w:tcPr>
            <w:tcW w:w="417" w:type="pct"/>
          </w:tcPr>
          <w:p w14:paraId="14818B5C" w14:textId="78C1849E" w:rsidR="00A019D6" w:rsidRPr="000E280D" w:rsidRDefault="00A019D6" w:rsidP="000E280D">
            <w:pPr>
              <w:pStyle w:val="BodyText"/>
              <w:spacing w:before="40" w:after="40" w:line="240" w:lineRule="auto"/>
              <w:jc w:val="left"/>
              <w:rPr>
                <w:rFonts w:cs="Wingdings"/>
                <w:noProof w:val="0"/>
                <w:color w:val="000000"/>
                <w:sz w:val="16"/>
                <w:szCs w:val="16"/>
              </w:rPr>
            </w:pPr>
            <w:r w:rsidRPr="000E280D">
              <w:rPr>
                <w:rFonts w:cs="Arial"/>
                <w:noProof w:val="0"/>
                <w:color w:val="000000"/>
                <w:sz w:val="16"/>
                <w:szCs w:val="16"/>
              </w:rPr>
              <w:t xml:space="preserve">During the construction period, the contractor will report the </w:t>
            </w:r>
            <w:r w:rsidR="00946C02" w:rsidRPr="000E280D">
              <w:rPr>
                <w:rFonts w:cs="Arial"/>
                <w:noProof w:val="0"/>
                <w:color w:val="000000"/>
                <w:sz w:val="16"/>
                <w:szCs w:val="16"/>
              </w:rPr>
              <w:t xml:space="preserve">ESPRs </w:t>
            </w:r>
            <w:r w:rsidRPr="000E280D">
              <w:rPr>
                <w:rFonts w:cs="Arial"/>
                <w:noProof w:val="0"/>
                <w:color w:val="000000"/>
                <w:sz w:val="16"/>
                <w:szCs w:val="16"/>
              </w:rPr>
              <w:t xml:space="preserve">monthly to the </w:t>
            </w:r>
            <w:r w:rsidR="00B561CF" w:rsidRPr="000E280D">
              <w:rPr>
                <w:rFonts w:cs="Arial"/>
                <w:noProof w:val="0"/>
                <w:color w:val="000000"/>
                <w:sz w:val="16"/>
                <w:szCs w:val="16"/>
              </w:rPr>
              <w:t>TUIOSB</w:t>
            </w:r>
            <w:r w:rsidRPr="000E280D">
              <w:rPr>
                <w:rFonts w:cs="Arial"/>
                <w:noProof w:val="0"/>
                <w:color w:val="000000"/>
                <w:sz w:val="16"/>
                <w:szCs w:val="16"/>
              </w:rPr>
              <w:t xml:space="preserve">, the </w:t>
            </w:r>
            <w:r w:rsidR="00B561CF" w:rsidRPr="000E280D">
              <w:rPr>
                <w:rFonts w:cs="Arial"/>
                <w:noProof w:val="0"/>
                <w:color w:val="000000"/>
                <w:sz w:val="16"/>
                <w:szCs w:val="16"/>
              </w:rPr>
              <w:t>TUIOSB</w:t>
            </w:r>
            <w:r w:rsidRPr="000E280D">
              <w:rPr>
                <w:rFonts w:cs="Arial"/>
                <w:noProof w:val="0"/>
                <w:color w:val="000000"/>
                <w:sz w:val="16"/>
                <w:szCs w:val="16"/>
              </w:rPr>
              <w:t xml:space="preserve"> to MoIT every monthly together with the Grievance Register. Moreover, MoIT, will compile these </w:t>
            </w:r>
            <w:r w:rsidRPr="000E280D">
              <w:rPr>
                <w:rFonts w:cs="Arial"/>
                <w:noProof w:val="0"/>
                <w:color w:val="000000"/>
                <w:sz w:val="16"/>
                <w:szCs w:val="16"/>
              </w:rPr>
              <w:lastRenderedPageBreak/>
              <w:t xml:space="preserve">ESMRs and report them to WB </w:t>
            </w:r>
            <w:r w:rsidRPr="000E280D">
              <w:rPr>
                <w:noProof w:val="0"/>
                <w:color w:val="000000"/>
                <w:sz w:val="16"/>
                <w:szCs w:val="16"/>
              </w:rPr>
              <w:t>biannually</w:t>
            </w:r>
            <w:r w:rsidRPr="000E280D">
              <w:rPr>
                <w:rFonts w:cs="Arial"/>
                <w:noProof w:val="0"/>
                <w:color w:val="000000"/>
                <w:sz w:val="16"/>
                <w:szCs w:val="16"/>
              </w:rPr>
              <w:t xml:space="preserve"> together with the Project Progress Report.</w:t>
            </w:r>
          </w:p>
        </w:tc>
        <w:tc>
          <w:tcPr>
            <w:tcW w:w="344" w:type="pct"/>
          </w:tcPr>
          <w:p w14:paraId="48CBFBE6"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lastRenderedPageBreak/>
              <w:t>N/A</w:t>
            </w:r>
          </w:p>
        </w:tc>
        <w:tc>
          <w:tcPr>
            <w:tcW w:w="621" w:type="pct"/>
          </w:tcPr>
          <w:p w14:paraId="548B783A" w14:textId="77777777" w:rsidR="00A019D6" w:rsidRPr="000E280D" w:rsidRDefault="1FE75218" w:rsidP="000E280D">
            <w:pPr>
              <w:numPr>
                <w:ilvl w:val="0"/>
                <w:numId w:val="7"/>
              </w:numPr>
              <w:spacing w:before="60" w:after="0" w:line="240" w:lineRule="auto"/>
              <w:ind w:left="67" w:hanging="140"/>
              <w:jc w:val="left"/>
              <w:rPr>
                <w:rFonts w:cs="Wingdings"/>
                <w:color w:val="000000"/>
                <w:sz w:val="16"/>
                <w:szCs w:val="16"/>
              </w:rPr>
            </w:pPr>
            <w:r w:rsidRPr="000E280D">
              <w:rPr>
                <w:rFonts w:cs="Wingdings"/>
                <w:color w:val="000000" w:themeColor="text1"/>
                <w:sz w:val="16"/>
                <w:szCs w:val="16"/>
              </w:rPr>
              <w:t>On-site inspection</w:t>
            </w:r>
          </w:p>
          <w:p w14:paraId="05902277" w14:textId="77777777" w:rsidR="00A019D6" w:rsidRPr="000E280D" w:rsidRDefault="1FE75218" w:rsidP="000E280D">
            <w:pPr>
              <w:numPr>
                <w:ilvl w:val="0"/>
                <w:numId w:val="7"/>
              </w:numPr>
              <w:spacing w:before="60" w:after="0" w:line="240" w:lineRule="auto"/>
              <w:ind w:left="67" w:hanging="140"/>
              <w:jc w:val="left"/>
              <w:rPr>
                <w:rFonts w:cs="Wingdings"/>
                <w:color w:val="000000"/>
                <w:sz w:val="16"/>
                <w:szCs w:val="16"/>
              </w:rPr>
            </w:pPr>
            <w:r w:rsidRPr="000E280D">
              <w:rPr>
                <w:rFonts w:cs="Arial"/>
                <w:color w:val="000000" w:themeColor="text1"/>
                <w:sz w:val="16"/>
                <w:szCs w:val="16"/>
              </w:rPr>
              <w:t>Record control</w:t>
            </w:r>
          </w:p>
        </w:tc>
        <w:tc>
          <w:tcPr>
            <w:tcW w:w="758" w:type="pct"/>
          </w:tcPr>
          <w:p w14:paraId="0586D719"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N/A</w:t>
            </w:r>
          </w:p>
        </w:tc>
        <w:tc>
          <w:tcPr>
            <w:tcW w:w="793" w:type="pct"/>
          </w:tcPr>
          <w:p w14:paraId="20F67F79"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WB ESS-10</w:t>
            </w:r>
          </w:p>
        </w:tc>
        <w:tc>
          <w:tcPr>
            <w:tcW w:w="691" w:type="pct"/>
          </w:tcPr>
          <w:p w14:paraId="2B8510F0"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N/A</w:t>
            </w:r>
          </w:p>
        </w:tc>
        <w:tc>
          <w:tcPr>
            <w:tcW w:w="276" w:type="pct"/>
          </w:tcPr>
          <w:p w14:paraId="2AE781B5"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0E67D147" w14:textId="36B82AFB" w:rsidR="00A019D6" w:rsidRPr="000E280D" w:rsidRDefault="00B561CF"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3FD44013" w14:textId="77777777" w:rsidR="00A019D6" w:rsidRPr="000E280D" w:rsidRDefault="00A019D6" w:rsidP="000E280D">
            <w:pPr>
              <w:pStyle w:val="BodyText"/>
              <w:spacing w:before="40" w:after="40" w:line="240" w:lineRule="auto"/>
              <w:jc w:val="left"/>
              <w:rPr>
                <w:rFonts w:cs="Wingdings"/>
                <w:noProof w:val="0"/>
                <w:color w:val="000000"/>
                <w:sz w:val="16"/>
                <w:szCs w:val="16"/>
              </w:rPr>
            </w:pPr>
            <w:r w:rsidRPr="000E280D">
              <w:rPr>
                <w:rFonts w:cs="Wingdings"/>
                <w:noProof w:val="0"/>
                <w:color w:val="000000"/>
                <w:sz w:val="16"/>
                <w:szCs w:val="16"/>
              </w:rPr>
              <w:t>Contractors</w:t>
            </w:r>
          </w:p>
          <w:p w14:paraId="4CAAE3FB" w14:textId="0026950C" w:rsidR="00A019D6" w:rsidRPr="000E280D" w:rsidRDefault="00EB5215" w:rsidP="000E280D">
            <w:pPr>
              <w:pStyle w:val="BodyText"/>
              <w:spacing w:before="40" w:after="40" w:line="240" w:lineRule="auto"/>
              <w:jc w:val="left"/>
              <w:rPr>
                <w:rFonts w:cs="Wingdings"/>
                <w:noProof w:val="0"/>
                <w:color w:val="00000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p w14:paraId="52F8EE2C" w14:textId="77777777" w:rsidR="00A019D6" w:rsidRPr="000E280D" w:rsidRDefault="00A019D6" w:rsidP="000E280D">
            <w:pPr>
              <w:pStyle w:val="BodyText"/>
              <w:spacing w:before="40" w:after="40" w:line="240" w:lineRule="auto"/>
              <w:jc w:val="left"/>
              <w:rPr>
                <w:rFonts w:cs="Wingdings"/>
                <w:noProof w:val="0"/>
                <w:sz w:val="16"/>
                <w:szCs w:val="16"/>
              </w:rPr>
            </w:pPr>
          </w:p>
        </w:tc>
      </w:tr>
      <w:tr w:rsidR="002F61F4" w:rsidRPr="000E280D" w14:paraId="0CB5203D" w14:textId="77777777" w:rsidTr="00270ACC">
        <w:tc>
          <w:tcPr>
            <w:tcW w:w="310" w:type="pct"/>
          </w:tcPr>
          <w:p w14:paraId="5408B15D" w14:textId="25AE1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b/>
                <w:bCs/>
                <w:noProof w:val="0"/>
                <w:sz w:val="16"/>
                <w:szCs w:val="16"/>
              </w:rPr>
              <w:t>Land Use</w:t>
            </w:r>
          </w:p>
        </w:tc>
        <w:tc>
          <w:tcPr>
            <w:tcW w:w="446" w:type="pct"/>
          </w:tcPr>
          <w:p w14:paraId="6C89321F"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Project area</w:t>
            </w:r>
          </w:p>
          <w:p w14:paraId="6654BA55"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Settlements near the project area</w:t>
            </w:r>
          </w:p>
        </w:tc>
        <w:tc>
          <w:tcPr>
            <w:tcW w:w="417" w:type="pct"/>
          </w:tcPr>
          <w:p w14:paraId="5B7D3E7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Monthly</w:t>
            </w:r>
          </w:p>
        </w:tc>
        <w:tc>
          <w:tcPr>
            <w:tcW w:w="344" w:type="pct"/>
          </w:tcPr>
          <w:p w14:paraId="6ED1870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Grievance Records</w:t>
            </w:r>
          </w:p>
        </w:tc>
        <w:tc>
          <w:tcPr>
            <w:tcW w:w="621" w:type="pct"/>
          </w:tcPr>
          <w:p w14:paraId="773551A2" w14:textId="77777777" w:rsidR="00A019D6" w:rsidRPr="000E280D" w:rsidRDefault="1FE75218" w:rsidP="000E280D">
            <w:pPr>
              <w:numPr>
                <w:ilvl w:val="0"/>
                <w:numId w:val="7"/>
              </w:numPr>
              <w:spacing w:before="60" w:after="0" w:line="240" w:lineRule="auto"/>
              <w:ind w:left="67" w:hanging="140"/>
              <w:jc w:val="left"/>
              <w:rPr>
                <w:rFonts w:cs="Wingdings"/>
                <w:color w:val="000000"/>
                <w:sz w:val="16"/>
                <w:szCs w:val="16"/>
              </w:rPr>
            </w:pPr>
            <w:r w:rsidRPr="000E280D">
              <w:rPr>
                <w:rFonts w:cs="Wingdings"/>
                <w:color w:val="000000" w:themeColor="text1"/>
                <w:sz w:val="16"/>
                <w:szCs w:val="16"/>
              </w:rPr>
              <w:t>Grievance mechanism</w:t>
            </w:r>
          </w:p>
          <w:p w14:paraId="5389A212" w14:textId="77777777" w:rsidR="00A019D6" w:rsidRPr="000E280D" w:rsidRDefault="1FE75218" w:rsidP="000E280D">
            <w:pPr>
              <w:numPr>
                <w:ilvl w:val="0"/>
                <w:numId w:val="7"/>
              </w:numPr>
              <w:spacing w:before="60" w:after="0" w:line="240" w:lineRule="auto"/>
              <w:ind w:left="67" w:hanging="140"/>
              <w:jc w:val="left"/>
              <w:rPr>
                <w:sz w:val="16"/>
                <w:szCs w:val="16"/>
              </w:rPr>
            </w:pPr>
            <w:r w:rsidRPr="000E280D">
              <w:rPr>
                <w:rFonts w:cs="Arial"/>
                <w:color w:val="000000" w:themeColor="text1"/>
                <w:sz w:val="16"/>
                <w:szCs w:val="16"/>
              </w:rPr>
              <w:t>Compensation for unintended damages to land and structures during construction</w:t>
            </w:r>
          </w:p>
        </w:tc>
        <w:tc>
          <w:tcPr>
            <w:tcW w:w="758" w:type="pct"/>
          </w:tcPr>
          <w:p w14:paraId="621B6DDF" w14:textId="3309AC51" w:rsidR="00A019D6" w:rsidRPr="000E280D" w:rsidRDefault="00196DDA" w:rsidP="000E280D">
            <w:pPr>
              <w:pStyle w:val="BodyText"/>
              <w:spacing w:before="40" w:after="40" w:line="240" w:lineRule="auto"/>
              <w:jc w:val="left"/>
              <w:rPr>
                <w:rFonts w:cs="Wingdings"/>
                <w:noProof w:val="0"/>
                <w:sz w:val="16"/>
                <w:szCs w:val="16"/>
              </w:rPr>
            </w:pPr>
            <w:r w:rsidRPr="000E280D">
              <w:rPr>
                <w:rStyle w:val="cf01"/>
                <w:sz w:val="16"/>
                <w:szCs w:val="16"/>
              </w:rPr>
              <w:t>All grievances closed-out within the target timeframe</w:t>
            </w:r>
          </w:p>
        </w:tc>
        <w:tc>
          <w:tcPr>
            <w:tcW w:w="793" w:type="pct"/>
          </w:tcPr>
          <w:p w14:paraId="5152DBFA" w14:textId="77777777" w:rsidR="00A019D6" w:rsidRPr="000E280D" w:rsidRDefault="1FE75218" w:rsidP="000E280D">
            <w:pPr>
              <w:numPr>
                <w:ilvl w:val="0"/>
                <w:numId w:val="7"/>
              </w:numPr>
              <w:spacing w:before="60" w:after="0" w:line="240" w:lineRule="auto"/>
              <w:ind w:left="106" w:hanging="182"/>
              <w:jc w:val="left"/>
              <w:rPr>
                <w:rFonts w:cs="Wingdings"/>
                <w:color w:val="000000"/>
                <w:sz w:val="16"/>
                <w:szCs w:val="16"/>
              </w:rPr>
            </w:pPr>
            <w:r w:rsidRPr="000E280D">
              <w:rPr>
                <w:rFonts w:cs="Wingdings"/>
                <w:color w:val="000000" w:themeColor="text1"/>
                <w:sz w:val="16"/>
                <w:szCs w:val="16"/>
              </w:rPr>
              <w:t>WB ESS-5</w:t>
            </w:r>
          </w:p>
          <w:p w14:paraId="72CDE919" w14:textId="77777777" w:rsidR="00A019D6" w:rsidRPr="000E280D" w:rsidRDefault="1FE75218" w:rsidP="000E280D">
            <w:pPr>
              <w:numPr>
                <w:ilvl w:val="0"/>
                <w:numId w:val="7"/>
              </w:numPr>
              <w:spacing w:before="60" w:after="0" w:line="240" w:lineRule="auto"/>
              <w:ind w:left="106" w:hanging="182"/>
              <w:jc w:val="left"/>
              <w:rPr>
                <w:rFonts w:cs="Wingdings"/>
                <w:sz w:val="16"/>
                <w:szCs w:val="16"/>
              </w:rPr>
            </w:pPr>
            <w:r w:rsidRPr="000E280D">
              <w:rPr>
                <w:rFonts w:cs="Arial"/>
                <w:color w:val="000000" w:themeColor="text1"/>
                <w:sz w:val="16"/>
                <w:szCs w:val="16"/>
              </w:rPr>
              <w:t>Soil Conservation and Land Use Law No. 5400</w:t>
            </w:r>
          </w:p>
        </w:tc>
        <w:tc>
          <w:tcPr>
            <w:tcW w:w="691" w:type="pct"/>
          </w:tcPr>
          <w:p w14:paraId="6A580BC9" w14:textId="31F406E5" w:rsidR="00A019D6" w:rsidRPr="000E280D" w:rsidRDefault="001020B8" w:rsidP="000E280D">
            <w:pPr>
              <w:numPr>
                <w:ilvl w:val="0"/>
                <w:numId w:val="7"/>
              </w:numPr>
              <w:autoSpaceDE w:val="0"/>
              <w:autoSpaceDN w:val="0"/>
              <w:adjustRightInd w:val="0"/>
              <w:spacing w:before="0" w:after="0" w:line="240" w:lineRule="auto"/>
              <w:ind w:left="181" w:hanging="181"/>
              <w:jc w:val="left"/>
              <w:rPr>
                <w:rFonts w:cs="Wingdings"/>
                <w:color w:val="000000"/>
                <w:sz w:val="16"/>
                <w:szCs w:val="16"/>
                <w:lang w:eastAsia="en-US"/>
              </w:rPr>
            </w:pPr>
            <w:r w:rsidRPr="000E280D">
              <w:rPr>
                <w:rFonts w:cs="Wingdings"/>
                <w:color w:val="000000" w:themeColor="text1"/>
                <w:sz w:val="16"/>
                <w:szCs w:val="16"/>
                <w:lang w:eastAsia="tr-TR"/>
              </w:rPr>
              <w:t>Minimum n</w:t>
            </w:r>
            <w:r w:rsidR="1FE75218" w:rsidRPr="000E280D">
              <w:rPr>
                <w:rFonts w:cs="Wingdings"/>
                <w:color w:val="000000" w:themeColor="text1"/>
                <w:sz w:val="16"/>
                <w:szCs w:val="16"/>
                <w:lang w:eastAsia="tr-TR"/>
              </w:rPr>
              <w:t xml:space="preserve">umber </w:t>
            </w:r>
            <w:r w:rsidR="0015613B" w:rsidRPr="000E280D">
              <w:rPr>
                <w:rFonts w:cs="Wingdings"/>
                <w:color w:val="000000" w:themeColor="text1"/>
                <w:sz w:val="16"/>
                <w:szCs w:val="16"/>
                <w:lang w:eastAsia="tr-TR"/>
              </w:rPr>
              <w:t xml:space="preserve">and nature </w:t>
            </w:r>
            <w:r w:rsidR="1FE75218" w:rsidRPr="000E280D">
              <w:rPr>
                <w:rFonts w:cs="Wingdings"/>
                <w:color w:val="000000" w:themeColor="text1"/>
                <w:sz w:val="16"/>
                <w:szCs w:val="16"/>
                <w:lang w:eastAsia="tr-TR"/>
              </w:rPr>
              <w:t xml:space="preserve">of grievances </w:t>
            </w:r>
          </w:p>
          <w:p w14:paraId="4EC91B73" w14:textId="0CD9F62D" w:rsidR="00A019D6" w:rsidRPr="000E280D" w:rsidRDefault="1FE75218" w:rsidP="000E280D">
            <w:pPr>
              <w:numPr>
                <w:ilvl w:val="0"/>
                <w:numId w:val="7"/>
              </w:numPr>
              <w:autoSpaceDE w:val="0"/>
              <w:autoSpaceDN w:val="0"/>
              <w:adjustRightInd w:val="0"/>
              <w:spacing w:before="0" w:after="0" w:line="240" w:lineRule="auto"/>
              <w:ind w:left="181" w:hanging="181"/>
              <w:jc w:val="left"/>
              <w:rPr>
                <w:rFonts w:cs="Wingdings"/>
                <w:color w:val="000000"/>
                <w:sz w:val="16"/>
                <w:szCs w:val="16"/>
                <w:lang w:eastAsia="tr-TR"/>
              </w:rPr>
            </w:pPr>
            <w:r w:rsidRPr="000E280D">
              <w:rPr>
                <w:rFonts w:cs="Arial"/>
                <w:color w:val="000000" w:themeColor="text1"/>
                <w:sz w:val="16"/>
                <w:szCs w:val="16"/>
                <w:lang w:eastAsia="tr-TR"/>
              </w:rPr>
              <w:t xml:space="preserve">Percentage of closed grievances </w:t>
            </w:r>
            <w:r w:rsidR="001020B8" w:rsidRPr="000E280D">
              <w:rPr>
                <w:rFonts w:cs="Arial"/>
                <w:color w:val="000000" w:themeColor="text1"/>
                <w:sz w:val="16"/>
                <w:szCs w:val="16"/>
                <w:lang w:eastAsia="tr-TR"/>
              </w:rPr>
              <w:t>according to number of grievances</w:t>
            </w:r>
            <w:r w:rsidRPr="000E280D">
              <w:rPr>
                <w:rFonts w:cs="Arial"/>
                <w:color w:val="000000" w:themeColor="text1"/>
                <w:sz w:val="16"/>
                <w:szCs w:val="16"/>
                <w:lang w:eastAsia="tr-TR"/>
              </w:rPr>
              <w:t xml:space="preserve"> within the target timeframe</w:t>
            </w:r>
          </w:p>
        </w:tc>
        <w:tc>
          <w:tcPr>
            <w:tcW w:w="276" w:type="pct"/>
          </w:tcPr>
          <w:p w14:paraId="142EE72B"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66670EAC" w14:textId="3A40F40A" w:rsidR="00A019D6" w:rsidRPr="000E280D" w:rsidRDefault="00B561CF"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1AAAC337"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240FC995" w14:textId="5899E75E"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79668D8F" w14:textId="77777777" w:rsidTr="00270ACC">
        <w:tc>
          <w:tcPr>
            <w:tcW w:w="310" w:type="pct"/>
          </w:tcPr>
          <w:p w14:paraId="718D804C" w14:textId="458C8855" w:rsidR="004641A3" w:rsidRPr="000E280D" w:rsidRDefault="004641A3" w:rsidP="000E280D">
            <w:pPr>
              <w:pStyle w:val="BodyText"/>
              <w:spacing w:before="40" w:after="40" w:line="240" w:lineRule="auto"/>
              <w:jc w:val="left"/>
              <w:rPr>
                <w:rFonts w:cs="Arial"/>
                <w:b/>
                <w:bCs/>
                <w:noProof w:val="0"/>
                <w:sz w:val="16"/>
                <w:szCs w:val="16"/>
              </w:rPr>
            </w:pPr>
            <w:r w:rsidRPr="000E280D">
              <w:rPr>
                <w:rFonts w:cs="Arial"/>
                <w:b/>
                <w:bCs/>
                <w:noProof w:val="0"/>
                <w:sz w:val="16"/>
                <w:szCs w:val="16"/>
              </w:rPr>
              <w:t>Land Acquisition</w:t>
            </w:r>
          </w:p>
        </w:tc>
        <w:tc>
          <w:tcPr>
            <w:tcW w:w="446" w:type="pct"/>
          </w:tcPr>
          <w:p w14:paraId="5C7FCCE2" w14:textId="6954C59F" w:rsidR="004641A3" w:rsidRPr="000E280D" w:rsidRDefault="004641A3" w:rsidP="000E280D">
            <w:pPr>
              <w:spacing w:before="0" w:after="0" w:line="240" w:lineRule="auto"/>
              <w:jc w:val="left"/>
              <w:rPr>
                <w:rFonts w:cs="Wingdings"/>
                <w:color w:val="000000"/>
                <w:sz w:val="16"/>
                <w:szCs w:val="16"/>
              </w:rPr>
            </w:pPr>
            <w:r w:rsidRPr="000E280D">
              <w:rPr>
                <w:rFonts w:cs="Arial"/>
                <w:color w:val="000000"/>
                <w:sz w:val="16"/>
                <w:szCs w:val="16"/>
              </w:rPr>
              <w:t>Project area</w:t>
            </w:r>
          </w:p>
        </w:tc>
        <w:tc>
          <w:tcPr>
            <w:tcW w:w="417" w:type="pct"/>
          </w:tcPr>
          <w:p w14:paraId="2DE3DBE2" w14:textId="49DE8A80" w:rsidR="004641A3" w:rsidRPr="000E280D" w:rsidRDefault="004641A3"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During Construction</w:t>
            </w:r>
          </w:p>
        </w:tc>
        <w:tc>
          <w:tcPr>
            <w:tcW w:w="344" w:type="pct"/>
          </w:tcPr>
          <w:p w14:paraId="19774884" w14:textId="0DA587AD" w:rsidR="004641A3" w:rsidRPr="000E280D" w:rsidRDefault="004641A3" w:rsidP="000E280D">
            <w:pPr>
              <w:pStyle w:val="BodyText"/>
              <w:spacing w:before="40" w:after="40" w:line="240" w:lineRule="auto"/>
              <w:jc w:val="left"/>
              <w:rPr>
                <w:rFonts w:cs="Arial"/>
                <w:noProof w:val="0"/>
                <w:sz w:val="16"/>
                <w:szCs w:val="16"/>
              </w:rPr>
            </w:pPr>
            <w:r w:rsidRPr="000E280D">
              <w:rPr>
                <w:rFonts w:cs="Arial"/>
                <w:noProof w:val="0"/>
                <w:sz w:val="16"/>
                <w:szCs w:val="16"/>
              </w:rPr>
              <w:t>Grievance Records</w:t>
            </w:r>
          </w:p>
        </w:tc>
        <w:tc>
          <w:tcPr>
            <w:tcW w:w="621" w:type="pct"/>
          </w:tcPr>
          <w:p w14:paraId="0B57E095" w14:textId="77777777" w:rsidR="004641A3" w:rsidRPr="000E280D" w:rsidRDefault="004641A3" w:rsidP="000E280D">
            <w:pPr>
              <w:numPr>
                <w:ilvl w:val="0"/>
                <w:numId w:val="7"/>
              </w:numPr>
              <w:spacing w:before="60" w:after="0" w:line="240" w:lineRule="auto"/>
              <w:ind w:left="67" w:hanging="140"/>
              <w:jc w:val="left"/>
              <w:rPr>
                <w:rFonts w:cs="Wingdings"/>
                <w:color w:val="000000"/>
                <w:sz w:val="16"/>
                <w:szCs w:val="16"/>
              </w:rPr>
            </w:pPr>
            <w:r w:rsidRPr="000E280D">
              <w:rPr>
                <w:rFonts w:cs="Wingdings"/>
                <w:color w:val="000000" w:themeColor="text1"/>
                <w:sz w:val="16"/>
                <w:szCs w:val="16"/>
              </w:rPr>
              <w:t>Grievance mechanism</w:t>
            </w:r>
          </w:p>
          <w:p w14:paraId="1025BA83" w14:textId="3156535A" w:rsidR="004641A3" w:rsidRPr="000E280D" w:rsidRDefault="004641A3" w:rsidP="000E280D">
            <w:pPr>
              <w:numPr>
                <w:ilvl w:val="0"/>
                <w:numId w:val="7"/>
              </w:numPr>
              <w:spacing w:before="60" w:after="0" w:line="240" w:lineRule="auto"/>
              <w:ind w:left="67" w:hanging="140"/>
              <w:jc w:val="left"/>
              <w:rPr>
                <w:rFonts w:cs="Wingdings"/>
                <w:color w:val="000000" w:themeColor="text1"/>
                <w:sz w:val="16"/>
                <w:szCs w:val="16"/>
              </w:rPr>
            </w:pPr>
            <w:r w:rsidRPr="000E280D">
              <w:rPr>
                <w:rFonts w:cs="Wingdings"/>
                <w:color w:val="000000" w:themeColor="text1"/>
                <w:sz w:val="16"/>
                <w:szCs w:val="16"/>
              </w:rPr>
              <w:t>On-site inspection</w:t>
            </w:r>
          </w:p>
        </w:tc>
        <w:tc>
          <w:tcPr>
            <w:tcW w:w="758" w:type="pct"/>
          </w:tcPr>
          <w:p w14:paraId="1270DCCE" w14:textId="79B95462" w:rsidR="004641A3" w:rsidRPr="000E280D" w:rsidRDefault="00196DDA" w:rsidP="000E280D">
            <w:pPr>
              <w:pStyle w:val="BodyText"/>
              <w:spacing w:before="40" w:after="40" w:line="240" w:lineRule="auto"/>
              <w:jc w:val="left"/>
              <w:rPr>
                <w:rFonts w:cs="Arial"/>
                <w:noProof w:val="0"/>
                <w:sz w:val="16"/>
                <w:szCs w:val="16"/>
                <w:lang w:eastAsia="tr-TR"/>
              </w:rPr>
            </w:pPr>
            <w:r w:rsidRPr="000E280D">
              <w:rPr>
                <w:rStyle w:val="cf01"/>
                <w:sz w:val="16"/>
                <w:szCs w:val="16"/>
              </w:rPr>
              <w:t>All grievances closed-out within the target timeframe</w:t>
            </w:r>
          </w:p>
        </w:tc>
        <w:tc>
          <w:tcPr>
            <w:tcW w:w="793" w:type="pct"/>
          </w:tcPr>
          <w:p w14:paraId="0EC32E7D" w14:textId="77777777" w:rsidR="004641A3" w:rsidRPr="000E280D" w:rsidRDefault="004641A3" w:rsidP="000E280D">
            <w:pPr>
              <w:numPr>
                <w:ilvl w:val="0"/>
                <w:numId w:val="7"/>
              </w:numPr>
              <w:spacing w:before="60" w:after="0" w:line="240" w:lineRule="auto"/>
              <w:ind w:left="106" w:hanging="182"/>
              <w:jc w:val="left"/>
              <w:rPr>
                <w:rFonts w:cs="Wingdings"/>
                <w:color w:val="000000"/>
                <w:sz w:val="16"/>
                <w:szCs w:val="16"/>
              </w:rPr>
            </w:pPr>
            <w:r w:rsidRPr="000E280D">
              <w:rPr>
                <w:rFonts w:cs="Wingdings"/>
                <w:color w:val="000000" w:themeColor="text1"/>
                <w:sz w:val="16"/>
                <w:szCs w:val="16"/>
              </w:rPr>
              <w:t>WB ESS-5</w:t>
            </w:r>
          </w:p>
          <w:p w14:paraId="0ED37A92" w14:textId="66614017" w:rsidR="002C205B" w:rsidRPr="000E280D" w:rsidRDefault="002C205B" w:rsidP="000E280D">
            <w:pPr>
              <w:numPr>
                <w:ilvl w:val="0"/>
                <w:numId w:val="7"/>
              </w:numPr>
              <w:spacing w:before="60" w:after="0" w:line="240" w:lineRule="auto"/>
              <w:ind w:left="106" w:hanging="182"/>
              <w:jc w:val="left"/>
              <w:rPr>
                <w:rFonts w:cs="Arial"/>
                <w:sz w:val="16"/>
                <w:szCs w:val="16"/>
              </w:rPr>
            </w:pPr>
            <w:r w:rsidRPr="000E280D">
              <w:rPr>
                <w:rFonts w:cs="Arial"/>
                <w:color w:val="000000" w:themeColor="text1"/>
                <w:sz w:val="16"/>
                <w:szCs w:val="16"/>
              </w:rPr>
              <w:t>Expropriation Law No: 2942</w:t>
            </w:r>
          </w:p>
        </w:tc>
        <w:tc>
          <w:tcPr>
            <w:tcW w:w="691" w:type="pct"/>
          </w:tcPr>
          <w:p w14:paraId="6211DB33" w14:textId="740CF47E" w:rsidR="004641A3" w:rsidRPr="000E280D" w:rsidRDefault="004641A3" w:rsidP="000E280D">
            <w:pPr>
              <w:numPr>
                <w:ilvl w:val="0"/>
                <w:numId w:val="7"/>
              </w:numPr>
              <w:autoSpaceDE w:val="0"/>
              <w:autoSpaceDN w:val="0"/>
              <w:adjustRightInd w:val="0"/>
              <w:spacing w:before="0" w:after="0" w:line="240" w:lineRule="auto"/>
              <w:ind w:left="181" w:hanging="181"/>
              <w:jc w:val="left"/>
              <w:rPr>
                <w:rFonts w:cs="Wingdings"/>
                <w:color w:val="000000" w:themeColor="text1"/>
                <w:sz w:val="16"/>
                <w:szCs w:val="16"/>
                <w:lang w:eastAsia="tr-TR"/>
              </w:rPr>
            </w:pPr>
            <w:r w:rsidRPr="000E280D">
              <w:rPr>
                <w:rFonts w:cs="Arial"/>
                <w:color w:val="000000" w:themeColor="text1"/>
                <w:sz w:val="16"/>
                <w:szCs w:val="16"/>
                <w:lang w:eastAsia="tr-TR"/>
              </w:rPr>
              <w:t xml:space="preserve">Percentage of closed grievances </w:t>
            </w:r>
            <w:r w:rsidR="001020B8" w:rsidRPr="000E280D">
              <w:rPr>
                <w:rFonts w:cs="Arial"/>
                <w:color w:val="000000" w:themeColor="text1"/>
                <w:sz w:val="16"/>
                <w:szCs w:val="16"/>
                <w:lang w:eastAsia="tr-TR"/>
              </w:rPr>
              <w:t>according to number of grievances</w:t>
            </w:r>
            <w:r w:rsidRPr="000E280D">
              <w:rPr>
                <w:rFonts w:cs="Arial"/>
                <w:color w:val="000000" w:themeColor="text1"/>
                <w:sz w:val="16"/>
                <w:szCs w:val="16"/>
                <w:lang w:eastAsia="tr-TR"/>
              </w:rPr>
              <w:t xml:space="preserve"> within the target timeframe</w:t>
            </w:r>
          </w:p>
        </w:tc>
        <w:tc>
          <w:tcPr>
            <w:tcW w:w="276" w:type="pct"/>
          </w:tcPr>
          <w:p w14:paraId="62131B27" w14:textId="6B626F56" w:rsidR="004641A3" w:rsidRPr="000E280D" w:rsidRDefault="004641A3"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No additional costs</w:t>
            </w:r>
          </w:p>
        </w:tc>
        <w:tc>
          <w:tcPr>
            <w:tcW w:w="344" w:type="pct"/>
          </w:tcPr>
          <w:p w14:paraId="5A4FA253" w14:textId="77777777" w:rsidR="004641A3" w:rsidRPr="000E280D" w:rsidRDefault="004641A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38F057C8" w14:textId="7764634D" w:rsidR="004641A3" w:rsidRPr="000E280D" w:rsidRDefault="004641A3" w:rsidP="000E280D">
            <w:pPr>
              <w:spacing w:before="0" w:after="0" w:line="240" w:lineRule="auto"/>
              <w:jc w:val="left"/>
              <w:rPr>
                <w:rFonts w:cs="Wingdings"/>
                <w:color w:val="000000"/>
                <w:sz w:val="16"/>
                <w:szCs w:val="16"/>
              </w:rPr>
            </w:pPr>
            <w:r w:rsidRPr="000E280D">
              <w:rPr>
                <w:rFonts w:cs="Arial"/>
                <w:sz w:val="16"/>
                <w:szCs w:val="16"/>
              </w:rPr>
              <w:t>Supervision</w:t>
            </w:r>
            <w:r w:rsidRPr="000E280D">
              <w:rPr>
                <w:rFonts w:cs="Arial"/>
                <w:color w:val="000000"/>
                <w:sz w:val="16"/>
                <w:szCs w:val="16"/>
              </w:rPr>
              <w:t xml:space="preserve"> Consultant</w:t>
            </w:r>
          </w:p>
          <w:p w14:paraId="12058907" w14:textId="77777777" w:rsidR="004641A3" w:rsidRPr="000E280D" w:rsidRDefault="004641A3" w:rsidP="000E280D">
            <w:pPr>
              <w:spacing w:before="0" w:after="0" w:line="240" w:lineRule="auto"/>
              <w:jc w:val="left"/>
              <w:rPr>
                <w:rFonts w:cs="Wingdings"/>
                <w:color w:val="000000"/>
                <w:sz w:val="16"/>
                <w:szCs w:val="16"/>
              </w:rPr>
            </w:pPr>
          </w:p>
        </w:tc>
      </w:tr>
      <w:tr w:rsidR="002F61F4" w:rsidRPr="000E280D" w14:paraId="551DEB09" w14:textId="77777777" w:rsidTr="00270ACC">
        <w:trPr>
          <w:trHeight w:val="383"/>
        </w:trPr>
        <w:tc>
          <w:tcPr>
            <w:tcW w:w="310" w:type="pct"/>
          </w:tcPr>
          <w:p w14:paraId="1BA28619" w14:textId="195B8E61"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Arial"/>
                <w:b/>
                <w:bCs/>
                <w:noProof w:val="0"/>
                <w:sz w:val="16"/>
                <w:szCs w:val="16"/>
              </w:rPr>
              <w:t>Grievance mechanism</w:t>
            </w:r>
          </w:p>
        </w:tc>
        <w:tc>
          <w:tcPr>
            <w:tcW w:w="446" w:type="pct"/>
          </w:tcPr>
          <w:p w14:paraId="44FF40ED"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Project area</w:t>
            </w:r>
          </w:p>
          <w:p w14:paraId="0F6AA7C1"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Arial"/>
                <w:noProof w:val="0"/>
                <w:color w:val="000000"/>
                <w:sz w:val="16"/>
                <w:szCs w:val="16"/>
              </w:rPr>
              <w:t>Settlements near the project area</w:t>
            </w:r>
          </w:p>
        </w:tc>
        <w:tc>
          <w:tcPr>
            <w:tcW w:w="417" w:type="pct"/>
          </w:tcPr>
          <w:p w14:paraId="09B260EC"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Arial"/>
                <w:noProof w:val="0"/>
                <w:color w:val="000000"/>
                <w:sz w:val="16"/>
                <w:szCs w:val="16"/>
              </w:rPr>
              <w:t>Monthly</w:t>
            </w:r>
          </w:p>
        </w:tc>
        <w:tc>
          <w:tcPr>
            <w:tcW w:w="344" w:type="pct"/>
          </w:tcPr>
          <w:p w14:paraId="1B3CEDFE"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Arial"/>
                <w:noProof w:val="0"/>
                <w:sz w:val="16"/>
                <w:szCs w:val="16"/>
              </w:rPr>
              <w:t>Grievance Records</w:t>
            </w:r>
          </w:p>
        </w:tc>
        <w:tc>
          <w:tcPr>
            <w:tcW w:w="621" w:type="pct"/>
          </w:tcPr>
          <w:p w14:paraId="0B82DBDB" w14:textId="77777777" w:rsidR="00A019D6" w:rsidRPr="000E280D" w:rsidRDefault="1FE75218" w:rsidP="000E280D">
            <w:pPr>
              <w:keepNext/>
              <w:numPr>
                <w:ilvl w:val="0"/>
                <w:numId w:val="7"/>
              </w:numPr>
              <w:spacing w:before="60" w:after="0" w:line="240" w:lineRule="auto"/>
              <w:ind w:left="95" w:hanging="140"/>
              <w:jc w:val="left"/>
              <w:rPr>
                <w:rFonts w:cs="Wingdings"/>
                <w:color w:val="000000"/>
                <w:sz w:val="16"/>
                <w:szCs w:val="16"/>
              </w:rPr>
            </w:pPr>
            <w:r w:rsidRPr="000E280D">
              <w:rPr>
                <w:rFonts w:cs="Wingdings"/>
                <w:color w:val="000000" w:themeColor="text1"/>
                <w:sz w:val="16"/>
                <w:szCs w:val="16"/>
              </w:rPr>
              <w:t>View/suggestion/ grievance records</w:t>
            </w:r>
          </w:p>
          <w:p w14:paraId="363904FA" w14:textId="77777777" w:rsidR="00A019D6" w:rsidRPr="000E280D" w:rsidRDefault="1FE75218" w:rsidP="000E280D">
            <w:pPr>
              <w:keepNext/>
              <w:numPr>
                <w:ilvl w:val="0"/>
                <w:numId w:val="7"/>
              </w:numPr>
              <w:spacing w:before="60" w:after="0" w:line="240" w:lineRule="auto"/>
              <w:ind w:left="95" w:hanging="140"/>
              <w:jc w:val="left"/>
              <w:rPr>
                <w:sz w:val="16"/>
                <w:szCs w:val="16"/>
              </w:rPr>
            </w:pPr>
            <w:r w:rsidRPr="000E280D">
              <w:rPr>
                <w:rFonts w:cs="Arial"/>
                <w:color w:val="000000" w:themeColor="text1"/>
                <w:sz w:val="16"/>
                <w:szCs w:val="16"/>
              </w:rPr>
              <w:t>On-site inspection</w:t>
            </w:r>
          </w:p>
        </w:tc>
        <w:tc>
          <w:tcPr>
            <w:tcW w:w="758" w:type="pct"/>
          </w:tcPr>
          <w:p w14:paraId="4480A8F0" w14:textId="1F00B6F0" w:rsidR="00A019D6" w:rsidRPr="000E280D" w:rsidRDefault="00196DDA" w:rsidP="000E280D">
            <w:pPr>
              <w:pStyle w:val="BodyText"/>
              <w:keepNext/>
              <w:spacing w:before="40" w:after="40" w:line="240" w:lineRule="auto"/>
              <w:jc w:val="left"/>
              <w:rPr>
                <w:rFonts w:cs="Wingdings"/>
                <w:noProof w:val="0"/>
                <w:sz w:val="16"/>
                <w:szCs w:val="16"/>
              </w:rPr>
            </w:pPr>
            <w:r w:rsidRPr="000E280D">
              <w:rPr>
                <w:rStyle w:val="cf01"/>
                <w:sz w:val="16"/>
                <w:szCs w:val="16"/>
              </w:rPr>
              <w:t>All grievances closed-out within the target timeframe</w:t>
            </w:r>
          </w:p>
        </w:tc>
        <w:tc>
          <w:tcPr>
            <w:tcW w:w="793" w:type="pct"/>
          </w:tcPr>
          <w:p w14:paraId="5085B6C7" w14:textId="77777777" w:rsidR="00321BC2" w:rsidRPr="000E280D" w:rsidRDefault="00A019D6" w:rsidP="000E280D">
            <w:pPr>
              <w:pStyle w:val="BodyText"/>
              <w:spacing w:before="40" w:after="40" w:line="240" w:lineRule="auto"/>
              <w:jc w:val="left"/>
              <w:rPr>
                <w:rFonts w:cs="Arial"/>
                <w:noProof w:val="0"/>
                <w:sz w:val="16"/>
                <w:szCs w:val="16"/>
              </w:rPr>
            </w:pPr>
            <w:r w:rsidRPr="000E280D">
              <w:rPr>
                <w:rFonts w:cs="Arial"/>
                <w:noProof w:val="0"/>
                <w:sz w:val="16"/>
                <w:szCs w:val="16"/>
              </w:rPr>
              <w:t>ESMF</w:t>
            </w:r>
          </w:p>
          <w:p w14:paraId="4A0BF68C" w14:textId="6E0DAE0A" w:rsidR="00A019D6" w:rsidRPr="000E280D" w:rsidRDefault="00321BC2" w:rsidP="000E280D">
            <w:pPr>
              <w:pStyle w:val="BodyText"/>
              <w:spacing w:before="40" w:after="40" w:line="240" w:lineRule="auto"/>
              <w:jc w:val="left"/>
              <w:rPr>
                <w:rFonts w:cs="Arial"/>
                <w:noProof w:val="0"/>
                <w:sz w:val="16"/>
                <w:szCs w:val="16"/>
              </w:rPr>
            </w:pPr>
            <w:r w:rsidRPr="000E280D">
              <w:rPr>
                <w:rFonts w:cs="Arial"/>
                <w:noProof w:val="0"/>
                <w:sz w:val="16"/>
                <w:szCs w:val="16"/>
              </w:rPr>
              <w:t>ESCP</w:t>
            </w:r>
            <w:r w:rsidR="00A019D6" w:rsidRPr="000E280D">
              <w:rPr>
                <w:rFonts w:cs="Arial"/>
                <w:noProof w:val="0"/>
                <w:sz w:val="16"/>
                <w:szCs w:val="16"/>
              </w:rPr>
              <w:t xml:space="preserve"> </w:t>
            </w:r>
          </w:p>
          <w:p w14:paraId="16DDC8EB" w14:textId="2FF59DFC" w:rsidR="00A019D6" w:rsidRPr="000E280D" w:rsidRDefault="00321BC2" w:rsidP="000E280D">
            <w:pPr>
              <w:pStyle w:val="BodyText"/>
              <w:spacing w:before="40" w:after="40" w:line="240" w:lineRule="auto"/>
              <w:jc w:val="left"/>
              <w:rPr>
                <w:rFonts w:cs="Wingdings"/>
                <w:noProof w:val="0"/>
                <w:sz w:val="16"/>
                <w:szCs w:val="16"/>
              </w:rPr>
            </w:pPr>
            <w:r w:rsidRPr="000E280D">
              <w:rPr>
                <w:rFonts w:cs="Arial"/>
                <w:noProof w:val="0"/>
                <w:sz w:val="16"/>
                <w:szCs w:val="16"/>
              </w:rPr>
              <w:t>WB ESS-10</w:t>
            </w:r>
          </w:p>
        </w:tc>
        <w:tc>
          <w:tcPr>
            <w:tcW w:w="691" w:type="pct"/>
          </w:tcPr>
          <w:p w14:paraId="05542FE2" w14:textId="15187BB9" w:rsidR="00A019D6" w:rsidRPr="000E280D" w:rsidRDefault="00CD1DE3" w:rsidP="000E280D">
            <w:pPr>
              <w:numPr>
                <w:ilvl w:val="0"/>
                <w:numId w:val="7"/>
              </w:numPr>
              <w:autoSpaceDE w:val="0"/>
              <w:autoSpaceDN w:val="0"/>
              <w:adjustRightInd w:val="0"/>
              <w:spacing w:before="0" w:after="0" w:line="240" w:lineRule="auto"/>
              <w:ind w:left="181" w:hanging="181"/>
              <w:jc w:val="left"/>
              <w:rPr>
                <w:rFonts w:cs="Wingdings"/>
                <w:color w:val="000000"/>
                <w:sz w:val="16"/>
                <w:szCs w:val="16"/>
                <w:lang w:eastAsia="en-US"/>
              </w:rPr>
            </w:pPr>
            <w:r w:rsidRPr="000E280D">
              <w:rPr>
                <w:rFonts w:cs="Wingdings"/>
                <w:color w:val="000000" w:themeColor="text1"/>
                <w:sz w:val="16"/>
                <w:szCs w:val="16"/>
                <w:lang w:eastAsia="tr-TR"/>
              </w:rPr>
              <w:t>Minimum n</w:t>
            </w:r>
            <w:r w:rsidR="1FE75218" w:rsidRPr="000E280D">
              <w:rPr>
                <w:rFonts w:cs="Wingdings"/>
                <w:color w:val="000000" w:themeColor="text1"/>
                <w:sz w:val="16"/>
                <w:szCs w:val="16"/>
                <w:lang w:eastAsia="tr-TR"/>
              </w:rPr>
              <w:t xml:space="preserve">umber of grievances </w:t>
            </w:r>
          </w:p>
          <w:p w14:paraId="09BD9525" w14:textId="474DBC05" w:rsidR="00A019D6" w:rsidRPr="000E280D" w:rsidRDefault="1FE75218" w:rsidP="000E280D">
            <w:pPr>
              <w:numPr>
                <w:ilvl w:val="0"/>
                <w:numId w:val="7"/>
              </w:numPr>
              <w:autoSpaceDE w:val="0"/>
              <w:autoSpaceDN w:val="0"/>
              <w:adjustRightInd w:val="0"/>
              <w:spacing w:before="0" w:after="0" w:line="240" w:lineRule="auto"/>
              <w:ind w:left="181" w:hanging="181"/>
              <w:jc w:val="left"/>
              <w:rPr>
                <w:rFonts w:cs="Wingdings"/>
                <w:color w:val="000000"/>
                <w:sz w:val="16"/>
                <w:szCs w:val="16"/>
                <w:lang w:eastAsia="tr-TR"/>
              </w:rPr>
            </w:pPr>
            <w:r w:rsidRPr="000E280D">
              <w:rPr>
                <w:rFonts w:cs="Arial"/>
                <w:color w:val="000000" w:themeColor="text1"/>
                <w:sz w:val="16"/>
                <w:szCs w:val="16"/>
                <w:lang w:eastAsia="tr-TR"/>
              </w:rPr>
              <w:t xml:space="preserve">Percentage of closed grievances </w:t>
            </w:r>
            <w:r w:rsidR="008A27BB" w:rsidRPr="000E280D">
              <w:rPr>
                <w:rFonts w:cs="Arial"/>
                <w:color w:val="000000" w:themeColor="text1"/>
                <w:sz w:val="16"/>
                <w:szCs w:val="16"/>
                <w:lang w:eastAsia="tr-TR"/>
              </w:rPr>
              <w:t xml:space="preserve">according to number </w:t>
            </w:r>
            <w:r w:rsidR="0086397E" w:rsidRPr="000E280D">
              <w:rPr>
                <w:rFonts w:cs="Arial"/>
                <w:color w:val="000000" w:themeColor="text1"/>
                <w:sz w:val="16"/>
                <w:szCs w:val="16"/>
                <w:lang w:eastAsia="tr-TR"/>
              </w:rPr>
              <w:t>of</w:t>
            </w:r>
            <w:r w:rsidR="008A27BB" w:rsidRPr="000E280D">
              <w:rPr>
                <w:rFonts w:cs="Arial"/>
                <w:color w:val="000000" w:themeColor="text1"/>
                <w:sz w:val="16"/>
                <w:szCs w:val="16"/>
                <w:lang w:eastAsia="tr-TR"/>
              </w:rPr>
              <w:t xml:space="preserve"> gri</w:t>
            </w:r>
            <w:r w:rsidR="0086397E" w:rsidRPr="000E280D">
              <w:rPr>
                <w:rFonts w:cs="Arial"/>
                <w:color w:val="000000" w:themeColor="text1"/>
                <w:sz w:val="16"/>
                <w:szCs w:val="16"/>
                <w:lang w:eastAsia="tr-TR"/>
              </w:rPr>
              <w:t xml:space="preserve">evances </w:t>
            </w:r>
            <w:r w:rsidRPr="000E280D">
              <w:rPr>
                <w:rFonts w:cs="Arial"/>
                <w:color w:val="000000" w:themeColor="text1"/>
                <w:sz w:val="16"/>
                <w:szCs w:val="16"/>
                <w:lang w:eastAsia="tr-TR"/>
              </w:rPr>
              <w:t>within the target timeframe</w:t>
            </w:r>
          </w:p>
        </w:tc>
        <w:tc>
          <w:tcPr>
            <w:tcW w:w="276" w:type="pct"/>
          </w:tcPr>
          <w:p w14:paraId="490F6E14" w14:textId="77777777" w:rsidR="00A019D6" w:rsidRPr="000E280D" w:rsidRDefault="00A019D6" w:rsidP="000E280D">
            <w:pPr>
              <w:pStyle w:val="BodyText"/>
              <w:keepN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6FFED399" w14:textId="4B059B47" w:rsidR="00A019D6" w:rsidRPr="000E280D" w:rsidRDefault="00B561CF" w:rsidP="000E280D">
            <w:pPr>
              <w:keepNext/>
              <w:spacing w:before="0" w:after="0" w:line="240" w:lineRule="auto"/>
              <w:jc w:val="left"/>
              <w:rPr>
                <w:rFonts w:cs="Wingdings"/>
                <w:color w:val="000000"/>
                <w:sz w:val="16"/>
                <w:szCs w:val="16"/>
              </w:rPr>
            </w:pPr>
            <w:r w:rsidRPr="000E280D">
              <w:rPr>
                <w:rFonts w:cs="Wingdings"/>
                <w:color w:val="000000"/>
                <w:sz w:val="16"/>
                <w:szCs w:val="16"/>
              </w:rPr>
              <w:t>TUIOSB</w:t>
            </w:r>
          </w:p>
          <w:p w14:paraId="1E0888B9" w14:textId="77777777" w:rsidR="00A019D6" w:rsidRPr="000E280D" w:rsidRDefault="00A019D6" w:rsidP="000E280D">
            <w:pPr>
              <w:pStyle w:val="BodyText"/>
              <w:keepN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4871E9AA" w14:textId="617F6F0B" w:rsidR="00A019D6" w:rsidRPr="000E280D" w:rsidRDefault="00EB5215" w:rsidP="000E280D">
            <w:pPr>
              <w:pStyle w:val="BodyText"/>
              <w:keepN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1E529FCD" w14:textId="77777777" w:rsidTr="00270ACC">
        <w:trPr>
          <w:trHeight w:val="1698"/>
        </w:trPr>
        <w:tc>
          <w:tcPr>
            <w:tcW w:w="310" w:type="pct"/>
          </w:tcPr>
          <w:p w14:paraId="77CE8EA9" w14:textId="770F19BE" w:rsidR="00A019D6" w:rsidRPr="000E280D" w:rsidRDefault="00A019D6" w:rsidP="000E280D">
            <w:pPr>
              <w:pStyle w:val="BodyText"/>
              <w:spacing w:before="40" w:after="40" w:line="240" w:lineRule="auto"/>
              <w:jc w:val="left"/>
              <w:rPr>
                <w:rFonts w:cs="Wingdings"/>
                <w:noProof w:val="0"/>
                <w:sz w:val="16"/>
                <w:szCs w:val="16"/>
              </w:rPr>
            </w:pPr>
            <w:r w:rsidRPr="000E280D">
              <w:rPr>
                <w:rFonts w:cs="Arial"/>
                <w:b/>
                <w:bCs/>
                <w:noProof w:val="0"/>
                <w:sz w:val="16"/>
                <w:szCs w:val="16"/>
              </w:rPr>
              <w:t>Sustainable Development</w:t>
            </w:r>
          </w:p>
        </w:tc>
        <w:tc>
          <w:tcPr>
            <w:tcW w:w="446" w:type="pct"/>
          </w:tcPr>
          <w:p w14:paraId="4A43D3CB"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Settlements near the project area</w:t>
            </w:r>
          </w:p>
        </w:tc>
        <w:tc>
          <w:tcPr>
            <w:tcW w:w="417" w:type="pct"/>
          </w:tcPr>
          <w:p w14:paraId="2720E9E4"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Monthly</w:t>
            </w:r>
          </w:p>
        </w:tc>
        <w:tc>
          <w:tcPr>
            <w:tcW w:w="344" w:type="pct"/>
          </w:tcPr>
          <w:p w14:paraId="34B98CD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N/A</w:t>
            </w:r>
          </w:p>
        </w:tc>
        <w:tc>
          <w:tcPr>
            <w:tcW w:w="621" w:type="pct"/>
          </w:tcPr>
          <w:p w14:paraId="4D5C2895" w14:textId="77777777" w:rsidR="00A019D6" w:rsidRPr="000E280D" w:rsidRDefault="1FE75218" w:rsidP="000E280D">
            <w:pPr>
              <w:numPr>
                <w:ilvl w:val="0"/>
                <w:numId w:val="7"/>
              </w:numPr>
              <w:spacing w:before="60" w:after="0" w:line="240" w:lineRule="auto"/>
              <w:ind w:left="95" w:hanging="140"/>
              <w:jc w:val="left"/>
              <w:rPr>
                <w:rFonts w:cs="Wingdings"/>
                <w:color w:val="000000"/>
                <w:sz w:val="16"/>
                <w:szCs w:val="16"/>
              </w:rPr>
            </w:pPr>
            <w:r w:rsidRPr="000E280D">
              <w:rPr>
                <w:rFonts w:cs="Wingdings"/>
                <w:color w:val="000000" w:themeColor="text1"/>
                <w:sz w:val="16"/>
                <w:szCs w:val="16"/>
              </w:rPr>
              <w:t>View/suggestion/grievance records</w:t>
            </w:r>
          </w:p>
          <w:p w14:paraId="638DC33A" w14:textId="77777777" w:rsidR="00A019D6" w:rsidRPr="000E280D" w:rsidRDefault="1FE75218" w:rsidP="000E280D">
            <w:pPr>
              <w:numPr>
                <w:ilvl w:val="0"/>
                <w:numId w:val="7"/>
              </w:numPr>
              <w:spacing w:before="60" w:after="0" w:line="240" w:lineRule="auto"/>
              <w:ind w:left="95" w:hanging="140"/>
              <w:jc w:val="left"/>
              <w:rPr>
                <w:rFonts w:cs="Wingdings"/>
                <w:color w:val="000000"/>
                <w:sz w:val="16"/>
                <w:szCs w:val="16"/>
              </w:rPr>
            </w:pPr>
            <w:r w:rsidRPr="000E280D">
              <w:rPr>
                <w:rFonts w:cs="Wingdings"/>
                <w:color w:val="000000" w:themeColor="text1"/>
                <w:sz w:val="16"/>
                <w:szCs w:val="16"/>
              </w:rPr>
              <w:t>Product supply records</w:t>
            </w:r>
          </w:p>
          <w:p w14:paraId="508785E0" w14:textId="77777777" w:rsidR="00A019D6" w:rsidRPr="000E280D" w:rsidRDefault="1FE75218" w:rsidP="000E280D">
            <w:pPr>
              <w:numPr>
                <w:ilvl w:val="0"/>
                <w:numId w:val="7"/>
              </w:numPr>
              <w:spacing w:before="60" w:after="0" w:line="240" w:lineRule="auto"/>
              <w:ind w:left="95" w:hanging="140"/>
              <w:jc w:val="left"/>
              <w:rPr>
                <w:rFonts w:cs="Wingdings"/>
                <w:sz w:val="16"/>
                <w:szCs w:val="16"/>
              </w:rPr>
            </w:pPr>
            <w:r w:rsidRPr="000E280D">
              <w:rPr>
                <w:rFonts w:cs="Wingdings"/>
                <w:color w:val="000000" w:themeColor="text1"/>
                <w:sz w:val="16"/>
                <w:szCs w:val="16"/>
              </w:rPr>
              <w:t>List of employees</w:t>
            </w:r>
          </w:p>
          <w:p w14:paraId="7A27BB3D" w14:textId="77777777" w:rsidR="00A019D6" w:rsidRPr="000E280D" w:rsidRDefault="1FE75218" w:rsidP="000E280D">
            <w:pPr>
              <w:numPr>
                <w:ilvl w:val="0"/>
                <w:numId w:val="7"/>
              </w:numPr>
              <w:spacing w:before="60" w:after="0" w:line="240" w:lineRule="auto"/>
              <w:ind w:left="95" w:hanging="140"/>
              <w:jc w:val="left"/>
              <w:rPr>
                <w:rFonts w:cs="Wingdings"/>
                <w:sz w:val="16"/>
                <w:szCs w:val="16"/>
              </w:rPr>
            </w:pPr>
            <w:r w:rsidRPr="000E280D">
              <w:rPr>
                <w:rFonts w:cs="Arial"/>
                <w:color w:val="000000" w:themeColor="text1"/>
                <w:sz w:val="16"/>
                <w:szCs w:val="16"/>
              </w:rPr>
              <w:t>On-site inspection</w:t>
            </w:r>
          </w:p>
        </w:tc>
        <w:tc>
          <w:tcPr>
            <w:tcW w:w="758" w:type="pct"/>
          </w:tcPr>
          <w:p w14:paraId="6146FD55"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N/A</w:t>
            </w:r>
          </w:p>
        </w:tc>
        <w:tc>
          <w:tcPr>
            <w:tcW w:w="793" w:type="pct"/>
          </w:tcPr>
          <w:p w14:paraId="7B718E8D"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WB ESS-10</w:t>
            </w:r>
          </w:p>
        </w:tc>
        <w:tc>
          <w:tcPr>
            <w:tcW w:w="691" w:type="pct"/>
          </w:tcPr>
          <w:p w14:paraId="4E76ADE9"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N/A</w:t>
            </w:r>
          </w:p>
        </w:tc>
        <w:tc>
          <w:tcPr>
            <w:tcW w:w="276" w:type="pct"/>
          </w:tcPr>
          <w:p w14:paraId="39FA92B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5CDA8257" w14:textId="21A376E9" w:rsidR="00A019D6" w:rsidRPr="000E280D" w:rsidRDefault="00B561CF"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45C72EFA"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056211D4" w14:textId="7E839FC8"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0FA0E80D" w14:textId="77777777" w:rsidTr="00270ACC">
        <w:tc>
          <w:tcPr>
            <w:tcW w:w="310" w:type="pct"/>
          </w:tcPr>
          <w:p w14:paraId="62C92E46"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b/>
                <w:bCs/>
                <w:noProof w:val="0"/>
                <w:sz w:val="16"/>
                <w:szCs w:val="16"/>
              </w:rPr>
              <w:t>Air Quality</w:t>
            </w:r>
          </w:p>
        </w:tc>
        <w:tc>
          <w:tcPr>
            <w:tcW w:w="446" w:type="pct"/>
          </w:tcPr>
          <w:p w14:paraId="5B01131D"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Project area</w:t>
            </w:r>
          </w:p>
          <w:p w14:paraId="534717A6" w14:textId="092E138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 xml:space="preserve">Settlements and </w:t>
            </w:r>
            <w:r w:rsidR="007D7988" w:rsidRPr="000E280D">
              <w:rPr>
                <w:rFonts w:cs="Arial"/>
                <w:noProof w:val="0"/>
                <w:color w:val="000000"/>
                <w:sz w:val="16"/>
                <w:szCs w:val="16"/>
              </w:rPr>
              <w:t>the</w:t>
            </w:r>
            <w:r w:rsidRPr="000E280D">
              <w:rPr>
                <w:rFonts w:cs="Arial"/>
                <w:noProof w:val="0"/>
                <w:color w:val="000000"/>
                <w:sz w:val="16"/>
                <w:szCs w:val="16"/>
              </w:rPr>
              <w:t xml:space="preserve"> </w:t>
            </w:r>
            <w:r w:rsidR="007D7988" w:rsidRPr="000E280D">
              <w:rPr>
                <w:rFonts w:cs="Arial"/>
                <w:noProof w:val="0"/>
                <w:color w:val="000000"/>
                <w:sz w:val="16"/>
                <w:szCs w:val="16"/>
              </w:rPr>
              <w:t>house</w:t>
            </w:r>
            <w:r w:rsidRPr="000E280D">
              <w:rPr>
                <w:rFonts w:cs="Arial"/>
                <w:noProof w:val="0"/>
                <w:color w:val="000000"/>
                <w:sz w:val="16"/>
                <w:szCs w:val="16"/>
              </w:rPr>
              <w:t xml:space="preserve"> near the project area</w:t>
            </w:r>
          </w:p>
        </w:tc>
        <w:tc>
          <w:tcPr>
            <w:tcW w:w="417" w:type="pct"/>
          </w:tcPr>
          <w:p w14:paraId="69632C85"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During Construction</w:t>
            </w:r>
          </w:p>
          <w:p w14:paraId="1CAFD5C4" w14:textId="77777777" w:rsidR="00A019D6" w:rsidRPr="000E280D" w:rsidRDefault="00A019D6" w:rsidP="000E280D">
            <w:pPr>
              <w:pStyle w:val="BodyText"/>
              <w:spacing w:before="40" w:after="40" w:line="240" w:lineRule="auto"/>
              <w:jc w:val="left"/>
              <w:rPr>
                <w:rFonts w:cs="Wingdings"/>
                <w:noProof w:val="0"/>
                <w:color w:val="000000"/>
                <w:sz w:val="16"/>
                <w:szCs w:val="16"/>
              </w:rPr>
            </w:pPr>
            <w:r w:rsidRPr="000E280D">
              <w:rPr>
                <w:rFonts w:cs="Wingdings"/>
                <w:noProof w:val="0"/>
                <w:color w:val="000000"/>
                <w:sz w:val="16"/>
                <w:szCs w:val="16"/>
              </w:rPr>
              <w:t>In case of grievance</w:t>
            </w:r>
          </w:p>
          <w:p w14:paraId="20A885D0"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Monthly</w:t>
            </w:r>
          </w:p>
        </w:tc>
        <w:tc>
          <w:tcPr>
            <w:tcW w:w="344" w:type="pct"/>
          </w:tcPr>
          <w:p w14:paraId="7C224C95" w14:textId="77777777" w:rsidR="00A019D6" w:rsidRPr="000E280D" w:rsidRDefault="00A019D6" w:rsidP="000E280D">
            <w:pPr>
              <w:pStyle w:val="BodyText"/>
              <w:spacing w:before="40" w:after="40" w:line="240" w:lineRule="auto"/>
              <w:jc w:val="left"/>
              <w:rPr>
                <w:rFonts w:cs="Arial"/>
                <w:noProof w:val="0"/>
                <w:sz w:val="16"/>
                <w:szCs w:val="16"/>
              </w:rPr>
            </w:pPr>
            <w:r w:rsidRPr="000E280D">
              <w:rPr>
                <w:rFonts w:cs="Arial"/>
                <w:noProof w:val="0"/>
                <w:color w:val="000000"/>
                <w:sz w:val="16"/>
                <w:szCs w:val="16"/>
              </w:rPr>
              <w:t>PM2.5 and PM10</w:t>
            </w:r>
          </w:p>
          <w:p w14:paraId="4AE0F008"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Grievance Records</w:t>
            </w:r>
          </w:p>
        </w:tc>
        <w:tc>
          <w:tcPr>
            <w:tcW w:w="621" w:type="pct"/>
          </w:tcPr>
          <w:p w14:paraId="32653F25" w14:textId="77777777" w:rsidR="00A019D6" w:rsidRPr="000E280D" w:rsidRDefault="1FE75218" w:rsidP="000E280D">
            <w:pPr>
              <w:numPr>
                <w:ilvl w:val="0"/>
                <w:numId w:val="7"/>
              </w:numPr>
              <w:spacing w:before="60" w:after="0" w:line="240" w:lineRule="auto"/>
              <w:ind w:left="136" w:hanging="213"/>
              <w:jc w:val="left"/>
              <w:rPr>
                <w:rFonts w:cs="Wingdings"/>
                <w:color w:val="000000"/>
                <w:sz w:val="16"/>
                <w:szCs w:val="16"/>
              </w:rPr>
            </w:pPr>
            <w:r w:rsidRPr="000E280D">
              <w:rPr>
                <w:rFonts w:cs="Wingdings"/>
                <w:color w:val="000000" w:themeColor="text1"/>
                <w:sz w:val="16"/>
                <w:szCs w:val="16"/>
              </w:rPr>
              <w:t>On-site inspections</w:t>
            </w:r>
          </w:p>
          <w:p w14:paraId="713438EB" w14:textId="77777777" w:rsidR="00A019D6" w:rsidRPr="000E280D" w:rsidRDefault="1FE75218" w:rsidP="000E280D">
            <w:pPr>
              <w:numPr>
                <w:ilvl w:val="0"/>
                <w:numId w:val="7"/>
              </w:numPr>
              <w:spacing w:before="60" w:after="0" w:line="240" w:lineRule="auto"/>
              <w:ind w:left="136" w:hanging="213"/>
              <w:jc w:val="left"/>
              <w:rPr>
                <w:rFonts w:cs="Wingdings"/>
                <w:sz w:val="16"/>
                <w:szCs w:val="16"/>
              </w:rPr>
            </w:pPr>
            <w:r w:rsidRPr="000E280D">
              <w:rPr>
                <w:rFonts w:cs="Arial"/>
                <w:color w:val="000000" w:themeColor="text1"/>
                <w:sz w:val="16"/>
                <w:szCs w:val="16"/>
              </w:rPr>
              <w:t>PM2.5 and PM10 Measurements to be performed in case of grievance</w:t>
            </w:r>
          </w:p>
        </w:tc>
        <w:tc>
          <w:tcPr>
            <w:tcW w:w="758" w:type="pct"/>
          </w:tcPr>
          <w:p w14:paraId="7B787E56" w14:textId="77777777" w:rsidR="00A019D6" w:rsidRPr="000E280D" w:rsidRDefault="1FE75218" w:rsidP="000E280D">
            <w:pPr>
              <w:numPr>
                <w:ilvl w:val="0"/>
                <w:numId w:val="7"/>
              </w:numPr>
              <w:spacing w:before="60" w:after="0" w:line="240" w:lineRule="auto"/>
              <w:ind w:left="136" w:hanging="213"/>
              <w:jc w:val="left"/>
              <w:rPr>
                <w:rFonts w:cs="Wingdings"/>
                <w:color w:val="000000"/>
                <w:sz w:val="16"/>
                <w:szCs w:val="16"/>
              </w:rPr>
            </w:pPr>
            <w:r w:rsidRPr="000E280D">
              <w:rPr>
                <w:rFonts w:cs="Wingdings"/>
                <w:color w:val="000000" w:themeColor="text1"/>
                <w:sz w:val="16"/>
                <w:szCs w:val="16"/>
              </w:rPr>
              <w:t>Minimization and continued improvement in the number of the reported air quality related incidents.</w:t>
            </w:r>
          </w:p>
          <w:p w14:paraId="5893A9E5" w14:textId="77777777" w:rsidR="00A019D6" w:rsidRPr="000E280D" w:rsidRDefault="1FE75218" w:rsidP="000E280D">
            <w:pPr>
              <w:numPr>
                <w:ilvl w:val="0"/>
                <w:numId w:val="7"/>
              </w:numPr>
              <w:spacing w:before="60" w:after="0" w:line="240" w:lineRule="auto"/>
              <w:ind w:left="136" w:hanging="213"/>
              <w:jc w:val="left"/>
              <w:rPr>
                <w:rFonts w:cs="Wingdings"/>
                <w:color w:val="000000"/>
                <w:sz w:val="16"/>
                <w:szCs w:val="16"/>
              </w:rPr>
            </w:pPr>
            <w:r w:rsidRPr="000E280D">
              <w:rPr>
                <w:rFonts w:cs="Wingdings"/>
                <w:color w:val="000000" w:themeColor="text1"/>
                <w:sz w:val="16"/>
                <w:szCs w:val="16"/>
              </w:rPr>
              <w:t>Zero complaints per year</w:t>
            </w:r>
          </w:p>
          <w:p w14:paraId="33E98B63" w14:textId="77777777" w:rsidR="00A019D6" w:rsidRPr="000E280D" w:rsidRDefault="1FE75218" w:rsidP="000E280D">
            <w:pPr>
              <w:numPr>
                <w:ilvl w:val="0"/>
                <w:numId w:val="7"/>
              </w:numPr>
              <w:spacing w:before="60" w:after="0" w:line="240" w:lineRule="auto"/>
              <w:ind w:left="136" w:hanging="213"/>
              <w:jc w:val="left"/>
              <w:rPr>
                <w:rFonts w:cs="Wingdings"/>
                <w:sz w:val="16"/>
                <w:szCs w:val="16"/>
              </w:rPr>
            </w:pPr>
            <w:r w:rsidRPr="000E280D">
              <w:rPr>
                <w:rFonts w:cs="Arial"/>
                <w:color w:val="000000" w:themeColor="text1"/>
                <w:sz w:val="16"/>
                <w:szCs w:val="16"/>
              </w:rPr>
              <w:t>Minimization and continued improvement in the number of air quality related community complaints.</w:t>
            </w:r>
          </w:p>
        </w:tc>
        <w:tc>
          <w:tcPr>
            <w:tcW w:w="793" w:type="pct"/>
          </w:tcPr>
          <w:p w14:paraId="21951C99" w14:textId="674F2B44" w:rsidR="00A019D6" w:rsidRPr="000E280D" w:rsidRDefault="1FE75218" w:rsidP="000E280D">
            <w:pPr>
              <w:numPr>
                <w:ilvl w:val="0"/>
                <w:numId w:val="7"/>
              </w:numPr>
              <w:spacing w:before="60" w:after="0" w:line="240" w:lineRule="auto"/>
              <w:ind w:left="91" w:hanging="182"/>
              <w:jc w:val="left"/>
              <w:rPr>
                <w:rFonts w:cs="Wingdings"/>
                <w:color w:val="000000"/>
                <w:sz w:val="16"/>
                <w:szCs w:val="16"/>
              </w:rPr>
            </w:pPr>
            <w:r w:rsidRPr="000E280D">
              <w:rPr>
                <w:rFonts w:cs="Wingdings"/>
                <w:color w:val="000000" w:themeColor="text1"/>
                <w:sz w:val="16"/>
                <w:szCs w:val="16"/>
              </w:rPr>
              <w:t xml:space="preserve">Regulation on Air Quality Assessment and Management or WB General EHS </w:t>
            </w:r>
            <w:r w:rsidR="00FA2BBC" w:rsidRPr="000E280D">
              <w:rPr>
                <w:rFonts w:cs="Wingdings"/>
                <w:color w:val="000000" w:themeColor="text1"/>
                <w:sz w:val="16"/>
                <w:szCs w:val="16"/>
              </w:rPr>
              <w:t>Guidelines:</w:t>
            </w:r>
            <w:r w:rsidRPr="000E280D">
              <w:rPr>
                <w:rFonts w:cs="Wingdings"/>
                <w:color w:val="000000" w:themeColor="text1"/>
                <w:sz w:val="16"/>
                <w:szCs w:val="16"/>
              </w:rPr>
              <w:t xml:space="preserve"> Environmental Air Emissions and Ambient Air Quality (the stricter limit values will be applied)</w:t>
            </w:r>
          </w:p>
          <w:p w14:paraId="281334C2" w14:textId="77777777" w:rsidR="00A019D6" w:rsidRPr="000E280D" w:rsidRDefault="1FE75218" w:rsidP="000E280D">
            <w:pPr>
              <w:numPr>
                <w:ilvl w:val="0"/>
                <w:numId w:val="7"/>
              </w:numPr>
              <w:spacing w:before="60" w:after="0" w:line="240" w:lineRule="auto"/>
              <w:ind w:left="91" w:hanging="182"/>
              <w:jc w:val="left"/>
              <w:rPr>
                <w:rFonts w:cs="Wingdings"/>
                <w:sz w:val="16"/>
                <w:szCs w:val="16"/>
              </w:rPr>
            </w:pPr>
            <w:r w:rsidRPr="000E280D">
              <w:rPr>
                <w:rFonts w:cs="Arial"/>
                <w:color w:val="000000" w:themeColor="text1"/>
                <w:sz w:val="16"/>
                <w:szCs w:val="16"/>
              </w:rPr>
              <w:t>WB ESS-10</w:t>
            </w:r>
          </w:p>
          <w:p w14:paraId="7076E5EE" w14:textId="77777777" w:rsidR="00A019D6" w:rsidRPr="000E280D" w:rsidRDefault="001E66ED" w:rsidP="000E280D">
            <w:pPr>
              <w:numPr>
                <w:ilvl w:val="0"/>
                <w:numId w:val="7"/>
              </w:numPr>
              <w:spacing w:before="60" w:after="0" w:line="240" w:lineRule="auto"/>
              <w:ind w:left="91" w:hanging="182"/>
              <w:jc w:val="left"/>
              <w:rPr>
                <w:rFonts w:cs="Wingdings"/>
                <w:sz w:val="16"/>
                <w:szCs w:val="16"/>
              </w:rPr>
            </w:pPr>
            <w:r w:rsidRPr="000E280D">
              <w:rPr>
                <w:rFonts w:cs="Wingdings"/>
                <w:sz w:val="16"/>
                <w:szCs w:val="16"/>
              </w:rPr>
              <w:t>WB ESS-3</w:t>
            </w:r>
          </w:p>
        </w:tc>
        <w:tc>
          <w:tcPr>
            <w:tcW w:w="691" w:type="pct"/>
          </w:tcPr>
          <w:p w14:paraId="1C5FDF30" w14:textId="5B97A831" w:rsidR="00A019D6" w:rsidRPr="000E280D" w:rsidRDefault="007A3AC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cs="Wingdings"/>
                <w:color w:val="000000" w:themeColor="text1"/>
                <w:sz w:val="16"/>
                <w:szCs w:val="16"/>
                <w:lang w:eastAsia="tr-TR"/>
              </w:rPr>
              <w:t>A</w:t>
            </w:r>
            <w:r w:rsidR="1FE75218" w:rsidRPr="000E280D">
              <w:rPr>
                <w:rFonts w:eastAsia="Arial TUR" w:cs="Wingdings"/>
                <w:color w:val="000000" w:themeColor="text1"/>
                <w:sz w:val="16"/>
                <w:szCs w:val="16"/>
                <w:lang w:eastAsia="en-US"/>
              </w:rPr>
              <w:t>ir Quality incidents</w:t>
            </w:r>
          </w:p>
          <w:p w14:paraId="2501F481" w14:textId="42788B6E"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Non-Compliance with air quality standards</w:t>
            </w:r>
          </w:p>
          <w:p w14:paraId="570DB7F4" w14:textId="48F0F2A3" w:rsidR="00A019D6" w:rsidRPr="000E280D" w:rsidRDefault="00BA5B00"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cs="Wingdings"/>
                <w:color w:val="000000" w:themeColor="text1"/>
                <w:sz w:val="16"/>
                <w:szCs w:val="16"/>
              </w:rPr>
              <w:t>C</w:t>
            </w:r>
            <w:r w:rsidR="1FE75218" w:rsidRPr="000E280D">
              <w:rPr>
                <w:rFonts w:cs="Wingdings"/>
                <w:color w:val="000000" w:themeColor="text1"/>
                <w:sz w:val="16"/>
                <w:szCs w:val="16"/>
              </w:rPr>
              <w:t>ommunity complaints</w:t>
            </w:r>
            <w:r w:rsidR="001A78E1" w:rsidRPr="000E280D">
              <w:rPr>
                <w:rFonts w:cs="Wingdings"/>
                <w:color w:val="000000" w:themeColor="text1"/>
                <w:sz w:val="16"/>
                <w:szCs w:val="16"/>
              </w:rPr>
              <w:t xml:space="preserve"> related to air pollution</w:t>
            </w:r>
          </w:p>
          <w:p w14:paraId="4456E33B" w14:textId="77777777" w:rsidR="00A019D6" w:rsidRPr="000E280D" w:rsidRDefault="00A019D6" w:rsidP="000E280D">
            <w:pPr>
              <w:pStyle w:val="BodyText"/>
              <w:spacing w:before="40" w:after="40" w:line="240" w:lineRule="auto"/>
              <w:jc w:val="left"/>
              <w:rPr>
                <w:rFonts w:cs="Wingdings"/>
                <w:noProof w:val="0"/>
                <w:sz w:val="16"/>
                <w:szCs w:val="16"/>
              </w:rPr>
            </w:pPr>
          </w:p>
        </w:tc>
        <w:tc>
          <w:tcPr>
            <w:tcW w:w="276" w:type="pct"/>
          </w:tcPr>
          <w:p w14:paraId="5458353C"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02ABB1C1" w14:textId="77777777" w:rsidR="00E817C3" w:rsidRPr="000E280D" w:rsidRDefault="00E817C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56FF20BA"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149768EC" w14:textId="5A4DDC92"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28F36796" w14:textId="77777777" w:rsidTr="00270ACC">
        <w:trPr>
          <w:trHeight w:val="1479"/>
        </w:trPr>
        <w:tc>
          <w:tcPr>
            <w:tcW w:w="310" w:type="pct"/>
          </w:tcPr>
          <w:p w14:paraId="2AF2E4AF"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b/>
                <w:bCs/>
                <w:noProof w:val="0"/>
                <w:sz w:val="16"/>
                <w:szCs w:val="16"/>
              </w:rPr>
              <w:t>Noise</w:t>
            </w:r>
          </w:p>
        </w:tc>
        <w:tc>
          <w:tcPr>
            <w:tcW w:w="446" w:type="pct"/>
          </w:tcPr>
          <w:p w14:paraId="433BDCA0"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Project area</w:t>
            </w:r>
          </w:p>
          <w:p w14:paraId="6A8BB1CD" w14:textId="636B3B0B"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 xml:space="preserve">Settlements and </w:t>
            </w:r>
            <w:r w:rsidR="007D7988" w:rsidRPr="000E280D">
              <w:rPr>
                <w:rFonts w:cs="Arial"/>
                <w:noProof w:val="0"/>
                <w:color w:val="000000"/>
                <w:sz w:val="16"/>
                <w:szCs w:val="16"/>
              </w:rPr>
              <w:t>house</w:t>
            </w:r>
            <w:r w:rsidRPr="000E280D">
              <w:rPr>
                <w:rFonts w:cs="Arial"/>
                <w:noProof w:val="0"/>
                <w:color w:val="000000"/>
                <w:sz w:val="16"/>
                <w:szCs w:val="16"/>
              </w:rPr>
              <w:t xml:space="preserve"> near the project area</w:t>
            </w:r>
          </w:p>
        </w:tc>
        <w:tc>
          <w:tcPr>
            <w:tcW w:w="417" w:type="pct"/>
          </w:tcPr>
          <w:p w14:paraId="0C30F0D9"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During Construction</w:t>
            </w:r>
          </w:p>
          <w:p w14:paraId="4C947379" w14:textId="77777777" w:rsidR="00A019D6" w:rsidRPr="000E280D" w:rsidRDefault="00A019D6" w:rsidP="000E280D">
            <w:pPr>
              <w:pStyle w:val="BodyText"/>
              <w:spacing w:before="40" w:after="40" w:line="240" w:lineRule="auto"/>
              <w:jc w:val="left"/>
              <w:rPr>
                <w:rFonts w:cs="Wingdings"/>
                <w:noProof w:val="0"/>
                <w:color w:val="000000"/>
                <w:sz w:val="16"/>
                <w:szCs w:val="16"/>
              </w:rPr>
            </w:pPr>
            <w:r w:rsidRPr="000E280D">
              <w:rPr>
                <w:rFonts w:cs="Wingdings"/>
                <w:noProof w:val="0"/>
                <w:color w:val="000000"/>
                <w:sz w:val="16"/>
                <w:szCs w:val="16"/>
              </w:rPr>
              <w:t>In case of grievance</w:t>
            </w:r>
          </w:p>
          <w:p w14:paraId="761EBD19"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Monthly</w:t>
            </w:r>
          </w:p>
        </w:tc>
        <w:tc>
          <w:tcPr>
            <w:tcW w:w="344" w:type="pct"/>
          </w:tcPr>
          <w:p w14:paraId="1449679D" w14:textId="77777777" w:rsidR="00A019D6" w:rsidRPr="000E280D" w:rsidRDefault="00A019D6" w:rsidP="000E280D">
            <w:pPr>
              <w:pStyle w:val="BodyText"/>
              <w:spacing w:before="40" w:after="40" w:line="240" w:lineRule="auto"/>
              <w:jc w:val="left"/>
              <w:rPr>
                <w:rFonts w:cs="Arial"/>
                <w:noProof w:val="0"/>
                <w:sz w:val="16"/>
                <w:szCs w:val="16"/>
              </w:rPr>
            </w:pPr>
            <w:r w:rsidRPr="000E280D">
              <w:rPr>
                <w:rFonts w:cs="Arial"/>
                <w:noProof w:val="0"/>
                <w:sz w:val="16"/>
                <w:szCs w:val="16"/>
              </w:rPr>
              <w:t>Sound Power Level (dB)</w:t>
            </w:r>
            <w:r w:rsidR="001E66ED" w:rsidRPr="000E280D">
              <w:rPr>
                <w:rFonts w:cs="Arial"/>
                <w:noProof w:val="0"/>
                <w:sz w:val="16"/>
                <w:szCs w:val="16"/>
              </w:rPr>
              <w:t xml:space="preserve"> L</w:t>
            </w:r>
            <w:r w:rsidR="00771DAB" w:rsidRPr="000E280D">
              <w:rPr>
                <w:rFonts w:cs="Arial"/>
                <w:noProof w:val="0"/>
                <w:sz w:val="16"/>
                <w:szCs w:val="16"/>
              </w:rPr>
              <w:t>Aeq for daytime</w:t>
            </w:r>
          </w:p>
          <w:p w14:paraId="5F18AB81"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Grievance Records</w:t>
            </w:r>
          </w:p>
        </w:tc>
        <w:tc>
          <w:tcPr>
            <w:tcW w:w="621" w:type="pct"/>
          </w:tcPr>
          <w:p w14:paraId="507859EA" w14:textId="77777777" w:rsidR="00A019D6" w:rsidRPr="000E280D" w:rsidRDefault="1FE75218" w:rsidP="000E280D">
            <w:pPr>
              <w:numPr>
                <w:ilvl w:val="0"/>
                <w:numId w:val="7"/>
              </w:numPr>
              <w:spacing w:before="60" w:after="0" w:line="240" w:lineRule="auto"/>
              <w:ind w:left="95" w:hanging="140"/>
              <w:jc w:val="left"/>
              <w:rPr>
                <w:rFonts w:cs="Wingdings"/>
                <w:color w:val="000000"/>
                <w:sz w:val="16"/>
                <w:szCs w:val="16"/>
              </w:rPr>
            </w:pPr>
            <w:r w:rsidRPr="000E280D">
              <w:rPr>
                <w:rFonts w:cs="Wingdings"/>
                <w:color w:val="000000" w:themeColor="text1"/>
                <w:sz w:val="16"/>
                <w:szCs w:val="16"/>
              </w:rPr>
              <w:t xml:space="preserve">Monitoring conducted at the nearest sensitive receptors using noise measuring devices </w:t>
            </w:r>
          </w:p>
          <w:p w14:paraId="341E4EFC" w14:textId="77777777" w:rsidR="00A019D6" w:rsidRPr="000E280D" w:rsidRDefault="1FE75218" w:rsidP="000E280D">
            <w:pPr>
              <w:numPr>
                <w:ilvl w:val="0"/>
                <w:numId w:val="7"/>
              </w:numPr>
              <w:spacing w:before="60" w:after="0" w:line="240" w:lineRule="auto"/>
              <w:ind w:left="95" w:hanging="140"/>
              <w:jc w:val="left"/>
              <w:rPr>
                <w:rFonts w:cs="Wingdings"/>
                <w:color w:val="000000"/>
                <w:sz w:val="16"/>
                <w:szCs w:val="16"/>
              </w:rPr>
            </w:pPr>
            <w:r w:rsidRPr="000E280D">
              <w:rPr>
                <w:rFonts w:cs="Wingdings"/>
                <w:color w:val="000000" w:themeColor="text1"/>
                <w:sz w:val="16"/>
                <w:szCs w:val="16"/>
              </w:rPr>
              <w:t>On-site inspections</w:t>
            </w:r>
          </w:p>
          <w:p w14:paraId="09C8DF62" w14:textId="77777777" w:rsidR="00A019D6" w:rsidRPr="000E280D" w:rsidRDefault="1FE75218" w:rsidP="000E280D">
            <w:pPr>
              <w:numPr>
                <w:ilvl w:val="0"/>
                <w:numId w:val="7"/>
              </w:numPr>
              <w:spacing w:before="60" w:after="0" w:line="240" w:lineRule="auto"/>
              <w:ind w:left="95" w:hanging="140"/>
              <w:jc w:val="left"/>
              <w:rPr>
                <w:rFonts w:cs="Wingdings"/>
                <w:sz w:val="16"/>
                <w:szCs w:val="16"/>
              </w:rPr>
            </w:pPr>
            <w:r w:rsidRPr="000E280D">
              <w:rPr>
                <w:rFonts w:cs="Arial"/>
                <w:color w:val="000000" w:themeColor="text1"/>
                <w:sz w:val="16"/>
                <w:szCs w:val="16"/>
              </w:rPr>
              <w:t>Measurements to be performed in case of grievance</w:t>
            </w:r>
          </w:p>
        </w:tc>
        <w:tc>
          <w:tcPr>
            <w:tcW w:w="758" w:type="pct"/>
          </w:tcPr>
          <w:p w14:paraId="7A2E712A" w14:textId="77777777" w:rsidR="00A019D6" w:rsidRPr="000E280D" w:rsidRDefault="1FE75218" w:rsidP="000E280D">
            <w:pPr>
              <w:numPr>
                <w:ilvl w:val="0"/>
                <w:numId w:val="7"/>
              </w:numPr>
              <w:spacing w:before="60" w:after="0" w:line="240" w:lineRule="auto"/>
              <w:ind w:left="136" w:hanging="213"/>
              <w:jc w:val="left"/>
              <w:rPr>
                <w:rFonts w:cs="Wingdings"/>
                <w:color w:val="000000"/>
                <w:sz w:val="16"/>
                <w:szCs w:val="16"/>
              </w:rPr>
            </w:pPr>
            <w:r w:rsidRPr="000E280D">
              <w:rPr>
                <w:rFonts w:cs="Wingdings"/>
                <w:color w:val="000000" w:themeColor="text1"/>
                <w:sz w:val="16"/>
                <w:szCs w:val="16"/>
              </w:rPr>
              <w:t>Minimize and continued improvement in number of reported noise and vibration related incidents.</w:t>
            </w:r>
          </w:p>
          <w:p w14:paraId="62B84BCC" w14:textId="77777777" w:rsidR="00A019D6" w:rsidRPr="000E280D" w:rsidRDefault="1FE75218" w:rsidP="000E280D">
            <w:pPr>
              <w:numPr>
                <w:ilvl w:val="0"/>
                <w:numId w:val="7"/>
              </w:numPr>
              <w:spacing w:before="60" w:after="0" w:line="240" w:lineRule="auto"/>
              <w:ind w:left="136" w:hanging="213"/>
              <w:jc w:val="left"/>
              <w:rPr>
                <w:rFonts w:cs="Wingdings"/>
                <w:color w:val="000000"/>
                <w:sz w:val="16"/>
                <w:szCs w:val="16"/>
              </w:rPr>
            </w:pPr>
            <w:r w:rsidRPr="000E280D">
              <w:rPr>
                <w:rFonts w:cs="Wingdings"/>
                <w:color w:val="000000" w:themeColor="text1"/>
                <w:sz w:val="16"/>
                <w:szCs w:val="16"/>
              </w:rPr>
              <w:t>Zero NCRs per year</w:t>
            </w:r>
          </w:p>
          <w:p w14:paraId="5340AE8B" w14:textId="77777777" w:rsidR="00A019D6" w:rsidRPr="000E280D" w:rsidRDefault="1FE75218" w:rsidP="000E280D">
            <w:pPr>
              <w:numPr>
                <w:ilvl w:val="0"/>
                <w:numId w:val="7"/>
              </w:numPr>
              <w:spacing w:before="60" w:after="0" w:line="240" w:lineRule="auto"/>
              <w:ind w:left="136" w:hanging="213"/>
              <w:jc w:val="left"/>
              <w:rPr>
                <w:rFonts w:cs="Wingdings"/>
                <w:color w:val="000000"/>
                <w:sz w:val="16"/>
                <w:szCs w:val="16"/>
              </w:rPr>
            </w:pPr>
            <w:r w:rsidRPr="000E280D">
              <w:rPr>
                <w:rFonts w:cs="Wingdings"/>
                <w:color w:val="000000" w:themeColor="text1"/>
                <w:sz w:val="16"/>
                <w:szCs w:val="16"/>
              </w:rPr>
              <w:t>Zero grievances per year</w:t>
            </w:r>
          </w:p>
          <w:p w14:paraId="7374F7BD" w14:textId="77777777" w:rsidR="00A019D6" w:rsidRPr="000E280D" w:rsidRDefault="00A019D6" w:rsidP="000E280D">
            <w:pPr>
              <w:pStyle w:val="BodyText"/>
              <w:spacing w:before="40" w:after="40" w:line="240" w:lineRule="auto"/>
              <w:jc w:val="left"/>
              <w:rPr>
                <w:rFonts w:cs="Wingdings"/>
                <w:noProof w:val="0"/>
                <w:sz w:val="16"/>
                <w:szCs w:val="16"/>
              </w:rPr>
            </w:pPr>
          </w:p>
        </w:tc>
        <w:tc>
          <w:tcPr>
            <w:tcW w:w="793" w:type="pct"/>
          </w:tcPr>
          <w:p w14:paraId="6951076B" w14:textId="5E9924C4"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 xml:space="preserve">Regulation on </w:t>
            </w:r>
            <w:r w:rsidR="000A7D59" w:rsidRPr="000E280D">
              <w:rPr>
                <w:rFonts w:cs="Arial"/>
                <w:noProof w:val="0"/>
                <w:color w:val="000000"/>
                <w:sz w:val="16"/>
                <w:szCs w:val="16"/>
              </w:rPr>
              <w:t>Control</w:t>
            </w:r>
            <w:r w:rsidRPr="000E280D">
              <w:rPr>
                <w:rFonts w:cs="Arial"/>
                <w:noProof w:val="0"/>
                <w:color w:val="000000"/>
                <w:sz w:val="16"/>
                <w:szCs w:val="16"/>
              </w:rPr>
              <w:t xml:space="preserve"> of </w:t>
            </w:r>
            <w:r w:rsidR="000A7D59" w:rsidRPr="000E280D">
              <w:rPr>
                <w:rFonts w:cs="Arial"/>
                <w:noProof w:val="0"/>
                <w:color w:val="000000"/>
                <w:sz w:val="16"/>
                <w:szCs w:val="16"/>
              </w:rPr>
              <w:t xml:space="preserve">Ambient </w:t>
            </w:r>
            <w:r w:rsidRPr="000E280D">
              <w:rPr>
                <w:rFonts w:cs="Arial"/>
                <w:noProof w:val="0"/>
                <w:color w:val="000000"/>
                <w:sz w:val="16"/>
                <w:szCs w:val="16"/>
              </w:rPr>
              <w:t xml:space="preserve">Noise or WB General EHS </w:t>
            </w:r>
            <w:r w:rsidR="00FA2BBC" w:rsidRPr="000E280D">
              <w:rPr>
                <w:rFonts w:cs="Arial"/>
                <w:noProof w:val="0"/>
                <w:color w:val="000000"/>
                <w:sz w:val="16"/>
                <w:szCs w:val="16"/>
              </w:rPr>
              <w:t>Guidelines:</w:t>
            </w:r>
            <w:r w:rsidRPr="000E280D">
              <w:rPr>
                <w:rFonts w:cs="Arial"/>
                <w:noProof w:val="0"/>
                <w:color w:val="000000"/>
                <w:sz w:val="16"/>
                <w:szCs w:val="16"/>
              </w:rPr>
              <w:t xml:space="preserve"> Environmental Noise Management (the stricter limit values will be applied)</w:t>
            </w:r>
          </w:p>
          <w:p w14:paraId="64967427" w14:textId="77777777" w:rsidR="00A019D6" w:rsidRPr="000E280D" w:rsidRDefault="00A019D6" w:rsidP="000E280D">
            <w:pPr>
              <w:pStyle w:val="BodyText"/>
              <w:spacing w:before="40" w:after="40" w:line="240" w:lineRule="auto"/>
              <w:jc w:val="left"/>
              <w:rPr>
                <w:rFonts w:cs="Wingdings"/>
                <w:noProof w:val="0"/>
                <w:color w:val="000000"/>
                <w:sz w:val="16"/>
                <w:szCs w:val="16"/>
              </w:rPr>
            </w:pPr>
            <w:r w:rsidRPr="000E280D">
              <w:rPr>
                <w:rFonts w:cs="Wingdings"/>
                <w:noProof w:val="0"/>
                <w:color w:val="000000"/>
                <w:sz w:val="16"/>
                <w:szCs w:val="16"/>
              </w:rPr>
              <w:t>ESS10 Stakeholder Engagement and Information Disclosure</w:t>
            </w:r>
          </w:p>
          <w:p w14:paraId="7AF2E5AA" w14:textId="77777777" w:rsidR="00A019D6" w:rsidRPr="000E280D" w:rsidRDefault="00A019D6" w:rsidP="000E280D">
            <w:pPr>
              <w:pStyle w:val="BodyText"/>
              <w:spacing w:before="40" w:after="40" w:line="240" w:lineRule="auto"/>
              <w:jc w:val="left"/>
              <w:rPr>
                <w:rFonts w:cs="Wingdings"/>
                <w:noProof w:val="0"/>
                <w:sz w:val="16"/>
                <w:szCs w:val="16"/>
              </w:rPr>
            </w:pPr>
          </w:p>
        </w:tc>
        <w:tc>
          <w:tcPr>
            <w:tcW w:w="691" w:type="pct"/>
          </w:tcPr>
          <w:p w14:paraId="5361A15E" w14:textId="6FA990CB"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Noise and Vibration incidents</w:t>
            </w:r>
          </w:p>
          <w:p w14:paraId="637881AA" w14:textId="2B9F1949"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Non-Compliance with Project standards</w:t>
            </w:r>
          </w:p>
          <w:p w14:paraId="211353E4" w14:textId="4D9D046F" w:rsidR="00A019D6" w:rsidRPr="000E280D" w:rsidRDefault="00BA5B00"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cs="Wingdings"/>
                <w:color w:val="000000" w:themeColor="text1"/>
                <w:sz w:val="16"/>
                <w:szCs w:val="16"/>
              </w:rPr>
              <w:t>N</w:t>
            </w:r>
            <w:r w:rsidR="1FE75218" w:rsidRPr="000E280D">
              <w:rPr>
                <w:rFonts w:cs="Wingdings"/>
                <w:color w:val="000000" w:themeColor="text1"/>
                <w:sz w:val="16"/>
                <w:szCs w:val="16"/>
              </w:rPr>
              <w:t>oise-related community grievances</w:t>
            </w:r>
          </w:p>
          <w:p w14:paraId="7D861257" w14:textId="77777777" w:rsidR="00A019D6" w:rsidRPr="000E280D" w:rsidRDefault="00A019D6" w:rsidP="000E280D">
            <w:pPr>
              <w:pStyle w:val="BodyText"/>
              <w:spacing w:before="40" w:after="40" w:line="240" w:lineRule="auto"/>
              <w:jc w:val="left"/>
              <w:rPr>
                <w:rFonts w:cs="Wingdings"/>
                <w:noProof w:val="0"/>
                <w:sz w:val="16"/>
                <w:szCs w:val="16"/>
              </w:rPr>
            </w:pPr>
          </w:p>
        </w:tc>
        <w:tc>
          <w:tcPr>
            <w:tcW w:w="276" w:type="pct"/>
          </w:tcPr>
          <w:p w14:paraId="1B7A7C8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08590940" w14:textId="77777777" w:rsidR="00E817C3" w:rsidRPr="000E280D" w:rsidRDefault="00E817C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45074617"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4318C968" w14:textId="3305F976"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6C5014FC" w14:textId="77777777" w:rsidTr="00270ACC">
        <w:trPr>
          <w:trHeight w:val="1479"/>
        </w:trPr>
        <w:tc>
          <w:tcPr>
            <w:tcW w:w="310" w:type="pct"/>
          </w:tcPr>
          <w:p w14:paraId="1CD99FF0" w14:textId="77777777" w:rsidR="00A019D6" w:rsidRPr="000E280D" w:rsidRDefault="00A019D6" w:rsidP="000E280D">
            <w:pPr>
              <w:pStyle w:val="BodyText"/>
              <w:spacing w:before="40" w:after="40" w:line="240" w:lineRule="auto"/>
              <w:jc w:val="left"/>
              <w:rPr>
                <w:rFonts w:cs="Wingdings"/>
                <w:b/>
                <w:noProof w:val="0"/>
                <w:sz w:val="16"/>
                <w:szCs w:val="16"/>
              </w:rPr>
            </w:pPr>
            <w:r w:rsidRPr="000E280D">
              <w:rPr>
                <w:rFonts w:cs="Arial"/>
                <w:b/>
                <w:bCs/>
                <w:noProof w:val="0"/>
                <w:sz w:val="16"/>
                <w:szCs w:val="16"/>
              </w:rPr>
              <w:t>Waste Management</w:t>
            </w:r>
          </w:p>
        </w:tc>
        <w:tc>
          <w:tcPr>
            <w:tcW w:w="446" w:type="pct"/>
          </w:tcPr>
          <w:p w14:paraId="63D987BD"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Project area</w:t>
            </w:r>
          </w:p>
        </w:tc>
        <w:tc>
          <w:tcPr>
            <w:tcW w:w="417" w:type="pct"/>
          </w:tcPr>
          <w:p w14:paraId="2B39376D"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During Construction</w:t>
            </w:r>
          </w:p>
          <w:p w14:paraId="4D101B4D"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Daily</w:t>
            </w:r>
          </w:p>
        </w:tc>
        <w:tc>
          <w:tcPr>
            <w:tcW w:w="344" w:type="pct"/>
          </w:tcPr>
          <w:p w14:paraId="7DF4367B" w14:textId="77777777" w:rsidR="00A019D6" w:rsidRPr="000E280D" w:rsidRDefault="1FE75218" w:rsidP="000E280D">
            <w:pPr>
              <w:numPr>
                <w:ilvl w:val="0"/>
                <w:numId w:val="7"/>
              </w:numPr>
              <w:spacing w:before="60" w:after="0" w:line="240" w:lineRule="auto"/>
              <w:ind w:left="95" w:hanging="140"/>
              <w:jc w:val="left"/>
              <w:rPr>
                <w:rFonts w:cs="Wingdings"/>
                <w:color w:val="000000"/>
                <w:sz w:val="16"/>
                <w:szCs w:val="16"/>
              </w:rPr>
            </w:pPr>
            <w:r w:rsidRPr="000E280D">
              <w:rPr>
                <w:rFonts w:cs="Wingdings"/>
                <w:color w:val="000000" w:themeColor="text1"/>
                <w:sz w:val="16"/>
                <w:szCs w:val="16"/>
              </w:rPr>
              <w:t>Temporary waste storage area conditions</w:t>
            </w:r>
          </w:p>
          <w:p w14:paraId="1CDB00E6" w14:textId="77777777" w:rsidR="00A019D6" w:rsidRPr="000E280D" w:rsidRDefault="1FE75218" w:rsidP="000E280D">
            <w:pPr>
              <w:numPr>
                <w:ilvl w:val="0"/>
                <w:numId w:val="7"/>
              </w:numPr>
              <w:spacing w:before="60" w:after="0" w:line="240" w:lineRule="auto"/>
              <w:ind w:left="95" w:hanging="140"/>
              <w:jc w:val="left"/>
              <w:rPr>
                <w:rFonts w:cs="Wingdings"/>
                <w:color w:val="000000"/>
                <w:sz w:val="16"/>
                <w:szCs w:val="16"/>
              </w:rPr>
            </w:pPr>
            <w:r w:rsidRPr="000E280D">
              <w:rPr>
                <w:rFonts w:cs="Wingdings"/>
                <w:color w:val="000000" w:themeColor="text1"/>
                <w:sz w:val="16"/>
                <w:szCs w:val="16"/>
              </w:rPr>
              <w:t>Waste amount</w:t>
            </w:r>
          </w:p>
          <w:p w14:paraId="18BE46E8" w14:textId="77777777" w:rsidR="00A019D6" w:rsidRPr="000E280D" w:rsidRDefault="1FE75218" w:rsidP="000E280D">
            <w:pPr>
              <w:numPr>
                <w:ilvl w:val="0"/>
                <w:numId w:val="7"/>
              </w:numPr>
              <w:spacing w:before="60" w:after="0" w:line="240" w:lineRule="auto"/>
              <w:ind w:left="95" w:hanging="140"/>
              <w:jc w:val="left"/>
              <w:rPr>
                <w:rFonts w:cs="Wingdings"/>
                <w:sz w:val="16"/>
                <w:szCs w:val="16"/>
              </w:rPr>
            </w:pPr>
            <w:r w:rsidRPr="000E280D">
              <w:rPr>
                <w:rFonts w:cs="Arial"/>
                <w:color w:val="000000" w:themeColor="text1"/>
                <w:sz w:val="16"/>
                <w:szCs w:val="16"/>
              </w:rPr>
              <w:t>Recovery / reuse / recycle ratio</w:t>
            </w:r>
          </w:p>
        </w:tc>
        <w:tc>
          <w:tcPr>
            <w:tcW w:w="621" w:type="pct"/>
          </w:tcPr>
          <w:p w14:paraId="56B2F378" w14:textId="77777777" w:rsidR="00A019D6" w:rsidRPr="000E280D" w:rsidRDefault="1FE75218" w:rsidP="000E280D">
            <w:pPr>
              <w:numPr>
                <w:ilvl w:val="0"/>
                <w:numId w:val="7"/>
              </w:numPr>
              <w:spacing w:before="60" w:after="0" w:line="240" w:lineRule="auto"/>
              <w:ind w:left="137" w:hanging="154"/>
              <w:jc w:val="left"/>
              <w:rPr>
                <w:rFonts w:cs="Wingdings"/>
                <w:color w:val="000000"/>
                <w:sz w:val="16"/>
                <w:szCs w:val="16"/>
              </w:rPr>
            </w:pPr>
            <w:r w:rsidRPr="000E280D">
              <w:rPr>
                <w:rFonts w:cs="Wingdings"/>
                <w:color w:val="000000" w:themeColor="text1"/>
                <w:sz w:val="16"/>
                <w:szCs w:val="16"/>
              </w:rPr>
              <w:t>Waste records</w:t>
            </w:r>
          </w:p>
          <w:p w14:paraId="2A331D7C" w14:textId="77777777" w:rsidR="00A019D6" w:rsidRPr="000E280D" w:rsidRDefault="1FE75218" w:rsidP="000E280D">
            <w:pPr>
              <w:numPr>
                <w:ilvl w:val="0"/>
                <w:numId w:val="7"/>
              </w:numPr>
              <w:spacing w:before="60" w:after="0" w:line="240" w:lineRule="auto"/>
              <w:ind w:left="137" w:hanging="154"/>
              <w:jc w:val="left"/>
              <w:rPr>
                <w:rFonts w:cs="Wingdings"/>
                <w:sz w:val="16"/>
                <w:szCs w:val="16"/>
              </w:rPr>
            </w:pPr>
            <w:r w:rsidRPr="000E280D">
              <w:rPr>
                <w:rFonts w:cs="Arial"/>
                <w:color w:val="000000" w:themeColor="text1"/>
                <w:sz w:val="16"/>
                <w:szCs w:val="16"/>
              </w:rPr>
              <w:t>On-site inspection</w:t>
            </w:r>
          </w:p>
        </w:tc>
        <w:tc>
          <w:tcPr>
            <w:tcW w:w="758" w:type="pct"/>
          </w:tcPr>
          <w:p w14:paraId="3A8D39B5" w14:textId="2F9DD3B6" w:rsidR="00855BFA" w:rsidRPr="000E280D" w:rsidRDefault="003F5116" w:rsidP="000E280D">
            <w:pPr>
              <w:numPr>
                <w:ilvl w:val="0"/>
                <w:numId w:val="7"/>
              </w:numPr>
              <w:spacing w:before="60" w:after="0" w:line="240" w:lineRule="auto"/>
              <w:ind w:left="136" w:hanging="213"/>
              <w:jc w:val="left"/>
              <w:rPr>
                <w:rFonts w:cs="Wingdings"/>
                <w:color w:val="000000"/>
                <w:sz w:val="16"/>
                <w:szCs w:val="16"/>
              </w:rPr>
            </w:pPr>
            <w:r w:rsidRPr="000E280D">
              <w:rPr>
                <w:rFonts w:cs="Wingdings"/>
                <w:color w:val="000000" w:themeColor="text1"/>
                <w:sz w:val="16"/>
                <w:szCs w:val="16"/>
              </w:rPr>
              <w:t>Minimization of t</w:t>
            </w:r>
            <w:r w:rsidR="00855BFA" w:rsidRPr="000E280D">
              <w:rPr>
                <w:rFonts w:cs="Wingdings"/>
                <w:color w:val="000000" w:themeColor="text1"/>
                <w:sz w:val="16"/>
                <w:szCs w:val="16"/>
              </w:rPr>
              <w:t>otal waste generated</w:t>
            </w:r>
          </w:p>
          <w:p w14:paraId="130362CD" w14:textId="186C53F2" w:rsidR="00855BFA" w:rsidRPr="000E280D" w:rsidRDefault="003F5116" w:rsidP="000E280D">
            <w:pPr>
              <w:numPr>
                <w:ilvl w:val="0"/>
                <w:numId w:val="7"/>
              </w:numPr>
              <w:spacing w:before="60" w:after="0" w:line="240" w:lineRule="auto"/>
              <w:ind w:left="136" w:hanging="213"/>
              <w:jc w:val="left"/>
              <w:rPr>
                <w:rFonts w:cs="Wingdings"/>
                <w:sz w:val="16"/>
                <w:szCs w:val="16"/>
              </w:rPr>
            </w:pPr>
            <w:r w:rsidRPr="000E280D">
              <w:rPr>
                <w:rFonts w:cs="Wingdings"/>
                <w:color w:val="000000" w:themeColor="text1"/>
                <w:sz w:val="16"/>
                <w:szCs w:val="16"/>
              </w:rPr>
              <w:t>Minimize the r</w:t>
            </w:r>
            <w:r w:rsidR="00855BFA" w:rsidRPr="000E280D">
              <w:rPr>
                <w:rFonts w:cs="Wingdings"/>
                <w:color w:val="000000" w:themeColor="text1"/>
                <w:sz w:val="16"/>
                <w:szCs w:val="16"/>
              </w:rPr>
              <w:t>atio of hazardous waste generated to total waste (by contamination + by generation)</w:t>
            </w:r>
          </w:p>
          <w:p w14:paraId="690CE49B" w14:textId="57BC8EDB" w:rsidR="00A019D6" w:rsidRPr="000E280D" w:rsidRDefault="003F5116" w:rsidP="000E280D">
            <w:pPr>
              <w:numPr>
                <w:ilvl w:val="0"/>
                <w:numId w:val="7"/>
              </w:numPr>
              <w:spacing w:before="60" w:after="0" w:line="240" w:lineRule="auto"/>
              <w:ind w:left="136" w:hanging="213"/>
              <w:jc w:val="left"/>
              <w:rPr>
                <w:rFonts w:cs="Wingdings"/>
                <w:sz w:val="16"/>
                <w:szCs w:val="16"/>
              </w:rPr>
            </w:pPr>
            <w:r w:rsidRPr="000E280D">
              <w:rPr>
                <w:rFonts w:cs="Arial"/>
                <w:color w:val="000000" w:themeColor="text1"/>
                <w:sz w:val="16"/>
                <w:szCs w:val="16"/>
              </w:rPr>
              <w:t>Increasing the r</w:t>
            </w:r>
            <w:r w:rsidR="003B079B" w:rsidRPr="000E280D">
              <w:rPr>
                <w:rFonts w:cs="Arial"/>
                <w:color w:val="000000" w:themeColor="text1"/>
                <w:sz w:val="16"/>
                <w:szCs w:val="16"/>
              </w:rPr>
              <w:t>atio of recovered/reused/recycled waste to total waste generated</w:t>
            </w:r>
          </w:p>
        </w:tc>
        <w:tc>
          <w:tcPr>
            <w:tcW w:w="793" w:type="pct"/>
          </w:tcPr>
          <w:p w14:paraId="2EAAF57C" w14:textId="77777777" w:rsidR="00A019D6" w:rsidRPr="000E280D" w:rsidRDefault="1FE75218" w:rsidP="000E280D">
            <w:pPr>
              <w:numPr>
                <w:ilvl w:val="0"/>
                <w:numId w:val="7"/>
              </w:numPr>
              <w:spacing w:before="60" w:after="0" w:line="240" w:lineRule="auto"/>
              <w:ind w:left="92" w:hanging="168"/>
              <w:jc w:val="left"/>
              <w:rPr>
                <w:rFonts w:cs="Wingdings"/>
                <w:color w:val="000000"/>
                <w:sz w:val="16"/>
                <w:szCs w:val="16"/>
              </w:rPr>
            </w:pPr>
            <w:r w:rsidRPr="000E280D">
              <w:rPr>
                <w:rFonts w:cs="Wingdings"/>
                <w:color w:val="000000" w:themeColor="text1"/>
                <w:sz w:val="16"/>
                <w:szCs w:val="16"/>
              </w:rPr>
              <w:t>Regulation on Hazardous Waste Control</w:t>
            </w:r>
          </w:p>
          <w:p w14:paraId="6F987474" w14:textId="77777777" w:rsidR="00A019D6" w:rsidRPr="000E280D" w:rsidRDefault="1FE75218" w:rsidP="000E280D">
            <w:pPr>
              <w:numPr>
                <w:ilvl w:val="0"/>
                <w:numId w:val="7"/>
              </w:numPr>
              <w:spacing w:before="60" w:after="0" w:line="240" w:lineRule="auto"/>
              <w:ind w:left="92" w:hanging="168"/>
              <w:jc w:val="left"/>
              <w:rPr>
                <w:rFonts w:cs="Wingdings"/>
                <w:color w:val="000000"/>
                <w:sz w:val="16"/>
                <w:szCs w:val="16"/>
              </w:rPr>
            </w:pPr>
            <w:r w:rsidRPr="000E280D">
              <w:rPr>
                <w:rFonts w:cs="Wingdings"/>
                <w:color w:val="000000" w:themeColor="text1"/>
                <w:sz w:val="16"/>
                <w:szCs w:val="16"/>
              </w:rPr>
              <w:t>Packaging Waste Control Regulation</w:t>
            </w:r>
          </w:p>
          <w:p w14:paraId="46B8813F" w14:textId="77777777" w:rsidR="00A019D6" w:rsidRPr="000E280D" w:rsidRDefault="1FE75218" w:rsidP="000E280D">
            <w:pPr>
              <w:numPr>
                <w:ilvl w:val="0"/>
                <w:numId w:val="7"/>
              </w:numPr>
              <w:spacing w:before="60" w:after="0" w:line="240" w:lineRule="auto"/>
              <w:ind w:left="92" w:hanging="168"/>
              <w:jc w:val="left"/>
              <w:rPr>
                <w:rFonts w:cs="Wingdings"/>
                <w:color w:val="000000"/>
                <w:sz w:val="16"/>
                <w:szCs w:val="16"/>
              </w:rPr>
            </w:pPr>
            <w:r w:rsidRPr="000E280D">
              <w:rPr>
                <w:rFonts w:cs="Wingdings"/>
                <w:color w:val="000000" w:themeColor="text1"/>
                <w:sz w:val="16"/>
                <w:szCs w:val="16"/>
              </w:rPr>
              <w:t>Waste Management Regulation</w:t>
            </w:r>
          </w:p>
          <w:p w14:paraId="2F433883" w14:textId="77777777" w:rsidR="00A019D6" w:rsidRPr="000E280D" w:rsidRDefault="1FE75218" w:rsidP="000E280D">
            <w:pPr>
              <w:numPr>
                <w:ilvl w:val="0"/>
                <w:numId w:val="7"/>
              </w:numPr>
              <w:spacing w:before="60" w:after="0" w:line="240" w:lineRule="auto"/>
              <w:ind w:left="92" w:hanging="168"/>
              <w:jc w:val="left"/>
              <w:rPr>
                <w:color w:val="000000"/>
                <w:sz w:val="16"/>
                <w:szCs w:val="16"/>
              </w:rPr>
            </w:pPr>
            <w:r w:rsidRPr="000E280D">
              <w:rPr>
                <w:rFonts w:cs="Wingdings"/>
                <w:color w:val="000000" w:themeColor="text1"/>
                <w:sz w:val="16"/>
                <w:szCs w:val="16"/>
              </w:rPr>
              <w:t>WB General EHS Guidelines: Environmental Waste Management</w:t>
            </w:r>
          </w:p>
          <w:p w14:paraId="45594522" w14:textId="0F572EAC" w:rsidR="00771DAB" w:rsidRPr="000E280D" w:rsidRDefault="00771DAB" w:rsidP="000E280D">
            <w:pPr>
              <w:numPr>
                <w:ilvl w:val="0"/>
                <w:numId w:val="7"/>
              </w:numPr>
              <w:spacing w:before="60" w:after="0" w:line="240" w:lineRule="auto"/>
              <w:ind w:left="92" w:hanging="168"/>
              <w:jc w:val="left"/>
              <w:rPr>
                <w:rFonts w:cs="Wingdings"/>
                <w:color w:val="000000"/>
                <w:sz w:val="16"/>
                <w:szCs w:val="16"/>
              </w:rPr>
            </w:pPr>
            <w:r w:rsidRPr="000E280D">
              <w:rPr>
                <w:rFonts w:cs="Wingdings"/>
                <w:color w:val="000000"/>
                <w:sz w:val="16"/>
                <w:szCs w:val="16"/>
              </w:rPr>
              <w:t>WB ESS3</w:t>
            </w:r>
          </w:p>
          <w:p w14:paraId="40DBBF46" w14:textId="77777777" w:rsidR="00A019D6" w:rsidRPr="000E280D" w:rsidRDefault="00A019D6" w:rsidP="000E280D">
            <w:pPr>
              <w:pStyle w:val="BodyText"/>
              <w:spacing w:before="40" w:after="40" w:line="240" w:lineRule="auto"/>
              <w:jc w:val="left"/>
              <w:rPr>
                <w:rFonts w:cs="Wingdings"/>
                <w:noProof w:val="0"/>
                <w:sz w:val="16"/>
                <w:szCs w:val="16"/>
              </w:rPr>
            </w:pPr>
          </w:p>
        </w:tc>
        <w:tc>
          <w:tcPr>
            <w:tcW w:w="691" w:type="pct"/>
          </w:tcPr>
          <w:p w14:paraId="4945B76C" w14:textId="77C14969" w:rsidR="00A019D6" w:rsidRPr="000E280D" w:rsidRDefault="00DA797E"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Waste Generation</w:t>
            </w:r>
          </w:p>
          <w:p w14:paraId="52C942CC" w14:textId="48121DF9" w:rsidR="00DA797E" w:rsidRPr="000E280D" w:rsidRDefault="00DA797E"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sz w:val="16"/>
                <w:szCs w:val="16"/>
                <w:lang w:eastAsia="en-US"/>
              </w:rPr>
              <w:t>Waste Disposal</w:t>
            </w:r>
          </w:p>
          <w:p w14:paraId="039ADF3F" w14:textId="77777777" w:rsidR="00A019D6" w:rsidRPr="000E280D" w:rsidRDefault="00A019D6" w:rsidP="000E280D">
            <w:pPr>
              <w:spacing w:before="0" w:after="0" w:line="240" w:lineRule="auto"/>
              <w:ind w:left="209"/>
              <w:jc w:val="left"/>
              <w:rPr>
                <w:rFonts w:cs="Wingdings"/>
                <w:sz w:val="16"/>
                <w:szCs w:val="16"/>
              </w:rPr>
            </w:pPr>
          </w:p>
        </w:tc>
        <w:tc>
          <w:tcPr>
            <w:tcW w:w="276" w:type="pct"/>
          </w:tcPr>
          <w:p w14:paraId="67732C0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155BA293" w14:textId="77777777" w:rsidR="00E817C3" w:rsidRPr="000E280D" w:rsidRDefault="00E817C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486C2470"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77BEC31D" w14:textId="44D06759"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0E7C513A" w14:textId="77777777" w:rsidTr="00270ACC">
        <w:trPr>
          <w:trHeight w:val="1479"/>
        </w:trPr>
        <w:tc>
          <w:tcPr>
            <w:tcW w:w="310" w:type="pct"/>
          </w:tcPr>
          <w:p w14:paraId="574205A6" w14:textId="77777777" w:rsidR="00A019D6" w:rsidRPr="000E280D" w:rsidRDefault="00A019D6" w:rsidP="000E280D">
            <w:pPr>
              <w:pStyle w:val="BodyText"/>
              <w:spacing w:before="40" w:after="40" w:line="240" w:lineRule="auto"/>
              <w:jc w:val="left"/>
              <w:rPr>
                <w:rFonts w:cs="Wingdings"/>
                <w:b/>
                <w:noProof w:val="0"/>
                <w:sz w:val="16"/>
                <w:szCs w:val="16"/>
              </w:rPr>
            </w:pPr>
            <w:r w:rsidRPr="000E280D">
              <w:rPr>
                <w:rFonts w:cs="Arial"/>
                <w:b/>
                <w:bCs/>
                <w:noProof w:val="0"/>
                <w:sz w:val="16"/>
                <w:szCs w:val="16"/>
              </w:rPr>
              <w:t>Domestic Waste</w:t>
            </w:r>
          </w:p>
        </w:tc>
        <w:tc>
          <w:tcPr>
            <w:tcW w:w="446" w:type="pct"/>
          </w:tcPr>
          <w:p w14:paraId="1ADFA61F"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Project area</w:t>
            </w:r>
          </w:p>
        </w:tc>
        <w:tc>
          <w:tcPr>
            <w:tcW w:w="417" w:type="pct"/>
          </w:tcPr>
          <w:p w14:paraId="10F4AD8F"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During Construction</w:t>
            </w:r>
          </w:p>
          <w:p w14:paraId="15B30691"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Daily</w:t>
            </w:r>
          </w:p>
        </w:tc>
        <w:tc>
          <w:tcPr>
            <w:tcW w:w="344" w:type="pct"/>
          </w:tcPr>
          <w:p w14:paraId="100FA452" w14:textId="77777777" w:rsidR="00A019D6" w:rsidRPr="000E280D" w:rsidRDefault="1FE75218" w:rsidP="000E280D">
            <w:pPr>
              <w:numPr>
                <w:ilvl w:val="0"/>
                <w:numId w:val="7"/>
              </w:numPr>
              <w:spacing w:before="60" w:after="0" w:line="240" w:lineRule="auto"/>
              <w:ind w:left="95" w:hanging="140"/>
              <w:jc w:val="left"/>
              <w:rPr>
                <w:rFonts w:cs="Wingdings"/>
                <w:color w:val="000000"/>
                <w:sz w:val="16"/>
                <w:szCs w:val="16"/>
              </w:rPr>
            </w:pPr>
            <w:r w:rsidRPr="000E280D">
              <w:rPr>
                <w:rFonts w:cs="Wingdings"/>
                <w:color w:val="000000" w:themeColor="text1"/>
                <w:sz w:val="16"/>
                <w:szCs w:val="16"/>
              </w:rPr>
              <w:t>Waste amount</w:t>
            </w:r>
          </w:p>
          <w:p w14:paraId="431FA7BE" w14:textId="77777777" w:rsidR="00A019D6" w:rsidRPr="000E280D" w:rsidRDefault="1FE75218" w:rsidP="000E280D">
            <w:pPr>
              <w:numPr>
                <w:ilvl w:val="0"/>
                <w:numId w:val="7"/>
              </w:numPr>
              <w:spacing w:before="60" w:after="0" w:line="240" w:lineRule="auto"/>
              <w:ind w:left="95" w:hanging="140"/>
              <w:jc w:val="left"/>
              <w:rPr>
                <w:rFonts w:cs="Wingdings"/>
                <w:color w:val="000000"/>
                <w:sz w:val="16"/>
                <w:szCs w:val="16"/>
              </w:rPr>
            </w:pPr>
            <w:r w:rsidRPr="000E280D">
              <w:rPr>
                <w:rFonts w:cs="Wingdings"/>
                <w:color w:val="000000" w:themeColor="text1"/>
                <w:sz w:val="16"/>
                <w:szCs w:val="16"/>
              </w:rPr>
              <w:t>Recovery /reuse /recycle ratio</w:t>
            </w:r>
          </w:p>
          <w:p w14:paraId="30730894" w14:textId="77777777" w:rsidR="00A019D6" w:rsidRPr="000E280D" w:rsidRDefault="00A019D6" w:rsidP="000E280D">
            <w:pPr>
              <w:pStyle w:val="BodyText"/>
              <w:spacing w:before="40" w:after="40" w:line="240" w:lineRule="auto"/>
              <w:ind w:left="95" w:hanging="140"/>
              <w:jc w:val="left"/>
              <w:rPr>
                <w:rFonts w:eastAsia="Arial Black" w:cs="Wingdings"/>
                <w:noProof w:val="0"/>
                <w:color w:val="000000"/>
                <w:sz w:val="16"/>
                <w:szCs w:val="16"/>
                <w:lang w:eastAsia="zh-CN"/>
              </w:rPr>
            </w:pPr>
          </w:p>
        </w:tc>
        <w:tc>
          <w:tcPr>
            <w:tcW w:w="621" w:type="pct"/>
          </w:tcPr>
          <w:p w14:paraId="481CE677" w14:textId="77777777" w:rsidR="00A019D6" w:rsidRPr="000E280D" w:rsidRDefault="1FE75218" w:rsidP="000E280D">
            <w:pPr>
              <w:numPr>
                <w:ilvl w:val="0"/>
                <w:numId w:val="7"/>
              </w:numPr>
              <w:spacing w:before="60" w:after="0" w:line="240" w:lineRule="auto"/>
              <w:ind w:left="137" w:hanging="154"/>
              <w:jc w:val="left"/>
              <w:rPr>
                <w:rFonts w:cs="Wingdings"/>
                <w:sz w:val="16"/>
                <w:szCs w:val="16"/>
              </w:rPr>
            </w:pPr>
            <w:r w:rsidRPr="000E280D">
              <w:rPr>
                <w:rFonts w:cs="Wingdings"/>
                <w:color w:val="000000" w:themeColor="text1"/>
                <w:sz w:val="16"/>
                <w:szCs w:val="16"/>
              </w:rPr>
              <w:t>Waste records</w:t>
            </w:r>
          </w:p>
          <w:p w14:paraId="17C22EC3" w14:textId="77777777" w:rsidR="00A019D6" w:rsidRPr="000E280D" w:rsidRDefault="1FE75218" w:rsidP="000E280D">
            <w:pPr>
              <w:numPr>
                <w:ilvl w:val="0"/>
                <w:numId w:val="7"/>
              </w:numPr>
              <w:spacing w:before="60" w:after="0" w:line="240" w:lineRule="auto"/>
              <w:ind w:left="137" w:hanging="154"/>
              <w:jc w:val="left"/>
              <w:rPr>
                <w:rFonts w:cs="Wingdings"/>
                <w:sz w:val="16"/>
                <w:szCs w:val="16"/>
              </w:rPr>
            </w:pPr>
            <w:r w:rsidRPr="000E280D">
              <w:rPr>
                <w:rFonts w:cs="Arial"/>
                <w:color w:val="000000" w:themeColor="text1"/>
                <w:sz w:val="16"/>
                <w:szCs w:val="16"/>
              </w:rPr>
              <w:t>On-site inspection</w:t>
            </w:r>
          </w:p>
        </w:tc>
        <w:tc>
          <w:tcPr>
            <w:tcW w:w="758" w:type="pct"/>
          </w:tcPr>
          <w:p w14:paraId="1599CEDB" w14:textId="1D20731B" w:rsidR="009F21CA" w:rsidRPr="000E280D" w:rsidRDefault="00842104" w:rsidP="000E280D">
            <w:pPr>
              <w:numPr>
                <w:ilvl w:val="0"/>
                <w:numId w:val="7"/>
              </w:numPr>
              <w:spacing w:before="60" w:after="0" w:line="240" w:lineRule="auto"/>
              <w:ind w:left="136" w:hanging="213"/>
              <w:jc w:val="left"/>
              <w:rPr>
                <w:rFonts w:cs="Wingdings"/>
                <w:color w:val="000000"/>
                <w:sz w:val="16"/>
                <w:szCs w:val="16"/>
              </w:rPr>
            </w:pPr>
            <w:r w:rsidRPr="000E280D">
              <w:rPr>
                <w:rFonts w:cs="Wingdings"/>
                <w:color w:val="000000" w:themeColor="text1"/>
                <w:sz w:val="16"/>
                <w:szCs w:val="16"/>
              </w:rPr>
              <w:t>Minimization of t</w:t>
            </w:r>
            <w:r w:rsidR="009F21CA" w:rsidRPr="000E280D">
              <w:rPr>
                <w:rFonts w:cs="Wingdings"/>
                <w:color w:val="000000" w:themeColor="text1"/>
                <w:sz w:val="16"/>
                <w:szCs w:val="16"/>
              </w:rPr>
              <w:t>otal waste generated</w:t>
            </w:r>
          </w:p>
          <w:p w14:paraId="0851C8E5" w14:textId="00EC8E75" w:rsidR="00A019D6" w:rsidRPr="000E280D" w:rsidRDefault="00842104" w:rsidP="000E280D">
            <w:pPr>
              <w:numPr>
                <w:ilvl w:val="0"/>
                <w:numId w:val="7"/>
              </w:numPr>
              <w:spacing w:before="60" w:after="0" w:line="240" w:lineRule="auto"/>
              <w:ind w:left="136" w:hanging="213"/>
              <w:jc w:val="left"/>
              <w:rPr>
                <w:rFonts w:cs="Wingdings"/>
                <w:color w:val="000000"/>
                <w:sz w:val="16"/>
                <w:szCs w:val="16"/>
              </w:rPr>
            </w:pPr>
            <w:r w:rsidRPr="000E280D">
              <w:rPr>
                <w:rFonts w:cs="Arial"/>
                <w:color w:val="000000" w:themeColor="text1"/>
                <w:sz w:val="16"/>
                <w:szCs w:val="16"/>
              </w:rPr>
              <w:t>Increasing the r</w:t>
            </w:r>
            <w:r w:rsidR="009F21CA" w:rsidRPr="000E280D">
              <w:rPr>
                <w:rFonts w:cs="Arial"/>
                <w:color w:val="000000" w:themeColor="text1"/>
                <w:sz w:val="16"/>
                <w:szCs w:val="16"/>
              </w:rPr>
              <w:t>atio of recovered/reused/recycled waste to total waste generated</w:t>
            </w:r>
          </w:p>
        </w:tc>
        <w:tc>
          <w:tcPr>
            <w:tcW w:w="793" w:type="pct"/>
          </w:tcPr>
          <w:p w14:paraId="4494A639" w14:textId="77777777" w:rsidR="00A019D6" w:rsidRPr="000E280D" w:rsidRDefault="1FE75218" w:rsidP="000E280D">
            <w:pPr>
              <w:numPr>
                <w:ilvl w:val="0"/>
                <w:numId w:val="7"/>
              </w:numPr>
              <w:spacing w:before="60" w:after="0" w:line="240" w:lineRule="auto"/>
              <w:ind w:left="92" w:hanging="168"/>
              <w:jc w:val="left"/>
              <w:rPr>
                <w:rFonts w:cs="Wingdings"/>
                <w:sz w:val="16"/>
                <w:szCs w:val="16"/>
              </w:rPr>
            </w:pPr>
            <w:r w:rsidRPr="000E280D">
              <w:rPr>
                <w:rFonts w:cs="Wingdings"/>
                <w:color w:val="000000" w:themeColor="text1"/>
                <w:sz w:val="16"/>
                <w:szCs w:val="16"/>
              </w:rPr>
              <w:t>Packaging Waste Control Regulation</w:t>
            </w:r>
          </w:p>
          <w:p w14:paraId="6F2B5AF8" w14:textId="77777777" w:rsidR="00A019D6" w:rsidRPr="000E280D" w:rsidRDefault="1FE75218" w:rsidP="000E280D">
            <w:pPr>
              <w:numPr>
                <w:ilvl w:val="0"/>
                <w:numId w:val="7"/>
              </w:numPr>
              <w:spacing w:before="60" w:after="0" w:line="240" w:lineRule="auto"/>
              <w:ind w:left="92" w:hanging="168"/>
              <w:jc w:val="left"/>
              <w:rPr>
                <w:rFonts w:cs="Wingdings"/>
                <w:sz w:val="16"/>
                <w:szCs w:val="16"/>
              </w:rPr>
            </w:pPr>
            <w:r w:rsidRPr="000E280D">
              <w:rPr>
                <w:rFonts w:cs="Arial"/>
                <w:color w:val="000000" w:themeColor="text1"/>
                <w:sz w:val="16"/>
                <w:szCs w:val="16"/>
              </w:rPr>
              <w:t>Waste Management Regulation</w:t>
            </w:r>
          </w:p>
          <w:p w14:paraId="15B9B8EB" w14:textId="77777777" w:rsidR="00A019D6" w:rsidRPr="000E280D" w:rsidRDefault="00771DAB" w:rsidP="000E280D">
            <w:pPr>
              <w:numPr>
                <w:ilvl w:val="0"/>
                <w:numId w:val="7"/>
              </w:numPr>
              <w:spacing w:before="60" w:after="0" w:line="240" w:lineRule="auto"/>
              <w:ind w:left="92" w:hanging="168"/>
              <w:jc w:val="left"/>
              <w:rPr>
                <w:color w:val="000000"/>
                <w:sz w:val="16"/>
                <w:szCs w:val="16"/>
              </w:rPr>
            </w:pPr>
            <w:r w:rsidRPr="000E280D">
              <w:rPr>
                <w:rFonts w:cs="Wingdings"/>
                <w:color w:val="000000"/>
                <w:sz w:val="16"/>
                <w:szCs w:val="16"/>
              </w:rPr>
              <w:t>WB ESS3</w:t>
            </w:r>
          </w:p>
        </w:tc>
        <w:tc>
          <w:tcPr>
            <w:tcW w:w="691" w:type="pct"/>
          </w:tcPr>
          <w:p w14:paraId="3D8A0B65" w14:textId="77777777" w:rsidR="00DA797E" w:rsidRPr="000E280D" w:rsidRDefault="00DA797E" w:rsidP="000E280D">
            <w:pPr>
              <w:numPr>
                <w:ilvl w:val="0"/>
                <w:numId w:val="7"/>
              </w:numPr>
              <w:spacing w:before="0" w:after="0" w:line="240" w:lineRule="auto"/>
              <w:ind w:left="209" w:hanging="180"/>
              <w:jc w:val="left"/>
              <w:rPr>
                <w:rFonts w:eastAsia="Arial TUR" w:cs="Wingdings"/>
                <w:color w:val="000000" w:themeColor="text1"/>
                <w:sz w:val="16"/>
                <w:szCs w:val="16"/>
                <w:lang w:eastAsia="en-US"/>
              </w:rPr>
            </w:pPr>
            <w:r w:rsidRPr="000E280D">
              <w:rPr>
                <w:rFonts w:eastAsia="Arial TUR" w:cs="Wingdings"/>
                <w:color w:val="000000" w:themeColor="text1"/>
                <w:sz w:val="16"/>
                <w:szCs w:val="16"/>
                <w:lang w:eastAsia="en-US"/>
              </w:rPr>
              <w:t>Waste Generation</w:t>
            </w:r>
          </w:p>
          <w:p w14:paraId="2805B992" w14:textId="03F4A74E" w:rsidR="00A019D6" w:rsidRPr="000E280D" w:rsidRDefault="00DA797E" w:rsidP="000E280D">
            <w:pPr>
              <w:numPr>
                <w:ilvl w:val="0"/>
                <w:numId w:val="7"/>
              </w:numPr>
              <w:spacing w:before="0" w:after="0" w:line="240" w:lineRule="auto"/>
              <w:ind w:left="209" w:hanging="180"/>
              <w:jc w:val="left"/>
              <w:rPr>
                <w:rFonts w:eastAsia="Arial TUR" w:cs="Wingdings"/>
                <w:color w:val="000000" w:themeColor="text1"/>
                <w:sz w:val="16"/>
                <w:szCs w:val="16"/>
                <w:lang w:eastAsia="en-US"/>
              </w:rPr>
            </w:pPr>
            <w:r w:rsidRPr="000E280D">
              <w:rPr>
                <w:rFonts w:eastAsia="Arial TUR" w:cs="Wingdings"/>
                <w:color w:val="000000" w:themeColor="text1"/>
                <w:sz w:val="16"/>
                <w:szCs w:val="16"/>
                <w:lang w:eastAsia="en-US"/>
              </w:rPr>
              <w:t>Waste Disposal</w:t>
            </w:r>
          </w:p>
        </w:tc>
        <w:tc>
          <w:tcPr>
            <w:tcW w:w="276" w:type="pct"/>
          </w:tcPr>
          <w:p w14:paraId="7EACE95B"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31032733" w14:textId="77777777" w:rsidR="00E817C3" w:rsidRPr="000E280D" w:rsidRDefault="00E817C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4A8147A9"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5CA7051F" w14:textId="452125E7"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13DA5A59" w14:textId="77777777" w:rsidTr="00270ACC">
        <w:trPr>
          <w:trHeight w:val="1463"/>
        </w:trPr>
        <w:tc>
          <w:tcPr>
            <w:tcW w:w="310" w:type="pct"/>
          </w:tcPr>
          <w:p w14:paraId="5244E52D" w14:textId="77777777" w:rsidR="00A019D6" w:rsidRPr="000E280D" w:rsidRDefault="00A019D6" w:rsidP="000E280D">
            <w:pPr>
              <w:pStyle w:val="BodyText"/>
              <w:spacing w:before="40" w:after="40" w:line="240" w:lineRule="auto"/>
              <w:jc w:val="left"/>
              <w:rPr>
                <w:rFonts w:cs="Wingdings"/>
                <w:b/>
                <w:noProof w:val="0"/>
                <w:sz w:val="16"/>
                <w:szCs w:val="16"/>
              </w:rPr>
            </w:pPr>
            <w:r w:rsidRPr="000E280D">
              <w:rPr>
                <w:rFonts w:cs="Arial"/>
                <w:b/>
                <w:bCs/>
                <w:noProof w:val="0"/>
                <w:sz w:val="16"/>
                <w:szCs w:val="16"/>
              </w:rPr>
              <w:t>Waste Oils</w:t>
            </w:r>
          </w:p>
        </w:tc>
        <w:tc>
          <w:tcPr>
            <w:tcW w:w="446" w:type="pct"/>
          </w:tcPr>
          <w:p w14:paraId="3818D7A6"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Project area</w:t>
            </w:r>
          </w:p>
        </w:tc>
        <w:tc>
          <w:tcPr>
            <w:tcW w:w="417" w:type="pct"/>
          </w:tcPr>
          <w:p w14:paraId="2C15CF27"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During Construction</w:t>
            </w:r>
          </w:p>
          <w:p w14:paraId="5BB8C875"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Weekly</w:t>
            </w:r>
          </w:p>
        </w:tc>
        <w:tc>
          <w:tcPr>
            <w:tcW w:w="344" w:type="pct"/>
          </w:tcPr>
          <w:p w14:paraId="5AEF20AC" w14:textId="77777777"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Waste amount</w:t>
            </w:r>
          </w:p>
          <w:p w14:paraId="22C53D1B" w14:textId="77777777"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Waste storage conditions</w:t>
            </w:r>
          </w:p>
          <w:p w14:paraId="03C5E764" w14:textId="77777777"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cs="Wingdings"/>
                <w:color w:val="000000" w:themeColor="text1"/>
                <w:sz w:val="16"/>
                <w:szCs w:val="16"/>
              </w:rPr>
              <w:t>Recovery /reuse/ recycle ratio</w:t>
            </w:r>
          </w:p>
          <w:p w14:paraId="5A4A8BBE" w14:textId="77777777" w:rsidR="00A019D6" w:rsidRPr="000E280D" w:rsidRDefault="00A019D6" w:rsidP="000E280D">
            <w:pPr>
              <w:pStyle w:val="BodyText"/>
              <w:spacing w:before="0" w:after="40" w:line="240" w:lineRule="auto"/>
              <w:ind w:left="209" w:hanging="180"/>
              <w:jc w:val="left"/>
              <w:rPr>
                <w:rFonts w:cs="Wingdings"/>
                <w:noProof w:val="0"/>
                <w:color w:val="000000"/>
                <w:sz w:val="16"/>
                <w:szCs w:val="16"/>
              </w:rPr>
            </w:pPr>
          </w:p>
        </w:tc>
        <w:tc>
          <w:tcPr>
            <w:tcW w:w="621" w:type="pct"/>
          </w:tcPr>
          <w:p w14:paraId="78DFDC80" w14:textId="77777777" w:rsidR="00A019D6" w:rsidRPr="000E280D" w:rsidRDefault="00A019D6" w:rsidP="000E280D">
            <w:pPr>
              <w:numPr>
                <w:ilvl w:val="0"/>
                <w:numId w:val="7"/>
              </w:numPr>
              <w:spacing w:before="60" w:after="0" w:line="240" w:lineRule="auto"/>
              <w:ind w:left="137" w:hanging="154"/>
              <w:jc w:val="left"/>
              <w:rPr>
                <w:color w:val="000000" w:themeColor="text1"/>
                <w:sz w:val="16"/>
                <w:szCs w:val="16"/>
              </w:rPr>
            </w:pPr>
            <w:r w:rsidRPr="000E280D">
              <w:rPr>
                <w:color w:val="000000" w:themeColor="text1"/>
                <w:sz w:val="16"/>
                <w:szCs w:val="16"/>
              </w:rPr>
              <w:t>Visual observations</w:t>
            </w:r>
          </w:p>
          <w:p w14:paraId="3F1B0A98" w14:textId="77777777" w:rsidR="00A019D6" w:rsidRPr="000E280D" w:rsidRDefault="00A019D6" w:rsidP="000E280D">
            <w:pPr>
              <w:numPr>
                <w:ilvl w:val="0"/>
                <w:numId w:val="7"/>
              </w:numPr>
              <w:spacing w:before="60" w:after="0" w:line="240" w:lineRule="auto"/>
              <w:ind w:left="137" w:hanging="154"/>
              <w:jc w:val="left"/>
              <w:rPr>
                <w:rFonts w:cs="Wingdings"/>
                <w:sz w:val="16"/>
                <w:szCs w:val="16"/>
              </w:rPr>
            </w:pPr>
            <w:r w:rsidRPr="000E280D">
              <w:rPr>
                <w:color w:val="000000" w:themeColor="text1"/>
                <w:sz w:val="16"/>
                <w:szCs w:val="16"/>
              </w:rPr>
              <w:t>Waste records</w:t>
            </w:r>
          </w:p>
        </w:tc>
        <w:tc>
          <w:tcPr>
            <w:tcW w:w="758" w:type="pct"/>
          </w:tcPr>
          <w:p w14:paraId="5D463F7E" w14:textId="43C9740B" w:rsidR="00DD457D" w:rsidRPr="000E280D" w:rsidRDefault="00651F4E"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cs="Wingdings"/>
                <w:color w:val="000000" w:themeColor="text1"/>
                <w:sz w:val="16"/>
                <w:szCs w:val="16"/>
              </w:rPr>
              <w:t>Minimization of t</w:t>
            </w:r>
            <w:r w:rsidR="00DD457D" w:rsidRPr="000E280D">
              <w:rPr>
                <w:rFonts w:eastAsia="Arial TUR" w:cs="Wingdings"/>
                <w:color w:val="000000" w:themeColor="text1"/>
                <w:sz w:val="16"/>
                <w:szCs w:val="16"/>
                <w:lang w:eastAsia="en-US"/>
              </w:rPr>
              <w:t>otal waste generated</w:t>
            </w:r>
          </w:p>
          <w:p w14:paraId="1F1FFCC7" w14:textId="0406E83D" w:rsidR="00DD457D" w:rsidRPr="000E280D" w:rsidRDefault="00651F4E"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cs="Arial"/>
                <w:color w:val="000000" w:themeColor="text1"/>
                <w:sz w:val="16"/>
                <w:szCs w:val="16"/>
              </w:rPr>
              <w:t>Increasing the ratio</w:t>
            </w:r>
            <w:r w:rsidRPr="000E280D">
              <w:rPr>
                <w:rFonts w:eastAsia="Arial TUR" w:cs="Wingdings"/>
                <w:color w:val="000000" w:themeColor="text1"/>
                <w:sz w:val="16"/>
                <w:szCs w:val="16"/>
                <w:lang w:eastAsia="en-US"/>
              </w:rPr>
              <w:t xml:space="preserve"> </w:t>
            </w:r>
            <w:r w:rsidR="00DD457D" w:rsidRPr="000E280D">
              <w:rPr>
                <w:rFonts w:eastAsia="Arial TUR" w:cs="Wingdings"/>
                <w:color w:val="000000" w:themeColor="text1"/>
                <w:sz w:val="16"/>
                <w:szCs w:val="16"/>
                <w:lang w:eastAsia="en-US"/>
              </w:rPr>
              <w:t xml:space="preserve">of recycled </w:t>
            </w:r>
            <w:r w:rsidR="00DD457D" w:rsidRPr="000E280D">
              <w:rPr>
                <w:rFonts w:cs="Wingdings"/>
                <w:color w:val="000000" w:themeColor="text1"/>
                <w:sz w:val="16"/>
                <w:szCs w:val="16"/>
              </w:rPr>
              <w:t>waste</w:t>
            </w:r>
            <w:r w:rsidR="00DD457D" w:rsidRPr="000E280D">
              <w:rPr>
                <w:rFonts w:eastAsia="Arial TUR" w:cs="Wingdings"/>
                <w:color w:val="000000" w:themeColor="text1"/>
                <w:sz w:val="16"/>
                <w:szCs w:val="16"/>
                <w:lang w:eastAsia="en-US"/>
              </w:rPr>
              <w:t xml:space="preserve"> to </w:t>
            </w:r>
            <w:r w:rsidR="00DD457D" w:rsidRPr="000E280D">
              <w:rPr>
                <w:rFonts w:cs="Wingdings"/>
                <w:color w:val="000000" w:themeColor="text1"/>
                <w:sz w:val="16"/>
                <w:szCs w:val="16"/>
              </w:rPr>
              <w:t xml:space="preserve">total waste </w:t>
            </w:r>
            <w:r w:rsidR="00DD457D" w:rsidRPr="000E280D">
              <w:rPr>
                <w:rFonts w:eastAsia="Arial TUR" w:cs="Wingdings"/>
                <w:color w:val="000000" w:themeColor="text1"/>
                <w:sz w:val="16"/>
                <w:szCs w:val="16"/>
                <w:lang w:eastAsia="en-US"/>
              </w:rPr>
              <w:t>generated.</w:t>
            </w:r>
          </w:p>
          <w:p w14:paraId="37FC79B6" w14:textId="5757543E" w:rsidR="00A019D6" w:rsidRPr="000E280D" w:rsidRDefault="00A019D6" w:rsidP="000E280D">
            <w:pPr>
              <w:spacing w:before="0" w:after="0"/>
              <w:jc w:val="left"/>
              <w:rPr>
                <w:color w:val="000000"/>
                <w:sz w:val="16"/>
                <w:szCs w:val="16"/>
              </w:rPr>
            </w:pPr>
          </w:p>
        </w:tc>
        <w:tc>
          <w:tcPr>
            <w:tcW w:w="793" w:type="pct"/>
          </w:tcPr>
          <w:p w14:paraId="6BD60585"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Waste Oil Control Regulation</w:t>
            </w:r>
          </w:p>
        </w:tc>
        <w:tc>
          <w:tcPr>
            <w:tcW w:w="691" w:type="pct"/>
          </w:tcPr>
          <w:p w14:paraId="57AA4C0E" w14:textId="77777777" w:rsidR="00DD457D" w:rsidRPr="000E280D" w:rsidRDefault="00DD457D" w:rsidP="000E280D">
            <w:pPr>
              <w:numPr>
                <w:ilvl w:val="0"/>
                <w:numId w:val="7"/>
              </w:numPr>
              <w:spacing w:before="0" w:after="0" w:line="240" w:lineRule="auto"/>
              <w:ind w:left="209" w:hanging="180"/>
              <w:jc w:val="left"/>
              <w:rPr>
                <w:rFonts w:eastAsia="Arial TUR" w:cs="Wingdings"/>
                <w:color w:val="000000" w:themeColor="text1"/>
                <w:sz w:val="16"/>
                <w:szCs w:val="16"/>
                <w:lang w:eastAsia="en-US"/>
              </w:rPr>
            </w:pPr>
            <w:r w:rsidRPr="000E280D">
              <w:rPr>
                <w:rFonts w:eastAsia="Arial TUR" w:cs="Wingdings"/>
                <w:color w:val="000000" w:themeColor="text1"/>
                <w:sz w:val="16"/>
                <w:szCs w:val="16"/>
                <w:lang w:eastAsia="en-US"/>
              </w:rPr>
              <w:t>Waste Generation</w:t>
            </w:r>
          </w:p>
          <w:p w14:paraId="4C41829D" w14:textId="4EDCB394" w:rsidR="00A019D6" w:rsidRPr="000E280D" w:rsidRDefault="00DD457D"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Waste Disposal</w:t>
            </w:r>
          </w:p>
        </w:tc>
        <w:tc>
          <w:tcPr>
            <w:tcW w:w="276" w:type="pct"/>
          </w:tcPr>
          <w:p w14:paraId="083CAFB5"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3FB229A0" w14:textId="77777777" w:rsidR="00E817C3" w:rsidRPr="000E280D" w:rsidRDefault="00E817C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1B2D7119"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3958845B" w14:textId="1ECB0612"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2E7E49D1" w14:textId="77777777" w:rsidTr="00270ACC">
        <w:trPr>
          <w:trHeight w:val="1479"/>
        </w:trPr>
        <w:tc>
          <w:tcPr>
            <w:tcW w:w="310" w:type="pct"/>
          </w:tcPr>
          <w:p w14:paraId="3AC8C027" w14:textId="77777777" w:rsidR="00A019D6" w:rsidRPr="000E280D" w:rsidRDefault="00A019D6" w:rsidP="000E280D">
            <w:pPr>
              <w:pStyle w:val="BodyText"/>
              <w:spacing w:before="40" w:after="40" w:line="240" w:lineRule="auto"/>
              <w:jc w:val="left"/>
              <w:rPr>
                <w:rFonts w:cs="Wingdings"/>
                <w:b/>
                <w:noProof w:val="0"/>
                <w:sz w:val="16"/>
                <w:szCs w:val="16"/>
              </w:rPr>
            </w:pPr>
            <w:r w:rsidRPr="000E280D">
              <w:rPr>
                <w:rFonts w:cs="Arial"/>
                <w:b/>
                <w:bCs/>
                <w:noProof w:val="0"/>
                <w:sz w:val="16"/>
                <w:szCs w:val="16"/>
              </w:rPr>
              <w:lastRenderedPageBreak/>
              <w:t>Waste Batteries and Accumulators</w:t>
            </w:r>
          </w:p>
        </w:tc>
        <w:tc>
          <w:tcPr>
            <w:tcW w:w="446" w:type="pct"/>
          </w:tcPr>
          <w:p w14:paraId="42807E5F"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Project area</w:t>
            </w:r>
          </w:p>
        </w:tc>
        <w:tc>
          <w:tcPr>
            <w:tcW w:w="417" w:type="pct"/>
          </w:tcPr>
          <w:p w14:paraId="567CD30F"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During Construction</w:t>
            </w:r>
          </w:p>
          <w:p w14:paraId="0DB9CA68"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Monthly</w:t>
            </w:r>
          </w:p>
        </w:tc>
        <w:tc>
          <w:tcPr>
            <w:tcW w:w="344" w:type="pct"/>
          </w:tcPr>
          <w:p w14:paraId="2B96B719" w14:textId="77777777"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Waste amount</w:t>
            </w:r>
          </w:p>
          <w:p w14:paraId="4FFB0037" w14:textId="77777777"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cs="Arial"/>
                <w:color w:val="000000" w:themeColor="text1"/>
                <w:sz w:val="16"/>
                <w:szCs w:val="16"/>
              </w:rPr>
              <w:t>Recovery /reuse/ recycle ratio</w:t>
            </w:r>
          </w:p>
        </w:tc>
        <w:tc>
          <w:tcPr>
            <w:tcW w:w="621" w:type="pct"/>
          </w:tcPr>
          <w:p w14:paraId="6B44186B" w14:textId="77777777" w:rsidR="00A019D6" w:rsidRPr="000E280D" w:rsidRDefault="00A019D6" w:rsidP="000E280D">
            <w:pPr>
              <w:numPr>
                <w:ilvl w:val="0"/>
                <w:numId w:val="7"/>
              </w:numPr>
              <w:spacing w:before="60" w:after="0" w:line="240" w:lineRule="auto"/>
              <w:ind w:left="137" w:hanging="154"/>
              <w:jc w:val="left"/>
              <w:rPr>
                <w:color w:val="000000" w:themeColor="text1"/>
                <w:sz w:val="16"/>
                <w:szCs w:val="16"/>
              </w:rPr>
            </w:pPr>
            <w:r w:rsidRPr="000E280D">
              <w:rPr>
                <w:color w:val="000000" w:themeColor="text1"/>
                <w:sz w:val="16"/>
                <w:szCs w:val="16"/>
              </w:rPr>
              <w:t>Waste records</w:t>
            </w:r>
          </w:p>
        </w:tc>
        <w:tc>
          <w:tcPr>
            <w:tcW w:w="758" w:type="pct"/>
          </w:tcPr>
          <w:p w14:paraId="2EA40B5F" w14:textId="501308AF" w:rsidR="00C17C44" w:rsidRPr="000E280D" w:rsidRDefault="00DC1FF8" w:rsidP="000E280D">
            <w:pPr>
              <w:numPr>
                <w:ilvl w:val="0"/>
                <w:numId w:val="7"/>
              </w:numPr>
              <w:spacing w:before="0" w:after="0" w:line="240" w:lineRule="auto"/>
              <w:ind w:left="209" w:hanging="180"/>
              <w:jc w:val="left"/>
              <w:rPr>
                <w:rFonts w:cs="Wingdings"/>
                <w:color w:val="000000"/>
                <w:sz w:val="16"/>
                <w:szCs w:val="16"/>
              </w:rPr>
            </w:pPr>
            <w:r w:rsidRPr="000E280D">
              <w:rPr>
                <w:rFonts w:eastAsia="Arial TUR" w:cs="Wingdings"/>
                <w:color w:val="000000" w:themeColor="text1"/>
                <w:sz w:val="16"/>
                <w:szCs w:val="16"/>
                <w:lang w:eastAsia="en-US"/>
              </w:rPr>
              <w:t>Minimization of t</w:t>
            </w:r>
            <w:r w:rsidR="00C17C44" w:rsidRPr="000E280D">
              <w:rPr>
                <w:rFonts w:eastAsia="Arial TUR" w:cs="Wingdings"/>
                <w:color w:val="000000" w:themeColor="text1"/>
                <w:sz w:val="16"/>
                <w:szCs w:val="16"/>
                <w:lang w:eastAsia="en-US"/>
              </w:rPr>
              <w:t>otal waste generated</w:t>
            </w:r>
          </w:p>
          <w:p w14:paraId="6654FE45" w14:textId="47B36151" w:rsidR="00C17C44" w:rsidRPr="000E280D" w:rsidRDefault="00DC1FF8" w:rsidP="000E280D">
            <w:pPr>
              <w:numPr>
                <w:ilvl w:val="0"/>
                <w:numId w:val="7"/>
              </w:numPr>
              <w:spacing w:before="0" w:after="0" w:line="240" w:lineRule="auto"/>
              <w:ind w:left="209" w:hanging="180"/>
              <w:jc w:val="left"/>
              <w:rPr>
                <w:rFonts w:cs="Wingdings"/>
                <w:color w:val="000000"/>
                <w:sz w:val="16"/>
                <w:szCs w:val="16"/>
              </w:rPr>
            </w:pPr>
            <w:r w:rsidRPr="000E280D">
              <w:rPr>
                <w:rFonts w:cs="Arial"/>
                <w:color w:val="000000" w:themeColor="text1"/>
                <w:sz w:val="16"/>
                <w:szCs w:val="16"/>
              </w:rPr>
              <w:t>Increasing the r</w:t>
            </w:r>
            <w:r w:rsidR="00C17C44" w:rsidRPr="000E280D">
              <w:rPr>
                <w:rFonts w:cs="Wingdings"/>
                <w:color w:val="000000" w:themeColor="text1"/>
                <w:sz w:val="16"/>
                <w:szCs w:val="16"/>
              </w:rPr>
              <w:t xml:space="preserve">atio of recycled waste to total waste </w:t>
            </w:r>
            <w:r w:rsidR="00C17C44" w:rsidRPr="000E280D">
              <w:rPr>
                <w:rFonts w:eastAsia="Arial TUR" w:cs="Wingdings"/>
                <w:color w:val="000000" w:themeColor="text1"/>
                <w:sz w:val="16"/>
                <w:szCs w:val="16"/>
                <w:lang w:eastAsia="en-US"/>
              </w:rPr>
              <w:t>generated</w:t>
            </w:r>
            <w:r w:rsidR="00C17C44" w:rsidRPr="000E280D">
              <w:rPr>
                <w:rFonts w:cs="Wingdings"/>
                <w:color w:val="000000" w:themeColor="text1"/>
                <w:sz w:val="16"/>
                <w:szCs w:val="16"/>
              </w:rPr>
              <w:t>.</w:t>
            </w:r>
          </w:p>
          <w:p w14:paraId="25C29A09" w14:textId="1623892A" w:rsidR="00A019D6" w:rsidRPr="000E280D" w:rsidRDefault="00A019D6" w:rsidP="000E280D">
            <w:pPr>
              <w:spacing w:before="0" w:after="0" w:line="240" w:lineRule="auto"/>
              <w:jc w:val="left"/>
              <w:rPr>
                <w:rFonts w:cs="Wingdings"/>
                <w:color w:val="000000"/>
                <w:sz w:val="16"/>
                <w:szCs w:val="16"/>
              </w:rPr>
            </w:pPr>
          </w:p>
        </w:tc>
        <w:tc>
          <w:tcPr>
            <w:tcW w:w="793" w:type="pct"/>
          </w:tcPr>
          <w:p w14:paraId="359C0411"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Waste Battery and Accumulator Regulation</w:t>
            </w:r>
          </w:p>
        </w:tc>
        <w:tc>
          <w:tcPr>
            <w:tcW w:w="691" w:type="pct"/>
          </w:tcPr>
          <w:p w14:paraId="5E0FE6B9" w14:textId="77777777" w:rsidR="00C17C44" w:rsidRPr="000E280D" w:rsidRDefault="00C17C44" w:rsidP="000E280D">
            <w:pPr>
              <w:numPr>
                <w:ilvl w:val="0"/>
                <w:numId w:val="7"/>
              </w:numPr>
              <w:spacing w:before="0" w:after="0" w:line="240" w:lineRule="auto"/>
              <w:ind w:left="209" w:hanging="180"/>
              <w:jc w:val="left"/>
              <w:rPr>
                <w:rFonts w:eastAsia="Arial TUR" w:cs="Wingdings"/>
                <w:color w:val="000000" w:themeColor="text1"/>
                <w:sz w:val="16"/>
                <w:szCs w:val="16"/>
                <w:lang w:eastAsia="en-US"/>
              </w:rPr>
            </w:pPr>
            <w:r w:rsidRPr="000E280D">
              <w:rPr>
                <w:rFonts w:eastAsia="Arial TUR" w:cs="Wingdings"/>
                <w:color w:val="000000" w:themeColor="text1"/>
                <w:sz w:val="16"/>
                <w:szCs w:val="16"/>
                <w:lang w:eastAsia="en-US"/>
              </w:rPr>
              <w:t>Waste Generation</w:t>
            </w:r>
          </w:p>
          <w:p w14:paraId="16D5ABBB" w14:textId="5B40B78F" w:rsidR="00A019D6" w:rsidRPr="000E280D" w:rsidRDefault="00C17C44" w:rsidP="000E280D">
            <w:pPr>
              <w:numPr>
                <w:ilvl w:val="0"/>
                <w:numId w:val="7"/>
              </w:numPr>
              <w:spacing w:before="0" w:after="0" w:line="240" w:lineRule="auto"/>
              <w:ind w:left="209" w:hanging="180"/>
              <w:jc w:val="left"/>
              <w:rPr>
                <w:rFonts w:cs="Wingdings"/>
                <w:color w:val="000000"/>
                <w:sz w:val="16"/>
                <w:szCs w:val="16"/>
              </w:rPr>
            </w:pPr>
            <w:r w:rsidRPr="000E280D">
              <w:rPr>
                <w:rFonts w:eastAsia="Arial TUR" w:cs="Wingdings"/>
                <w:color w:val="000000" w:themeColor="text1"/>
                <w:sz w:val="16"/>
                <w:szCs w:val="16"/>
                <w:lang w:eastAsia="en-US"/>
              </w:rPr>
              <w:t>Waste Disposal</w:t>
            </w:r>
          </w:p>
        </w:tc>
        <w:tc>
          <w:tcPr>
            <w:tcW w:w="276" w:type="pct"/>
          </w:tcPr>
          <w:p w14:paraId="1E29DCE8"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6EFF6740" w14:textId="77777777" w:rsidR="00E817C3" w:rsidRPr="000E280D" w:rsidRDefault="00E817C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470C7E0F"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454CCDC1" w14:textId="53831B3A"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5E724B25" w14:textId="77777777" w:rsidTr="00270ACC">
        <w:trPr>
          <w:trHeight w:val="1479"/>
        </w:trPr>
        <w:tc>
          <w:tcPr>
            <w:tcW w:w="310" w:type="pct"/>
          </w:tcPr>
          <w:p w14:paraId="3DE2B590" w14:textId="77777777" w:rsidR="00A019D6" w:rsidRPr="000E280D" w:rsidRDefault="00A019D6" w:rsidP="000E280D">
            <w:pPr>
              <w:pStyle w:val="BodyText"/>
              <w:spacing w:before="40" w:after="40" w:line="240" w:lineRule="auto"/>
              <w:jc w:val="left"/>
              <w:rPr>
                <w:rFonts w:cs="Wingdings"/>
                <w:b/>
                <w:noProof w:val="0"/>
                <w:sz w:val="16"/>
                <w:szCs w:val="16"/>
              </w:rPr>
            </w:pPr>
            <w:r w:rsidRPr="000E280D">
              <w:rPr>
                <w:rFonts w:cs="Arial"/>
                <w:b/>
                <w:bCs/>
                <w:noProof w:val="0"/>
                <w:sz w:val="16"/>
                <w:szCs w:val="16"/>
              </w:rPr>
              <w:t xml:space="preserve">Excavation Soil, Construction and </w:t>
            </w:r>
            <w:r w:rsidRPr="000E280D" w:rsidDel="0009137F">
              <w:rPr>
                <w:rFonts w:cs="Arial"/>
                <w:b/>
                <w:bCs/>
                <w:noProof w:val="0"/>
                <w:sz w:val="16"/>
                <w:szCs w:val="16"/>
              </w:rPr>
              <w:t>Debris</w:t>
            </w:r>
            <w:r w:rsidRPr="000E280D">
              <w:rPr>
                <w:rFonts w:cs="Arial"/>
                <w:b/>
                <w:bCs/>
                <w:noProof w:val="0"/>
                <w:sz w:val="16"/>
                <w:szCs w:val="16"/>
              </w:rPr>
              <w:t xml:space="preserve"> Demolition Wastes</w:t>
            </w:r>
          </w:p>
        </w:tc>
        <w:tc>
          <w:tcPr>
            <w:tcW w:w="446" w:type="pct"/>
          </w:tcPr>
          <w:p w14:paraId="3D5C1899"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Project area</w:t>
            </w:r>
          </w:p>
        </w:tc>
        <w:tc>
          <w:tcPr>
            <w:tcW w:w="417" w:type="pct"/>
          </w:tcPr>
          <w:p w14:paraId="112883C5"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During Construction</w:t>
            </w:r>
          </w:p>
          <w:p w14:paraId="5A53DC67"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Daily</w:t>
            </w:r>
          </w:p>
        </w:tc>
        <w:tc>
          <w:tcPr>
            <w:tcW w:w="344" w:type="pct"/>
          </w:tcPr>
          <w:p w14:paraId="5E3B5254" w14:textId="77777777" w:rsidR="00A019D6" w:rsidRPr="000E280D" w:rsidRDefault="00A019D6" w:rsidP="000E280D">
            <w:pPr>
              <w:numPr>
                <w:ilvl w:val="0"/>
                <w:numId w:val="7"/>
              </w:numPr>
              <w:spacing w:before="0" w:after="0" w:line="240" w:lineRule="auto"/>
              <w:ind w:left="209" w:hanging="180"/>
              <w:jc w:val="left"/>
              <w:rPr>
                <w:color w:val="000000" w:themeColor="text1"/>
                <w:sz w:val="16"/>
                <w:szCs w:val="16"/>
              </w:rPr>
            </w:pPr>
            <w:r w:rsidRPr="000E280D">
              <w:rPr>
                <w:color w:val="000000" w:themeColor="text1"/>
                <w:sz w:val="16"/>
                <w:szCs w:val="16"/>
              </w:rPr>
              <w:t>Waste amount and storage conditions</w:t>
            </w:r>
          </w:p>
          <w:p w14:paraId="24D24479" w14:textId="77777777" w:rsidR="00A019D6" w:rsidRPr="000E280D" w:rsidRDefault="00A019D6" w:rsidP="000E280D">
            <w:pPr>
              <w:numPr>
                <w:ilvl w:val="0"/>
                <w:numId w:val="7"/>
              </w:numPr>
              <w:spacing w:before="0" w:after="0" w:line="240" w:lineRule="auto"/>
              <w:ind w:left="209" w:hanging="180"/>
              <w:jc w:val="left"/>
              <w:rPr>
                <w:rFonts w:cs="Wingdings"/>
                <w:sz w:val="16"/>
                <w:szCs w:val="16"/>
              </w:rPr>
            </w:pPr>
            <w:r w:rsidRPr="000E280D">
              <w:rPr>
                <w:color w:val="000000" w:themeColor="text1"/>
                <w:sz w:val="16"/>
                <w:szCs w:val="16"/>
              </w:rPr>
              <w:t>Transfer records</w:t>
            </w:r>
          </w:p>
        </w:tc>
        <w:tc>
          <w:tcPr>
            <w:tcW w:w="621" w:type="pct"/>
          </w:tcPr>
          <w:p w14:paraId="31999546" w14:textId="77777777" w:rsidR="00A019D6" w:rsidRPr="000E280D" w:rsidRDefault="00A019D6" w:rsidP="000E280D">
            <w:pPr>
              <w:numPr>
                <w:ilvl w:val="0"/>
                <w:numId w:val="7"/>
              </w:numPr>
              <w:spacing w:before="60" w:after="0" w:line="240" w:lineRule="auto"/>
              <w:ind w:left="137" w:hanging="154"/>
              <w:jc w:val="left"/>
              <w:rPr>
                <w:color w:val="000000" w:themeColor="text1"/>
                <w:sz w:val="16"/>
                <w:szCs w:val="16"/>
              </w:rPr>
            </w:pPr>
            <w:r w:rsidRPr="000E280D">
              <w:rPr>
                <w:color w:val="000000" w:themeColor="text1"/>
                <w:sz w:val="16"/>
                <w:szCs w:val="16"/>
              </w:rPr>
              <w:t>On-site inspection</w:t>
            </w:r>
          </w:p>
        </w:tc>
        <w:tc>
          <w:tcPr>
            <w:tcW w:w="758" w:type="pct"/>
          </w:tcPr>
          <w:p w14:paraId="3535082F" w14:textId="5FE1CF78" w:rsidR="00522EE8" w:rsidRPr="000E280D" w:rsidRDefault="00DC1FF8" w:rsidP="000E280D">
            <w:pPr>
              <w:numPr>
                <w:ilvl w:val="0"/>
                <w:numId w:val="7"/>
              </w:numPr>
              <w:spacing w:before="0" w:after="0" w:line="240" w:lineRule="auto"/>
              <w:ind w:left="209" w:hanging="180"/>
              <w:jc w:val="left"/>
              <w:rPr>
                <w:rFonts w:cs="Wingdings"/>
                <w:color w:val="000000"/>
                <w:sz w:val="16"/>
                <w:szCs w:val="16"/>
              </w:rPr>
            </w:pPr>
            <w:r w:rsidRPr="000E280D">
              <w:rPr>
                <w:rFonts w:eastAsia="Arial TUR" w:cs="Wingdings"/>
                <w:color w:val="000000" w:themeColor="text1"/>
                <w:sz w:val="16"/>
                <w:szCs w:val="16"/>
                <w:lang w:eastAsia="en-US"/>
              </w:rPr>
              <w:t>Minimization of t</w:t>
            </w:r>
            <w:r w:rsidR="00522EE8" w:rsidRPr="000E280D">
              <w:rPr>
                <w:rFonts w:eastAsia="Arial TUR" w:cs="Wingdings"/>
                <w:color w:val="000000" w:themeColor="text1"/>
                <w:sz w:val="16"/>
                <w:szCs w:val="16"/>
                <w:lang w:eastAsia="en-US"/>
              </w:rPr>
              <w:t>otal waste generated</w:t>
            </w:r>
          </w:p>
          <w:p w14:paraId="661EC2C0" w14:textId="2BE17347" w:rsidR="00A019D6" w:rsidRPr="000E280D" w:rsidRDefault="004D1124" w:rsidP="000E280D">
            <w:pPr>
              <w:numPr>
                <w:ilvl w:val="0"/>
                <w:numId w:val="7"/>
              </w:numPr>
              <w:spacing w:before="60" w:after="0" w:line="240" w:lineRule="auto"/>
              <w:ind w:left="236" w:hanging="213"/>
              <w:jc w:val="left"/>
              <w:rPr>
                <w:rFonts w:cs="Wingdings"/>
                <w:color w:val="000000"/>
                <w:sz w:val="16"/>
                <w:szCs w:val="16"/>
              </w:rPr>
            </w:pPr>
            <w:r w:rsidRPr="000E280D">
              <w:rPr>
                <w:rFonts w:eastAsia="Arial TUR" w:cs="Wingdings"/>
                <w:color w:val="000000" w:themeColor="text1"/>
                <w:sz w:val="16"/>
                <w:szCs w:val="16"/>
                <w:lang w:eastAsia="en-US"/>
              </w:rPr>
              <w:t>Minimization of r</w:t>
            </w:r>
            <w:r w:rsidR="00AC7D2D" w:rsidRPr="000E280D">
              <w:rPr>
                <w:rFonts w:cs="Arial"/>
                <w:color w:val="000000" w:themeColor="text1"/>
                <w:sz w:val="16"/>
                <w:szCs w:val="16"/>
              </w:rPr>
              <w:t xml:space="preserve">atio </w:t>
            </w:r>
            <w:r w:rsidR="00AC4F78" w:rsidRPr="000E280D">
              <w:rPr>
                <w:rFonts w:cs="Arial"/>
                <w:color w:val="000000" w:themeColor="text1"/>
                <w:sz w:val="16"/>
                <w:szCs w:val="16"/>
              </w:rPr>
              <w:t>of excavation</w:t>
            </w:r>
            <w:r w:rsidRPr="000E280D">
              <w:rPr>
                <w:rFonts w:cs="Arial"/>
                <w:color w:val="000000" w:themeColor="text1"/>
                <w:sz w:val="16"/>
                <w:szCs w:val="16"/>
              </w:rPr>
              <w:t xml:space="preserve"> waste</w:t>
            </w:r>
            <w:r w:rsidR="00AC4F78" w:rsidRPr="000E280D">
              <w:rPr>
                <w:rFonts w:cs="Arial"/>
                <w:color w:val="000000" w:themeColor="text1"/>
                <w:sz w:val="16"/>
                <w:szCs w:val="16"/>
              </w:rPr>
              <w:t xml:space="preserve"> to total waste</w:t>
            </w:r>
            <w:r w:rsidR="00522EE8" w:rsidRPr="000E280D">
              <w:rPr>
                <w:rFonts w:cs="Arial"/>
                <w:color w:val="000000" w:themeColor="text1"/>
                <w:sz w:val="16"/>
                <w:szCs w:val="16"/>
              </w:rPr>
              <w:t>.</w:t>
            </w:r>
          </w:p>
        </w:tc>
        <w:tc>
          <w:tcPr>
            <w:tcW w:w="793" w:type="pct"/>
          </w:tcPr>
          <w:p w14:paraId="452222E1"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Regulation on the Control of Excavation Soil, Construction and Demolition Wastes</w:t>
            </w:r>
          </w:p>
        </w:tc>
        <w:tc>
          <w:tcPr>
            <w:tcW w:w="691" w:type="pct"/>
          </w:tcPr>
          <w:p w14:paraId="28B37E6F" w14:textId="77777777" w:rsidR="00522EE8" w:rsidRPr="000E280D" w:rsidRDefault="00522EE8" w:rsidP="000E280D">
            <w:pPr>
              <w:numPr>
                <w:ilvl w:val="0"/>
                <w:numId w:val="7"/>
              </w:numPr>
              <w:spacing w:before="0" w:after="0" w:line="240" w:lineRule="auto"/>
              <w:ind w:left="209" w:hanging="180"/>
              <w:jc w:val="left"/>
              <w:rPr>
                <w:rFonts w:eastAsia="Arial TUR" w:cs="Wingdings"/>
                <w:color w:val="000000" w:themeColor="text1"/>
                <w:sz w:val="16"/>
                <w:szCs w:val="16"/>
                <w:lang w:eastAsia="en-US"/>
              </w:rPr>
            </w:pPr>
            <w:r w:rsidRPr="000E280D">
              <w:rPr>
                <w:rFonts w:eastAsia="Arial TUR" w:cs="Wingdings"/>
                <w:color w:val="000000" w:themeColor="text1"/>
                <w:sz w:val="16"/>
                <w:szCs w:val="16"/>
                <w:lang w:eastAsia="en-US"/>
              </w:rPr>
              <w:t>Waste Generation</w:t>
            </w:r>
          </w:p>
          <w:p w14:paraId="3F4369E0" w14:textId="48BAFA8A" w:rsidR="00A019D6" w:rsidRPr="000E280D" w:rsidRDefault="00522EE8" w:rsidP="000E280D">
            <w:pPr>
              <w:numPr>
                <w:ilvl w:val="0"/>
                <w:numId w:val="7"/>
              </w:numPr>
              <w:spacing w:before="0" w:after="0" w:line="240" w:lineRule="auto"/>
              <w:ind w:left="209" w:hanging="180"/>
              <w:jc w:val="left"/>
              <w:rPr>
                <w:rFonts w:cs="Wingdings"/>
                <w:color w:val="000000"/>
                <w:sz w:val="16"/>
                <w:szCs w:val="16"/>
              </w:rPr>
            </w:pPr>
            <w:r w:rsidRPr="000E280D">
              <w:rPr>
                <w:rFonts w:eastAsia="Arial TUR" w:cs="Wingdings"/>
                <w:color w:val="000000" w:themeColor="text1"/>
                <w:sz w:val="16"/>
                <w:szCs w:val="16"/>
                <w:lang w:eastAsia="en-US"/>
              </w:rPr>
              <w:t>Waste Disposal</w:t>
            </w:r>
          </w:p>
        </w:tc>
        <w:tc>
          <w:tcPr>
            <w:tcW w:w="276" w:type="pct"/>
          </w:tcPr>
          <w:p w14:paraId="18418CB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59E6F008" w14:textId="77777777" w:rsidR="00E817C3" w:rsidRPr="000E280D" w:rsidRDefault="00E817C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25BF45BC"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35E2F232" w14:textId="05CECD72"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3231F1A2" w14:textId="77777777" w:rsidTr="00270ACC">
        <w:trPr>
          <w:trHeight w:val="1479"/>
        </w:trPr>
        <w:tc>
          <w:tcPr>
            <w:tcW w:w="310" w:type="pct"/>
          </w:tcPr>
          <w:p w14:paraId="61B9A241" w14:textId="77777777" w:rsidR="00A019D6" w:rsidRPr="000E280D" w:rsidRDefault="00A019D6" w:rsidP="000E280D">
            <w:pPr>
              <w:pStyle w:val="BodyText"/>
              <w:spacing w:before="40" w:after="40" w:line="240" w:lineRule="auto"/>
              <w:jc w:val="left"/>
              <w:rPr>
                <w:rFonts w:cs="Wingdings"/>
                <w:b/>
                <w:noProof w:val="0"/>
                <w:sz w:val="16"/>
                <w:szCs w:val="16"/>
              </w:rPr>
            </w:pPr>
            <w:r w:rsidRPr="000E280D">
              <w:rPr>
                <w:rFonts w:cs="Arial"/>
                <w:b/>
                <w:bCs/>
                <w:noProof w:val="0"/>
                <w:sz w:val="16"/>
                <w:szCs w:val="16"/>
              </w:rPr>
              <w:t>Wastewater and Water Management</w:t>
            </w:r>
          </w:p>
        </w:tc>
        <w:tc>
          <w:tcPr>
            <w:tcW w:w="446" w:type="pct"/>
          </w:tcPr>
          <w:p w14:paraId="2992935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Project area</w:t>
            </w:r>
          </w:p>
        </w:tc>
        <w:tc>
          <w:tcPr>
            <w:tcW w:w="417" w:type="pct"/>
          </w:tcPr>
          <w:p w14:paraId="772A865B"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During Construction</w:t>
            </w:r>
          </w:p>
          <w:p w14:paraId="35713B88" w14:textId="77777777" w:rsidR="00A019D6" w:rsidRPr="000E280D" w:rsidRDefault="00A019D6" w:rsidP="000E280D">
            <w:pPr>
              <w:spacing w:before="0" w:after="0" w:line="240" w:lineRule="auto"/>
              <w:jc w:val="left"/>
              <w:rPr>
                <w:sz w:val="16"/>
                <w:szCs w:val="16"/>
              </w:rPr>
            </w:pPr>
            <w:r w:rsidRPr="000E280D">
              <w:rPr>
                <w:sz w:val="16"/>
                <w:szCs w:val="16"/>
              </w:rPr>
              <w:t>At the beginning of the project.</w:t>
            </w:r>
          </w:p>
        </w:tc>
        <w:tc>
          <w:tcPr>
            <w:tcW w:w="344" w:type="pct"/>
          </w:tcPr>
          <w:p w14:paraId="5405AE97" w14:textId="7CF1F836" w:rsidR="00A019D6" w:rsidRPr="000E280D" w:rsidRDefault="00A019D6" w:rsidP="000E280D">
            <w:pPr>
              <w:numPr>
                <w:ilvl w:val="0"/>
                <w:numId w:val="7"/>
              </w:numPr>
              <w:spacing w:before="0" w:after="0" w:line="240" w:lineRule="auto"/>
              <w:ind w:left="209" w:hanging="180"/>
              <w:jc w:val="left"/>
              <w:rPr>
                <w:color w:val="000000" w:themeColor="text1"/>
                <w:sz w:val="16"/>
                <w:szCs w:val="16"/>
              </w:rPr>
            </w:pPr>
            <w:r w:rsidRPr="000E280D">
              <w:rPr>
                <w:color w:val="000000" w:themeColor="text1"/>
                <w:sz w:val="16"/>
                <w:szCs w:val="16"/>
              </w:rPr>
              <w:t>Sewer connection permit</w:t>
            </w:r>
            <w:r w:rsidR="003F5183" w:rsidRPr="000E280D">
              <w:rPr>
                <w:color w:val="000000" w:themeColor="text1"/>
                <w:sz w:val="16"/>
                <w:szCs w:val="16"/>
              </w:rPr>
              <w:t xml:space="preserve"> or </w:t>
            </w:r>
            <w:r w:rsidR="009B5DF1" w:rsidRPr="000E280D">
              <w:rPr>
                <w:color w:val="000000" w:themeColor="text1"/>
                <w:sz w:val="16"/>
                <w:szCs w:val="16"/>
              </w:rPr>
              <w:t xml:space="preserve">wastewater pull-out </w:t>
            </w:r>
            <w:r w:rsidR="005C536F" w:rsidRPr="000E280D">
              <w:rPr>
                <w:color w:val="000000" w:themeColor="text1"/>
                <w:sz w:val="16"/>
                <w:szCs w:val="16"/>
              </w:rPr>
              <w:t>records</w:t>
            </w:r>
            <w:r w:rsidRPr="000E280D">
              <w:rPr>
                <w:color w:val="000000" w:themeColor="text1"/>
                <w:sz w:val="16"/>
                <w:szCs w:val="16"/>
              </w:rPr>
              <w:t>.</w:t>
            </w:r>
          </w:p>
        </w:tc>
        <w:tc>
          <w:tcPr>
            <w:tcW w:w="621" w:type="pct"/>
          </w:tcPr>
          <w:p w14:paraId="7907BD0E" w14:textId="77777777" w:rsidR="00A019D6" w:rsidRPr="000E280D" w:rsidRDefault="00A019D6" w:rsidP="000E280D">
            <w:pPr>
              <w:numPr>
                <w:ilvl w:val="0"/>
                <w:numId w:val="7"/>
              </w:numPr>
              <w:spacing w:before="0" w:after="0" w:line="240" w:lineRule="auto"/>
              <w:ind w:left="209" w:hanging="180"/>
              <w:jc w:val="left"/>
              <w:rPr>
                <w:color w:val="000000" w:themeColor="text1"/>
                <w:sz w:val="16"/>
                <w:szCs w:val="16"/>
              </w:rPr>
            </w:pPr>
            <w:r w:rsidRPr="000E280D">
              <w:rPr>
                <w:color w:val="000000" w:themeColor="text1"/>
                <w:sz w:val="16"/>
                <w:szCs w:val="16"/>
              </w:rPr>
              <w:t>Official Letter regarding permit.</w:t>
            </w:r>
          </w:p>
        </w:tc>
        <w:tc>
          <w:tcPr>
            <w:tcW w:w="758" w:type="pct"/>
          </w:tcPr>
          <w:p w14:paraId="38ECB8FF" w14:textId="67EC928D" w:rsidR="00A019D6" w:rsidRPr="000E280D" w:rsidRDefault="1FE75218" w:rsidP="000E280D">
            <w:pPr>
              <w:numPr>
                <w:ilvl w:val="0"/>
                <w:numId w:val="7"/>
              </w:numPr>
              <w:spacing w:before="0" w:after="0" w:line="240" w:lineRule="auto"/>
              <w:ind w:left="209" w:hanging="180"/>
              <w:jc w:val="left"/>
              <w:rPr>
                <w:rFonts w:cs="Wingdings"/>
                <w:color w:val="000000"/>
                <w:sz w:val="16"/>
                <w:szCs w:val="16"/>
              </w:rPr>
            </w:pPr>
            <w:r w:rsidRPr="000E280D">
              <w:rPr>
                <w:rFonts w:eastAsia="Calibri" w:cs="Arial"/>
                <w:color w:val="000000" w:themeColor="text1"/>
                <w:sz w:val="16"/>
                <w:szCs w:val="16"/>
                <w:lang w:eastAsia="en-US"/>
              </w:rPr>
              <w:t>Permit in place</w:t>
            </w:r>
            <w:r w:rsidR="005C536F" w:rsidRPr="000E280D">
              <w:rPr>
                <w:rFonts w:eastAsia="Calibri" w:cs="Arial"/>
                <w:color w:val="000000" w:themeColor="text1"/>
                <w:sz w:val="16"/>
                <w:szCs w:val="16"/>
                <w:lang w:eastAsia="en-US"/>
              </w:rPr>
              <w:t xml:space="preserve"> or </w:t>
            </w:r>
            <w:r w:rsidR="005C536F" w:rsidRPr="000E280D">
              <w:rPr>
                <w:sz w:val="16"/>
                <w:szCs w:val="16"/>
              </w:rPr>
              <w:t>wastewater pull-out records</w:t>
            </w:r>
          </w:p>
        </w:tc>
        <w:tc>
          <w:tcPr>
            <w:tcW w:w="793" w:type="pct"/>
          </w:tcPr>
          <w:p w14:paraId="35DA5198" w14:textId="77777777" w:rsidR="00A019D6" w:rsidRPr="000E280D" w:rsidRDefault="1FE75218" w:rsidP="000E280D">
            <w:pPr>
              <w:numPr>
                <w:ilvl w:val="0"/>
                <w:numId w:val="7"/>
              </w:numPr>
              <w:spacing w:before="60" w:after="0" w:line="240" w:lineRule="auto"/>
              <w:ind w:left="92" w:hanging="168"/>
              <w:jc w:val="left"/>
              <w:rPr>
                <w:rFonts w:cs="Wingdings"/>
                <w:sz w:val="16"/>
                <w:szCs w:val="16"/>
              </w:rPr>
            </w:pPr>
            <w:r w:rsidRPr="000E280D">
              <w:rPr>
                <w:rFonts w:cs="Arial"/>
                <w:color w:val="000000" w:themeColor="text1"/>
                <w:sz w:val="16"/>
                <w:szCs w:val="16"/>
              </w:rPr>
              <w:t>Regulation on Control of Water Pollution</w:t>
            </w:r>
          </w:p>
          <w:p w14:paraId="4E4B940C" w14:textId="482A6E6D" w:rsidR="00AA1355" w:rsidRPr="000E280D" w:rsidRDefault="00AA1355" w:rsidP="000E280D">
            <w:pPr>
              <w:numPr>
                <w:ilvl w:val="0"/>
                <w:numId w:val="7"/>
              </w:numPr>
              <w:spacing w:before="60" w:after="0" w:line="240" w:lineRule="auto"/>
              <w:ind w:left="92" w:hanging="168"/>
              <w:jc w:val="left"/>
              <w:rPr>
                <w:rFonts w:cs="Wingdings"/>
                <w:sz w:val="16"/>
                <w:szCs w:val="16"/>
              </w:rPr>
            </w:pPr>
            <w:r w:rsidRPr="000E280D">
              <w:rPr>
                <w:rFonts w:cs="Wingdings"/>
                <w:color w:val="000000" w:themeColor="text1"/>
                <w:sz w:val="16"/>
                <w:szCs w:val="16"/>
              </w:rPr>
              <w:t xml:space="preserve">WB General EHS </w:t>
            </w:r>
            <w:r w:rsidR="00AC4F78" w:rsidRPr="000E280D">
              <w:rPr>
                <w:rFonts w:cs="Wingdings"/>
                <w:color w:val="000000" w:themeColor="text1"/>
                <w:sz w:val="16"/>
                <w:szCs w:val="16"/>
              </w:rPr>
              <w:t>Guidelines: Environmental</w:t>
            </w:r>
            <w:r w:rsidRPr="000E280D">
              <w:rPr>
                <w:rFonts w:cs="Wingdings"/>
                <w:color w:val="000000" w:themeColor="text1"/>
                <w:sz w:val="16"/>
                <w:szCs w:val="16"/>
              </w:rPr>
              <w:t xml:space="preserve"> Wastewater and Ambient Water Quality</w:t>
            </w:r>
          </w:p>
          <w:p w14:paraId="6C81F2AA" w14:textId="77777777" w:rsidR="00A019D6" w:rsidRPr="000E280D" w:rsidRDefault="00AA1355" w:rsidP="000E280D">
            <w:pPr>
              <w:numPr>
                <w:ilvl w:val="0"/>
                <w:numId w:val="7"/>
              </w:numPr>
              <w:spacing w:before="60" w:after="0" w:line="240" w:lineRule="auto"/>
              <w:ind w:left="92" w:hanging="168"/>
              <w:jc w:val="left"/>
              <w:rPr>
                <w:rFonts w:cs="Wingdings"/>
                <w:sz w:val="16"/>
                <w:szCs w:val="16"/>
              </w:rPr>
            </w:pPr>
            <w:r w:rsidRPr="000E280D">
              <w:rPr>
                <w:rFonts w:cs="Wingdings"/>
                <w:sz w:val="16"/>
                <w:szCs w:val="16"/>
              </w:rPr>
              <w:t>WB ESS 3</w:t>
            </w:r>
          </w:p>
        </w:tc>
        <w:tc>
          <w:tcPr>
            <w:tcW w:w="691" w:type="pct"/>
          </w:tcPr>
          <w:p w14:paraId="3428BAD5" w14:textId="0EB2BBDF" w:rsidR="00A019D6" w:rsidRPr="000E280D" w:rsidRDefault="1FE75218" w:rsidP="000E280D">
            <w:pPr>
              <w:numPr>
                <w:ilvl w:val="0"/>
                <w:numId w:val="7"/>
              </w:numPr>
              <w:spacing w:before="0" w:after="0" w:line="240" w:lineRule="auto"/>
              <w:ind w:left="209" w:hanging="180"/>
              <w:jc w:val="left"/>
              <w:rPr>
                <w:rFonts w:cs="Wingdings"/>
                <w:sz w:val="16"/>
                <w:szCs w:val="16"/>
              </w:rPr>
            </w:pPr>
            <w:r w:rsidRPr="000E280D">
              <w:rPr>
                <w:rFonts w:cs="Arial"/>
                <w:color w:val="000000" w:themeColor="text1"/>
                <w:sz w:val="16"/>
                <w:szCs w:val="16"/>
              </w:rPr>
              <w:t>Permit</w:t>
            </w:r>
            <w:r w:rsidR="005C536F" w:rsidRPr="000E280D">
              <w:rPr>
                <w:rFonts w:cs="Arial"/>
                <w:color w:val="000000" w:themeColor="text1"/>
                <w:sz w:val="16"/>
                <w:szCs w:val="16"/>
              </w:rPr>
              <w:t xml:space="preserve"> or</w:t>
            </w:r>
          </w:p>
          <w:p w14:paraId="50475067" w14:textId="7DDB7258" w:rsidR="00A019D6" w:rsidRPr="000E280D" w:rsidRDefault="005C536F" w:rsidP="000E280D">
            <w:pPr>
              <w:numPr>
                <w:ilvl w:val="0"/>
                <w:numId w:val="7"/>
              </w:numPr>
              <w:spacing w:before="0" w:after="0" w:line="240" w:lineRule="auto"/>
              <w:ind w:left="209" w:hanging="180"/>
              <w:jc w:val="left"/>
              <w:rPr>
                <w:rFonts w:cs="Wingdings"/>
                <w:sz w:val="16"/>
                <w:szCs w:val="16"/>
              </w:rPr>
            </w:pPr>
            <w:r w:rsidRPr="000E280D">
              <w:rPr>
                <w:rFonts w:cs="Arial"/>
                <w:color w:val="000000" w:themeColor="text1"/>
                <w:sz w:val="16"/>
                <w:szCs w:val="16"/>
              </w:rPr>
              <w:t>Records</w:t>
            </w:r>
          </w:p>
        </w:tc>
        <w:tc>
          <w:tcPr>
            <w:tcW w:w="276" w:type="pct"/>
          </w:tcPr>
          <w:p w14:paraId="5AE467F1"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586C2E18" w14:textId="77777777" w:rsidR="00E817C3" w:rsidRPr="000E280D" w:rsidRDefault="00E817C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0774714E"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192B6E44" w14:textId="2DD0D472"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7BE47B8B" w14:textId="77777777" w:rsidTr="00270ACC">
        <w:trPr>
          <w:trHeight w:val="1479"/>
        </w:trPr>
        <w:tc>
          <w:tcPr>
            <w:tcW w:w="310" w:type="pct"/>
          </w:tcPr>
          <w:p w14:paraId="410F9FE7" w14:textId="77777777" w:rsidR="00A019D6" w:rsidRPr="000E280D" w:rsidRDefault="00A019D6" w:rsidP="000E280D">
            <w:pPr>
              <w:pStyle w:val="BodyText"/>
              <w:spacing w:before="40" w:after="40" w:line="240" w:lineRule="auto"/>
              <w:jc w:val="left"/>
              <w:rPr>
                <w:rFonts w:cs="Wingdings"/>
                <w:b/>
                <w:noProof w:val="0"/>
                <w:sz w:val="16"/>
                <w:szCs w:val="16"/>
              </w:rPr>
            </w:pPr>
            <w:r w:rsidRPr="000E280D">
              <w:rPr>
                <w:rFonts w:cs="Arial"/>
                <w:b/>
                <w:bCs/>
                <w:noProof w:val="0"/>
                <w:sz w:val="16"/>
                <w:szCs w:val="16"/>
              </w:rPr>
              <w:t>Hazardous Waste Management</w:t>
            </w:r>
          </w:p>
        </w:tc>
        <w:tc>
          <w:tcPr>
            <w:tcW w:w="446" w:type="pct"/>
          </w:tcPr>
          <w:p w14:paraId="0F7648C6"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Project area</w:t>
            </w:r>
          </w:p>
        </w:tc>
        <w:tc>
          <w:tcPr>
            <w:tcW w:w="417" w:type="pct"/>
          </w:tcPr>
          <w:p w14:paraId="47D27DF7"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During Construction</w:t>
            </w:r>
          </w:p>
          <w:p w14:paraId="713742BF"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Daily</w:t>
            </w:r>
          </w:p>
        </w:tc>
        <w:tc>
          <w:tcPr>
            <w:tcW w:w="344" w:type="pct"/>
          </w:tcPr>
          <w:p w14:paraId="7008874E" w14:textId="77777777" w:rsidR="00A019D6" w:rsidRPr="000E280D" w:rsidRDefault="00A019D6" w:rsidP="000E280D">
            <w:pPr>
              <w:numPr>
                <w:ilvl w:val="0"/>
                <w:numId w:val="7"/>
              </w:numPr>
              <w:spacing w:before="0" w:after="0" w:line="240" w:lineRule="auto"/>
              <w:ind w:left="209" w:hanging="180"/>
              <w:jc w:val="left"/>
              <w:rPr>
                <w:color w:val="000000" w:themeColor="text1"/>
                <w:sz w:val="16"/>
                <w:szCs w:val="16"/>
              </w:rPr>
            </w:pPr>
            <w:r w:rsidRPr="000E280D">
              <w:rPr>
                <w:color w:val="000000" w:themeColor="text1"/>
                <w:sz w:val="16"/>
                <w:szCs w:val="16"/>
              </w:rPr>
              <w:t>Waste amount and storage conditions</w:t>
            </w:r>
          </w:p>
        </w:tc>
        <w:tc>
          <w:tcPr>
            <w:tcW w:w="621" w:type="pct"/>
          </w:tcPr>
          <w:p w14:paraId="123BA729" w14:textId="77777777" w:rsidR="00A019D6" w:rsidRPr="000E280D" w:rsidRDefault="1FE75218" w:rsidP="000E280D">
            <w:pPr>
              <w:numPr>
                <w:ilvl w:val="0"/>
                <w:numId w:val="7"/>
              </w:numPr>
              <w:spacing w:before="60" w:after="0" w:line="240" w:lineRule="auto"/>
              <w:ind w:left="81" w:hanging="154"/>
              <w:jc w:val="left"/>
              <w:rPr>
                <w:rFonts w:cs="Wingdings"/>
                <w:sz w:val="16"/>
                <w:szCs w:val="16"/>
              </w:rPr>
            </w:pPr>
            <w:r w:rsidRPr="000E280D">
              <w:rPr>
                <w:rFonts w:cs="Wingdings"/>
                <w:color w:val="000000" w:themeColor="text1"/>
                <w:sz w:val="16"/>
                <w:szCs w:val="16"/>
              </w:rPr>
              <w:t>Waste records</w:t>
            </w:r>
          </w:p>
          <w:p w14:paraId="1588920F" w14:textId="77777777" w:rsidR="00A019D6" w:rsidRPr="000E280D" w:rsidRDefault="1FE75218" w:rsidP="000E280D">
            <w:pPr>
              <w:numPr>
                <w:ilvl w:val="0"/>
                <w:numId w:val="7"/>
              </w:numPr>
              <w:spacing w:before="60" w:after="0" w:line="240" w:lineRule="auto"/>
              <w:ind w:left="81" w:hanging="154"/>
              <w:jc w:val="left"/>
              <w:rPr>
                <w:rFonts w:cs="Wingdings"/>
                <w:sz w:val="16"/>
                <w:szCs w:val="16"/>
              </w:rPr>
            </w:pPr>
            <w:r w:rsidRPr="000E280D">
              <w:rPr>
                <w:rFonts w:cs="Arial"/>
                <w:color w:val="000000" w:themeColor="text1"/>
                <w:sz w:val="16"/>
                <w:szCs w:val="16"/>
              </w:rPr>
              <w:t>On-site inspection</w:t>
            </w:r>
          </w:p>
        </w:tc>
        <w:tc>
          <w:tcPr>
            <w:tcW w:w="758" w:type="pct"/>
          </w:tcPr>
          <w:p w14:paraId="3D634A13" w14:textId="02B0AC9B" w:rsidR="00C30B4E" w:rsidRPr="000E280D" w:rsidRDefault="004D1124" w:rsidP="000E280D">
            <w:pPr>
              <w:numPr>
                <w:ilvl w:val="0"/>
                <w:numId w:val="7"/>
              </w:numPr>
              <w:spacing w:before="0" w:after="0" w:line="240" w:lineRule="auto"/>
              <w:ind w:left="209" w:hanging="180"/>
              <w:jc w:val="left"/>
              <w:rPr>
                <w:rFonts w:cs="Wingdings"/>
                <w:color w:val="000000"/>
                <w:sz w:val="16"/>
                <w:szCs w:val="16"/>
              </w:rPr>
            </w:pPr>
            <w:r w:rsidRPr="000E280D">
              <w:rPr>
                <w:rFonts w:eastAsia="Arial TUR" w:cs="Wingdings"/>
                <w:color w:val="000000" w:themeColor="text1"/>
                <w:sz w:val="16"/>
                <w:szCs w:val="16"/>
                <w:lang w:eastAsia="en-US"/>
              </w:rPr>
              <w:t>Minimization of t</w:t>
            </w:r>
            <w:r w:rsidR="00C30B4E" w:rsidRPr="000E280D">
              <w:rPr>
                <w:rFonts w:eastAsia="Arial TUR" w:cs="Wingdings"/>
                <w:color w:val="000000" w:themeColor="text1"/>
                <w:sz w:val="16"/>
                <w:szCs w:val="16"/>
                <w:lang w:eastAsia="en-US"/>
              </w:rPr>
              <w:t>otal waste generated</w:t>
            </w:r>
          </w:p>
          <w:p w14:paraId="1D839632" w14:textId="5A5FF287" w:rsidR="00A019D6" w:rsidRPr="000E280D" w:rsidRDefault="004D1124" w:rsidP="000E280D">
            <w:pPr>
              <w:numPr>
                <w:ilvl w:val="0"/>
                <w:numId w:val="7"/>
              </w:numPr>
              <w:spacing w:before="0" w:after="0" w:line="240" w:lineRule="auto"/>
              <w:ind w:left="209" w:hanging="180"/>
              <w:jc w:val="left"/>
              <w:rPr>
                <w:rFonts w:cs="Wingdings"/>
                <w:sz w:val="16"/>
                <w:szCs w:val="16"/>
              </w:rPr>
            </w:pPr>
            <w:r w:rsidRPr="000E280D">
              <w:rPr>
                <w:rFonts w:cs="Wingdings"/>
                <w:color w:val="000000" w:themeColor="text1"/>
                <w:sz w:val="16"/>
                <w:szCs w:val="16"/>
              </w:rPr>
              <w:t xml:space="preserve">Minimize the </w:t>
            </w:r>
            <w:r w:rsidRPr="000E280D">
              <w:rPr>
                <w:rFonts w:cs="Arial"/>
                <w:color w:val="000000"/>
                <w:sz w:val="16"/>
                <w:szCs w:val="16"/>
              </w:rPr>
              <w:t>r</w:t>
            </w:r>
            <w:r w:rsidR="00A019D6" w:rsidRPr="000E280D">
              <w:rPr>
                <w:rFonts w:cs="Arial"/>
                <w:color w:val="000000"/>
                <w:sz w:val="16"/>
                <w:szCs w:val="16"/>
              </w:rPr>
              <w:t>atio of hazardous waste generated to total hazardous waste (by contamination + by generation)</w:t>
            </w:r>
          </w:p>
          <w:p w14:paraId="33580BD6" w14:textId="6DB12625" w:rsidR="00C30B4E" w:rsidRPr="000E280D" w:rsidRDefault="004D1124" w:rsidP="000E280D">
            <w:pPr>
              <w:numPr>
                <w:ilvl w:val="0"/>
                <w:numId w:val="7"/>
              </w:numPr>
              <w:spacing w:before="0" w:after="0" w:line="240" w:lineRule="auto"/>
              <w:ind w:left="209" w:hanging="180"/>
              <w:jc w:val="left"/>
              <w:rPr>
                <w:rFonts w:cs="Wingdings"/>
                <w:sz w:val="16"/>
                <w:szCs w:val="16"/>
              </w:rPr>
            </w:pPr>
            <w:r w:rsidRPr="000E280D">
              <w:rPr>
                <w:rFonts w:cs="Arial"/>
                <w:color w:val="000000" w:themeColor="text1"/>
                <w:sz w:val="16"/>
                <w:szCs w:val="16"/>
              </w:rPr>
              <w:t>Increasing the r</w:t>
            </w:r>
            <w:r w:rsidR="00C30B4E" w:rsidRPr="000E280D">
              <w:rPr>
                <w:rFonts w:cs="Wingdings"/>
                <w:sz w:val="16"/>
                <w:szCs w:val="16"/>
              </w:rPr>
              <w:t xml:space="preserve">atio of recovered/recycled </w:t>
            </w:r>
            <w:r w:rsidR="00A1333C" w:rsidRPr="000E280D">
              <w:rPr>
                <w:rFonts w:cs="Wingdings"/>
                <w:sz w:val="16"/>
                <w:szCs w:val="16"/>
              </w:rPr>
              <w:t xml:space="preserve">hazardous </w:t>
            </w:r>
            <w:r w:rsidR="00C30B4E" w:rsidRPr="000E280D">
              <w:rPr>
                <w:rFonts w:cs="Wingdings"/>
                <w:sz w:val="16"/>
                <w:szCs w:val="16"/>
              </w:rPr>
              <w:t>waste to total waste generated</w:t>
            </w:r>
          </w:p>
        </w:tc>
        <w:tc>
          <w:tcPr>
            <w:tcW w:w="793" w:type="pct"/>
          </w:tcPr>
          <w:p w14:paraId="19EE4BFF" w14:textId="77777777" w:rsidR="00A019D6" w:rsidRPr="000E280D" w:rsidRDefault="00A019D6" w:rsidP="000E280D">
            <w:pPr>
              <w:numPr>
                <w:ilvl w:val="0"/>
                <w:numId w:val="7"/>
              </w:numPr>
              <w:spacing w:before="60" w:after="0" w:line="240" w:lineRule="auto"/>
              <w:ind w:left="92" w:hanging="168"/>
              <w:jc w:val="left"/>
              <w:rPr>
                <w:rFonts w:cs="Wingdings"/>
                <w:sz w:val="16"/>
                <w:szCs w:val="16"/>
              </w:rPr>
            </w:pPr>
            <w:r w:rsidRPr="000E280D">
              <w:rPr>
                <w:sz w:val="16"/>
                <w:szCs w:val="16"/>
              </w:rPr>
              <w:t>Waste Management Regulation</w:t>
            </w:r>
          </w:p>
          <w:p w14:paraId="2B8B2CEE" w14:textId="77777777" w:rsidR="008E19FC" w:rsidRPr="000E280D" w:rsidRDefault="008E19FC" w:rsidP="000E280D">
            <w:pPr>
              <w:numPr>
                <w:ilvl w:val="0"/>
                <w:numId w:val="7"/>
              </w:numPr>
              <w:spacing w:before="60" w:after="0" w:line="240" w:lineRule="auto"/>
              <w:ind w:left="92" w:hanging="168"/>
              <w:jc w:val="left"/>
              <w:rPr>
                <w:rFonts w:cs="Wingdings"/>
                <w:sz w:val="16"/>
                <w:szCs w:val="16"/>
              </w:rPr>
            </w:pPr>
            <w:r w:rsidRPr="000E280D">
              <w:rPr>
                <w:rFonts w:cs="Wingdings"/>
                <w:sz w:val="16"/>
                <w:szCs w:val="16"/>
              </w:rPr>
              <w:t>WB General EHS Guidelines: Environmental Waste Management</w:t>
            </w:r>
          </w:p>
          <w:p w14:paraId="53CAE808" w14:textId="77777777" w:rsidR="00A019D6" w:rsidRPr="000E280D" w:rsidRDefault="008E19FC" w:rsidP="000E280D">
            <w:pPr>
              <w:numPr>
                <w:ilvl w:val="0"/>
                <w:numId w:val="7"/>
              </w:numPr>
              <w:spacing w:before="60" w:after="0" w:line="240" w:lineRule="auto"/>
              <w:ind w:left="92" w:hanging="168"/>
              <w:jc w:val="left"/>
              <w:rPr>
                <w:rFonts w:cs="Wingdings"/>
                <w:sz w:val="16"/>
                <w:szCs w:val="16"/>
              </w:rPr>
            </w:pPr>
            <w:r w:rsidRPr="000E280D">
              <w:rPr>
                <w:rFonts w:cs="Wingdings"/>
                <w:sz w:val="16"/>
                <w:szCs w:val="16"/>
              </w:rPr>
              <w:t>WB ESS 3</w:t>
            </w:r>
          </w:p>
        </w:tc>
        <w:tc>
          <w:tcPr>
            <w:tcW w:w="691" w:type="pct"/>
          </w:tcPr>
          <w:p w14:paraId="7DE772D0" w14:textId="77777777" w:rsidR="00C30B4E" w:rsidRPr="000E280D" w:rsidRDefault="00C30B4E" w:rsidP="000E280D">
            <w:pPr>
              <w:numPr>
                <w:ilvl w:val="0"/>
                <w:numId w:val="7"/>
              </w:numPr>
              <w:spacing w:before="0" w:after="0" w:line="240" w:lineRule="auto"/>
              <w:ind w:left="209" w:hanging="180"/>
              <w:jc w:val="left"/>
              <w:rPr>
                <w:rFonts w:eastAsia="Arial TUR" w:cs="Wingdings"/>
                <w:color w:val="000000" w:themeColor="text1"/>
                <w:sz w:val="16"/>
                <w:szCs w:val="16"/>
                <w:lang w:eastAsia="en-US"/>
              </w:rPr>
            </w:pPr>
            <w:r w:rsidRPr="000E280D">
              <w:rPr>
                <w:rFonts w:eastAsia="Arial TUR" w:cs="Wingdings"/>
                <w:color w:val="000000" w:themeColor="text1"/>
                <w:sz w:val="16"/>
                <w:szCs w:val="16"/>
                <w:lang w:eastAsia="en-US"/>
              </w:rPr>
              <w:t>Waste Generation</w:t>
            </w:r>
          </w:p>
          <w:p w14:paraId="3827AC95" w14:textId="5BEF75FB" w:rsidR="00A019D6" w:rsidRPr="000E280D" w:rsidRDefault="00C30B4E" w:rsidP="000E280D">
            <w:pPr>
              <w:numPr>
                <w:ilvl w:val="0"/>
                <w:numId w:val="7"/>
              </w:numPr>
              <w:spacing w:before="0" w:after="0" w:line="240" w:lineRule="auto"/>
              <w:ind w:left="209" w:hanging="180"/>
              <w:jc w:val="left"/>
              <w:rPr>
                <w:rFonts w:cs="Wingdings"/>
                <w:color w:val="000000"/>
                <w:sz w:val="16"/>
                <w:szCs w:val="16"/>
              </w:rPr>
            </w:pPr>
            <w:r w:rsidRPr="000E280D">
              <w:rPr>
                <w:rFonts w:eastAsia="Arial TUR" w:cs="Wingdings"/>
                <w:color w:val="000000" w:themeColor="text1"/>
                <w:sz w:val="16"/>
                <w:szCs w:val="16"/>
                <w:lang w:eastAsia="en-US"/>
              </w:rPr>
              <w:t>Waste Disposal</w:t>
            </w:r>
          </w:p>
        </w:tc>
        <w:tc>
          <w:tcPr>
            <w:tcW w:w="276" w:type="pct"/>
          </w:tcPr>
          <w:p w14:paraId="6514919D"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1D20F19F" w14:textId="77777777" w:rsidR="00E817C3" w:rsidRPr="000E280D" w:rsidRDefault="00E817C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61232ACB"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1D2DAA21" w14:textId="472B4693"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6444B76C" w14:textId="77777777" w:rsidTr="00270ACC">
        <w:trPr>
          <w:trHeight w:val="1479"/>
        </w:trPr>
        <w:tc>
          <w:tcPr>
            <w:tcW w:w="310" w:type="pct"/>
          </w:tcPr>
          <w:p w14:paraId="07646F3F" w14:textId="77777777" w:rsidR="00A019D6" w:rsidRPr="000E280D" w:rsidRDefault="00A019D6" w:rsidP="000E280D">
            <w:pPr>
              <w:pStyle w:val="BodyText"/>
              <w:spacing w:before="40" w:after="40" w:line="240" w:lineRule="auto"/>
              <w:jc w:val="left"/>
              <w:rPr>
                <w:rFonts w:cs="Wingdings"/>
                <w:b/>
                <w:noProof w:val="0"/>
                <w:sz w:val="16"/>
                <w:szCs w:val="16"/>
              </w:rPr>
            </w:pPr>
            <w:r w:rsidRPr="000E280D">
              <w:rPr>
                <w:rFonts w:cs="Arial"/>
                <w:b/>
                <w:noProof w:val="0"/>
                <w:sz w:val="16"/>
                <w:szCs w:val="16"/>
              </w:rPr>
              <w:t>Cultural Heritage</w:t>
            </w:r>
          </w:p>
        </w:tc>
        <w:tc>
          <w:tcPr>
            <w:tcW w:w="446" w:type="pct"/>
          </w:tcPr>
          <w:p w14:paraId="330C7F28"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Project area</w:t>
            </w:r>
          </w:p>
          <w:p w14:paraId="0176EF03"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Settlements near the project area</w:t>
            </w:r>
          </w:p>
        </w:tc>
        <w:tc>
          <w:tcPr>
            <w:tcW w:w="417" w:type="pct"/>
          </w:tcPr>
          <w:p w14:paraId="4ABBF286" w14:textId="3528F8CF" w:rsidR="00A019D6" w:rsidRPr="000E280D" w:rsidRDefault="00B219FC" w:rsidP="000E280D">
            <w:pPr>
              <w:spacing w:before="0" w:after="0" w:line="240" w:lineRule="auto"/>
              <w:jc w:val="left"/>
              <w:rPr>
                <w:rFonts w:cs="Wingdings"/>
                <w:color w:val="000000"/>
                <w:sz w:val="16"/>
                <w:szCs w:val="16"/>
              </w:rPr>
            </w:pPr>
            <w:r w:rsidRPr="000E280D">
              <w:rPr>
                <w:rFonts w:cs="Wingdings"/>
                <w:color w:val="000000"/>
                <w:sz w:val="16"/>
                <w:szCs w:val="16"/>
              </w:rPr>
              <w:t>T</w:t>
            </w:r>
            <w:r w:rsidR="004641A3" w:rsidRPr="000E280D">
              <w:rPr>
                <w:rFonts w:cs="Wingdings"/>
                <w:color w:val="000000"/>
                <w:sz w:val="16"/>
                <w:szCs w:val="16"/>
              </w:rPr>
              <w:t>hroughout</w:t>
            </w:r>
            <w:r w:rsidR="00A019D6" w:rsidRPr="000E280D">
              <w:rPr>
                <w:rFonts w:cs="Wingdings"/>
                <w:color w:val="000000"/>
                <w:sz w:val="16"/>
                <w:szCs w:val="16"/>
              </w:rPr>
              <w:t xml:space="preserve"> the construction</w:t>
            </w:r>
          </w:p>
          <w:p w14:paraId="2753CD8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Monthly</w:t>
            </w:r>
          </w:p>
        </w:tc>
        <w:tc>
          <w:tcPr>
            <w:tcW w:w="344" w:type="pct"/>
          </w:tcPr>
          <w:p w14:paraId="54FFB676" w14:textId="77777777" w:rsidR="00A019D6" w:rsidRPr="000E280D" w:rsidRDefault="00A019D6" w:rsidP="000E280D">
            <w:pPr>
              <w:numPr>
                <w:ilvl w:val="0"/>
                <w:numId w:val="7"/>
              </w:numPr>
              <w:spacing w:before="0" w:after="0" w:line="240" w:lineRule="auto"/>
              <w:ind w:left="209" w:hanging="180"/>
              <w:jc w:val="left"/>
              <w:rPr>
                <w:color w:val="000000" w:themeColor="text1"/>
                <w:sz w:val="16"/>
                <w:szCs w:val="16"/>
              </w:rPr>
            </w:pPr>
            <w:r w:rsidRPr="000E280D">
              <w:rPr>
                <w:color w:val="000000" w:themeColor="text1"/>
                <w:sz w:val="16"/>
                <w:szCs w:val="16"/>
              </w:rPr>
              <w:t>Existence of a Chance Find</w:t>
            </w:r>
          </w:p>
        </w:tc>
        <w:tc>
          <w:tcPr>
            <w:tcW w:w="621" w:type="pct"/>
          </w:tcPr>
          <w:p w14:paraId="7107BC95" w14:textId="77777777" w:rsidR="00A019D6" w:rsidRPr="000E280D" w:rsidRDefault="1FE75218" w:rsidP="000E280D">
            <w:pPr>
              <w:numPr>
                <w:ilvl w:val="0"/>
                <w:numId w:val="7"/>
              </w:numPr>
              <w:spacing w:before="60" w:after="0" w:line="240" w:lineRule="auto"/>
              <w:ind w:left="81" w:hanging="154"/>
              <w:jc w:val="left"/>
              <w:rPr>
                <w:rFonts w:cs="Wingdings"/>
                <w:sz w:val="16"/>
                <w:szCs w:val="16"/>
              </w:rPr>
            </w:pPr>
            <w:r w:rsidRPr="000E280D">
              <w:rPr>
                <w:rFonts w:cs="Wingdings"/>
                <w:color w:val="000000" w:themeColor="text1"/>
                <w:sz w:val="16"/>
                <w:szCs w:val="16"/>
              </w:rPr>
              <w:t>On-site inspection</w:t>
            </w:r>
          </w:p>
          <w:p w14:paraId="50DA99A9" w14:textId="77777777" w:rsidR="00A019D6" w:rsidRPr="000E280D" w:rsidRDefault="1FE75218" w:rsidP="000E280D">
            <w:pPr>
              <w:numPr>
                <w:ilvl w:val="0"/>
                <w:numId w:val="7"/>
              </w:numPr>
              <w:spacing w:before="60" w:after="0" w:line="240" w:lineRule="auto"/>
              <w:ind w:left="81" w:hanging="154"/>
              <w:jc w:val="left"/>
              <w:rPr>
                <w:rFonts w:cs="Wingdings"/>
                <w:sz w:val="16"/>
                <w:szCs w:val="16"/>
              </w:rPr>
            </w:pPr>
            <w:r w:rsidRPr="000E280D">
              <w:rPr>
                <w:rFonts w:cs="Arial"/>
                <w:color w:val="000000" w:themeColor="text1"/>
                <w:sz w:val="16"/>
                <w:szCs w:val="16"/>
              </w:rPr>
              <w:t>Existence of a Chance Find Procedure</w:t>
            </w:r>
          </w:p>
        </w:tc>
        <w:tc>
          <w:tcPr>
            <w:tcW w:w="758" w:type="pct"/>
          </w:tcPr>
          <w:p w14:paraId="6D45DA35"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Zero G</w:t>
            </w:r>
            <w:r w:rsidRPr="000E280D">
              <w:rPr>
                <w:rFonts w:cs="Arial"/>
                <w:noProof w:val="0"/>
                <w:color w:val="000000"/>
                <w:sz w:val="16"/>
                <w:szCs w:val="16"/>
                <w:lang w:eastAsia="tr-TR"/>
              </w:rPr>
              <w:t>rievance Records</w:t>
            </w:r>
          </w:p>
        </w:tc>
        <w:tc>
          <w:tcPr>
            <w:tcW w:w="793" w:type="pct"/>
          </w:tcPr>
          <w:p w14:paraId="2BD12016" w14:textId="77777777" w:rsidR="00A019D6" w:rsidRPr="000E280D" w:rsidRDefault="1FE75218" w:rsidP="000E280D">
            <w:pPr>
              <w:numPr>
                <w:ilvl w:val="0"/>
                <w:numId w:val="7"/>
              </w:numPr>
              <w:spacing w:before="60" w:after="0" w:line="240" w:lineRule="auto"/>
              <w:ind w:left="92" w:hanging="168"/>
              <w:jc w:val="left"/>
              <w:rPr>
                <w:rFonts w:cs="Wingdings"/>
                <w:sz w:val="16"/>
                <w:szCs w:val="16"/>
              </w:rPr>
            </w:pPr>
            <w:r w:rsidRPr="000E280D">
              <w:rPr>
                <w:rFonts w:cs="Wingdings"/>
                <w:color w:val="000000" w:themeColor="text1"/>
                <w:sz w:val="16"/>
                <w:szCs w:val="16"/>
              </w:rPr>
              <w:t>Law on the Conservation of Cultural and Natural Properties</w:t>
            </w:r>
          </w:p>
          <w:p w14:paraId="2971C705" w14:textId="17DE20BD" w:rsidR="0009263B" w:rsidRPr="000E280D" w:rsidRDefault="0009263B" w:rsidP="000E280D">
            <w:pPr>
              <w:numPr>
                <w:ilvl w:val="0"/>
                <w:numId w:val="7"/>
              </w:numPr>
              <w:spacing w:before="60" w:after="0" w:line="240" w:lineRule="auto"/>
              <w:ind w:left="92" w:hanging="168"/>
              <w:jc w:val="left"/>
              <w:rPr>
                <w:rFonts w:cs="Wingdings"/>
                <w:sz w:val="16"/>
                <w:szCs w:val="16"/>
              </w:rPr>
            </w:pPr>
            <w:r w:rsidRPr="000E280D">
              <w:rPr>
                <w:rFonts w:cs="Wingdings"/>
                <w:color w:val="000000" w:themeColor="text1"/>
                <w:sz w:val="16"/>
                <w:szCs w:val="16"/>
              </w:rPr>
              <w:t>Chance Find Procedures</w:t>
            </w:r>
          </w:p>
          <w:p w14:paraId="10C8B726" w14:textId="77777777" w:rsidR="00A019D6" w:rsidRPr="000E280D" w:rsidRDefault="1FE75218" w:rsidP="000E280D">
            <w:pPr>
              <w:numPr>
                <w:ilvl w:val="0"/>
                <w:numId w:val="7"/>
              </w:numPr>
              <w:spacing w:before="60" w:after="0" w:line="240" w:lineRule="auto"/>
              <w:ind w:left="92" w:hanging="168"/>
              <w:jc w:val="left"/>
              <w:rPr>
                <w:rFonts w:cs="Wingdings"/>
                <w:sz w:val="16"/>
                <w:szCs w:val="16"/>
              </w:rPr>
            </w:pPr>
            <w:r w:rsidRPr="000E280D">
              <w:rPr>
                <w:rFonts w:cs="Arial"/>
                <w:color w:val="000000" w:themeColor="text1"/>
                <w:sz w:val="16"/>
                <w:szCs w:val="16"/>
              </w:rPr>
              <w:t>WB ESS-8</w:t>
            </w:r>
          </w:p>
        </w:tc>
        <w:tc>
          <w:tcPr>
            <w:tcW w:w="691" w:type="pct"/>
          </w:tcPr>
          <w:p w14:paraId="7F26E765" w14:textId="0C8E0BBB" w:rsidR="00A019D6" w:rsidRPr="000E280D" w:rsidRDefault="00CD1DE3" w:rsidP="000E280D">
            <w:pPr>
              <w:numPr>
                <w:ilvl w:val="0"/>
                <w:numId w:val="7"/>
              </w:numPr>
              <w:spacing w:before="0" w:after="0" w:line="240" w:lineRule="auto"/>
              <w:ind w:left="209" w:hanging="180"/>
              <w:jc w:val="left"/>
              <w:rPr>
                <w:rFonts w:cs="Wingdings"/>
                <w:sz w:val="16"/>
                <w:szCs w:val="16"/>
              </w:rPr>
            </w:pPr>
            <w:r w:rsidRPr="000E280D">
              <w:rPr>
                <w:rFonts w:cs="Arial"/>
                <w:color w:val="000000" w:themeColor="text1"/>
                <w:sz w:val="16"/>
                <w:szCs w:val="16"/>
                <w:lang w:eastAsia="tr-TR"/>
              </w:rPr>
              <w:t>Minimum n</w:t>
            </w:r>
            <w:r w:rsidR="1FE75218" w:rsidRPr="000E280D">
              <w:rPr>
                <w:rFonts w:cs="Arial"/>
                <w:color w:val="000000" w:themeColor="text1"/>
                <w:sz w:val="16"/>
                <w:szCs w:val="16"/>
                <w:lang w:eastAsia="tr-TR"/>
              </w:rPr>
              <w:t>umber of chance find records and reports</w:t>
            </w:r>
          </w:p>
        </w:tc>
        <w:tc>
          <w:tcPr>
            <w:tcW w:w="276" w:type="pct"/>
          </w:tcPr>
          <w:p w14:paraId="12880F8C"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17EDDB9B" w14:textId="77777777" w:rsidR="00E817C3" w:rsidRPr="000E280D" w:rsidRDefault="00E817C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08C91919"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25D48024" w14:textId="7CC3F25A"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6BC655AE" w14:textId="77777777" w:rsidTr="00270ACC">
        <w:trPr>
          <w:trHeight w:val="1479"/>
        </w:trPr>
        <w:tc>
          <w:tcPr>
            <w:tcW w:w="310" w:type="pct"/>
          </w:tcPr>
          <w:p w14:paraId="3B3D9BFA" w14:textId="2169E8A7" w:rsidR="00A019D6" w:rsidRPr="000E280D" w:rsidRDefault="00A019D6" w:rsidP="000E280D">
            <w:pPr>
              <w:pStyle w:val="BodyText"/>
              <w:spacing w:before="40" w:after="40" w:line="240" w:lineRule="auto"/>
              <w:jc w:val="left"/>
              <w:rPr>
                <w:rFonts w:cs="Wingdings"/>
                <w:b/>
                <w:noProof w:val="0"/>
                <w:sz w:val="16"/>
                <w:szCs w:val="16"/>
              </w:rPr>
            </w:pPr>
            <w:r w:rsidRPr="000E280D">
              <w:rPr>
                <w:rFonts w:cs="Arial"/>
                <w:b/>
                <w:bCs/>
                <w:noProof w:val="0"/>
                <w:sz w:val="16"/>
                <w:szCs w:val="16"/>
              </w:rPr>
              <w:t>Direct and indirect threats posed by construction activities against traffic and pedestrians</w:t>
            </w:r>
          </w:p>
        </w:tc>
        <w:tc>
          <w:tcPr>
            <w:tcW w:w="446" w:type="pct"/>
          </w:tcPr>
          <w:p w14:paraId="4595955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Project area</w:t>
            </w:r>
          </w:p>
        </w:tc>
        <w:tc>
          <w:tcPr>
            <w:tcW w:w="417" w:type="pct"/>
          </w:tcPr>
          <w:p w14:paraId="168E39EB"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During Construction</w:t>
            </w:r>
          </w:p>
          <w:p w14:paraId="695098A7"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Daily</w:t>
            </w:r>
          </w:p>
        </w:tc>
        <w:tc>
          <w:tcPr>
            <w:tcW w:w="344" w:type="pct"/>
          </w:tcPr>
          <w:p w14:paraId="53FD25EB" w14:textId="77777777" w:rsidR="00A019D6" w:rsidRPr="000E280D" w:rsidRDefault="00A019D6" w:rsidP="000E280D">
            <w:pPr>
              <w:pStyle w:val="BodyText"/>
              <w:spacing w:before="40" w:after="40" w:line="240" w:lineRule="auto"/>
              <w:jc w:val="left"/>
              <w:rPr>
                <w:rFonts w:cs="Wingdings"/>
                <w:noProof w:val="0"/>
                <w:color w:val="000000"/>
                <w:sz w:val="16"/>
                <w:szCs w:val="16"/>
                <w:lang w:eastAsia="tr-TR"/>
              </w:rPr>
            </w:pPr>
            <w:r w:rsidRPr="000E280D">
              <w:rPr>
                <w:rFonts w:cs="Wingdings"/>
                <w:noProof w:val="0"/>
                <w:color w:val="000000"/>
                <w:sz w:val="16"/>
                <w:szCs w:val="16"/>
              </w:rPr>
              <w:t>G</w:t>
            </w:r>
            <w:r w:rsidRPr="000E280D">
              <w:rPr>
                <w:rFonts w:cs="Wingdings"/>
                <w:noProof w:val="0"/>
                <w:color w:val="000000"/>
                <w:sz w:val="16"/>
                <w:szCs w:val="16"/>
                <w:lang w:eastAsia="tr-TR"/>
              </w:rPr>
              <w:t>rievance</w:t>
            </w:r>
          </w:p>
          <w:p w14:paraId="31A48DC0" w14:textId="77777777" w:rsidR="00A019D6" w:rsidRPr="000E280D" w:rsidRDefault="00A019D6" w:rsidP="000E280D">
            <w:pPr>
              <w:pStyle w:val="BodyText"/>
              <w:spacing w:before="40" w:after="40" w:line="240" w:lineRule="auto"/>
              <w:jc w:val="left"/>
              <w:rPr>
                <w:rFonts w:cs="Wingdings"/>
                <w:noProof w:val="0"/>
                <w:sz w:val="16"/>
                <w:szCs w:val="16"/>
                <w:lang w:eastAsia="tr-TR"/>
              </w:rPr>
            </w:pPr>
            <w:r w:rsidRPr="000E280D">
              <w:rPr>
                <w:rFonts w:cs="Wingdings"/>
                <w:noProof w:val="0"/>
                <w:sz w:val="16"/>
                <w:szCs w:val="16"/>
                <w:lang w:eastAsia="tr-TR"/>
              </w:rPr>
              <w:t>Information gathered through Public Consultation</w:t>
            </w:r>
          </w:p>
          <w:p w14:paraId="10DECF60" w14:textId="77777777" w:rsidR="00A019D6" w:rsidRPr="000E280D" w:rsidRDefault="00A019D6" w:rsidP="000E280D">
            <w:pPr>
              <w:pStyle w:val="BodyText"/>
              <w:spacing w:before="40" w:after="40" w:line="240" w:lineRule="auto"/>
              <w:jc w:val="left"/>
              <w:rPr>
                <w:rFonts w:cs="Wingdings"/>
                <w:noProof w:val="0"/>
                <w:sz w:val="16"/>
                <w:szCs w:val="16"/>
                <w:lang w:eastAsia="tr-TR"/>
              </w:rPr>
            </w:pPr>
            <w:r w:rsidRPr="000E280D">
              <w:rPr>
                <w:rFonts w:cs="Wingdings"/>
                <w:noProof w:val="0"/>
                <w:sz w:val="16"/>
                <w:szCs w:val="16"/>
                <w:lang w:eastAsia="tr-TR"/>
              </w:rPr>
              <w:t>Information on available pedestrian ways</w:t>
            </w:r>
          </w:p>
          <w:p w14:paraId="4EC65A6F"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Wingdings"/>
                <w:noProof w:val="0"/>
                <w:sz w:val="16"/>
                <w:szCs w:val="16"/>
              </w:rPr>
              <w:t>Existence and number of warning signs properly installed at designed location</w:t>
            </w:r>
          </w:p>
          <w:p w14:paraId="2A8835E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Wingdings"/>
                <w:noProof w:val="0"/>
                <w:sz w:val="16"/>
                <w:szCs w:val="16"/>
              </w:rPr>
              <w:t>Training records for drivers</w:t>
            </w:r>
          </w:p>
          <w:p w14:paraId="4687E59C"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sz w:val="16"/>
                <w:szCs w:val="16"/>
              </w:rPr>
              <w:t>Availability of ERP.</w:t>
            </w:r>
          </w:p>
        </w:tc>
        <w:tc>
          <w:tcPr>
            <w:tcW w:w="621" w:type="pct"/>
          </w:tcPr>
          <w:p w14:paraId="66806896"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On-site inspection</w:t>
            </w:r>
          </w:p>
        </w:tc>
        <w:tc>
          <w:tcPr>
            <w:tcW w:w="758" w:type="pct"/>
          </w:tcPr>
          <w:p w14:paraId="6739374E" w14:textId="77777777"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Number of non-compliances against the mitigation controls identified in Traffic Management Plan</w:t>
            </w:r>
          </w:p>
          <w:p w14:paraId="190B8BFF" w14:textId="77777777"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Zero number of drivers found to be exceeding speed limits or driving unsafely</w:t>
            </w:r>
          </w:p>
          <w:p w14:paraId="6B067540" w14:textId="77777777"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Number of road traffic accidents involving:</w:t>
            </w:r>
          </w:p>
          <w:p w14:paraId="71CCFA41" w14:textId="77777777" w:rsidR="00A019D6" w:rsidRPr="000E280D" w:rsidRDefault="00A019D6" w:rsidP="000E280D">
            <w:pPr>
              <w:spacing w:before="0" w:after="0" w:line="240" w:lineRule="auto"/>
              <w:ind w:left="209"/>
              <w:jc w:val="left"/>
              <w:rPr>
                <w:rFonts w:eastAsia="Arial TUR" w:cs="Wingdings"/>
                <w:color w:val="000000"/>
                <w:sz w:val="16"/>
                <w:szCs w:val="16"/>
                <w:lang w:eastAsia="en-US"/>
              </w:rPr>
            </w:pPr>
            <w:r w:rsidRPr="000E280D">
              <w:rPr>
                <w:rFonts w:eastAsia="Arial TUR" w:cs="Wingdings"/>
                <w:color w:val="000000"/>
                <w:sz w:val="16"/>
                <w:szCs w:val="16"/>
                <w:lang w:eastAsia="en-US"/>
              </w:rPr>
              <w:t>Zero accidental injuries and deaths,</w:t>
            </w:r>
          </w:p>
          <w:p w14:paraId="5FA97FEE" w14:textId="77777777" w:rsidR="00A019D6" w:rsidRPr="000E280D" w:rsidRDefault="00A019D6" w:rsidP="000E280D">
            <w:pPr>
              <w:spacing w:before="0" w:after="0" w:line="240" w:lineRule="auto"/>
              <w:ind w:left="209"/>
              <w:jc w:val="left"/>
              <w:rPr>
                <w:rFonts w:cs="Wingdings"/>
                <w:sz w:val="16"/>
                <w:szCs w:val="16"/>
              </w:rPr>
            </w:pPr>
            <w:r w:rsidRPr="000E280D">
              <w:rPr>
                <w:rFonts w:cs="Wingdings"/>
                <w:color w:val="000000"/>
                <w:sz w:val="16"/>
                <w:szCs w:val="16"/>
              </w:rPr>
              <w:t>Zero traffic-related grievances,</w:t>
            </w:r>
          </w:p>
          <w:p w14:paraId="049DB218" w14:textId="77777777" w:rsidR="00A019D6" w:rsidRPr="000E280D" w:rsidRDefault="00A019D6" w:rsidP="000E280D">
            <w:pPr>
              <w:spacing w:before="0" w:after="0" w:line="240" w:lineRule="auto"/>
              <w:ind w:left="209"/>
              <w:jc w:val="left"/>
              <w:rPr>
                <w:rFonts w:cs="Wingdings"/>
                <w:sz w:val="16"/>
                <w:szCs w:val="16"/>
              </w:rPr>
            </w:pPr>
            <w:r w:rsidRPr="000E280D">
              <w:rPr>
                <w:rFonts w:cs="Wingdings"/>
                <w:sz w:val="16"/>
                <w:szCs w:val="16"/>
              </w:rPr>
              <w:t>Driver training records,</w:t>
            </w:r>
          </w:p>
          <w:p w14:paraId="30C5F406" w14:textId="77777777" w:rsidR="00A019D6" w:rsidRPr="000E280D" w:rsidRDefault="00A019D6" w:rsidP="000E280D">
            <w:pPr>
              <w:spacing w:before="0" w:after="0" w:line="240" w:lineRule="auto"/>
              <w:ind w:left="209"/>
              <w:jc w:val="left"/>
              <w:rPr>
                <w:rFonts w:cs="Wingdings"/>
                <w:sz w:val="16"/>
                <w:szCs w:val="16"/>
              </w:rPr>
            </w:pPr>
            <w:r w:rsidRPr="000E280D">
              <w:rPr>
                <w:rFonts w:cs="Wingdings"/>
                <w:sz w:val="16"/>
                <w:szCs w:val="16"/>
              </w:rPr>
              <w:t>Existence of ERP,</w:t>
            </w:r>
          </w:p>
          <w:p w14:paraId="352F5196" w14:textId="77777777" w:rsidR="00A019D6" w:rsidRPr="000E280D" w:rsidRDefault="00A019D6" w:rsidP="000E280D">
            <w:pPr>
              <w:spacing w:before="0" w:after="0" w:line="240" w:lineRule="auto"/>
              <w:ind w:left="209"/>
              <w:jc w:val="left"/>
              <w:rPr>
                <w:rFonts w:cs="Wingdings"/>
                <w:sz w:val="16"/>
                <w:szCs w:val="16"/>
              </w:rPr>
            </w:pPr>
            <w:r w:rsidRPr="000E280D">
              <w:rPr>
                <w:rFonts w:cs="Wingdings"/>
                <w:sz w:val="16"/>
                <w:szCs w:val="16"/>
              </w:rPr>
              <w:t>Installation of warning signs.</w:t>
            </w:r>
          </w:p>
          <w:p w14:paraId="7359C54D" w14:textId="77777777" w:rsidR="00A019D6" w:rsidRPr="000E280D" w:rsidRDefault="00A019D6" w:rsidP="000E280D">
            <w:pPr>
              <w:spacing w:before="0" w:after="0" w:line="240" w:lineRule="auto"/>
              <w:ind w:left="29"/>
              <w:jc w:val="left"/>
              <w:rPr>
                <w:rFonts w:cs="Wingdings"/>
                <w:sz w:val="16"/>
                <w:szCs w:val="16"/>
              </w:rPr>
            </w:pPr>
          </w:p>
        </w:tc>
        <w:tc>
          <w:tcPr>
            <w:tcW w:w="793" w:type="pct"/>
          </w:tcPr>
          <w:p w14:paraId="55F304B2"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Occupational Health and Safety Law</w:t>
            </w:r>
          </w:p>
        </w:tc>
        <w:tc>
          <w:tcPr>
            <w:tcW w:w="691" w:type="pct"/>
          </w:tcPr>
          <w:p w14:paraId="670805E4" w14:textId="4064CDD7" w:rsidR="00A019D6" w:rsidRPr="000E280D" w:rsidRDefault="00CD1DE3"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Minimum n</w:t>
            </w:r>
            <w:r w:rsidR="1FE75218" w:rsidRPr="000E280D">
              <w:rPr>
                <w:rFonts w:eastAsia="Arial TUR" w:cs="Wingdings"/>
                <w:color w:val="000000" w:themeColor="text1"/>
                <w:sz w:val="16"/>
                <w:szCs w:val="16"/>
                <w:lang w:eastAsia="en-US"/>
              </w:rPr>
              <w:t>umber of non-compliances against the mitigation controls identified in Traffic Management Plan</w:t>
            </w:r>
          </w:p>
          <w:p w14:paraId="39D6E4E1" w14:textId="763980D4" w:rsidR="00A019D6" w:rsidRPr="000E280D" w:rsidRDefault="00CD1DE3"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Minimum n</w:t>
            </w:r>
            <w:r w:rsidR="1FE75218" w:rsidRPr="000E280D">
              <w:rPr>
                <w:rFonts w:eastAsia="Arial TUR" w:cs="Wingdings"/>
                <w:color w:val="000000" w:themeColor="text1"/>
                <w:sz w:val="16"/>
                <w:szCs w:val="16"/>
                <w:lang w:eastAsia="en-US"/>
              </w:rPr>
              <w:t>umber of drivers found to be exceeding speed limits or driving unsafely</w:t>
            </w:r>
          </w:p>
          <w:p w14:paraId="0417588B" w14:textId="1710290C" w:rsidR="00A019D6" w:rsidRPr="000E280D" w:rsidRDefault="00CD1DE3"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Minimum n</w:t>
            </w:r>
            <w:r w:rsidR="1FE75218" w:rsidRPr="000E280D">
              <w:rPr>
                <w:rFonts w:eastAsia="Arial TUR" w:cs="Wingdings"/>
                <w:color w:val="000000" w:themeColor="text1"/>
                <w:sz w:val="16"/>
                <w:szCs w:val="16"/>
                <w:lang w:eastAsia="en-US"/>
              </w:rPr>
              <w:t>umber of road traffic accidents involving:</w:t>
            </w:r>
          </w:p>
          <w:p w14:paraId="0EAC86F2" w14:textId="77777777" w:rsidR="00A019D6" w:rsidRPr="000E280D" w:rsidRDefault="00A019D6" w:rsidP="000E280D">
            <w:pPr>
              <w:spacing w:before="0" w:after="0" w:line="240" w:lineRule="auto"/>
              <w:ind w:left="209"/>
              <w:jc w:val="left"/>
              <w:rPr>
                <w:rFonts w:eastAsia="Arial TUR" w:cs="Wingdings"/>
                <w:color w:val="000000"/>
                <w:sz w:val="16"/>
                <w:szCs w:val="16"/>
                <w:lang w:eastAsia="en-US"/>
              </w:rPr>
            </w:pPr>
            <w:r w:rsidRPr="000E280D">
              <w:rPr>
                <w:rFonts w:eastAsia="Arial TUR" w:cs="Wingdings"/>
                <w:color w:val="000000"/>
                <w:sz w:val="16"/>
                <w:szCs w:val="16"/>
                <w:lang w:eastAsia="en-US"/>
              </w:rPr>
              <w:t>Accidental injuries and deaths,</w:t>
            </w:r>
          </w:p>
          <w:p w14:paraId="0BC1991B" w14:textId="77777777" w:rsidR="00A019D6" w:rsidRPr="000E280D" w:rsidRDefault="00A019D6" w:rsidP="000E280D">
            <w:pPr>
              <w:spacing w:before="0" w:after="0" w:line="240" w:lineRule="auto"/>
              <w:ind w:left="209"/>
              <w:jc w:val="left"/>
              <w:rPr>
                <w:rFonts w:eastAsia="Arial TUR" w:cs="Wingdings"/>
                <w:color w:val="000000"/>
                <w:sz w:val="16"/>
                <w:szCs w:val="16"/>
                <w:lang w:eastAsia="en-US"/>
              </w:rPr>
            </w:pPr>
            <w:r w:rsidRPr="000E280D">
              <w:rPr>
                <w:rFonts w:eastAsia="Arial TUR" w:cs="Wingdings"/>
                <w:color w:val="000000"/>
                <w:sz w:val="16"/>
                <w:szCs w:val="16"/>
                <w:lang w:eastAsia="en-US"/>
              </w:rPr>
              <w:t>Spillages (such as cargo or fuel),</w:t>
            </w:r>
          </w:p>
          <w:p w14:paraId="1D1B5436" w14:textId="77777777" w:rsidR="00A019D6" w:rsidRPr="000E280D" w:rsidRDefault="00A019D6" w:rsidP="000E280D">
            <w:pPr>
              <w:spacing w:before="0" w:after="0" w:line="240" w:lineRule="auto"/>
              <w:ind w:left="209"/>
              <w:jc w:val="left"/>
              <w:rPr>
                <w:rFonts w:cs="Wingdings"/>
                <w:sz w:val="16"/>
                <w:szCs w:val="16"/>
              </w:rPr>
            </w:pPr>
            <w:r w:rsidRPr="000E280D">
              <w:rPr>
                <w:rFonts w:eastAsia="Arial TUR" w:cs="Wingdings"/>
                <w:color w:val="000000"/>
                <w:sz w:val="16"/>
                <w:szCs w:val="16"/>
                <w:lang w:eastAsia="en-US"/>
              </w:rPr>
              <w:t>Wildlife-vehicle collisions,</w:t>
            </w:r>
          </w:p>
          <w:p w14:paraId="3C7A6652" w14:textId="77777777" w:rsidR="00A019D6" w:rsidRPr="000E280D" w:rsidRDefault="00A019D6" w:rsidP="000E280D">
            <w:pPr>
              <w:spacing w:before="0" w:after="0" w:line="240" w:lineRule="auto"/>
              <w:ind w:left="209"/>
              <w:jc w:val="left"/>
              <w:rPr>
                <w:rFonts w:cs="Wingdings"/>
                <w:sz w:val="16"/>
                <w:szCs w:val="16"/>
              </w:rPr>
            </w:pPr>
            <w:r w:rsidRPr="000E280D">
              <w:rPr>
                <w:rFonts w:cs="Arial"/>
                <w:color w:val="000000"/>
                <w:sz w:val="16"/>
                <w:szCs w:val="16"/>
              </w:rPr>
              <w:t>Number of traffic-related grievances.</w:t>
            </w:r>
          </w:p>
        </w:tc>
        <w:tc>
          <w:tcPr>
            <w:tcW w:w="276" w:type="pct"/>
          </w:tcPr>
          <w:p w14:paraId="3EB4354D"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3ECD6F6D" w14:textId="77777777" w:rsidR="00E817C3" w:rsidRPr="000E280D" w:rsidRDefault="00E817C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226D98D3"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618CA5ED" w14:textId="707472B6"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637CCEFC" w14:textId="77777777" w:rsidTr="00270ACC">
        <w:trPr>
          <w:trHeight w:val="1479"/>
        </w:trPr>
        <w:tc>
          <w:tcPr>
            <w:tcW w:w="310" w:type="pct"/>
          </w:tcPr>
          <w:p w14:paraId="32D1D339" w14:textId="77777777" w:rsidR="00A019D6" w:rsidRPr="000E280D" w:rsidRDefault="00A019D6" w:rsidP="000E280D">
            <w:pPr>
              <w:spacing w:before="0" w:after="0" w:line="240" w:lineRule="auto"/>
              <w:jc w:val="left"/>
              <w:rPr>
                <w:rFonts w:cs="Wingdings"/>
                <w:b/>
                <w:sz w:val="16"/>
                <w:szCs w:val="16"/>
              </w:rPr>
            </w:pPr>
            <w:r w:rsidRPr="000E280D">
              <w:rPr>
                <w:rFonts w:cs="Wingdings"/>
                <w:b/>
                <w:sz w:val="16"/>
                <w:szCs w:val="16"/>
              </w:rPr>
              <w:t>Access to the Construction Site</w:t>
            </w:r>
          </w:p>
          <w:p w14:paraId="36A0F179" w14:textId="77777777" w:rsidR="00A019D6" w:rsidRPr="000E280D" w:rsidRDefault="00A019D6" w:rsidP="000E280D">
            <w:pPr>
              <w:pStyle w:val="BodyText"/>
              <w:spacing w:before="40" w:after="40" w:line="240" w:lineRule="auto"/>
              <w:jc w:val="left"/>
              <w:rPr>
                <w:rFonts w:cs="Wingdings"/>
                <w:b/>
                <w:noProof w:val="0"/>
                <w:sz w:val="16"/>
                <w:szCs w:val="16"/>
              </w:rPr>
            </w:pPr>
            <w:r w:rsidRPr="000E280D">
              <w:rPr>
                <w:rFonts w:cs="Arial"/>
                <w:b/>
                <w:bCs/>
                <w:noProof w:val="0"/>
                <w:sz w:val="16"/>
                <w:szCs w:val="16"/>
              </w:rPr>
              <w:t>Security Fence Protection Tape</w:t>
            </w:r>
          </w:p>
        </w:tc>
        <w:tc>
          <w:tcPr>
            <w:tcW w:w="446" w:type="pct"/>
          </w:tcPr>
          <w:p w14:paraId="575C7889"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Settlements near the project area</w:t>
            </w:r>
          </w:p>
        </w:tc>
        <w:tc>
          <w:tcPr>
            <w:tcW w:w="417" w:type="pct"/>
          </w:tcPr>
          <w:p w14:paraId="118907D9"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During Construction</w:t>
            </w:r>
          </w:p>
          <w:p w14:paraId="50FECEC5"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Daily</w:t>
            </w:r>
          </w:p>
        </w:tc>
        <w:tc>
          <w:tcPr>
            <w:tcW w:w="344" w:type="pct"/>
          </w:tcPr>
          <w:p w14:paraId="5A4F4B95"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G</w:t>
            </w:r>
            <w:r w:rsidRPr="000E280D">
              <w:rPr>
                <w:rFonts w:cs="Arial"/>
                <w:noProof w:val="0"/>
                <w:color w:val="000000"/>
                <w:sz w:val="16"/>
                <w:szCs w:val="16"/>
                <w:lang w:eastAsia="tr-TR"/>
              </w:rPr>
              <w:t>rievance</w:t>
            </w:r>
          </w:p>
        </w:tc>
        <w:tc>
          <w:tcPr>
            <w:tcW w:w="621" w:type="pct"/>
          </w:tcPr>
          <w:p w14:paraId="2F13822D"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On-site inspection</w:t>
            </w:r>
          </w:p>
        </w:tc>
        <w:tc>
          <w:tcPr>
            <w:tcW w:w="758" w:type="pct"/>
          </w:tcPr>
          <w:p w14:paraId="1A75B32B" w14:textId="620377B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 xml:space="preserve">Zero Number of unauthorized accesses to the project </w:t>
            </w:r>
            <w:r w:rsidR="00B130C9" w:rsidRPr="000E280D">
              <w:rPr>
                <w:rFonts w:cs="Arial"/>
                <w:noProof w:val="0"/>
                <w:color w:val="000000"/>
                <w:sz w:val="16"/>
                <w:szCs w:val="16"/>
              </w:rPr>
              <w:t>area</w:t>
            </w:r>
          </w:p>
        </w:tc>
        <w:tc>
          <w:tcPr>
            <w:tcW w:w="793" w:type="pct"/>
          </w:tcPr>
          <w:p w14:paraId="306742A7"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Occupational Health and Safety Law</w:t>
            </w:r>
          </w:p>
        </w:tc>
        <w:tc>
          <w:tcPr>
            <w:tcW w:w="691" w:type="pct"/>
          </w:tcPr>
          <w:p w14:paraId="0474C5D5" w14:textId="3A1496D3" w:rsidR="00A019D6" w:rsidRPr="000E280D" w:rsidRDefault="00CD1DE3"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Minimum n</w:t>
            </w:r>
            <w:r w:rsidR="00A019D6" w:rsidRPr="000E280D">
              <w:rPr>
                <w:rFonts w:cs="Arial"/>
                <w:noProof w:val="0"/>
                <w:color w:val="000000"/>
                <w:sz w:val="16"/>
                <w:szCs w:val="16"/>
              </w:rPr>
              <w:t xml:space="preserve">umber of unauthorized accesses to the project </w:t>
            </w:r>
            <w:r w:rsidR="00B130C9" w:rsidRPr="000E280D">
              <w:rPr>
                <w:rFonts w:cs="Arial"/>
                <w:noProof w:val="0"/>
                <w:color w:val="000000"/>
                <w:sz w:val="16"/>
                <w:szCs w:val="16"/>
              </w:rPr>
              <w:t>area</w:t>
            </w:r>
          </w:p>
        </w:tc>
        <w:tc>
          <w:tcPr>
            <w:tcW w:w="276" w:type="pct"/>
          </w:tcPr>
          <w:p w14:paraId="0ED62298" w14:textId="77777777" w:rsidR="00A019D6" w:rsidRPr="000E280D" w:rsidRDefault="00A019D6" w:rsidP="000E280D">
            <w:pPr>
              <w:pStyle w:val="BodyText"/>
              <w:spacing w:before="40" w:after="40" w:line="240" w:lineRule="auto"/>
              <w:jc w:val="left"/>
              <w:rPr>
                <w:rFonts w:cs="Wingdings"/>
                <w:noProof w:val="0"/>
                <w:sz w:val="16"/>
                <w:szCs w:val="16"/>
              </w:rPr>
            </w:pPr>
            <w:r w:rsidRPr="000E280D">
              <w:rPr>
                <w:rFonts w:cs="Arial"/>
                <w:noProof w:val="0"/>
                <w:color w:val="000000"/>
                <w:sz w:val="16"/>
                <w:szCs w:val="16"/>
              </w:rPr>
              <w:t>No additional costs</w:t>
            </w:r>
          </w:p>
        </w:tc>
        <w:tc>
          <w:tcPr>
            <w:tcW w:w="344" w:type="pct"/>
          </w:tcPr>
          <w:p w14:paraId="6C8DBA44" w14:textId="77777777" w:rsidR="00E817C3" w:rsidRPr="000E280D" w:rsidRDefault="00E817C3"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47F9ED1F"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5A0A982D" w14:textId="11BD3F4D" w:rsidR="00A019D6" w:rsidRPr="000E280D" w:rsidRDefault="00EB5215" w:rsidP="000E280D">
            <w:pPr>
              <w:pStyle w:val="BodyText"/>
              <w:spacing w:before="40" w:after="40" w:line="240" w:lineRule="auto"/>
              <w:jc w:val="left"/>
              <w:rPr>
                <w:rFonts w:cs="Wingdings"/>
                <w:noProof w:val="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2F61F4" w:rsidRPr="000E280D" w14:paraId="2A4429E6" w14:textId="77777777" w:rsidTr="00270ACC">
        <w:trPr>
          <w:trHeight w:val="1146"/>
        </w:trPr>
        <w:tc>
          <w:tcPr>
            <w:tcW w:w="310" w:type="pct"/>
          </w:tcPr>
          <w:p w14:paraId="461D952E" w14:textId="6D149FA8" w:rsidR="00A019D6" w:rsidRPr="000E280D" w:rsidRDefault="1FE75218" w:rsidP="000E280D">
            <w:pPr>
              <w:spacing w:before="0" w:after="0" w:line="240" w:lineRule="auto"/>
              <w:jc w:val="left"/>
              <w:rPr>
                <w:rFonts w:cs="Wingdings"/>
                <w:b/>
                <w:bCs/>
                <w:sz w:val="16"/>
                <w:szCs w:val="16"/>
              </w:rPr>
            </w:pPr>
            <w:r w:rsidRPr="000E280D">
              <w:rPr>
                <w:rFonts w:cs="Wingdings"/>
                <w:b/>
                <w:bCs/>
                <w:sz w:val="16"/>
                <w:szCs w:val="16"/>
              </w:rPr>
              <w:lastRenderedPageBreak/>
              <w:t>Biodiversity</w:t>
            </w:r>
          </w:p>
        </w:tc>
        <w:tc>
          <w:tcPr>
            <w:tcW w:w="446" w:type="pct"/>
          </w:tcPr>
          <w:p w14:paraId="77F0D44F" w14:textId="2B057C04" w:rsidR="00A019D6" w:rsidRPr="000E280D" w:rsidRDefault="1FE75218" w:rsidP="000E280D">
            <w:pPr>
              <w:pStyle w:val="BodyText"/>
              <w:spacing w:before="40" w:after="40" w:line="240" w:lineRule="auto"/>
              <w:jc w:val="left"/>
              <w:rPr>
                <w:rFonts w:cs="Arial"/>
                <w:noProof w:val="0"/>
                <w:color w:val="000000"/>
                <w:sz w:val="16"/>
                <w:szCs w:val="16"/>
              </w:rPr>
            </w:pPr>
            <w:r w:rsidRPr="000E280D">
              <w:rPr>
                <w:rFonts w:cs="Arial"/>
                <w:noProof w:val="0"/>
                <w:color w:val="000000" w:themeColor="text1"/>
                <w:sz w:val="16"/>
                <w:szCs w:val="16"/>
              </w:rPr>
              <w:t>Project area</w:t>
            </w:r>
          </w:p>
        </w:tc>
        <w:tc>
          <w:tcPr>
            <w:tcW w:w="417" w:type="pct"/>
          </w:tcPr>
          <w:p w14:paraId="6D0DC94A"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Pre-construction,</w:t>
            </w:r>
          </w:p>
          <w:p w14:paraId="44F01FFB" w14:textId="77777777" w:rsidR="00A019D6" w:rsidRPr="000E280D" w:rsidRDefault="00A019D6" w:rsidP="000E280D">
            <w:pPr>
              <w:spacing w:before="0" w:after="0" w:line="240" w:lineRule="auto"/>
              <w:jc w:val="left"/>
              <w:rPr>
                <w:rFonts w:cs="Wingdings"/>
                <w:color w:val="000000"/>
                <w:sz w:val="16"/>
                <w:szCs w:val="16"/>
              </w:rPr>
            </w:pPr>
            <w:r w:rsidRPr="000E280D">
              <w:rPr>
                <w:rFonts w:cs="Wingdings"/>
                <w:color w:val="000000"/>
                <w:sz w:val="16"/>
                <w:szCs w:val="16"/>
              </w:rPr>
              <w:t>During Construction</w:t>
            </w:r>
          </w:p>
          <w:p w14:paraId="4B07C303" w14:textId="77777777" w:rsidR="00A019D6" w:rsidRPr="000E280D" w:rsidRDefault="00A019D6" w:rsidP="000E280D">
            <w:pPr>
              <w:spacing w:before="0" w:after="0" w:line="240" w:lineRule="auto"/>
              <w:jc w:val="left"/>
              <w:rPr>
                <w:rFonts w:cs="Wingdings"/>
                <w:color w:val="000000"/>
                <w:sz w:val="16"/>
                <w:szCs w:val="16"/>
              </w:rPr>
            </w:pPr>
            <w:r w:rsidRPr="000E280D">
              <w:rPr>
                <w:rFonts w:cs="Arial"/>
                <w:color w:val="000000"/>
                <w:sz w:val="16"/>
                <w:szCs w:val="16"/>
              </w:rPr>
              <w:t>Daily</w:t>
            </w:r>
          </w:p>
        </w:tc>
        <w:tc>
          <w:tcPr>
            <w:tcW w:w="344" w:type="pct"/>
          </w:tcPr>
          <w:p w14:paraId="03D13A56" w14:textId="257CDD65" w:rsidR="00A019D6" w:rsidRPr="000E280D" w:rsidRDefault="1FE75218" w:rsidP="000E280D">
            <w:pPr>
              <w:pStyle w:val="BodyText"/>
              <w:spacing w:before="40" w:after="40" w:line="240" w:lineRule="auto"/>
              <w:jc w:val="left"/>
              <w:rPr>
                <w:rFonts w:cs="Wingdings"/>
                <w:noProof w:val="0"/>
                <w:sz w:val="16"/>
                <w:szCs w:val="16"/>
              </w:rPr>
            </w:pPr>
            <w:r w:rsidRPr="000E280D">
              <w:rPr>
                <w:rFonts w:cs="Wingdings"/>
                <w:noProof w:val="0"/>
                <w:sz w:val="16"/>
                <w:szCs w:val="16"/>
              </w:rPr>
              <w:t xml:space="preserve">Encounters with </w:t>
            </w:r>
            <w:r w:rsidR="2C9D0701" w:rsidRPr="000E280D">
              <w:rPr>
                <w:rFonts w:cs="Wingdings"/>
                <w:noProof w:val="0"/>
                <w:sz w:val="16"/>
                <w:szCs w:val="16"/>
              </w:rPr>
              <w:t>threatened and endemic species</w:t>
            </w:r>
          </w:p>
          <w:p w14:paraId="0CB7AC78"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Wingdings"/>
                <w:noProof w:val="0"/>
                <w:sz w:val="16"/>
                <w:szCs w:val="16"/>
              </w:rPr>
              <w:t>Incidents</w:t>
            </w:r>
          </w:p>
        </w:tc>
        <w:tc>
          <w:tcPr>
            <w:tcW w:w="621" w:type="pct"/>
          </w:tcPr>
          <w:p w14:paraId="7D60260C" w14:textId="77777777"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rPr>
            </w:pPr>
            <w:r w:rsidRPr="000E280D">
              <w:rPr>
                <w:rFonts w:eastAsia="Arial TUR" w:cs="Wingdings"/>
                <w:color w:val="000000" w:themeColor="text1"/>
                <w:sz w:val="16"/>
                <w:szCs w:val="16"/>
                <w:lang w:eastAsia="en-US"/>
              </w:rPr>
              <w:t>On-site inspection</w:t>
            </w:r>
          </w:p>
          <w:p w14:paraId="6CA08BE0" w14:textId="77777777"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rPr>
            </w:pPr>
            <w:r w:rsidRPr="000E280D">
              <w:rPr>
                <w:rFonts w:eastAsia="Arial TUR" w:cs="Wingdings"/>
                <w:color w:val="000000" w:themeColor="text1"/>
                <w:sz w:val="16"/>
                <w:szCs w:val="16"/>
                <w:lang w:eastAsia="en-US"/>
              </w:rPr>
              <w:t>Accident records</w:t>
            </w:r>
          </w:p>
        </w:tc>
        <w:tc>
          <w:tcPr>
            <w:tcW w:w="758" w:type="pct"/>
          </w:tcPr>
          <w:p w14:paraId="6622F168" w14:textId="075B3E30" w:rsidR="00A019D6" w:rsidRPr="000E280D" w:rsidRDefault="1FE75218"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 xml:space="preserve">Zero damage to natural habitats, wetlands </w:t>
            </w:r>
          </w:p>
          <w:p w14:paraId="6594054F" w14:textId="104E1418" w:rsidR="00A019D6" w:rsidRPr="000E280D" w:rsidRDefault="1FE75218" w:rsidP="000E280D">
            <w:pPr>
              <w:numPr>
                <w:ilvl w:val="0"/>
                <w:numId w:val="7"/>
              </w:numPr>
              <w:spacing w:before="0" w:after="0" w:line="240" w:lineRule="auto"/>
              <w:ind w:left="209" w:hanging="180"/>
              <w:jc w:val="left"/>
              <w:rPr>
                <w:rFonts w:cs="Wingdings"/>
                <w:sz w:val="16"/>
                <w:szCs w:val="16"/>
              </w:rPr>
            </w:pPr>
            <w:r w:rsidRPr="000E280D">
              <w:rPr>
                <w:rFonts w:eastAsia="Arial TUR" w:cs="Wingdings"/>
                <w:color w:val="000000" w:themeColor="text1"/>
                <w:sz w:val="16"/>
                <w:szCs w:val="16"/>
                <w:lang w:eastAsia="en-US"/>
              </w:rPr>
              <w:t xml:space="preserve">Zero loss of </w:t>
            </w:r>
            <w:r w:rsidR="2F5A6CFC" w:rsidRPr="000E280D">
              <w:rPr>
                <w:rFonts w:eastAsia="Arial TUR" w:cs="Wingdings"/>
                <w:color w:val="000000" w:themeColor="text1"/>
                <w:sz w:val="16"/>
                <w:szCs w:val="16"/>
                <w:lang w:eastAsia="en-US"/>
              </w:rPr>
              <w:t>t</w:t>
            </w:r>
            <w:r w:rsidR="2F5A6CFC" w:rsidRPr="000E280D">
              <w:rPr>
                <w:rFonts w:cs="Wingdings"/>
                <w:sz w:val="16"/>
                <w:szCs w:val="16"/>
              </w:rPr>
              <w:t>hreatened and endemic species</w:t>
            </w:r>
          </w:p>
        </w:tc>
        <w:tc>
          <w:tcPr>
            <w:tcW w:w="793" w:type="pct"/>
          </w:tcPr>
          <w:p w14:paraId="7A9CA26E"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sz w:val="16"/>
                <w:szCs w:val="16"/>
              </w:rPr>
              <w:t>WB ESS-6</w:t>
            </w:r>
          </w:p>
        </w:tc>
        <w:tc>
          <w:tcPr>
            <w:tcW w:w="691" w:type="pct"/>
          </w:tcPr>
          <w:p w14:paraId="66104407" w14:textId="42EAF358" w:rsidR="00A019D6" w:rsidRPr="000E280D" w:rsidRDefault="00A84DED" w:rsidP="000E280D">
            <w:pPr>
              <w:numPr>
                <w:ilvl w:val="0"/>
                <w:numId w:val="7"/>
              </w:numPr>
              <w:spacing w:before="0" w:after="0" w:line="240" w:lineRule="auto"/>
              <w:ind w:left="209" w:hanging="180"/>
              <w:jc w:val="left"/>
              <w:rPr>
                <w:rFonts w:eastAsia="Arial TUR" w:cs="Wingdings"/>
                <w:color w:val="000000"/>
                <w:sz w:val="16"/>
                <w:szCs w:val="16"/>
                <w:lang w:eastAsia="en-US"/>
              </w:rPr>
            </w:pPr>
            <w:r w:rsidRPr="000E280D">
              <w:rPr>
                <w:rFonts w:eastAsia="Arial TUR" w:cs="Wingdings"/>
                <w:color w:val="000000" w:themeColor="text1"/>
                <w:sz w:val="16"/>
                <w:szCs w:val="16"/>
                <w:lang w:eastAsia="en-US"/>
              </w:rPr>
              <w:t>Minimum r</w:t>
            </w:r>
            <w:r w:rsidR="1FE75218" w:rsidRPr="000E280D">
              <w:rPr>
                <w:rFonts w:eastAsia="Arial TUR" w:cs="Wingdings"/>
                <w:color w:val="000000" w:themeColor="text1"/>
                <w:sz w:val="16"/>
                <w:szCs w:val="16"/>
                <w:lang w:eastAsia="en-US"/>
              </w:rPr>
              <w:t xml:space="preserve">atio of damage to natural habitats, wetlands </w:t>
            </w:r>
          </w:p>
          <w:p w14:paraId="190EBA4E" w14:textId="4A8656E0" w:rsidR="00A019D6" w:rsidRPr="000E280D" w:rsidRDefault="00A84DED" w:rsidP="000E280D">
            <w:pPr>
              <w:numPr>
                <w:ilvl w:val="0"/>
                <w:numId w:val="7"/>
              </w:numPr>
              <w:spacing w:before="0" w:after="0" w:line="240" w:lineRule="auto"/>
              <w:ind w:left="209" w:hanging="180"/>
              <w:jc w:val="left"/>
              <w:rPr>
                <w:rFonts w:cs="Arial"/>
                <w:color w:val="000000"/>
                <w:sz w:val="16"/>
                <w:szCs w:val="16"/>
              </w:rPr>
            </w:pPr>
            <w:r w:rsidRPr="000E280D">
              <w:rPr>
                <w:rFonts w:eastAsia="Arial TUR" w:cs="Wingdings"/>
                <w:color w:val="000000" w:themeColor="text1"/>
                <w:sz w:val="16"/>
                <w:szCs w:val="16"/>
              </w:rPr>
              <w:t>Minimum n</w:t>
            </w:r>
            <w:r w:rsidR="1FE75218" w:rsidRPr="000E280D">
              <w:rPr>
                <w:rFonts w:eastAsia="Arial TUR" w:cs="Wingdings"/>
                <w:color w:val="000000" w:themeColor="text1"/>
                <w:sz w:val="16"/>
                <w:szCs w:val="16"/>
              </w:rPr>
              <w:t xml:space="preserve">umber of </w:t>
            </w:r>
            <w:r w:rsidR="4A945ECB" w:rsidRPr="000E280D">
              <w:rPr>
                <w:rFonts w:eastAsia="Arial TUR" w:cs="Wingdings"/>
                <w:color w:val="000000" w:themeColor="text1"/>
                <w:sz w:val="16"/>
                <w:szCs w:val="16"/>
                <w:lang w:eastAsia="en-US"/>
              </w:rPr>
              <w:t>t</w:t>
            </w:r>
            <w:r w:rsidR="4A945ECB" w:rsidRPr="000E280D">
              <w:rPr>
                <w:rFonts w:cs="Wingdings"/>
                <w:sz w:val="16"/>
                <w:szCs w:val="16"/>
              </w:rPr>
              <w:t>hreatened and endemic species</w:t>
            </w:r>
            <w:r w:rsidR="1FE75218" w:rsidRPr="000E280D">
              <w:rPr>
                <w:rFonts w:eastAsia="Arial TUR" w:cs="Wingdings"/>
                <w:i/>
                <w:iCs/>
                <w:color w:val="000000" w:themeColor="text1"/>
                <w:sz w:val="16"/>
                <w:szCs w:val="16"/>
              </w:rPr>
              <w:t xml:space="preserve"> </w:t>
            </w:r>
            <w:r w:rsidR="1FE75218" w:rsidRPr="000E280D">
              <w:rPr>
                <w:rFonts w:eastAsia="Arial TUR" w:cs="Wingdings"/>
                <w:color w:val="000000" w:themeColor="text1"/>
                <w:sz w:val="16"/>
                <w:szCs w:val="16"/>
                <w:lang w:eastAsia="en-US"/>
              </w:rPr>
              <w:t>injuries and deaths</w:t>
            </w:r>
          </w:p>
        </w:tc>
        <w:tc>
          <w:tcPr>
            <w:tcW w:w="276" w:type="pct"/>
          </w:tcPr>
          <w:p w14:paraId="650DFC2E"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No additional costs</w:t>
            </w:r>
          </w:p>
        </w:tc>
        <w:tc>
          <w:tcPr>
            <w:tcW w:w="344" w:type="pct"/>
          </w:tcPr>
          <w:p w14:paraId="02F1BBD9" w14:textId="77777777" w:rsidR="00F361EC" w:rsidRPr="000E280D" w:rsidRDefault="00F361EC" w:rsidP="000E280D">
            <w:pPr>
              <w:spacing w:before="0" w:after="0" w:line="240" w:lineRule="auto"/>
              <w:jc w:val="left"/>
              <w:rPr>
                <w:rFonts w:cs="Wingdings"/>
                <w:color w:val="000000"/>
                <w:sz w:val="16"/>
                <w:szCs w:val="16"/>
              </w:rPr>
            </w:pPr>
            <w:r w:rsidRPr="000E280D">
              <w:rPr>
                <w:rFonts w:cs="Wingdings"/>
                <w:color w:val="000000"/>
                <w:sz w:val="16"/>
                <w:szCs w:val="16"/>
              </w:rPr>
              <w:t>TUIOSB</w:t>
            </w:r>
          </w:p>
          <w:p w14:paraId="6490533D" w14:textId="77777777" w:rsidR="00A019D6" w:rsidRPr="000E280D" w:rsidRDefault="00A019D6"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Contractors</w:t>
            </w:r>
          </w:p>
          <w:p w14:paraId="0FD645E5" w14:textId="7AE44494" w:rsidR="00A019D6" w:rsidRPr="000E280D" w:rsidRDefault="00EB5215" w:rsidP="000E280D">
            <w:pPr>
              <w:pStyle w:val="BodyText"/>
              <w:spacing w:before="40" w:after="40" w:line="240" w:lineRule="auto"/>
              <w:jc w:val="left"/>
              <w:rPr>
                <w:rFonts w:cs="Arial"/>
                <w:noProof w:val="0"/>
                <w:color w:val="000000"/>
                <w:sz w:val="16"/>
                <w:szCs w:val="16"/>
              </w:rPr>
            </w:pPr>
            <w:r w:rsidRPr="000E280D">
              <w:rPr>
                <w:rFonts w:cs="Arial"/>
                <w:noProof w:val="0"/>
                <w:sz w:val="16"/>
                <w:szCs w:val="16"/>
              </w:rPr>
              <w:t xml:space="preserve">Construction </w:t>
            </w:r>
            <w:r w:rsidR="008E19FC" w:rsidRPr="000E280D">
              <w:rPr>
                <w:rFonts w:cs="Arial"/>
                <w:noProof w:val="0"/>
                <w:sz w:val="16"/>
                <w:szCs w:val="16"/>
              </w:rPr>
              <w:t>Supervision</w:t>
            </w:r>
            <w:r w:rsidR="008E19FC" w:rsidRPr="000E280D">
              <w:rPr>
                <w:rFonts w:cs="Arial"/>
                <w:noProof w:val="0"/>
                <w:color w:val="000000"/>
                <w:sz w:val="16"/>
                <w:szCs w:val="16"/>
              </w:rPr>
              <w:t xml:space="preserve"> </w:t>
            </w:r>
            <w:r w:rsidR="00A019D6" w:rsidRPr="000E280D">
              <w:rPr>
                <w:rFonts w:cs="Arial"/>
                <w:noProof w:val="0"/>
                <w:color w:val="000000"/>
                <w:sz w:val="16"/>
                <w:szCs w:val="16"/>
              </w:rPr>
              <w:t>Consultant</w:t>
            </w:r>
          </w:p>
        </w:tc>
      </w:tr>
      <w:tr w:rsidR="00922FAD" w:rsidRPr="000E280D" w14:paraId="35E09585" w14:textId="77777777" w:rsidTr="00270ACC">
        <w:trPr>
          <w:trHeight w:val="1146"/>
        </w:trPr>
        <w:tc>
          <w:tcPr>
            <w:tcW w:w="310" w:type="pct"/>
          </w:tcPr>
          <w:p w14:paraId="3D2B5472" w14:textId="2CB7EA6E" w:rsidR="00B20F83" w:rsidRPr="000E280D" w:rsidRDefault="00B20F83" w:rsidP="000E280D">
            <w:pPr>
              <w:spacing w:before="0" w:after="0" w:line="240" w:lineRule="auto"/>
              <w:jc w:val="left"/>
              <w:rPr>
                <w:rFonts w:cs="Wingdings"/>
                <w:b/>
                <w:bCs/>
                <w:sz w:val="16"/>
                <w:szCs w:val="16"/>
              </w:rPr>
            </w:pPr>
            <w:r w:rsidRPr="000E280D">
              <w:rPr>
                <w:rFonts w:cs="Wingdings"/>
                <w:b/>
                <w:bCs/>
                <w:sz w:val="16"/>
                <w:szCs w:val="16"/>
              </w:rPr>
              <w:t>Non-Compliances and Corrective Action Suggestions with key findings of Project’s Ex-Post Social Assessment (EPSA) study</w:t>
            </w:r>
          </w:p>
        </w:tc>
        <w:tc>
          <w:tcPr>
            <w:tcW w:w="446" w:type="pct"/>
          </w:tcPr>
          <w:p w14:paraId="42535F53" w14:textId="7974D6CA" w:rsidR="00B20F83" w:rsidRPr="000E280D" w:rsidRDefault="00B20F83" w:rsidP="000E280D">
            <w:pPr>
              <w:pStyle w:val="BodyText"/>
              <w:spacing w:before="40" w:after="40" w:line="240" w:lineRule="auto"/>
              <w:jc w:val="left"/>
              <w:rPr>
                <w:rFonts w:cs="Arial"/>
                <w:noProof w:val="0"/>
                <w:color w:val="000000" w:themeColor="text1"/>
                <w:sz w:val="16"/>
                <w:szCs w:val="16"/>
              </w:rPr>
            </w:pPr>
            <w:r w:rsidRPr="000E280D">
              <w:rPr>
                <w:rFonts w:cs="Arial"/>
                <w:noProof w:val="0"/>
                <w:color w:val="000000"/>
                <w:sz w:val="16"/>
                <w:szCs w:val="16"/>
              </w:rPr>
              <w:t>Project area</w:t>
            </w:r>
          </w:p>
        </w:tc>
        <w:tc>
          <w:tcPr>
            <w:tcW w:w="417" w:type="pct"/>
          </w:tcPr>
          <w:p w14:paraId="137CB8B0" w14:textId="05406965" w:rsidR="00B20F83" w:rsidRPr="000E280D" w:rsidRDefault="00B20F83" w:rsidP="000E280D">
            <w:pPr>
              <w:spacing w:before="0" w:after="0" w:line="240" w:lineRule="auto"/>
              <w:jc w:val="left"/>
              <w:rPr>
                <w:rFonts w:cs="Wingdings"/>
                <w:color w:val="000000"/>
                <w:sz w:val="16"/>
                <w:szCs w:val="16"/>
              </w:rPr>
            </w:pPr>
            <w:r w:rsidRPr="000E280D">
              <w:rPr>
                <w:rFonts w:cs="Wingdings"/>
                <w:color w:val="000000"/>
                <w:sz w:val="16"/>
                <w:szCs w:val="16"/>
              </w:rPr>
              <w:t>Times specified in Table 6.1 of the Project’s EPSA Report</w:t>
            </w:r>
          </w:p>
        </w:tc>
        <w:tc>
          <w:tcPr>
            <w:tcW w:w="344" w:type="pct"/>
          </w:tcPr>
          <w:p w14:paraId="32C600FE" w14:textId="7C66F60E" w:rsidR="00B20F83" w:rsidRPr="000E280D" w:rsidRDefault="00B20F83" w:rsidP="000E280D">
            <w:pPr>
              <w:pStyle w:val="BodyText"/>
              <w:spacing w:before="40" w:after="40" w:line="240" w:lineRule="auto"/>
              <w:jc w:val="left"/>
              <w:rPr>
                <w:rFonts w:cs="Wingdings"/>
                <w:noProof w:val="0"/>
                <w:sz w:val="16"/>
                <w:szCs w:val="16"/>
              </w:rPr>
            </w:pPr>
            <w:r w:rsidRPr="000E280D">
              <w:rPr>
                <w:rFonts w:cs="Wingdings"/>
                <w:noProof w:val="0"/>
                <w:sz w:val="16"/>
                <w:szCs w:val="16"/>
              </w:rPr>
              <w:t>Follow-up of Table 6 1. given in the Project EPSA Report (Table of Non-Compliances and Corrective Actions Suggestions)</w:t>
            </w:r>
          </w:p>
        </w:tc>
        <w:tc>
          <w:tcPr>
            <w:tcW w:w="621" w:type="pct"/>
          </w:tcPr>
          <w:p w14:paraId="7120EDEE" w14:textId="26DB1A55" w:rsidR="00B20F83" w:rsidRPr="000E280D" w:rsidRDefault="00B20F83" w:rsidP="000E280D">
            <w:pPr>
              <w:numPr>
                <w:ilvl w:val="0"/>
                <w:numId w:val="7"/>
              </w:numPr>
              <w:spacing w:before="0" w:after="0" w:line="240" w:lineRule="auto"/>
              <w:ind w:left="209" w:hanging="180"/>
              <w:jc w:val="left"/>
              <w:rPr>
                <w:rFonts w:eastAsia="Arial TUR" w:cs="Wingdings"/>
                <w:color w:val="000000" w:themeColor="text1"/>
                <w:sz w:val="16"/>
                <w:szCs w:val="16"/>
                <w:lang w:eastAsia="en-US"/>
              </w:rPr>
            </w:pPr>
            <w:r w:rsidRPr="000E280D">
              <w:rPr>
                <w:rFonts w:cs="Wingdings"/>
                <w:color w:val="000000"/>
                <w:sz w:val="16"/>
                <w:szCs w:val="16"/>
              </w:rPr>
              <w:t>Full implementation</w:t>
            </w:r>
          </w:p>
        </w:tc>
        <w:tc>
          <w:tcPr>
            <w:tcW w:w="759" w:type="pct"/>
          </w:tcPr>
          <w:p w14:paraId="1754C59D" w14:textId="3E658DD8" w:rsidR="00B20F83" w:rsidRPr="000E280D" w:rsidRDefault="00B20F83" w:rsidP="000E280D">
            <w:pPr>
              <w:numPr>
                <w:ilvl w:val="0"/>
                <w:numId w:val="7"/>
              </w:numPr>
              <w:spacing w:before="0" w:after="0" w:line="240" w:lineRule="auto"/>
              <w:ind w:left="209" w:hanging="180"/>
              <w:jc w:val="left"/>
              <w:rPr>
                <w:rFonts w:eastAsia="Arial TUR" w:cs="Wingdings"/>
                <w:color w:val="000000" w:themeColor="text1"/>
                <w:sz w:val="16"/>
                <w:szCs w:val="16"/>
                <w:lang w:eastAsia="en-US"/>
              </w:rPr>
            </w:pPr>
            <w:r w:rsidRPr="000E280D">
              <w:rPr>
                <w:rFonts w:eastAsia="Arial TUR" w:cs="Wingdings"/>
                <w:color w:val="000000" w:themeColor="text1"/>
                <w:sz w:val="16"/>
                <w:szCs w:val="16"/>
                <w:lang w:eastAsia="en-US"/>
              </w:rPr>
              <w:t>Full compliance</w:t>
            </w:r>
          </w:p>
        </w:tc>
        <w:tc>
          <w:tcPr>
            <w:tcW w:w="793" w:type="pct"/>
          </w:tcPr>
          <w:p w14:paraId="2A2DDF25" w14:textId="716DA6A2" w:rsidR="00B20F83" w:rsidRPr="000E280D" w:rsidRDefault="00B20F83" w:rsidP="000E280D">
            <w:pPr>
              <w:pStyle w:val="BodyText"/>
              <w:spacing w:before="40" w:after="40" w:line="240" w:lineRule="auto"/>
              <w:jc w:val="left"/>
              <w:rPr>
                <w:rFonts w:cs="Arial"/>
                <w:noProof w:val="0"/>
                <w:sz w:val="16"/>
                <w:szCs w:val="16"/>
              </w:rPr>
            </w:pPr>
            <w:r w:rsidRPr="000E280D">
              <w:rPr>
                <w:rFonts w:cs="Arial"/>
                <w:noProof w:val="0"/>
                <w:sz w:val="16"/>
                <w:szCs w:val="16"/>
              </w:rPr>
              <w:t>WB ESS-4</w:t>
            </w:r>
          </w:p>
        </w:tc>
        <w:tc>
          <w:tcPr>
            <w:tcW w:w="691" w:type="pct"/>
          </w:tcPr>
          <w:p w14:paraId="3CD65061" w14:textId="3190112C" w:rsidR="00B20F83" w:rsidRPr="000E280D" w:rsidRDefault="00B20F83" w:rsidP="000E280D">
            <w:pPr>
              <w:numPr>
                <w:ilvl w:val="0"/>
                <w:numId w:val="7"/>
              </w:numPr>
              <w:spacing w:before="0" w:after="0" w:line="240" w:lineRule="auto"/>
              <w:ind w:left="209" w:hanging="180"/>
              <w:jc w:val="left"/>
              <w:rPr>
                <w:rFonts w:eastAsia="Arial TUR" w:cs="Wingdings"/>
                <w:color w:val="000000" w:themeColor="text1"/>
                <w:sz w:val="16"/>
                <w:szCs w:val="16"/>
                <w:lang w:eastAsia="en-US"/>
              </w:rPr>
            </w:pPr>
            <w:r w:rsidRPr="000E280D">
              <w:rPr>
                <w:rFonts w:eastAsia="Arial TUR" w:cs="Wingdings"/>
                <w:color w:val="000000" w:themeColor="text1"/>
                <w:sz w:val="16"/>
                <w:szCs w:val="16"/>
                <w:lang w:eastAsia="en-US"/>
              </w:rPr>
              <w:t>All actions to be completed</w:t>
            </w:r>
          </w:p>
        </w:tc>
        <w:tc>
          <w:tcPr>
            <w:tcW w:w="276" w:type="pct"/>
          </w:tcPr>
          <w:p w14:paraId="04D66D16" w14:textId="76CE073F" w:rsidR="00B20F83" w:rsidRPr="000E280D" w:rsidRDefault="00B20F83" w:rsidP="000E280D">
            <w:pPr>
              <w:pStyle w:val="BodyText"/>
              <w:spacing w:before="40" w:after="40" w:line="240" w:lineRule="auto"/>
              <w:jc w:val="left"/>
              <w:rPr>
                <w:rFonts w:cs="Arial"/>
                <w:noProof w:val="0"/>
                <w:color w:val="000000"/>
                <w:sz w:val="16"/>
                <w:szCs w:val="16"/>
              </w:rPr>
            </w:pPr>
            <w:r w:rsidRPr="000E280D">
              <w:rPr>
                <w:rFonts w:cs="Arial"/>
                <w:noProof w:val="0"/>
                <w:color w:val="000000"/>
                <w:sz w:val="16"/>
                <w:szCs w:val="16"/>
              </w:rPr>
              <w:t>No additional costs</w:t>
            </w:r>
          </w:p>
        </w:tc>
        <w:tc>
          <w:tcPr>
            <w:tcW w:w="342" w:type="pct"/>
          </w:tcPr>
          <w:p w14:paraId="3123A249" w14:textId="237F22F5" w:rsidR="00B20F83" w:rsidRPr="000E280D" w:rsidRDefault="00B20F83" w:rsidP="000E280D">
            <w:pPr>
              <w:spacing w:before="0" w:after="0" w:line="240" w:lineRule="auto"/>
              <w:jc w:val="left"/>
              <w:rPr>
                <w:rFonts w:cs="Wingdings"/>
                <w:color w:val="000000"/>
                <w:sz w:val="16"/>
                <w:szCs w:val="16"/>
              </w:rPr>
            </w:pPr>
            <w:r w:rsidRPr="000E280D">
              <w:rPr>
                <w:rFonts w:cs="Wingdings"/>
                <w:color w:val="000000"/>
                <w:sz w:val="16"/>
                <w:szCs w:val="16"/>
              </w:rPr>
              <w:t>TUIOSB</w:t>
            </w:r>
          </w:p>
        </w:tc>
      </w:tr>
    </w:tbl>
    <w:p w14:paraId="36DBFB79" w14:textId="7481FE55" w:rsidR="00753D9B" w:rsidRPr="00EE43C6" w:rsidRDefault="00753D9B">
      <w:pPr>
        <w:spacing w:before="0" w:after="200" w:line="276" w:lineRule="auto"/>
        <w:jc w:val="left"/>
      </w:pPr>
      <w:r w:rsidRPr="00EE43C6">
        <w:br w:type="page"/>
      </w:r>
    </w:p>
    <w:p w14:paraId="5D493DE7" w14:textId="66AAD25B" w:rsidR="004339AC" w:rsidRPr="00EE43C6" w:rsidRDefault="0090099B" w:rsidP="005B5CD4">
      <w:pPr>
        <w:pStyle w:val="Heading2"/>
        <w:rPr>
          <w:iCs/>
          <w:lang w:val="en-GB"/>
        </w:rPr>
      </w:pPr>
      <w:bookmarkStart w:id="1606" w:name="_Toc82779487"/>
      <w:bookmarkStart w:id="1607" w:name="_Toc82704856"/>
      <w:bookmarkStart w:id="1608" w:name="_Toc80633598"/>
      <w:bookmarkStart w:id="1609" w:name="_Toc120004769"/>
      <w:bookmarkStart w:id="1610" w:name="_Toc120016992"/>
      <w:bookmarkStart w:id="1611" w:name="_Ref141367817"/>
      <w:bookmarkStart w:id="1612" w:name="_Toc141445473"/>
      <w:bookmarkEnd w:id="1606"/>
      <w:bookmarkEnd w:id="1607"/>
      <w:r w:rsidRPr="00EE43C6">
        <w:rPr>
          <w:lang w:val="en-GB"/>
        </w:rPr>
        <w:lastRenderedPageBreak/>
        <w:t>Monitoring Plan for</w:t>
      </w:r>
      <w:r w:rsidRPr="00EE43C6">
        <w:rPr>
          <w:iCs/>
          <w:lang w:val="en-GB"/>
        </w:rPr>
        <w:t xml:space="preserve"> </w:t>
      </w:r>
      <w:r w:rsidR="00B71754" w:rsidRPr="00EE43C6">
        <w:rPr>
          <w:iCs/>
          <w:lang w:val="en-GB"/>
        </w:rPr>
        <w:t xml:space="preserve">the </w:t>
      </w:r>
      <w:r w:rsidR="004339AC" w:rsidRPr="00EE43C6">
        <w:rPr>
          <w:iCs/>
          <w:lang w:val="en-GB"/>
        </w:rPr>
        <w:t xml:space="preserve">Operation </w:t>
      </w:r>
      <w:r w:rsidR="00C454D0" w:rsidRPr="00EE43C6">
        <w:rPr>
          <w:iCs/>
          <w:lang w:val="en-GB"/>
        </w:rPr>
        <w:t>Phase</w:t>
      </w:r>
      <w:bookmarkEnd w:id="1608"/>
      <w:bookmarkEnd w:id="1609"/>
      <w:bookmarkEnd w:id="1610"/>
      <w:bookmarkEnd w:id="1611"/>
      <w:bookmarkEnd w:id="1612"/>
    </w:p>
    <w:tbl>
      <w:tblPr>
        <w:tblStyle w:val="TableGrid"/>
        <w:tblW w:w="5000" w:type="pct"/>
        <w:tblLayout w:type="fixed"/>
        <w:tblLook w:val="04A0" w:firstRow="1" w:lastRow="0" w:firstColumn="1" w:lastColumn="0" w:noHBand="0" w:noVBand="1"/>
      </w:tblPr>
      <w:tblGrid>
        <w:gridCol w:w="2122"/>
        <w:gridCol w:w="1842"/>
        <w:gridCol w:w="1985"/>
        <w:gridCol w:w="2693"/>
        <w:gridCol w:w="1418"/>
        <w:gridCol w:w="2126"/>
        <w:gridCol w:w="2074"/>
        <w:gridCol w:w="2037"/>
        <w:gridCol w:w="1984"/>
        <w:gridCol w:w="2687"/>
      </w:tblGrid>
      <w:tr w:rsidR="00FB0849" w:rsidRPr="00270ACC" w14:paraId="6D10FEC5" w14:textId="77777777" w:rsidTr="00270ACC">
        <w:trPr>
          <w:trHeight w:val="227"/>
          <w:tblHeader/>
        </w:trPr>
        <w:tc>
          <w:tcPr>
            <w:tcW w:w="2122" w:type="dxa"/>
            <w:shd w:val="clear" w:color="auto" w:fill="4F81BD" w:themeFill="accent1"/>
            <w:vAlign w:val="center"/>
          </w:tcPr>
          <w:p w14:paraId="19BB994B" w14:textId="77777777" w:rsidR="00682EC4" w:rsidRPr="00270ACC" w:rsidRDefault="00682EC4" w:rsidP="00270ACC">
            <w:pPr>
              <w:spacing w:before="0" w:after="0" w:line="240" w:lineRule="auto"/>
              <w:jc w:val="left"/>
              <w:rPr>
                <w:rFonts w:cs="Arial"/>
                <w:b/>
                <w:color w:val="FFFFFF" w:themeColor="background1"/>
                <w:sz w:val="16"/>
                <w:szCs w:val="16"/>
              </w:rPr>
            </w:pPr>
            <w:r w:rsidRPr="00270ACC">
              <w:rPr>
                <w:rFonts w:cs="Arial"/>
                <w:b/>
                <w:bCs/>
                <w:color w:val="FFFFFF" w:themeColor="background1"/>
                <w:sz w:val="16"/>
                <w:szCs w:val="16"/>
              </w:rPr>
              <w:t>Issue</w:t>
            </w:r>
          </w:p>
        </w:tc>
        <w:tc>
          <w:tcPr>
            <w:tcW w:w="1842" w:type="dxa"/>
            <w:shd w:val="clear" w:color="auto" w:fill="4F81BD" w:themeFill="accent1"/>
            <w:vAlign w:val="center"/>
          </w:tcPr>
          <w:p w14:paraId="4CF495E8" w14:textId="77777777" w:rsidR="00682EC4" w:rsidRPr="00270ACC" w:rsidRDefault="00682EC4" w:rsidP="00270ACC">
            <w:pPr>
              <w:spacing w:before="0" w:after="0" w:line="240" w:lineRule="auto"/>
              <w:jc w:val="left"/>
              <w:rPr>
                <w:rFonts w:cs="Arial"/>
                <w:b/>
                <w:color w:val="FFFFFF" w:themeColor="background1"/>
                <w:sz w:val="16"/>
                <w:szCs w:val="16"/>
              </w:rPr>
            </w:pPr>
            <w:r w:rsidRPr="00270ACC">
              <w:rPr>
                <w:rFonts w:cs="Arial"/>
                <w:b/>
                <w:bCs/>
                <w:color w:val="FFFFFF" w:themeColor="background1"/>
                <w:sz w:val="16"/>
                <w:szCs w:val="16"/>
              </w:rPr>
              <w:t>Monitoring Location</w:t>
            </w:r>
          </w:p>
        </w:tc>
        <w:tc>
          <w:tcPr>
            <w:tcW w:w="1985" w:type="dxa"/>
            <w:shd w:val="clear" w:color="auto" w:fill="4F81BD" w:themeFill="accent1"/>
            <w:vAlign w:val="center"/>
          </w:tcPr>
          <w:p w14:paraId="5E27BFF1" w14:textId="77777777" w:rsidR="00682EC4" w:rsidRPr="00270ACC" w:rsidRDefault="00682EC4" w:rsidP="00270ACC">
            <w:pPr>
              <w:spacing w:before="0" w:after="0" w:line="240" w:lineRule="auto"/>
              <w:jc w:val="left"/>
              <w:rPr>
                <w:rFonts w:cs="Arial"/>
                <w:b/>
                <w:color w:val="FFFFFF" w:themeColor="background1"/>
                <w:sz w:val="16"/>
                <w:szCs w:val="16"/>
              </w:rPr>
            </w:pPr>
            <w:r w:rsidRPr="00270ACC">
              <w:rPr>
                <w:rFonts w:cs="Arial"/>
                <w:b/>
                <w:bCs/>
                <w:color w:val="FFFFFF" w:themeColor="background1"/>
                <w:sz w:val="16"/>
                <w:szCs w:val="16"/>
              </w:rPr>
              <w:t>Timing / Frequency of Monitoring</w:t>
            </w:r>
          </w:p>
        </w:tc>
        <w:tc>
          <w:tcPr>
            <w:tcW w:w="2693" w:type="dxa"/>
            <w:shd w:val="clear" w:color="auto" w:fill="4F81BD" w:themeFill="accent1"/>
            <w:vAlign w:val="center"/>
          </w:tcPr>
          <w:p w14:paraId="35FB7883" w14:textId="77777777" w:rsidR="00682EC4" w:rsidRPr="00270ACC" w:rsidRDefault="00682EC4" w:rsidP="00270ACC">
            <w:pPr>
              <w:spacing w:before="0" w:after="0" w:line="240" w:lineRule="auto"/>
              <w:jc w:val="left"/>
              <w:rPr>
                <w:rFonts w:cs="Arial"/>
                <w:b/>
                <w:color w:val="FFFFFF" w:themeColor="background1"/>
                <w:sz w:val="16"/>
                <w:szCs w:val="16"/>
              </w:rPr>
            </w:pPr>
            <w:r w:rsidRPr="00270ACC">
              <w:rPr>
                <w:rFonts w:cs="Arial"/>
                <w:b/>
                <w:bCs/>
                <w:color w:val="FFFFFF" w:themeColor="background1"/>
                <w:sz w:val="16"/>
                <w:szCs w:val="16"/>
              </w:rPr>
              <w:t>Parameters Monitored</w:t>
            </w:r>
          </w:p>
        </w:tc>
        <w:tc>
          <w:tcPr>
            <w:tcW w:w="1418" w:type="dxa"/>
            <w:shd w:val="clear" w:color="auto" w:fill="4F81BD" w:themeFill="accent1"/>
            <w:vAlign w:val="center"/>
          </w:tcPr>
          <w:p w14:paraId="0B4B0C04" w14:textId="77777777" w:rsidR="00682EC4" w:rsidRPr="00270ACC" w:rsidRDefault="00682EC4" w:rsidP="00270ACC">
            <w:pPr>
              <w:spacing w:before="0" w:after="0" w:line="240" w:lineRule="auto"/>
              <w:jc w:val="left"/>
              <w:rPr>
                <w:rFonts w:cs="Arial"/>
                <w:b/>
                <w:color w:val="FFFFFF" w:themeColor="background1"/>
                <w:sz w:val="16"/>
                <w:szCs w:val="16"/>
              </w:rPr>
            </w:pPr>
            <w:r w:rsidRPr="00270ACC">
              <w:rPr>
                <w:rFonts w:cs="Arial"/>
                <w:b/>
                <w:bCs/>
                <w:color w:val="FFFFFF" w:themeColor="background1"/>
                <w:sz w:val="16"/>
                <w:szCs w:val="16"/>
              </w:rPr>
              <w:t>Monitoring Method</w:t>
            </w:r>
          </w:p>
        </w:tc>
        <w:tc>
          <w:tcPr>
            <w:tcW w:w="2126" w:type="dxa"/>
            <w:shd w:val="clear" w:color="auto" w:fill="4F81BD" w:themeFill="accent1"/>
            <w:vAlign w:val="center"/>
          </w:tcPr>
          <w:p w14:paraId="5918A16F" w14:textId="77777777" w:rsidR="00682EC4" w:rsidRPr="00270ACC" w:rsidRDefault="00682EC4" w:rsidP="00270ACC">
            <w:pPr>
              <w:spacing w:before="0" w:after="0" w:line="240" w:lineRule="auto"/>
              <w:jc w:val="left"/>
              <w:rPr>
                <w:rFonts w:cs="Arial"/>
                <w:b/>
                <w:color w:val="FFFFFF" w:themeColor="background1"/>
                <w:sz w:val="16"/>
                <w:szCs w:val="16"/>
              </w:rPr>
            </w:pPr>
            <w:r w:rsidRPr="00270ACC">
              <w:rPr>
                <w:rFonts w:cs="Arial"/>
                <w:b/>
                <w:bCs/>
                <w:color w:val="FFFFFF" w:themeColor="background1"/>
                <w:sz w:val="16"/>
                <w:szCs w:val="16"/>
              </w:rPr>
              <w:t>Target/ threshold values</w:t>
            </w:r>
          </w:p>
        </w:tc>
        <w:tc>
          <w:tcPr>
            <w:tcW w:w="2074" w:type="dxa"/>
            <w:shd w:val="clear" w:color="auto" w:fill="4F81BD" w:themeFill="accent1"/>
            <w:vAlign w:val="center"/>
          </w:tcPr>
          <w:p w14:paraId="20F61111" w14:textId="77777777" w:rsidR="00682EC4" w:rsidRPr="00270ACC" w:rsidRDefault="00682EC4" w:rsidP="00270ACC">
            <w:pPr>
              <w:spacing w:before="0" w:after="0" w:line="240" w:lineRule="auto"/>
              <w:jc w:val="left"/>
              <w:rPr>
                <w:rFonts w:cs="Arial"/>
                <w:b/>
                <w:color w:val="FFFFFF" w:themeColor="background1"/>
                <w:sz w:val="16"/>
                <w:szCs w:val="16"/>
              </w:rPr>
            </w:pPr>
            <w:r w:rsidRPr="00270ACC">
              <w:rPr>
                <w:rFonts w:cs="Arial"/>
                <w:b/>
                <w:bCs/>
                <w:color w:val="FFFFFF" w:themeColor="background1"/>
                <w:sz w:val="16"/>
                <w:szCs w:val="16"/>
              </w:rPr>
              <w:t>Legal Requirements for monitoring</w:t>
            </w:r>
          </w:p>
        </w:tc>
        <w:tc>
          <w:tcPr>
            <w:tcW w:w="2037" w:type="dxa"/>
            <w:shd w:val="clear" w:color="auto" w:fill="4F81BD" w:themeFill="accent1"/>
            <w:vAlign w:val="center"/>
          </w:tcPr>
          <w:p w14:paraId="1AF988AD" w14:textId="77777777" w:rsidR="00682EC4" w:rsidRPr="00270ACC" w:rsidRDefault="00682EC4" w:rsidP="00270ACC">
            <w:pPr>
              <w:spacing w:before="0" w:after="0" w:line="240" w:lineRule="auto"/>
              <w:jc w:val="left"/>
              <w:rPr>
                <w:rFonts w:cs="Arial"/>
                <w:b/>
                <w:color w:val="FFFFFF" w:themeColor="background1"/>
                <w:sz w:val="16"/>
                <w:szCs w:val="16"/>
              </w:rPr>
            </w:pPr>
            <w:r w:rsidRPr="00270ACC">
              <w:rPr>
                <w:rFonts w:cs="Arial"/>
                <w:b/>
                <w:bCs/>
                <w:color w:val="FFFFFF" w:themeColor="background1"/>
                <w:sz w:val="16"/>
                <w:szCs w:val="16"/>
              </w:rPr>
              <w:t>Key Performance Indicators</w:t>
            </w:r>
          </w:p>
        </w:tc>
        <w:tc>
          <w:tcPr>
            <w:tcW w:w="1984" w:type="dxa"/>
            <w:shd w:val="clear" w:color="auto" w:fill="4F81BD" w:themeFill="accent1"/>
            <w:vAlign w:val="center"/>
          </w:tcPr>
          <w:p w14:paraId="71FD23F8" w14:textId="77777777" w:rsidR="00682EC4" w:rsidRPr="00270ACC" w:rsidRDefault="00682EC4" w:rsidP="00270ACC">
            <w:pPr>
              <w:spacing w:before="0" w:after="0" w:line="240" w:lineRule="auto"/>
              <w:jc w:val="left"/>
              <w:rPr>
                <w:rFonts w:cs="Arial"/>
                <w:b/>
                <w:color w:val="FFFFFF" w:themeColor="background1"/>
                <w:sz w:val="16"/>
                <w:szCs w:val="16"/>
              </w:rPr>
            </w:pPr>
            <w:r w:rsidRPr="00270ACC">
              <w:rPr>
                <w:rFonts w:cs="Arial"/>
                <w:b/>
                <w:bCs/>
                <w:color w:val="FFFFFF" w:themeColor="background1"/>
                <w:sz w:val="16"/>
                <w:szCs w:val="16"/>
              </w:rPr>
              <w:t>Cost</w:t>
            </w:r>
          </w:p>
        </w:tc>
        <w:tc>
          <w:tcPr>
            <w:tcW w:w="2687" w:type="dxa"/>
            <w:shd w:val="clear" w:color="auto" w:fill="4F81BD" w:themeFill="accent1"/>
            <w:vAlign w:val="center"/>
          </w:tcPr>
          <w:p w14:paraId="1759DA1B" w14:textId="77777777" w:rsidR="00682EC4" w:rsidRPr="00270ACC" w:rsidRDefault="00682EC4" w:rsidP="00270ACC">
            <w:pPr>
              <w:spacing w:before="0" w:after="0" w:line="240" w:lineRule="auto"/>
              <w:jc w:val="left"/>
              <w:rPr>
                <w:rFonts w:cs="Arial"/>
                <w:b/>
                <w:color w:val="FFFFFF" w:themeColor="background1"/>
                <w:sz w:val="16"/>
                <w:szCs w:val="16"/>
              </w:rPr>
            </w:pPr>
            <w:r w:rsidRPr="00270ACC">
              <w:rPr>
                <w:rFonts w:cs="Arial"/>
                <w:b/>
                <w:bCs/>
                <w:color w:val="FFFFFF" w:themeColor="background1"/>
                <w:sz w:val="16"/>
                <w:szCs w:val="16"/>
              </w:rPr>
              <w:t>Responsible Party</w:t>
            </w:r>
          </w:p>
        </w:tc>
      </w:tr>
      <w:tr w:rsidR="00EB6F28" w:rsidRPr="00270ACC" w14:paraId="192BB7A7" w14:textId="77777777" w:rsidTr="00270ACC">
        <w:trPr>
          <w:trHeight w:val="227"/>
        </w:trPr>
        <w:tc>
          <w:tcPr>
            <w:tcW w:w="2122" w:type="dxa"/>
          </w:tcPr>
          <w:p w14:paraId="400AB7EA"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b/>
                <w:bCs/>
                <w:noProof w:val="0"/>
                <w:sz w:val="16"/>
                <w:szCs w:val="16"/>
              </w:rPr>
              <w:t>Disclosure</w:t>
            </w:r>
          </w:p>
        </w:tc>
        <w:tc>
          <w:tcPr>
            <w:tcW w:w="1842" w:type="dxa"/>
          </w:tcPr>
          <w:p w14:paraId="763E58A8"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Settlements near the project area</w:t>
            </w:r>
          </w:p>
        </w:tc>
        <w:tc>
          <w:tcPr>
            <w:tcW w:w="1985" w:type="dxa"/>
          </w:tcPr>
          <w:p w14:paraId="50DC1E44" w14:textId="77777777" w:rsidR="00682EC4" w:rsidRPr="00270ACC" w:rsidRDefault="00682EC4" w:rsidP="00270ACC">
            <w:pPr>
              <w:shd w:val="clear" w:color="auto" w:fill="FFFFFF"/>
              <w:spacing w:before="60" w:after="180" w:line="240" w:lineRule="atLeast"/>
              <w:jc w:val="left"/>
              <w:rPr>
                <w:rFonts w:cs="Arial"/>
                <w:color w:val="000000"/>
                <w:sz w:val="16"/>
                <w:szCs w:val="16"/>
              </w:rPr>
            </w:pPr>
            <w:r w:rsidRPr="00270ACC">
              <w:rPr>
                <w:rFonts w:cs="Arial"/>
                <w:color w:val="000000"/>
                <w:sz w:val="16"/>
                <w:szCs w:val="16"/>
              </w:rPr>
              <w:t>During the lifetime of the project</w:t>
            </w:r>
          </w:p>
          <w:p w14:paraId="2781ECA6"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Daily</w:t>
            </w:r>
          </w:p>
        </w:tc>
        <w:tc>
          <w:tcPr>
            <w:tcW w:w="2693" w:type="dxa"/>
          </w:tcPr>
          <w:p w14:paraId="3E605CE5" w14:textId="1EBFBC66"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Grievance</w:t>
            </w:r>
            <w:r w:rsidR="00F95096" w:rsidRPr="00270ACC">
              <w:rPr>
                <w:rFonts w:cs="Arial"/>
                <w:noProof w:val="0"/>
                <w:sz w:val="16"/>
                <w:szCs w:val="16"/>
              </w:rPr>
              <w:t xml:space="preserve"> Records</w:t>
            </w:r>
          </w:p>
          <w:p w14:paraId="11D886B3" w14:textId="77777777" w:rsidR="00682EC4" w:rsidRPr="00270ACC" w:rsidRDefault="00682EC4" w:rsidP="00270ACC">
            <w:pPr>
              <w:pStyle w:val="BodyText"/>
              <w:spacing w:before="40" w:after="40" w:line="240" w:lineRule="auto"/>
              <w:jc w:val="left"/>
              <w:rPr>
                <w:rFonts w:cs="Arial"/>
                <w:noProof w:val="0"/>
                <w:sz w:val="16"/>
                <w:szCs w:val="16"/>
              </w:rPr>
            </w:pPr>
          </w:p>
        </w:tc>
        <w:tc>
          <w:tcPr>
            <w:tcW w:w="1418" w:type="dxa"/>
          </w:tcPr>
          <w:p w14:paraId="3AB43BC6" w14:textId="77777777" w:rsidR="00682EC4" w:rsidRPr="00270ACC" w:rsidRDefault="093E8DD3" w:rsidP="00270ACC">
            <w:pPr>
              <w:numPr>
                <w:ilvl w:val="0"/>
                <w:numId w:val="7"/>
              </w:numPr>
              <w:spacing w:before="60" w:after="0" w:line="240" w:lineRule="auto"/>
              <w:ind w:left="67" w:hanging="140"/>
              <w:jc w:val="left"/>
              <w:rPr>
                <w:rFonts w:cs="Arial"/>
                <w:color w:val="000000"/>
                <w:sz w:val="16"/>
                <w:szCs w:val="16"/>
              </w:rPr>
            </w:pPr>
            <w:r w:rsidRPr="00270ACC">
              <w:rPr>
                <w:rFonts w:cs="Arial"/>
                <w:color w:val="000000" w:themeColor="text1"/>
                <w:sz w:val="16"/>
                <w:szCs w:val="16"/>
              </w:rPr>
              <w:t>On-site inspections</w:t>
            </w:r>
          </w:p>
          <w:p w14:paraId="2F65DDFE" w14:textId="77777777" w:rsidR="00682EC4" w:rsidRPr="00270ACC" w:rsidRDefault="093E8DD3" w:rsidP="00270ACC">
            <w:pPr>
              <w:numPr>
                <w:ilvl w:val="0"/>
                <w:numId w:val="7"/>
              </w:numPr>
              <w:spacing w:before="60" w:after="0" w:line="240" w:lineRule="auto"/>
              <w:ind w:left="67" w:hanging="140"/>
              <w:jc w:val="left"/>
              <w:rPr>
                <w:rFonts w:cs="Arial"/>
                <w:sz w:val="16"/>
                <w:szCs w:val="16"/>
              </w:rPr>
            </w:pPr>
            <w:r w:rsidRPr="00270ACC">
              <w:rPr>
                <w:rFonts w:cs="Arial"/>
                <w:color w:val="000000" w:themeColor="text1"/>
                <w:sz w:val="16"/>
                <w:szCs w:val="16"/>
              </w:rPr>
              <w:t>Minutes of meetings</w:t>
            </w:r>
          </w:p>
          <w:p w14:paraId="7202228D" w14:textId="77777777" w:rsidR="00682EC4" w:rsidRPr="00270ACC" w:rsidRDefault="093E8DD3" w:rsidP="00270ACC">
            <w:pPr>
              <w:numPr>
                <w:ilvl w:val="0"/>
                <w:numId w:val="7"/>
              </w:numPr>
              <w:spacing w:before="60" w:after="0" w:line="240" w:lineRule="auto"/>
              <w:ind w:left="67" w:hanging="140"/>
              <w:jc w:val="left"/>
              <w:rPr>
                <w:rFonts w:cs="Arial"/>
                <w:sz w:val="16"/>
                <w:szCs w:val="16"/>
              </w:rPr>
            </w:pPr>
            <w:r w:rsidRPr="00270ACC">
              <w:rPr>
                <w:rFonts w:cs="Arial"/>
                <w:color w:val="000000" w:themeColor="text1"/>
                <w:sz w:val="16"/>
                <w:szCs w:val="16"/>
              </w:rPr>
              <w:t>Grievance mechanism records</w:t>
            </w:r>
          </w:p>
        </w:tc>
        <w:tc>
          <w:tcPr>
            <w:tcW w:w="2126" w:type="dxa"/>
          </w:tcPr>
          <w:p w14:paraId="56F46DC9" w14:textId="3CAB538C" w:rsidR="00682EC4" w:rsidRPr="00270ACC" w:rsidRDefault="00196DDA" w:rsidP="00270ACC">
            <w:pPr>
              <w:pStyle w:val="BodyText"/>
              <w:spacing w:before="40" w:after="40" w:line="240" w:lineRule="auto"/>
              <w:jc w:val="left"/>
              <w:rPr>
                <w:rFonts w:cs="Arial"/>
                <w:noProof w:val="0"/>
                <w:sz w:val="16"/>
                <w:szCs w:val="16"/>
              </w:rPr>
            </w:pPr>
            <w:r w:rsidRPr="00270ACC">
              <w:rPr>
                <w:rStyle w:val="cf01"/>
                <w:rFonts w:ascii="Arial" w:hAnsi="Arial" w:cs="Arial"/>
                <w:sz w:val="16"/>
                <w:szCs w:val="16"/>
              </w:rPr>
              <w:t>All grievances closed-out within the target timeframe</w:t>
            </w:r>
          </w:p>
        </w:tc>
        <w:tc>
          <w:tcPr>
            <w:tcW w:w="2074" w:type="dxa"/>
          </w:tcPr>
          <w:p w14:paraId="7A24ADE1" w14:textId="77777777" w:rsidR="00682EC4" w:rsidRPr="00270ACC" w:rsidRDefault="093E8DD3" w:rsidP="00270ACC">
            <w:pPr>
              <w:numPr>
                <w:ilvl w:val="0"/>
                <w:numId w:val="7"/>
              </w:numPr>
              <w:spacing w:before="60" w:after="0" w:line="240" w:lineRule="auto"/>
              <w:ind w:left="106" w:hanging="182"/>
              <w:jc w:val="left"/>
              <w:rPr>
                <w:rFonts w:cs="Arial"/>
                <w:color w:val="000000"/>
                <w:sz w:val="16"/>
                <w:szCs w:val="16"/>
              </w:rPr>
            </w:pPr>
            <w:r w:rsidRPr="00270ACC">
              <w:rPr>
                <w:rFonts w:cs="Arial"/>
                <w:color w:val="000000" w:themeColor="text1"/>
                <w:sz w:val="16"/>
                <w:szCs w:val="16"/>
              </w:rPr>
              <w:t>Regulation on Assessment and Management of Environmental Noise</w:t>
            </w:r>
          </w:p>
          <w:p w14:paraId="6C2F8639" w14:textId="77777777" w:rsidR="00682EC4" w:rsidRPr="00270ACC" w:rsidRDefault="093E8DD3" w:rsidP="00270ACC">
            <w:pPr>
              <w:numPr>
                <w:ilvl w:val="0"/>
                <w:numId w:val="7"/>
              </w:numPr>
              <w:spacing w:before="60" w:after="0" w:line="240" w:lineRule="auto"/>
              <w:ind w:left="139" w:hanging="210"/>
              <w:jc w:val="left"/>
              <w:rPr>
                <w:rFonts w:cs="Arial"/>
                <w:sz w:val="16"/>
                <w:szCs w:val="16"/>
              </w:rPr>
            </w:pPr>
            <w:r w:rsidRPr="00270ACC">
              <w:rPr>
                <w:rFonts w:cs="Arial"/>
                <w:color w:val="000000" w:themeColor="text1"/>
                <w:sz w:val="16"/>
                <w:szCs w:val="16"/>
              </w:rPr>
              <w:t xml:space="preserve">Regulation on Air Quality Assessment and Management </w:t>
            </w:r>
          </w:p>
          <w:p w14:paraId="763D31B7" w14:textId="77777777" w:rsidR="00682EC4" w:rsidRPr="00270ACC" w:rsidRDefault="093E8DD3" w:rsidP="00270ACC">
            <w:pPr>
              <w:numPr>
                <w:ilvl w:val="0"/>
                <w:numId w:val="7"/>
              </w:numPr>
              <w:spacing w:before="60" w:after="0" w:line="240" w:lineRule="auto"/>
              <w:ind w:left="139" w:hanging="210"/>
              <w:jc w:val="left"/>
              <w:rPr>
                <w:rFonts w:cs="Arial"/>
                <w:sz w:val="16"/>
                <w:szCs w:val="16"/>
              </w:rPr>
            </w:pPr>
            <w:r w:rsidRPr="00270ACC">
              <w:rPr>
                <w:rFonts w:cs="Arial"/>
                <w:color w:val="000000" w:themeColor="text1"/>
                <w:sz w:val="16"/>
                <w:szCs w:val="16"/>
              </w:rPr>
              <w:t>WB ESS-10</w:t>
            </w:r>
          </w:p>
        </w:tc>
        <w:tc>
          <w:tcPr>
            <w:tcW w:w="2037" w:type="dxa"/>
          </w:tcPr>
          <w:p w14:paraId="075C6B43" w14:textId="04C3B596" w:rsidR="00682EC4" w:rsidRPr="00270ACC" w:rsidRDefault="00F95096"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en-US"/>
              </w:rPr>
            </w:pPr>
            <w:r w:rsidRPr="00270ACC">
              <w:rPr>
                <w:rFonts w:cs="Arial"/>
                <w:color w:val="000000" w:themeColor="text1"/>
                <w:sz w:val="16"/>
                <w:szCs w:val="16"/>
                <w:lang w:eastAsia="tr-TR"/>
              </w:rPr>
              <w:t>Minimum n</w:t>
            </w:r>
            <w:r w:rsidR="093E8DD3" w:rsidRPr="00270ACC">
              <w:rPr>
                <w:rFonts w:cs="Arial"/>
                <w:color w:val="000000" w:themeColor="text1"/>
                <w:sz w:val="16"/>
                <w:szCs w:val="16"/>
                <w:lang w:eastAsia="tr-TR"/>
              </w:rPr>
              <w:t xml:space="preserve">umber </w:t>
            </w:r>
            <w:r w:rsidR="0009263B" w:rsidRPr="00270ACC">
              <w:rPr>
                <w:rFonts w:cs="Arial"/>
                <w:color w:val="000000" w:themeColor="text1"/>
                <w:sz w:val="16"/>
                <w:szCs w:val="16"/>
                <w:lang w:eastAsia="tr-TR"/>
              </w:rPr>
              <w:t xml:space="preserve">and nature </w:t>
            </w:r>
            <w:r w:rsidR="093E8DD3" w:rsidRPr="00270ACC">
              <w:rPr>
                <w:rFonts w:cs="Arial"/>
                <w:color w:val="000000" w:themeColor="text1"/>
                <w:sz w:val="16"/>
                <w:szCs w:val="16"/>
                <w:lang w:eastAsia="tr-TR"/>
              </w:rPr>
              <w:t xml:space="preserve">of grievances </w:t>
            </w:r>
          </w:p>
          <w:p w14:paraId="7F8B9671" w14:textId="18E075FA"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 xml:space="preserve">Percentage of closed grievances </w:t>
            </w:r>
            <w:r w:rsidR="00F95096" w:rsidRPr="00270ACC">
              <w:rPr>
                <w:rFonts w:cs="Arial"/>
                <w:color w:val="000000" w:themeColor="text1"/>
                <w:sz w:val="16"/>
                <w:szCs w:val="16"/>
                <w:lang w:eastAsia="tr-TR"/>
              </w:rPr>
              <w:t>according to number of grievances</w:t>
            </w:r>
            <w:r w:rsidRPr="00270ACC">
              <w:rPr>
                <w:rFonts w:cs="Arial"/>
                <w:color w:val="000000" w:themeColor="text1"/>
                <w:sz w:val="16"/>
                <w:szCs w:val="16"/>
                <w:lang w:eastAsia="tr-TR"/>
              </w:rPr>
              <w:t xml:space="preserve"> within the target timeframe</w:t>
            </w:r>
          </w:p>
        </w:tc>
        <w:tc>
          <w:tcPr>
            <w:tcW w:w="1984" w:type="dxa"/>
          </w:tcPr>
          <w:p w14:paraId="29177A98"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Brings no additional cost</w:t>
            </w:r>
          </w:p>
        </w:tc>
        <w:tc>
          <w:tcPr>
            <w:tcW w:w="2687" w:type="dxa"/>
          </w:tcPr>
          <w:p w14:paraId="04C6D158" w14:textId="30838933" w:rsidR="00682EC4" w:rsidRPr="00270ACC" w:rsidRDefault="00B561CF" w:rsidP="00270ACC">
            <w:pPr>
              <w:spacing w:before="0" w:after="0" w:line="274" w:lineRule="auto"/>
              <w:jc w:val="left"/>
              <w:rPr>
                <w:rFonts w:cs="Arial"/>
                <w:color w:val="000000"/>
                <w:sz w:val="16"/>
                <w:szCs w:val="16"/>
              </w:rPr>
            </w:pPr>
            <w:r w:rsidRPr="00270ACC">
              <w:rPr>
                <w:rFonts w:cs="Arial"/>
                <w:color w:val="000000"/>
                <w:sz w:val="16"/>
                <w:szCs w:val="16"/>
              </w:rPr>
              <w:t>TUIOSB</w:t>
            </w:r>
          </w:p>
          <w:p w14:paraId="5A59D251" w14:textId="7FDDDA1D" w:rsidR="00682EC4" w:rsidRPr="00270ACC" w:rsidRDefault="00682EC4" w:rsidP="00270ACC">
            <w:pPr>
              <w:spacing w:before="0" w:after="0" w:line="274" w:lineRule="auto"/>
              <w:jc w:val="left"/>
              <w:rPr>
                <w:rFonts w:cs="Arial"/>
                <w:color w:val="000000"/>
                <w:sz w:val="16"/>
                <w:szCs w:val="16"/>
              </w:rPr>
            </w:pPr>
          </w:p>
          <w:p w14:paraId="42E653DA" w14:textId="77777777" w:rsidR="00682EC4" w:rsidRPr="00270ACC" w:rsidRDefault="00682EC4" w:rsidP="00270ACC">
            <w:pPr>
              <w:pStyle w:val="BodyText"/>
              <w:spacing w:before="40" w:after="40" w:line="240" w:lineRule="auto"/>
              <w:jc w:val="left"/>
              <w:rPr>
                <w:rFonts w:cs="Arial"/>
                <w:noProof w:val="0"/>
                <w:sz w:val="16"/>
                <w:szCs w:val="16"/>
              </w:rPr>
            </w:pPr>
          </w:p>
        </w:tc>
      </w:tr>
      <w:tr w:rsidR="00EB6F28" w:rsidRPr="00270ACC" w14:paraId="4D849768" w14:textId="77777777" w:rsidTr="00270ACC">
        <w:trPr>
          <w:trHeight w:val="227"/>
        </w:trPr>
        <w:tc>
          <w:tcPr>
            <w:tcW w:w="2122" w:type="dxa"/>
          </w:tcPr>
          <w:p w14:paraId="3D3132E5" w14:textId="587F426C" w:rsidR="00682EC4" w:rsidRPr="00270ACC" w:rsidRDefault="00506BCC" w:rsidP="00270ACC">
            <w:pPr>
              <w:pStyle w:val="BodyText"/>
              <w:spacing w:before="40" w:after="40" w:line="240" w:lineRule="auto"/>
              <w:jc w:val="left"/>
              <w:rPr>
                <w:rFonts w:cs="Arial"/>
                <w:noProof w:val="0"/>
                <w:sz w:val="16"/>
                <w:szCs w:val="16"/>
              </w:rPr>
            </w:pPr>
            <w:r w:rsidRPr="00270ACC">
              <w:rPr>
                <w:rFonts w:cs="Arial"/>
                <w:b/>
                <w:bCs/>
                <w:noProof w:val="0"/>
                <w:sz w:val="16"/>
                <w:szCs w:val="16"/>
              </w:rPr>
              <w:t>Labour</w:t>
            </w:r>
            <w:r w:rsidR="00682EC4" w:rsidRPr="00270ACC">
              <w:rPr>
                <w:rFonts w:cs="Arial"/>
                <w:b/>
                <w:bCs/>
                <w:noProof w:val="0"/>
                <w:sz w:val="16"/>
                <w:szCs w:val="16"/>
              </w:rPr>
              <w:t xml:space="preserve"> Conditions</w:t>
            </w:r>
          </w:p>
        </w:tc>
        <w:tc>
          <w:tcPr>
            <w:tcW w:w="1842" w:type="dxa"/>
          </w:tcPr>
          <w:p w14:paraId="237A61FF"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Project route and maintenance areas</w:t>
            </w:r>
          </w:p>
        </w:tc>
        <w:tc>
          <w:tcPr>
            <w:tcW w:w="1985" w:type="dxa"/>
          </w:tcPr>
          <w:p w14:paraId="290E2F35"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Monthly</w:t>
            </w:r>
          </w:p>
        </w:tc>
        <w:tc>
          <w:tcPr>
            <w:tcW w:w="2693" w:type="dxa"/>
          </w:tcPr>
          <w:p w14:paraId="2035C73E" w14:textId="6319F410"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Grievance</w:t>
            </w:r>
            <w:r w:rsidR="00F95096" w:rsidRPr="00270ACC">
              <w:rPr>
                <w:rFonts w:cs="Arial"/>
                <w:noProof w:val="0"/>
                <w:sz w:val="16"/>
                <w:szCs w:val="16"/>
              </w:rPr>
              <w:t xml:space="preserve"> Records</w:t>
            </w:r>
          </w:p>
          <w:p w14:paraId="4A2957D6" w14:textId="77777777" w:rsidR="00682EC4" w:rsidRPr="00270ACC" w:rsidRDefault="00682EC4" w:rsidP="00270ACC">
            <w:pPr>
              <w:pStyle w:val="BodyText"/>
              <w:spacing w:before="40" w:after="40" w:line="240" w:lineRule="auto"/>
              <w:jc w:val="left"/>
              <w:rPr>
                <w:rFonts w:cs="Arial"/>
                <w:noProof w:val="0"/>
                <w:sz w:val="16"/>
                <w:szCs w:val="16"/>
              </w:rPr>
            </w:pPr>
          </w:p>
        </w:tc>
        <w:tc>
          <w:tcPr>
            <w:tcW w:w="1418" w:type="dxa"/>
          </w:tcPr>
          <w:p w14:paraId="2F1B7D11" w14:textId="77777777" w:rsidR="00682EC4" w:rsidRPr="00270ACC" w:rsidRDefault="093E8DD3" w:rsidP="00270ACC">
            <w:pPr>
              <w:numPr>
                <w:ilvl w:val="0"/>
                <w:numId w:val="7"/>
              </w:numPr>
              <w:spacing w:before="60" w:after="0" w:line="240" w:lineRule="auto"/>
              <w:ind w:left="67" w:hanging="140"/>
              <w:jc w:val="left"/>
              <w:rPr>
                <w:rFonts w:cs="Arial"/>
                <w:sz w:val="16"/>
                <w:szCs w:val="16"/>
              </w:rPr>
            </w:pPr>
            <w:r w:rsidRPr="00270ACC">
              <w:rPr>
                <w:rFonts w:cs="Arial"/>
                <w:color w:val="000000" w:themeColor="text1"/>
                <w:sz w:val="16"/>
                <w:szCs w:val="16"/>
              </w:rPr>
              <w:t>Internal and external audits</w:t>
            </w:r>
          </w:p>
          <w:p w14:paraId="4C99C43A" w14:textId="77777777" w:rsidR="00682EC4" w:rsidRPr="00270ACC" w:rsidRDefault="093E8DD3" w:rsidP="00270ACC">
            <w:pPr>
              <w:numPr>
                <w:ilvl w:val="0"/>
                <w:numId w:val="7"/>
              </w:numPr>
              <w:spacing w:before="60" w:after="0" w:line="240" w:lineRule="auto"/>
              <w:ind w:left="67" w:hanging="140"/>
              <w:jc w:val="left"/>
              <w:rPr>
                <w:rFonts w:cs="Arial"/>
                <w:sz w:val="16"/>
                <w:szCs w:val="16"/>
              </w:rPr>
            </w:pPr>
            <w:r w:rsidRPr="00270ACC">
              <w:rPr>
                <w:rFonts w:cs="Arial"/>
                <w:color w:val="000000" w:themeColor="text1"/>
                <w:sz w:val="16"/>
                <w:szCs w:val="16"/>
              </w:rPr>
              <w:t xml:space="preserve">Grievance records </w:t>
            </w:r>
          </w:p>
          <w:p w14:paraId="4209B0C0" w14:textId="77777777" w:rsidR="00682EC4" w:rsidRPr="00270ACC" w:rsidRDefault="093E8DD3" w:rsidP="00270ACC">
            <w:pPr>
              <w:numPr>
                <w:ilvl w:val="0"/>
                <w:numId w:val="7"/>
              </w:numPr>
              <w:spacing w:before="60" w:after="0" w:line="240" w:lineRule="auto"/>
              <w:ind w:left="67" w:hanging="140"/>
              <w:jc w:val="left"/>
              <w:rPr>
                <w:rFonts w:cs="Arial"/>
                <w:sz w:val="16"/>
                <w:szCs w:val="16"/>
              </w:rPr>
            </w:pPr>
            <w:r w:rsidRPr="00270ACC">
              <w:rPr>
                <w:rFonts w:cs="Arial"/>
                <w:color w:val="000000" w:themeColor="text1"/>
                <w:sz w:val="16"/>
                <w:szCs w:val="16"/>
              </w:rPr>
              <w:t>Accident records</w:t>
            </w:r>
          </w:p>
          <w:p w14:paraId="08CE7AC3" w14:textId="77777777" w:rsidR="00682EC4" w:rsidRPr="00270ACC" w:rsidRDefault="093E8DD3" w:rsidP="00270ACC">
            <w:pPr>
              <w:numPr>
                <w:ilvl w:val="0"/>
                <w:numId w:val="7"/>
              </w:numPr>
              <w:spacing w:before="60" w:after="0" w:line="240" w:lineRule="auto"/>
              <w:ind w:left="67" w:hanging="140"/>
              <w:jc w:val="left"/>
              <w:rPr>
                <w:rFonts w:cs="Arial"/>
                <w:color w:val="000000"/>
                <w:sz w:val="16"/>
                <w:szCs w:val="16"/>
              </w:rPr>
            </w:pPr>
            <w:r w:rsidRPr="00270ACC">
              <w:rPr>
                <w:rFonts w:cs="Arial"/>
                <w:color w:val="000000" w:themeColor="text1"/>
                <w:sz w:val="16"/>
                <w:szCs w:val="16"/>
              </w:rPr>
              <w:t>Training records</w:t>
            </w:r>
          </w:p>
          <w:p w14:paraId="7448497A" w14:textId="77777777" w:rsidR="00682EC4" w:rsidRPr="00270ACC" w:rsidRDefault="093E8DD3" w:rsidP="00270ACC">
            <w:pPr>
              <w:numPr>
                <w:ilvl w:val="0"/>
                <w:numId w:val="7"/>
              </w:numPr>
              <w:spacing w:before="60" w:after="0" w:line="240" w:lineRule="auto"/>
              <w:ind w:left="67" w:hanging="140"/>
              <w:jc w:val="left"/>
              <w:rPr>
                <w:rFonts w:cs="Arial"/>
                <w:color w:val="000000"/>
                <w:sz w:val="16"/>
                <w:szCs w:val="16"/>
              </w:rPr>
            </w:pPr>
            <w:r w:rsidRPr="00270ACC">
              <w:rPr>
                <w:rFonts w:cs="Arial"/>
                <w:color w:val="000000" w:themeColor="text1"/>
                <w:sz w:val="16"/>
                <w:szCs w:val="16"/>
              </w:rPr>
              <w:t>Sample contracts</w:t>
            </w:r>
          </w:p>
          <w:p w14:paraId="1437C7D5" w14:textId="77777777" w:rsidR="00682EC4" w:rsidRPr="00270ACC" w:rsidRDefault="093E8DD3" w:rsidP="00270ACC">
            <w:pPr>
              <w:numPr>
                <w:ilvl w:val="0"/>
                <w:numId w:val="7"/>
              </w:numPr>
              <w:spacing w:before="60" w:after="0" w:line="240" w:lineRule="auto"/>
              <w:ind w:left="67" w:hanging="140"/>
              <w:jc w:val="left"/>
              <w:rPr>
                <w:rFonts w:cs="Arial"/>
                <w:color w:val="000000"/>
                <w:sz w:val="16"/>
                <w:szCs w:val="16"/>
              </w:rPr>
            </w:pPr>
            <w:r w:rsidRPr="00270ACC">
              <w:rPr>
                <w:rFonts w:cs="Arial"/>
                <w:color w:val="000000" w:themeColor="text1"/>
                <w:sz w:val="16"/>
                <w:szCs w:val="16"/>
              </w:rPr>
              <w:t>Human Resource Policy</w:t>
            </w:r>
          </w:p>
          <w:p w14:paraId="3AF9E941" w14:textId="77777777" w:rsidR="00682EC4" w:rsidRPr="00270ACC" w:rsidRDefault="093E8DD3" w:rsidP="00270ACC">
            <w:pPr>
              <w:numPr>
                <w:ilvl w:val="0"/>
                <w:numId w:val="7"/>
              </w:numPr>
              <w:spacing w:before="60" w:after="0" w:line="240" w:lineRule="auto"/>
              <w:ind w:left="67" w:hanging="140"/>
              <w:jc w:val="left"/>
              <w:rPr>
                <w:rFonts w:cs="Arial"/>
                <w:sz w:val="16"/>
                <w:szCs w:val="16"/>
              </w:rPr>
            </w:pPr>
            <w:r w:rsidRPr="00270ACC">
              <w:rPr>
                <w:rFonts w:cs="Arial"/>
                <w:color w:val="000000" w:themeColor="text1"/>
                <w:sz w:val="16"/>
                <w:szCs w:val="16"/>
              </w:rPr>
              <w:t>Number of the local employees</w:t>
            </w:r>
          </w:p>
          <w:p w14:paraId="20764944" w14:textId="77777777" w:rsidR="00682EC4" w:rsidRPr="00270ACC" w:rsidRDefault="093E8DD3" w:rsidP="00270ACC">
            <w:pPr>
              <w:numPr>
                <w:ilvl w:val="0"/>
                <w:numId w:val="7"/>
              </w:numPr>
              <w:spacing w:before="60" w:after="0" w:line="240" w:lineRule="auto"/>
              <w:ind w:left="67" w:hanging="140"/>
              <w:jc w:val="left"/>
              <w:rPr>
                <w:rFonts w:cs="Arial"/>
                <w:sz w:val="16"/>
                <w:szCs w:val="16"/>
              </w:rPr>
            </w:pPr>
            <w:r w:rsidRPr="00270ACC">
              <w:rPr>
                <w:rFonts w:cs="Arial"/>
                <w:color w:val="000000" w:themeColor="text1"/>
                <w:sz w:val="16"/>
                <w:szCs w:val="16"/>
              </w:rPr>
              <w:t>Legal work permit</w:t>
            </w:r>
          </w:p>
        </w:tc>
        <w:tc>
          <w:tcPr>
            <w:tcW w:w="2126" w:type="dxa"/>
          </w:tcPr>
          <w:p w14:paraId="74E589B2" w14:textId="75B4E8F8" w:rsidR="00682EC4" w:rsidRPr="00270ACC" w:rsidRDefault="00196DDA" w:rsidP="00270ACC">
            <w:pPr>
              <w:pStyle w:val="BodyText"/>
              <w:spacing w:before="40" w:after="40" w:line="240" w:lineRule="auto"/>
              <w:jc w:val="left"/>
              <w:rPr>
                <w:rFonts w:cs="Arial"/>
                <w:noProof w:val="0"/>
                <w:sz w:val="16"/>
                <w:szCs w:val="16"/>
              </w:rPr>
            </w:pPr>
            <w:r w:rsidRPr="00270ACC">
              <w:rPr>
                <w:rStyle w:val="cf01"/>
                <w:rFonts w:ascii="Arial" w:hAnsi="Arial" w:cs="Arial"/>
                <w:sz w:val="16"/>
                <w:szCs w:val="16"/>
              </w:rPr>
              <w:t>All grievances closed-out within the target timeframe</w:t>
            </w:r>
          </w:p>
        </w:tc>
        <w:tc>
          <w:tcPr>
            <w:tcW w:w="2074" w:type="dxa"/>
          </w:tcPr>
          <w:p w14:paraId="24E06342" w14:textId="090F6364" w:rsidR="00682EC4" w:rsidRPr="00270ACC" w:rsidRDefault="00506BCC" w:rsidP="00270ACC">
            <w:pPr>
              <w:numPr>
                <w:ilvl w:val="0"/>
                <w:numId w:val="7"/>
              </w:numPr>
              <w:spacing w:before="60" w:after="0" w:line="240" w:lineRule="auto"/>
              <w:ind w:left="106" w:hanging="182"/>
              <w:jc w:val="left"/>
              <w:rPr>
                <w:rFonts w:cs="Arial"/>
                <w:color w:val="000000"/>
                <w:sz w:val="16"/>
                <w:szCs w:val="16"/>
              </w:rPr>
            </w:pPr>
            <w:r w:rsidRPr="00270ACC">
              <w:rPr>
                <w:rFonts w:cs="Arial"/>
                <w:color w:val="000000" w:themeColor="text1"/>
                <w:sz w:val="16"/>
                <w:szCs w:val="16"/>
              </w:rPr>
              <w:t>Labour</w:t>
            </w:r>
            <w:r w:rsidR="093E8DD3" w:rsidRPr="00270ACC">
              <w:rPr>
                <w:rFonts w:cs="Arial"/>
                <w:color w:val="000000" w:themeColor="text1"/>
                <w:sz w:val="16"/>
                <w:szCs w:val="16"/>
              </w:rPr>
              <w:t xml:space="preserve"> Law (No. 4857)</w:t>
            </w:r>
          </w:p>
          <w:p w14:paraId="4F4C9C8A" w14:textId="77777777" w:rsidR="00682EC4" w:rsidRPr="00270ACC" w:rsidRDefault="093E8DD3" w:rsidP="00270ACC">
            <w:pPr>
              <w:numPr>
                <w:ilvl w:val="0"/>
                <w:numId w:val="7"/>
              </w:numPr>
              <w:spacing w:before="60" w:after="0" w:line="240" w:lineRule="auto"/>
              <w:ind w:left="106" w:hanging="182"/>
              <w:jc w:val="left"/>
              <w:rPr>
                <w:rFonts w:cs="Arial"/>
                <w:sz w:val="16"/>
                <w:szCs w:val="16"/>
              </w:rPr>
            </w:pPr>
            <w:r w:rsidRPr="00270ACC">
              <w:rPr>
                <w:rFonts w:cs="Arial"/>
                <w:color w:val="000000" w:themeColor="text1"/>
                <w:sz w:val="16"/>
                <w:szCs w:val="16"/>
              </w:rPr>
              <w:t>Law on Trade Unions and Collective Bargaining Agreements</w:t>
            </w:r>
          </w:p>
          <w:p w14:paraId="491E3180" w14:textId="77777777" w:rsidR="00682EC4" w:rsidRPr="00270ACC" w:rsidRDefault="093E8DD3" w:rsidP="00270ACC">
            <w:pPr>
              <w:numPr>
                <w:ilvl w:val="0"/>
                <w:numId w:val="7"/>
              </w:numPr>
              <w:spacing w:before="60" w:after="0" w:line="240" w:lineRule="auto"/>
              <w:ind w:left="106" w:hanging="182"/>
              <w:jc w:val="left"/>
              <w:rPr>
                <w:rFonts w:cs="Arial"/>
                <w:sz w:val="16"/>
                <w:szCs w:val="16"/>
              </w:rPr>
            </w:pPr>
            <w:r w:rsidRPr="00270ACC">
              <w:rPr>
                <w:rFonts w:cs="Arial"/>
                <w:color w:val="000000" w:themeColor="text1"/>
                <w:sz w:val="16"/>
                <w:szCs w:val="16"/>
              </w:rPr>
              <w:t>ILO International Regulations</w:t>
            </w:r>
          </w:p>
        </w:tc>
        <w:tc>
          <w:tcPr>
            <w:tcW w:w="2037" w:type="dxa"/>
          </w:tcPr>
          <w:p w14:paraId="265DCD66" w14:textId="385A6629" w:rsidR="00682EC4" w:rsidRPr="00270ACC" w:rsidRDefault="008E6D9D"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Minimum n</w:t>
            </w:r>
            <w:r w:rsidR="093E8DD3" w:rsidRPr="00270ACC">
              <w:rPr>
                <w:rFonts w:cs="Arial"/>
                <w:color w:val="000000" w:themeColor="text1"/>
                <w:sz w:val="16"/>
                <w:szCs w:val="16"/>
                <w:lang w:eastAsia="tr-TR"/>
              </w:rPr>
              <w:t xml:space="preserve">umber </w:t>
            </w:r>
            <w:r w:rsidR="0009263B" w:rsidRPr="00270ACC">
              <w:rPr>
                <w:rFonts w:cs="Arial"/>
                <w:color w:val="000000" w:themeColor="text1"/>
                <w:sz w:val="16"/>
                <w:szCs w:val="16"/>
                <w:lang w:eastAsia="tr-TR"/>
              </w:rPr>
              <w:t xml:space="preserve">and nature </w:t>
            </w:r>
            <w:r w:rsidR="093E8DD3" w:rsidRPr="00270ACC">
              <w:rPr>
                <w:rFonts w:cs="Arial"/>
                <w:color w:val="000000" w:themeColor="text1"/>
                <w:sz w:val="16"/>
                <w:szCs w:val="16"/>
                <w:lang w:eastAsia="tr-TR"/>
              </w:rPr>
              <w:t xml:space="preserve">of worker grievances </w:t>
            </w:r>
          </w:p>
          <w:p w14:paraId="779D89FC" w14:textId="53720A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 xml:space="preserve">Percentage of closed grievances </w:t>
            </w:r>
            <w:r w:rsidR="008E6D9D" w:rsidRPr="00270ACC">
              <w:rPr>
                <w:rFonts w:cs="Arial"/>
                <w:color w:val="000000" w:themeColor="text1"/>
                <w:sz w:val="16"/>
                <w:szCs w:val="16"/>
                <w:lang w:eastAsia="tr-TR"/>
              </w:rPr>
              <w:t xml:space="preserve">according to number of grievances </w:t>
            </w:r>
            <w:r w:rsidRPr="00270ACC">
              <w:rPr>
                <w:rFonts w:cs="Arial"/>
                <w:color w:val="000000" w:themeColor="text1"/>
                <w:sz w:val="16"/>
                <w:szCs w:val="16"/>
                <w:lang w:eastAsia="tr-TR"/>
              </w:rPr>
              <w:t>within the target timeframe</w:t>
            </w:r>
          </w:p>
        </w:tc>
        <w:tc>
          <w:tcPr>
            <w:tcW w:w="1984" w:type="dxa"/>
          </w:tcPr>
          <w:p w14:paraId="71C370C5"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No additional costs</w:t>
            </w:r>
          </w:p>
        </w:tc>
        <w:tc>
          <w:tcPr>
            <w:tcW w:w="2687" w:type="dxa"/>
          </w:tcPr>
          <w:p w14:paraId="71CA28E1" w14:textId="6470388E" w:rsidR="00682EC4" w:rsidRPr="00270ACC" w:rsidRDefault="00B561CF" w:rsidP="00270ACC">
            <w:pPr>
              <w:spacing w:before="0" w:after="0" w:line="240" w:lineRule="auto"/>
              <w:jc w:val="left"/>
              <w:rPr>
                <w:rFonts w:cs="Arial"/>
                <w:color w:val="000000"/>
                <w:sz w:val="16"/>
                <w:szCs w:val="16"/>
              </w:rPr>
            </w:pPr>
            <w:r w:rsidRPr="00270ACC">
              <w:rPr>
                <w:rFonts w:cs="Arial"/>
                <w:color w:val="000000"/>
                <w:sz w:val="16"/>
                <w:szCs w:val="16"/>
              </w:rPr>
              <w:t>TUIOSB</w:t>
            </w:r>
          </w:p>
          <w:p w14:paraId="738F2E8E" w14:textId="7D057E39" w:rsidR="00682EC4" w:rsidRPr="00270ACC" w:rsidRDefault="00682EC4" w:rsidP="00270ACC">
            <w:pPr>
              <w:spacing w:before="0" w:after="0" w:line="240" w:lineRule="auto"/>
              <w:jc w:val="left"/>
              <w:rPr>
                <w:rFonts w:cs="Arial"/>
                <w:color w:val="000000"/>
                <w:sz w:val="16"/>
                <w:szCs w:val="16"/>
              </w:rPr>
            </w:pPr>
          </w:p>
          <w:p w14:paraId="56F9F04D" w14:textId="77777777" w:rsidR="00682EC4" w:rsidRPr="00270ACC" w:rsidRDefault="00682EC4" w:rsidP="00270ACC">
            <w:pPr>
              <w:pStyle w:val="BodyText"/>
              <w:spacing w:before="40" w:after="40" w:line="240" w:lineRule="auto"/>
              <w:jc w:val="left"/>
              <w:rPr>
                <w:rFonts w:cs="Arial"/>
                <w:noProof w:val="0"/>
                <w:sz w:val="16"/>
                <w:szCs w:val="16"/>
              </w:rPr>
            </w:pPr>
          </w:p>
        </w:tc>
      </w:tr>
      <w:tr w:rsidR="00EB6F28" w:rsidRPr="00270ACC" w14:paraId="0A422B52" w14:textId="77777777" w:rsidTr="00270ACC">
        <w:trPr>
          <w:trHeight w:val="227"/>
        </w:trPr>
        <w:tc>
          <w:tcPr>
            <w:tcW w:w="2122" w:type="dxa"/>
          </w:tcPr>
          <w:p w14:paraId="72B15E06"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b/>
                <w:bCs/>
                <w:noProof w:val="0"/>
                <w:sz w:val="16"/>
                <w:szCs w:val="16"/>
              </w:rPr>
              <w:t>Occupational Health and Safety</w:t>
            </w:r>
          </w:p>
        </w:tc>
        <w:tc>
          <w:tcPr>
            <w:tcW w:w="1842" w:type="dxa"/>
          </w:tcPr>
          <w:p w14:paraId="197105F1" w14:textId="77777777" w:rsidR="00682EC4" w:rsidRPr="00270ACC" w:rsidRDefault="00682EC4" w:rsidP="00270ACC">
            <w:pPr>
              <w:spacing w:before="0" w:after="0" w:line="240" w:lineRule="auto"/>
              <w:jc w:val="left"/>
              <w:rPr>
                <w:rFonts w:cs="Arial"/>
                <w:color w:val="000000"/>
                <w:sz w:val="16"/>
                <w:szCs w:val="16"/>
              </w:rPr>
            </w:pPr>
            <w:r w:rsidRPr="00270ACC">
              <w:rPr>
                <w:rFonts w:cs="Arial"/>
                <w:color w:val="000000"/>
                <w:sz w:val="16"/>
                <w:szCs w:val="16"/>
              </w:rPr>
              <w:t>Project area</w:t>
            </w:r>
          </w:p>
          <w:p w14:paraId="1FFDA879"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Settlements near the project area</w:t>
            </w:r>
          </w:p>
        </w:tc>
        <w:tc>
          <w:tcPr>
            <w:tcW w:w="1985" w:type="dxa"/>
          </w:tcPr>
          <w:p w14:paraId="6134ED17"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Monthly</w:t>
            </w:r>
          </w:p>
        </w:tc>
        <w:tc>
          <w:tcPr>
            <w:tcW w:w="2693" w:type="dxa"/>
          </w:tcPr>
          <w:p w14:paraId="467881F8"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Disease</w:t>
            </w:r>
          </w:p>
          <w:p w14:paraId="181ECF2D"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Incidents</w:t>
            </w:r>
          </w:p>
          <w:p w14:paraId="70FEC125"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Grievances</w:t>
            </w:r>
          </w:p>
          <w:p w14:paraId="78449370"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Trainings</w:t>
            </w:r>
          </w:p>
          <w:p w14:paraId="79D91836"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HSE Inspection</w:t>
            </w:r>
          </w:p>
          <w:p w14:paraId="1882B872"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Legal Requirements</w:t>
            </w:r>
          </w:p>
          <w:p w14:paraId="69EAA562"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Compliance with Emergency Plans</w:t>
            </w:r>
          </w:p>
        </w:tc>
        <w:tc>
          <w:tcPr>
            <w:tcW w:w="1418" w:type="dxa"/>
          </w:tcPr>
          <w:p w14:paraId="69D794BD" w14:textId="77777777" w:rsidR="00682EC4" w:rsidRPr="00270ACC" w:rsidRDefault="093E8DD3" w:rsidP="00270ACC">
            <w:pPr>
              <w:numPr>
                <w:ilvl w:val="0"/>
                <w:numId w:val="7"/>
              </w:numPr>
              <w:spacing w:before="60" w:after="0" w:line="240" w:lineRule="auto"/>
              <w:ind w:left="67" w:hanging="140"/>
              <w:jc w:val="left"/>
              <w:rPr>
                <w:rFonts w:eastAsia="Arial TUR" w:cs="Arial"/>
                <w:sz w:val="16"/>
                <w:szCs w:val="16"/>
                <w:lang w:eastAsia="en-US"/>
              </w:rPr>
            </w:pPr>
            <w:r w:rsidRPr="00270ACC">
              <w:rPr>
                <w:rFonts w:eastAsia="Arial TUR" w:cs="Arial"/>
                <w:sz w:val="16"/>
                <w:szCs w:val="16"/>
                <w:lang w:eastAsia="en-US"/>
              </w:rPr>
              <w:t>On-site inspections</w:t>
            </w:r>
          </w:p>
          <w:p w14:paraId="0E720555" w14:textId="77777777" w:rsidR="00682EC4" w:rsidRPr="00270ACC" w:rsidRDefault="093E8DD3" w:rsidP="00270ACC">
            <w:pPr>
              <w:numPr>
                <w:ilvl w:val="0"/>
                <w:numId w:val="7"/>
              </w:numPr>
              <w:spacing w:before="60" w:after="0" w:line="240" w:lineRule="auto"/>
              <w:ind w:left="67" w:hanging="140"/>
              <w:jc w:val="left"/>
              <w:rPr>
                <w:rFonts w:eastAsia="Arial TUR" w:cs="Arial"/>
                <w:sz w:val="16"/>
                <w:szCs w:val="16"/>
                <w:lang w:eastAsia="en-US"/>
              </w:rPr>
            </w:pPr>
            <w:r w:rsidRPr="00270ACC">
              <w:rPr>
                <w:rFonts w:eastAsia="Arial TUR" w:cs="Arial"/>
                <w:sz w:val="16"/>
                <w:szCs w:val="16"/>
                <w:lang w:eastAsia="en-US"/>
              </w:rPr>
              <w:t>Interviews with employees</w:t>
            </w:r>
          </w:p>
          <w:p w14:paraId="47434C38" w14:textId="77777777" w:rsidR="00682EC4" w:rsidRPr="00270ACC" w:rsidRDefault="093E8DD3" w:rsidP="00270ACC">
            <w:pPr>
              <w:numPr>
                <w:ilvl w:val="0"/>
                <w:numId w:val="7"/>
              </w:numPr>
              <w:spacing w:before="60" w:after="0" w:line="240" w:lineRule="auto"/>
              <w:ind w:left="67" w:hanging="140"/>
              <w:jc w:val="left"/>
              <w:rPr>
                <w:rFonts w:eastAsia="Arial TUR" w:cs="Arial"/>
                <w:sz w:val="16"/>
                <w:szCs w:val="16"/>
                <w:lang w:eastAsia="en-US"/>
              </w:rPr>
            </w:pPr>
            <w:r w:rsidRPr="00270ACC">
              <w:rPr>
                <w:rFonts w:eastAsia="Arial TUR" w:cs="Arial"/>
                <w:sz w:val="16"/>
                <w:szCs w:val="16"/>
                <w:lang w:eastAsia="en-US"/>
              </w:rPr>
              <w:t>Complaint records</w:t>
            </w:r>
          </w:p>
          <w:p w14:paraId="7BCFDEFA" w14:textId="77777777" w:rsidR="00682EC4" w:rsidRPr="00270ACC" w:rsidRDefault="093E8DD3" w:rsidP="00270ACC">
            <w:pPr>
              <w:numPr>
                <w:ilvl w:val="0"/>
                <w:numId w:val="7"/>
              </w:numPr>
              <w:spacing w:before="60" w:after="0" w:line="240" w:lineRule="auto"/>
              <w:ind w:left="67" w:hanging="140"/>
              <w:jc w:val="left"/>
              <w:rPr>
                <w:rFonts w:eastAsia="Arial TUR" w:cs="Arial"/>
                <w:sz w:val="16"/>
                <w:szCs w:val="16"/>
                <w:lang w:eastAsia="en-US"/>
              </w:rPr>
            </w:pPr>
            <w:r w:rsidRPr="00270ACC">
              <w:rPr>
                <w:rFonts w:eastAsia="Arial TUR" w:cs="Arial"/>
                <w:sz w:val="16"/>
                <w:szCs w:val="16"/>
                <w:lang w:eastAsia="en-US"/>
              </w:rPr>
              <w:t>Training records</w:t>
            </w:r>
          </w:p>
          <w:p w14:paraId="70AA0677" w14:textId="77777777" w:rsidR="00682EC4" w:rsidRPr="00270ACC" w:rsidRDefault="093E8DD3" w:rsidP="00270ACC">
            <w:pPr>
              <w:numPr>
                <w:ilvl w:val="0"/>
                <w:numId w:val="7"/>
              </w:numPr>
              <w:spacing w:before="60" w:after="0" w:line="240" w:lineRule="auto"/>
              <w:ind w:left="67" w:hanging="140"/>
              <w:jc w:val="left"/>
              <w:rPr>
                <w:rFonts w:eastAsia="Arial TUR" w:cs="Arial"/>
                <w:sz w:val="16"/>
                <w:szCs w:val="16"/>
                <w:lang w:eastAsia="en-US"/>
              </w:rPr>
            </w:pPr>
            <w:r w:rsidRPr="00270ACC">
              <w:rPr>
                <w:rFonts w:eastAsia="Arial TUR" w:cs="Arial"/>
                <w:sz w:val="16"/>
                <w:szCs w:val="16"/>
                <w:lang w:eastAsia="en-US"/>
              </w:rPr>
              <w:t>Contract examples</w:t>
            </w:r>
          </w:p>
          <w:p w14:paraId="45C707EE" w14:textId="77777777" w:rsidR="00682EC4" w:rsidRPr="00270ACC" w:rsidRDefault="093E8DD3" w:rsidP="00270ACC">
            <w:pPr>
              <w:numPr>
                <w:ilvl w:val="0"/>
                <w:numId w:val="7"/>
              </w:numPr>
              <w:spacing w:before="60" w:after="0" w:line="240" w:lineRule="auto"/>
              <w:ind w:left="67" w:hanging="140"/>
              <w:jc w:val="left"/>
              <w:rPr>
                <w:rFonts w:eastAsia="Arial TUR" w:cs="Arial"/>
                <w:sz w:val="16"/>
                <w:szCs w:val="16"/>
                <w:lang w:eastAsia="en-US"/>
              </w:rPr>
            </w:pPr>
            <w:r w:rsidRPr="00270ACC">
              <w:rPr>
                <w:rFonts w:eastAsia="Arial TUR" w:cs="Arial"/>
                <w:sz w:val="16"/>
                <w:szCs w:val="16"/>
                <w:lang w:eastAsia="en-US"/>
              </w:rPr>
              <w:t>Internal and external audits</w:t>
            </w:r>
          </w:p>
          <w:p w14:paraId="7F88034F" w14:textId="77777777" w:rsidR="00682EC4" w:rsidRPr="00270ACC" w:rsidRDefault="093E8DD3" w:rsidP="00270ACC">
            <w:pPr>
              <w:numPr>
                <w:ilvl w:val="0"/>
                <w:numId w:val="7"/>
              </w:numPr>
              <w:spacing w:before="60" w:after="0" w:line="240" w:lineRule="auto"/>
              <w:ind w:left="67" w:hanging="140"/>
              <w:jc w:val="left"/>
              <w:rPr>
                <w:rFonts w:eastAsia="Arial TUR" w:cs="Arial"/>
                <w:sz w:val="16"/>
                <w:szCs w:val="16"/>
                <w:lang w:eastAsia="en-US"/>
              </w:rPr>
            </w:pPr>
            <w:r w:rsidRPr="00270ACC">
              <w:rPr>
                <w:rFonts w:cs="Arial"/>
                <w:sz w:val="16"/>
                <w:szCs w:val="16"/>
              </w:rPr>
              <w:t>Emergency Plans</w:t>
            </w:r>
          </w:p>
          <w:p w14:paraId="1FF3E357" w14:textId="77777777" w:rsidR="00682EC4" w:rsidRPr="00270ACC" w:rsidRDefault="093E8DD3" w:rsidP="00270ACC">
            <w:pPr>
              <w:numPr>
                <w:ilvl w:val="0"/>
                <w:numId w:val="7"/>
              </w:numPr>
              <w:spacing w:before="60" w:after="0" w:line="240" w:lineRule="auto"/>
              <w:ind w:left="67" w:hanging="140"/>
              <w:jc w:val="left"/>
              <w:rPr>
                <w:rFonts w:eastAsia="Arial TUR" w:cs="Arial"/>
                <w:sz w:val="16"/>
                <w:szCs w:val="16"/>
                <w:lang w:eastAsia="en-US"/>
              </w:rPr>
            </w:pPr>
            <w:r w:rsidRPr="00270ACC">
              <w:rPr>
                <w:rFonts w:eastAsia="Calibri" w:cs="Arial"/>
                <w:sz w:val="16"/>
                <w:szCs w:val="16"/>
                <w:lang w:eastAsia="en-US"/>
              </w:rPr>
              <w:t>Accident records</w:t>
            </w:r>
          </w:p>
        </w:tc>
        <w:tc>
          <w:tcPr>
            <w:tcW w:w="2126" w:type="dxa"/>
          </w:tcPr>
          <w:p w14:paraId="6A653AF9" w14:textId="074FDCBC" w:rsidR="00682EC4" w:rsidRPr="00270ACC" w:rsidRDefault="00682EC4"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 xml:space="preserve">The targets are expressed numerically in </w:t>
            </w:r>
            <w:r w:rsidRPr="00270ACC">
              <w:rPr>
                <w:rFonts w:cs="Arial"/>
                <w:noProof w:val="0"/>
                <w:color w:val="000000"/>
                <w:sz w:val="16"/>
                <w:szCs w:val="16"/>
              </w:rPr>
              <w:fldChar w:fldCharType="begin"/>
            </w:r>
            <w:r w:rsidRPr="00270ACC">
              <w:rPr>
                <w:rFonts w:cs="Arial"/>
                <w:noProof w:val="0"/>
                <w:color w:val="000000"/>
                <w:sz w:val="16"/>
                <w:szCs w:val="16"/>
              </w:rPr>
              <w:instrText xml:space="preserve"> REF _Ref93497815 \h  \* MERGEFORMAT </w:instrText>
            </w:r>
            <w:r w:rsidRPr="00270ACC">
              <w:rPr>
                <w:rFonts w:cs="Arial"/>
                <w:noProof w:val="0"/>
                <w:color w:val="000000"/>
                <w:sz w:val="16"/>
                <w:szCs w:val="16"/>
              </w:rPr>
            </w:r>
            <w:r w:rsidRPr="00270ACC">
              <w:rPr>
                <w:rFonts w:cs="Arial"/>
                <w:noProof w:val="0"/>
                <w:color w:val="000000"/>
                <w:sz w:val="16"/>
                <w:szCs w:val="16"/>
              </w:rPr>
              <w:fldChar w:fldCharType="separate"/>
            </w:r>
            <w:r w:rsidR="00CE3B94" w:rsidRPr="00270ACC">
              <w:rPr>
                <w:rFonts w:cs="Arial"/>
                <w:noProof w:val="0"/>
                <w:color w:val="000000"/>
                <w:sz w:val="16"/>
                <w:szCs w:val="16"/>
              </w:rPr>
              <w:t>Table 9</w:t>
            </w:r>
            <w:r w:rsidR="00CE3B94" w:rsidRPr="00270ACC">
              <w:rPr>
                <w:rFonts w:cs="Arial"/>
                <w:noProof w:val="0"/>
                <w:color w:val="000000"/>
                <w:sz w:val="16"/>
                <w:szCs w:val="16"/>
              </w:rPr>
              <w:noBreakHyphen/>
              <w:t>1</w:t>
            </w:r>
            <w:r w:rsidRPr="00270ACC">
              <w:rPr>
                <w:rFonts w:cs="Arial"/>
                <w:noProof w:val="0"/>
                <w:color w:val="000000"/>
                <w:sz w:val="16"/>
                <w:szCs w:val="16"/>
              </w:rPr>
              <w:fldChar w:fldCharType="end"/>
            </w:r>
            <w:r w:rsidRPr="00270ACC">
              <w:rPr>
                <w:rFonts w:cs="Arial"/>
                <w:noProof w:val="0"/>
                <w:color w:val="000000"/>
                <w:sz w:val="16"/>
                <w:szCs w:val="16"/>
              </w:rPr>
              <w:t>.</w:t>
            </w:r>
          </w:p>
        </w:tc>
        <w:tc>
          <w:tcPr>
            <w:tcW w:w="2074" w:type="dxa"/>
          </w:tcPr>
          <w:p w14:paraId="48944F67" w14:textId="77777777" w:rsidR="00682EC4" w:rsidRPr="00270ACC" w:rsidRDefault="093E8DD3" w:rsidP="00270ACC">
            <w:pPr>
              <w:numPr>
                <w:ilvl w:val="0"/>
                <w:numId w:val="7"/>
              </w:numPr>
              <w:spacing w:before="60" w:after="0" w:line="240" w:lineRule="auto"/>
              <w:ind w:left="92" w:hanging="182"/>
              <w:jc w:val="left"/>
              <w:rPr>
                <w:rFonts w:cs="Arial"/>
                <w:sz w:val="16"/>
                <w:szCs w:val="16"/>
              </w:rPr>
            </w:pPr>
            <w:r w:rsidRPr="00270ACC">
              <w:rPr>
                <w:rFonts w:cs="Arial"/>
                <w:color w:val="000000" w:themeColor="text1"/>
                <w:sz w:val="16"/>
                <w:szCs w:val="16"/>
              </w:rPr>
              <w:t>Occupational Health and Safety Law</w:t>
            </w:r>
          </w:p>
          <w:p w14:paraId="7CB7004D" w14:textId="77777777" w:rsidR="00682EC4" w:rsidRPr="00270ACC" w:rsidRDefault="093E8DD3" w:rsidP="00270ACC">
            <w:pPr>
              <w:numPr>
                <w:ilvl w:val="0"/>
                <w:numId w:val="7"/>
              </w:numPr>
              <w:spacing w:before="60" w:after="0" w:line="240" w:lineRule="auto"/>
              <w:ind w:left="92" w:hanging="182"/>
              <w:jc w:val="left"/>
              <w:rPr>
                <w:rFonts w:cs="Arial"/>
                <w:color w:val="000000"/>
                <w:sz w:val="16"/>
                <w:szCs w:val="16"/>
              </w:rPr>
            </w:pPr>
            <w:r w:rsidRPr="00270ACC">
              <w:rPr>
                <w:rFonts w:cs="Arial"/>
                <w:color w:val="000000" w:themeColor="text1"/>
                <w:sz w:val="16"/>
                <w:szCs w:val="16"/>
              </w:rPr>
              <w:t>Regulation on Emergency Responses at Workplaces</w:t>
            </w:r>
          </w:p>
          <w:p w14:paraId="13937AAB" w14:textId="77777777" w:rsidR="00682EC4" w:rsidRPr="00270ACC" w:rsidRDefault="093E8DD3" w:rsidP="00270ACC">
            <w:pPr>
              <w:numPr>
                <w:ilvl w:val="0"/>
                <w:numId w:val="7"/>
              </w:numPr>
              <w:spacing w:before="60" w:after="0" w:line="240" w:lineRule="auto"/>
              <w:ind w:left="92" w:hanging="182"/>
              <w:jc w:val="left"/>
              <w:rPr>
                <w:rFonts w:cs="Arial"/>
                <w:color w:val="000000"/>
                <w:sz w:val="16"/>
                <w:szCs w:val="16"/>
              </w:rPr>
            </w:pPr>
            <w:r w:rsidRPr="00270ACC">
              <w:rPr>
                <w:rFonts w:cs="Arial"/>
                <w:color w:val="000000" w:themeColor="text1"/>
                <w:sz w:val="16"/>
                <w:szCs w:val="16"/>
              </w:rPr>
              <w:t>Regulation on Fire Protection of Buildings</w:t>
            </w:r>
          </w:p>
          <w:p w14:paraId="1BD5ACCB" w14:textId="77777777" w:rsidR="00682EC4" w:rsidRPr="00270ACC" w:rsidRDefault="093E8DD3" w:rsidP="00270ACC">
            <w:pPr>
              <w:numPr>
                <w:ilvl w:val="0"/>
                <w:numId w:val="7"/>
              </w:numPr>
              <w:spacing w:before="60" w:after="0" w:line="240" w:lineRule="auto"/>
              <w:ind w:left="92" w:hanging="182"/>
              <w:jc w:val="left"/>
              <w:rPr>
                <w:rFonts w:cs="Arial"/>
                <w:color w:val="000000"/>
                <w:sz w:val="16"/>
                <w:szCs w:val="16"/>
              </w:rPr>
            </w:pPr>
            <w:r w:rsidRPr="00270ACC">
              <w:rPr>
                <w:rFonts w:cs="Arial"/>
                <w:color w:val="000000" w:themeColor="text1"/>
                <w:sz w:val="16"/>
                <w:szCs w:val="16"/>
              </w:rPr>
              <w:t>Regulation on Health and Safety Signs</w:t>
            </w:r>
          </w:p>
          <w:p w14:paraId="6F52A3D6" w14:textId="77777777" w:rsidR="00682EC4" w:rsidRPr="00270ACC" w:rsidRDefault="093E8DD3" w:rsidP="00270ACC">
            <w:pPr>
              <w:numPr>
                <w:ilvl w:val="0"/>
                <w:numId w:val="7"/>
              </w:numPr>
              <w:spacing w:before="60" w:after="0" w:line="240" w:lineRule="auto"/>
              <w:ind w:left="92" w:hanging="182"/>
              <w:jc w:val="left"/>
              <w:rPr>
                <w:rFonts w:cs="Arial"/>
                <w:color w:val="000000"/>
                <w:sz w:val="16"/>
                <w:szCs w:val="16"/>
              </w:rPr>
            </w:pPr>
            <w:r w:rsidRPr="00270ACC">
              <w:rPr>
                <w:rFonts w:cs="Arial"/>
                <w:color w:val="000000" w:themeColor="text1"/>
                <w:sz w:val="16"/>
                <w:szCs w:val="16"/>
              </w:rPr>
              <w:t>Regulation on Occupational Health and Safety Risk Assessment</w:t>
            </w:r>
          </w:p>
          <w:p w14:paraId="50643C81" w14:textId="77777777" w:rsidR="00682EC4" w:rsidRPr="00270ACC" w:rsidRDefault="093E8DD3" w:rsidP="00270ACC">
            <w:pPr>
              <w:numPr>
                <w:ilvl w:val="0"/>
                <w:numId w:val="7"/>
              </w:numPr>
              <w:spacing w:before="60" w:after="0" w:line="240" w:lineRule="auto"/>
              <w:ind w:left="92" w:hanging="182"/>
              <w:jc w:val="left"/>
              <w:rPr>
                <w:rFonts w:cs="Arial"/>
                <w:color w:val="000000"/>
                <w:sz w:val="16"/>
                <w:szCs w:val="16"/>
              </w:rPr>
            </w:pPr>
            <w:r w:rsidRPr="00270ACC">
              <w:rPr>
                <w:rFonts w:cs="Arial"/>
                <w:color w:val="000000" w:themeColor="text1"/>
                <w:sz w:val="16"/>
                <w:szCs w:val="16"/>
              </w:rPr>
              <w:t>Regulation on Occupational Hygiene Measurement, Test, and Analysis Laboratories</w:t>
            </w:r>
          </w:p>
          <w:p w14:paraId="30721321" w14:textId="77777777" w:rsidR="00682EC4" w:rsidRPr="00270ACC" w:rsidRDefault="093E8DD3" w:rsidP="00270ACC">
            <w:pPr>
              <w:numPr>
                <w:ilvl w:val="0"/>
                <w:numId w:val="7"/>
              </w:numPr>
              <w:spacing w:before="60" w:after="0" w:line="240" w:lineRule="auto"/>
              <w:ind w:left="92" w:hanging="182"/>
              <w:jc w:val="left"/>
              <w:rPr>
                <w:rFonts w:cs="Arial"/>
                <w:color w:val="000000"/>
                <w:sz w:val="16"/>
                <w:szCs w:val="16"/>
              </w:rPr>
            </w:pPr>
            <w:r w:rsidRPr="00270ACC">
              <w:rPr>
                <w:rFonts w:cs="Arial"/>
                <w:color w:val="000000" w:themeColor="text1"/>
                <w:sz w:val="16"/>
                <w:szCs w:val="16"/>
              </w:rPr>
              <w:t>Regulation on the Health and Safety Measures to be Taken in the Workplace Buildings</w:t>
            </w:r>
          </w:p>
          <w:p w14:paraId="2354B2E8" w14:textId="77777777" w:rsidR="00682EC4" w:rsidRPr="00270ACC" w:rsidRDefault="093E8DD3" w:rsidP="00270ACC">
            <w:pPr>
              <w:numPr>
                <w:ilvl w:val="0"/>
                <w:numId w:val="7"/>
              </w:numPr>
              <w:spacing w:before="60" w:after="0" w:line="240" w:lineRule="auto"/>
              <w:ind w:left="92" w:hanging="182"/>
              <w:jc w:val="left"/>
              <w:rPr>
                <w:rFonts w:cs="Arial"/>
                <w:color w:val="000000"/>
                <w:sz w:val="16"/>
                <w:szCs w:val="16"/>
              </w:rPr>
            </w:pPr>
            <w:r w:rsidRPr="00270ACC">
              <w:rPr>
                <w:rFonts w:cs="Arial"/>
                <w:color w:val="000000" w:themeColor="text1"/>
                <w:sz w:val="16"/>
                <w:szCs w:val="16"/>
              </w:rPr>
              <w:t>Regulation on First Aid</w:t>
            </w:r>
          </w:p>
          <w:p w14:paraId="03602090" w14:textId="77777777" w:rsidR="00682EC4" w:rsidRPr="00270ACC" w:rsidRDefault="093E8DD3" w:rsidP="00270ACC">
            <w:pPr>
              <w:numPr>
                <w:ilvl w:val="0"/>
                <w:numId w:val="7"/>
              </w:numPr>
              <w:spacing w:before="60" w:after="0" w:line="240" w:lineRule="auto"/>
              <w:ind w:left="92" w:hanging="182"/>
              <w:jc w:val="left"/>
              <w:rPr>
                <w:rFonts w:cs="Arial"/>
                <w:color w:val="000000"/>
                <w:sz w:val="16"/>
                <w:szCs w:val="16"/>
              </w:rPr>
            </w:pPr>
            <w:r w:rsidRPr="00270ACC">
              <w:rPr>
                <w:rFonts w:cs="Arial"/>
                <w:color w:val="000000" w:themeColor="text1"/>
                <w:sz w:val="16"/>
                <w:szCs w:val="16"/>
              </w:rPr>
              <w:t>Regulation on Procedures and Principles of Occupational Health and Safety Training of Employees</w:t>
            </w:r>
          </w:p>
          <w:p w14:paraId="19CDE338" w14:textId="77777777" w:rsidR="00682EC4" w:rsidRPr="00270ACC" w:rsidRDefault="093E8DD3" w:rsidP="00270ACC">
            <w:pPr>
              <w:numPr>
                <w:ilvl w:val="0"/>
                <w:numId w:val="7"/>
              </w:numPr>
              <w:spacing w:before="60" w:after="0" w:line="240" w:lineRule="auto"/>
              <w:ind w:left="92" w:hanging="182"/>
              <w:jc w:val="left"/>
              <w:rPr>
                <w:rFonts w:cs="Arial"/>
                <w:color w:val="000000"/>
                <w:sz w:val="16"/>
                <w:szCs w:val="16"/>
              </w:rPr>
            </w:pPr>
            <w:r w:rsidRPr="00270ACC">
              <w:rPr>
                <w:rFonts w:cs="Arial"/>
                <w:color w:val="000000" w:themeColor="text1"/>
                <w:sz w:val="16"/>
                <w:szCs w:val="16"/>
              </w:rPr>
              <w:t>Regulation on Protection of Employees from Noise-Related Risks</w:t>
            </w:r>
          </w:p>
          <w:p w14:paraId="0A92A9F2" w14:textId="77777777" w:rsidR="00682EC4" w:rsidRPr="00270ACC" w:rsidRDefault="093E8DD3" w:rsidP="00270ACC">
            <w:pPr>
              <w:numPr>
                <w:ilvl w:val="0"/>
                <w:numId w:val="7"/>
              </w:numPr>
              <w:spacing w:before="60" w:after="0" w:line="240" w:lineRule="auto"/>
              <w:ind w:left="92" w:hanging="182"/>
              <w:jc w:val="left"/>
              <w:rPr>
                <w:rFonts w:cs="Arial"/>
                <w:sz w:val="16"/>
                <w:szCs w:val="16"/>
              </w:rPr>
            </w:pPr>
            <w:r w:rsidRPr="00270ACC">
              <w:rPr>
                <w:rFonts w:cs="Arial"/>
                <w:color w:val="000000" w:themeColor="text1"/>
                <w:sz w:val="16"/>
                <w:szCs w:val="16"/>
              </w:rPr>
              <w:t>Regulation on Health and Safety Requirements for the Use of Work Equipment</w:t>
            </w:r>
          </w:p>
        </w:tc>
        <w:tc>
          <w:tcPr>
            <w:tcW w:w="2037" w:type="dxa"/>
          </w:tcPr>
          <w:p w14:paraId="378E7125"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 of scheduled HSE Inspection</w:t>
            </w:r>
          </w:p>
          <w:p w14:paraId="6E97762D"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 of attendance at HSE meetings</w:t>
            </w:r>
          </w:p>
          <w:p w14:paraId="439D7F1A"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 of closing of NCRs</w:t>
            </w:r>
          </w:p>
          <w:p w14:paraId="0C21F1DF"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Reporting safe observations</w:t>
            </w:r>
          </w:p>
          <w:p w14:paraId="0D48C14C"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Reporting unsafe observations</w:t>
            </w:r>
          </w:p>
          <w:p w14:paraId="3B2C2673"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Reporting near misses</w:t>
            </w:r>
          </w:p>
          <w:p w14:paraId="27CBD934"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 of Toolbox attending</w:t>
            </w:r>
          </w:p>
          <w:p w14:paraId="5258680C"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 of Risk Assessment compliance</w:t>
            </w:r>
          </w:p>
          <w:p w14:paraId="249C6B21"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 of Legal Requirements compliance</w:t>
            </w:r>
          </w:p>
          <w:p w14:paraId="1FC69181"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Results of scheduled audits</w:t>
            </w:r>
          </w:p>
          <w:p w14:paraId="1FC8C467"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HSE training carried out to training matrix</w:t>
            </w:r>
          </w:p>
          <w:p w14:paraId="74236248"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 xml:space="preserve"> &gt; 90% of all training to matrix</w:t>
            </w:r>
          </w:p>
          <w:p w14:paraId="0C7E4D36"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 of attendance at scheduled trainings</w:t>
            </w:r>
          </w:p>
          <w:p w14:paraId="6464B734"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 xml:space="preserve">Engagement in HSE program by individual managers and supervisors </w:t>
            </w:r>
          </w:p>
          <w:p w14:paraId="06D534A3" w14:textId="77777777"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Engagement in HSE program by contractor’s</w:t>
            </w:r>
          </w:p>
        </w:tc>
        <w:tc>
          <w:tcPr>
            <w:tcW w:w="1984" w:type="dxa"/>
          </w:tcPr>
          <w:p w14:paraId="3C511686"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No additional costs</w:t>
            </w:r>
          </w:p>
        </w:tc>
        <w:tc>
          <w:tcPr>
            <w:tcW w:w="2687" w:type="dxa"/>
          </w:tcPr>
          <w:p w14:paraId="0DD9ED32" w14:textId="06F6A417" w:rsidR="00682EC4" w:rsidRPr="00270ACC" w:rsidRDefault="00B561CF" w:rsidP="00270ACC">
            <w:pPr>
              <w:spacing w:before="0" w:after="0" w:line="240" w:lineRule="auto"/>
              <w:jc w:val="left"/>
              <w:rPr>
                <w:rFonts w:cs="Arial"/>
                <w:color w:val="000000"/>
                <w:sz w:val="16"/>
                <w:szCs w:val="16"/>
              </w:rPr>
            </w:pPr>
            <w:r w:rsidRPr="00270ACC">
              <w:rPr>
                <w:rFonts w:cs="Arial"/>
                <w:color w:val="000000"/>
                <w:sz w:val="16"/>
                <w:szCs w:val="16"/>
              </w:rPr>
              <w:t>TUIOSB</w:t>
            </w:r>
          </w:p>
          <w:p w14:paraId="7C6D5AD2" w14:textId="56C83BEE" w:rsidR="00682EC4" w:rsidRPr="00270ACC" w:rsidRDefault="00682EC4" w:rsidP="00270ACC">
            <w:pPr>
              <w:spacing w:before="0" w:after="0" w:line="240" w:lineRule="auto"/>
              <w:jc w:val="left"/>
              <w:rPr>
                <w:rFonts w:cs="Arial"/>
                <w:sz w:val="16"/>
                <w:szCs w:val="16"/>
              </w:rPr>
            </w:pPr>
          </w:p>
        </w:tc>
      </w:tr>
      <w:tr w:rsidR="00EB6F28" w:rsidRPr="00270ACC" w14:paraId="294AFA43" w14:textId="77777777" w:rsidTr="00270ACC">
        <w:trPr>
          <w:trHeight w:val="227"/>
        </w:trPr>
        <w:tc>
          <w:tcPr>
            <w:tcW w:w="2122" w:type="dxa"/>
          </w:tcPr>
          <w:p w14:paraId="2784942D" w14:textId="77777777" w:rsidR="00682EC4" w:rsidRPr="00270ACC" w:rsidRDefault="00682EC4" w:rsidP="00270ACC">
            <w:pPr>
              <w:pStyle w:val="BodyText"/>
              <w:keepNext/>
              <w:spacing w:before="40" w:after="40" w:line="240" w:lineRule="auto"/>
              <w:jc w:val="left"/>
              <w:rPr>
                <w:rFonts w:cs="Arial"/>
                <w:noProof w:val="0"/>
                <w:sz w:val="16"/>
                <w:szCs w:val="16"/>
              </w:rPr>
            </w:pPr>
            <w:r w:rsidRPr="00270ACC">
              <w:rPr>
                <w:rFonts w:cs="Arial"/>
                <w:b/>
                <w:bCs/>
                <w:noProof w:val="0"/>
                <w:sz w:val="16"/>
                <w:szCs w:val="16"/>
              </w:rPr>
              <w:lastRenderedPageBreak/>
              <w:t>Community Health &amp; Safety</w:t>
            </w:r>
          </w:p>
        </w:tc>
        <w:tc>
          <w:tcPr>
            <w:tcW w:w="1842" w:type="dxa"/>
          </w:tcPr>
          <w:p w14:paraId="24353C58" w14:textId="77777777" w:rsidR="00682EC4" w:rsidRPr="00270ACC" w:rsidRDefault="00682EC4" w:rsidP="00270ACC">
            <w:pPr>
              <w:keepNext/>
              <w:spacing w:before="0" w:after="0" w:line="240" w:lineRule="auto"/>
              <w:jc w:val="left"/>
              <w:rPr>
                <w:rFonts w:cs="Arial"/>
                <w:color w:val="000000"/>
                <w:sz w:val="16"/>
                <w:szCs w:val="16"/>
              </w:rPr>
            </w:pPr>
            <w:r w:rsidRPr="00270ACC">
              <w:rPr>
                <w:rFonts w:cs="Arial"/>
                <w:color w:val="000000"/>
                <w:sz w:val="16"/>
                <w:szCs w:val="16"/>
              </w:rPr>
              <w:t>Project area</w:t>
            </w:r>
          </w:p>
          <w:p w14:paraId="2958C613" w14:textId="77777777" w:rsidR="00682EC4" w:rsidRPr="00270ACC" w:rsidRDefault="00682EC4" w:rsidP="00270ACC">
            <w:pPr>
              <w:pStyle w:val="BodyText"/>
              <w:keepNext/>
              <w:spacing w:before="40" w:after="40" w:line="240" w:lineRule="auto"/>
              <w:jc w:val="left"/>
              <w:rPr>
                <w:rFonts w:cs="Arial"/>
                <w:noProof w:val="0"/>
                <w:sz w:val="16"/>
                <w:szCs w:val="16"/>
              </w:rPr>
            </w:pPr>
            <w:r w:rsidRPr="00270ACC">
              <w:rPr>
                <w:rFonts w:cs="Arial"/>
                <w:noProof w:val="0"/>
                <w:color w:val="000000"/>
                <w:sz w:val="16"/>
                <w:szCs w:val="16"/>
              </w:rPr>
              <w:t>Residential areas around project area</w:t>
            </w:r>
          </w:p>
        </w:tc>
        <w:tc>
          <w:tcPr>
            <w:tcW w:w="1985" w:type="dxa"/>
          </w:tcPr>
          <w:p w14:paraId="4DB39307" w14:textId="77777777" w:rsidR="00682EC4" w:rsidRPr="00270ACC" w:rsidRDefault="00682EC4" w:rsidP="00270ACC">
            <w:pPr>
              <w:pStyle w:val="BodyText"/>
              <w:keepNext/>
              <w:spacing w:before="40" w:after="40" w:line="240" w:lineRule="auto"/>
              <w:jc w:val="left"/>
              <w:rPr>
                <w:rFonts w:cs="Arial"/>
                <w:noProof w:val="0"/>
                <w:sz w:val="16"/>
                <w:szCs w:val="16"/>
              </w:rPr>
            </w:pPr>
            <w:r w:rsidRPr="00270ACC">
              <w:rPr>
                <w:rFonts w:cs="Arial"/>
                <w:noProof w:val="0"/>
                <w:color w:val="000000"/>
                <w:sz w:val="16"/>
                <w:szCs w:val="16"/>
              </w:rPr>
              <w:t>Monthly</w:t>
            </w:r>
          </w:p>
        </w:tc>
        <w:tc>
          <w:tcPr>
            <w:tcW w:w="2693" w:type="dxa"/>
          </w:tcPr>
          <w:p w14:paraId="7D1C625C" w14:textId="77777777" w:rsidR="00682EC4" w:rsidRPr="00270ACC" w:rsidRDefault="00682EC4" w:rsidP="00270ACC">
            <w:pPr>
              <w:pStyle w:val="BodyText"/>
              <w:keepNext/>
              <w:spacing w:before="40" w:after="40" w:line="240" w:lineRule="auto"/>
              <w:jc w:val="left"/>
              <w:rPr>
                <w:rFonts w:cs="Arial"/>
                <w:noProof w:val="0"/>
                <w:sz w:val="16"/>
                <w:szCs w:val="16"/>
              </w:rPr>
            </w:pPr>
            <w:r w:rsidRPr="00270ACC">
              <w:rPr>
                <w:rFonts w:cs="Arial"/>
                <w:noProof w:val="0"/>
                <w:sz w:val="16"/>
                <w:szCs w:val="16"/>
              </w:rPr>
              <w:t>Grievances</w:t>
            </w:r>
          </w:p>
          <w:p w14:paraId="44F65610" w14:textId="77777777" w:rsidR="00682EC4" w:rsidRPr="00270ACC" w:rsidRDefault="00682EC4" w:rsidP="00270ACC">
            <w:pPr>
              <w:pStyle w:val="BodyText"/>
              <w:keepNext/>
              <w:spacing w:before="40" w:after="40" w:line="240" w:lineRule="auto"/>
              <w:jc w:val="left"/>
              <w:rPr>
                <w:rFonts w:cs="Arial"/>
                <w:noProof w:val="0"/>
                <w:sz w:val="16"/>
                <w:szCs w:val="16"/>
              </w:rPr>
            </w:pPr>
            <w:r w:rsidRPr="00270ACC">
              <w:rPr>
                <w:rFonts w:cs="Arial"/>
                <w:noProof w:val="0"/>
                <w:sz w:val="16"/>
                <w:szCs w:val="16"/>
              </w:rPr>
              <w:t>Incidents</w:t>
            </w:r>
          </w:p>
          <w:p w14:paraId="39507A5B" w14:textId="77777777" w:rsidR="00682EC4" w:rsidRPr="00270ACC" w:rsidRDefault="00682EC4" w:rsidP="00270ACC">
            <w:pPr>
              <w:pStyle w:val="BodyText"/>
              <w:keepNext/>
              <w:spacing w:before="40" w:after="40" w:line="240" w:lineRule="auto"/>
              <w:jc w:val="left"/>
              <w:rPr>
                <w:rFonts w:cs="Arial"/>
                <w:noProof w:val="0"/>
                <w:sz w:val="16"/>
                <w:szCs w:val="16"/>
              </w:rPr>
            </w:pPr>
            <w:r w:rsidRPr="00270ACC">
              <w:rPr>
                <w:rFonts w:cs="Arial"/>
                <w:noProof w:val="0"/>
                <w:sz w:val="16"/>
                <w:szCs w:val="16"/>
              </w:rPr>
              <w:t>Accidents</w:t>
            </w:r>
          </w:p>
        </w:tc>
        <w:tc>
          <w:tcPr>
            <w:tcW w:w="1418" w:type="dxa"/>
          </w:tcPr>
          <w:p w14:paraId="5F72C707" w14:textId="77777777" w:rsidR="00682EC4" w:rsidRPr="00270ACC" w:rsidRDefault="093E8DD3" w:rsidP="00270ACC">
            <w:pPr>
              <w:keepNext/>
              <w:numPr>
                <w:ilvl w:val="0"/>
                <w:numId w:val="7"/>
              </w:numPr>
              <w:spacing w:before="60" w:after="0" w:line="240" w:lineRule="auto"/>
              <w:ind w:left="95" w:hanging="140"/>
              <w:jc w:val="left"/>
              <w:rPr>
                <w:rFonts w:cs="Arial"/>
                <w:color w:val="000000"/>
                <w:sz w:val="16"/>
                <w:szCs w:val="16"/>
              </w:rPr>
            </w:pPr>
            <w:r w:rsidRPr="00270ACC">
              <w:rPr>
                <w:rFonts w:cs="Arial"/>
                <w:color w:val="000000" w:themeColor="text1"/>
                <w:sz w:val="16"/>
                <w:szCs w:val="16"/>
              </w:rPr>
              <w:t>Records of comments/ suggestions/ grievances</w:t>
            </w:r>
          </w:p>
          <w:p w14:paraId="514A4CCE" w14:textId="77777777" w:rsidR="00682EC4" w:rsidRPr="00270ACC" w:rsidRDefault="093E8DD3" w:rsidP="00270ACC">
            <w:pPr>
              <w:keepNext/>
              <w:numPr>
                <w:ilvl w:val="0"/>
                <w:numId w:val="7"/>
              </w:numPr>
              <w:spacing w:before="60" w:after="0" w:line="240" w:lineRule="auto"/>
              <w:ind w:left="123" w:hanging="196"/>
              <w:jc w:val="left"/>
              <w:rPr>
                <w:rFonts w:cs="Arial"/>
                <w:sz w:val="16"/>
                <w:szCs w:val="16"/>
              </w:rPr>
            </w:pPr>
            <w:r w:rsidRPr="00270ACC">
              <w:rPr>
                <w:rFonts w:cs="Arial"/>
                <w:color w:val="000000" w:themeColor="text1"/>
                <w:sz w:val="16"/>
                <w:szCs w:val="16"/>
              </w:rPr>
              <w:t>Site Audits</w:t>
            </w:r>
          </w:p>
          <w:p w14:paraId="2A715EF1" w14:textId="77777777" w:rsidR="00682EC4" w:rsidRPr="00270ACC" w:rsidRDefault="093E8DD3" w:rsidP="00270ACC">
            <w:pPr>
              <w:keepNext/>
              <w:numPr>
                <w:ilvl w:val="0"/>
                <w:numId w:val="7"/>
              </w:numPr>
              <w:spacing w:before="60" w:after="0" w:line="240" w:lineRule="auto"/>
              <w:ind w:left="123" w:hanging="196"/>
              <w:jc w:val="left"/>
              <w:rPr>
                <w:rFonts w:cs="Arial"/>
                <w:sz w:val="16"/>
                <w:szCs w:val="16"/>
              </w:rPr>
            </w:pPr>
            <w:r w:rsidRPr="00270ACC">
              <w:rPr>
                <w:rFonts w:cs="Arial"/>
                <w:color w:val="000000" w:themeColor="text1"/>
                <w:sz w:val="16"/>
                <w:szCs w:val="16"/>
              </w:rPr>
              <w:t>Training records</w:t>
            </w:r>
          </w:p>
        </w:tc>
        <w:tc>
          <w:tcPr>
            <w:tcW w:w="2126" w:type="dxa"/>
          </w:tcPr>
          <w:p w14:paraId="5A5410CD" w14:textId="77777777" w:rsidR="00682EC4" w:rsidRPr="00270ACC" w:rsidRDefault="00682EC4" w:rsidP="00270ACC">
            <w:pPr>
              <w:pStyle w:val="BodyText"/>
              <w:keepNext/>
              <w:spacing w:before="40" w:after="40" w:line="240" w:lineRule="auto"/>
              <w:jc w:val="left"/>
              <w:rPr>
                <w:rFonts w:cs="Arial"/>
                <w:noProof w:val="0"/>
                <w:sz w:val="16"/>
                <w:szCs w:val="16"/>
              </w:rPr>
            </w:pPr>
            <w:r w:rsidRPr="00270ACC">
              <w:rPr>
                <w:rFonts w:cs="Arial"/>
                <w:noProof w:val="0"/>
                <w:sz w:val="16"/>
                <w:szCs w:val="16"/>
              </w:rPr>
              <w:t>No significant increase in communicable and non-communicable disease and injury rates per 1,000 residents per annum.</w:t>
            </w:r>
          </w:p>
          <w:p w14:paraId="66156CBA" w14:textId="77777777" w:rsidR="00682EC4" w:rsidRPr="00270ACC" w:rsidRDefault="00682EC4" w:rsidP="00270ACC">
            <w:pPr>
              <w:pStyle w:val="BodyText"/>
              <w:keepNext/>
              <w:spacing w:before="40" w:after="40" w:line="240" w:lineRule="auto"/>
              <w:jc w:val="left"/>
              <w:rPr>
                <w:rFonts w:cs="Arial"/>
                <w:noProof w:val="0"/>
                <w:sz w:val="16"/>
                <w:szCs w:val="16"/>
              </w:rPr>
            </w:pPr>
            <w:r w:rsidRPr="00270ACC">
              <w:rPr>
                <w:rFonts w:cs="Arial"/>
                <w:noProof w:val="0"/>
                <w:sz w:val="16"/>
                <w:szCs w:val="16"/>
              </w:rPr>
              <w:t>Decreasing number/ continuous improvement in number of complaints</w:t>
            </w:r>
          </w:p>
          <w:p w14:paraId="5EF8F6C2" w14:textId="77777777" w:rsidR="00682EC4" w:rsidRPr="00270ACC" w:rsidRDefault="00682EC4" w:rsidP="00270ACC">
            <w:pPr>
              <w:pStyle w:val="BodyText"/>
              <w:keepNext/>
              <w:spacing w:before="40" w:after="40" w:line="240" w:lineRule="auto"/>
              <w:jc w:val="left"/>
              <w:rPr>
                <w:rFonts w:cs="Arial"/>
                <w:noProof w:val="0"/>
                <w:sz w:val="16"/>
                <w:szCs w:val="16"/>
              </w:rPr>
            </w:pPr>
            <w:r w:rsidRPr="00270ACC">
              <w:rPr>
                <w:rFonts w:cs="Arial"/>
                <w:noProof w:val="0"/>
                <w:sz w:val="16"/>
                <w:szCs w:val="16"/>
              </w:rPr>
              <w:t>Zero incidents per year</w:t>
            </w:r>
          </w:p>
          <w:p w14:paraId="101F4C7E" w14:textId="77777777" w:rsidR="00682EC4" w:rsidRPr="00270ACC" w:rsidRDefault="00682EC4" w:rsidP="00270ACC">
            <w:pPr>
              <w:pStyle w:val="BodyText"/>
              <w:keepNext/>
              <w:spacing w:before="40" w:after="40" w:line="240" w:lineRule="auto"/>
              <w:jc w:val="left"/>
              <w:rPr>
                <w:rFonts w:cs="Arial"/>
                <w:noProof w:val="0"/>
                <w:sz w:val="16"/>
                <w:szCs w:val="16"/>
              </w:rPr>
            </w:pPr>
          </w:p>
        </w:tc>
        <w:tc>
          <w:tcPr>
            <w:tcW w:w="2074" w:type="dxa"/>
          </w:tcPr>
          <w:p w14:paraId="1BC6335A" w14:textId="77777777" w:rsidR="00682EC4" w:rsidRPr="00270ACC" w:rsidRDefault="093E8DD3" w:rsidP="00270ACC">
            <w:pPr>
              <w:keepNext/>
              <w:numPr>
                <w:ilvl w:val="0"/>
                <w:numId w:val="7"/>
              </w:numPr>
              <w:spacing w:before="60" w:after="0" w:line="240" w:lineRule="auto"/>
              <w:ind w:left="92" w:hanging="182"/>
              <w:jc w:val="left"/>
              <w:rPr>
                <w:rFonts w:cs="Arial"/>
                <w:sz w:val="16"/>
                <w:szCs w:val="16"/>
              </w:rPr>
            </w:pPr>
            <w:r w:rsidRPr="00270ACC">
              <w:rPr>
                <w:rFonts w:cs="Arial"/>
                <w:color w:val="000000" w:themeColor="text1"/>
                <w:sz w:val="16"/>
                <w:szCs w:val="16"/>
              </w:rPr>
              <w:t>Public Health Law</w:t>
            </w:r>
          </w:p>
          <w:p w14:paraId="1DACB24E" w14:textId="77777777" w:rsidR="00682EC4" w:rsidRPr="00270ACC" w:rsidRDefault="093E8DD3" w:rsidP="00270ACC">
            <w:pPr>
              <w:keepNext/>
              <w:numPr>
                <w:ilvl w:val="0"/>
                <w:numId w:val="7"/>
              </w:numPr>
              <w:spacing w:before="60" w:after="0" w:line="240" w:lineRule="auto"/>
              <w:ind w:left="92" w:hanging="182"/>
              <w:jc w:val="left"/>
              <w:rPr>
                <w:rFonts w:cs="Arial"/>
                <w:sz w:val="16"/>
                <w:szCs w:val="16"/>
              </w:rPr>
            </w:pPr>
            <w:r w:rsidRPr="00270ACC">
              <w:rPr>
                <w:rFonts w:cs="Arial"/>
                <w:color w:val="000000" w:themeColor="text1"/>
                <w:sz w:val="16"/>
                <w:szCs w:val="16"/>
              </w:rPr>
              <w:t>Health and Safety Signs Regulation</w:t>
            </w:r>
          </w:p>
        </w:tc>
        <w:tc>
          <w:tcPr>
            <w:tcW w:w="2037" w:type="dxa"/>
          </w:tcPr>
          <w:p w14:paraId="05410D11" w14:textId="7F0DF44E" w:rsidR="00682EC4" w:rsidRPr="00270ACC" w:rsidRDefault="008E6D9D"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Minimum n</w:t>
            </w:r>
            <w:r w:rsidR="093E8DD3" w:rsidRPr="00270ACC">
              <w:rPr>
                <w:rFonts w:cs="Arial"/>
                <w:color w:val="000000" w:themeColor="text1"/>
                <w:sz w:val="16"/>
                <w:szCs w:val="16"/>
                <w:lang w:eastAsia="tr-TR"/>
              </w:rPr>
              <w:t>umber of communicable and non-communicable diseases and injuries.</w:t>
            </w:r>
          </w:p>
          <w:p w14:paraId="2B9EF787" w14:textId="55624421" w:rsidR="00682EC4" w:rsidRPr="00270ACC" w:rsidRDefault="008E6D9D"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Minimum n</w:t>
            </w:r>
            <w:r w:rsidR="093E8DD3" w:rsidRPr="00270ACC">
              <w:rPr>
                <w:rFonts w:cs="Arial"/>
                <w:color w:val="000000" w:themeColor="text1"/>
                <w:sz w:val="16"/>
                <w:szCs w:val="16"/>
                <w:lang w:eastAsia="tr-TR"/>
              </w:rPr>
              <w:t>umber of community health safety &amp; security complaints from local communities as recorded in the grievance management system.</w:t>
            </w:r>
          </w:p>
          <w:p w14:paraId="0C8AD248" w14:textId="35DC8021" w:rsidR="00682EC4" w:rsidRPr="00270ACC" w:rsidRDefault="008E6D9D"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Minimum n</w:t>
            </w:r>
            <w:r w:rsidR="093E8DD3" w:rsidRPr="00270ACC">
              <w:rPr>
                <w:rFonts w:cs="Arial"/>
                <w:color w:val="000000" w:themeColor="text1"/>
                <w:sz w:val="16"/>
                <w:szCs w:val="16"/>
                <w:lang w:eastAsia="tr-TR"/>
              </w:rPr>
              <w:t>umber of reported community health &amp; safety incidents</w:t>
            </w:r>
          </w:p>
          <w:p w14:paraId="44B1DEA3" w14:textId="672C392B" w:rsidR="00682EC4" w:rsidRPr="00270ACC" w:rsidRDefault="006C298E"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Minimum n</w:t>
            </w:r>
            <w:r w:rsidR="093E8DD3" w:rsidRPr="00270ACC">
              <w:rPr>
                <w:rFonts w:cs="Arial"/>
                <w:color w:val="000000" w:themeColor="text1"/>
                <w:sz w:val="16"/>
                <w:szCs w:val="16"/>
                <w:lang w:eastAsia="tr-TR"/>
              </w:rPr>
              <w:t>umber of reported noise incidents</w:t>
            </w:r>
          </w:p>
        </w:tc>
        <w:tc>
          <w:tcPr>
            <w:tcW w:w="1984" w:type="dxa"/>
          </w:tcPr>
          <w:p w14:paraId="76B6DBD1" w14:textId="77777777" w:rsidR="00682EC4" w:rsidRPr="00270ACC" w:rsidRDefault="00682EC4" w:rsidP="00270ACC">
            <w:pPr>
              <w:pStyle w:val="BodyText"/>
              <w:keepNext/>
              <w:spacing w:before="40" w:after="40" w:line="240" w:lineRule="auto"/>
              <w:jc w:val="left"/>
              <w:rPr>
                <w:rFonts w:cs="Arial"/>
                <w:noProof w:val="0"/>
                <w:sz w:val="16"/>
                <w:szCs w:val="16"/>
              </w:rPr>
            </w:pPr>
            <w:r w:rsidRPr="00270ACC">
              <w:rPr>
                <w:rFonts w:cs="Arial"/>
                <w:noProof w:val="0"/>
                <w:color w:val="000000"/>
                <w:sz w:val="16"/>
                <w:szCs w:val="16"/>
              </w:rPr>
              <w:t>No additional costs</w:t>
            </w:r>
          </w:p>
        </w:tc>
        <w:tc>
          <w:tcPr>
            <w:tcW w:w="2687" w:type="dxa"/>
          </w:tcPr>
          <w:p w14:paraId="601BE180" w14:textId="3FB058A6" w:rsidR="00682EC4" w:rsidRPr="00270ACC" w:rsidRDefault="00B561CF" w:rsidP="00270ACC">
            <w:pPr>
              <w:keepNext/>
              <w:spacing w:before="0" w:after="0" w:line="240" w:lineRule="auto"/>
              <w:jc w:val="left"/>
              <w:rPr>
                <w:rFonts w:cs="Arial"/>
                <w:color w:val="000000"/>
                <w:sz w:val="16"/>
                <w:szCs w:val="16"/>
              </w:rPr>
            </w:pPr>
            <w:r w:rsidRPr="00270ACC">
              <w:rPr>
                <w:rFonts w:cs="Arial"/>
                <w:color w:val="000000"/>
                <w:sz w:val="16"/>
                <w:szCs w:val="16"/>
              </w:rPr>
              <w:t>TUIOSB</w:t>
            </w:r>
          </w:p>
          <w:p w14:paraId="24ECBE3D" w14:textId="77777777" w:rsidR="00682EC4" w:rsidRPr="00270ACC" w:rsidRDefault="00682EC4" w:rsidP="00270ACC">
            <w:pPr>
              <w:keepNext/>
              <w:spacing w:before="0" w:after="0" w:line="240" w:lineRule="auto"/>
              <w:jc w:val="left"/>
              <w:rPr>
                <w:rFonts w:cs="Arial"/>
                <w:sz w:val="16"/>
                <w:szCs w:val="16"/>
              </w:rPr>
            </w:pPr>
          </w:p>
        </w:tc>
      </w:tr>
      <w:tr w:rsidR="00EB6F28" w:rsidRPr="00270ACC" w14:paraId="4DC08945" w14:textId="77777777" w:rsidTr="00270ACC">
        <w:trPr>
          <w:trHeight w:val="227"/>
        </w:trPr>
        <w:tc>
          <w:tcPr>
            <w:tcW w:w="2122" w:type="dxa"/>
          </w:tcPr>
          <w:p w14:paraId="3C6F967C"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b/>
                <w:bCs/>
                <w:noProof w:val="0"/>
                <w:sz w:val="16"/>
                <w:szCs w:val="16"/>
              </w:rPr>
              <w:t>Documentation</w:t>
            </w:r>
            <w:r w:rsidRPr="00270ACC" w:rsidDel="008E1EC9">
              <w:rPr>
                <w:rFonts w:cs="Arial"/>
                <w:noProof w:val="0"/>
                <w:sz w:val="16"/>
                <w:szCs w:val="16"/>
              </w:rPr>
              <w:t xml:space="preserve"> </w:t>
            </w:r>
          </w:p>
        </w:tc>
        <w:tc>
          <w:tcPr>
            <w:tcW w:w="1842" w:type="dxa"/>
          </w:tcPr>
          <w:p w14:paraId="1FECEB17"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Project area</w:t>
            </w:r>
          </w:p>
        </w:tc>
        <w:tc>
          <w:tcPr>
            <w:tcW w:w="1985" w:type="dxa"/>
          </w:tcPr>
          <w:p w14:paraId="5F03953D" w14:textId="269A15E4"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 xml:space="preserve">The arrangements and measures made at the site and the situations encountered will be reported to the Project </w:t>
            </w:r>
            <w:r w:rsidR="004622CD" w:rsidRPr="00270ACC">
              <w:rPr>
                <w:rFonts w:cs="Arial"/>
                <w:noProof w:val="0"/>
                <w:color w:val="000000"/>
                <w:sz w:val="16"/>
                <w:szCs w:val="16"/>
              </w:rPr>
              <w:t xml:space="preserve">ESPRs </w:t>
            </w:r>
            <w:r w:rsidRPr="00270ACC">
              <w:rPr>
                <w:rFonts w:cs="Arial"/>
                <w:noProof w:val="0"/>
                <w:color w:val="000000"/>
                <w:sz w:val="16"/>
                <w:szCs w:val="16"/>
              </w:rPr>
              <w:t xml:space="preserve">as monthly period by the contractor during the construction phase together with the Grievance Register. The </w:t>
            </w:r>
            <w:r w:rsidR="00B561CF" w:rsidRPr="00270ACC">
              <w:rPr>
                <w:rFonts w:cs="Arial"/>
                <w:noProof w:val="0"/>
                <w:color w:val="000000"/>
                <w:sz w:val="16"/>
                <w:szCs w:val="16"/>
              </w:rPr>
              <w:t>TUIOSB</w:t>
            </w:r>
            <w:r w:rsidRPr="00270ACC">
              <w:rPr>
                <w:rFonts w:cs="Arial"/>
                <w:noProof w:val="0"/>
                <w:color w:val="000000"/>
                <w:sz w:val="16"/>
                <w:szCs w:val="16"/>
              </w:rPr>
              <w:t xml:space="preserve"> will report ESMRs monthly.</w:t>
            </w:r>
          </w:p>
        </w:tc>
        <w:tc>
          <w:tcPr>
            <w:tcW w:w="2693" w:type="dxa"/>
          </w:tcPr>
          <w:p w14:paraId="278134BB"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N/A</w:t>
            </w:r>
          </w:p>
        </w:tc>
        <w:tc>
          <w:tcPr>
            <w:tcW w:w="1418" w:type="dxa"/>
          </w:tcPr>
          <w:p w14:paraId="22D0AF2B" w14:textId="77777777" w:rsidR="00682EC4" w:rsidRPr="00270ACC" w:rsidRDefault="093E8DD3" w:rsidP="00270ACC">
            <w:pPr>
              <w:numPr>
                <w:ilvl w:val="0"/>
                <w:numId w:val="7"/>
              </w:numPr>
              <w:spacing w:before="60" w:after="0" w:line="240" w:lineRule="auto"/>
              <w:ind w:left="209" w:hanging="180"/>
              <w:jc w:val="left"/>
              <w:rPr>
                <w:rFonts w:cs="Arial"/>
                <w:sz w:val="16"/>
                <w:szCs w:val="16"/>
              </w:rPr>
            </w:pPr>
            <w:r w:rsidRPr="00270ACC">
              <w:rPr>
                <w:rFonts w:cs="Arial"/>
                <w:color w:val="000000" w:themeColor="text1"/>
                <w:sz w:val="16"/>
                <w:szCs w:val="16"/>
              </w:rPr>
              <w:t>On-site inspection</w:t>
            </w:r>
          </w:p>
          <w:p w14:paraId="3ADCD82B" w14:textId="77777777" w:rsidR="00682EC4" w:rsidRPr="00270ACC" w:rsidRDefault="093E8DD3" w:rsidP="00270ACC">
            <w:pPr>
              <w:numPr>
                <w:ilvl w:val="0"/>
                <w:numId w:val="7"/>
              </w:numPr>
              <w:spacing w:before="60" w:after="0" w:line="240" w:lineRule="auto"/>
              <w:ind w:left="209" w:hanging="180"/>
              <w:jc w:val="left"/>
              <w:rPr>
                <w:rFonts w:cs="Arial"/>
                <w:sz w:val="16"/>
                <w:szCs w:val="16"/>
              </w:rPr>
            </w:pPr>
            <w:r w:rsidRPr="00270ACC">
              <w:rPr>
                <w:rFonts w:cs="Arial"/>
                <w:color w:val="000000" w:themeColor="text1"/>
                <w:sz w:val="16"/>
                <w:szCs w:val="16"/>
              </w:rPr>
              <w:t>Record control</w:t>
            </w:r>
          </w:p>
        </w:tc>
        <w:tc>
          <w:tcPr>
            <w:tcW w:w="2126" w:type="dxa"/>
          </w:tcPr>
          <w:p w14:paraId="455DB167"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N/A</w:t>
            </w:r>
          </w:p>
        </w:tc>
        <w:tc>
          <w:tcPr>
            <w:tcW w:w="2074" w:type="dxa"/>
          </w:tcPr>
          <w:p w14:paraId="366B96B5"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WB ESS-10</w:t>
            </w:r>
          </w:p>
        </w:tc>
        <w:tc>
          <w:tcPr>
            <w:tcW w:w="2037" w:type="dxa"/>
          </w:tcPr>
          <w:p w14:paraId="588172DF"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N/A</w:t>
            </w:r>
          </w:p>
        </w:tc>
        <w:tc>
          <w:tcPr>
            <w:tcW w:w="1984" w:type="dxa"/>
          </w:tcPr>
          <w:p w14:paraId="7920BC09"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No additional costs</w:t>
            </w:r>
          </w:p>
        </w:tc>
        <w:tc>
          <w:tcPr>
            <w:tcW w:w="2687" w:type="dxa"/>
          </w:tcPr>
          <w:p w14:paraId="77DA9C1A" w14:textId="6DD6F6D6" w:rsidR="00682EC4" w:rsidRPr="00270ACC" w:rsidRDefault="00B561CF" w:rsidP="00270ACC">
            <w:pPr>
              <w:spacing w:before="0" w:after="0" w:line="240" w:lineRule="auto"/>
              <w:jc w:val="left"/>
              <w:rPr>
                <w:rFonts w:cs="Arial"/>
                <w:color w:val="000000"/>
                <w:sz w:val="16"/>
                <w:szCs w:val="16"/>
              </w:rPr>
            </w:pPr>
            <w:r w:rsidRPr="00270ACC">
              <w:rPr>
                <w:rFonts w:cs="Arial"/>
                <w:color w:val="000000"/>
                <w:sz w:val="16"/>
                <w:szCs w:val="16"/>
              </w:rPr>
              <w:t>TUIOSB</w:t>
            </w:r>
          </w:p>
          <w:p w14:paraId="18A394F2" w14:textId="2AAE274D" w:rsidR="00682EC4" w:rsidRPr="00270ACC" w:rsidRDefault="00682EC4" w:rsidP="00270ACC">
            <w:pPr>
              <w:spacing w:before="0" w:after="0" w:line="240" w:lineRule="auto"/>
              <w:jc w:val="left"/>
              <w:rPr>
                <w:rFonts w:cs="Arial"/>
                <w:color w:val="000000"/>
                <w:sz w:val="16"/>
                <w:szCs w:val="16"/>
              </w:rPr>
            </w:pPr>
          </w:p>
          <w:p w14:paraId="5695D95C" w14:textId="77777777" w:rsidR="00682EC4" w:rsidRPr="00270ACC" w:rsidRDefault="00682EC4" w:rsidP="00270ACC">
            <w:pPr>
              <w:spacing w:before="0" w:after="0" w:line="240" w:lineRule="auto"/>
              <w:jc w:val="left"/>
              <w:rPr>
                <w:rFonts w:cs="Arial"/>
                <w:sz w:val="16"/>
                <w:szCs w:val="16"/>
              </w:rPr>
            </w:pPr>
          </w:p>
        </w:tc>
      </w:tr>
      <w:tr w:rsidR="00EB6F28" w:rsidRPr="00270ACC" w14:paraId="153C9808" w14:textId="77777777" w:rsidTr="00270ACC">
        <w:trPr>
          <w:trHeight w:val="227"/>
        </w:trPr>
        <w:tc>
          <w:tcPr>
            <w:tcW w:w="2122" w:type="dxa"/>
          </w:tcPr>
          <w:p w14:paraId="6E5EF6A7"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b/>
                <w:bCs/>
                <w:noProof w:val="0"/>
                <w:sz w:val="16"/>
                <w:szCs w:val="16"/>
              </w:rPr>
              <w:t>Grievance mechanism</w:t>
            </w:r>
          </w:p>
        </w:tc>
        <w:tc>
          <w:tcPr>
            <w:tcW w:w="1842" w:type="dxa"/>
          </w:tcPr>
          <w:p w14:paraId="4C2955A9" w14:textId="77777777" w:rsidR="00682EC4" w:rsidRPr="00270ACC" w:rsidRDefault="00682EC4" w:rsidP="00270ACC">
            <w:pPr>
              <w:spacing w:before="0" w:after="0" w:line="240" w:lineRule="auto"/>
              <w:jc w:val="left"/>
              <w:rPr>
                <w:rFonts w:cs="Arial"/>
                <w:color w:val="000000"/>
                <w:sz w:val="16"/>
                <w:szCs w:val="16"/>
              </w:rPr>
            </w:pPr>
            <w:r w:rsidRPr="00270ACC">
              <w:rPr>
                <w:rFonts w:cs="Arial"/>
                <w:color w:val="000000"/>
                <w:sz w:val="16"/>
                <w:szCs w:val="16"/>
              </w:rPr>
              <w:t>Project area</w:t>
            </w:r>
          </w:p>
          <w:p w14:paraId="68C80AEF"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Settlements near the project area</w:t>
            </w:r>
          </w:p>
        </w:tc>
        <w:tc>
          <w:tcPr>
            <w:tcW w:w="1985" w:type="dxa"/>
          </w:tcPr>
          <w:p w14:paraId="5D586B28"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Monthly</w:t>
            </w:r>
          </w:p>
        </w:tc>
        <w:tc>
          <w:tcPr>
            <w:tcW w:w="2693" w:type="dxa"/>
          </w:tcPr>
          <w:p w14:paraId="2413D2CC"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sz w:val="16"/>
                <w:szCs w:val="16"/>
              </w:rPr>
              <w:t>Grievance Records</w:t>
            </w:r>
          </w:p>
        </w:tc>
        <w:tc>
          <w:tcPr>
            <w:tcW w:w="1418" w:type="dxa"/>
          </w:tcPr>
          <w:p w14:paraId="278A99DA" w14:textId="77777777" w:rsidR="00682EC4" w:rsidRPr="00270ACC" w:rsidRDefault="093E8DD3" w:rsidP="00270ACC">
            <w:pPr>
              <w:numPr>
                <w:ilvl w:val="0"/>
                <w:numId w:val="7"/>
              </w:numPr>
              <w:spacing w:before="60" w:after="0" w:line="240" w:lineRule="auto"/>
              <w:ind w:left="95" w:hanging="140"/>
              <w:jc w:val="left"/>
              <w:rPr>
                <w:rFonts w:cs="Arial"/>
                <w:sz w:val="16"/>
                <w:szCs w:val="16"/>
              </w:rPr>
            </w:pPr>
            <w:r w:rsidRPr="00270ACC">
              <w:rPr>
                <w:rFonts w:cs="Arial"/>
                <w:color w:val="000000" w:themeColor="text1"/>
                <w:sz w:val="16"/>
                <w:szCs w:val="16"/>
              </w:rPr>
              <w:t>View/suggestion/grievance records</w:t>
            </w:r>
          </w:p>
          <w:p w14:paraId="0B3D0D73" w14:textId="77777777" w:rsidR="00682EC4" w:rsidRPr="00270ACC" w:rsidRDefault="093E8DD3" w:rsidP="00270ACC">
            <w:pPr>
              <w:numPr>
                <w:ilvl w:val="0"/>
                <w:numId w:val="7"/>
              </w:numPr>
              <w:spacing w:before="60" w:after="0" w:line="240" w:lineRule="auto"/>
              <w:ind w:left="95" w:hanging="140"/>
              <w:jc w:val="left"/>
              <w:rPr>
                <w:rFonts w:cs="Arial"/>
                <w:sz w:val="16"/>
                <w:szCs w:val="16"/>
              </w:rPr>
            </w:pPr>
            <w:r w:rsidRPr="00270ACC">
              <w:rPr>
                <w:rFonts w:cs="Arial"/>
                <w:color w:val="000000" w:themeColor="text1"/>
                <w:sz w:val="16"/>
                <w:szCs w:val="16"/>
              </w:rPr>
              <w:t>On-site inspection</w:t>
            </w:r>
          </w:p>
        </w:tc>
        <w:tc>
          <w:tcPr>
            <w:tcW w:w="2126" w:type="dxa"/>
          </w:tcPr>
          <w:p w14:paraId="4039B2AB" w14:textId="00469B8E" w:rsidR="00682EC4" w:rsidRPr="00270ACC" w:rsidRDefault="00196DDA" w:rsidP="00270ACC">
            <w:pPr>
              <w:pStyle w:val="BodyText"/>
              <w:spacing w:before="40" w:after="40" w:line="240" w:lineRule="auto"/>
              <w:jc w:val="left"/>
              <w:rPr>
                <w:rFonts w:cs="Arial"/>
                <w:noProof w:val="0"/>
                <w:sz w:val="16"/>
                <w:szCs w:val="16"/>
              </w:rPr>
            </w:pPr>
            <w:r w:rsidRPr="00270ACC">
              <w:rPr>
                <w:rStyle w:val="cf01"/>
                <w:rFonts w:ascii="Arial" w:hAnsi="Arial" w:cs="Arial"/>
                <w:sz w:val="16"/>
                <w:szCs w:val="16"/>
              </w:rPr>
              <w:t>All grievances closed-out within the target timeframe</w:t>
            </w:r>
          </w:p>
        </w:tc>
        <w:tc>
          <w:tcPr>
            <w:tcW w:w="2074" w:type="dxa"/>
          </w:tcPr>
          <w:p w14:paraId="688E1442" w14:textId="77777777" w:rsidR="00682EC4" w:rsidRPr="00270ACC" w:rsidRDefault="00682EC4" w:rsidP="00270ACC">
            <w:pPr>
              <w:spacing w:before="60" w:after="0" w:line="240" w:lineRule="auto"/>
              <w:jc w:val="left"/>
              <w:rPr>
                <w:rFonts w:cs="Arial"/>
                <w:color w:val="000000"/>
                <w:sz w:val="16"/>
                <w:szCs w:val="16"/>
              </w:rPr>
            </w:pPr>
            <w:r w:rsidRPr="00270ACC">
              <w:rPr>
                <w:rFonts w:cs="Arial"/>
                <w:color w:val="000000"/>
                <w:sz w:val="16"/>
                <w:szCs w:val="16"/>
              </w:rPr>
              <w:t>ESMF</w:t>
            </w:r>
          </w:p>
          <w:p w14:paraId="2DAC0890" w14:textId="77777777" w:rsidR="00321BC2" w:rsidRPr="00270ACC" w:rsidRDefault="00321BC2" w:rsidP="00270ACC">
            <w:pPr>
              <w:pStyle w:val="BodyText"/>
              <w:spacing w:before="40" w:after="40" w:line="240" w:lineRule="auto"/>
              <w:jc w:val="left"/>
              <w:rPr>
                <w:rFonts w:cs="Arial"/>
                <w:noProof w:val="0"/>
                <w:sz w:val="16"/>
                <w:szCs w:val="16"/>
              </w:rPr>
            </w:pPr>
            <w:r w:rsidRPr="00270ACC">
              <w:rPr>
                <w:rFonts w:cs="Arial"/>
                <w:noProof w:val="0"/>
                <w:sz w:val="16"/>
                <w:szCs w:val="16"/>
              </w:rPr>
              <w:t xml:space="preserve">ESCP </w:t>
            </w:r>
          </w:p>
          <w:p w14:paraId="00882550" w14:textId="77777777" w:rsidR="00682EC4" w:rsidRPr="00270ACC" w:rsidRDefault="00321BC2" w:rsidP="00270ACC">
            <w:pPr>
              <w:spacing w:before="60" w:after="0" w:line="240" w:lineRule="auto"/>
              <w:jc w:val="left"/>
              <w:rPr>
                <w:rFonts w:cs="Arial"/>
                <w:sz w:val="16"/>
                <w:szCs w:val="16"/>
              </w:rPr>
            </w:pPr>
            <w:r w:rsidRPr="00270ACC">
              <w:rPr>
                <w:rFonts w:cs="Arial"/>
                <w:sz w:val="16"/>
                <w:szCs w:val="16"/>
              </w:rPr>
              <w:t>WB ESS-10</w:t>
            </w:r>
          </w:p>
        </w:tc>
        <w:tc>
          <w:tcPr>
            <w:tcW w:w="2037" w:type="dxa"/>
          </w:tcPr>
          <w:p w14:paraId="26C2D90F" w14:textId="000F07E7" w:rsidR="00682EC4" w:rsidRPr="00270ACC" w:rsidRDefault="006C298E"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en-US"/>
              </w:rPr>
            </w:pPr>
            <w:r w:rsidRPr="00270ACC">
              <w:rPr>
                <w:rFonts w:cs="Arial"/>
                <w:color w:val="000000" w:themeColor="text1"/>
                <w:sz w:val="16"/>
                <w:szCs w:val="16"/>
                <w:lang w:eastAsia="tr-TR"/>
              </w:rPr>
              <w:t>Minimum n</w:t>
            </w:r>
            <w:r w:rsidR="093E8DD3" w:rsidRPr="00270ACC">
              <w:rPr>
                <w:rFonts w:cs="Arial"/>
                <w:color w:val="000000" w:themeColor="text1"/>
                <w:sz w:val="16"/>
                <w:szCs w:val="16"/>
                <w:lang w:eastAsia="tr-TR"/>
              </w:rPr>
              <w:t xml:space="preserve">umber </w:t>
            </w:r>
            <w:r w:rsidR="0009263B" w:rsidRPr="00270ACC">
              <w:rPr>
                <w:rFonts w:cs="Arial"/>
                <w:color w:val="000000" w:themeColor="text1"/>
                <w:sz w:val="16"/>
                <w:szCs w:val="16"/>
                <w:lang w:eastAsia="tr-TR"/>
              </w:rPr>
              <w:t xml:space="preserve">and nature </w:t>
            </w:r>
            <w:r w:rsidR="093E8DD3" w:rsidRPr="00270ACC">
              <w:rPr>
                <w:rFonts w:cs="Arial"/>
                <w:color w:val="000000" w:themeColor="text1"/>
                <w:sz w:val="16"/>
                <w:szCs w:val="16"/>
                <w:lang w:eastAsia="tr-TR"/>
              </w:rPr>
              <w:t xml:space="preserve">of grievances </w:t>
            </w:r>
          </w:p>
          <w:p w14:paraId="1C0DCE8E" w14:textId="3C662AC4" w:rsidR="00682EC4" w:rsidRPr="00270ACC" w:rsidRDefault="093E8DD3" w:rsidP="00270ACC">
            <w:pPr>
              <w:numPr>
                <w:ilvl w:val="0"/>
                <w:numId w:val="7"/>
              </w:numPr>
              <w:autoSpaceDE w:val="0"/>
              <w:autoSpaceDN w:val="0"/>
              <w:adjustRightInd w:val="0"/>
              <w:spacing w:before="0" w:after="0" w:line="240" w:lineRule="auto"/>
              <w:ind w:left="181" w:hanging="181"/>
              <w:jc w:val="left"/>
              <w:rPr>
                <w:rFonts w:cs="Arial"/>
                <w:color w:val="000000"/>
                <w:sz w:val="16"/>
                <w:szCs w:val="16"/>
                <w:lang w:eastAsia="tr-TR"/>
              </w:rPr>
            </w:pPr>
            <w:r w:rsidRPr="00270ACC">
              <w:rPr>
                <w:rFonts w:cs="Arial"/>
                <w:color w:val="000000" w:themeColor="text1"/>
                <w:sz w:val="16"/>
                <w:szCs w:val="16"/>
                <w:lang w:eastAsia="tr-TR"/>
              </w:rPr>
              <w:t xml:space="preserve">Percentage of closed grievances </w:t>
            </w:r>
            <w:r w:rsidR="006C298E" w:rsidRPr="00270ACC">
              <w:rPr>
                <w:rFonts w:cs="Arial"/>
                <w:color w:val="000000" w:themeColor="text1"/>
                <w:sz w:val="16"/>
                <w:szCs w:val="16"/>
                <w:lang w:eastAsia="tr-TR"/>
              </w:rPr>
              <w:t>according to number of grievances</w:t>
            </w:r>
            <w:r w:rsidRPr="00270ACC">
              <w:rPr>
                <w:rFonts w:cs="Arial"/>
                <w:color w:val="000000" w:themeColor="text1"/>
                <w:sz w:val="16"/>
                <w:szCs w:val="16"/>
                <w:lang w:eastAsia="tr-TR"/>
              </w:rPr>
              <w:t xml:space="preserve"> within the target timeframe</w:t>
            </w:r>
          </w:p>
        </w:tc>
        <w:tc>
          <w:tcPr>
            <w:tcW w:w="1984" w:type="dxa"/>
          </w:tcPr>
          <w:p w14:paraId="58B9EE52"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No additional costs</w:t>
            </w:r>
          </w:p>
        </w:tc>
        <w:tc>
          <w:tcPr>
            <w:tcW w:w="2687" w:type="dxa"/>
          </w:tcPr>
          <w:p w14:paraId="6FF8A1FB" w14:textId="241A0414" w:rsidR="00682EC4" w:rsidRPr="00270ACC" w:rsidRDefault="00B561CF" w:rsidP="00270ACC">
            <w:pPr>
              <w:spacing w:before="0" w:after="0" w:line="240" w:lineRule="auto"/>
              <w:jc w:val="left"/>
              <w:rPr>
                <w:rFonts w:cs="Arial"/>
                <w:color w:val="000000"/>
                <w:sz w:val="16"/>
                <w:szCs w:val="16"/>
              </w:rPr>
            </w:pPr>
            <w:r w:rsidRPr="00270ACC">
              <w:rPr>
                <w:rFonts w:cs="Arial"/>
                <w:color w:val="000000"/>
                <w:sz w:val="16"/>
                <w:szCs w:val="16"/>
              </w:rPr>
              <w:t>TUIOSB</w:t>
            </w:r>
          </w:p>
          <w:p w14:paraId="306B08C7" w14:textId="76268944" w:rsidR="00682EC4" w:rsidRPr="00270ACC" w:rsidRDefault="00682EC4" w:rsidP="00270ACC">
            <w:pPr>
              <w:spacing w:before="0" w:after="0" w:line="240" w:lineRule="auto"/>
              <w:jc w:val="left"/>
              <w:rPr>
                <w:rFonts w:cs="Arial"/>
                <w:sz w:val="16"/>
                <w:szCs w:val="16"/>
              </w:rPr>
            </w:pPr>
          </w:p>
        </w:tc>
      </w:tr>
      <w:tr w:rsidR="00EB6F28" w:rsidRPr="00270ACC" w14:paraId="642E0259" w14:textId="77777777" w:rsidTr="00270ACC">
        <w:trPr>
          <w:trHeight w:val="227"/>
        </w:trPr>
        <w:tc>
          <w:tcPr>
            <w:tcW w:w="2122" w:type="dxa"/>
          </w:tcPr>
          <w:p w14:paraId="50A1274C" w14:textId="15396705" w:rsidR="00682EC4" w:rsidRPr="00270ACC" w:rsidRDefault="00682EC4" w:rsidP="00270ACC">
            <w:pPr>
              <w:pStyle w:val="BodyText"/>
              <w:spacing w:before="40" w:after="40" w:line="240" w:lineRule="auto"/>
              <w:jc w:val="left"/>
              <w:rPr>
                <w:rFonts w:cs="Arial"/>
                <w:b/>
                <w:noProof w:val="0"/>
                <w:sz w:val="16"/>
                <w:szCs w:val="16"/>
              </w:rPr>
            </w:pPr>
            <w:r w:rsidRPr="00270ACC">
              <w:rPr>
                <w:rFonts w:cs="Arial"/>
                <w:b/>
                <w:bCs/>
                <w:noProof w:val="0"/>
                <w:sz w:val="16"/>
                <w:szCs w:val="16"/>
              </w:rPr>
              <w:t>Waste Management</w:t>
            </w:r>
          </w:p>
        </w:tc>
        <w:tc>
          <w:tcPr>
            <w:tcW w:w="1842" w:type="dxa"/>
          </w:tcPr>
          <w:p w14:paraId="516D77E2"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Project area</w:t>
            </w:r>
          </w:p>
        </w:tc>
        <w:tc>
          <w:tcPr>
            <w:tcW w:w="1985" w:type="dxa"/>
          </w:tcPr>
          <w:p w14:paraId="6F9CFACE" w14:textId="77777777" w:rsidR="00682EC4" w:rsidRPr="00270ACC" w:rsidRDefault="00682EC4" w:rsidP="00270ACC">
            <w:pPr>
              <w:shd w:val="clear" w:color="auto" w:fill="FFFFFF"/>
              <w:spacing w:before="60" w:line="240" w:lineRule="auto"/>
              <w:jc w:val="left"/>
              <w:rPr>
                <w:rFonts w:cs="Arial"/>
                <w:color w:val="000000"/>
                <w:sz w:val="16"/>
                <w:szCs w:val="16"/>
              </w:rPr>
            </w:pPr>
            <w:r w:rsidRPr="00270ACC">
              <w:rPr>
                <w:rFonts w:cs="Arial"/>
                <w:color w:val="000000"/>
                <w:sz w:val="16"/>
                <w:szCs w:val="16"/>
              </w:rPr>
              <w:t>During the lifetime of the project.</w:t>
            </w:r>
          </w:p>
          <w:p w14:paraId="744EABA4" w14:textId="77777777" w:rsidR="00682EC4" w:rsidRPr="00270ACC" w:rsidRDefault="00682EC4"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In case of grievance</w:t>
            </w:r>
          </w:p>
          <w:p w14:paraId="091BA7B2"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Daily</w:t>
            </w:r>
          </w:p>
        </w:tc>
        <w:tc>
          <w:tcPr>
            <w:tcW w:w="2693" w:type="dxa"/>
          </w:tcPr>
          <w:p w14:paraId="04FD078C" w14:textId="77777777" w:rsidR="00682EC4" w:rsidRPr="00270ACC" w:rsidRDefault="093E8DD3"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themeColor="text1"/>
                <w:sz w:val="16"/>
                <w:szCs w:val="16"/>
              </w:rPr>
              <w:t>Waste amount</w:t>
            </w:r>
          </w:p>
          <w:p w14:paraId="7A173BF4" w14:textId="77777777" w:rsidR="00682EC4" w:rsidRPr="00270ACC" w:rsidRDefault="093E8DD3"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themeColor="text1"/>
                <w:sz w:val="16"/>
                <w:szCs w:val="16"/>
              </w:rPr>
              <w:t>Recovery / reuse / recycle ratio</w:t>
            </w:r>
          </w:p>
        </w:tc>
        <w:tc>
          <w:tcPr>
            <w:tcW w:w="1418" w:type="dxa"/>
          </w:tcPr>
          <w:p w14:paraId="68640563" w14:textId="77777777" w:rsidR="00682EC4" w:rsidRPr="00270ACC" w:rsidRDefault="093E8DD3" w:rsidP="00270ACC">
            <w:pPr>
              <w:numPr>
                <w:ilvl w:val="0"/>
                <w:numId w:val="7"/>
              </w:numPr>
              <w:spacing w:before="60" w:after="0" w:line="240" w:lineRule="auto"/>
              <w:ind w:left="137" w:hanging="154"/>
              <w:jc w:val="left"/>
              <w:rPr>
                <w:rFonts w:cs="Arial"/>
                <w:sz w:val="16"/>
                <w:szCs w:val="16"/>
              </w:rPr>
            </w:pPr>
            <w:r w:rsidRPr="00270ACC">
              <w:rPr>
                <w:rFonts w:cs="Arial"/>
                <w:color w:val="000000" w:themeColor="text1"/>
                <w:sz w:val="16"/>
                <w:szCs w:val="16"/>
              </w:rPr>
              <w:t>Waste records</w:t>
            </w:r>
          </w:p>
          <w:p w14:paraId="602F89A5" w14:textId="77777777" w:rsidR="00682EC4" w:rsidRPr="00270ACC" w:rsidRDefault="093E8DD3" w:rsidP="00270ACC">
            <w:pPr>
              <w:numPr>
                <w:ilvl w:val="0"/>
                <w:numId w:val="7"/>
              </w:numPr>
              <w:spacing w:before="60" w:after="0" w:line="240" w:lineRule="auto"/>
              <w:ind w:left="137" w:hanging="154"/>
              <w:jc w:val="left"/>
              <w:rPr>
                <w:rFonts w:cs="Arial"/>
                <w:sz w:val="16"/>
                <w:szCs w:val="16"/>
              </w:rPr>
            </w:pPr>
            <w:r w:rsidRPr="00270ACC">
              <w:rPr>
                <w:rFonts w:cs="Arial"/>
                <w:color w:val="000000" w:themeColor="text1"/>
                <w:sz w:val="16"/>
                <w:szCs w:val="16"/>
              </w:rPr>
              <w:t>On-site inspection</w:t>
            </w:r>
          </w:p>
        </w:tc>
        <w:tc>
          <w:tcPr>
            <w:tcW w:w="2126" w:type="dxa"/>
          </w:tcPr>
          <w:p w14:paraId="1AC06140" w14:textId="77777777" w:rsidR="00682EC4" w:rsidRPr="00270ACC" w:rsidRDefault="093E8DD3"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themeColor="text1"/>
                <w:sz w:val="16"/>
                <w:szCs w:val="16"/>
              </w:rPr>
              <w:t>Minimization of total waste generated</w:t>
            </w:r>
          </w:p>
          <w:p w14:paraId="615F93B6" w14:textId="77777777" w:rsidR="00682EC4" w:rsidRPr="00270ACC" w:rsidRDefault="093E8DD3"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themeColor="text1"/>
                <w:sz w:val="16"/>
                <w:szCs w:val="16"/>
              </w:rPr>
              <w:t>Minimize the ratio of hazardous waste generated to total waste (by contamination + by generation)</w:t>
            </w:r>
          </w:p>
          <w:p w14:paraId="2AB2A78D" w14:textId="77777777" w:rsidR="00682EC4" w:rsidRPr="00270ACC" w:rsidRDefault="093E8DD3"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themeColor="text1"/>
                <w:sz w:val="16"/>
                <w:szCs w:val="16"/>
              </w:rPr>
              <w:t xml:space="preserve">Increasing the ratio of recovered/reused/ recycled waste to total waste </w:t>
            </w:r>
            <w:r w:rsidRPr="00270ACC">
              <w:rPr>
                <w:rFonts w:eastAsia="Calibri" w:cs="Arial"/>
                <w:color w:val="000000" w:themeColor="text1"/>
                <w:sz w:val="16"/>
                <w:szCs w:val="16"/>
                <w:lang w:eastAsia="en-US"/>
              </w:rPr>
              <w:t>generated</w:t>
            </w:r>
            <w:r w:rsidRPr="00270ACC">
              <w:rPr>
                <w:rFonts w:cs="Arial"/>
                <w:color w:val="000000" w:themeColor="text1"/>
                <w:sz w:val="16"/>
                <w:szCs w:val="16"/>
              </w:rPr>
              <w:t xml:space="preserve"> </w:t>
            </w:r>
          </w:p>
        </w:tc>
        <w:tc>
          <w:tcPr>
            <w:tcW w:w="2074" w:type="dxa"/>
          </w:tcPr>
          <w:p w14:paraId="22D29E6C" w14:textId="77777777" w:rsidR="00682EC4" w:rsidRPr="00270ACC" w:rsidRDefault="093E8DD3" w:rsidP="00270ACC">
            <w:pPr>
              <w:numPr>
                <w:ilvl w:val="0"/>
                <w:numId w:val="7"/>
              </w:numPr>
              <w:spacing w:before="60" w:after="0" w:line="240" w:lineRule="auto"/>
              <w:ind w:left="92" w:hanging="168"/>
              <w:jc w:val="left"/>
              <w:rPr>
                <w:rFonts w:cs="Arial"/>
                <w:color w:val="000000"/>
                <w:sz w:val="16"/>
                <w:szCs w:val="16"/>
              </w:rPr>
            </w:pPr>
            <w:r w:rsidRPr="00270ACC">
              <w:rPr>
                <w:rFonts w:cs="Arial"/>
                <w:color w:val="000000" w:themeColor="text1"/>
                <w:sz w:val="16"/>
                <w:szCs w:val="16"/>
              </w:rPr>
              <w:t>Regulation on Hazardous Waste Control</w:t>
            </w:r>
          </w:p>
          <w:p w14:paraId="051452AE" w14:textId="77777777" w:rsidR="00682EC4" w:rsidRPr="00270ACC" w:rsidRDefault="093E8DD3" w:rsidP="00270ACC">
            <w:pPr>
              <w:numPr>
                <w:ilvl w:val="0"/>
                <w:numId w:val="7"/>
              </w:numPr>
              <w:spacing w:before="60" w:after="0" w:line="240" w:lineRule="auto"/>
              <w:ind w:left="92" w:hanging="168"/>
              <w:jc w:val="left"/>
              <w:rPr>
                <w:rFonts w:cs="Arial"/>
                <w:sz w:val="16"/>
                <w:szCs w:val="16"/>
              </w:rPr>
            </w:pPr>
            <w:r w:rsidRPr="00270ACC">
              <w:rPr>
                <w:rFonts w:cs="Arial"/>
                <w:color w:val="000000" w:themeColor="text1"/>
                <w:sz w:val="16"/>
                <w:szCs w:val="16"/>
              </w:rPr>
              <w:t>Packaging Waste Control Regulation</w:t>
            </w:r>
          </w:p>
          <w:p w14:paraId="77B48E96" w14:textId="77777777" w:rsidR="00682EC4" w:rsidRPr="00270ACC" w:rsidRDefault="093E8DD3" w:rsidP="00270ACC">
            <w:pPr>
              <w:numPr>
                <w:ilvl w:val="0"/>
                <w:numId w:val="7"/>
              </w:numPr>
              <w:spacing w:before="60" w:after="0" w:line="240" w:lineRule="auto"/>
              <w:ind w:left="92" w:hanging="168"/>
              <w:jc w:val="left"/>
              <w:rPr>
                <w:rFonts w:cs="Arial"/>
                <w:sz w:val="16"/>
                <w:szCs w:val="16"/>
              </w:rPr>
            </w:pPr>
            <w:r w:rsidRPr="00270ACC">
              <w:rPr>
                <w:rFonts w:cs="Arial"/>
                <w:color w:val="000000" w:themeColor="text1"/>
                <w:sz w:val="16"/>
                <w:szCs w:val="16"/>
              </w:rPr>
              <w:t>Waste Management Regulation</w:t>
            </w:r>
          </w:p>
          <w:p w14:paraId="64CF053B" w14:textId="77777777" w:rsidR="00682EC4" w:rsidRPr="00270ACC" w:rsidRDefault="093E8DD3" w:rsidP="00270ACC">
            <w:pPr>
              <w:numPr>
                <w:ilvl w:val="0"/>
                <w:numId w:val="7"/>
              </w:numPr>
              <w:spacing w:before="60" w:after="0" w:line="240" w:lineRule="auto"/>
              <w:ind w:left="92" w:hanging="168"/>
              <w:jc w:val="left"/>
              <w:rPr>
                <w:rFonts w:cs="Arial"/>
                <w:sz w:val="16"/>
                <w:szCs w:val="16"/>
              </w:rPr>
            </w:pPr>
            <w:r w:rsidRPr="00270ACC">
              <w:rPr>
                <w:rFonts w:cs="Arial"/>
                <w:color w:val="000000" w:themeColor="text1"/>
                <w:sz w:val="16"/>
                <w:szCs w:val="16"/>
              </w:rPr>
              <w:t>Waste Oil Control Regulation</w:t>
            </w:r>
          </w:p>
          <w:p w14:paraId="75088245" w14:textId="77777777" w:rsidR="00682EC4" w:rsidRPr="00270ACC" w:rsidRDefault="093E8DD3" w:rsidP="00270ACC">
            <w:pPr>
              <w:numPr>
                <w:ilvl w:val="0"/>
                <w:numId w:val="7"/>
              </w:numPr>
              <w:spacing w:before="60" w:after="0" w:line="240" w:lineRule="auto"/>
              <w:ind w:left="92" w:hanging="168"/>
              <w:jc w:val="left"/>
              <w:rPr>
                <w:rFonts w:cs="Arial"/>
                <w:sz w:val="16"/>
                <w:szCs w:val="16"/>
              </w:rPr>
            </w:pPr>
            <w:r w:rsidRPr="00270ACC">
              <w:rPr>
                <w:rFonts w:cs="Arial"/>
                <w:color w:val="000000" w:themeColor="text1"/>
                <w:sz w:val="16"/>
                <w:szCs w:val="16"/>
              </w:rPr>
              <w:t>Waste Battery and Accumulator Regulation</w:t>
            </w:r>
          </w:p>
          <w:p w14:paraId="5BD68BCF" w14:textId="77777777" w:rsidR="00682EC4" w:rsidRPr="00270ACC" w:rsidRDefault="093E8DD3" w:rsidP="00270ACC">
            <w:pPr>
              <w:numPr>
                <w:ilvl w:val="0"/>
                <w:numId w:val="7"/>
              </w:numPr>
              <w:spacing w:before="60" w:after="0" w:line="240" w:lineRule="auto"/>
              <w:ind w:left="92" w:hanging="168"/>
              <w:jc w:val="left"/>
              <w:rPr>
                <w:rFonts w:cs="Arial"/>
                <w:sz w:val="16"/>
                <w:szCs w:val="16"/>
              </w:rPr>
            </w:pPr>
            <w:r w:rsidRPr="00270ACC">
              <w:rPr>
                <w:rFonts w:cs="Arial"/>
                <w:color w:val="000000" w:themeColor="text1"/>
                <w:sz w:val="16"/>
                <w:szCs w:val="16"/>
              </w:rPr>
              <w:t>Medical Waste Control Regulation</w:t>
            </w:r>
          </w:p>
          <w:p w14:paraId="3ECB9DC8" w14:textId="77777777" w:rsidR="00F22F9B" w:rsidRPr="00270ACC" w:rsidRDefault="00F22F9B" w:rsidP="00270ACC">
            <w:pPr>
              <w:numPr>
                <w:ilvl w:val="0"/>
                <w:numId w:val="7"/>
              </w:numPr>
              <w:spacing w:before="60" w:after="0" w:line="240" w:lineRule="auto"/>
              <w:ind w:left="92" w:hanging="168"/>
              <w:jc w:val="left"/>
              <w:rPr>
                <w:rFonts w:cs="Arial"/>
                <w:sz w:val="16"/>
                <w:szCs w:val="16"/>
              </w:rPr>
            </w:pPr>
            <w:r w:rsidRPr="00270ACC">
              <w:rPr>
                <w:rFonts w:cs="Arial"/>
                <w:sz w:val="16"/>
                <w:szCs w:val="16"/>
              </w:rPr>
              <w:t>WB ESS3</w:t>
            </w:r>
          </w:p>
          <w:p w14:paraId="627A891A" w14:textId="3F6CDCCE" w:rsidR="00682EC4" w:rsidRPr="00270ACC" w:rsidRDefault="00AB3224" w:rsidP="00270ACC">
            <w:pPr>
              <w:numPr>
                <w:ilvl w:val="0"/>
                <w:numId w:val="7"/>
              </w:numPr>
              <w:spacing w:before="60" w:after="0" w:line="240" w:lineRule="auto"/>
              <w:ind w:left="92" w:hanging="168"/>
              <w:jc w:val="left"/>
              <w:rPr>
                <w:rFonts w:cs="Arial"/>
                <w:sz w:val="16"/>
                <w:szCs w:val="16"/>
              </w:rPr>
            </w:pPr>
            <w:r w:rsidRPr="00270ACC">
              <w:rPr>
                <w:rFonts w:cs="Arial"/>
                <w:color w:val="000000" w:themeColor="text1"/>
                <w:sz w:val="16"/>
                <w:szCs w:val="16"/>
              </w:rPr>
              <w:t>WB General EHS Guidelines: Environmental Waste Management</w:t>
            </w:r>
          </w:p>
        </w:tc>
        <w:tc>
          <w:tcPr>
            <w:tcW w:w="2037" w:type="dxa"/>
          </w:tcPr>
          <w:p w14:paraId="21482C5C" w14:textId="77777777" w:rsidR="00D82FC8" w:rsidRPr="00270ACC" w:rsidRDefault="00D82FC8" w:rsidP="00270ACC">
            <w:pPr>
              <w:numPr>
                <w:ilvl w:val="0"/>
                <w:numId w:val="7"/>
              </w:numPr>
              <w:spacing w:before="0" w:after="0" w:line="240" w:lineRule="auto"/>
              <w:ind w:left="209" w:hanging="180"/>
              <w:jc w:val="left"/>
              <w:rPr>
                <w:rFonts w:eastAsia="Arial TUR" w:cs="Arial"/>
                <w:color w:val="000000" w:themeColor="text1"/>
                <w:sz w:val="16"/>
                <w:szCs w:val="16"/>
                <w:lang w:eastAsia="en-US"/>
              </w:rPr>
            </w:pPr>
            <w:r w:rsidRPr="00270ACC">
              <w:rPr>
                <w:rFonts w:eastAsia="Arial TUR" w:cs="Arial"/>
                <w:color w:val="000000" w:themeColor="text1"/>
                <w:sz w:val="16"/>
                <w:szCs w:val="16"/>
                <w:lang w:eastAsia="en-US"/>
              </w:rPr>
              <w:t>Waste Generation</w:t>
            </w:r>
          </w:p>
          <w:p w14:paraId="4E14984A" w14:textId="3C8E15F6" w:rsidR="00682EC4" w:rsidRPr="00270ACC" w:rsidRDefault="00D82FC8" w:rsidP="00270ACC">
            <w:pPr>
              <w:numPr>
                <w:ilvl w:val="0"/>
                <w:numId w:val="7"/>
              </w:numPr>
              <w:spacing w:before="0" w:after="0" w:line="240" w:lineRule="auto"/>
              <w:ind w:left="209" w:hanging="180"/>
              <w:jc w:val="left"/>
              <w:rPr>
                <w:rFonts w:cs="Arial"/>
                <w:sz w:val="16"/>
                <w:szCs w:val="16"/>
              </w:rPr>
            </w:pPr>
            <w:r w:rsidRPr="00270ACC">
              <w:rPr>
                <w:rFonts w:eastAsia="Arial TUR" w:cs="Arial"/>
                <w:color w:val="000000" w:themeColor="text1"/>
                <w:sz w:val="16"/>
                <w:szCs w:val="16"/>
                <w:lang w:eastAsia="en-US"/>
              </w:rPr>
              <w:t>Waste Disposal</w:t>
            </w:r>
          </w:p>
        </w:tc>
        <w:tc>
          <w:tcPr>
            <w:tcW w:w="1984" w:type="dxa"/>
          </w:tcPr>
          <w:p w14:paraId="07232FC5" w14:textId="77777777" w:rsidR="00682EC4" w:rsidRPr="00270ACC" w:rsidRDefault="00682EC4" w:rsidP="00270ACC">
            <w:pPr>
              <w:pStyle w:val="BodyText"/>
              <w:spacing w:before="40" w:after="40" w:line="240" w:lineRule="auto"/>
              <w:jc w:val="left"/>
              <w:rPr>
                <w:rFonts w:cs="Arial"/>
                <w:noProof w:val="0"/>
                <w:sz w:val="16"/>
                <w:szCs w:val="16"/>
              </w:rPr>
            </w:pPr>
            <w:r w:rsidRPr="00270ACC">
              <w:rPr>
                <w:rFonts w:cs="Arial"/>
                <w:noProof w:val="0"/>
                <w:color w:val="000000"/>
                <w:sz w:val="16"/>
                <w:szCs w:val="16"/>
              </w:rPr>
              <w:t>No additional costs</w:t>
            </w:r>
          </w:p>
        </w:tc>
        <w:tc>
          <w:tcPr>
            <w:tcW w:w="2687" w:type="dxa"/>
          </w:tcPr>
          <w:p w14:paraId="6BEC46B8" w14:textId="53195A1A" w:rsidR="00682EC4" w:rsidRPr="00270ACC" w:rsidRDefault="00B561CF" w:rsidP="00270ACC">
            <w:pPr>
              <w:spacing w:before="0" w:after="0" w:line="240" w:lineRule="auto"/>
              <w:jc w:val="left"/>
              <w:rPr>
                <w:rFonts w:cs="Arial"/>
                <w:color w:val="000000"/>
                <w:sz w:val="16"/>
                <w:szCs w:val="16"/>
              </w:rPr>
            </w:pPr>
            <w:r w:rsidRPr="00270ACC">
              <w:rPr>
                <w:rFonts w:cs="Arial"/>
                <w:color w:val="000000"/>
                <w:sz w:val="16"/>
                <w:szCs w:val="16"/>
              </w:rPr>
              <w:t>TUIOSB</w:t>
            </w:r>
          </w:p>
          <w:p w14:paraId="6261FCD9" w14:textId="4E5FA247" w:rsidR="00682EC4" w:rsidRPr="00270ACC" w:rsidRDefault="00682EC4" w:rsidP="00270ACC">
            <w:pPr>
              <w:spacing w:before="0" w:after="0" w:line="240" w:lineRule="auto"/>
              <w:jc w:val="left"/>
              <w:rPr>
                <w:rFonts w:cs="Arial"/>
                <w:sz w:val="16"/>
                <w:szCs w:val="16"/>
              </w:rPr>
            </w:pPr>
          </w:p>
        </w:tc>
      </w:tr>
      <w:tr w:rsidR="00EB6F28" w:rsidRPr="00270ACC" w14:paraId="07FA4726" w14:textId="77777777" w:rsidTr="00270ACC">
        <w:trPr>
          <w:trHeight w:val="227"/>
        </w:trPr>
        <w:tc>
          <w:tcPr>
            <w:tcW w:w="2122" w:type="dxa"/>
          </w:tcPr>
          <w:p w14:paraId="42C86B90" w14:textId="4FCE65A7" w:rsidR="0087242B" w:rsidRPr="00270ACC" w:rsidRDefault="0087242B" w:rsidP="00270ACC">
            <w:pPr>
              <w:pStyle w:val="BodyText"/>
              <w:spacing w:before="40" w:after="40" w:line="240" w:lineRule="auto"/>
              <w:jc w:val="left"/>
              <w:rPr>
                <w:rFonts w:cs="Arial"/>
                <w:b/>
                <w:bCs/>
                <w:sz w:val="16"/>
                <w:szCs w:val="16"/>
              </w:rPr>
            </w:pPr>
            <w:r w:rsidRPr="00270ACC">
              <w:rPr>
                <w:rFonts w:cs="Arial"/>
                <w:b/>
                <w:bCs/>
                <w:noProof w:val="0"/>
                <w:sz w:val="16"/>
                <w:szCs w:val="16"/>
              </w:rPr>
              <w:t>Sludge</w:t>
            </w:r>
          </w:p>
        </w:tc>
        <w:tc>
          <w:tcPr>
            <w:tcW w:w="1842" w:type="dxa"/>
          </w:tcPr>
          <w:p w14:paraId="1DD351F3" w14:textId="3C1E91CF" w:rsidR="0087242B" w:rsidRPr="00270ACC" w:rsidRDefault="0087242B" w:rsidP="00270ACC">
            <w:pPr>
              <w:pStyle w:val="BodyText"/>
              <w:spacing w:before="40" w:after="40" w:line="240" w:lineRule="auto"/>
              <w:jc w:val="left"/>
              <w:rPr>
                <w:rFonts w:cs="Arial"/>
                <w:color w:val="000000"/>
                <w:sz w:val="16"/>
                <w:szCs w:val="16"/>
              </w:rPr>
            </w:pPr>
            <w:r w:rsidRPr="00270ACC">
              <w:rPr>
                <w:rFonts w:cs="Arial"/>
                <w:noProof w:val="0"/>
                <w:color w:val="000000"/>
                <w:sz w:val="16"/>
                <w:szCs w:val="16"/>
              </w:rPr>
              <w:t>Project area</w:t>
            </w:r>
          </w:p>
        </w:tc>
        <w:tc>
          <w:tcPr>
            <w:tcW w:w="1985" w:type="dxa"/>
          </w:tcPr>
          <w:p w14:paraId="7BCC7961" w14:textId="77777777" w:rsidR="0087242B" w:rsidRPr="00270ACC" w:rsidRDefault="0087242B" w:rsidP="00270ACC">
            <w:pPr>
              <w:shd w:val="clear" w:color="auto" w:fill="FFFFFF"/>
              <w:spacing w:before="60" w:line="240" w:lineRule="auto"/>
              <w:jc w:val="left"/>
              <w:rPr>
                <w:rFonts w:cs="Arial"/>
                <w:color w:val="000000"/>
                <w:sz w:val="16"/>
                <w:szCs w:val="16"/>
              </w:rPr>
            </w:pPr>
            <w:r w:rsidRPr="00270ACC">
              <w:rPr>
                <w:rFonts w:cs="Arial"/>
                <w:color w:val="000000"/>
                <w:sz w:val="16"/>
                <w:szCs w:val="16"/>
              </w:rPr>
              <w:t>During the lifetime of the project.</w:t>
            </w:r>
          </w:p>
          <w:p w14:paraId="6E596D81" w14:textId="77777777" w:rsidR="0087242B" w:rsidRPr="00270ACC" w:rsidRDefault="0087242B"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In case of grievance</w:t>
            </w:r>
          </w:p>
          <w:p w14:paraId="4EFB9A90" w14:textId="77CAE406" w:rsidR="0087242B" w:rsidRPr="00270ACC" w:rsidRDefault="0087242B" w:rsidP="00270ACC">
            <w:pPr>
              <w:shd w:val="clear" w:color="auto" w:fill="FFFFFF"/>
              <w:spacing w:before="60" w:line="240" w:lineRule="auto"/>
              <w:jc w:val="left"/>
              <w:rPr>
                <w:rFonts w:cs="Arial"/>
                <w:color w:val="000000"/>
                <w:sz w:val="16"/>
                <w:szCs w:val="16"/>
              </w:rPr>
            </w:pPr>
            <w:r w:rsidRPr="00270ACC">
              <w:rPr>
                <w:rFonts w:cs="Arial"/>
                <w:color w:val="000000"/>
                <w:sz w:val="16"/>
                <w:szCs w:val="16"/>
              </w:rPr>
              <w:t>Daily</w:t>
            </w:r>
          </w:p>
        </w:tc>
        <w:tc>
          <w:tcPr>
            <w:tcW w:w="2693" w:type="dxa"/>
          </w:tcPr>
          <w:p w14:paraId="3D9AA541" w14:textId="77777777" w:rsidR="0087242B" w:rsidRPr="00270ACC" w:rsidRDefault="0087242B"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sz w:val="16"/>
                <w:szCs w:val="16"/>
              </w:rPr>
              <w:t>Waste amount</w:t>
            </w:r>
          </w:p>
          <w:p w14:paraId="25656480" w14:textId="70C277D1" w:rsidR="0087242B" w:rsidRPr="00270ACC" w:rsidRDefault="0087242B" w:rsidP="00270ACC">
            <w:pPr>
              <w:numPr>
                <w:ilvl w:val="0"/>
                <w:numId w:val="7"/>
              </w:numPr>
              <w:spacing w:before="60" w:after="0" w:line="240" w:lineRule="auto"/>
              <w:ind w:left="139" w:hanging="210"/>
              <w:jc w:val="left"/>
              <w:rPr>
                <w:rFonts w:cs="Arial"/>
                <w:color w:val="000000"/>
                <w:sz w:val="16"/>
                <w:szCs w:val="16"/>
              </w:rPr>
            </w:pPr>
            <w:r w:rsidRPr="00270ACC">
              <w:rPr>
                <w:rFonts w:cs="Arial"/>
                <w:color w:val="000000"/>
                <w:sz w:val="16"/>
                <w:szCs w:val="16"/>
              </w:rPr>
              <w:t>Hazardous ratio of the disposal waste sludge</w:t>
            </w:r>
          </w:p>
        </w:tc>
        <w:tc>
          <w:tcPr>
            <w:tcW w:w="1418" w:type="dxa"/>
          </w:tcPr>
          <w:p w14:paraId="6F7B7885" w14:textId="77777777" w:rsidR="0087242B" w:rsidRPr="00270ACC" w:rsidRDefault="0087242B" w:rsidP="00270ACC">
            <w:pPr>
              <w:numPr>
                <w:ilvl w:val="0"/>
                <w:numId w:val="7"/>
              </w:numPr>
              <w:spacing w:before="60" w:after="0" w:line="240" w:lineRule="auto"/>
              <w:ind w:left="137" w:hanging="154"/>
              <w:jc w:val="left"/>
              <w:rPr>
                <w:rFonts w:cs="Arial"/>
                <w:sz w:val="16"/>
                <w:szCs w:val="16"/>
              </w:rPr>
            </w:pPr>
            <w:r w:rsidRPr="00270ACC">
              <w:rPr>
                <w:rFonts w:cs="Arial"/>
                <w:color w:val="000000"/>
                <w:sz w:val="16"/>
                <w:szCs w:val="16"/>
              </w:rPr>
              <w:t>Waste records</w:t>
            </w:r>
          </w:p>
          <w:p w14:paraId="3DCD4257" w14:textId="6ECB8039" w:rsidR="0087242B" w:rsidRPr="00270ACC" w:rsidRDefault="0087242B" w:rsidP="00270ACC">
            <w:pPr>
              <w:numPr>
                <w:ilvl w:val="0"/>
                <w:numId w:val="7"/>
              </w:numPr>
              <w:spacing w:before="60" w:after="0" w:line="240" w:lineRule="auto"/>
              <w:ind w:left="137" w:hanging="154"/>
              <w:jc w:val="left"/>
              <w:rPr>
                <w:rFonts w:cs="Arial"/>
                <w:color w:val="000000"/>
                <w:sz w:val="16"/>
                <w:szCs w:val="16"/>
              </w:rPr>
            </w:pPr>
            <w:r w:rsidRPr="00270ACC">
              <w:rPr>
                <w:rFonts w:cs="Arial"/>
                <w:color w:val="000000"/>
                <w:sz w:val="16"/>
                <w:szCs w:val="16"/>
              </w:rPr>
              <w:t>On-site inspection</w:t>
            </w:r>
          </w:p>
        </w:tc>
        <w:tc>
          <w:tcPr>
            <w:tcW w:w="2126" w:type="dxa"/>
          </w:tcPr>
          <w:p w14:paraId="1002F8EE" w14:textId="77777777" w:rsidR="0087242B" w:rsidRPr="00270ACC" w:rsidRDefault="0087242B"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sz w:val="16"/>
                <w:szCs w:val="16"/>
              </w:rPr>
              <w:t>Minimization of total waste generated</w:t>
            </w:r>
          </w:p>
          <w:p w14:paraId="0676D428" w14:textId="5D147D6E" w:rsidR="0087242B" w:rsidRPr="00270ACC" w:rsidRDefault="0087242B" w:rsidP="00270ACC">
            <w:pPr>
              <w:numPr>
                <w:ilvl w:val="0"/>
                <w:numId w:val="7"/>
              </w:numPr>
              <w:spacing w:before="60" w:after="0" w:line="240" w:lineRule="auto"/>
              <w:ind w:left="139" w:hanging="210"/>
              <w:jc w:val="left"/>
              <w:rPr>
                <w:rFonts w:eastAsia="Calibri" w:cs="Arial"/>
                <w:color w:val="000000"/>
                <w:sz w:val="16"/>
                <w:szCs w:val="16"/>
              </w:rPr>
            </w:pPr>
            <w:r w:rsidRPr="00270ACC">
              <w:rPr>
                <w:rFonts w:cs="Arial"/>
                <w:color w:val="000000"/>
                <w:sz w:val="16"/>
                <w:szCs w:val="16"/>
              </w:rPr>
              <w:t>Minimize the ratio of hazardous waste generated to total waste</w:t>
            </w:r>
          </w:p>
        </w:tc>
        <w:tc>
          <w:tcPr>
            <w:tcW w:w="2074" w:type="dxa"/>
          </w:tcPr>
          <w:p w14:paraId="17B5C020" w14:textId="761CBCEC" w:rsidR="0087242B" w:rsidRPr="00270ACC" w:rsidRDefault="0087242B" w:rsidP="00270ACC">
            <w:pPr>
              <w:numPr>
                <w:ilvl w:val="0"/>
                <w:numId w:val="7"/>
              </w:numPr>
              <w:spacing w:before="60" w:after="0" w:line="240" w:lineRule="auto"/>
              <w:ind w:left="92" w:hanging="168"/>
              <w:jc w:val="left"/>
              <w:rPr>
                <w:rFonts w:cs="Arial"/>
                <w:color w:val="000000"/>
                <w:sz w:val="16"/>
                <w:szCs w:val="16"/>
              </w:rPr>
            </w:pPr>
            <w:r w:rsidRPr="00270ACC">
              <w:rPr>
                <w:rFonts w:cs="Arial"/>
                <w:color w:val="000000"/>
                <w:sz w:val="16"/>
                <w:szCs w:val="16"/>
              </w:rPr>
              <w:t>Regulation on Landfilling of Wastes</w:t>
            </w:r>
          </w:p>
        </w:tc>
        <w:tc>
          <w:tcPr>
            <w:tcW w:w="2037" w:type="dxa"/>
          </w:tcPr>
          <w:p w14:paraId="5DE6DF5D" w14:textId="77777777" w:rsidR="003F5116" w:rsidRPr="00270ACC" w:rsidRDefault="003F5116" w:rsidP="00270ACC">
            <w:pPr>
              <w:numPr>
                <w:ilvl w:val="0"/>
                <w:numId w:val="7"/>
              </w:numPr>
              <w:spacing w:before="0" w:after="0" w:line="240" w:lineRule="auto"/>
              <w:ind w:left="209" w:hanging="180"/>
              <w:jc w:val="left"/>
              <w:rPr>
                <w:rFonts w:eastAsia="Arial TUR" w:cs="Arial"/>
                <w:color w:val="000000" w:themeColor="text1"/>
                <w:sz w:val="16"/>
                <w:szCs w:val="16"/>
                <w:lang w:eastAsia="en-US"/>
              </w:rPr>
            </w:pPr>
            <w:r w:rsidRPr="00270ACC">
              <w:rPr>
                <w:rFonts w:eastAsia="Arial TUR" w:cs="Arial"/>
                <w:color w:val="000000" w:themeColor="text1"/>
                <w:sz w:val="16"/>
                <w:szCs w:val="16"/>
                <w:lang w:eastAsia="en-US"/>
              </w:rPr>
              <w:t>Waste Generation</w:t>
            </w:r>
          </w:p>
          <w:p w14:paraId="32984AF1" w14:textId="02B31D90" w:rsidR="0087242B" w:rsidRPr="00270ACC" w:rsidRDefault="003F5116" w:rsidP="00270ACC">
            <w:pPr>
              <w:numPr>
                <w:ilvl w:val="0"/>
                <w:numId w:val="7"/>
              </w:numPr>
              <w:spacing w:before="0" w:after="0" w:line="240" w:lineRule="auto"/>
              <w:ind w:left="209" w:hanging="180"/>
              <w:jc w:val="left"/>
              <w:rPr>
                <w:rFonts w:eastAsia="Calibri" w:cs="Arial"/>
                <w:color w:val="000000"/>
                <w:sz w:val="16"/>
                <w:szCs w:val="16"/>
              </w:rPr>
            </w:pPr>
            <w:r w:rsidRPr="00270ACC">
              <w:rPr>
                <w:rFonts w:eastAsia="Arial TUR" w:cs="Arial"/>
                <w:color w:val="000000" w:themeColor="text1"/>
                <w:sz w:val="16"/>
                <w:szCs w:val="16"/>
                <w:lang w:eastAsia="en-US"/>
              </w:rPr>
              <w:t>Waste Disposal</w:t>
            </w:r>
          </w:p>
        </w:tc>
        <w:tc>
          <w:tcPr>
            <w:tcW w:w="1984" w:type="dxa"/>
          </w:tcPr>
          <w:p w14:paraId="177FC5B0" w14:textId="3537AE99" w:rsidR="0087242B" w:rsidRPr="00270ACC" w:rsidRDefault="0087242B"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No additional costs</w:t>
            </w:r>
          </w:p>
        </w:tc>
        <w:tc>
          <w:tcPr>
            <w:tcW w:w="2687" w:type="dxa"/>
          </w:tcPr>
          <w:p w14:paraId="1BCFA504" w14:textId="3431E8F7" w:rsidR="0087242B" w:rsidRPr="00270ACC" w:rsidRDefault="0087242B" w:rsidP="00270ACC">
            <w:pPr>
              <w:spacing w:before="0" w:after="0" w:line="240" w:lineRule="auto"/>
              <w:jc w:val="left"/>
              <w:rPr>
                <w:rFonts w:cs="Arial"/>
                <w:color w:val="000000"/>
                <w:sz w:val="16"/>
                <w:szCs w:val="16"/>
              </w:rPr>
            </w:pPr>
            <w:r w:rsidRPr="00270ACC">
              <w:rPr>
                <w:rFonts w:cs="Arial"/>
                <w:color w:val="000000"/>
                <w:sz w:val="16"/>
                <w:szCs w:val="16"/>
              </w:rPr>
              <w:t>TUIOSB</w:t>
            </w:r>
          </w:p>
        </w:tc>
      </w:tr>
      <w:tr w:rsidR="00EB6F28" w:rsidRPr="00270ACC" w14:paraId="7E4A5167" w14:textId="77777777" w:rsidTr="00270ACC">
        <w:trPr>
          <w:trHeight w:val="227"/>
        </w:trPr>
        <w:tc>
          <w:tcPr>
            <w:tcW w:w="2122" w:type="dxa"/>
          </w:tcPr>
          <w:p w14:paraId="23B411D3" w14:textId="72E62D76" w:rsidR="00BB5A36" w:rsidRPr="00270ACC" w:rsidRDefault="00BB5A36" w:rsidP="00270ACC">
            <w:pPr>
              <w:pStyle w:val="BodyText"/>
              <w:spacing w:before="40" w:after="40" w:line="240" w:lineRule="auto"/>
              <w:jc w:val="left"/>
              <w:rPr>
                <w:rFonts w:cs="Arial"/>
                <w:b/>
                <w:bCs/>
                <w:noProof w:val="0"/>
                <w:sz w:val="16"/>
                <w:szCs w:val="16"/>
              </w:rPr>
            </w:pPr>
            <w:r w:rsidRPr="00270ACC">
              <w:rPr>
                <w:rFonts w:cs="Arial"/>
                <w:b/>
                <w:bCs/>
                <w:noProof w:val="0"/>
                <w:sz w:val="16"/>
                <w:szCs w:val="16"/>
              </w:rPr>
              <w:t>Treated Wastewater</w:t>
            </w:r>
          </w:p>
        </w:tc>
        <w:tc>
          <w:tcPr>
            <w:tcW w:w="1842" w:type="dxa"/>
          </w:tcPr>
          <w:p w14:paraId="4E1C8FC3" w14:textId="011D1CC3" w:rsidR="00BB5A36" w:rsidRPr="00270ACC" w:rsidRDefault="00BB5A36"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Discharged point and Evcisuyu Stream</w:t>
            </w:r>
          </w:p>
        </w:tc>
        <w:tc>
          <w:tcPr>
            <w:tcW w:w="1985" w:type="dxa"/>
          </w:tcPr>
          <w:p w14:paraId="1331EDED" w14:textId="77777777" w:rsidR="00BB5A36" w:rsidRPr="00270ACC" w:rsidRDefault="00BB5A36" w:rsidP="00270ACC">
            <w:pPr>
              <w:shd w:val="clear" w:color="auto" w:fill="FFFFFF"/>
              <w:spacing w:before="60" w:line="240" w:lineRule="auto"/>
              <w:jc w:val="left"/>
              <w:rPr>
                <w:rFonts w:cs="Arial"/>
                <w:color w:val="000000"/>
                <w:sz w:val="16"/>
                <w:szCs w:val="16"/>
              </w:rPr>
            </w:pPr>
            <w:r w:rsidRPr="00270ACC">
              <w:rPr>
                <w:rFonts w:cs="Arial"/>
                <w:color w:val="000000"/>
                <w:sz w:val="16"/>
                <w:szCs w:val="16"/>
              </w:rPr>
              <w:t>During the lifetime of the project.</w:t>
            </w:r>
          </w:p>
          <w:p w14:paraId="7D814721" w14:textId="77777777" w:rsidR="00BB5A36" w:rsidRPr="00270ACC" w:rsidRDefault="00BB5A36"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In case of grievance</w:t>
            </w:r>
          </w:p>
          <w:p w14:paraId="38C409F3" w14:textId="6392B95E" w:rsidR="00BB5A36" w:rsidRPr="00270ACC" w:rsidRDefault="00BB5A36" w:rsidP="00270ACC">
            <w:pPr>
              <w:shd w:val="clear" w:color="auto" w:fill="FFFFFF"/>
              <w:spacing w:before="60" w:line="240" w:lineRule="auto"/>
              <w:jc w:val="left"/>
              <w:rPr>
                <w:rFonts w:cs="Arial"/>
                <w:color w:val="000000"/>
                <w:sz w:val="16"/>
                <w:szCs w:val="16"/>
              </w:rPr>
            </w:pPr>
            <w:r w:rsidRPr="00270ACC">
              <w:rPr>
                <w:rFonts w:cs="Arial"/>
                <w:color w:val="000000"/>
                <w:sz w:val="16"/>
                <w:szCs w:val="16"/>
              </w:rPr>
              <w:lastRenderedPageBreak/>
              <w:t>Daily</w:t>
            </w:r>
          </w:p>
        </w:tc>
        <w:tc>
          <w:tcPr>
            <w:tcW w:w="2693" w:type="dxa"/>
          </w:tcPr>
          <w:p w14:paraId="432DC42C" w14:textId="77777777" w:rsidR="00BB5A36" w:rsidRPr="00270ACC" w:rsidRDefault="00BB5A36"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sz w:val="16"/>
                <w:szCs w:val="16"/>
              </w:rPr>
              <w:lastRenderedPageBreak/>
              <w:t>Analysis Parameters</w:t>
            </w:r>
          </w:p>
          <w:p w14:paraId="15935C29"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Chemical Oxygen Demand (COD)</w:t>
            </w:r>
          </w:p>
          <w:p w14:paraId="51433CBA"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sz w:val="16"/>
                <w:szCs w:val="16"/>
              </w:rPr>
              <w:t>Total Suspended Solids (TSS),</w:t>
            </w:r>
          </w:p>
          <w:p w14:paraId="1B7D8F61"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sz w:val="16"/>
                <w:szCs w:val="16"/>
              </w:rPr>
              <w:lastRenderedPageBreak/>
              <w:t>Oil and Grease,</w:t>
            </w:r>
          </w:p>
          <w:p w14:paraId="3AF22D9E"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Total Phosphorus,</w:t>
            </w:r>
          </w:p>
          <w:p w14:paraId="77CCD4C5"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Total Chrome, Chrome (Cr</w:t>
            </w:r>
            <w:r w:rsidRPr="00270ACC">
              <w:rPr>
                <w:color w:val="000000" w:themeColor="text1"/>
                <w:sz w:val="16"/>
                <w:szCs w:val="16"/>
                <w:vertAlign w:val="superscript"/>
              </w:rPr>
              <w:t>+6</w:t>
            </w:r>
            <w:r w:rsidRPr="00270ACC">
              <w:rPr>
                <w:color w:val="000000" w:themeColor="text1"/>
                <w:sz w:val="16"/>
                <w:szCs w:val="16"/>
              </w:rPr>
              <w:t>),</w:t>
            </w:r>
          </w:p>
          <w:p w14:paraId="080B899F"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Lead (Pb),</w:t>
            </w:r>
          </w:p>
          <w:p w14:paraId="3DAB5C93"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Total Cyanide (Cn</w:t>
            </w:r>
            <w:r w:rsidRPr="00270ACC">
              <w:rPr>
                <w:color w:val="000000" w:themeColor="text1"/>
                <w:sz w:val="16"/>
                <w:szCs w:val="16"/>
                <w:vertAlign w:val="superscript"/>
              </w:rPr>
              <w:t>-</w:t>
            </w:r>
            <w:r w:rsidRPr="00270ACC">
              <w:rPr>
                <w:color w:val="000000" w:themeColor="text1"/>
                <w:sz w:val="16"/>
                <w:szCs w:val="16"/>
              </w:rPr>
              <w:t>),</w:t>
            </w:r>
          </w:p>
          <w:p w14:paraId="720B35A3"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Cadmium (Cd),</w:t>
            </w:r>
          </w:p>
          <w:p w14:paraId="33159DEF"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Ferrous (Fe),</w:t>
            </w:r>
          </w:p>
          <w:p w14:paraId="5F58AD11"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Fluoride (F</w:t>
            </w:r>
            <w:r w:rsidRPr="00270ACC">
              <w:rPr>
                <w:color w:val="000000" w:themeColor="text1"/>
                <w:sz w:val="16"/>
                <w:szCs w:val="16"/>
                <w:vertAlign w:val="superscript"/>
              </w:rPr>
              <w:t>-</w:t>
            </w:r>
            <w:r w:rsidRPr="00270ACC">
              <w:rPr>
                <w:color w:val="000000" w:themeColor="text1"/>
                <w:sz w:val="16"/>
                <w:szCs w:val="16"/>
              </w:rPr>
              <w:t>),</w:t>
            </w:r>
          </w:p>
          <w:p w14:paraId="67F45DCF"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Copper (Cu),</w:t>
            </w:r>
          </w:p>
          <w:p w14:paraId="24BFB8F9"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Zinc (Zn),</w:t>
            </w:r>
          </w:p>
          <w:p w14:paraId="6A27FC13"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Mercury (Hg),</w:t>
            </w:r>
          </w:p>
          <w:p w14:paraId="1AFE5A05"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Sulphate (SO</w:t>
            </w:r>
            <w:r w:rsidRPr="00270ACC">
              <w:rPr>
                <w:color w:val="000000" w:themeColor="text1"/>
                <w:sz w:val="16"/>
                <w:szCs w:val="16"/>
                <w:vertAlign w:val="subscript"/>
              </w:rPr>
              <w:t>4</w:t>
            </w:r>
            <w:r w:rsidRPr="00270ACC">
              <w:rPr>
                <w:color w:val="000000" w:themeColor="text1"/>
                <w:sz w:val="16"/>
                <w:szCs w:val="16"/>
              </w:rPr>
              <w:t>),</w:t>
            </w:r>
          </w:p>
          <w:p w14:paraId="2AD0219F"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Total kjeldahl-nitrogen,</w:t>
            </w:r>
          </w:p>
          <w:p w14:paraId="0DA6A642" w14:textId="77777777" w:rsidR="00506E5D" w:rsidRPr="00270ACC" w:rsidRDefault="00506E5D" w:rsidP="00270ACC">
            <w:pPr>
              <w:pStyle w:val="ListParagraph"/>
              <w:numPr>
                <w:ilvl w:val="0"/>
                <w:numId w:val="56"/>
              </w:numPr>
              <w:spacing w:before="60" w:after="0" w:line="240" w:lineRule="auto"/>
              <w:ind w:left="463"/>
              <w:jc w:val="left"/>
              <w:rPr>
                <w:color w:val="000000" w:themeColor="text1"/>
                <w:sz w:val="16"/>
                <w:szCs w:val="16"/>
              </w:rPr>
            </w:pPr>
            <w:r w:rsidRPr="00270ACC">
              <w:rPr>
                <w:color w:val="000000" w:themeColor="text1"/>
                <w:sz w:val="16"/>
                <w:szCs w:val="16"/>
              </w:rPr>
              <w:t>Fish Bioassay (Zsf),</w:t>
            </w:r>
          </w:p>
          <w:p w14:paraId="53BE8E83" w14:textId="4D44EF1E" w:rsidR="00506E5D" w:rsidRPr="00270ACC" w:rsidRDefault="00506E5D" w:rsidP="00270ACC">
            <w:pPr>
              <w:pStyle w:val="ListParagraph"/>
              <w:numPr>
                <w:ilvl w:val="0"/>
                <w:numId w:val="56"/>
              </w:numPr>
              <w:spacing w:before="60" w:after="0" w:line="240" w:lineRule="auto"/>
              <w:ind w:left="463"/>
              <w:jc w:val="left"/>
              <w:rPr>
                <w:sz w:val="16"/>
                <w:szCs w:val="16"/>
              </w:rPr>
            </w:pPr>
            <w:r w:rsidRPr="00270ACC">
              <w:rPr>
                <w:color w:val="000000" w:themeColor="text1"/>
                <w:sz w:val="16"/>
                <w:szCs w:val="16"/>
              </w:rPr>
              <w:t>pH and Color</w:t>
            </w:r>
          </w:p>
        </w:tc>
        <w:tc>
          <w:tcPr>
            <w:tcW w:w="1418" w:type="dxa"/>
          </w:tcPr>
          <w:p w14:paraId="506E0C42" w14:textId="0286720B" w:rsidR="00BB5A36" w:rsidRPr="00270ACC" w:rsidRDefault="00EA1BB9" w:rsidP="00270ACC">
            <w:pPr>
              <w:numPr>
                <w:ilvl w:val="0"/>
                <w:numId w:val="7"/>
              </w:numPr>
              <w:spacing w:before="60" w:after="0" w:line="240" w:lineRule="auto"/>
              <w:ind w:left="137" w:hanging="154"/>
              <w:jc w:val="left"/>
              <w:rPr>
                <w:rFonts w:cs="Arial"/>
                <w:color w:val="000000"/>
                <w:sz w:val="16"/>
                <w:szCs w:val="16"/>
              </w:rPr>
            </w:pPr>
            <w:r w:rsidRPr="00270ACC">
              <w:rPr>
                <w:rFonts w:cs="Arial"/>
                <w:color w:val="000000"/>
                <w:sz w:val="16"/>
                <w:szCs w:val="16"/>
              </w:rPr>
              <w:lastRenderedPageBreak/>
              <w:t xml:space="preserve">Sampling </w:t>
            </w:r>
            <w:r w:rsidR="00BB5A36" w:rsidRPr="00270ACC">
              <w:rPr>
                <w:rFonts w:cs="Arial"/>
                <w:color w:val="000000"/>
                <w:sz w:val="16"/>
                <w:szCs w:val="16"/>
              </w:rPr>
              <w:t>Analysis results</w:t>
            </w:r>
          </w:p>
        </w:tc>
        <w:tc>
          <w:tcPr>
            <w:tcW w:w="2126" w:type="dxa"/>
          </w:tcPr>
          <w:p w14:paraId="2851915E" w14:textId="5D7941D7" w:rsidR="00F876B4" w:rsidRPr="00270ACC" w:rsidRDefault="00F876B4" w:rsidP="00270ACC">
            <w:pPr>
              <w:numPr>
                <w:ilvl w:val="0"/>
                <w:numId w:val="7"/>
              </w:numPr>
              <w:spacing w:before="60" w:after="0" w:line="240" w:lineRule="auto"/>
              <w:ind w:left="95" w:hanging="140"/>
              <w:jc w:val="left"/>
              <w:rPr>
                <w:rFonts w:cs="Arial"/>
                <w:sz w:val="16"/>
                <w:szCs w:val="16"/>
                <w:lang w:eastAsia="tr-TR"/>
              </w:rPr>
            </w:pPr>
            <w:r w:rsidRPr="00270ACC">
              <w:rPr>
                <w:rFonts w:cs="Arial"/>
                <w:color w:val="000000"/>
                <w:sz w:val="16"/>
                <w:szCs w:val="16"/>
              </w:rPr>
              <w:t>Minimization</w:t>
            </w:r>
            <w:r w:rsidRPr="00270ACC">
              <w:rPr>
                <w:rFonts w:cs="Arial"/>
                <w:sz w:val="16"/>
                <w:szCs w:val="16"/>
                <w:lang w:eastAsia="tr-TR"/>
              </w:rPr>
              <w:t xml:space="preserve"> and continued improvement in the number of the reported water quality related incidents.</w:t>
            </w:r>
          </w:p>
          <w:p w14:paraId="3B7D2CFC" w14:textId="11133128" w:rsidR="00F55972" w:rsidRPr="00270ACC" w:rsidRDefault="00F233EF"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sz w:val="16"/>
                <w:szCs w:val="16"/>
              </w:rPr>
              <w:lastRenderedPageBreak/>
              <w:t>Compliance with</w:t>
            </w:r>
            <w:r w:rsidR="00BB5A36" w:rsidRPr="00270ACC">
              <w:rPr>
                <w:rFonts w:cs="Arial"/>
                <w:color w:val="000000"/>
                <w:sz w:val="16"/>
                <w:szCs w:val="16"/>
              </w:rPr>
              <w:t xml:space="preserve"> the national regulation limit values </w:t>
            </w:r>
            <w:r w:rsidR="001A1018" w:rsidRPr="00270ACC">
              <w:rPr>
                <w:rFonts w:cs="Arial"/>
                <w:color w:val="000000"/>
                <w:sz w:val="16"/>
                <w:szCs w:val="16"/>
              </w:rPr>
              <w:t xml:space="preserve">for </w:t>
            </w:r>
            <w:r w:rsidR="00BB5A36" w:rsidRPr="00270ACC">
              <w:rPr>
                <w:rFonts w:cs="Arial"/>
                <w:color w:val="000000"/>
                <w:sz w:val="16"/>
                <w:szCs w:val="16"/>
              </w:rPr>
              <w:t>corresponding parameters</w:t>
            </w:r>
          </w:p>
          <w:p w14:paraId="1BB8EF6A" w14:textId="77777777" w:rsidR="00BD3201" w:rsidRPr="00270ACC" w:rsidRDefault="00BD3201"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sz w:val="16"/>
                <w:szCs w:val="16"/>
              </w:rPr>
              <w:t>Zero NCRs per year</w:t>
            </w:r>
          </w:p>
          <w:p w14:paraId="5D6D63C8" w14:textId="77777777" w:rsidR="00BD3201" w:rsidRPr="00270ACC" w:rsidRDefault="00BD3201"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sz w:val="16"/>
                <w:szCs w:val="16"/>
              </w:rPr>
              <w:t>Zero grievances</w:t>
            </w:r>
            <w:r w:rsidRPr="00270ACC">
              <w:rPr>
                <w:rFonts w:cs="Arial"/>
                <w:sz w:val="16"/>
                <w:szCs w:val="16"/>
                <w:lang w:eastAsia="tr-TR"/>
              </w:rPr>
              <w:t xml:space="preserve"> per year</w:t>
            </w:r>
          </w:p>
          <w:p w14:paraId="28D9238F" w14:textId="7750D0EE" w:rsidR="00D770B2" w:rsidRPr="00270ACC" w:rsidRDefault="00D770B2"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sz w:val="16"/>
                <w:szCs w:val="16"/>
              </w:rPr>
              <w:t>No infrastructure damage and damage to loads/humans</w:t>
            </w:r>
          </w:p>
        </w:tc>
        <w:tc>
          <w:tcPr>
            <w:tcW w:w="2074" w:type="dxa"/>
          </w:tcPr>
          <w:p w14:paraId="0C33B6B8" w14:textId="77777777" w:rsidR="00BB5A36" w:rsidRPr="00270ACC" w:rsidRDefault="00BB5A36" w:rsidP="00270ACC">
            <w:pPr>
              <w:numPr>
                <w:ilvl w:val="0"/>
                <w:numId w:val="7"/>
              </w:numPr>
              <w:spacing w:before="60" w:after="0" w:line="240" w:lineRule="auto"/>
              <w:ind w:left="92" w:hanging="168"/>
              <w:jc w:val="left"/>
              <w:rPr>
                <w:rFonts w:cs="Arial"/>
                <w:color w:val="000000"/>
                <w:sz w:val="16"/>
                <w:szCs w:val="16"/>
              </w:rPr>
            </w:pPr>
            <w:r w:rsidRPr="00270ACC">
              <w:rPr>
                <w:rFonts w:cs="Arial"/>
                <w:color w:val="000000"/>
                <w:sz w:val="16"/>
                <w:szCs w:val="16"/>
              </w:rPr>
              <w:lastRenderedPageBreak/>
              <w:t>Regulation on Control of Water Pollution</w:t>
            </w:r>
          </w:p>
          <w:p w14:paraId="36F56944" w14:textId="78B83B95" w:rsidR="000E6940" w:rsidRPr="00270ACC" w:rsidRDefault="000E6940" w:rsidP="00270ACC">
            <w:pPr>
              <w:numPr>
                <w:ilvl w:val="0"/>
                <w:numId w:val="7"/>
              </w:numPr>
              <w:spacing w:before="60" w:after="0" w:line="240" w:lineRule="auto"/>
              <w:ind w:left="92" w:hanging="168"/>
              <w:jc w:val="left"/>
              <w:rPr>
                <w:rFonts w:cs="Arial"/>
                <w:sz w:val="16"/>
                <w:szCs w:val="16"/>
              </w:rPr>
            </w:pPr>
            <w:r w:rsidRPr="00270ACC">
              <w:rPr>
                <w:rFonts w:cs="Arial"/>
                <w:color w:val="000000" w:themeColor="text1"/>
                <w:sz w:val="16"/>
                <w:szCs w:val="16"/>
              </w:rPr>
              <w:t xml:space="preserve">WB General EHS </w:t>
            </w:r>
            <w:r w:rsidR="00D1234A" w:rsidRPr="00270ACC">
              <w:rPr>
                <w:rFonts w:cs="Arial"/>
                <w:color w:val="000000" w:themeColor="text1"/>
                <w:sz w:val="16"/>
                <w:szCs w:val="16"/>
              </w:rPr>
              <w:t>Guidelines: Environmental</w:t>
            </w:r>
            <w:r w:rsidRPr="00270ACC">
              <w:rPr>
                <w:rFonts w:cs="Arial"/>
                <w:color w:val="000000" w:themeColor="text1"/>
                <w:sz w:val="16"/>
                <w:szCs w:val="16"/>
              </w:rPr>
              <w:t xml:space="preserve"> </w:t>
            </w:r>
            <w:r w:rsidRPr="00270ACC">
              <w:rPr>
                <w:rFonts w:cs="Arial"/>
                <w:color w:val="000000" w:themeColor="text1"/>
                <w:sz w:val="16"/>
                <w:szCs w:val="16"/>
              </w:rPr>
              <w:lastRenderedPageBreak/>
              <w:t>Wastewater and Ambient Water Quality</w:t>
            </w:r>
          </w:p>
          <w:p w14:paraId="2D35E7C9" w14:textId="7FD426EC" w:rsidR="000E6940" w:rsidRPr="00270ACC" w:rsidRDefault="000E6940" w:rsidP="00270ACC">
            <w:pPr>
              <w:numPr>
                <w:ilvl w:val="0"/>
                <w:numId w:val="7"/>
              </w:numPr>
              <w:spacing w:before="60" w:after="0" w:line="240" w:lineRule="auto"/>
              <w:ind w:left="92" w:hanging="168"/>
              <w:jc w:val="left"/>
              <w:rPr>
                <w:rFonts w:cs="Arial"/>
                <w:color w:val="000000"/>
                <w:sz w:val="16"/>
                <w:szCs w:val="16"/>
              </w:rPr>
            </w:pPr>
            <w:r w:rsidRPr="00270ACC">
              <w:rPr>
                <w:rFonts w:cs="Arial"/>
                <w:sz w:val="16"/>
                <w:szCs w:val="16"/>
              </w:rPr>
              <w:t>WB ESS 3</w:t>
            </w:r>
          </w:p>
        </w:tc>
        <w:tc>
          <w:tcPr>
            <w:tcW w:w="2037" w:type="dxa"/>
          </w:tcPr>
          <w:p w14:paraId="7E363332" w14:textId="2C81CE9E" w:rsidR="00E71041" w:rsidRPr="00270ACC" w:rsidRDefault="003129F8" w:rsidP="00270ACC">
            <w:pPr>
              <w:numPr>
                <w:ilvl w:val="0"/>
                <w:numId w:val="7"/>
              </w:numPr>
              <w:spacing w:before="60" w:after="0" w:line="240" w:lineRule="auto"/>
              <w:ind w:left="209" w:hanging="181"/>
              <w:jc w:val="left"/>
              <w:rPr>
                <w:rFonts w:cs="Arial"/>
                <w:sz w:val="16"/>
                <w:szCs w:val="16"/>
                <w:lang w:eastAsia="tr-TR"/>
              </w:rPr>
            </w:pPr>
            <w:r w:rsidRPr="00270ACC">
              <w:rPr>
                <w:rFonts w:cs="Arial"/>
                <w:sz w:val="16"/>
                <w:szCs w:val="16"/>
                <w:lang w:eastAsia="tr-TR"/>
              </w:rPr>
              <w:lastRenderedPageBreak/>
              <w:t>Minimum s</w:t>
            </w:r>
            <w:r w:rsidR="00E71041" w:rsidRPr="00270ACC">
              <w:rPr>
                <w:rFonts w:cs="Arial"/>
                <w:sz w:val="16"/>
                <w:szCs w:val="16"/>
                <w:lang w:eastAsia="tr-TR"/>
              </w:rPr>
              <w:t>pill incident</w:t>
            </w:r>
          </w:p>
          <w:p w14:paraId="3938826F" w14:textId="509BA5D8" w:rsidR="00C561C8" w:rsidRPr="00270ACC" w:rsidRDefault="00C561C8" w:rsidP="00270ACC">
            <w:pPr>
              <w:numPr>
                <w:ilvl w:val="0"/>
                <w:numId w:val="7"/>
              </w:numPr>
              <w:spacing w:before="60" w:after="0" w:line="240" w:lineRule="auto"/>
              <w:ind w:left="209" w:hanging="181"/>
              <w:jc w:val="left"/>
              <w:rPr>
                <w:rFonts w:cs="Arial"/>
                <w:sz w:val="16"/>
                <w:szCs w:val="16"/>
                <w:lang w:eastAsia="tr-TR"/>
              </w:rPr>
            </w:pPr>
            <w:r w:rsidRPr="00270ACC">
              <w:rPr>
                <w:rFonts w:cs="Arial"/>
                <w:sz w:val="16"/>
                <w:szCs w:val="16"/>
                <w:lang w:eastAsia="tr-TR"/>
              </w:rPr>
              <w:t>Treated wastewater quality analyses</w:t>
            </w:r>
          </w:p>
          <w:p w14:paraId="558FB468" w14:textId="07653C34" w:rsidR="00083540" w:rsidRPr="00270ACC" w:rsidRDefault="00083540" w:rsidP="00270ACC">
            <w:pPr>
              <w:numPr>
                <w:ilvl w:val="0"/>
                <w:numId w:val="7"/>
              </w:numPr>
              <w:spacing w:before="60" w:after="0" w:line="240" w:lineRule="auto"/>
              <w:ind w:left="209" w:hanging="181"/>
              <w:jc w:val="left"/>
              <w:rPr>
                <w:rFonts w:cs="Arial"/>
                <w:sz w:val="16"/>
                <w:szCs w:val="16"/>
                <w:lang w:eastAsia="tr-TR"/>
              </w:rPr>
            </w:pPr>
            <w:r w:rsidRPr="00270ACC">
              <w:rPr>
                <w:rFonts w:cs="Arial"/>
                <w:sz w:val="16"/>
                <w:szCs w:val="16"/>
                <w:lang w:eastAsia="tr-TR"/>
              </w:rPr>
              <w:t>Non-Compliance with Project standards</w:t>
            </w:r>
          </w:p>
          <w:p w14:paraId="3F38B6EE" w14:textId="77777777" w:rsidR="002F70D2" w:rsidRPr="00270ACC" w:rsidRDefault="0024039A" w:rsidP="00270ACC">
            <w:pPr>
              <w:numPr>
                <w:ilvl w:val="0"/>
                <w:numId w:val="7"/>
              </w:numPr>
              <w:spacing w:before="60" w:after="0" w:line="240" w:lineRule="auto"/>
              <w:ind w:left="209" w:hanging="181"/>
              <w:jc w:val="left"/>
              <w:rPr>
                <w:rFonts w:cs="Arial"/>
                <w:sz w:val="16"/>
                <w:szCs w:val="16"/>
                <w:lang w:eastAsia="tr-TR"/>
              </w:rPr>
            </w:pPr>
            <w:r w:rsidRPr="00270ACC">
              <w:rPr>
                <w:rFonts w:cs="Arial"/>
                <w:sz w:val="16"/>
                <w:szCs w:val="16"/>
                <w:lang w:eastAsia="tr-TR"/>
              </w:rPr>
              <w:lastRenderedPageBreak/>
              <w:t>Wastewater collection system</w:t>
            </w:r>
          </w:p>
          <w:p w14:paraId="0809E4C3" w14:textId="0AE04AD0" w:rsidR="009049CE" w:rsidRPr="00270ACC" w:rsidRDefault="003129F8" w:rsidP="00270ACC">
            <w:pPr>
              <w:numPr>
                <w:ilvl w:val="0"/>
                <w:numId w:val="7"/>
              </w:numPr>
              <w:spacing w:before="60" w:after="0" w:line="240" w:lineRule="auto"/>
              <w:ind w:left="209" w:hanging="181"/>
              <w:jc w:val="left"/>
              <w:rPr>
                <w:rFonts w:cs="Arial"/>
                <w:sz w:val="16"/>
                <w:szCs w:val="16"/>
                <w:lang w:eastAsia="tr-TR"/>
              </w:rPr>
            </w:pPr>
            <w:r w:rsidRPr="00270ACC">
              <w:rPr>
                <w:rFonts w:cs="Arial"/>
                <w:sz w:val="16"/>
                <w:szCs w:val="16"/>
                <w:lang w:eastAsia="tr-TR"/>
              </w:rPr>
              <w:t>Minimum f</w:t>
            </w:r>
            <w:r w:rsidR="009049CE" w:rsidRPr="00270ACC">
              <w:rPr>
                <w:rFonts w:cs="Arial"/>
                <w:sz w:val="16"/>
                <w:szCs w:val="16"/>
                <w:lang w:eastAsia="tr-TR"/>
              </w:rPr>
              <w:t>lood incidents</w:t>
            </w:r>
          </w:p>
        </w:tc>
        <w:tc>
          <w:tcPr>
            <w:tcW w:w="1984" w:type="dxa"/>
          </w:tcPr>
          <w:p w14:paraId="7E99BF0A" w14:textId="46F7160F" w:rsidR="00BB5A36" w:rsidRPr="00270ACC" w:rsidRDefault="00BB5A36"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lastRenderedPageBreak/>
              <w:t>No additional costs</w:t>
            </w:r>
          </w:p>
        </w:tc>
        <w:tc>
          <w:tcPr>
            <w:tcW w:w="2687" w:type="dxa"/>
          </w:tcPr>
          <w:p w14:paraId="6B42D74B" w14:textId="1ADC6228" w:rsidR="00C561C8" w:rsidRPr="00270ACC" w:rsidRDefault="00BB5A36" w:rsidP="00270ACC">
            <w:pPr>
              <w:spacing w:before="0" w:after="0" w:line="240" w:lineRule="auto"/>
              <w:jc w:val="left"/>
              <w:rPr>
                <w:rFonts w:cs="Arial"/>
                <w:color w:val="000000"/>
                <w:sz w:val="16"/>
                <w:szCs w:val="16"/>
              </w:rPr>
            </w:pPr>
            <w:r w:rsidRPr="00270ACC">
              <w:rPr>
                <w:rFonts w:cs="Arial"/>
                <w:color w:val="000000"/>
                <w:sz w:val="16"/>
                <w:szCs w:val="16"/>
              </w:rPr>
              <w:t>TUIOSB</w:t>
            </w:r>
          </w:p>
        </w:tc>
      </w:tr>
      <w:tr w:rsidR="00EB6F28" w:rsidRPr="00270ACC" w14:paraId="1962CEB9" w14:textId="77777777" w:rsidTr="00270ACC">
        <w:trPr>
          <w:trHeight w:val="227"/>
        </w:trPr>
        <w:tc>
          <w:tcPr>
            <w:tcW w:w="2122" w:type="dxa"/>
          </w:tcPr>
          <w:p w14:paraId="3F684862" w14:textId="34CDDAEE" w:rsidR="00C33CDB" w:rsidRPr="00270ACC" w:rsidRDefault="00C33CDB" w:rsidP="00270ACC">
            <w:pPr>
              <w:pStyle w:val="BodyText"/>
              <w:spacing w:before="40" w:after="40" w:line="240" w:lineRule="auto"/>
              <w:jc w:val="left"/>
              <w:rPr>
                <w:rFonts w:cs="Arial"/>
                <w:b/>
                <w:bCs/>
                <w:noProof w:val="0"/>
                <w:sz w:val="16"/>
                <w:szCs w:val="16"/>
              </w:rPr>
            </w:pPr>
            <w:r w:rsidRPr="00270ACC">
              <w:rPr>
                <w:rFonts w:cs="Arial"/>
                <w:b/>
                <w:bCs/>
                <w:noProof w:val="0"/>
                <w:sz w:val="16"/>
                <w:szCs w:val="16"/>
              </w:rPr>
              <w:t>Odour</w:t>
            </w:r>
          </w:p>
        </w:tc>
        <w:tc>
          <w:tcPr>
            <w:tcW w:w="1842" w:type="dxa"/>
          </w:tcPr>
          <w:p w14:paraId="1EADB4E4" w14:textId="5C88A1C3" w:rsidR="00C33CDB" w:rsidRPr="00270ACC" w:rsidRDefault="007B1D73"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WWTP Area, Discharged point and Evcisuyu Stream</w:t>
            </w:r>
          </w:p>
        </w:tc>
        <w:tc>
          <w:tcPr>
            <w:tcW w:w="1985" w:type="dxa"/>
          </w:tcPr>
          <w:p w14:paraId="5F0FD881" w14:textId="77777777" w:rsidR="007B1D73" w:rsidRPr="00270ACC" w:rsidRDefault="007B1D73" w:rsidP="00270ACC">
            <w:pPr>
              <w:shd w:val="clear" w:color="auto" w:fill="FFFFFF"/>
              <w:spacing w:before="60" w:line="240" w:lineRule="auto"/>
              <w:jc w:val="left"/>
              <w:rPr>
                <w:rFonts w:cs="Arial"/>
                <w:color w:val="000000"/>
                <w:sz w:val="16"/>
                <w:szCs w:val="16"/>
              </w:rPr>
            </w:pPr>
            <w:r w:rsidRPr="00270ACC">
              <w:rPr>
                <w:rFonts w:cs="Arial"/>
                <w:color w:val="000000"/>
                <w:sz w:val="16"/>
                <w:szCs w:val="16"/>
              </w:rPr>
              <w:t>During the lifetime of the project.</w:t>
            </w:r>
          </w:p>
          <w:p w14:paraId="7DF1B1A3" w14:textId="77777777" w:rsidR="007B1D73" w:rsidRPr="00270ACC" w:rsidRDefault="007B1D73"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In case of grievance</w:t>
            </w:r>
          </w:p>
          <w:p w14:paraId="090147C7" w14:textId="3C38C62E" w:rsidR="00C33CDB" w:rsidRPr="00270ACC" w:rsidRDefault="007B1D73" w:rsidP="00270ACC">
            <w:pPr>
              <w:shd w:val="clear" w:color="auto" w:fill="FFFFFF"/>
              <w:spacing w:before="60" w:line="240" w:lineRule="auto"/>
              <w:jc w:val="left"/>
              <w:rPr>
                <w:rFonts w:cs="Arial"/>
                <w:color w:val="000000"/>
                <w:sz w:val="16"/>
                <w:szCs w:val="16"/>
              </w:rPr>
            </w:pPr>
            <w:r w:rsidRPr="00270ACC">
              <w:rPr>
                <w:rFonts w:cs="Arial"/>
                <w:color w:val="000000"/>
                <w:sz w:val="16"/>
                <w:szCs w:val="16"/>
              </w:rPr>
              <w:t>Daily</w:t>
            </w:r>
          </w:p>
        </w:tc>
        <w:tc>
          <w:tcPr>
            <w:tcW w:w="2693" w:type="dxa"/>
          </w:tcPr>
          <w:p w14:paraId="112B5292" w14:textId="44394A18" w:rsidR="00C33CDB" w:rsidRPr="00270ACC" w:rsidRDefault="00463507"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sz w:val="16"/>
                <w:szCs w:val="16"/>
              </w:rPr>
              <w:t>Odour concentration (</w:t>
            </w:r>
            <w:r w:rsidR="00F448B3" w:rsidRPr="00270ACC">
              <w:rPr>
                <w:rFonts w:cs="Arial"/>
                <w:color w:val="000000"/>
                <w:sz w:val="16"/>
                <w:szCs w:val="16"/>
              </w:rPr>
              <w:t>Odour</w:t>
            </w:r>
            <w:r w:rsidR="000B7426" w:rsidRPr="00270ACC">
              <w:rPr>
                <w:rFonts w:cs="Arial"/>
                <w:color w:val="000000"/>
                <w:sz w:val="16"/>
                <w:szCs w:val="16"/>
              </w:rPr>
              <w:t xml:space="preserve"> </w:t>
            </w:r>
            <w:r w:rsidR="00E11E9E" w:rsidRPr="00270ACC">
              <w:rPr>
                <w:rFonts w:cs="Arial"/>
                <w:color w:val="000000"/>
                <w:sz w:val="16"/>
                <w:szCs w:val="16"/>
              </w:rPr>
              <w:t>U</w:t>
            </w:r>
            <w:r w:rsidR="000B7426" w:rsidRPr="00270ACC">
              <w:rPr>
                <w:rFonts w:cs="Arial"/>
                <w:color w:val="000000"/>
                <w:sz w:val="16"/>
                <w:szCs w:val="16"/>
              </w:rPr>
              <w:t>nit/m</w:t>
            </w:r>
            <w:r w:rsidR="000B7426" w:rsidRPr="00270ACC">
              <w:rPr>
                <w:rFonts w:cs="Arial"/>
                <w:color w:val="000000"/>
                <w:sz w:val="16"/>
                <w:szCs w:val="16"/>
                <w:vertAlign w:val="superscript"/>
              </w:rPr>
              <w:t>3</w:t>
            </w:r>
            <w:r w:rsidRPr="00270ACC">
              <w:rPr>
                <w:rFonts w:cs="Arial"/>
                <w:color w:val="000000"/>
                <w:sz w:val="16"/>
                <w:szCs w:val="16"/>
              </w:rPr>
              <w:t>)</w:t>
            </w:r>
          </w:p>
        </w:tc>
        <w:tc>
          <w:tcPr>
            <w:tcW w:w="1418" w:type="dxa"/>
          </w:tcPr>
          <w:p w14:paraId="460B6422" w14:textId="3F31B938" w:rsidR="00C33CDB" w:rsidRPr="00270ACC" w:rsidRDefault="00E11E9E" w:rsidP="00270ACC">
            <w:pPr>
              <w:numPr>
                <w:ilvl w:val="0"/>
                <w:numId w:val="7"/>
              </w:numPr>
              <w:spacing w:before="60" w:after="0" w:line="240" w:lineRule="auto"/>
              <w:ind w:left="137" w:hanging="154"/>
              <w:jc w:val="left"/>
              <w:rPr>
                <w:rFonts w:cs="Arial"/>
                <w:color w:val="000000"/>
                <w:sz w:val="16"/>
                <w:szCs w:val="16"/>
              </w:rPr>
            </w:pPr>
            <w:r w:rsidRPr="00270ACC">
              <w:rPr>
                <w:rFonts w:cs="Arial"/>
                <w:color w:val="000000"/>
                <w:sz w:val="16"/>
                <w:szCs w:val="16"/>
              </w:rPr>
              <w:t>Sampling Analysis results</w:t>
            </w:r>
          </w:p>
        </w:tc>
        <w:tc>
          <w:tcPr>
            <w:tcW w:w="2126" w:type="dxa"/>
          </w:tcPr>
          <w:p w14:paraId="2CBC6176" w14:textId="6072DD8D" w:rsidR="00C33CDB" w:rsidRPr="00270ACC" w:rsidRDefault="0064525D"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sz w:val="16"/>
                <w:szCs w:val="16"/>
              </w:rPr>
              <w:t xml:space="preserve">Minimization and continued improvement in the number of the reported </w:t>
            </w:r>
            <w:r w:rsidR="005A0D9D" w:rsidRPr="00270ACC">
              <w:rPr>
                <w:rFonts w:cs="Arial"/>
                <w:color w:val="000000"/>
                <w:sz w:val="16"/>
                <w:szCs w:val="16"/>
              </w:rPr>
              <w:t>odour</w:t>
            </w:r>
            <w:r w:rsidRPr="00270ACC">
              <w:rPr>
                <w:rFonts w:cs="Arial"/>
                <w:color w:val="000000"/>
                <w:sz w:val="16"/>
                <w:szCs w:val="16"/>
              </w:rPr>
              <w:t xml:space="preserve"> related incidents</w:t>
            </w:r>
          </w:p>
          <w:p w14:paraId="50BFCAFF" w14:textId="77777777" w:rsidR="0064525D" w:rsidRPr="00270ACC" w:rsidRDefault="00E77898"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sz w:val="16"/>
                <w:szCs w:val="16"/>
              </w:rPr>
              <w:t>Zero NCRs per year</w:t>
            </w:r>
          </w:p>
          <w:p w14:paraId="7B90644C" w14:textId="77777777" w:rsidR="00E77898" w:rsidRPr="00270ACC" w:rsidRDefault="005A0D9D"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sz w:val="16"/>
                <w:szCs w:val="16"/>
              </w:rPr>
              <w:t>Zero grievances per year</w:t>
            </w:r>
          </w:p>
          <w:p w14:paraId="3E0D55ED" w14:textId="43EDB0AB" w:rsidR="008D53BC" w:rsidRPr="00270ACC" w:rsidRDefault="008D53BC" w:rsidP="00270ACC">
            <w:pPr>
              <w:numPr>
                <w:ilvl w:val="0"/>
                <w:numId w:val="7"/>
              </w:numPr>
              <w:spacing w:before="60" w:after="0" w:line="240" w:lineRule="auto"/>
              <w:ind w:left="95" w:hanging="140"/>
              <w:jc w:val="left"/>
              <w:rPr>
                <w:rFonts w:cs="Arial"/>
                <w:color w:val="000000"/>
                <w:sz w:val="16"/>
                <w:szCs w:val="16"/>
              </w:rPr>
            </w:pPr>
            <w:r w:rsidRPr="00270ACC">
              <w:rPr>
                <w:rFonts w:cs="Arial"/>
                <w:color w:val="000000"/>
                <w:sz w:val="16"/>
                <w:szCs w:val="16"/>
              </w:rPr>
              <w:t>Odo</w:t>
            </w:r>
            <w:r w:rsidR="0058251E" w:rsidRPr="00270ACC">
              <w:rPr>
                <w:rFonts w:cs="Arial"/>
                <w:color w:val="000000"/>
                <w:sz w:val="16"/>
                <w:szCs w:val="16"/>
              </w:rPr>
              <w:t xml:space="preserve">ur </w:t>
            </w:r>
            <w:r w:rsidRPr="00270ACC">
              <w:rPr>
                <w:rFonts w:cs="Arial"/>
                <w:color w:val="000000"/>
                <w:sz w:val="16"/>
                <w:szCs w:val="16"/>
              </w:rPr>
              <w:t>Management Plan</w:t>
            </w:r>
          </w:p>
        </w:tc>
        <w:tc>
          <w:tcPr>
            <w:tcW w:w="2074" w:type="dxa"/>
          </w:tcPr>
          <w:p w14:paraId="20A63C51" w14:textId="35C74B3A" w:rsidR="00C33CDB" w:rsidRPr="00270ACC" w:rsidRDefault="00A649C3" w:rsidP="00270ACC">
            <w:pPr>
              <w:numPr>
                <w:ilvl w:val="0"/>
                <w:numId w:val="7"/>
              </w:numPr>
              <w:spacing w:before="60" w:after="0" w:line="240" w:lineRule="auto"/>
              <w:ind w:left="92" w:hanging="168"/>
              <w:jc w:val="left"/>
              <w:rPr>
                <w:rFonts w:cs="Arial"/>
                <w:color w:val="000000"/>
                <w:sz w:val="16"/>
                <w:szCs w:val="16"/>
              </w:rPr>
            </w:pPr>
            <w:r w:rsidRPr="00270ACC">
              <w:rPr>
                <w:rFonts w:cs="Arial"/>
                <w:color w:val="000000"/>
                <w:sz w:val="16"/>
                <w:szCs w:val="16"/>
              </w:rPr>
              <w:t>Regulation on the Control of Odour-Creating Emissions</w:t>
            </w:r>
          </w:p>
        </w:tc>
        <w:tc>
          <w:tcPr>
            <w:tcW w:w="2037" w:type="dxa"/>
          </w:tcPr>
          <w:p w14:paraId="7C0E6ED8" w14:textId="59A2B5A6" w:rsidR="00C33CDB" w:rsidRPr="00270ACC" w:rsidRDefault="003129F8" w:rsidP="00270ACC">
            <w:pPr>
              <w:numPr>
                <w:ilvl w:val="0"/>
                <w:numId w:val="7"/>
              </w:numPr>
              <w:spacing w:before="60" w:after="0" w:line="240" w:lineRule="auto"/>
              <w:ind w:left="209" w:hanging="181"/>
              <w:jc w:val="left"/>
              <w:rPr>
                <w:rFonts w:cs="Arial"/>
                <w:sz w:val="16"/>
                <w:szCs w:val="16"/>
                <w:lang w:eastAsia="tr-TR"/>
              </w:rPr>
            </w:pPr>
            <w:r w:rsidRPr="00270ACC">
              <w:rPr>
                <w:rFonts w:cs="Arial"/>
                <w:sz w:val="16"/>
                <w:szCs w:val="16"/>
                <w:lang w:eastAsia="tr-TR"/>
              </w:rPr>
              <w:t>Minimum o</w:t>
            </w:r>
            <w:r w:rsidR="005A0D9D" w:rsidRPr="00270ACC">
              <w:rPr>
                <w:rFonts w:cs="Arial"/>
                <w:sz w:val="16"/>
                <w:szCs w:val="16"/>
                <w:lang w:eastAsia="tr-TR"/>
              </w:rPr>
              <w:t>dour</w:t>
            </w:r>
            <w:r w:rsidR="00044D80" w:rsidRPr="00270ACC">
              <w:rPr>
                <w:rFonts w:cs="Arial"/>
                <w:sz w:val="16"/>
                <w:szCs w:val="16"/>
                <w:lang w:eastAsia="tr-TR"/>
              </w:rPr>
              <w:t xml:space="preserve"> incidents</w:t>
            </w:r>
          </w:p>
          <w:p w14:paraId="0266BBE8" w14:textId="579F3B8A" w:rsidR="00044D80" w:rsidRPr="00270ACC" w:rsidRDefault="008937A1" w:rsidP="00270ACC">
            <w:pPr>
              <w:numPr>
                <w:ilvl w:val="0"/>
                <w:numId w:val="7"/>
              </w:numPr>
              <w:spacing w:before="60" w:after="0" w:line="240" w:lineRule="auto"/>
              <w:ind w:left="209" w:hanging="181"/>
              <w:jc w:val="left"/>
              <w:rPr>
                <w:rFonts w:cs="Arial"/>
                <w:sz w:val="16"/>
                <w:szCs w:val="16"/>
                <w:lang w:eastAsia="tr-TR"/>
              </w:rPr>
            </w:pPr>
            <w:r w:rsidRPr="00270ACC">
              <w:rPr>
                <w:rFonts w:cs="Arial"/>
                <w:sz w:val="16"/>
                <w:szCs w:val="16"/>
                <w:lang w:eastAsia="tr-TR"/>
              </w:rPr>
              <w:t xml:space="preserve">Non-Compliance with </w:t>
            </w:r>
            <w:r w:rsidR="005A0D9D" w:rsidRPr="00270ACC">
              <w:rPr>
                <w:rFonts w:cs="Arial"/>
                <w:sz w:val="16"/>
                <w:szCs w:val="16"/>
                <w:lang w:eastAsia="tr-TR"/>
              </w:rPr>
              <w:t>odour</w:t>
            </w:r>
            <w:r w:rsidRPr="00270ACC">
              <w:rPr>
                <w:rFonts w:cs="Arial"/>
                <w:sz w:val="16"/>
                <w:szCs w:val="16"/>
                <w:lang w:eastAsia="tr-TR"/>
              </w:rPr>
              <w:t xml:space="preserve"> standards</w:t>
            </w:r>
          </w:p>
          <w:p w14:paraId="2464B363" w14:textId="5E866B7A" w:rsidR="008937A1" w:rsidRPr="00270ACC" w:rsidRDefault="00491871" w:rsidP="00270ACC">
            <w:pPr>
              <w:numPr>
                <w:ilvl w:val="0"/>
                <w:numId w:val="7"/>
              </w:numPr>
              <w:spacing w:before="60" w:after="0" w:line="240" w:lineRule="auto"/>
              <w:ind w:left="209" w:hanging="181"/>
              <w:jc w:val="left"/>
              <w:rPr>
                <w:rFonts w:cs="Arial"/>
                <w:sz w:val="16"/>
                <w:szCs w:val="16"/>
                <w:lang w:eastAsia="tr-TR"/>
              </w:rPr>
            </w:pPr>
            <w:r w:rsidRPr="00270ACC">
              <w:rPr>
                <w:rFonts w:cs="Arial"/>
                <w:sz w:val="16"/>
                <w:szCs w:val="16"/>
                <w:lang w:eastAsia="tr-TR"/>
              </w:rPr>
              <w:t>Community complaints</w:t>
            </w:r>
          </w:p>
        </w:tc>
        <w:tc>
          <w:tcPr>
            <w:tcW w:w="1984" w:type="dxa"/>
          </w:tcPr>
          <w:p w14:paraId="4642AD23" w14:textId="07DA47D7" w:rsidR="00C33CDB" w:rsidRPr="00270ACC" w:rsidRDefault="00005A7B"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No additional costs</w:t>
            </w:r>
          </w:p>
        </w:tc>
        <w:tc>
          <w:tcPr>
            <w:tcW w:w="2687" w:type="dxa"/>
          </w:tcPr>
          <w:p w14:paraId="06F8FF32" w14:textId="456D1135" w:rsidR="00C33CDB" w:rsidRPr="00270ACC" w:rsidRDefault="00005A7B" w:rsidP="00270ACC">
            <w:pPr>
              <w:spacing w:before="0" w:after="0" w:line="240" w:lineRule="auto"/>
              <w:jc w:val="left"/>
              <w:rPr>
                <w:rFonts w:cs="Arial"/>
                <w:color w:val="000000"/>
                <w:sz w:val="16"/>
                <w:szCs w:val="16"/>
              </w:rPr>
            </w:pPr>
            <w:r w:rsidRPr="00270ACC">
              <w:rPr>
                <w:rFonts w:cs="Arial"/>
                <w:color w:val="000000"/>
                <w:sz w:val="16"/>
                <w:szCs w:val="16"/>
              </w:rPr>
              <w:t>TUIOSB</w:t>
            </w:r>
          </w:p>
        </w:tc>
      </w:tr>
      <w:tr w:rsidR="00EB6F28" w:rsidRPr="00270ACC" w14:paraId="384A8824" w14:textId="77777777" w:rsidTr="00270ACC">
        <w:trPr>
          <w:trHeight w:val="227"/>
        </w:trPr>
        <w:tc>
          <w:tcPr>
            <w:tcW w:w="2122" w:type="dxa"/>
          </w:tcPr>
          <w:p w14:paraId="7285E9E0" w14:textId="77777777" w:rsidR="00BB5A36" w:rsidRPr="00270ACC" w:rsidRDefault="00BB5A36" w:rsidP="00270ACC">
            <w:pPr>
              <w:pStyle w:val="BodyText"/>
              <w:spacing w:before="40" w:after="40" w:line="240" w:lineRule="auto"/>
              <w:jc w:val="left"/>
              <w:rPr>
                <w:rFonts w:cs="Arial"/>
                <w:b/>
                <w:bCs/>
                <w:noProof w:val="0"/>
                <w:sz w:val="16"/>
                <w:szCs w:val="16"/>
              </w:rPr>
            </w:pPr>
            <w:r w:rsidRPr="00270ACC">
              <w:rPr>
                <w:rFonts w:cs="Arial"/>
                <w:b/>
                <w:bCs/>
                <w:noProof w:val="0"/>
                <w:sz w:val="16"/>
                <w:szCs w:val="16"/>
              </w:rPr>
              <w:t>Water Use</w:t>
            </w:r>
          </w:p>
        </w:tc>
        <w:tc>
          <w:tcPr>
            <w:tcW w:w="1842" w:type="dxa"/>
          </w:tcPr>
          <w:p w14:paraId="166A34B5" w14:textId="45E156A8" w:rsidR="00BB5A36" w:rsidRPr="00270ACC" w:rsidRDefault="00BB5A36"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Project area and OIZ</w:t>
            </w:r>
          </w:p>
        </w:tc>
        <w:tc>
          <w:tcPr>
            <w:tcW w:w="1985" w:type="dxa"/>
          </w:tcPr>
          <w:p w14:paraId="0374C0D3" w14:textId="77777777" w:rsidR="00BB5A36" w:rsidRPr="00270ACC" w:rsidRDefault="00BB5A36" w:rsidP="00270ACC">
            <w:pPr>
              <w:shd w:val="clear" w:color="auto" w:fill="FFFFFF"/>
              <w:spacing w:before="60" w:line="240" w:lineRule="auto"/>
              <w:jc w:val="left"/>
              <w:rPr>
                <w:rFonts w:cs="Arial"/>
                <w:color w:val="000000"/>
                <w:sz w:val="16"/>
                <w:szCs w:val="16"/>
              </w:rPr>
            </w:pPr>
            <w:r w:rsidRPr="00270ACC">
              <w:rPr>
                <w:rFonts w:cs="Arial"/>
                <w:color w:val="000000"/>
                <w:sz w:val="16"/>
                <w:szCs w:val="16"/>
              </w:rPr>
              <w:t>During the lifetime of the project.</w:t>
            </w:r>
          </w:p>
          <w:p w14:paraId="3116138E" w14:textId="77777777" w:rsidR="00BB5A36" w:rsidRPr="00270ACC" w:rsidRDefault="00BB5A36" w:rsidP="00270ACC">
            <w:pPr>
              <w:spacing w:before="0" w:after="0" w:line="240" w:lineRule="auto"/>
              <w:jc w:val="left"/>
              <w:rPr>
                <w:rFonts w:cs="Arial"/>
                <w:color w:val="000000"/>
                <w:sz w:val="16"/>
                <w:szCs w:val="16"/>
              </w:rPr>
            </w:pPr>
            <w:r w:rsidRPr="00270ACC">
              <w:rPr>
                <w:rFonts w:cs="Arial"/>
                <w:sz w:val="16"/>
                <w:szCs w:val="16"/>
              </w:rPr>
              <w:t>Monthly</w:t>
            </w:r>
          </w:p>
        </w:tc>
        <w:tc>
          <w:tcPr>
            <w:tcW w:w="2693" w:type="dxa"/>
          </w:tcPr>
          <w:p w14:paraId="36F8EB34" w14:textId="77777777" w:rsidR="00BB5A36" w:rsidRPr="00270ACC" w:rsidRDefault="00BB5A36" w:rsidP="00270ACC">
            <w:pPr>
              <w:numPr>
                <w:ilvl w:val="0"/>
                <w:numId w:val="7"/>
              </w:numPr>
              <w:spacing w:before="60" w:after="0" w:line="240" w:lineRule="auto"/>
              <w:ind w:left="95" w:hanging="140"/>
              <w:jc w:val="left"/>
              <w:rPr>
                <w:rFonts w:cs="Arial"/>
                <w:sz w:val="16"/>
                <w:szCs w:val="16"/>
              </w:rPr>
            </w:pPr>
            <w:r w:rsidRPr="00270ACC">
              <w:rPr>
                <w:rFonts w:cs="Arial"/>
                <w:sz w:val="16"/>
                <w:szCs w:val="16"/>
              </w:rPr>
              <w:t xml:space="preserve">Water </w:t>
            </w:r>
            <w:r w:rsidRPr="00270ACC">
              <w:rPr>
                <w:rFonts w:cs="Arial"/>
                <w:color w:val="000000" w:themeColor="text1"/>
                <w:sz w:val="16"/>
                <w:szCs w:val="16"/>
              </w:rPr>
              <w:t>Flowrate</w:t>
            </w:r>
          </w:p>
        </w:tc>
        <w:tc>
          <w:tcPr>
            <w:tcW w:w="1418" w:type="dxa"/>
          </w:tcPr>
          <w:p w14:paraId="066401B6" w14:textId="77777777" w:rsidR="00BB5A36" w:rsidRPr="00270ACC" w:rsidRDefault="00BB5A36" w:rsidP="00270ACC">
            <w:pPr>
              <w:numPr>
                <w:ilvl w:val="0"/>
                <w:numId w:val="7"/>
              </w:numPr>
              <w:spacing w:before="60" w:after="0" w:line="240" w:lineRule="auto"/>
              <w:ind w:left="137" w:hanging="154"/>
              <w:jc w:val="left"/>
              <w:rPr>
                <w:rFonts w:cs="Arial"/>
                <w:color w:val="000000"/>
                <w:sz w:val="16"/>
                <w:szCs w:val="16"/>
              </w:rPr>
            </w:pPr>
            <w:r w:rsidRPr="00270ACC">
              <w:rPr>
                <w:rFonts w:cs="Arial"/>
                <w:color w:val="000000" w:themeColor="text1"/>
                <w:sz w:val="16"/>
                <w:szCs w:val="16"/>
              </w:rPr>
              <w:t>Permit for Wells</w:t>
            </w:r>
          </w:p>
          <w:p w14:paraId="45A25219" w14:textId="77777777" w:rsidR="00BB5A36" w:rsidRPr="00270ACC" w:rsidRDefault="00BB5A36" w:rsidP="00270ACC">
            <w:pPr>
              <w:numPr>
                <w:ilvl w:val="0"/>
                <w:numId w:val="7"/>
              </w:numPr>
              <w:spacing w:before="60" w:after="0" w:line="240" w:lineRule="auto"/>
              <w:ind w:left="137" w:hanging="154"/>
              <w:jc w:val="left"/>
              <w:rPr>
                <w:rFonts w:cs="Arial"/>
                <w:color w:val="000000"/>
                <w:sz w:val="16"/>
                <w:szCs w:val="16"/>
              </w:rPr>
            </w:pPr>
            <w:r w:rsidRPr="00270ACC">
              <w:rPr>
                <w:rFonts w:cs="Arial"/>
                <w:color w:val="000000" w:themeColor="text1"/>
                <w:sz w:val="16"/>
                <w:szCs w:val="16"/>
              </w:rPr>
              <w:t>With well counter or water meter reading</w:t>
            </w:r>
          </w:p>
        </w:tc>
        <w:tc>
          <w:tcPr>
            <w:tcW w:w="2126" w:type="dxa"/>
          </w:tcPr>
          <w:p w14:paraId="7F345EA6" w14:textId="77777777" w:rsidR="00BB5A36" w:rsidRPr="00270ACC" w:rsidRDefault="00BB5A36" w:rsidP="00270ACC">
            <w:pPr>
              <w:numPr>
                <w:ilvl w:val="0"/>
                <w:numId w:val="7"/>
              </w:numPr>
              <w:spacing w:before="0" w:after="0" w:line="240" w:lineRule="auto"/>
              <w:ind w:left="209" w:hanging="180"/>
              <w:jc w:val="left"/>
              <w:rPr>
                <w:rFonts w:eastAsia="Calibri" w:cs="Arial"/>
                <w:color w:val="000000"/>
                <w:sz w:val="16"/>
                <w:szCs w:val="16"/>
                <w:lang w:eastAsia="en-US"/>
              </w:rPr>
            </w:pPr>
            <w:r w:rsidRPr="00270ACC">
              <w:rPr>
                <w:rFonts w:eastAsia="Calibri" w:cs="Arial"/>
                <w:color w:val="000000" w:themeColor="text1"/>
                <w:sz w:val="16"/>
                <w:szCs w:val="16"/>
                <w:lang w:eastAsia="en-US"/>
              </w:rPr>
              <w:t>Permit in place.</w:t>
            </w:r>
          </w:p>
          <w:p w14:paraId="41CC3DEF" w14:textId="77777777" w:rsidR="00BB5A36" w:rsidRPr="00270ACC" w:rsidRDefault="00BB5A36" w:rsidP="00270ACC">
            <w:pPr>
              <w:numPr>
                <w:ilvl w:val="0"/>
                <w:numId w:val="7"/>
              </w:numPr>
              <w:spacing w:before="0" w:after="0" w:line="240" w:lineRule="auto"/>
              <w:ind w:left="209" w:hanging="180"/>
              <w:jc w:val="left"/>
              <w:rPr>
                <w:rFonts w:eastAsia="Calibri" w:cs="Arial"/>
                <w:color w:val="000000"/>
                <w:sz w:val="16"/>
                <w:szCs w:val="16"/>
                <w:lang w:eastAsia="en-US"/>
              </w:rPr>
            </w:pPr>
            <w:r w:rsidRPr="00270ACC">
              <w:rPr>
                <w:rFonts w:eastAsia="Calibri" w:cs="Arial"/>
                <w:color w:val="000000" w:themeColor="text1"/>
                <w:sz w:val="16"/>
                <w:szCs w:val="16"/>
                <w:lang w:eastAsia="en-US"/>
              </w:rPr>
              <w:t>Sustainable Water Management</w:t>
            </w:r>
          </w:p>
          <w:p w14:paraId="171FF0C8" w14:textId="6FDAFFCD" w:rsidR="00EE2D1A" w:rsidRPr="00270ACC" w:rsidRDefault="00EE2D1A" w:rsidP="00270ACC">
            <w:pPr>
              <w:numPr>
                <w:ilvl w:val="0"/>
                <w:numId w:val="7"/>
              </w:numPr>
              <w:spacing w:before="0" w:after="0" w:line="240" w:lineRule="auto"/>
              <w:ind w:left="209" w:hanging="180"/>
              <w:jc w:val="left"/>
              <w:rPr>
                <w:rFonts w:eastAsia="Calibri" w:cs="Arial"/>
                <w:color w:val="000000"/>
                <w:sz w:val="16"/>
                <w:szCs w:val="16"/>
                <w:lang w:eastAsia="en-US"/>
              </w:rPr>
            </w:pPr>
            <w:r w:rsidRPr="00270ACC">
              <w:rPr>
                <w:rFonts w:eastAsia="Calibri" w:cs="Arial"/>
                <w:color w:val="000000"/>
                <w:sz w:val="16"/>
                <w:szCs w:val="16"/>
                <w:lang w:eastAsia="en-US"/>
              </w:rPr>
              <w:t>No significant adverse impact</w:t>
            </w:r>
          </w:p>
        </w:tc>
        <w:tc>
          <w:tcPr>
            <w:tcW w:w="2074" w:type="dxa"/>
          </w:tcPr>
          <w:p w14:paraId="3F64E07A" w14:textId="77777777" w:rsidR="00BB5A36" w:rsidRPr="00270ACC" w:rsidRDefault="00BB5A36" w:rsidP="00270ACC">
            <w:pPr>
              <w:numPr>
                <w:ilvl w:val="0"/>
                <w:numId w:val="7"/>
              </w:numPr>
              <w:spacing w:before="60" w:after="0" w:line="240" w:lineRule="auto"/>
              <w:ind w:left="92" w:hanging="168"/>
              <w:jc w:val="left"/>
              <w:rPr>
                <w:rFonts w:cs="Arial"/>
                <w:color w:val="000000"/>
                <w:sz w:val="16"/>
                <w:szCs w:val="16"/>
              </w:rPr>
            </w:pPr>
            <w:r w:rsidRPr="00270ACC">
              <w:rPr>
                <w:rFonts w:cs="Arial"/>
                <w:color w:val="000000" w:themeColor="text1"/>
                <w:sz w:val="16"/>
                <w:szCs w:val="16"/>
              </w:rPr>
              <w:t>WB ESS-3</w:t>
            </w:r>
          </w:p>
          <w:p w14:paraId="1C048E86" w14:textId="77777777" w:rsidR="00BB5A36" w:rsidRPr="00270ACC" w:rsidRDefault="00BB5A36" w:rsidP="00270ACC">
            <w:pPr>
              <w:numPr>
                <w:ilvl w:val="0"/>
                <w:numId w:val="7"/>
              </w:numPr>
              <w:spacing w:before="60" w:after="0" w:line="240" w:lineRule="auto"/>
              <w:ind w:left="92" w:hanging="168"/>
              <w:jc w:val="left"/>
              <w:rPr>
                <w:rFonts w:cs="Arial"/>
                <w:color w:val="000000"/>
                <w:sz w:val="16"/>
                <w:szCs w:val="16"/>
              </w:rPr>
            </w:pPr>
            <w:r w:rsidRPr="00270ACC">
              <w:rPr>
                <w:rFonts w:cs="Arial"/>
                <w:color w:val="000000" w:themeColor="text1"/>
                <w:sz w:val="16"/>
                <w:szCs w:val="16"/>
              </w:rPr>
              <w:t>Permitted flowrate of water for each well</w:t>
            </w:r>
          </w:p>
        </w:tc>
        <w:tc>
          <w:tcPr>
            <w:tcW w:w="2037" w:type="dxa"/>
          </w:tcPr>
          <w:p w14:paraId="75DC7B3A" w14:textId="77777777" w:rsidR="00BB5A36" w:rsidRPr="00270ACC" w:rsidRDefault="00BB5A36" w:rsidP="00270ACC">
            <w:pPr>
              <w:numPr>
                <w:ilvl w:val="0"/>
                <w:numId w:val="7"/>
              </w:numPr>
              <w:spacing w:before="0" w:after="0" w:line="240" w:lineRule="auto"/>
              <w:ind w:left="209" w:hanging="180"/>
              <w:jc w:val="left"/>
              <w:rPr>
                <w:rFonts w:cs="Arial"/>
                <w:color w:val="000000"/>
                <w:sz w:val="16"/>
                <w:szCs w:val="16"/>
              </w:rPr>
            </w:pPr>
            <w:r w:rsidRPr="00270ACC">
              <w:rPr>
                <w:rFonts w:cs="Arial"/>
                <w:color w:val="000000" w:themeColor="text1"/>
                <w:sz w:val="16"/>
                <w:szCs w:val="16"/>
              </w:rPr>
              <w:t>Permit</w:t>
            </w:r>
          </w:p>
          <w:p w14:paraId="328E1CEE" w14:textId="77777777" w:rsidR="00BB5A36" w:rsidRPr="00270ACC" w:rsidRDefault="00BB5A36" w:rsidP="00270ACC">
            <w:pPr>
              <w:numPr>
                <w:ilvl w:val="0"/>
                <w:numId w:val="7"/>
              </w:numPr>
              <w:spacing w:before="0" w:after="0" w:line="240" w:lineRule="auto"/>
              <w:ind w:left="209" w:hanging="180"/>
              <w:jc w:val="left"/>
              <w:rPr>
                <w:rFonts w:cs="Arial"/>
                <w:color w:val="000000"/>
                <w:sz w:val="16"/>
                <w:szCs w:val="16"/>
              </w:rPr>
            </w:pPr>
            <w:r w:rsidRPr="00270ACC">
              <w:rPr>
                <w:rFonts w:cs="Arial"/>
                <w:color w:val="000000" w:themeColor="text1"/>
                <w:sz w:val="16"/>
                <w:szCs w:val="16"/>
              </w:rPr>
              <w:t>Percentage of used water flowrate for each well</w:t>
            </w:r>
          </w:p>
          <w:p w14:paraId="26704407" w14:textId="4AEAA592" w:rsidR="00095FAA" w:rsidRPr="00270ACC" w:rsidRDefault="00095FAA" w:rsidP="00270ACC">
            <w:pPr>
              <w:numPr>
                <w:ilvl w:val="0"/>
                <w:numId w:val="7"/>
              </w:numPr>
              <w:spacing w:before="0" w:after="0" w:line="240" w:lineRule="auto"/>
              <w:ind w:left="209" w:hanging="180"/>
              <w:jc w:val="left"/>
              <w:rPr>
                <w:rFonts w:cs="Arial"/>
                <w:sz w:val="16"/>
                <w:szCs w:val="16"/>
              </w:rPr>
            </w:pPr>
            <w:r w:rsidRPr="00270ACC">
              <w:rPr>
                <w:rFonts w:cs="Arial"/>
                <w:color w:val="000000" w:themeColor="text1"/>
                <w:sz w:val="16"/>
                <w:szCs w:val="16"/>
              </w:rPr>
              <w:t>Groundwater</w:t>
            </w:r>
            <w:r w:rsidRPr="00270ACC">
              <w:rPr>
                <w:rFonts w:cs="Arial"/>
                <w:sz w:val="16"/>
                <w:szCs w:val="16"/>
              </w:rPr>
              <w:t xml:space="preserve"> levels of the community/private wells</w:t>
            </w:r>
          </w:p>
        </w:tc>
        <w:tc>
          <w:tcPr>
            <w:tcW w:w="1984" w:type="dxa"/>
          </w:tcPr>
          <w:p w14:paraId="3BEE8002" w14:textId="77777777" w:rsidR="00BB5A36" w:rsidRPr="00270ACC" w:rsidRDefault="00BB5A36"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No additional costs</w:t>
            </w:r>
          </w:p>
        </w:tc>
        <w:tc>
          <w:tcPr>
            <w:tcW w:w="2687" w:type="dxa"/>
          </w:tcPr>
          <w:p w14:paraId="47B1A0CC" w14:textId="6D99A58C" w:rsidR="00BB5A36" w:rsidRPr="00270ACC" w:rsidRDefault="00BB5A36" w:rsidP="00270ACC">
            <w:pPr>
              <w:spacing w:before="0" w:after="0" w:line="240" w:lineRule="auto"/>
              <w:jc w:val="left"/>
              <w:rPr>
                <w:rFonts w:cs="Arial"/>
                <w:color w:val="000000"/>
                <w:sz w:val="16"/>
                <w:szCs w:val="16"/>
              </w:rPr>
            </w:pPr>
            <w:r w:rsidRPr="00270ACC">
              <w:rPr>
                <w:rFonts w:cs="Arial"/>
                <w:color w:val="000000"/>
                <w:sz w:val="16"/>
                <w:szCs w:val="16"/>
              </w:rPr>
              <w:t>TUIOSB</w:t>
            </w:r>
          </w:p>
          <w:p w14:paraId="0472844F" w14:textId="70C65534" w:rsidR="00BB5A36" w:rsidRPr="00270ACC" w:rsidRDefault="00BB5A36" w:rsidP="00270ACC">
            <w:pPr>
              <w:spacing w:before="0" w:after="0" w:line="240" w:lineRule="auto"/>
              <w:jc w:val="left"/>
              <w:rPr>
                <w:rFonts w:cs="Arial"/>
                <w:color w:val="000000"/>
                <w:sz w:val="16"/>
                <w:szCs w:val="16"/>
              </w:rPr>
            </w:pPr>
          </w:p>
        </w:tc>
      </w:tr>
      <w:tr w:rsidR="006C5C9B" w:rsidRPr="00270ACC" w14:paraId="3081D62C" w14:textId="77777777" w:rsidTr="00270ACC">
        <w:trPr>
          <w:trHeight w:val="227"/>
        </w:trPr>
        <w:tc>
          <w:tcPr>
            <w:tcW w:w="2122" w:type="dxa"/>
          </w:tcPr>
          <w:p w14:paraId="1AD7AF7F" w14:textId="1A324800" w:rsidR="006C5C9B" w:rsidRPr="00270ACC" w:rsidRDefault="006C5C9B" w:rsidP="00270ACC">
            <w:pPr>
              <w:pStyle w:val="BodyText"/>
              <w:spacing w:before="40" w:after="40" w:line="240" w:lineRule="auto"/>
              <w:jc w:val="left"/>
              <w:rPr>
                <w:rFonts w:cs="Arial"/>
                <w:b/>
                <w:bCs/>
                <w:noProof w:val="0"/>
                <w:sz w:val="16"/>
                <w:szCs w:val="16"/>
              </w:rPr>
            </w:pPr>
            <w:r w:rsidRPr="00270ACC">
              <w:rPr>
                <w:rFonts w:cs="Arial"/>
                <w:b/>
                <w:bCs/>
                <w:sz w:val="16"/>
                <w:szCs w:val="16"/>
              </w:rPr>
              <w:t>Non-Compliances and Corrective Action Suggestions with key findings of Project’s Ex-Post Social Assessment (EPSA) study</w:t>
            </w:r>
          </w:p>
        </w:tc>
        <w:tc>
          <w:tcPr>
            <w:tcW w:w="1842" w:type="dxa"/>
          </w:tcPr>
          <w:p w14:paraId="5F746C0F" w14:textId="27BF1763" w:rsidR="006C5C9B" w:rsidRPr="00270ACC" w:rsidRDefault="006C5C9B"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Project area</w:t>
            </w:r>
          </w:p>
        </w:tc>
        <w:tc>
          <w:tcPr>
            <w:tcW w:w="1985" w:type="dxa"/>
          </w:tcPr>
          <w:p w14:paraId="10625BE3" w14:textId="693398E0" w:rsidR="006C5C9B" w:rsidRPr="00270ACC" w:rsidRDefault="006C5C9B" w:rsidP="00270ACC">
            <w:pPr>
              <w:shd w:val="clear" w:color="auto" w:fill="FFFFFF"/>
              <w:spacing w:before="60" w:line="240" w:lineRule="auto"/>
              <w:jc w:val="left"/>
              <w:rPr>
                <w:rFonts w:cs="Arial"/>
                <w:color w:val="000000"/>
                <w:sz w:val="16"/>
                <w:szCs w:val="16"/>
              </w:rPr>
            </w:pPr>
            <w:r w:rsidRPr="00270ACC">
              <w:rPr>
                <w:rFonts w:cs="Arial"/>
                <w:color w:val="000000"/>
                <w:sz w:val="16"/>
                <w:szCs w:val="16"/>
              </w:rPr>
              <w:t>Times specified in Table 6.1 of the Project’s EPSA Report</w:t>
            </w:r>
          </w:p>
        </w:tc>
        <w:tc>
          <w:tcPr>
            <w:tcW w:w="2693" w:type="dxa"/>
          </w:tcPr>
          <w:p w14:paraId="286BBE2D" w14:textId="7D7EE912" w:rsidR="006C5C9B" w:rsidRPr="00270ACC" w:rsidRDefault="006C5C9B" w:rsidP="00270ACC">
            <w:pPr>
              <w:numPr>
                <w:ilvl w:val="0"/>
                <w:numId w:val="7"/>
              </w:numPr>
              <w:spacing w:before="60" w:after="0" w:line="240" w:lineRule="auto"/>
              <w:ind w:left="95" w:hanging="140"/>
              <w:jc w:val="left"/>
              <w:rPr>
                <w:rFonts w:cs="Arial"/>
                <w:sz w:val="16"/>
                <w:szCs w:val="16"/>
              </w:rPr>
            </w:pPr>
            <w:r w:rsidRPr="00270ACC">
              <w:rPr>
                <w:rFonts w:cs="Arial"/>
                <w:sz w:val="16"/>
                <w:szCs w:val="16"/>
              </w:rPr>
              <w:t>Follow-up of Table 6 1. given in the Project EPSA Report (Table of Non-Compliances and Corrective Actions Suggestions)</w:t>
            </w:r>
          </w:p>
        </w:tc>
        <w:tc>
          <w:tcPr>
            <w:tcW w:w="1418" w:type="dxa"/>
          </w:tcPr>
          <w:p w14:paraId="486B8C5B" w14:textId="1346D8C1" w:rsidR="006C5C9B" w:rsidRPr="00270ACC" w:rsidRDefault="006C5C9B" w:rsidP="00270ACC">
            <w:pPr>
              <w:numPr>
                <w:ilvl w:val="0"/>
                <w:numId w:val="7"/>
              </w:numPr>
              <w:spacing w:before="60" w:after="0" w:line="240" w:lineRule="auto"/>
              <w:ind w:left="137" w:hanging="154"/>
              <w:jc w:val="left"/>
              <w:rPr>
                <w:rFonts w:cs="Arial"/>
                <w:color w:val="000000" w:themeColor="text1"/>
                <w:sz w:val="16"/>
                <w:szCs w:val="16"/>
              </w:rPr>
            </w:pPr>
            <w:r w:rsidRPr="00270ACC">
              <w:rPr>
                <w:rFonts w:cs="Arial"/>
                <w:color w:val="000000"/>
                <w:sz w:val="16"/>
                <w:szCs w:val="16"/>
              </w:rPr>
              <w:t>Full implementation</w:t>
            </w:r>
          </w:p>
        </w:tc>
        <w:tc>
          <w:tcPr>
            <w:tcW w:w="2126" w:type="dxa"/>
          </w:tcPr>
          <w:p w14:paraId="60F447E3" w14:textId="259335B8" w:rsidR="006C5C9B" w:rsidRPr="00270ACC" w:rsidRDefault="006C5C9B" w:rsidP="00270ACC">
            <w:pPr>
              <w:numPr>
                <w:ilvl w:val="0"/>
                <w:numId w:val="7"/>
              </w:numPr>
              <w:spacing w:before="0" w:after="0" w:line="240" w:lineRule="auto"/>
              <w:ind w:left="209" w:hanging="180"/>
              <w:jc w:val="left"/>
              <w:rPr>
                <w:rFonts w:eastAsia="Calibri" w:cs="Arial"/>
                <w:color w:val="000000" w:themeColor="text1"/>
                <w:sz w:val="16"/>
                <w:szCs w:val="16"/>
                <w:lang w:eastAsia="en-US"/>
              </w:rPr>
            </w:pPr>
            <w:r w:rsidRPr="00270ACC">
              <w:rPr>
                <w:rFonts w:eastAsia="Arial TUR" w:cs="Arial"/>
                <w:color w:val="000000" w:themeColor="text1"/>
                <w:sz w:val="16"/>
                <w:szCs w:val="16"/>
                <w:lang w:eastAsia="en-US"/>
              </w:rPr>
              <w:t>Full compliance</w:t>
            </w:r>
          </w:p>
        </w:tc>
        <w:tc>
          <w:tcPr>
            <w:tcW w:w="2074" w:type="dxa"/>
          </w:tcPr>
          <w:p w14:paraId="1676BE96" w14:textId="60AFAB19" w:rsidR="006C5C9B" w:rsidRPr="00270ACC" w:rsidRDefault="006C5C9B" w:rsidP="00270ACC">
            <w:pPr>
              <w:numPr>
                <w:ilvl w:val="0"/>
                <w:numId w:val="7"/>
              </w:numPr>
              <w:spacing w:before="60" w:after="0" w:line="240" w:lineRule="auto"/>
              <w:ind w:left="92" w:hanging="168"/>
              <w:jc w:val="left"/>
              <w:rPr>
                <w:rFonts w:cs="Arial"/>
                <w:color w:val="000000" w:themeColor="text1"/>
                <w:sz w:val="16"/>
                <w:szCs w:val="16"/>
              </w:rPr>
            </w:pPr>
            <w:r w:rsidRPr="00270ACC">
              <w:rPr>
                <w:rFonts w:cs="Arial"/>
                <w:sz w:val="16"/>
                <w:szCs w:val="16"/>
              </w:rPr>
              <w:t>WB ESS-4</w:t>
            </w:r>
          </w:p>
        </w:tc>
        <w:tc>
          <w:tcPr>
            <w:tcW w:w="2037" w:type="dxa"/>
          </w:tcPr>
          <w:p w14:paraId="647A4247" w14:textId="021621DA" w:rsidR="006C5C9B" w:rsidRPr="00270ACC" w:rsidRDefault="006C5C9B" w:rsidP="00270ACC">
            <w:pPr>
              <w:numPr>
                <w:ilvl w:val="0"/>
                <w:numId w:val="7"/>
              </w:numPr>
              <w:spacing w:before="0" w:after="0" w:line="240" w:lineRule="auto"/>
              <w:ind w:left="209" w:hanging="180"/>
              <w:jc w:val="left"/>
              <w:rPr>
                <w:rFonts w:cs="Arial"/>
                <w:color w:val="000000" w:themeColor="text1"/>
                <w:sz w:val="16"/>
                <w:szCs w:val="16"/>
              </w:rPr>
            </w:pPr>
            <w:r w:rsidRPr="00270ACC">
              <w:rPr>
                <w:rFonts w:eastAsia="Arial TUR" w:cs="Arial"/>
                <w:color w:val="000000" w:themeColor="text1"/>
                <w:sz w:val="16"/>
                <w:szCs w:val="16"/>
                <w:lang w:eastAsia="en-US"/>
              </w:rPr>
              <w:t>All actions to be completed</w:t>
            </w:r>
          </w:p>
        </w:tc>
        <w:tc>
          <w:tcPr>
            <w:tcW w:w="1984" w:type="dxa"/>
          </w:tcPr>
          <w:p w14:paraId="414D8A11" w14:textId="55BEE95C" w:rsidR="006C5C9B" w:rsidRPr="00270ACC" w:rsidRDefault="006C5C9B" w:rsidP="00270ACC">
            <w:pPr>
              <w:pStyle w:val="BodyText"/>
              <w:spacing w:before="40" w:after="40" w:line="240" w:lineRule="auto"/>
              <w:jc w:val="left"/>
              <w:rPr>
                <w:rFonts w:cs="Arial"/>
                <w:noProof w:val="0"/>
                <w:color w:val="000000"/>
                <w:sz w:val="16"/>
                <w:szCs w:val="16"/>
              </w:rPr>
            </w:pPr>
            <w:r w:rsidRPr="00270ACC">
              <w:rPr>
                <w:rFonts w:cs="Arial"/>
                <w:noProof w:val="0"/>
                <w:color w:val="000000"/>
                <w:sz w:val="16"/>
                <w:szCs w:val="16"/>
              </w:rPr>
              <w:t>No additional costs</w:t>
            </w:r>
          </w:p>
        </w:tc>
        <w:tc>
          <w:tcPr>
            <w:tcW w:w="2687" w:type="dxa"/>
          </w:tcPr>
          <w:p w14:paraId="56B673B5" w14:textId="330EAB70" w:rsidR="006C5C9B" w:rsidRPr="00270ACC" w:rsidRDefault="006C5C9B" w:rsidP="00270ACC">
            <w:pPr>
              <w:spacing w:before="0" w:after="0" w:line="240" w:lineRule="auto"/>
              <w:jc w:val="left"/>
              <w:rPr>
                <w:rFonts w:cs="Arial"/>
                <w:color w:val="000000"/>
                <w:sz w:val="16"/>
                <w:szCs w:val="16"/>
              </w:rPr>
            </w:pPr>
            <w:r w:rsidRPr="00270ACC">
              <w:rPr>
                <w:rFonts w:cs="Arial"/>
                <w:color w:val="000000"/>
                <w:sz w:val="16"/>
                <w:szCs w:val="16"/>
              </w:rPr>
              <w:t>TUIOSB</w:t>
            </w:r>
          </w:p>
        </w:tc>
      </w:tr>
    </w:tbl>
    <w:p w14:paraId="5B8B84AB" w14:textId="77777777" w:rsidR="00612D4E" w:rsidRPr="00EE43C6" w:rsidRDefault="00612D4E" w:rsidP="0096146A">
      <w:pPr>
        <w:sectPr w:rsidR="00612D4E" w:rsidRPr="00EE43C6" w:rsidSect="00D719FE">
          <w:headerReference w:type="default" r:id="rId82"/>
          <w:footerReference w:type="default" r:id="rId83"/>
          <w:pgSz w:w="23814" w:h="16840" w:orient="landscape" w:code="8"/>
          <w:pgMar w:top="1418" w:right="1418" w:bottom="1418" w:left="1418" w:header="709" w:footer="709" w:gutter="0"/>
          <w:cols w:space="708"/>
          <w:docGrid w:linePitch="299"/>
        </w:sectPr>
      </w:pPr>
    </w:p>
    <w:p w14:paraId="783A11A8" w14:textId="78F5623C" w:rsidR="005C7BE1" w:rsidRPr="00EE43C6" w:rsidRDefault="00213F4C" w:rsidP="00A718A2">
      <w:pPr>
        <w:pStyle w:val="Heading1"/>
        <w:ind w:left="426"/>
        <w:rPr>
          <w:noProof w:val="0"/>
          <w:lang w:val="en-GB"/>
        </w:rPr>
      </w:pPr>
      <w:bookmarkStart w:id="1613" w:name="_Toc141445474"/>
      <w:bookmarkStart w:id="1614" w:name="_Toc120016993"/>
      <w:bookmarkStart w:id="1615" w:name="_Toc120004770"/>
      <w:r w:rsidRPr="2DB09FEA">
        <w:rPr>
          <w:noProof w:val="0"/>
          <w:lang w:val="en-GB"/>
        </w:rPr>
        <w:lastRenderedPageBreak/>
        <w:t>STRUCTURE AND ORGANIZATIONAL CHART OF THE PROJECT OWNER</w:t>
      </w:r>
      <w:bookmarkEnd w:id="1613"/>
    </w:p>
    <w:p w14:paraId="66C4653F" w14:textId="1DC9A059" w:rsidR="005C7BE1" w:rsidRPr="004C60B9" w:rsidRDefault="005C7BE1" w:rsidP="005C7BE1">
      <w:pPr>
        <w:rPr>
          <w:rFonts w:cs="Arial"/>
          <w:szCs w:val="22"/>
          <w:lang w:eastAsia="tr-TR"/>
        </w:rPr>
      </w:pPr>
      <w:r w:rsidRPr="001F41F2">
        <w:rPr>
          <w:rFonts w:cs="Arial"/>
          <w:szCs w:val="22"/>
          <w:lang w:eastAsia="tr-TR"/>
        </w:rPr>
        <w:t xml:space="preserve">The Project is executed by the Regional Manager, Deputy Regional Manager (B.Sc. Civil Engineer, technical operations), Project Coordinator, Social Coordinator under the coordination and direction of the Chairwoman of the Board of the TUIOSB. The organizational chart of the Project is presented in </w:t>
      </w:r>
      <w:r w:rsidR="00E27743">
        <w:rPr>
          <w:rFonts w:cs="Arial"/>
          <w:szCs w:val="22"/>
          <w:lang w:eastAsia="tr-TR"/>
        </w:rPr>
        <w:fldChar w:fldCharType="begin"/>
      </w:r>
      <w:r w:rsidR="00E27743">
        <w:rPr>
          <w:rFonts w:cs="Arial"/>
          <w:szCs w:val="22"/>
          <w:lang w:eastAsia="tr-TR"/>
        </w:rPr>
        <w:instrText xml:space="preserve"> REF _Ref140160589 \h  \* MERGEFORMAT </w:instrText>
      </w:r>
      <w:r w:rsidR="00E27743">
        <w:rPr>
          <w:rFonts w:cs="Arial"/>
          <w:szCs w:val="22"/>
          <w:lang w:eastAsia="tr-TR"/>
        </w:rPr>
      </w:r>
      <w:r w:rsidR="00E27743">
        <w:rPr>
          <w:rFonts w:cs="Arial"/>
          <w:szCs w:val="22"/>
          <w:lang w:eastAsia="tr-TR"/>
        </w:rPr>
        <w:fldChar w:fldCharType="separate"/>
      </w:r>
      <w:r w:rsidR="00E27743" w:rsidRPr="004C60B9">
        <w:rPr>
          <w:rFonts w:cs="Arial"/>
          <w:szCs w:val="22"/>
          <w:lang w:eastAsia="tr-TR"/>
        </w:rPr>
        <w:t>Figure 9</w:t>
      </w:r>
      <w:r w:rsidR="00E27743" w:rsidRPr="004C60B9">
        <w:rPr>
          <w:rFonts w:cs="Arial"/>
          <w:szCs w:val="22"/>
          <w:lang w:eastAsia="tr-TR"/>
        </w:rPr>
        <w:noBreakHyphen/>
        <w:t>1</w:t>
      </w:r>
      <w:r w:rsidR="00E27743">
        <w:rPr>
          <w:rFonts w:cs="Arial"/>
          <w:szCs w:val="22"/>
          <w:lang w:eastAsia="tr-TR"/>
        </w:rPr>
        <w:fldChar w:fldCharType="end"/>
      </w:r>
      <w:r w:rsidRPr="00D76F62">
        <w:rPr>
          <w:rFonts w:cs="Arial"/>
          <w:szCs w:val="22"/>
          <w:lang w:eastAsia="tr-TR"/>
        </w:rPr>
        <w:fldChar w:fldCharType="begin"/>
      </w:r>
      <w:r w:rsidRPr="00D76F62">
        <w:rPr>
          <w:rFonts w:cs="Arial"/>
          <w:szCs w:val="22"/>
          <w:lang w:eastAsia="tr-TR"/>
        </w:rPr>
        <w:instrText xml:space="preserve"> REF _Ref136246898 \h </w:instrText>
      </w:r>
      <w:r w:rsidR="00E27743">
        <w:rPr>
          <w:rFonts w:cs="Arial"/>
          <w:szCs w:val="22"/>
          <w:lang w:eastAsia="tr-TR"/>
        </w:rPr>
        <w:instrText xml:space="preserve"> \* MERGEFORMAT </w:instrText>
      </w:r>
      <w:r w:rsidRPr="00D76F62">
        <w:rPr>
          <w:rFonts w:cs="Arial"/>
          <w:szCs w:val="22"/>
          <w:lang w:eastAsia="tr-TR"/>
        </w:rPr>
      </w:r>
      <w:r w:rsidRPr="00D76F62">
        <w:rPr>
          <w:rFonts w:cs="Arial"/>
          <w:szCs w:val="22"/>
          <w:lang w:eastAsia="tr-TR"/>
        </w:rPr>
        <w:fldChar w:fldCharType="end"/>
      </w:r>
      <w:r>
        <w:rPr>
          <w:rFonts w:cs="Arial"/>
          <w:szCs w:val="22"/>
          <w:lang w:eastAsia="tr-TR"/>
        </w:rPr>
        <w:t>.</w:t>
      </w:r>
    </w:p>
    <w:p w14:paraId="176D0E9C" w14:textId="77777777" w:rsidR="005C7BE1" w:rsidRDefault="005C7BE1" w:rsidP="00270ACC">
      <w:pPr>
        <w:keepNext/>
        <w:pBdr>
          <w:top w:val="single" w:sz="4" w:space="1" w:color="auto"/>
          <w:left w:val="single" w:sz="4" w:space="4" w:color="auto"/>
          <w:bottom w:val="single" w:sz="4" w:space="1" w:color="auto"/>
          <w:right w:val="single" w:sz="4" w:space="4" w:color="auto"/>
        </w:pBdr>
      </w:pPr>
      <w:r w:rsidRPr="00A63940">
        <w:rPr>
          <w:noProof/>
        </w:rPr>
        <w:drawing>
          <wp:inline distT="0" distB="0" distL="0" distR="0" wp14:anchorId="14576858" wp14:editId="784AA6CC">
            <wp:extent cx="5755640" cy="4110990"/>
            <wp:effectExtent l="0" t="0" r="0" b="3810"/>
            <wp:docPr id="1759753245" name="Resim 1759753245" descr="metin, ekran görüntüsü, yazı tipi, meneviş mavi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53263" name="Resim 1" descr="metin, ekran görüntüsü, yazı tipi, meneviş mavisi içeren bir resim&#10;&#10;Açıklama otomatik olarak oluşturuldu"/>
                    <pic:cNvPicPr/>
                  </pic:nvPicPr>
                  <pic:blipFill>
                    <a:blip r:embed="rId84"/>
                    <a:stretch>
                      <a:fillRect/>
                    </a:stretch>
                  </pic:blipFill>
                  <pic:spPr>
                    <a:xfrm>
                      <a:off x="0" y="0"/>
                      <a:ext cx="5755640" cy="4110990"/>
                    </a:xfrm>
                    <a:prstGeom prst="rect">
                      <a:avLst/>
                    </a:prstGeom>
                  </pic:spPr>
                </pic:pic>
              </a:graphicData>
            </a:graphic>
          </wp:inline>
        </w:drawing>
      </w:r>
    </w:p>
    <w:p w14:paraId="4DD63FA7" w14:textId="5B1931F9" w:rsidR="005C7BE1" w:rsidRDefault="005C7BE1" w:rsidP="005C7BE1">
      <w:pPr>
        <w:pStyle w:val="Caption"/>
        <w:rPr>
          <w:b w:val="0"/>
          <w:bCs w:val="0"/>
          <w:noProof w:val="0"/>
          <w:color w:val="000000"/>
          <w:lang w:val="en-US" w:eastAsia="zh-CN"/>
        </w:rPr>
      </w:pPr>
      <w:bookmarkStart w:id="1616" w:name="_Ref140160589"/>
      <w:bookmarkStart w:id="1617" w:name="_Ref140160585"/>
      <w:bookmarkStart w:id="1618" w:name="_Toc141445579"/>
      <w:r w:rsidRPr="00C51CBC">
        <w:rPr>
          <w:noProof w:val="0"/>
          <w:color w:val="00B050"/>
          <w:lang w:val="en-US" w:eastAsia="zh-CN"/>
        </w:rPr>
        <w:t xml:space="preserve">Figure </w:t>
      </w:r>
      <w:r>
        <w:rPr>
          <w:noProof w:val="0"/>
          <w:color w:val="00B050"/>
          <w:lang w:val="en-US" w:eastAsia="zh-CN"/>
        </w:rPr>
        <w:fldChar w:fldCharType="begin"/>
      </w:r>
      <w:r>
        <w:rPr>
          <w:noProof w:val="0"/>
          <w:color w:val="00B050"/>
          <w:lang w:val="en-US" w:eastAsia="zh-CN"/>
        </w:rPr>
        <w:instrText xml:space="preserve"> STYLEREF 1 \s </w:instrText>
      </w:r>
      <w:r>
        <w:rPr>
          <w:noProof w:val="0"/>
          <w:color w:val="00B050"/>
          <w:lang w:val="en-US" w:eastAsia="zh-CN"/>
        </w:rPr>
        <w:fldChar w:fldCharType="end"/>
      </w:r>
      <w:r>
        <w:rPr>
          <w:noProof w:val="0"/>
          <w:color w:val="00B050"/>
          <w:lang w:val="en-US" w:eastAsia="zh-CN"/>
        </w:rPr>
        <w:noBreakHyphen/>
      </w:r>
      <w:r>
        <w:rPr>
          <w:noProof w:val="0"/>
          <w:color w:val="00B050"/>
          <w:lang w:val="en-US" w:eastAsia="zh-CN"/>
        </w:rPr>
        <w:fldChar w:fldCharType="begin"/>
      </w:r>
      <w:r>
        <w:rPr>
          <w:noProof w:val="0"/>
          <w:color w:val="00B050"/>
          <w:lang w:val="en-US" w:eastAsia="zh-CN"/>
        </w:rPr>
        <w:instrText xml:space="preserve"> SEQ Figure \* ARABIC \s 1 </w:instrText>
      </w:r>
      <w:r w:rsidR="00EC509A">
        <w:rPr>
          <w:noProof w:val="0"/>
          <w:color w:val="00B050"/>
          <w:lang w:val="en-US" w:eastAsia="zh-CN"/>
        </w:rPr>
        <w:fldChar w:fldCharType="separate"/>
      </w:r>
      <w:r>
        <w:rPr>
          <w:noProof w:val="0"/>
          <w:color w:val="00B050"/>
          <w:lang w:val="en-US" w:eastAsia="zh-CN"/>
        </w:rPr>
        <w:fldChar w:fldCharType="end"/>
      </w:r>
      <w:bookmarkEnd w:id="1616"/>
      <w:r w:rsidRPr="00C51CBC">
        <w:rPr>
          <w:noProof w:val="0"/>
          <w:color w:val="00B050"/>
          <w:lang w:val="en-US" w:eastAsia="zh-CN"/>
        </w:rPr>
        <w:t>.</w:t>
      </w:r>
      <w:r>
        <w:t xml:space="preserve"> </w:t>
      </w:r>
      <w:r w:rsidRPr="005A39BD">
        <w:rPr>
          <w:b w:val="0"/>
          <w:bCs w:val="0"/>
          <w:noProof w:val="0"/>
          <w:color w:val="000000"/>
          <w:lang w:val="en-US" w:eastAsia="zh-CN"/>
        </w:rPr>
        <w:t xml:space="preserve">Organizational Chart </w:t>
      </w:r>
      <w:r w:rsidRPr="007C45F0">
        <w:rPr>
          <w:b w:val="0"/>
          <w:bCs w:val="0"/>
          <w:noProof w:val="0"/>
          <w:color w:val="000000"/>
          <w:lang w:val="en-US" w:eastAsia="zh-CN"/>
        </w:rPr>
        <w:t>(for both construction and operation phases)</w:t>
      </w:r>
      <w:r>
        <w:rPr>
          <w:b w:val="0"/>
          <w:bCs w:val="0"/>
          <w:noProof w:val="0"/>
          <w:color w:val="000000"/>
          <w:lang w:val="en-US" w:eastAsia="zh-CN"/>
        </w:rPr>
        <w:t xml:space="preserve"> </w:t>
      </w:r>
      <w:r w:rsidRPr="005A39BD">
        <w:rPr>
          <w:b w:val="0"/>
          <w:bCs w:val="0"/>
          <w:noProof w:val="0"/>
          <w:color w:val="000000"/>
          <w:lang w:val="en-US" w:eastAsia="zh-CN"/>
        </w:rPr>
        <w:t>of TUIOSB Basic Infrastructure Project</w:t>
      </w:r>
      <w:bookmarkEnd w:id="1617"/>
      <w:bookmarkEnd w:id="1618"/>
    </w:p>
    <w:p w14:paraId="2F54C05D" w14:textId="20E0497C" w:rsidR="005C7BE1" w:rsidRPr="00C51CBC" w:rsidRDefault="005C7BE1" w:rsidP="005C7BE1">
      <w:pPr>
        <w:rPr>
          <w:rFonts w:cs="Arial"/>
          <w:szCs w:val="22"/>
          <w:lang w:eastAsia="tr-TR"/>
        </w:rPr>
      </w:pPr>
      <w:r w:rsidRPr="00C51CBC">
        <w:rPr>
          <w:rFonts w:cs="Arial"/>
          <w:szCs w:val="22"/>
          <w:lang w:eastAsia="tr-TR"/>
        </w:rPr>
        <w:t xml:space="preserve">The Project Owner, in collaboration with relevant third parties, including but not limited to the Consultant company appointed in line with the requirements and scope defined, will establish, maintain and promote, as </w:t>
      </w:r>
      <w:bookmarkStart w:id="1619" w:name="_Hlk107909287"/>
      <w:r w:rsidRPr="00C51CBC">
        <w:rPr>
          <w:rFonts w:cs="Arial"/>
          <w:szCs w:val="22"/>
          <w:lang w:eastAsia="tr-TR"/>
        </w:rPr>
        <w:t xml:space="preserve">required, a Project-specific organizational </w:t>
      </w:r>
      <w:bookmarkEnd w:id="1619"/>
      <w:r w:rsidRPr="00C51CBC">
        <w:rPr>
          <w:rFonts w:cs="Arial"/>
          <w:szCs w:val="22"/>
          <w:lang w:eastAsia="tr-TR"/>
        </w:rPr>
        <w:t>structure that defines roles, responsibilities and authority for the implementation of ESMP and SEP as provided as a model in</w:t>
      </w:r>
      <w:r w:rsidR="00E27743">
        <w:rPr>
          <w:rFonts w:cs="Arial"/>
          <w:szCs w:val="22"/>
          <w:lang w:eastAsia="tr-TR"/>
        </w:rPr>
        <w:t xml:space="preserve"> </w:t>
      </w:r>
      <w:r w:rsidR="00E27743">
        <w:rPr>
          <w:rFonts w:cs="Arial"/>
          <w:szCs w:val="22"/>
          <w:lang w:eastAsia="tr-TR"/>
        </w:rPr>
        <w:fldChar w:fldCharType="begin"/>
      </w:r>
      <w:r w:rsidR="00E27743">
        <w:rPr>
          <w:rFonts w:cs="Arial"/>
          <w:szCs w:val="22"/>
          <w:lang w:eastAsia="tr-TR"/>
        </w:rPr>
        <w:instrText xml:space="preserve"> REF _Ref140160617 \h  \* MERGEFORMAT </w:instrText>
      </w:r>
      <w:r w:rsidR="00E27743">
        <w:rPr>
          <w:rFonts w:cs="Arial"/>
          <w:szCs w:val="22"/>
          <w:lang w:eastAsia="tr-TR"/>
        </w:rPr>
      </w:r>
      <w:r w:rsidR="00E27743">
        <w:rPr>
          <w:rFonts w:cs="Arial"/>
          <w:szCs w:val="22"/>
          <w:lang w:eastAsia="tr-TR"/>
        </w:rPr>
        <w:fldChar w:fldCharType="separate"/>
      </w:r>
      <w:r w:rsidR="00E27743" w:rsidRPr="00BA628B">
        <w:rPr>
          <w:rFonts w:cs="Arial"/>
          <w:szCs w:val="22"/>
          <w:lang w:eastAsia="tr-TR"/>
        </w:rPr>
        <w:t>Figure 9</w:t>
      </w:r>
      <w:r w:rsidR="00E27743" w:rsidRPr="00BA628B">
        <w:rPr>
          <w:rFonts w:cs="Arial"/>
          <w:szCs w:val="22"/>
          <w:lang w:eastAsia="tr-TR"/>
        </w:rPr>
        <w:noBreakHyphen/>
        <w:t>2</w:t>
      </w:r>
      <w:r w:rsidR="00E27743">
        <w:rPr>
          <w:rFonts w:cs="Arial"/>
          <w:szCs w:val="22"/>
          <w:lang w:eastAsia="tr-TR"/>
        </w:rPr>
        <w:fldChar w:fldCharType="end"/>
      </w:r>
      <w:r>
        <w:rPr>
          <w:rFonts w:cs="Arial"/>
          <w:szCs w:val="22"/>
          <w:lang w:eastAsia="tr-TR"/>
        </w:rPr>
        <w:t>.</w:t>
      </w:r>
    </w:p>
    <w:p w14:paraId="61646954" w14:textId="77777777" w:rsidR="005C7BE1" w:rsidRPr="00C51CBC" w:rsidRDefault="005C7BE1" w:rsidP="005C7BE1">
      <w:pPr>
        <w:rPr>
          <w:rFonts w:cs="Arial"/>
          <w:szCs w:val="22"/>
          <w:lang w:eastAsia="tr-TR"/>
        </w:rPr>
      </w:pPr>
      <w:r w:rsidRPr="00C51CBC">
        <w:rPr>
          <w:rFonts w:cs="Arial"/>
          <w:szCs w:val="22"/>
          <w:lang w:eastAsia="tr-TR"/>
        </w:rPr>
        <w:t>Specific personnel with clear boundaries of responsibility and authority will be appointed, including management representatives. The Project-specific organizational structure to be developed will include executives, who will coordinate and manage the Project, the Technical and Financial Experts who will be in charge of construction and operational phases of the Project, and at least one Social Expert, one Environment</w:t>
      </w:r>
      <w:r>
        <w:rPr>
          <w:rFonts w:cs="Arial"/>
          <w:szCs w:val="22"/>
          <w:lang w:eastAsia="tr-TR"/>
        </w:rPr>
        <w:t>al</w:t>
      </w:r>
      <w:r w:rsidRPr="00C51CBC">
        <w:rPr>
          <w:rFonts w:cs="Arial"/>
          <w:szCs w:val="22"/>
          <w:lang w:eastAsia="tr-TR"/>
        </w:rPr>
        <w:t xml:space="preserve"> Expert and one OHS Expert. Core </w:t>
      </w:r>
      <w:r w:rsidRPr="00C51CBC">
        <w:rPr>
          <w:rFonts w:cs="Arial"/>
          <w:szCs w:val="22"/>
          <w:lang w:eastAsia="tr-TR"/>
        </w:rPr>
        <w:lastRenderedPageBreak/>
        <w:t>environmental and social responsibilities should be well defined and communicated to the relevant personnel and the rest of the Project Management Unit. Additionally, personnel should have adequate knowledge, skills and experience to competently and efficiently take specific measures and actions required under ESMP.</w:t>
      </w:r>
    </w:p>
    <w:p w14:paraId="6429A889" w14:textId="77777777" w:rsidR="005C7BE1" w:rsidRDefault="005C7BE1" w:rsidP="00270ACC">
      <w:pPr>
        <w:keepNext/>
        <w:pBdr>
          <w:top w:val="single" w:sz="4" w:space="1" w:color="auto"/>
          <w:left w:val="single" w:sz="4" w:space="4" w:color="auto"/>
          <w:bottom w:val="single" w:sz="4" w:space="1" w:color="auto"/>
          <w:right w:val="single" w:sz="4" w:space="4" w:color="auto"/>
        </w:pBdr>
      </w:pPr>
      <w:r w:rsidRPr="008A6119">
        <w:rPr>
          <w:noProof/>
          <w:lang w:val="en-US"/>
        </w:rPr>
        <w:drawing>
          <wp:inline distT="0" distB="0" distL="0" distR="0" wp14:anchorId="62EDCE1A" wp14:editId="5808AE29">
            <wp:extent cx="5349704" cy="4580017"/>
            <wp:effectExtent l="0" t="0" r="3810" b="0"/>
            <wp:docPr id="1629838471" name="Resim 1629838471"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38471" name="Resim 1" descr="metin, ekran görüntüsü, yazı tipi, çizgi içeren bir resim&#10;&#10;Açıklama otomatik olarak oluşturuldu"/>
                    <pic:cNvPicPr/>
                  </pic:nvPicPr>
                  <pic:blipFill>
                    <a:blip r:embed="rId85"/>
                    <a:stretch>
                      <a:fillRect/>
                    </a:stretch>
                  </pic:blipFill>
                  <pic:spPr>
                    <a:xfrm>
                      <a:off x="0" y="0"/>
                      <a:ext cx="5349704" cy="4580017"/>
                    </a:xfrm>
                    <a:prstGeom prst="rect">
                      <a:avLst/>
                    </a:prstGeom>
                  </pic:spPr>
                </pic:pic>
              </a:graphicData>
            </a:graphic>
          </wp:inline>
        </w:drawing>
      </w:r>
    </w:p>
    <w:p w14:paraId="2D3374A0" w14:textId="2F41AE25" w:rsidR="005C7BE1" w:rsidRDefault="005C7BE1" w:rsidP="005C7BE1">
      <w:pPr>
        <w:pStyle w:val="Caption"/>
        <w:rPr>
          <w:lang w:val="en-US"/>
        </w:rPr>
      </w:pPr>
      <w:bookmarkStart w:id="1620" w:name="_Ref140160617"/>
      <w:bookmarkStart w:id="1621" w:name="_Toc141445580"/>
      <w:r w:rsidRPr="00BD66ED">
        <w:rPr>
          <w:rFonts w:eastAsia="Calibri" w:cs="Arial"/>
          <w:noProof w:val="0"/>
          <w:color w:val="00B050"/>
        </w:rPr>
        <w:t xml:space="preserve">Figure </w:t>
      </w:r>
      <w:r>
        <w:rPr>
          <w:rFonts w:eastAsia="Calibri" w:cs="Arial"/>
          <w:noProof w:val="0"/>
          <w:color w:val="00B050"/>
        </w:rPr>
        <w:fldChar w:fldCharType="begin"/>
      </w:r>
      <w:r>
        <w:rPr>
          <w:rFonts w:eastAsia="Calibri" w:cs="Arial"/>
          <w:noProof w:val="0"/>
          <w:color w:val="00B050"/>
        </w:rPr>
        <w:instrText xml:space="preserve"> STYLEREF 1 \s </w:instrText>
      </w:r>
      <w:r>
        <w:rPr>
          <w:rFonts w:eastAsia="Calibri" w:cs="Arial"/>
          <w:noProof w:val="0"/>
          <w:color w:val="00B050"/>
        </w:rPr>
        <w:fldChar w:fldCharType="separate"/>
      </w:r>
      <w:r w:rsidR="00965DD4">
        <w:rPr>
          <w:rFonts w:eastAsia="Calibri" w:cs="Arial"/>
          <w:color w:val="00B050"/>
        </w:rPr>
        <w:t>9</w:t>
      </w:r>
      <w:r>
        <w:rPr>
          <w:rFonts w:eastAsia="Calibri" w:cs="Arial"/>
          <w:noProof w:val="0"/>
          <w:color w:val="00B050"/>
        </w:rPr>
        <w:fldChar w:fldCharType="end"/>
      </w:r>
      <w:r>
        <w:rPr>
          <w:rFonts w:eastAsia="Calibri" w:cs="Arial"/>
          <w:noProof w:val="0"/>
          <w:color w:val="00B050"/>
        </w:rPr>
        <w:noBreakHyphen/>
      </w:r>
      <w:r>
        <w:rPr>
          <w:rFonts w:eastAsia="Calibri" w:cs="Arial"/>
          <w:noProof w:val="0"/>
          <w:color w:val="00B050"/>
        </w:rPr>
        <w:fldChar w:fldCharType="begin"/>
      </w:r>
      <w:r>
        <w:rPr>
          <w:rFonts w:eastAsia="Calibri" w:cs="Arial"/>
          <w:noProof w:val="0"/>
          <w:color w:val="00B050"/>
        </w:rPr>
        <w:instrText xml:space="preserve"> SEQ Figure \* ARABIC \s 1 </w:instrText>
      </w:r>
      <w:r>
        <w:rPr>
          <w:rFonts w:eastAsia="Calibri" w:cs="Arial"/>
          <w:noProof w:val="0"/>
          <w:color w:val="00B050"/>
        </w:rPr>
        <w:fldChar w:fldCharType="separate"/>
      </w:r>
      <w:r w:rsidR="00965DD4">
        <w:rPr>
          <w:rFonts w:eastAsia="Calibri" w:cs="Arial"/>
          <w:color w:val="00B050"/>
        </w:rPr>
        <w:t>2</w:t>
      </w:r>
      <w:r>
        <w:rPr>
          <w:rFonts w:eastAsia="Calibri" w:cs="Arial"/>
          <w:noProof w:val="0"/>
          <w:color w:val="00B050"/>
        </w:rPr>
        <w:fldChar w:fldCharType="end"/>
      </w:r>
      <w:bookmarkEnd w:id="1620"/>
      <w:r w:rsidRPr="00BD66ED">
        <w:rPr>
          <w:rFonts w:eastAsia="Calibri" w:cs="Arial"/>
          <w:noProof w:val="0"/>
          <w:color w:val="00B050"/>
        </w:rPr>
        <w:t>.</w:t>
      </w:r>
      <w:r>
        <w:t xml:space="preserve"> </w:t>
      </w:r>
      <w:r w:rsidRPr="00356B5E">
        <w:rPr>
          <w:rFonts w:eastAsia="Calibri" w:cs="Arial"/>
          <w:b w:val="0"/>
          <w:bCs w:val="0"/>
          <w:noProof w:val="0"/>
          <w:color w:val="auto"/>
        </w:rPr>
        <w:t xml:space="preserve">Organizational Chart of Project </w:t>
      </w:r>
      <w:r>
        <w:rPr>
          <w:rFonts w:eastAsia="Calibri" w:cs="Arial"/>
          <w:b w:val="0"/>
          <w:bCs w:val="0"/>
          <w:noProof w:val="0"/>
          <w:color w:val="auto"/>
        </w:rPr>
        <w:t>Management</w:t>
      </w:r>
      <w:r w:rsidRPr="00356B5E">
        <w:rPr>
          <w:rFonts w:eastAsia="Calibri" w:cs="Arial"/>
          <w:b w:val="0"/>
          <w:bCs w:val="0"/>
          <w:noProof w:val="0"/>
          <w:color w:val="auto"/>
        </w:rPr>
        <w:t xml:space="preserve"> Unit</w:t>
      </w:r>
      <w:bookmarkEnd w:id="1621"/>
    </w:p>
    <w:p w14:paraId="26A6F660" w14:textId="77777777" w:rsidR="005C7BE1" w:rsidRPr="00EE43C6" w:rsidRDefault="005C7BE1" w:rsidP="00965DD4">
      <w:pPr>
        <w:pStyle w:val="Heading2"/>
        <w:spacing w:before="360"/>
        <w:ind w:left="720" w:hanging="578"/>
      </w:pPr>
      <w:bookmarkStart w:id="1622" w:name="_Toc141367499"/>
      <w:bookmarkStart w:id="1623" w:name="_Toc141367797"/>
      <w:bookmarkStart w:id="1624" w:name="_Toc141367500"/>
      <w:bookmarkStart w:id="1625" w:name="_Toc141367798"/>
      <w:bookmarkStart w:id="1626" w:name="_Toc141367501"/>
      <w:bookmarkStart w:id="1627" w:name="_Toc141367799"/>
      <w:bookmarkStart w:id="1628" w:name="_Toc141445475"/>
      <w:bookmarkEnd w:id="1622"/>
      <w:bookmarkEnd w:id="1623"/>
      <w:bookmarkEnd w:id="1624"/>
      <w:bookmarkEnd w:id="1625"/>
      <w:bookmarkEnd w:id="1626"/>
      <w:bookmarkEnd w:id="1627"/>
      <w:r w:rsidRPr="2DB09FEA">
        <w:rPr>
          <w:lang w:val="en-GB"/>
        </w:rPr>
        <w:t>Roles and Responsibilities</w:t>
      </w:r>
      <w:bookmarkEnd w:id="1628"/>
    </w:p>
    <w:p w14:paraId="6E46958B" w14:textId="77777777" w:rsidR="005C7BE1" w:rsidRPr="00EE43C6" w:rsidRDefault="005C7BE1" w:rsidP="005C7BE1">
      <w:r w:rsidRPr="00EE43C6">
        <w:t xml:space="preserve">The implementing organisation of the project is the Ministry of Industry and Technology of the Republic of </w:t>
      </w:r>
      <w:r>
        <w:t>Türkiye</w:t>
      </w:r>
      <w:r w:rsidRPr="00EE43C6">
        <w:t>. MoIT will provide loans to the borrowing OIZs as a sub-borrower. The General Directorate of Industrial Zones of MoIT is the responsible Project Implementation Unit (PIU) coordinating overall project activities on a day-to-day basis. The PIU includes environmental and social experts with sufficient qualifications and experience to manage the implementation of the ESMP and SEP and related requirements.</w:t>
      </w:r>
    </w:p>
    <w:p w14:paraId="24E3D914" w14:textId="77777777" w:rsidR="005C7BE1" w:rsidRPr="00EE43C6" w:rsidRDefault="005C7BE1" w:rsidP="005C7BE1">
      <w:r w:rsidRPr="00EE43C6">
        <w:t xml:space="preserve">The Supervisory Consultant, who will be responsible for detecting nonconformities, notifying TUIOSB and monitoring corrective actions within the scope of the Project, will be selected by the tender to be opened by TUIOSB. This tender will be held in accordance with the WB </w:t>
      </w:r>
      <w:r w:rsidRPr="00EE43C6">
        <w:lastRenderedPageBreak/>
        <w:t>Procurement Regulations and companies that have been banned from public tenders will not be included in the tender process. The result of the tender will be approved by the MoIT.</w:t>
      </w:r>
    </w:p>
    <w:p w14:paraId="540B972D" w14:textId="77777777" w:rsidR="005C7BE1" w:rsidRPr="00EE43C6" w:rsidRDefault="005C7BE1" w:rsidP="005C7BE1">
      <w:r w:rsidRPr="00EE43C6">
        <w:t>Non-conformities identified during audits will be managed through a process tailored to the severity of the situation. Non-conformities are divided into 4 categories: minor non-conformities, Level 1, 2, 3 non-conformities.</w:t>
      </w:r>
    </w:p>
    <w:p w14:paraId="5BB37B0E" w14:textId="726CF9C2" w:rsidR="005C7BE1" w:rsidRPr="00EE43C6" w:rsidRDefault="005C7BE1" w:rsidP="005C7BE1">
      <w:r w:rsidRPr="00A81F4E">
        <w:t>Minor nonconformities can be overcome with minor measures.</w:t>
      </w:r>
      <w:r>
        <w:t xml:space="preserve"> </w:t>
      </w:r>
      <w:r w:rsidRPr="00EE43C6">
        <w:t>Level 1 non-conformities are non-conformities that do not pose a major immediate risk to health, environment, society, or safety. Level 2 nonconformities apply to all nonconformities that represent a risk with significant consequences for health and/or the environment, society or safety. Level 3 non-conformities apply to all non-conformities that cause harm to health or the environment or represent a high safety hazard or high social risk. Details of the process to be followed regarding non-conformities are given in the SEP.</w:t>
      </w:r>
    </w:p>
    <w:p w14:paraId="0F849C89" w14:textId="77777777" w:rsidR="005C7BE1" w:rsidRPr="00EE43C6" w:rsidRDefault="005C7BE1" w:rsidP="005C7BE1">
      <w:r w:rsidRPr="00D35765">
        <w:t xml:space="preserve">Organizational chart of TUIOSB and organizational chart of Project coordination unit are presented in </w:t>
      </w:r>
      <w:r w:rsidRPr="00F34526">
        <w:fldChar w:fldCharType="begin"/>
      </w:r>
      <w:r w:rsidRPr="00F34526">
        <w:instrText xml:space="preserve"> REF _Ref136246898 \h </w:instrText>
      </w:r>
      <w:r w:rsidRPr="00F34526">
        <w:fldChar w:fldCharType="separate"/>
      </w:r>
      <w:r w:rsidRPr="002F52ED">
        <w:rPr>
          <w:lang w:val="en-US"/>
        </w:rPr>
        <w:t xml:space="preserve">Figure </w:t>
      </w:r>
      <w:r w:rsidRPr="002F52ED">
        <w:rPr>
          <w:noProof/>
          <w:lang w:val="en-US"/>
        </w:rPr>
        <w:t>2</w:t>
      </w:r>
      <w:r w:rsidRPr="002F52ED">
        <w:rPr>
          <w:lang w:val="en-US"/>
        </w:rPr>
        <w:noBreakHyphen/>
      </w:r>
      <w:r w:rsidRPr="002F52ED">
        <w:rPr>
          <w:noProof/>
          <w:lang w:val="en-US"/>
        </w:rPr>
        <w:t>15</w:t>
      </w:r>
      <w:r w:rsidRPr="00F34526">
        <w:fldChar w:fldCharType="end"/>
      </w:r>
      <w:r w:rsidRPr="00F34526">
        <w:t xml:space="preserve"> and </w:t>
      </w:r>
      <w:r w:rsidRPr="00F34526">
        <w:fldChar w:fldCharType="begin"/>
      </w:r>
      <w:r w:rsidRPr="00F34526">
        <w:instrText xml:space="preserve"> REF _Ref136247472 \h </w:instrText>
      </w:r>
      <w:r w:rsidRPr="00F34526">
        <w:fldChar w:fldCharType="separate"/>
      </w:r>
      <w:r w:rsidRPr="002F52ED">
        <w:rPr>
          <w:rFonts w:eastAsia="Calibri" w:cs="Arial"/>
        </w:rPr>
        <w:t>Figure 2</w:t>
      </w:r>
      <w:r w:rsidRPr="002F52ED">
        <w:rPr>
          <w:rFonts w:eastAsia="Calibri" w:cs="Arial"/>
        </w:rPr>
        <w:noBreakHyphen/>
        <w:t>16</w:t>
      </w:r>
      <w:r w:rsidRPr="00F34526">
        <w:fldChar w:fldCharType="end"/>
      </w:r>
      <w:r w:rsidRPr="00D35765">
        <w:t>.</w:t>
      </w:r>
    </w:p>
    <w:p w14:paraId="6D75DC14" w14:textId="3DD903AC" w:rsidR="005C7BE1" w:rsidRPr="00EE43C6" w:rsidRDefault="005C7BE1" w:rsidP="005C7BE1">
      <w:pPr>
        <w:rPr>
          <w:rFonts w:cs="Arial"/>
        </w:rPr>
      </w:pPr>
      <w:r w:rsidRPr="00EE43C6">
        <w:rPr>
          <w:rFonts w:cs="Arial"/>
        </w:rPr>
        <w:t xml:space="preserve">Project's organizational management is presented in </w:t>
      </w:r>
      <w:r w:rsidRPr="00EE43C6">
        <w:rPr>
          <w:rFonts w:cs="Arial"/>
        </w:rPr>
        <w:fldChar w:fldCharType="begin"/>
      </w:r>
      <w:r w:rsidRPr="00EE43C6">
        <w:rPr>
          <w:rFonts w:cs="Arial"/>
        </w:rPr>
        <w:instrText xml:space="preserve"> REF _Ref118898534 \h  \* MERGEFORMAT </w:instrText>
      </w:r>
      <w:r w:rsidRPr="00EE43C6">
        <w:rPr>
          <w:rFonts w:cs="Arial"/>
        </w:rPr>
      </w:r>
      <w:r w:rsidRPr="00EE43C6">
        <w:rPr>
          <w:rFonts w:cs="Arial"/>
        </w:rPr>
        <w:fldChar w:fldCharType="separate"/>
      </w:r>
      <w:r w:rsidRPr="00EE43C6">
        <w:rPr>
          <w:rFonts w:cs="Arial"/>
        </w:rPr>
        <w:t xml:space="preserve">Table </w:t>
      </w:r>
      <w:r w:rsidR="007F52BC">
        <w:rPr>
          <w:rFonts w:cs="Arial"/>
        </w:rPr>
        <w:t>9</w:t>
      </w:r>
      <w:r w:rsidRPr="00EE43C6">
        <w:rPr>
          <w:rFonts w:cs="Arial"/>
        </w:rPr>
        <w:noBreakHyphen/>
      </w:r>
      <w:r w:rsidRPr="00EE43C6">
        <w:rPr>
          <w:rFonts w:cs="Arial"/>
        </w:rPr>
        <w:fldChar w:fldCharType="end"/>
      </w:r>
      <w:r w:rsidR="007F52BC">
        <w:rPr>
          <w:rFonts w:cs="Arial"/>
        </w:rPr>
        <w:t>1</w:t>
      </w:r>
      <w:r w:rsidRPr="00EE43C6">
        <w:rPr>
          <w:rFonts w:cs="Arial"/>
        </w:rPr>
        <w:t>.</w:t>
      </w:r>
    </w:p>
    <w:p w14:paraId="7C8AF1B4" w14:textId="10469756" w:rsidR="007F52BC" w:rsidRPr="00EE43C6" w:rsidRDefault="007F52BC" w:rsidP="007F52BC">
      <w:pPr>
        <w:pStyle w:val="Caption"/>
        <w:rPr>
          <w:rFonts w:cs="Arial"/>
          <w:noProof w:val="0"/>
        </w:rPr>
      </w:pPr>
      <w:bookmarkStart w:id="1629" w:name="_Toc141445543"/>
      <w:r w:rsidRPr="00EE43C6">
        <w:rPr>
          <w:noProof w:val="0"/>
        </w:rPr>
        <w:t xml:space="preserve">Table </w:t>
      </w:r>
      <w:r>
        <w:rPr>
          <w:noProof w:val="0"/>
        </w:rPr>
        <w:fldChar w:fldCharType="begin"/>
      </w:r>
      <w:r>
        <w:rPr>
          <w:noProof w:val="0"/>
        </w:rPr>
        <w:instrText xml:space="preserve"> STYLEREF 1 \s </w:instrText>
      </w:r>
      <w:r>
        <w:rPr>
          <w:noProof w:val="0"/>
        </w:rPr>
        <w:fldChar w:fldCharType="separate"/>
      </w:r>
      <w:r>
        <w:t>9</w:t>
      </w:r>
      <w:r>
        <w:rPr>
          <w:noProof w:val="0"/>
        </w:rPr>
        <w:fldChar w:fldCharType="end"/>
      </w:r>
      <w:r>
        <w:rPr>
          <w:noProof w:val="0"/>
        </w:rPr>
        <w:noBreakHyphen/>
      </w:r>
      <w:r>
        <w:rPr>
          <w:noProof w:val="0"/>
        </w:rPr>
        <w:fldChar w:fldCharType="begin"/>
      </w:r>
      <w:r>
        <w:rPr>
          <w:noProof w:val="0"/>
        </w:rPr>
        <w:instrText xml:space="preserve"> SEQ Table \* ARABIC \s 1 </w:instrText>
      </w:r>
      <w:r>
        <w:rPr>
          <w:noProof w:val="0"/>
        </w:rPr>
        <w:fldChar w:fldCharType="separate"/>
      </w:r>
      <w:r>
        <w:t>1</w:t>
      </w:r>
      <w:r>
        <w:rPr>
          <w:noProof w:val="0"/>
        </w:rPr>
        <w:fldChar w:fldCharType="end"/>
      </w:r>
      <w:r w:rsidRPr="00EE43C6">
        <w:rPr>
          <w:noProof w:val="0"/>
        </w:rPr>
        <w:t xml:space="preserve">. </w:t>
      </w:r>
      <w:r w:rsidRPr="00EE43C6">
        <w:rPr>
          <w:rFonts w:cs="Arial"/>
          <w:b w:val="0"/>
          <w:bCs w:val="0"/>
          <w:noProof w:val="0"/>
          <w:color w:val="auto"/>
        </w:rPr>
        <w:t>Project’s Organizational Management</w:t>
      </w:r>
      <w:bookmarkEnd w:id="1629"/>
    </w:p>
    <w:tbl>
      <w:tblPr>
        <w:tblW w:w="5000" w:type="pct"/>
        <w:tblCellMar>
          <w:left w:w="0" w:type="dxa"/>
          <w:right w:w="0" w:type="dxa"/>
        </w:tblCellMar>
        <w:tblLook w:val="01E0" w:firstRow="1" w:lastRow="1" w:firstColumn="1" w:lastColumn="1" w:noHBand="0" w:noVBand="0"/>
      </w:tblPr>
      <w:tblGrid>
        <w:gridCol w:w="2409"/>
        <w:gridCol w:w="6639"/>
      </w:tblGrid>
      <w:tr w:rsidR="005C7BE1" w:rsidRPr="00270ACC" w14:paraId="6FA9820A" w14:textId="77777777">
        <w:trPr>
          <w:trHeight w:val="284"/>
          <w:tblHeader/>
        </w:trPr>
        <w:tc>
          <w:tcPr>
            <w:tcW w:w="1331"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vAlign w:val="center"/>
            <w:hideMark/>
          </w:tcPr>
          <w:p w14:paraId="6725FEB4" w14:textId="77777777" w:rsidR="005C7BE1" w:rsidRPr="00270ACC" w:rsidRDefault="005C7BE1">
            <w:pPr>
              <w:jc w:val="center"/>
              <w:rPr>
                <w:rFonts w:eastAsia="MS Gothic" w:cs="Arial"/>
                <w:b/>
                <w:color w:val="FFFFFF"/>
                <w:position w:val="-1"/>
                <w:sz w:val="18"/>
                <w:szCs w:val="18"/>
              </w:rPr>
            </w:pPr>
            <w:r w:rsidRPr="00270ACC">
              <w:rPr>
                <w:rFonts w:eastAsia="Arial" w:cs="Arial"/>
                <w:b/>
                <w:bCs/>
                <w:color w:val="FFFFFF"/>
                <w:sz w:val="18"/>
                <w:szCs w:val="18"/>
              </w:rPr>
              <w:t>Responsible Party</w:t>
            </w:r>
          </w:p>
        </w:tc>
        <w:tc>
          <w:tcPr>
            <w:tcW w:w="3669"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vAlign w:val="center"/>
          </w:tcPr>
          <w:p w14:paraId="37A9297D" w14:textId="77777777" w:rsidR="005C7BE1" w:rsidRPr="00270ACC" w:rsidRDefault="005C7BE1">
            <w:pPr>
              <w:jc w:val="center"/>
              <w:rPr>
                <w:rFonts w:eastAsia="MS Gothic" w:cs="Arial"/>
                <w:b/>
                <w:color w:val="FFFFFF"/>
                <w:position w:val="-1"/>
                <w:sz w:val="18"/>
                <w:szCs w:val="18"/>
              </w:rPr>
            </w:pPr>
            <w:r w:rsidRPr="00270ACC">
              <w:rPr>
                <w:rFonts w:eastAsia="Arial" w:cs="Arial"/>
                <w:b/>
                <w:bCs/>
                <w:color w:val="FFFFFF"/>
                <w:sz w:val="18"/>
                <w:szCs w:val="18"/>
              </w:rPr>
              <w:t>Terms of Reference</w:t>
            </w:r>
          </w:p>
        </w:tc>
      </w:tr>
      <w:tr w:rsidR="005C7BE1" w:rsidRPr="00270ACC" w14:paraId="3EBBBA8C" w14:textId="77777777">
        <w:trPr>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EEAD79" w14:textId="77777777" w:rsidR="005C7BE1" w:rsidRPr="00270ACC" w:rsidRDefault="005C7BE1">
            <w:pPr>
              <w:jc w:val="center"/>
              <w:rPr>
                <w:rFonts w:eastAsia="Arial" w:cs="Arial"/>
                <w:sz w:val="18"/>
                <w:szCs w:val="18"/>
              </w:rPr>
            </w:pPr>
            <w:r w:rsidRPr="00270ACC">
              <w:rPr>
                <w:rFonts w:eastAsia="Arial" w:cs="Arial"/>
                <w:sz w:val="18"/>
                <w:szCs w:val="18"/>
              </w:rPr>
              <w:t>TUIOSB</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81CDE7" w14:textId="77777777"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MS Gothic"/>
                <w:noProof w:val="0"/>
                <w:sz w:val="18"/>
                <w:szCs w:val="18"/>
              </w:rPr>
              <w:t>TUIOSB is the implementer and beneficiary of this Project.</w:t>
            </w:r>
          </w:p>
          <w:p w14:paraId="05C4F3AF" w14:textId="77777777"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MS Gothic"/>
                <w:noProof w:val="0"/>
                <w:sz w:val="18"/>
                <w:szCs w:val="18"/>
              </w:rPr>
              <w:t>TUIOSB will be responsible for providing technical and data support during the supervision of contractor and the preparation of technical and financial feasibility reports regarding projects.</w:t>
            </w:r>
          </w:p>
          <w:p w14:paraId="6FC52F1A" w14:textId="77777777"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MS Gothic"/>
                <w:noProof w:val="0"/>
                <w:sz w:val="18"/>
                <w:szCs w:val="18"/>
              </w:rPr>
              <w:t>TUIOSB will check both the technical and administrative progress of contract packages and the implementation of the points provided in ESMP and SEP on site together with Environmental, Social and OHS Experts (at least one Social Expert, Environmental Expert and OHS Expert) who will be involved in the Project Organization Chart.</w:t>
            </w:r>
          </w:p>
          <w:p w14:paraId="7AACF0ED" w14:textId="77777777"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MS Gothic"/>
                <w:noProof w:val="0"/>
                <w:sz w:val="18"/>
                <w:szCs w:val="18"/>
              </w:rPr>
              <w:t>TUIOSB will present ESMRs prepared by the contractor to the MoIT monthly.</w:t>
            </w:r>
          </w:p>
          <w:p w14:paraId="57A3B74C" w14:textId="77777777"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Arial"/>
                <w:noProof w:val="0"/>
                <w:sz w:val="18"/>
                <w:szCs w:val="18"/>
              </w:rPr>
              <w:t>TUIOSB evaluates, reviews the Consultant’s monthly monitoring report, and submits it to the PIU.</w:t>
            </w:r>
          </w:p>
        </w:tc>
      </w:tr>
      <w:tr w:rsidR="005C7BE1" w:rsidRPr="00270ACC" w14:paraId="48F37CED" w14:textId="77777777">
        <w:trPr>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F061D4" w14:textId="77777777" w:rsidR="005C7BE1" w:rsidRPr="00270ACC" w:rsidRDefault="005C7BE1">
            <w:pPr>
              <w:jc w:val="center"/>
              <w:rPr>
                <w:rFonts w:eastAsia="MS Gothic" w:cs="Arial"/>
                <w:sz w:val="18"/>
                <w:szCs w:val="18"/>
              </w:rPr>
            </w:pPr>
            <w:r w:rsidRPr="00270ACC">
              <w:rPr>
                <w:rFonts w:eastAsia="Arial" w:cs="Arial"/>
                <w:sz w:val="18"/>
                <w:szCs w:val="18"/>
              </w:rPr>
              <w:t>Supervisory Consultant</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E5DB1C" w14:textId="77777777" w:rsidR="005C7BE1" w:rsidRPr="00270ACC" w:rsidRDefault="005C7BE1">
            <w:pPr>
              <w:pStyle w:val="ListParagraph"/>
              <w:numPr>
                <w:ilvl w:val="0"/>
                <w:numId w:val="51"/>
              </w:numPr>
              <w:spacing w:before="60" w:after="60" w:line="240" w:lineRule="auto"/>
              <w:ind w:left="425" w:hanging="357"/>
              <w:jc w:val="left"/>
              <w:rPr>
                <w:rFonts w:eastAsia="MS Gothic"/>
                <w:noProof w:val="0"/>
                <w:sz w:val="18"/>
                <w:szCs w:val="18"/>
              </w:rPr>
            </w:pPr>
            <w:r w:rsidRPr="00270ACC">
              <w:rPr>
                <w:rFonts w:eastAsia="Arial"/>
                <w:noProof w:val="0"/>
                <w:sz w:val="18"/>
                <w:szCs w:val="18"/>
              </w:rPr>
              <w:t>TUIOSB will appoint a Supervisory Consultant having a range of specialties to inspect the contractor's activities on a daily basis. Apart from the guidance to the given to TUIOSB about WB ESSs and also the public consultation and announcement requirements and the project documents in compliance with WB requirements.</w:t>
            </w:r>
          </w:p>
          <w:p w14:paraId="7F137385" w14:textId="77777777"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MS Gothic"/>
                <w:noProof w:val="0"/>
                <w:sz w:val="18"/>
                <w:szCs w:val="18"/>
              </w:rPr>
              <w:t>As part of ESMP, implementation of the measures identified for the construction phase will be coordinated by Environmental, Social and OHS Experts (at least one Social Expert, Environmental Expert and full-time OHS Expert) who will be involved in the Project Organizational Chart. The said experts will be responsible for taking actions required to eliminate/minimize environmental and social impacts in line with ESMP and for putting monitoring plans into practice.</w:t>
            </w:r>
          </w:p>
          <w:p w14:paraId="2843B7EB" w14:textId="77777777"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Arial"/>
                <w:noProof w:val="0"/>
                <w:sz w:val="18"/>
                <w:szCs w:val="18"/>
              </w:rPr>
              <w:t>The</w:t>
            </w:r>
            <w:r w:rsidRPr="00270ACC">
              <w:rPr>
                <w:noProof w:val="0"/>
                <w:sz w:val="18"/>
                <w:szCs w:val="18"/>
              </w:rPr>
              <w:t xml:space="preserve"> </w:t>
            </w:r>
            <w:r w:rsidRPr="00270ACC">
              <w:rPr>
                <w:rFonts w:eastAsia="Arial"/>
                <w:noProof w:val="0"/>
                <w:sz w:val="18"/>
                <w:szCs w:val="18"/>
              </w:rPr>
              <w:t>Supervisory Consultant</w:t>
            </w:r>
            <w:r w:rsidRPr="00270ACC" w:rsidDel="00686174">
              <w:rPr>
                <w:rFonts w:eastAsia="Arial"/>
                <w:noProof w:val="0"/>
                <w:sz w:val="18"/>
                <w:szCs w:val="18"/>
              </w:rPr>
              <w:t xml:space="preserve"> </w:t>
            </w:r>
            <w:r w:rsidRPr="00270ACC">
              <w:rPr>
                <w:rFonts w:eastAsia="Arial"/>
                <w:noProof w:val="0"/>
                <w:sz w:val="18"/>
                <w:szCs w:val="18"/>
              </w:rPr>
              <w:t>will be responsible for preparing the bid documents during the implementation, conducting bidding processes. The legal requirements of the WB will be followed, the following the Construction Contract and cooperating with the MoIT for the supervision of construction activities.</w:t>
            </w:r>
          </w:p>
        </w:tc>
      </w:tr>
      <w:tr w:rsidR="005C7BE1" w:rsidRPr="00270ACC" w14:paraId="4580342E" w14:textId="77777777">
        <w:trPr>
          <w:cantSplit/>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0C5FAC" w14:textId="77777777" w:rsidR="005C7BE1" w:rsidRPr="00270ACC" w:rsidRDefault="005C7BE1">
            <w:pPr>
              <w:jc w:val="center"/>
              <w:rPr>
                <w:rFonts w:eastAsia="MS Gothic" w:cs="Arial"/>
                <w:sz w:val="18"/>
                <w:szCs w:val="18"/>
              </w:rPr>
            </w:pPr>
            <w:r w:rsidRPr="00270ACC">
              <w:rPr>
                <w:rFonts w:eastAsia="Arial" w:cs="Arial"/>
                <w:sz w:val="18"/>
                <w:szCs w:val="18"/>
              </w:rPr>
              <w:lastRenderedPageBreak/>
              <w:t>Contractor</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5BF1F94" w14:textId="77777777"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MS Gothic"/>
                <w:noProof w:val="0"/>
                <w:sz w:val="18"/>
                <w:szCs w:val="18"/>
              </w:rPr>
              <w:t xml:space="preserve">The construction works under the contract packages included in the scope of the ESMP will be carried out by contractors. </w:t>
            </w:r>
          </w:p>
          <w:p w14:paraId="002B3F4B" w14:textId="77777777"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MS Gothic"/>
                <w:noProof w:val="0"/>
                <w:sz w:val="18"/>
                <w:szCs w:val="18"/>
              </w:rPr>
              <w:t>Contractors will be responsible for observing the liabilities provided in the ESMP. Issues related to the implementation of the ESMP will be examined by the contractor during the preparation of the bid, and proposals will be submitted considering the ESMP prepared by the MoIT.</w:t>
            </w:r>
          </w:p>
          <w:p w14:paraId="1627E183" w14:textId="77777777"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MS Gothic"/>
                <w:noProof w:val="0"/>
                <w:sz w:val="18"/>
                <w:szCs w:val="18"/>
              </w:rPr>
              <w:t>The ESMP includes the monitoring tables that describe the possible negative effects of the operations to be carried out during the construction phase of the project and the measures to be taken to minimize these effects and the conditions for putting these measures into action. Additionally, the said tables include the entities and organizations (project stakeholders) responsible for the aforementioned items.</w:t>
            </w:r>
          </w:p>
          <w:p w14:paraId="13031A16" w14:textId="77777777"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MS Gothic"/>
                <w:noProof w:val="0"/>
                <w:sz w:val="18"/>
                <w:szCs w:val="18"/>
              </w:rPr>
              <w:t>During the construction phase, the contractor will provide training to the personnel who will take part in the project, including the measures within the scope of ESMP, to raise awareness of environmental, occupational and worker health and safety, community health and safety and social issues.</w:t>
            </w:r>
          </w:p>
          <w:p w14:paraId="790C8860" w14:textId="576FEAE5"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MS Gothic"/>
                <w:noProof w:val="0"/>
                <w:sz w:val="18"/>
                <w:szCs w:val="18"/>
              </w:rPr>
              <w:t>The contractor will submit their monthly ES</w:t>
            </w:r>
            <w:r w:rsidR="00D156E8" w:rsidRPr="00270ACC">
              <w:rPr>
                <w:rFonts w:eastAsia="MS Gothic"/>
                <w:noProof w:val="0"/>
                <w:sz w:val="18"/>
                <w:szCs w:val="18"/>
              </w:rPr>
              <w:t>P</w:t>
            </w:r>
            <w:r w:rsidRPr="00270ACC">
              <w:rPr>
                <w:rFonts w:eastAsia="MS Gothic"/>
                <w:noProof w:val="0"/>
                <w:sz w:val="18"/>
                <w:szCs w:val="18"/>
              </w:rPr>
              <w:t xml:space="preserve">Rs to </w:t>
            </w:r>
            <w:r w:rsidRPr="00270ACC">
              <w:rPr>
                <w:rFonts w:eastAsia="Arial"/>
                <w:noProof w:val="0"/>
                <w:sz w:val="18"/>
                <w:szCs w:val="18"/>
              </w:rPr>
              <w:t>TUIOSB</w:t>
            </w:r>
            <w:r w:rsidRPr="00270ACC">
              <w:rPr>
                <w:rFonts w:eastAsia="MS Gothic"/>
                <w:noProof w:val="0"/>
                <w:sz w:val="18"/>
                <w:szCs w:val="18"/>
              </w:rPr>
              <w:t>.</w:t>
            </w:r>
          </w:p>
          <w:p w14:paraId="70D8BAB9" w14:textId="77777777" w:rsidR="005C7BE1" w:rsidRPr="00270ACC" w:rsidRDefault="005C7BE1">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Arial"/>
                <w:noProof w:val="0"/>
                <w:sz w:val="18"/>
                <w:szCs w:val="18"/>
              </w:rPr>
              <w:t>In case of contingencies such as environmental, social, and labor issues or accident or loss of time, the contractor will immediately inform TUIOSB and the Supervisory Consultant. TUIOSB will inform the MoIT. The MoIT will forward to WB within three working days by risk level. A report on the root causes of the incident and the corrective actions to be taken will be submitted to the MoIT and the WB within 30 days.</w:t>
            </w:r>
          </w:p>
        </w:tc>
      </w:tr>
      <w:tr w:rsidR="001F67EC" w:rsidRPr="00270ACC" w14:paraId="064BDE57" w14:textId="77777777">
        <w:trPr>
          <w:cantSplit/>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B993C0" w14:textId="77777777" w:rsidR="001F67EC" w:rsidRPr="00270ACC" w:rsidRDefault="001F67EC">
            <w:pPr>
              <w:jc w:val="center"/>
              <w:rPr>
                <w:rFonts w:eastAsia="Arial" w:cs="Arial"/>
                <w:sz w:val="18"/>
                <w:szCs w:val="18"/>
              </w:rPr>
            </w:pPr>
            <w:r w:rsidRPr="00270ACC">
              <w:rPr>
                <w:rFonts w:eastAsia="Arial" w:cs="Arial"/>
                <w:sz w:val="18"/>
                <w:szCs w:val="18"/>
              </w:rPr>
              <w:t>Project Coordinator</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666143A" w14:textId="77777777" w:rsidR="001F67EC" w:rsidRPr="00270ACC" w:rsidRDefault="001F67EC" w:rsidP="004C60B9">
            <w:pPr>
              <w:pStyle w:val="ListParagraph"/>
              <w:numPr>
                <w:ilvl w:val="0"/>
                <w:numId w:val="51"/>
              </w:numPr>
              <w:spacing w:before="60" w:after="60" w:line="240" w:lineRule="auto"/>
              <w:ind w:left="425" w:hanging="357"/>
              <w:contextualSpacing w:val="0"/>
              <w:jc w:val="left"/>
              <w:rPr>
                <w:rFonts w:eastAsia="MS Gothic"/>
                <w:sz w:val="18"/>
                <w:szCs w:val="18"/>
              </w:rPr>
            </w:pPr>
            <w:r w:rsidRPr="00270ACC">
              <w:rPr>
                <w:sz w:val="18"/>
                <w:szCs w:val="18"/>
              </w:rPr>
              <w:t>Overall responsibility for the</w:t>
            </w:r>
            <w:r w:rsidRPr="00270ACC">
              <w:rPr>
                <w:rFonts w:eastAsia="MS Gothic"/>
                <w:noProof w:val="0"/>
                <w:sz w:val="18"/>
                <w:szCs w:val="18"/>
              </w:rPr>
              <w:t xml:space="preserve"> ESMP</w:t>
            </w:r>
            <w:r w:rsidRPr="00270ACC">
              <w:rPr>
                <w:sz w:val="18"/>
                <w:szCs w:val="18"/>
              </w:rPr>
              <w:t xml:space="preserve"> implementation, </w:t>
            </w:r>
          </w:p>
          <w:p w14:paraId="3522C911" w14:textId="77777777" w:rsidR="001F67EC" w:rsidRPr="00270ACC" w:rsidRDefault="001F67EC" w:rsidP="004C60B9">
            <w:pPr>
              <w:pStyle w:val="ListParagraph"/>
              <w:numPr>
                <w:ilvl w:val="0"/>
                <w:numId w:val="51"/>
              </w:numPr>
              <w:spacing w:before="60" w:after="60" w:line="240" w:lineRule="auto"/>
              <w:ind w:left="425" w:hanging="357"/>
              <w:contextualSpacing w:val="0"/>
              <w:jc w:val="left"/>
              <w:rPr>
                <w:rFonts w:eastAsia="MS Gothic"/>
                <w:sz w:val="18"/>
                <w:szCs w:val="18"/>
              </w:rPr>
            </w:pPr>
            <w:r w:rsidRPr="00270ACC">
              <w:rPr>
                <w:sz w:val="18"/>
                <w:szCs w:val="18"/>
              </w:rPr>
              <w:t>Ensure that ESMP provisions are implemented to mitigate environmental and social impacts, </w:t>
            </w:r>
          </w:p>
          <w:p w14:paraId="12885C68" w14:textId="77777777" w:rsidR="001F67EC" w:rsidRPr="00270ACC" w:rsidRDefault="001F67EC" w:rsidP="004C60B9">
            <w:pPr>
              <w:pStyle w:val="ListParagraph"/>
              <w:numPr>
                <w:ilvl w:val="0"/>
                <w:numId w:val="51"/>
              </w:numPr>
              <w:spacing w:before="60" w:after="60" w:line="240" w:lineRule="auto"/>
              <w:ind w:left="425" w:hanging="357"/>
              <w:contextualSpacing w:val="0"/>
              <w:jc w:val="left"/>
              <w:rPr>
                <w:rFonts w:eastAsia="MS Gothic"/>
                <w:sz w:val="18"/>
                <w:szCs w:val="18"/>
              </w:rPr>
            </w:pPr>
            <w:r w:rsidRPr="00270ACC">
              <w:rPr>
                <w:sz w:val="18"/>
                <w:szCs w:val="18"/>
              </w:rPr>
              <w:t>Undertake monitor of the implementation of the ESMP, and </w:t>
            </w:r>
          </w:p>
          <w:p w14:paraId="144DC359" w14:textId="77777777" w:rsidR="001F67EC" w:rsidRPr="00270ACC" w:rsidRDefault="001F67EC" w:rsidP="004C60B9">
            <w:pPr>
              <w:pStyle w:val="ListParagraph"/>
              <w:numPr>
                <w:ilvl w:val="0"/>
                <w:numId w:val="51"/>
              </w:numPr>
              <w:spacing w:before="60" w:after="60" w:line="240" w:lineRule="auto"/>
              <w:ind w:left="425" w:hanging="357"/>
              <w:contextualSpacing w:val="0"/>
              <w:jc w:val="left"/>
              <w:rPr>
                <w:rFonts w:eastAsia="Arial"/>
                <w:noProof w:val="0"/>
                <w:sz w:val="18"/>
                <w:szCs w:val="18"/>
              </w:rPr>
            </w:pPr>
            <w:r w:rsidRPr="00270ACC">
              <w:rPr>
                <w:rFonts w:eastAsia="MS Gothic"/>
                <w:noProof w:val="0"/>
                <w:sz w:val="18"/>
                <w:szCs w:val="18"/>
              </w:rPr>
              <w:t>Prepare quarterly or semi-annual environmental and social monitoring reports for submission to the lenders.</w:t>
            </w:r>
            <w:r w:rsidRPr="00270ACC">
              <w:rPr>
                <w:rFonts w:eastAsia="Arial"/>
                <w:noProof w:val="0"/>
                <w:sz w:val="18"/>
                <w:szCs w:val="18"/>
              </w:rPr>
              <w:t> </w:t>
            </w:r>
          </w:p>
        </w:tc>
      </w:tr>
      <w:tr w:rsidR="001F67EC" w:rsidRPr="00270ACC" w14:paraId="51C2675D" w14:textId="77777777">
        <w:trPr>
          <w:cantSplit/>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9D5B24" w14:textId="77777777" w:rsidR="001F67EC" w:rsidRPr="00270ACC" w:rsidRDefault="001F67EC">
            <w:pPr>
              <w:jc w:val="center"/>
              <w:rPr>
                <w:rFonts w:eastAsia="Arial" w:cs="Arial"/>
                <w:sz w:val="18"/>
                <w:szCs w:val="18"/>
              </w:rPr>
            </w:pPr>
            <w:r w:rsidRPr="00270ACC">
              <w:rPr>
                <w:rFonts w:eastAsia="Arial" w:cs="Arial"/>
                <w:sz w:val="18"/>
                <w:szCs w:val="18"/>
              </w:rPr>
              <w:t>Social Expert</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ABE3C02" w14:textId="77777777" w:rsidR="001F67EC" w:rsidRPr="00270ACC" w:rsidRDefault="001F67EC" w:rsidP="004C60B9">
            <w:pPr>
              <w:pStyle w:val="ListParagraph"/>
              <w:numPr>
                <w:ilvl w:val="0"/>
                <w:numId w:val="51"/>
              </w:numPr>
              <w:spacing w:before="60" w:after="60" w:line="240" w:lineRule="auto"/>
              <w:ind w:left="425" w:hanging="357"/>
              <w:contextualSpacing w:val="0"/>
              <w:jc w:val="left"/>
              <w:rPr>
                <w:rFonts w:eastAsia="Arial"/>
                <w:noProof w:val="0"/>
                <w:sz w:val="18"/>
                <w:szCs w:val="18"/>
              </w:rPr>
            </w:pPr>
            <w:r w:rsidRPr="00270ACC">
              <w:rPr>
                <w:rFonts w:eastAsia="Arial"/>
                <w:noProof w:val="0"/>
                <w:sz w:val="18"/>
                <w:szCs w:val="18"/>
              </w:rPr>
              <w:t>Adopt and implement Stakeholder Engagement Plan (SEP);</w:t>
            </w:r>
          </w:p>
          <w:p w14:paraId="4F1100F4" w14:textId="77777777" w:rsidR="001F67EC" w:rsidRPr="00270ACC" w:rsidRDefault="001F67EC">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Arial"/>
                <w:noProof w:val="0"/>
                <w:sz w:val="18"/>
                <w:szCs w:val="18"/>
              </w:rPr>
              <w:t>Establish an official worker and public grievance mechanism;</w:t>
            </w:r>
          </w:p>
          <w:p w14:paraId="5A5E5D84" w14:textId="77777777" w:rsidR="001F67EC" w:rsidRPr="00270ACC" w:rsidRDefault="001F67EC">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Arial"/>
                <w:noProof w:val="0"/>
                <w:sz w:val="18"/>
                <w:szCs w:val="18"/>
              </w:rPr>
              <w:t>Record grievances;</w:t>
            </w:r>
          </w:p>
          <w:p w14:paraId="713678BA" w14:textId="77777777" w:rsidR="001F67EC" w:rsidRPr="00270ACC" w:rsidRDefault="001F67EC" w:rsidP="004C60B9">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Arial"/>
                <w:noProof w:val="0"/>
                <w:sz w:val="18"/>
                <w:szCs w:val="18"/>
              </w:rPr>
              <w:t>Disclosure to complainant.</w:t>
            </w:r>
          </w:p>
        </w:tc>
      </w:tr>
      <w:tr w:rsidR="001F67EC" w:rsidRPr="00270ACC" w14:paraId="0A75A611" w14:textId="77777777">
        <w:trPr>
          <w:cantSplit/>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0434ED" w14:textId="77777777" w:rsidR="001F67EC" w:rsidRPr="00270ACC" w:rsidRDefault="001F67EC">
            <w:pPr>
              <w:jc w:val="center"/>
              <w:rPr>
                <w:rFonts w:eastAsia="Arial" w:cs="Arial"/>
                <w:sz w:val="18"/>
                <w:szCs w:val="18"/>
              </w:rPr>
            </w:pPr>
            <w:r w:rsidRPr="00270ACC">
              <w:rPr>
                <w:rFonts w:eastAsia="Arial" w:cs="Arial"/>
                <w:sz w:val="18"/>
                <w:szCs w:val="18"/>
              </w:rPr>
              <w:t>Environmental Expert</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E6F2F47" w14:textId="77777777" w:rsidR="001F67EC" w:rsidRPr="00270ACC" w:rsidRDefault="001F67EC">
            <w:pPr>
              <w:pStyle w:val="ListParagraph"/>
              <w:numPr>
                <w:ilvl w:val="0"/>
                <w:numId w:val="51"/>
              </w:numPr>
              <w:spacing w:before="60" w:after="60" w:line="240" w:lineRule="auto"/>
              <w:ind w:left="425" w:hanging="357"/>
              <w:contextualSpacing w:val="0"/>
              <w:jc w:val="left"/>
              <w:rPr>
                <w:rFonts w:eastAsia="MS Gothic"/>
                <w:noProof w:val="0"/>
                <w:sz w:val="18"/>
                <w:szCs w:val="18"/>
              </w:rPr>
            </w:pPr>
            <w:r w:rsidRPr="00270ACC">
              <w:rPr>
                <w:rFonts w:eastAsia="MS Gothic"/>
                <w:noProof w:val="0"/>
                <w:sz w:val="18"/>
                <w:szCs w:val="18"/>
              </w:rPr>
              <w:t>Ensures that the environmental management systems of the project comply with the ESMP.</w:t>
            </w:r>
          </w:p>
        </w:tc>
      </w:tr>
      <w:tr w:rsidR="001F67EC" w:rsidRPr="00270ACC" w14:paraId="16D1D8BB" w14:textId="77777777">
        <w:trPr>
          <w:cantSplit/>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70839C" w14:textId="77777777" w:rsidR="001F67EC" w:rsidRPr="00270ACC" w:rsidRDefault="001F67EC">
            <w:pPr>
              <w:jc w:val="center"/>
              <w:rPr>
                <w:rFonts w:eastAsia="Arial" w:cs="Arial"/>
                <w:sz w:val="18"/>
                <w:szCs w:val="18"/>
              </w:rPr>
            </w:pPr>
            <w:r w:rsidRPr="00270ACC">
              <w:rPr>
                <w:rFonts w:eastAsia="Arial" w:cs="Arial"/>
                <w:sz w:val="18"/>
                <w:szCs w:val="18"/>
              </w:rPr>
              <w:t>Project Manager</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D75E2AC" w14:textId="77777777" w:rsidR="001F67EC" w:rsidRPr="00270ACC" w:rsidRDefault="001F67EC" w:rsidP="004C60B9">
            <w:pPr>
              <w:pStyle w:val="ListParagraph"/>
              <w:numPr>
                <w:ilvl w:val="0"/>
                <w:numId w:val="51"/>
              </w:numPr>
              <w:spacing w:before="60" w:after="60" w:line="240" w:lineRule="auto"/>
              <w:ind w:left="425" w:hanging="357"/>
              <w:contextualSpacing w:val="0"/>
              <w:jc w:val="left"/>
              <w:rPr>
                <w:rFonts w:eastAsia="MS Gothic"/>
                <w:sz w:val="18"/>
                <w:szCs w:val="18"/>
              </w:rPr>
            </w:pPr>
            <w:r w:rsidRPr="00270ACC">
              <w:rPr>
                <w:sz w:val="18"/>
                <w:szCs w:val="18"/>
              </w:rPr>
              <w:t>Ensure that ESMP provisions are implemented to mitigate environmental and social impacts</w:t>
            </w:r>
            <w:r w:rsidRPr="00270ACC">
              <w:rPr>
                <w:rFonts w:eastAsia="MS Gothic"/>
                <w:noProof w:val="0"/>
                <w:sz w:val="18"/>
                <w:szCs w:val="18"/>
              </w:rPr>
              <w:t>;</w:t>
            </w:r>
          </w:p>
          <w:p w14:paraId="4E85A2A5" w14:textId="77777777" w:rsidR="001F67EC" w:rsidRPr="00270ACC" w:rsidRDefault="001F67EC" w:rsidP="004C60B9">
            <w:pPr>
              <w:pStyle w:val="ListParagraph"/>
              <w:numPr>
                <w:ilvl w:val="0"/>
                <w:numId w:val="51"/>
              </w:numPr>
              <w:spacing w:before="60" w:after="60" w:line="240" w:lineRule="auto"/>
              <w:ind w:left="425" w:hanging="357"/>
              <w:contextualSpacing w:val="0"/>
              <w:jc w:val="left"/>
              <w:rPr>
                <w:rFonts w:eastAsia="MS Gothic"/>
                <w:sz w:val="18"/>
                <w:szCs w:val="18"/>
              </w:rPr>
            </w:pPr>
            <w:r w:rsidRPr="00270ACC">
              <w:rPr>
                <w:sz w:val="18"/>
                <w:szCs w:val="18"/>
              </w:rPr>
              <w:t>Ensure that all workers, participate in training sessions on ESMP. Maintain a record of training and conduct of awareness sessions for staff to ensure compliance with environmental and safety commitments stated in ESMP </w:t>
            </w:r>
            <w:r w:rsidRPr="00270ACC">
              <w:rPr>
                <w:rFonts w:eastAsia="MS Gothic"/>
                <w:noProof w:val="0"/>
                <w:sz w:val="18"/>
                <w:szCs w:val="18"/>
              </w:rPr>
              <w:t>;</w:t>
            </w:r>
          </w:p>
          <w:p w14:paraId="77BD7CB0" w14:textId="77777777" w:rsidR="001F67EC" w:rsidRPr="00270ACC" w:rsidRDefault="001F67EC" w:rsidP="004C60B9">
            <w:pPr>
              <w:pStyle w:val="ListParagraph"/>
              <w:numPr>
                <w:ilvl w:val="0"/>
                <w:numId w:val="51"/>
              </w:numPr>
              <w:spacing w:before="60" w:after="60" w:line="240" w:lineRule="auto"/>
              <w:ind w:left="425" w:hanging="357"/>
              <w:contextualSpacing w:val="0"/>
              <w:jc w:val="left"/>
              <w:rPr>
                <w:rFonts w:eastAsia="MS Gothic"/>
                <w:sz w:val="18"/>
                <w:szCs w:val="18"/>
              </w:rPr>
            </w:pPr>
            <w:r w:rsidRPr="00270ACC">
              <w:rPr>
                <w:sz w:val="18"/>
                <w:szCs w:val="18"/>
              </w:rPr>
              <w:t>Undertake monitor of the implementation of the ESMP </w:t>
            </w:r>
            <w:r w:rsidRPr="00270ACC">
              <w:rPr>
                <w:rFonts w:eastAsia="MS Gothic"/>
                <w:noProof w:val="0"/>
                <w:sz w:val="18"/>
                <w:szCs w:val="18"/>
              </w:rPr>
              <w:t>;</w:t>
            </w:r>
          </w:p>
          <w:p w14:paraId="3C90B739" w14:textId="46A60EA7" w:rsidR="001F67EC" w:rsidRPr="00270ACC" w:rsidRDefault="001F67EC" w:rsidP="004C60B9">
            <w:pPr>
              <w:pStyle w:val="ListParagraph"/>
              <w:numPr>
                <w:ilvl w:val="0"/>
                <w:numId w:val="51"/>
              </w:numPr>
              <w:spacing w:before="60" w:after="60" w:line="240" w:lineRule="auto"/>
              <w:ind w:left="425" w:hanging="357"/>
              <w:contextualSpacing w:val="0"/>
              <w:jc w:val="left"/>
              <w:rPr>
                <w:rFonts w:eastAsia="MS Gothic"/>
                <w:sz w:val="18"/>
                <w:szCs w:val="18"/>
              </w:rPr>
            </w:pPr>
            <w:r w:rsidRPr="00270ACC">
              <w:rPr>
                <w:sz w:val="18"/>
                <w:szCs w:val="18"/>
              </w:rPr>
              <w:t>Prepare quarterly or semi-annual environmental and social monitoring reports for submission to the Lenders, if requested</w:t>
            </w:r>
            <w:r w:rsidR="004A752F" w:rsidRPr="00270ACC">
              <w:rPr>
                <w:rFonts w:eastAsia="MS Gothic"/>
                <w:noProof w:val="0"/>
                <w:sz w:val="18"/>
                <w:szCs w:val="18"/>
              </w:rPr>
              <w:t>.</w:t>
            </w:r>
          </w:p>
        </w:tc>
      </w:tr>
      <w:tr w:rsidR="001F67EC" w:rsidRPr="00270ACC" w14:paraId="632F76E2" w14:textId="77777777" w:rsidTr="004A752F">
        <w:trPr>
          <w:cantSplit/>
          <w:trHeight w:val="561"/>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743B4E" w14:textId="77777777" w:rsidR="001F67EC" w:rsidRPr="00270ACC" w:rsidRDefault="001F67EC">
            <w:pPr>
              <w:jc w:val="center"/>
              <w:rPr>
                <w:rFonts w:eastAsia="Arial" w:cs="Arial"/>
                <w:sz w:val="18"/>
                <w:szCs w:val="18"/>
              </w:rPr>
            </w:pPr>
            <w:r w:rsidRPr="00270ACC">
              <w:rPr>
                <w:rFonts w:eastAsia="Arial" w:cs="Arial"/>
                <w:sz w:val="18"/>
                <w:szCs w:val="18"/>
              </w:rPr>
              <w:t>Technical Experts</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513C9C0" w14:textId="77777777" w:rsidR="001F67EC" w:rsidRPr="00270ACC" w:rsidRDefault="001F67EC" w:rsidP="004C60B9">
            <w:pPr>
              <w:pStyle w:val="ListParagraph"/>
              <w:numPr>
                <w:ilvl w:val="0"/>
                <w:numId w:val="51"/>
              </w:numPr>
              <w:spacing w:before="60" w:after="60" w:line="240" w:lineRule="auto"/>
              <w:ind w:left="425" w:hanging="357"/>
              <w:contextualSpacing w:val="0"/>
              <w:rPr>
                <w:rFonts w:eastAsia="MS Gothic"/>
                <w:noProof w:val="0"/>
                <w:sz w:val="18"/>
                <w:szCs w:val="18"/>
              </w:rPr>
            </w:pPr>
            <w:r w:rsidRPr="00270ACC">
              <w:rPr>
                <w:rFonts w:eastAsia="Arial"/>
                <w:noProof w:val="0"/>
                <w:sz w:val="18"/>
                <w:szCs w:val="18"/>
              </w:rPr>
              <w:t>Responsible for project design.</w:t>
            </w:r>
          </w:p>
        </w:tc>
      </w:tr>
    </w:tbl>
    <w:p w14:paraId="556BD333" w14:textId="77777777" w:rsidR="005C7BE1" w:rsidRPr="00EE43C6" w:rsidRDefault="005C7BE1" w:rsidP="005C7BE1">
      <w:pPr>
        <w:rPr>
          <w:lang w:eastAsia="en-US"/>
        </w:rPr>
      </w:pPr>
    </w:p>
    <w:p w14:paraId="24921C61" w14:textId="77777777" w:rsidR="005C7BE1" w:rsidRPr="00EE43C6" w:rsidRDefault="005C7BE1" w:rsidP="005C7BE1">
      <w:pPr>
        <w:rPr>
          <w:lang w:eastAsia="en-US"/>
        </w:rPr>
        <w:sectPr w:rsidR="005C7BE1" w:rsidRPr="00EE43C6" w:rsidSect="00D719FE">
          <w:footerReference w:type="default" r:id="rId86"/>
          <w:pgSz w:w="11900" w:h="16840" w:code="9"/>
          <w:pgMar w:top="1418" w:right="1418" w:bottom="1418" w:left="1418" w:header="709" w:footer="709" w:gutter="0"/>
          <w:cols w:space="708"/>
          <w:docGrid w:linePitch="360"/>
        </w:sectPr>
      </w:pPr>
    </w:p>
    <w:p w14:paraId="77D2E0D0" w14:textId="6E3AEA96" w:rsidR="00BA3C8E" w:rsidRPr="00EE43C6" w:rsidRDefault="00BA3C8E" w:rsidP="00BA3C8E">
      <w:pPr>
        <w:pStyle w:val="Heading1"/>
        <w:ind w:left="426"/>
        <w:rPr>
          <w:noProof w:val="0"/>
          <w:lang w:val="en-GB"/>
        </w:rPr>
      </w:pPr>
      <w:bookmarkStart w:id="1630" w:name="_Toc141445476"/>
      <w:r w:rsidRPr="2DB09FEA">
        <w:rPr>
          <w:noProof w:val="0"/>
          <w:lang w:val="en-GB"/>
        </w:rPr>
        <w:lastRenderedPageBreak/>
        <w:t>STAKEHOLDER MANAGEMENT UNDER ESMP</w:t>
      </w:r>
      <w:bookmarkEnd w:id="1630"/>
      <w:r w:rsidRPr="2DB09FEA">
        <w:rPr>
          <w:noProof w:val="0"/>
          <w:lang w:val="en-GB"/>
        </w:rPr>
        <w:t xml:space="preserve"> </w:t>
      </w:r>
    </w:p>
    <w:p w14:paraId="70077C67" w14:textId="77777777" w:rsidR="00BA3C8E" w:rsidRPr="00EE43C6" w:rsidRDefault="00BA3C8E" w:rsidP="00BA3C8E">
      <w:pPr>
        <w:rPr>
          <w:lang w:eastAsia="en-US"/>
        </w:rPr>
      </w:pPr>
      <w:r w:rsidRPr="00EE43C6">
        <w:rPr>
          <w:lang w:eastAsia="en-US"/>
        </w:rPr>
        <w:t>A stakeholder is defined as any person, organisation or group that may be affected by the project or has an interest in the project and its impacts. Internal and external stakeholders (including vulnerable individuals/groups) are defined in the table below to identify which stakeholders will be directly or indirectly - positively or negatively - affected ("affected parties") or have an interest in the project ("other interested parties"):</w:t>
      </w:r>
    </w:p>
    <w:p w14:paraId="6A3C6A89" w14:textId="19683983" w:rsidR="00BA3C8E" w:rsidRPr="00EE43C6" w:rsidRDefault="00BA3C8E" w:rsidP="00BA3C8E">
      <w:pPr>
        <w:pStyle w:val="Caption"/>
        <w:spacing w:after="0"/>
        <w:rPr>
          <w:b w:val="0"/>
          <w:bCs w:val="0"/>
          <w:noProof w:val="0"/>
          <w:color w:val="auto"/>
        </w:rPr>
      </w:pPr>
      <w:bookmarkStart w:id="1631" w:name="_Toc141445544"/>
      <w:r w:rsidRPr="5F58EB95">
        <w:rPr>
          <w:noProof w:val="0"/>
          <w:color w:val="0070C0"/>
        </w:rPr>
        <w:t xml:space="preserve">Table </w:t>
      </w:r>
      <w:r w:rsidRPr="5F58EB95">
        <w:rPr>
          <w:noProof w:val="0"/>
          <w:color w:val="0070C0"/>
        </w:rPr>
        <w:fldChar w:fldCharType="begin"/>
      </w:r>
      <w:r w:rsidRPr="5F58EB95">
        <w:rPr>
          <w:noProof w:val="0"/>
          <w:color w:val="0070C0"/>
        </w:rPr>
        <w:instrText xml:space="preserve"> STYLEREF 1 \s </w:instrText>
      </w:r>
      <w:r w:rsidRPr="5F58EB95">
        <w:rPr>
          <w:noProof w:val="0"/>
          <w:color w:val="0070C0"/>
        </w:rPr>
        <w:fldChar w:fldCharType="separate"/>
      </w:r>
      <w:r w:rsidR="001459D7">
        <w:rPr>
          <w:color w:val="0070C0"/>
        </w:rPr>
        <w:t>10</w:t>
      </w:r>
      <w:r w:rsidRPr="5F58EB95">
        <w:rPr>
          <w:noProof w:val="0"/>
          <w:color w:val="0070C0"/>
        </w:rPr>
        <w:fldChar w:fldCharType="end"/>
      </w:r>
      <w:r>
        <w:rPr>
          <w:noProof w:val="0"/>
          <w:color w:val="0070C0"/>
        </w:rPr>
        <w:noBreakHyphen/>
      </w:r>
      <w:r w:rsidRPr="5F58EB95">
        <w:rPr>
          <w:noProof w:val="0"/>
          <w:color w:val="0070C0"/>
        </w:rPr>
        <w:fldChar w:fldCharType="begin"/>
      </w:r>
      <w:r w:rsidRPr="5F58EB95">
        <w:rPr>
          <w:noProof w:val="0"/>
          <w:color w:val="0070C0"/>
        </w:rPr>
        <w:instrText xml:space="preserve"> SEQ Table \* ARABIC \s 1 </w:instrText>
      </w:r>
      <w:r w:rsidRPr="5F58EB95">
        <w:rPr>
          <w:noProof w:val="0"/>
          <w:color w:val="0070C0"/>
        </w:rPr>
        <w:fldChar w:fldCharType="separate"/>
      </w:r>
      <w:r w:rsidR="001459D7">
        <w:rPr>
          <w:color w:val="0070C0"/>
        </w:rPr>
        <w:t>1</w:t>
      </w:r>
      <w:r w:rsidRPr="5F58EB95">
        <w:rPr>
          <w:noProof w:val="0"/>
          <w:color w:val="0070C0"/>
        </w:rPr>
        <w:fldChar w:fldCharType="end"/>
      </w:r>
      <w:r w:rsidRPr="5F58EB95">
        <w:rPr>
          <w:noProof w:val="0"/>
          <w:color w:val="0070C0"/>
        </w:rPr>
        <w:t xml:space="preserve">. </w:t>
      </w:r>
      <w:r>
        <w:rPr>
          <w:b w:val="0"/>
          <w:bCs w:val="0"/>
          <w:noProof w:val="0"/>
        </w:rPr>
        <w:t xml:space="preserve"> </w:t>
      </w:r>
      <w:r w:rsidRPr="5F58EB95">
        <w:rPr>
          <w:b w:val="0"/>
          <w:bCs w:val="0"/>
          <w:noProof w:val="0"/>
          <w:color w:val="auto"/>
        </w:rPr>
        <w:t>Stakeholder Groups</w:t>
      </w:r>
      <w:bookmarkEnd w:id="1631"/>
    </w:p>
    <w:tbl>
      <w:tblPr>
        <w:tblW w:w="523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4163"/>
        <w:gridCol w:w="829"/>
        <w:gridCol w:w="902"/>
        <w:gridCol w:w="1366"/>
        <w:gridCol w:w="876"/>
        <w:gridCol w:w="790"/>
        <w:gridCol w:w="561"/>
      </w:tblGrid>
      <w:tr w:rsidR="00B941A4" w:rsidRPr="00E132F6" w14:paraId="6C41A5D1" w14:textId="77777777" w:rsidTr="5F58EB95">
        <w:trPr>
          <w:trHeight w:val="284"/>
          <w:tblHeader/>
        </w:trPr>
        <w:tc>
          <w:tcPr>
            <w:tcW w:w="2195" w:type="pct"/>
            <w:shd w:val="clear" w:color="auto" w:fill="4F81BD" w:themeFill="accent1"/>
            <w:vAlign w:val="center"/>
          </w:tcPr>
          <w:p w14:paraId="01130992" w14:textId="77777777" w:rsidR="00AC2E39" w:rsidRPr="00E132F6" w:rsidRDefault="00AC2E39">
            <w:pPr>
              <w:jc w:val="center"/>
              <w:rPr>
                <w:rFonts w:cs="Arial"/>
                <w:b/>
                <w:color w:val="FFFFFF"/>
                <w:sz w:val="18"/>
                <w:szCs w:val="18"/>
                <w:lang w:val="en-US"/>
              </w:rPr>
            </w:pPr>
            <w:r w:rsidRPr="00E132F6">
              <w:rPr>
                <w:rFonts w:cs="Arial"/>
                <w:b/>
                <w:bCs/>
                <w:color w:val="FFFFFF"/>
                <w:sz w:val="18"/>
                <w:szCs w:val="18"/>
                <w:lang w:val="en-US"/>
              </w:rPr>
              <w:t>Stakeholder Groups</w:t>
            </w:r>
          </w:p>
        </w:tc>
        <w:tc>
          <w:tcPr>
            <w:tcW w:w="2728" w:type="pct"/>
            <w:gridSpan w:val="6"/>
            <w:shd w:val="clear" w:color="auto" w:fill="4F81BD" w:themeFill="accent1"/>
          </w:tcPr>
          <w:p w14:paraId="5262C8E1" w14:textId="77777777" w:rsidR="00AC2E39" w:rsidRPr="00E132F6" w:rsidRDefault="00AC2E39">
            <w:pPr>
              <w:jc w:val="center"/>
              <w:rPr>
                <w:rFonts w:cs="Arial"/>
                <w:b/>
                <w:color w:val="FFFFFF"/>
                <w:sz w:val="18"/>
                <w:szCs w:val="18"/>
                <w:lang w:val="en-US"/>
              </w:rPr>
            </w:pPr>
            <w:r w:rsidRPr="00E132F6">
              <w:rPr>
                <w:rFonts w:cs="Arial"/>
                <w:b/>
                <w:bCs/>
                <w:color w:val="FFFFFF"/>
                <w:sz w:val="18"/>
                <w:szCs w:val="18"/>
                <w:lang w:val="en-US"/>
              </w:rPr>
              <w:t>Stakeholder Type</w:t>
            </w:r>
          </w:p>
        </w:tc>
      </w:tr>
      <w:tr w:rsidR="001D692A" w:rsidRPr="00E132F6" w14:paraId="6A75135F" w14:textId="77777777" w:rsidTr="5F58EB95">
        <w:trPr>
          <w:trHeight w:val="284"/>
          <w:tblHeader/>
        </w:trPr>
        <w:tc>
          <w:tcPr>
            <w:tcW w:w="2195" w:type="pct"/>
            <w:vAlign w:val="center"/>
          </w:tcPr>
          <w:p w14:paraId="3C740140" w14:textId="77777777" w:rsidR="00AC2E39" w:rsidRPr="00E132F6" w:rsidRDefault="00AC2E39">
            <w:pPr>
              <w:jc w:val="center"/>
              <w:rPr>
                <w:rFonts w:cs="Arial"/>
                <w:b/>
                <w:color w:val="FFFFFF"/>
                <w:sz w:val="18"/>
                <w:szCs w:val="18"/>
                <w:lang w:val="en-US"/>
              </w:rPr>
            </w:pPr>
          </w:p>
        </w:tc>
        <w:tc>
          <w:tcPr>
            <w:tcW w:w="475" w:type="pct"/>
            <w:shd w:val="clear" w:color="auto" w:fill="4F81BD" w:themeFill="accent1"/>
            <w:vAlign w:val="center"/>
          </w:tcPr>
          <w:p w14:paraId="4960DA61" w14:textId="77777777" w:rsidR="00AC2E39" w:rsidRPr="00E132F6" w:rsidRDefault="00AC2E39">
            <w:pPr>
              <w:jc w:val="center"/>
              <w:rPr>
                <w:rFonts w:cs="Arial"/>
                <w:b/>
                <w:bCs/>
                <w:color w:val="FFFFFF"/>
                <w:sz w:val="18"/>
                <w:szCs w:val="18"/>
                <w:lang w:val="en-US"/>
              </w:rPr>
            </w:pPr>
            <w:r w:rsidRPr="00E132F6">
              <w:rPr>
                <w:rFonts w:cs="Arial"/>
                <w:b/>
                <w:bCs/>
                <w:color w:val="FFFFFF"/>
                <w:sz w:val="18"/>
                <w:szCs w:val="18"/>
                <w:lang w:val="en-US"/>
              </w:rPr>
              <w:t>Type of Impact</w:t>
            </w:r>
          </w:p>
        </w:tc>
        <w:tc>
          <w:tcPr>
            <w:tcW w:w="1233" w:type="pct"/>
            <w:gridSpan w:val="2"/>
            <w:shd w:val="clear" w:color="auto" w:fill="4F81BD" w:themeFill="accent1"/>
            <w:vAlign w:val="center"/>
          </w:tcPr>
          <w:p w14:paraId="23A684D2" w14:textId="77777777" w:rsidR="00AC2E39" w:rsidRPr="00E132F6" w:rsidRDefault="00AC2E39">
            <w:pPr>
              <w:jc w:val="center"/>
              <w:rPr>
                <w:rFonts w:cs="Arial"/>
                <w:b/>
                <w:bCs/>
                <w:color w:val="FFFFFF"/>
                <w:sz w:val="18"/>
                <w:szCs w:val="18"/>
                <w:lang w:val="en-US"/>
              </w:rPr>
            </w:pPr>
            <w:r w:rsidRPr="00E132F6">
              <w:rPr>
                <w:rFonts w:cs="Arial"/>
                <w:b/>
                <w:bCs/>
                <w:color w:val="FFFFFF"/>
                <w:sz w:val="18"/>
                <w:szCs w:val="18"/>
                <w:lang w:val="en-US"/>
              </w:rPr>
              <w:t>Cause of Impact/interest</w:t>
            </w:r>
          </w:p>
        </w:tc>
        <w:tc>
          <w:tcPr>
            <w:tcW w:w="454" w:type="pct"/>
            <w:shd w:val="clear" w:color="auto" w:fill="4F81BD" w:themeFill="accent1"/>
            <w:vAlign w:val="center"/>
          </w:tcPr>
          <w:p w14:paraId="46422E00" w14:textId="77777777" w:rsidR="00AC2E39" w:rsidRPr="00E132F6" w:rsidRDefault="00AC2E39">
            <w:pPr>
              <w:jc w:val="center"/>
              <w:rPr>
                <w:rFonts w:cs="Arial"/>
                <w:b/>
                <w:color w:val="FFFFFF"/>
                <w:sz w:val="18"/>
                <w:szCs w:val="18"/>
                <w:lang w:val="en-US"/>
              </w:rPr>
            </w:pPr>
            <w:r w:rsidRPr="00E132F6">
              <w:rPr>
                <w:rFonts w:cs="Arial"/>
                <w:b/>
                <w:bCs/>
                <w:color w:val="FFFFFF"/>
                <w:sz w:val="18"/>
                <w:szCs w:val="18"/>
                <w:lang w:val="en-US"/>
              </w:rPr>
              <w:t>Affected Party</w:t>
            </w:r>
          </w:p>
        </w:tc>
        <w:tc>
          <w:tcPr>
            <w:tcW w:w="567" w:type="pct"/>
            <w:gridSpan w:val="2"/>
            <w:shd w:val="clear" w:color="auto" w:fill="4F81BD" w:themeFill="accent1"/>
            <w:vAlign w:val="center"/>
          </w:tcPr>
          <w:p w14:paraId="73EB9B4D" w14:textId="77777777" w:rsidR="00AC2E39" w:rsidRPr="00E132F6" w:rsidRDefault="00AC2E39">
            <w:pPr>
              <w:jc w:val="center"/>
              <w:rPr>
                <w:rFonts w:cs="Arial"/>
                <w:b/>
                <w:color w:val="FFFFFF"/>
                <w:sz w:val="18"/>
                <w:szCs w:val="18"/>
                <w:lang w:val="en-US"/>
              </w:rPr>
            </w:pPr>
            <w:r w:rsidRPr="00E132F6">
              <w:rPr>
                <w:rFonts w:cs="Arial"/>
                <w:b/>
                <w:bCs/>
                <w:color w:val="FFFFFF"/>
                <w:sz w:val="18"/>
                <w:szCs w:val="18"/>
                <w:lang w:val="en-US"/>
              </w:rPr>
              <w:t>Interested Party</w:t>
            </w:r>
          </w:p>
        </w:tc>
      </w:tr>
      <w:tr w:rsidR="00693358" w:rsidRPr="00EE43C6" w14:paraId="1C471FB1" w14:textId="77777777" w:rsidTr="5F58EB95">
        <w:trPr>
          <w:trHeight w:val="370"/>
        </w:trPr>
        <w:tc>
          <w:tcPr>
            <w:tcW w:w="4997" w:type="pct"/>
            <w:gridSpan w:val="7"/>
            <w:shd w:val="clear" w:color="auto" w:fill="DBE5F1" w:themeFill="accent1" w:themeFillTint="33"/>
            <w:vAlign w:val="center"/>
          </w:tcPr>
          <w:p w14:paraId="2194D158" w14:textId="77777777" w:rsidR="00BA3C8E" w:rsidRPr="00EE43C6" w:rsidRDefault="00BA3C8E">
            <w:pPr>
              <w:spacing w:before="0" w:after="0" w:line="240" w:lineRule="auto"/>
              <w:rPr>
                <w:rFonts w:cs="Arial"/>
                <w:b/>
                <w:sz w:val="18"/>
                <w:szCs w:val="18"/>
              </w:rPr>
            </w:pPr>
            <w:r w:rsidRPr="00EE43C6">
              <w:rPr>
                <w:rFonts w:cs="Arial"/>
                <w:b/>
                <w:sz w:val="18"/>
                <w:szCs w:val="18"/>
              </w:rPr>
              <w:t>Internal Stakeholders</w:t>
            </w:r>
          </w:p>
        </w:tc>
      </w:tr>
      <w:tr w:rsidR="001D692A" w:rsidRPr="00EE43C6" w14:paraId="68399D14" w14:textId="77777777" w:rsidTr="5F58EB95">
        <w:trPr>
          <w:trHeight w:val="284"/>
        </w:trPr>
        <w:tc>
          <w:tcPr>
            <w:tcW w:w="2232" w:type="pct"/>
            <w:gridSpan w:val="2"/>
            <w:shd w:val="clear" w:color="auto" w:fill="FFFFFF" w:themeFill="background1"/>
          </w:tcPr>
          <w:p w14:paraId="7A7B679F" w14:textId="77777777" w:rsidR="00BA3C8E" w:rsidRPr="00EE43C6" w:rsidRDefault="00BA3C8E">
            <w:pPr>
              <w:pStyle w:val="ListParagraph"/>
              <w:numPr>
                <w:ilvl w:val="0"/>
                <w:numId w:val="13"/>
              </w:numPr>
              <w:spacing w:before="0" w:after="0" w:line="240" w:lineRule="auto"/>
              <w:contextualSpacing w:val="0"/>
              <w:rPr>
                <w:noProof w:val="0"/>
                <w:sz w:val="18"/>
                <w:szCs w:val="18"/>
              </w:rPr>
            </w:pPr>
            <w:r w:rsidRPr="00EE43C6">
              <w:rPr>
                <w:noProof w:val="0"/>
                <w:sz w:val="18"/>
                <w:szCs w:val="18"/>
              </w:rPr>
              <w:t>TUIOSB Personnel;</w:t>
            </w:r>
          </w:p>
          <w:p w14:paraId="6B432E41" w14:textId="77777777" w:rsidR="00BA3C8E" w:rsidRPr="00EE43C6" w:rsidRDefault="00BA3C8E">
            <w:pPr>
              <w:pStyle w:val="ListParagraph"/>
              <w:numPr>
                <w:ilvl w:val="0"/>
                <w:numId w:val="13"/>
              </w:numPr>
              <w:spacing w:before="0" w:after="0" w:line="240" w:lineRule="auto"/>
              <w:contextualSpacing w:val="0"/>
              <w:rPr>
                <w:noProof w:val="0"/>
                <w:sz w:val="18"/>
                <w:szCs w:val="18"/>
              </w:rPr>
            </w:pPr>
            <w:r w:rsidRPr="00EE43C6">
              <w:rPr>
                <w:noProof w:val="0"/>
                <w:sz w:val="18"/>
                <w:szCs w:val="18"/>
              </w:rPr>
              <w:t>Contractors and Employees.</w:t>
            </w:r>
          </w:p>
        </w:tc>
        <w:tc>
          <w:tcPr>
            <w:tcW w:w="475" w:type="pct"/>
            <w:shd w:val="clear" w:color="auto" w:fill="FFFFFF" w:themeFill="background1"/>
          </w:tcPr>
          <w:p w14:paraId="0B52583F" w14:textId="77777777" w:rsidR="00BA3C8E" w:rsidRPr="00EE43C6" w:rsidRDefault="00BA3C8E">
            <w:pPr>
              <w:spacing w:before="0" w:after="0" w:line="240" w:lineRule="auto"/>
              <w:jc w:val="center"/>
              <w:rPr>
                <w:rFonts w:cs="Arial"/>
                <w:sz w:val="18"/>
                <w:szCs w:val="18"/>
              </w:rPr>
            </w:pPr>
            <w:r w:rsidRPr="00EE43C6">
              <w:rPr>
                <w:rFonts w:cs="Arial"/>
                <w:sz w:val="18"/>
                <w:szCs w:val="18"/>
              </w:rPr>
              <w:t>Direct Exposure</w:t>
            </w:r>
          </w:p>
        </w:tc>
        <w:tc>
          <w:tcPr>
            <w:tcW w:w="1257" w:type="pct"/>
            <w:gridSpan w:val="2"/>
            <w:shd w:val="clear" w:color="auto" w:fill="FFFFFF" w:themeFill="background1"/>
          </w:tcPr>
          <w:p w14:paraId="71101A43" w14:textId="77777777" w:rsidR="00BA3C8E" w:rsidRPr="00EE43C6" w:rsidRDefault="00BA3C8E">
            <w:pPr>
              <w:spacing w:before="0" w:after="0" w:line="240" w:lineRule="auto"/>
              <w:jc w:val="center"/>
              <w:rPr>
                <w:rFonts w:cs="Arial"/>
                <w:sz w:val="18"/>
                <w:szCs w:val="18"/>
              </w:rPr>
            </w:pPr>
            <w:r w:rsidRPr="00EE43C6">
              <w:rPr>
                <w:rFonts w:cs="Arial"/>
                <w:sz w:val="18"/>
                <w:szCs w:val="18"/>
              </w:rPr>
              <w:t>Project Development, Implementation and</w:t>
            </w:r>
          </w:p>
          <w:p w14:paraId="11CC7115" w14:textId="77777777" w:rsidR="00BA3C8E" w:rsidRPr="00EE43C6" w:rsidRDefault="00BA3C8E">
            <w:pPr>
              <w:spacing w:before="0" w:after="0" w:line="240" w:lineRule="auto"/>
              <w:jc w:val="center"/>
              <w:rPr>
                <w:rFonts w:cs="Arial"/>
                <w:sz w:val="18"/>
                <w:szCs w:val="18"/>
              </w:rPr>
            </w:pPr>
            <w:r w:rsidRPr="00EE43C6">
              <w:rPr>
                <w:rFonts w:cs="Arial"/>
                <w:sz w:val="18"/>
                <w:szCs w:val="18"/>
              </w:rPr>
              <w:t>Employment</w:t>
            </w:r>
          </w:p>
        </w:tc>
        <w:tc>
          <w:tcPr>
            <w:tcW w:w="454" w:type="pct"/>
            <w:shd w:val="clear" w:color="auto" w:fill="FFFFFF" w:themeFill="background1"/>
            <w:vAlign w:val="center"/>
          </w:tcPr>
          <w:p w14:paraId="6B1AE61A" w14:textId="77777777" w:rsidR="00BA3C8E" w:rsidRPr="00EE43C6" w:rsidRDefault="00BA3C8E">
            <w:pPr>
              <w:spacing w:before="0" w:after="0" w:line="240" w:lineRule="auto"/>
              <w:jc w:val="center"/>
              <w:rPr>
                <w:rFonts w:cs="Arial"/>
                <w:sz w:val="18"/>
                <w:szCs w:val="18"/>
              </w:rPr>
            </w:pPr>
            <w:r w:rsidRPr="00EE43C6">
              <w:rPr>
                <w:rFonts w:cs="Arial"/>
                <w:sz w:val="18"/>
                <w:szCs w:val="18"/>
              </w:rPr>
              <w:t>√</w:t>
            </w:r>
          </w:p>
        </w:tc>
        <w:tc>
          <w:tcPr>
            <w:tcW w:w="580" w:type="pct"/>
            <w:shd w:val="clear" w:color="auto" w:fill="FFFFFF" w:themeFill="background1"/>
            <w:vAlign w:val="center"/>
          </w:tcPr>
          <w:p w14:paraId="01FA6B7C" w14:textId="77777777" w:rsidR="00BA3C8E" w:rsidRPr="00EE43C6" w:rsidRDefault="00BA3C8E">
            <w:pPr>
              <w:spacing w:before="0" w:after="0" w:line="240" w:lineRule="auto"/>
              <w:jc w:val="center"/>
              <w:rPr>
                <w:rFonts w:cs="Arial"/>
                <w:sz w:val="18"/>
                <w:szCs w:val="18"/>
              </w:rPr>
            </w:pPr>
          </w:p>
        </w:tc>
      </w:tr>
      <w:tr w:rsidR="00693358" w:rsidRPr="00EE43C6" w14:paraId="6C8F00A9" w14:textId="77777777" w:rsidTr="5F58EB95">
        <w:trPr>
          <w:trHeight w:val="284"/>
        </w:trPr>
        <w:tc>
          <w:tcPr>
            <w:tcW w:w="4997" w:type="pct"/>
            <w:gridSpan w:val="7"/>
            <w:shd w:val="clear" w:color="auto" w:fill="DBE5F1" w:themeFill="accent1" w:themeFillTint="33"/>
            <w:vAlign w:val="center"/>
          </w:tcPr>
          <w:p w14:paraId="5DBF91DF" w14:textId="77777777" w:rsidR="00BA3C8E" w:rsidRPr="00EE43C6" w:rsidRDefault="00BA3C8E">
            <w:pPr>
              <w:spacing w:before="0" w:after="0" w:line="240" w:lineRule="auto"/>
              <w:rPr>
                <w:rFonts w:cs="Arial"/>
                <w:b/>
                <w:sz w:val="18"/>
                <w:szCs w:val="18"/>
              </w:rPr>
            </w:pPr>
            <w:r w:rsidRPr="00EE43C6">
              <w:rPr>
                <w:rFonts w:cs="Arial"/>
                <w:b/>
                <w:sz w:val="18"/>
                <w:szCs w:val="18"/>
              </w:rPr>
              <w:t>Government / Authorities</w:t>
            </w:r>
          </w:p>
        </w:tc>
      </w:tr>
      <w:tr w:rsidR="009A7EB5" w:rsidRPr="00EE43C6" w14:paraId="461CFE41" w14:textId="77777777" w:rsidTr="5F58EB95">
        <w:trPr>
          <w:trHeight w:val="284"/>
        </w:trPr>
        <w:tc>
          <w:tcPr>
            <w:tcW w:w="2232" w:type="pct"/>
            <w:shd w:val="clear" w:color="auto" w:fill="FFFFFF" w:themeFill="background1"/>
            <w:vAlign w:val="center"/>
          </w:tcPr>
          <w:p w14:paraId="11A6C894" w14:textId="77777777" w:rsidR="00BA3C8E" w:rsidRPr="00EE43C6" w:rsidRDefault="00BA3C8E">
            <w:pPr>
              <w:pStyle w:val="paragraph"/>
              <w:numPr>
                <w:ilvl w:val="0"/>
                <w:numId w:val="15"/>
              </w:numPr>
              <w:tabs>
                <w:tab w:val="clear" w:pos="720"/>
                <w:tab w:val="num" w:pos="358"/>
              </w:tabs>
              <w:spacing w:before="0" w:beforeAutospacing="0" w:after="0" w:afterAutospacing="0"/>
              <w:ind w:left="358" w:hanging="358"/>
              <w:jc w:val="both"/>
              <w:textAlignment w:val="baseline"/>
              <w:rPr>
                <w:rStyle w:val="normaltextrun"/>
                <w:sz w:val="18"/>
                <w:szCs w:val="18"/>
                <w:lang w:val="en-GB"/>
              </w:rPr>
            </w:pPr>
            <w:r w:rsidRPr="00EE43C6">
              <w:rPr>
                <w:rStyle w:val="normaltextrun"/>
                <w:rFonts w:ascii="Arial" w:hAnsi="Arial" w:cs="Arial"/>
                <w:sz w:val="18"/>
                <w:szCs w:val="18"/>
                <w:lang w:val="en-GB"/>
              </w:rPr>
              <w:t>Ministry of Energy and Natural Resources;</w:t>
            </w:r>
          </w:p>
          <w:p w14:paraId="466985F2" w14:textId="77777777" w:rsidR="00BA3C8E" w:rsidRPr="00EE43C6" w:rsidRDefault="00BA3C8E">
            <w:pPr>
              <w:pStyle w:val="paragraph"/>
              <w:numPr>
                <w:ilvl w:val="0"/>
                <w:numId w:val="15"/>
              </w:numPr>
              <w:spacing w:before="0" w:beforeAutospacing="0" w:after="0" w:afterAutospacing="0"/>
              <w:ind w:left="358" w:hanging="358"/>
              <w:jc w:val="both"/>
              <w:textAlignment w:val="baseline"/>
              <w:rPr>
                <w:rStyle w:val="normaltextrun"/>
                <w:sz w:val="18"/>
                <w:szCs w:val="18"/>
                <w:lang w:val="en-GB"/>
              </w:rPr>
            </w:pPr>
            <w:r w:rsidRPr="00EE43C6">
              <w:rPr>
                <w:rStyle w:val="normaltextrun"/>
                <w:rFonts w:ascii="Arial" w:hAnsi="Arial" w:cs="Arial"/>
                <w:sz w:val="18"/>
                <w:szCs w:val="18"/>
                <w:lang w:val="en-GB"/>
              </w:rPr>
              <w:t>District Governorate of Tarsus;</w:t>
            </w:r>
          </w:p>
          <w:p w14:paraId="594466E2" w14:textId="77777777" w:rsidR="00BA3C8E" w:rsidRPr="00EE43C6" w:rsidRDefault="00BA3C8E">
            <w:pPr>
              <w:pStyle w:val="paragraph"/>
              <w:numPr>
                <w:ilvl w:val="0"/>
                <w:numId w:val="15"/>
              </w:numPr>
              <w:spacing w:before="0" w:beforeAutospacing="0" w:after="0" w:afterAutospacing="0"/>
              <w:ind w:left="358" w:hanging="358"/>
              <w:jc w:val="both"/>
              <w:textAlignment w:val="baseline"/>
              <w:rPr>
                <w:rStyle w:val="normaltextrun"/>
                <w:rFonts w:ascii="Arial" w:hAnsi="Arial" w:cs="Arial"/>
                <w:sz w:val="18"/>
                <w:szCs w:val="18"/>
                <w:lang w:val="en-GB"/>
              </w:rPr>
            </w:pPr>
            <w:r w:rsidRPr="00EE43C6">
              <w:rPr>
                <w:rStyle w:val="normaltextrun"/>
                <w:rFonts w:ascii="Arial" w:hAnsi="Arial" w:cs="Arial"/>
                <w:sz w:val="18"/>
                <w:szCs w:val="18"/>
                <w:lang w:val="en-GB"/>
              </w:rPr>
              <w:t>Provincial Governorate of Mersin;</w:t>
            </w:r>
          </w:p>
          <w:p w14:paraId="302BE15E" w14:textId="77777777" w:rsidR="00BA3C8E" w:rsidRPr="00EE43C6" w:rsidRDefault="00BA3C8E">
            <w:pPr>
              <w:pStyle w:val="paragraph"/>
              <w:numPr>
                <w:ilvl w:val="0"/>
                <w:numId w:val="15"/>
              </w:numPr>
              <w:spacing w:before="0" w:beforeAutospacing="0" w:after="0" w:afterAutospacing="0"/>
              <w:ind w:left="358" w:hanging="358"/>
              <w:jc w:val="both"/>
              <w:textAlignment w:val="baseline"/>
              <w:rPr>
                <w:rStyle w:val="normaltextrun"/>
                <w:rFonts w:ascii="Arial" w:hAnsi="Arial" w:cs="Arial"/>
                <w:sz w:val="18"/>
                <w:szCs w:val="18"/>
                <w:lang w:val="en-GB"/>
              </w:rPr>
            </w:pPr>
            <w:r w:rsidRPr="00EE43C6">
              <w:rPr>
                <w:rStyle w:val="normaltextrun"/>
                <w:rFonts w:ascii="Arial" w:hAnsi="Arial" w:cs="Arial"/>
                <w:sz w:val="18"/>
                <w:szCs w:val="18"/>
                <w:lang w:val="en-GB"/>
              </w:rPr>
              <w:t>Mersin Provincial Directorate of Environment Urbanization and Climate Change;</w:t>
            </w:r>
          </w:p>
          <w:p w14:paraId="1E7190E4" w14:textId="77777777" w:rsidR="00BA3C8E" w:rsidRPr="00EE43C6" w:rsidRDefault="00BA3C8E">
            <w:pPr>
              <w:pStyle w:val="paragraph"/>
              <w:numPr>
                <w:ilvl w:val="0"/>
                <w:numId w:val="15"/>
              </w:numPr>
              <w:spacing w:before="0" w:beforeAutospacing="0" w:after="0" w:afterAutospacing="0"/>
              <w:ind w:left="358" w:hanging="358"/>
              <w:jc w:val="both"/>
              <w:textAlignment w:val="baseline"/>
              <w:rPr>
                <w:rStyle w:val="normaltextrun"/>
                <w:sz w:val="18"/>
                <w:szCs w:val="18"/>
                <w:lang w:val="en-GB"/>
              </w:rPr>
            </w:pPr>
            <w:r w:rsidRPr="00EE43C6">
              <w:rPr>
                <w:rStyle w:val="normaltextrun"/>
                <w:rFonts w:ascii="Arial" w:hAnsi="Arial" w:cs="Arial"/>
                <w:sz w:val="18"/>
                <w:szCs w:val="18"/>
                <w:lang w:val="en-GB"/>
              </w:rPr>
              <w:t>Mersin Chamber of Commerce and Industry; </w:t>
            </w:r>
            <w:r w:rsidRPr="00EE43C6">
              <w:rPr>
                <w:rStyle w:val="normaltextrun"/>
                <w:sz w:val="18"/>
                <w:szCs w:val="18"/>
                <w:lang w:val="en-GB"/>
              </w:rPr>
              <w:t> </w:t>
            </w:r>
          </w:p>
          <w:p w14:paraId="05D04815" w14:textId="77777777" w:rsidR="00BA3C8E" w:rsidRPr="00EE43C6" w:rsidRDefault="00BA3C8E">
            <w:pPr>
              <w:pStyle w:val="paragraph"/>
              <w:numPr>
                <w:ilvl w:val="0"/>
                <w:numId w:val="15"/>
              </w:numPr>
              <w:spacing w:before="0" w:beforeAutospacing="0" w:after="0" w:afterAutospacing="0"/>
              <w:ind w:left="358" w:hanging="358"/>
              <w:jc w:val="both"/>
              <w:textAlignment w:val="baseline"/>
              <w:rPr>
                <w:rStyle w:val="normaltextrun"/>
                <w:sz w:val="18"/>
                <w:szCs w:val="18"/>
                <w:lang w:val="en-GB"/>
              </w:rPr>
            </w:pPr>
            <w:r w:rsidRPr="00EE43C6">
              <w:rPr>
                <w:rStyle w:val="normaltextrun"/>
                <w:rFonts w:ascii="Arial" w:hAnsi="Arial" w:cs="Arial"/>
                <w:sz w:val="18"/>
                <w:szCs w:val="18"/>
                <w:lang w:val="en-GB"/>
              </w:rPr>
              <w:t>District Health Directorate of Tarsus;</w:t>
            </w:r>
          </w:p>
          <w:p w14:paraId="226A0B86" w14:textId="77777777" w:rsidR="00BA3C8E" w:rsidRPr="00EE43C6" w:rsidRDefault="00BA3C8E">
            <w:pPr>
              <w:pStyle w:val="paragraph"/>
              <w:numPr>
                <w:ilvl w:val="0"/>
                <w:numId w:val="15"/>
              </w:numPr>
              <w:spacing w:before="0" w:beforeAutospacing="0" w:after="0" w:afterAutospacing="0"/>
              <w:ind w:left="358" w:hanging="358"/>
              <w:jc w:val="both"/>
              <w:textAlignment w:val="baseline"/>
              <w:rPr>
                <w:rStyle w:val="normaltextrun"/>
                <w:sz w:val="18"/>
                <w:szCs w:val="18"/>
                <w:lang w:val="en-GB"/>
              </w:rPr>
            </w:pPr>
            <w:r w:rsidRPr="00EE43C6">
              <w:rPr>
                <w:rStyle w:val="normaltextrun"/>
                <w:rFonts w:ascii="Arial" w:hAnsi="Arial" w:cs="Arial"/>
                <w:sz w:val="18"/>
                <w:szCs w:val="18"/>
                <w:lang w:val="en-GB"/>
              </w:rPr>
              <w:t>Ministry of Industry and Technology;</w:t>
            </w:r>
          </w:p>
          <w:p w14:paraId="5948C881" w14:textId="77777777" w:rsidR="00BA3C8E" w:rsidRPr="00EE43C6" w:rsidRDefault="00BA3C8E">
            <w:pPr>
              <w:pStyle w:val="paragraph"/>
              <w:numPr>
                <w:ilvl w:val="0"/>
                <w:numId w:val="15"/>
              </w:numPr>
              <w:spacing w:before="0" w:beforeAutospacing="0" w:after="0" w:afterAutospacing="0"/>
              <w:ind w:left="358" w:hanging="358"/>
              <w:jc w:val="both"/>
              <w:textAlignment w:val="baseline"/>
              <w:rPr>
                <w:rStyle w:val="normaltextrun"/>
                <w:sz w:val="18"/>
                <w:szCs w:val="18"/>
                <w:lang w:val="en-GB"/>
              </w:rPr>
            </w:pPr>
            <w:r w:rsidRPr="00EE43C6">
              <w:rPr>
                <w:rStyle w:val="normaltextrun"/>
                <w:rFonts w:ascii="Arial" w:hAnsi="Arial" w:cs="Arial"/>
                <w:sz w:val="18"/>
                <w:szCs w:val="18"/>
                <w:lang w:val="en-GB"/>
              </w:rPr>
              <w:t>Provincial Directorate of National Education;</w:t>
            </w:r>
          </w:p>
          <w:p w14:paraId="4ACCE550" w14:textId="64E9F5A8" w:rsidR="00BA3C8E" w:rsidRPr="00EC509A" w:rsidRDefault="00BA3C8E" w:rsidP="00EC509A">
            <w:pPr>
              <w:pStyle w:val="paragraph"/>
              <w:numPr>
                <w:ilvl w:val="0"/>
                <w:numId w:val="15"/>
              </w:numPr>
              <w:spacing w:before="0" w:beforeAutospacing="0" w:after="0" w:afterAutospacing="0"/>
              <w:ind w:left="358" w:hanging="358"/>
              <w:jc w:val="both"/>
              <w:textAlignment w:val="baseline"/>
              <w:rPr>
                <w:rStyle w:val="normaltextrun"/>
                <w:rFonts w:ascii="Arial" w:hAnsi="Arial" w:cs="Arial"/>
                <w:sz w:val="18"/>
                <w:szCs w:val="18"/>
                <w:lang w:val="en-GB"/>
              </w:rPr>
            </w:pPr>
            <w:r w:rsidRPr="00EE43C6">
              <w:rPr>
                <w:rStyle w:val="normaltextrun"/>
                <w:rFonts w:ascii="Arial" w:hAnsi="Arial" w:cs="Arial"/>
                <w:sz w:val="18"/>
                <w:szCs w:val="18"/>
                <w:lang w:val="en-GB"/>
              </w:rPr>
              <w:t>Organized Industrial Zones Supreme Organization (OSBÜK)</w:t>
            </w:r>
            <w:r w:rsidR="00EC509A">
              <w:rPr>
                <w:rStyle w:val="normaltextrun"/>
                <w:rFonts w:ascii="Arial" w:hAnsi="Arial" w:cs="Arial"/>
                <w:sz w:val="18"/>
                <w:szCs w:val="18"/>
                <w:lang w:val="en-GB"/>
              </w:rPr>
              <w:t>.</w:t>
            </w:r>
          </w:p>
        </w:tc>
        <w:tc>
          <w:tcPr>
            <w:tcW w:w="475" w:type="pct"/>
            <w:gridSpan w:val="2"/>
            <w:shd w:val="clear" w:color="auto" w:fill="FFFFFF" w:themeFill="background1"/>
          </w:tcPr>
          <w:p w14:paraId="31860308" w14:textId="77777777" w:rsidR="00BA3C8E" w:rsidRPr="00EE43C6" w:rsidRDefault="00BA3C8E">
            <w:pPr>
              <w:spacing w:before="0" w:after="0" w:line="240" w:lineRule="auto"/>
              <w:jc w:val="center"/>
              <w:rPr>
                <w:rFonts w:cs="Arial"/>
                <w:sz w:val="18"/>
                <w:szCs w:val="18"/>
              </w:rPr>
            </w:pPr>
            <w:r w:rsidRPr="00EE43C6">
              <w:rPr>
                <w:rFonts w:cs="Arial"/>
                <w:sz w:val="18"/>
                <w:szCs w:val="18"/>
              </w:rPr>
              <w:t>Indirect Exposure</w:t>
            </w:r>
          </w:p>
        </w:tc>
        <w:tc>
          <w:tcPr>
            <w:tcW w:w="1257" w:type="pct"/>
            <w:gridSpan w:val="2"/>
            <w:shd w:val="clear" w:color="auto" w:fill="FFFFFF" w:themeFill="background1"/>
          </w:tcPr>
          <w:p w14:paraId="7D2F22FE" w14:textId="77777777" w:rsidR="00BA3C8E" w:rsidRPr="00EE43C6" w:rsidRDefault="00BA3C8E">
            <w:pPr>
              <w:spacing w:before="0" w:after="0" w:line="240" w:lineRule="auto"/>
              <w:jc w:val="center"/>
              <w:rPr>
                <w:rFonts w:cs="Arial"/>
                <w:sz w:val="18"/>
                <w:szCs w:val="18"/>
              </w:rPr>
            </w:pPr>
            <w:r w:rsidRPr="00EE43C6">
              <w:rPr>
                <w:rFonts w:cs="Arial"/>
                <w:sz w:val="18"/>
                <w:szCs w:val="18"/>
              </w:rPr>
              <w:t>Relation of the Project with Healthcare, Environmental and Social institutions during construction and operational phases</w:t>
            </w:r>
          </w:p>
        </w:tc>
        <w:tc>
          <w:tcPr>
            <w:tcW w:w="454" w:type="pct"/>
            <w:shd w:val="clear" w:color="auto" w:fill="FFFFFF" w:themeFill="background1"/>
            <w:vAlign w:val="center"/>
          </w:tcPr>
          <w:p w14:paraId="145E695B" w14:textId="77777777" w:rsidR="00BA3C8E" w:rsidRPr="00EE43C6" w:rsidRDefault="00BA3C8E">
            <w:pPr>
              <w:spacing w:before="0" w:after="0" w:line="240" w:lineRule="auto"/>
              <w:jc w:val="center"/>
              <w:rPr>
                <w:rFonts w:cs="Arial"/>
                <w:sz w:val="18"/>
                <w:szCs w:val="18"/>
              </w:rPr>
            </w:pPr>
          </w:p>
        </w:tc>
        <w:tc>
          <w:tcPr>
            <w:tcW w:w="580" w:type="pct"/>
            <w:shd w:val="clear" w:color="auto" w:fill="FFFFFF" w:themeFill="background1"/>
            <w:vAlign w:val="center"/>
          </w:tcPr>
          <w:p w14:paraId="04FC7DF0" w14:textId="77777777" w:rsidR="00BA3C8E" w:rsidRPr="00EE43C6" w:rsidRDefault="00BA3C8E">
            <w:pPr>
              <w:spacing w:before="0" w:after="0" w:line="240" w:lineRule="auto"/>
              <w:jc w:val="center"/>
              <w:rPr>
                <w:rFonts w:cs="Arial"/>
                <w:sz w:val="18"/>
                <w:szCs w:val="18"/>
              </w:rPr>
            </w:pPr>
            <w:r w:rsidRPr="00EE43C6">
              <w:rPr>
                <w:rFonts w:cs="Arial"/>
                <w:sz w:val="18"/>
                <w:szCs w:val="18"/>
              </w:rPr>
              <w:t>√</w:t>
            </w:r>
          </w:p>
        </w:tc>
      </w:tr>
      <w:tr w:rsidR="00693358" w:rsidRPr="00EE43C6" w14:paraId="703B11E9" w14:textId="77777777" w:rsidTr="5F58EB95">
        <w:trPr>
          <w:trHeight w:val="284"/>
        </w:trPr>
        <w:tc>
          <w:tcPr>
            <w:tcW w:w="4997" w:type="pct"/>
            <w:gridSpan w:val="7"/>
            <w:shd w:val="clear" w:color="auto" w:fill="DBE5F1" w:themeFill="accent1" w:themeFillTint="33"/>
            <w:vAlign w:val="center"/>
          </w:tcPr>
          <w:p w14:paraId="4849ECF1" w14:textId="77777777" w:rsidR="00BA3C8E" w:rsidRPr="00EE43C6" w:rsidRDefault="00BA3C8E">
            <w:pPr>
              <w:spacing w:before="0" w:after="0" w:line="240" w:lineRule="auto"/>
              <w:rPr>
                <w:rFonts w:cs="Arial"/>
                <w:b/>
                <w:sz w:val="18"/>
                <w:szCs w:val="18"/>
              </w:rPr>
            </w:pPr>
            <w:r w:rsidRPr="00EE43C6">
              <w:rPr>
                <w:rFonts w:cs="Arial"/>
                <w:b/>
                <w:sz w:val="18"/>
                <w:szCs w:val="18"/>
              </w:rPr>
              <w:t>Municipalities</w:t>
            </w:r>
          </w:p>
        </w:tc>
      </w:tr>
      <w:tr w:rsidR="009A7EB5" w:rsidRPr="00EE43C6" w14:paraId="55252649" w14:textId="77777777" w:rsidTr="5F58EB95">
        <w:trPr>
          <w:trHeight w:val="284"/>
        </w:trPr>
        <w:tc>
          <w:tcPr>
            <w:tcW w:w="2232" w:type="pct"/>
            <w:shd w:val="clear" w:color="auto" w:fill="FFFFFF" w:themeFill="background1"/>
            <w:vAlign w:val="center"/>
          </w:tcPr>
          <w:p w14:paraId="29E4345B" w14:textId="77777777" w:rsidR="00BA3C8E" w:rsidRPr="00EE43C6" w:rsidRDefault="00BA3C8E">
            <w:pPr>
              <w:pStyle w:val="paragraph"/>
              <w:numPr>
                <w:ilvl w:val="0"/>
                <w:numId w:val="13"/>
              </w:numPr>
              <w:spacing w:before="0" w:beforeAutospacing="0" w:after="0" w:afterAutospacing="0"/>
              <w:jc w:val="both"/>
              <w:textAlignment w:val="baseline"/>
              <w:rPr>
                <w:rFonts w:ascii="Arial" w:hAnsi="Arial" w:cs="Arial"/>
                <w:sz w:val="18"/>
                <w:szCs w:val="18"/>
                <w:lang w:val="en-GB"/>
              </w:rPr>
            </w:pPr>
            <w:r w:rsidRPr="00EE43C6">
              <w:rPr>
                <w:rStyle w:val="normaltextrun"/>
                <w:rFonts w:ascii="Arial" w:hAnsi="Arial" w:cs="Arial"/>
                <w:sz w:val="18"/>
                <w:szCs w:val="18"/>
                <w:lang w:val="en-GB"/>
              </w:rPr>
              <w:t>Municipality of Tarsus;</w:t>
            </w:r>
          </w:p>
          <w:p w14:paraId="32B94BD8" w14:textId="77777777" w:rsidR="00BA3C8E" w:rsidRPr="00EE43C6" w:rsidRDefault="00BA3C8E">
            <w:pPr>
              <w:pStyle w:val="paragraph"/>
              <w:numPr>
                <w:ilvl w:val="0"/>
                <w:numId w:val="13"/>
              </w:numPr>
              <w:spacing w:before="0" w:beforeAutospacing="0" w:after="0" w:afterAutospacing="0"/>
              <w:jc w:val="both"/>
              <w:textAlignment w:val="baseline"/>
              <w:rPr>
                <w:rFonts w:ascii="Arial" w:hAnsi="Arial" w:cs="Arial"/>
                <w:sz w:val="18"/>
                <w:szCs w:val="18"/>
                <w:lang w:val="en-GB"/>
              </w:rPr>
            </w:pPr>
            <w:r w:rsidRPr="00EE43C6">
              <w:rPr>
                <w:rStyle w:val="normaltextrun"/>
                <w:rFonts w:ascii="Arial" w:hAnsi="Arial" w:cs="Arial"/>
                <w:sz w:val="18"/>
                <w:szCs w:val="18"/>
                <w:lang w:val="en-GB"/>
              </w:rPr>
              <w:t>Metropolitan Municipality of Mersin.</w:t>
            </w:r>
          </w:p>
        </w:tc>
        <w:tc>
          <w:tcPr>
            <w:tcW w:w="475" w:type="pct"/>
            <w:gridSpan w:val="2"/>
            <w:shd w:val="clear" w:color="auto" w:fill="FFFFFF" w:themeFill="background1"/>
          </w:tcPr>
          <w:p w14:paraId="099F6D92" w14:textId="77777777" w:rsidR="00BA3C8E" w:rsidRPr="00EE43C6" w:rsidRDefault="00BA3C8E">
            <w:pPr>
              <w:spacing w:before="0" w:after="0" w:line="240" w:lineRule="auto"/>
              <w:jc w:val="center"/>
              <w:rPr>
                <w:rFonts w:cs="Arial"/>
                <w:sz w:val="18"/>
                <w:szCs w:val="18"/>
              </w:rPr>
            </w:pPr>
            <w:r w:rsidRPr="00EE43C6">
              <w:rPr>
                <w:rFonts w:cs="Arial"/>
                <w:sz w:val="18"/>
                <w:szCs w:val="18"/>
              </w:rPr>
              <w:t>Direct Exposure</w:t>
            </w:r>
          </w:p>
        </w:tc>
        <w:tc>
          <w:tcPr>
            <w:tcW w:w="1257" w:type="pct"/>
            <w:gridSpan w:val="2"/>
            <w:shd w:val="clear" w:color="auto" w:fill="FFFFFF" w:themeFill="background1"/>
          </w:tcPr>
          <w:p w14:paraId="443B342F" w14:textId="77777777" w:rsidR="00BA3C8E" w:rsidRPr="00EE43C6" w:rsidRDefault="00BA3C8E">
            <w:pPr>
              <w:spacing w:before="0" w:after="0" w:line="240" w:lineRule="auto"/>
              <w:jc w:val="center"/>
              <w:rPr>
                <w:rFonts w:cs="Arial"/>
                <w:sz w:val="18"/>
                <w:szCs w:val="18"/>
              </w:rPr>
            </w:pPr>
            <w:r w:rsidRPr="00EE43C6">
              <w:rPr>
                <w:rFonts w:cs="Arial"/>
                <w:sz w:val="18"/>
                <w:szCs w:val="18"/>
              </w:rPr>
              <w:t>Project Development, Implementation and</w:t>
            </w:r>
          </w:p>
          <w:p w14:paraId="2E4DC71E" w14:textId="77777777" w:rsidR="00BA3C8E" w:rsidRPr="00EE43C6" w:rsidRDefault="00BA3C8E">
            <w:pPr>
              <w:spacing w:before="0" w:after="0" w:line="240" w:lineRule="auto"/>
              <w:jc w:val="center"/>
              <w:rPr>
                <w:rFonts w:cs="Arial"/>
                <w:sz w:val="18"/>
                <w:szCs w:val="18"/>
              </w:rPr>
            </w:pPr>
            <w:r w:rsidRPr="00EE43C6">
              <w:rPr>
                <w:rFonts w:cs="Arial"/>
                <w:sz w:val="18"/>
                <w:szCs w:val="18"/>
              </w:rPr>
              <w:t>Employment</w:t>
            </w:r>
          </w:p>
        </w:tc>
        <w:tc>
          <w:tcPr>
            <w:tcW w:w="454" w:type="pct"/>
            <w:shd w:val="clear" w:color="auto" w:fill="FFFFFF" w:themeFill="background1"/>
            <w:vAlign w:val="center"/>
          </w:tcPr>
          <w:p w14:paraId="78DC8DC8" w14:textId="77777777" w:rsidR="00BA3C8E" w:rsidRPr="00EE43C6" w:rsidRDefault="00BA3C8E">
            <w:pPr>
              <w:spacing w:before="0" w:after="0" w:line="240" w:lineRule="auto"/>
              <w:jc w:val="center"/>
              <w:rPr>
                <w:rFonts w:cs="Arial"/>
                <w:sz w:val="18"/>
                <w:szCs w:val="18"/>
              </w:rPr>
            </w:pPr>
          </w:p>
        </w:tc>
        <w:tc>
          <w:tcPr>
            <w:tcW w:w="580" w:type="pct"/>
            <w:shd w:val="clear" w:color="auto" w:fill="FFFFFF" w:themeFill="background1"/>
            <w:vAlign w:val="center"/>
          </w:tcPr>
          <w:p w14:paraId="4038213A" w14:textId="77777777" w:rsidR="00BA3C8E" w:rsidRPr="00EE43C6" w:rsidRDefault="00BA3C8E">
            <w:pPr>
              <w:spacing w:before="0" w:after="0" w:line="240" w:lineRule="auto"/>
              <w:jc w:val="center"/>
              <w:rPr>
                <w:rFonts w:cs="Arial"/>
                <w:sz w:val="18"/>
                <w:szCs w:val="18"/>
              </w:rPr>
            </w:pPr>
            <w:r w:rsidRPr="00EE43C6">
              <w:rPr>
                <w:rFonts w:cs="Arial"/>
                <w:sz w:val="18"/>
                <w:szCs w:val="18"/>
              </w:rPr>
              <w:t>√</w:t>
            </w:r>
          </w:p>
        </w:tc>
      </w:tr>
      <w:tr w:rsidR="00693358" w:rsidRPr="00EE43C6" w14:paraId="3C5514FA" w14:textId="77777777" w:rsidTr="5F58EB95">
        <w:trPr>
          <w:trHeight w:val="284"/>
        </w:trPr>
        <w:tc>
          <w:tcPr>
            <w:tcW w:w="4997" w:type="pct"/>
            <w:gridSpan w:val="7"/>
            <w:shd w:val="clear" w:color="auto" w:fill="DBE5F1" w:themeFill="accent1" w:themeFillTint="33"/>
            <w:vAlign w:val="center"/>
          </w:tcPr>
          <w:p w14:paraId="1CDA2AC1" w14:textId="77777777" w:rsidR="00BA3C8E" w:rsidRPr="00EE43C6" w:rsidRDefault="00BA3C8E">
            <w:pPr>
              <w:spacing w:before="0" w:after="0" w:line="240" w:lineRule="auto"/>
              <w:rPr>
                <w:rFonts w:cs="Arial"/>
                <w:b/>
                <w:sz w:val="18"/>
                <w:szCs w:val="18"/>
              </w:rPr>
            </w:pPr>
            <w:r w:rsidRPr="00EE43C6">
              <w:rPr>
                <w:rFonts w:cs="Arial"/>
                <w:b/>
                <w:sz w:val="18"/>
                <w:szCs w:val="18"/>
              </w:rPr>
              <w:t>Neighbourhood</w:t>
            </w:r>
          </w:p>
        </w:tc>
      </w:tr>
      <w:tr w:rsidR="009A7EB5" w:rsidRPr="00EE43C6" w14:paraId="1B4B8F4E" w14:textId="77777777" w:rsidTr="5F58EB95">
        <w:trPr>
          <w:trHeight w:val="284"/>
        </w:trPr>
        <w:tc>
          <w:tcPr>
            <w:tcW w:w="2232" w:type="pct"/>
            <w:shd w:val="clear" w:color="auto" w:fill="FFFFFF" w:themeFill="background1"/>
            <w:vAlign w:val="center"/>
          </w:tcPr>
          <w:p w14:paraId="37961398" w14:textId="77777777" w:rsidR="00BA3C8E" w:rsidRPr="00EE43C6" w:rsidRDefault="00BA3C8E">
            <w:pPr>
              <w:pStyle w:val="ListParagraph"/>
              <w:numPr>
                <w:ilvl w:val="0"/>
                <w:numId w:val="13"/>
              </w:numPr>
              <w:spacing w:before="0" w:after="0" w:line="240" w:lineRule="auto"/>
              <w:contextualSpacing w:val="0"/>
              <w:jc w:val="left"/>
              <w:rPr>
                <w:noProof w:val="0"/>
                <w:sz w:val="18"/>
                <w:szCs w:val="18"/>
              </w:rPr>
            </w:pPr>
            <w:r w:rsidRPr="00EE43C6">
              <w:rPr>
                <w:noProof w:val="0"/>
                <w:sz w:val="18"/>
                <w:szCs w:val="18"/>
              </w:rPr>
              <w:t>Kurbanli Neighbourhood;</w:t>
            </w:r>
          </w:p>
          <w:p w14:paraId="137A7FF8" w14:textId="77777777" w:rsidR="00BA3C8E" w:rsidRPr="00EE43C6" w:rsidRDefault="00BA3C8E">
            <w:pPr>
              <w:pStyle w:val="ListParagraph"/>
              <w:numPr>
                <w:ilvl w:val="0"/>
                <w:numId w:val="13"/>
              </w:numPr>
              <w:spacing w:before="0" w:after="0" w:line="240" w:lineRule="auto"/>
              <w:contextualSpacing w:val="0"/>
              <w:jc w:val="left"/>
              <w:rPr>
                <w:noProof w:val="0"/>
                <w:sz w:val="18"/>
                <w:szCs w:val="18"/>
              </w:rPr>
            </w:pPr>
            <w:r w:rsidRPr="00EE43C6">
              <w:rPr>
                <w:noProof w:val="0"/>
                <w:sz w:val="18"/>
                <w:szCs w:val="18"/>
              </w:rPr>
              <w:t>Eskisehir Neighbourhood;</w:t>
            </w:r>
          </w:p>
          <w:p w14:paraId="5D8C0716" w14:textId="77777777" w:rsidR="00BA3C8E" w:rsidRPr="00EE43C6" w:rsidRDefault="00BA3C8E">
            <w:pPr>
              <w:pStyle w:val="ListParagraph"/>
              <w:numPr>
                <w:ilvl w:val="0"/>
                <w:numId w:val="13"/>
              </w:numPr>
              <w:spacing w:before="0" w:after="0" w:line="240" w:lineRule="auto"/>
              <w:contextualSpacing w:val="0"/>
              <w:jc w:val="left"/>
              <w:rPr>
                <w:noProof w:val="0"/>
                <w:sz w:val="18"/>
                <w:szCs w:val="18"/>
              </w:rPr>
            </w:pPr>
            <w:r w:rsidRPr="00EE43C6">
              <w:rPr>
                <w:noProof w:val="0"/>
                <w:sz w:val="18"/>
                <w:szCs w:val="18"/>
              </w:rPr>
              <w:t>Saglikli Neighbourhood.</w:t>
            </w:r>
          </w:p>
        </w:tc>
        <w:tc>
          <w:tcPr>
            <w:tcW w:w="475" w:type="pct"/>
            <w:gridSpan w:val="2"/>
            <w:shd w:val="clear" w:color="auto" w:fill="FFFFFF" w:themeFill="background1"/>
          </w:tcPr>
          <w:p w14:paraId="5FF8C775" w14:textId="77777777" w:rsidR="00BA3C8E" w:rsidRPr="00EE43C6" w:rsidRDefault="00BA3C8E">
            <w:pPr>
              <w:spacing w:before="0" w:after="0" w:line="240" w:lineRule="auto"/>
              <w:jc w:val="center"/>
              <w:rPr>
                <w:rFonts w:cs="Arial"/>
                <w:sz w:val="18"/>
                <w:szCs w:val="18"/>
              </w:rPr>
            </w:pPr>
            <w:r w:rsidRPr="00EE43C6">
              <w:rPr>
                <w:rFonts w:cs="Arial"/>
                <w:sz w:val="18"/>
                <w:szCs w:val="18"/>
              </w:rPr>
              <w:t>Direct Exposure</w:t>
            </w:r>
          </w:p>
        </w:tc>
        <w:tc>
          <w:tcPr>
            <w:tcW w:w="1257" w:type="pct"/>
            <w:gridSpan w:val="2"/>
            <w:shd w:val="clear" w:color="auto" w:fill="FFFFFF" w:themeFill="background1"/>
          </w:tcPr>
          <w:p w14:paraId="6608C5FE" w14:textId="77777777" w:rsidR="00BA3C8E" w:rsidRPr="00EE43C6" w:rsidRDefault="00BA3C8E">
            <w:pPr>
              <w:spacing w:before="0" w:after="0" w:line="240" w:lineRule="auto"/>
              <w:jc w:val="center"/>
              <w:rPr>
                <w:rFonts w:cs="Arial"/>
                <w:sz w:val="18"/>
                <w:szCs w:val="18"/>
              </w:rPr>
            </w:pPr>
            <w:r w:rsidRPr="00EE43C6">
              <w:rPr>
                <w:rFonts w:cs="Arial"/>
                <w:sz w:val="18"/>
                <w:szCs w:val="18"/>
              </w:rPr>
              <w:t xml:space="preserve">Commissioning, </w:t>
            </w:r>
          </w:p>
          <w:p w14:paraId="79A09017" w14:textId="77777777" w:rsidR="00BA3C8E" w:rsidRPr="00EE43C6" w:rsidRDefault="00BA3C8E">
            <w:pPr>
              <w:spacing w:before="0" w:after="0" w:line="240" w:lineRule="auto"/>
              <w:jc w:val="center"/>
              <w:rPr>
                <w:rFonts w:cs="Arial"/>
                <w:sz w:val="18"/>
                <w:szCs w:val="18"/>
              </w:rPr>
            </w:pPr>
            <w:r w:rsidRPr="00EE43C6">
              <w:rPr>
                <w:rFonts w:cs="Arial"/>
                <w:sz w:val="18"/>
                <w:szCs w:val="18"/>
              </w:rPr>
              <w:t>Potential noise and dust emission during the construction phase</w:t>
            </w:r>
          </w:p>
        </w:tc>
        <w:tc>
          <w:tcPr>
            <w:tcW w:w="454" w:type="pct"/>
            <w:shd w:val="clear" w:color="auto" w:fill="FFFFFF" w:themeFill="background1"/>
            <w:vAlign w:val="center"/>
          </w:tcPr>
          <w:p w14:paraId="1FC4B500" w14:textId="77777777" w:rsidR="00BA3C8E" w:rsidRPr="00EE43C6" w:rsidRDefault="00BA3C8E">
            <w:pPr>
              <w:spacing w:before="0" w:after="0" w:line="240" w:lineRule="auto"/>
              <w:jc w:val="center"/>
              <w:rPr>
                <w:rFonts w:cs="Arial"/>
                <w:sz w:val="18"/>
                <w:szCs w:val="18"/>
              </w:rPr>
            </w:pPr>
            <w:r w:rsidRPr="5F58EB95">
              <w:rPr>
                <w:rFonts w:cs="Arial"/>
                <w:sz w:val="18"/>
                <w:szCs w:val="18"/>
              </w:rPr>
              <w:t>√</w:t>
            </w:r>
          </w:p>
        </w:tc>
        <w:tc>
          <w:tcPr>
            <w:tcW w:w="580" w:type="pct"/>
            <w:shd w:val="clear" w:color="auto" w:fill="FFFFFF" w:themeFill="background1"/>
            <w:vAlign w:val="center"/>
          </w:tcPr>
          <w:p w14:paraId="5860712D" w14:textId="5C3707CA" w:rsidR="00BA3C8E" w:rsidRPr="00EE43C6" w:rsidRDefault="00BA3C8E">
            <w:pPr>
              <w:spacing w:before="0" w:after="0" w:line="240" w:lineRule="auto"/>
              <w:jc w:val="center"/>
              <w:rPr>
                <w:rFonts w:cs="Arial"/>
                <w:sz w:val="18"/>
                <w:szCs w:val="18"/>
              </w:rPr>
            </w:pPr>
          </w:p>
        </w:tc>
      </w:tr>
      <w:tr w:rsidR="00693358" w:rsidRPr="00EE43C6" w14:paraId="3A1820EF" w14:textId="77777777" w:rsidTr="5F58EB95">
        <w:trPr>
          <w:trHeight w:val="284"/>
        </w:trPr>
        <w:tc>
          <w:tcPr>
            <w:tcW w:w="4997" w:type="pct"/>
            <w:gridSpan w:val="7"/>
            <w:shd w:val="clear" w:color="auto" w:fill="DBE5F1" w:themeFill="accent1" w:themeFillTint="33"/>
            <w:vAlign w:val="center"/>
          </w:tcPr>
          <w:p w14:paraId="4479DF79" w14:textId="77777777" w:rsidR="00BA3C8E" w:rsidRPr="00EE43C6" w:rsidRDefault="00BA3C8E">
            <w:pPr>
              <w:spacing w:before="0" w:after="0" w:line="240" w:lineRule="auto"/>
              <w:rPr>
                <w:rFonts w:cs="Arial"/>
                <w:b/>
                <w:sz w:val="18"/>
                <w:szCs w:val="18"/>
              </w:rPr>
            </w:pPr>
            <w:r w:rsidRPr="00EE43C6">
              <w:rPr>
                <w:rFonts w:cs="Arial"/>
                <w:b/>
                <w:sz w:val="18"/>
                <w:szCs w:val="18"/>
              </w:rPr>
              <w:t>Businesses</w:t>
            </w:r>
          </w:p>
        </w:tc>
      </w:tr>
      <w:tr w:rsidR="009A7EB5" w:rsidRPr="00EE43C6" w14:paraId="0617037C" w14:textId="77777777" w:rsidTr="5F58EB95">
        <w:trPr>
          <w:trHeight w:val="284"/>
        </w:trPr>
        <w:tc>
          <w:tcPr>
            <w:tcW w:w="2232" w:type="pct"/>
            <w:shd w:val="clear" w:color="auto" w:fill="FFFFFF" w:themeFill="background1"/>
            <w:vAlign w:val="center"/>
          </w:tcPr>
          <w:p w14:paraId="2E8B7811" w14:textId="77777777" w:rsidR="00BA3C8E" w:rsidRPr="00EE43C6" w:rsidRDefault="00BA3C8E">
            <w:pPr>
              <w:pStyle w:val="ListParagraph"/>
              <w:numPr>
                <w:ilvl w:val="0"/>
                <w:numId w:val="13"/>
              </w:numPr>
              <w:spacing w:before="0" w:after="0" w:line="240" w:lineRule="auto"/>
              <w:contextualSpacing w:val="0"/>
              <w:jc w:val="left"/>
              <w:rPr>
                <w:noProof w:val="0"/>
                <w:sz w:val="18"/>
                <w:szCs w:val="18"/>
              </w:rPr>
            </w:pPr>
            <w:r w:rsidRPr="00EE43C6">
              <w:rPr>
                <w:noProof w:val="0"/>
                <w:sz w:val="18"/>
                <w:szCs w:val="18"/>
              </w:rPr>
              <w:t>Quarries operating in the region.</w:t>
            </w:r>
          </w:p>
        </w:tc>
        <w:tc>
          <w:tcPr>
            <w:tcW w:w="475" w:type="pct"/>
            <w:gridSpan w:val="2"/>
            <w:shd w:val="clear" w:color="auto" w:fill="FFFFFF" w:themeFill="background1"/>
          </w:tcPr>
          <w:p w14:paraId="3789E211" w14:textId="77777777" w:rsidR="00BA3C8E" w:rsidRPr="00EE43C6" w:rsidRDefault="00BA3C8E">
            <w:pPr>
              <w:spacing w:before="0" w:after="0" w:line="240" w:lineRule="auto"/>
              <w:jc w:val="center"/>
              <w:rPr>
                <w:rFonts w:cs="Arial"/>
                <w:sz w:val="18"/>
                <w:szCs w:val="18"/>
              </w:rPr>
            </w:pPr>
            <w:r w:rsidRPr="00EE43C6">
              <w:rPr>
                <w:rFonts w:cs="Arial"/>
                <w:sz w:val="18"/>
                <w:szCs w:val="18"/>
              </w:rPr>
              <w:t>Direct Exposure</w:t>
            </w:r>
          </w:p>
        </w:tc>
        <w:tc>
          <w:tcPr>
            <w:tcW w:w="1257" w:type="pct"/>
            <w:gridSpan w:val="2"/>
            <w:shd w:val="clear" w:color="auto" w:fill="FFFFFF" w:themeFill="background1"/>
          </w:tcPr>
          <w:p w14:paraId="3FB2815D" w14:textId="77777777" w:rsidR="00BA3C8E" w:rsidRPr="00EE43C6" w:rsidRDefault="00BA3C8E">
            <w:pPr>
              <w:spacing w:before="0" w:after="0" w:line="240" w:lineRule="auto"/>
              <w:jc w:val="center"/>
              <w:rPr>
                <w:rFonts w:cs="Arial"/>
                <w:sz w:val="18"/>
                <w:szCs w:val="18"/>
              </w:rPr>
            </w:pPr>
            <w:r w:rsidRPr="00EE43C6">
              <w:rPr>
                <w:rFonts w:cs="Arial"/>
                <w:sz w:val="18"/>
                <w:szCs w:val="18"/>
              </w:rPr>
              <w:t xml:space="preserve">Commissioning, </w:t>
            </w:r>
          </w:p>
          <w:p w14:paraId="3E19A8CC" w14:textId="77777777" w:rsidR="00BA3C8E" w:rsidRPr="00EE43C6" w:rsidRDefault="00BA3C8E">
            <w:pPr>
              <w:spacing w:before="0" w:after="0" w:line="240" w:lineRule="auto"/>
              <w:jc w:val="center"/>
              <w:rPr>
                <w:rFonts w:cs="Arial"/>
                <w:sz w:val="18"/>
                <w:szCs w:val="18"/>
              </w:rPr>
            </w:pPr>
            <w:r w:rsidRPr="00EE43C6">
              <w:rPr>
                <w:rFonts w:cs="Arial"/>
                <w:sz w:val="18"/>
                <w:szCs w:val="18"/>
              </w:rPr>
              <w:t>Potential noise and dust emission during the construction phase</w:t>
            </w:r>
          </w:p>
        </w:tc>
        <w:tc>
          <w:tcPr>
            <w:tcW w:w="454" w:type="pct"/>
            <w:shd w:val="clear" w:color="auto" w:fill="FFFFFF" w:themeFill="background1"/>
            <w:vAlign w:val="center"/>
          </w:tcPr>
          <w:p w14:paraId="796D760B" w14:textId="77777777" w:rsidR="00BA3C8E" w:rsidRPr="00EE43C6" w:rsidRDefault="00BA3C8E">
            <w:pPr>
              <w:spacing w:before="0" w:after="0" w:line="240" w:lineRule="auto"/>
              <w:jc w:val="center"/>
              <w:rPr>
                <w:rFonts w:cs="Arial"/>
                <w:sz w:val="18"/>
                <w:szCs w:val="18"/>
              </w:rPr>
            </w:pPr>
            <w:r w:rsidRPr="00EE43C6">
              <w:rPr>
                <w:rFonts w:cs="Arial"/>
                <w:sz w:val="18"/>
                <w:szCs w:val="18"/>
              </w:rPr>
              <w:t>√</w:t>
            </w:r>
          </w:p>
        </w:tc>
        <w:tc>
          <w:tcPr>
            <w:tcW w:w="580" w:type="pct"/>
            <w:shd w:val="clear" w:color="auto" w:fill="FFFFFF" w:themeFill="background1"/>
            <w:vAlign w:val="center"/>
          </w:tcPr>
          <w:p w14:paraId="77567F53" w14:textId="77777777" w:rsidR="00BA3C8E" w:rsidRPr="00EE43C6" w:rsidRDefault="00BA3C8E">
            <w:pPr>
              <w:spacing w:before="0" w:after="0" w:line="240" w:lineRule="auto"/>
              <w:jc w:val="center"/>
              <w:rPr>
                <w:rFonts w:cs="Arial"/>
                <w:sz w:val="18"/>
                <w:szCs w:val="18"/>
              </w:rPr>
            </w:pPr>
          </w:p>
        </w:tc>
      </w:tr>
      <w:tr w:rsidR="00693358" w:rsidRPr="00EE43C6" w14:paraId="4F95CB94" w14:textId="77777777" w:rsidTr="5F58EB95">
        <w:trPr>
          <w:trHeight w:val="284"/>
        </w:trPr>
        <w:tc>
          <w:tcPr>
            <w:tcW w:w="4997" w:type="pct"/>
            <w:gridSpan w:val="7"/>
            <w:shd w:val="clear" w:color="auto" w:fill="DBE5F1" w:themeFill="accent1" w:themeFillTint="33"/>
            <w:vAlign w:val="center"/>
          </w:tcPr>
          <w:p w14:paraId="098DDCD8" w14:textId="77777777" w:rsidR="00BA3C8E" w:rsidRPr="00EE43C6" w:rsidRDefault="00BA3C8E">
            <w:pPr>
              <w:spacing w:before="0" w:after="0" w:line="240" w:lineRule="auto"/>
              <w:rPr>
                <w:rFonts w:cs="Arial"/>
                <w:b/>
                <w:sz w:val="18"/>
                <w:szCs w:val="18"/>
              </w:rPr>
            </w:pPr>
            <w:r w:rsidRPr="00EE43C6">
              <w:rPr>
                <w:rFonts w:cs="Arial"/>
                <w:b/>
                <w:sz w:val="18"/>
                <w:szCs w:val="18"/>
              </w:rPr>
              <w:t>NGO</w:t>
            </w:r>
          </w:p>
        </w:tc>
      </w:tr>
      <w:tr w:rsidR="009A7EB5" w:rsidRPr="00EE43C6" w14:paraId="0B323C2D" w14:textId="77777777" w:rsidTr="5F58EB95">
        <w:trPr>
          <w:trHeight w:val="284"/>
        </w:trPr>
        <w:tc>
          <w:tcPr>
            <w:tcW w:w="2232" w:type="pct"/>
            <w:shd w:val="clear" w:color="auto" w:fill="FFFFFF" w:themeFill="background1"/>
            <w:vAlign w:val="center"/>
          </w:tcPr>
          <w:p w14:paraId="0B0F1CA6" w14:textId="77777777" w:rsidR="00BA3C8E" w:rsidRPr="00EE43C6" w:rsidRDefault="00BA3C8E">
            <w:pPr>
              <w:pStyle w:val="ListParagraph"/>
              <w:numPr>
                <w:ilvl w:val="0"/>
                <w:numId w:val="13"/>
              </w:numPr>
              <w:spacing w:before="0" w:after="0" w:line="240" w:lineRule="auto"/>
              <w:contextualSpacing w:val="0"/>
              <w:jc w:val="left"/>
              <w:rPr>
                <w:noProof w:val="0"/>
                <w:sz w:val="18"/>
                <w:szCs w:val="18"/>
              </w:rPr>
            </w:pPr>
            <w:r w:rsidRPr="00EE43C6">
              <w:rPr>
                <w:noProof w:val="0"/>
                <w:sz w:val="18"/>
                <w:szCs w:val="18"/>
              </w:rPr>
              <w:t>Tarsus Environmental Protection Culture and Art Center Association</w:t>
            </w:r>
          </w:p>
        </w:tc>
        <w:tc>
          <w:tcPr>
            <w:tcW w:w="475" w:type="pct"/>
            <w:gridSpan w:val="2"/>
            <w:shd w:val="clear" w:color="auto" w:fill="FFFFFF" w:themeFill="background1"/>
          </w:tcPr>
          <w:p w14:paraId="5DCACE3D" w14:textId="77777777" w:rsidR="00BA3C8E" w:rsidRPr="00EE43C6" w:rsidRDefault="00BA3C8E">
            <w:pPr>
              <w:spacing w:before="0" w:after="0" w:line="240" w:lineRule="auto"/>
              <w:jc w:val="center"/>
              <w:rPr>
                <w:rFonts w:eastAsia="Calibri" w:cs="Arial"/>
                <w:sz w:val="18"/>
                <w:szCs w:val="18"/>
                <w:lang w:eastAsia="en-US"/>
              </w:rPr>
            </w:pPr>
            <w:r w:rsidRPr="00EE43C6">
              <w:rPr>
                <w:rFonts w:eastAsia="Calibri" w:cs="Arial"/>
                <w:sz w:val="18"/>
                <w:szCs w:val="18"/>
                <w:lang w:eastAsia="en-US"/>
              </w:rPr>
              <w:t>Indirect Exposure</w:t>
            </w:r>
          </w:p>
        </w:tc>
        <w:tc>
          <w:tcPr>
            <w:tcW w:w="1257" w:type="pct"/>
            <w:gridSpan w:val="2"/>
            <w:shd w:val="clear" w:color="auto" w:fill="FFFFFF" w:themeFill="background1"/>
          </w:tcPr>
          <w:p w14:paraId="4856F45E" w14:textId="77777777" w:rsidR="00BA3C8E" w:rsidRPr="00EE43C6" w:rsidRDefault="00BA3C8E">
            <w:pPr>
              <w:spacing w:before="0" w:after="0" w:line="240" w:lineRule="auto"/>
              <w:jc w:val="center"/>
              <w:rPr>
                <w:rFonts w:eastAsia="Calibri" w:cs="Arial"/>
                <w:sz w:val="18"/>
                <w:szCs w:val="18"/>
                <w:lang w:eastAsia="en-US"/>
              </w:rPr>
            </w:pPr>
            <w:r w:rsidRPr="00EE43C6">
              <w:rPr>
                <w:rFonts w:eastAsia="Calibri" w:cs="Arial"/>
                <w:sz w:val="18"/>
                <w:szCs w:val="18"/>
                <w:lang w:eastAsia="en-US"/>
              </w:rPr>
              <w:t>The pollution load of the discharged river will be reduced.</w:t>
            </w:r>
          </w:p>
        </w:tc>
        <w:tc>
          <w:tcPr>
            <w:tcW w:w="454" w:type="pct"/>
            <w:shd w:val="clear" w:color="auto" w:fill="FFFFFF" w:themeFill="background1"/>
            <w:vAlign w:val="center"/>
          </w:tcPr>
          <w:p w14:paraId="4AE99DCD" w14:textId="77777777" w:rsidR="00BA3C8E" w:rsidRPr="00EE43C6" w:rsidRDefault="00BA3C8E">
            <w:pPr>
              <w:spacing w:before="0" w:after="0" w:line="240" w:lineRule="auto"/>
              <w:jc w:val="center"/>
              <w:rPr>
                <w:rFonts w:eastAsia="Calibri" w:cs="Arial"/>
                <w:sz w:val="18"/>
                <w:szCs w:val="18"/>
                <w:lang w:eastAsia="en-US"/>
              </w:rPr>
            </w:pPr>
          </w:p>
        </w:tc>
        <w:tc>
          <w:tcPr>
            <w:tcW w:w="580" w:type="pct"/>
            <w:shd w:val="clear" w:color="auto" w:fill="FFFFFF" w:themeFill="background1"/>
            <w:vAlign w:val="center"/>
          </w:tcPr>
          <w:p w14:paraId="7F57B1A3" w14:textId="77777777" w:rsidR="00BA3C8E" w:rsidRPr="00EE43C6" w:rsidRDefault="00BA3C8E">
            <w:pPr>
              <w:spacing w:before="0" w:after="0" w:line="240" w:lineRule="auto"/>
              <w:jc w:val="center"/>
              <w:rPr>
                <w:rFonts w:eastAsia="Calibri" w:cs="Arial"/>
                <w:sz w:val="18"/>
                <w:szCs w:val="18"/>
                <w:lang w:eastAsia="en-US"/>
              </w:rPr>
            </w:pPr>
            <w:r w:rsidRPr="00EE43C6">
              <w:rPr>
                <w:rFonts w:eastAsia="Calibri" w:cs="Arial"/>
                <w:sz w:val="18"/>
                <w:szCs w:val="18"/>
                <w:lang w:eastAsia="en-US"/>
              </w:rPr>
              <w:t>√</w:t>
            </w:r>
          </w:p>
        </w:tc>
      </w:tr>
      <w:tr w:rsidR="00693358" w:rsidRPr="00EE43C6" w14:paraId="73D5E9F2" w14:textId="77777777" w:rsidTr="5F58EB95">
        <w:trPr>
          <w:trHeight w:val="284"/>
        </w:trPr>
        <w:tc>
          <w:tcPr>
            <w:tcW w:w="4997" w:type="pct"/>
            <w:gridSpan w:val="7"/>
            <w:shd w:val="clear" w:color="auto" w:fill="DBE5F1" w:themeFill="accent1" w:themeFillTint="33"/>
            <w:vAlign w:val="center"/>
          </w:tcPr>
          <w:p w14:paraId="4DEED21A" w14:textId="77777777" w:rsidR="00BA3C8E" w:rsidRPr="00EE43C6" w:rsidRDefault="00BA3C8E">
            <w:pPr>
              <w:spacing w:before="0" w:after="0" w:line="240" w:lineRule="auto"/>
              <w:rPr>
                <w:rFonts w:cs="Arial"/>
                <w:b/>
                <w:sz w:val="18"/>
                <w:szCs w:val="18"/>
              </w:rPr>
            </w:pPr>
            <w:r w:rsidRPr="00EE43C6">
              <w:rPr>
                <w:rFonts w:cs="Arial"/>
                <w:b/>
                <w:sz w:val="18"/>
                <w:szCs w:val="18"/>
              </w:rPr>
              <w:t>Vulnerable/Disadvantaged Individuals or Groups</w:t>
            </w:r>
          </w:p>
        </w:tc>
      </w:tr>
      <w:tr w:rsidR="009A7EB5" w:rsidRPr="00EE43C6" w14:paraId="76676D5A" w14:textId="77777777" w:rsidTr="5F58EB95">
        <w:trPr>
          <w:trHeight w:val="284"/>
        </w:trPr>
        <w:tc>
          <w:tcPr>
            <w:tcW w:w="2232" w:type="pct"/>
            <w:shd w:val="clear" w:color="auto" w:fill="FFFFFF" w:themeFill="background1"/>
            <w:vAlign w:val="center"/>
          </w:tcPr>
          <w:p w14:paraId="7AEE61F2" w14:textId="77777777" w:rsidR="00B45B5D" w:rsidRPr="00B45B5D" w:rsidRDefault="00B45B5D" w:rsidP="00B45B5D">
            <w:pPr>
              <w:pStyle w:val="ListParagraph"/>
              <w:numPr>
                <w:ilvl w:val="0"/>
                <w:numId w:val="13"/>
              </w:numPr>
              <w:spacing w:before="0" w:after="0" w:line="240" w:lineRule="auto"/>
              <w:jc w:val="left"/>
              <w:rPr>
                <w:noProof w:val="0"/>
                <w:sz w:val="18"/>
                <w:szCs w:val="18"/>
              </w:rPr>
            </w:pPr>
            <w:r w:rsidRPr="00B45B5D">
              <w:rPr>
                <w:noProof w:val="0"/>
                <w:sz w:val="18"/>
                <w:szCs w:val="18"/>
              </w:rPr>
              <w:t>Individuals over 65 years of age living alone</w:t>
            </w:r>
          </w:p>
          <w:p w14:paraId="26307534" w14:textId="77777777" w:rsidR="00B45B5D" w:rsidRPr="00B45B5D" w:rsidRDefault="00B45B5D" w:rsidP="00B45B5D">
            <w:pPr>
              <w:pStyle w:val="ListParagraph"/>
              <w:numPr>
                <w:ilvl w:val="0"/>
                <w:numId w:val="13"/>
              </w:numPr>
              <w:spacing w:before="0" w:after="0" w:line="240" w:lineRule="auto"/>
              <w:jc w:val="left"/>
              <w:rPr>
                <w:noProof w:val="0"/>
                <w:sz w:val="18"/>
                <w:szCs w:val="18"/>
              </w:rPr>
            </w:pPr>
            <w:r w:rsidRPr="00B45B5D">
              <w:rPr>
                <w:noProof w:val="0"/>
                <w:sz w:val="18"/>
                <w:szCs w:val="18"/>
              </w:rPr>
              <w:t>Poor families</w:t>
            </w:r>
          </w:p>
          <w:p w14:paraId="2C0D2222" w14:textId="77777777" w:rsidR="00B45B5D" w:rsidRPr="00B45B5D" w:rsidRDefault="00B45B5D" w:rsidP="00B45B5D">
            <w:pPr>
              <w:pStyle w:val="ListParagraph"/>
              <w:numPr>
                <w:ilvl w:val="0"/>
                <w:numId w:val="13"/>
              </w:numPr>
              <w:spacing w:before="0" w:after="0" w:line="240" w:lineRule="auto"/>
              <w:jc w:val="left"/>
              <w:rPr>
                <w:noProof w:val="0"/>
                <w:sz w:val="18"/>
                <w:szCs w:val="18"/>
              </w:rPr>
            </w:pPr>
            <w:r w:rsidRPr="00B45B5D">
              <w:rPr>
                <w:noProof w:val="0"/>
                <w:sz w:val="18"/>
                <w:szCs w:val="18"/>
              </w:rPr>
              <w:t>Physically / Mentally disabled</w:t>
            </w:r>
            <w:r w:rsidRPr="00B45B5D">
              <w:rPr>
                <w:noProof w:val="0"/>
                <w:sz w:val="18"/>
                <w:szCs w:val="18"/>
              </w:rPr>
              <w:tab/>
            </w:r>
          </w:p>
          <w:p w14:paraId="0EE34ED1" w14:textId="77777777" w:rsidR="00B45B5D" w:rsidRPr="00B45B5D" w:rsidRDefault="00B45B5D" w:rsidP="00B45B5D">
            <w:pPr>
              <w:pStyle w:val="ListParagraph"/>
              <w:numPr>
                <w:ilvl w:val="0"/>
                <w:numId w:val="13"/>
              </w:numPr>
              <w:spacing w:before="0" w:after="0" w:line="240" w:lineRule="auto"/>
              <w:jc w:val="left"/>
              <w:rPr>
                <w:noProof w:val="0"/>
                <w:sz w:val="18"/>
                <w:szCs w:val="18"/>
              </w:rPr>
            </w:pPr>
            <w:r w:rsidRPr="00B45B5D">
              <w:rPr>
                <w:noProof w:val="0"/>
                <w:sz w:val="18"/>
                <w:szCs w:val="18"/>
              </w:rPr>
              <w:t>Refugee</w:t>
            </w:r>
          </w:p>
          <w:p w14:paraId="3B12BD9C" w14:textId="415360F2" w:rsidR="00BA3C8E" w:rsidRPr="00EE43C6" w:rsidRDefault="00B45B5D" w:rsidP="00B45B5D">
            <w:pPr>
              <w:pStyle w:val="ListParagraph"/>
              <w:numPr>
                <w:ilvl w:val="0"/>
                <w:numId w:val="13"/>
              </w:numPr>
              <w:spacing w:before="0" w:after="0" w:line="240" w:lineRule="auto"/>
              <w:jc w:val="left"/>
              <w:rPr>
                <w:noProof w:val="0"/>
                <w:sz w:val="18"/>
                <w:szCs w:val="18"/>
              </w:rPr>
            </w:pPr>
            <w:r w:rsidRPr="00B45B5D">
              <w:rPr>
                <w:noProof w:val="0"/>
                <w:sz w:val="18"/>
                <w:szCs w:val="18"/>
              </w:rPr>
              <w:lastRenderedPageBreak/>
              <w:t>Women Living alone</w:t>
            </w:r>
          </w:p>
        </w:tc>
        <w:tc>
          <w:tcPr>
            <w:tcW w:w="475" w:type="pct"/>
            <w:gridSpan w:val="2"/>
            <w:shd w:val="clear" w:color="auto" w:fill="FFFFFF" w:themeFill="background1"/>
          </w:tcPr>
          <w:p w14:paraId="5900DB58" w14:textId="77777777" w:rsidR="00BA3C8E" w:rsidRPr="00EE43C6" w:rsidRDefault="00BA3C8E">
            <w:pPr>
              <w:spacing w:before="0" w:after="0" w:line="240" w:lineRule="auto"/>
              <w:jc w:val="center"/>
              <w:rPr>
                <w:rFonts w:cs="Arial"/>
                <w:sz w:val="18"/>
                <w:szCs w:val="18"/>
              </w:rPr>
            </w:pPr>
            <w:r w:rsidRPr="00EE43C6">
              <w:rPr>
                <w:rFonts w:cs="Arial"/>
                <w:sz w:val="18"/>
                <w:szCs w:val="18"/>
              </w:rPr>
              <w:lastRenderedPageBreak/>
              <w:t>Direct Exposure</w:t>
            </w:r>
          </w:p>
        </w:tc>
        <w:tc>
          <w:tcPr>
            <w:tcW w:w="1257" w:type="pct"/>
            <w:gridSpan w:val="2"/>
            <w:shd w:val="clear" w:color="auto" w:fill="FFFFFF" w:themeFill="background1"/>
          </w:tcPr>
          <w:p w14:paraId="10EB985D" w14:textId="77777777" w:rsidR="00BA3C8E" w:rsidRPr="00EE43C6" w:rsidRDefault="00BA3C8E">
            <w:pPr>
              <w:spacing w:before="0" w:after="0" w:line="240" w:lineRule="auto"/>
              <w:jc w:val="center"/>
              <w:rPr>
                <w:rFonts w:cs="Arial"/>
                <w:sz w:val="18"/>
                <w:szCs w:val="18"/>
              </w:rPr>
            </w:pPr>
            <w:r w:rsidRPr="00EE43C6">
              <w:rPr>
                <w:rFonts w:cs="Arial"/>
                <w:sz w:val="18"/>
                <w:szCs w:val="18"/>
              </w:rPr>
              <w:t xml:space="preserve">Commissioning, </w:t>
            </w:r>
          </w:p>
          <w:p w14:paraId="3940CFA6" w14:textId="77777777" w:rsidR="00BA3C8E" w:rsidRPr="00EE43C6" w:rsidRDefault="00BA3C8E">
            <w:pPr>
              <w:spacing w:before="0" w:after="0" w:line="240" w:lineRule="auto"/>
              <w:jc w:val="center"/>
              <w:rPr>
                <w:rFonts w:cs="Arial"/>
                <w:sz w:val="18"/>
                <w:szCs w:val="18"/>
              </w:rPr>
            </w:pPr>
            <w:r w:rsidRPr="00EE43C6">
              <w:rPr>
                <w:rFonts w:cs="Arial"/>
                <w:sz w:val="18"/>
                <w:szCs w:val="18"/>
              </w:rPr>
              <w:t>Potential noise and dust emission during the construction phase</w:t>
            </w:r>
          </w:p>
        </w:tc>
        <w:tc>
          <w:tcPr>
            <w:tcW w:w="454" w:type="pct"/>
            <w:shd w:val="clear" w:color="auto" w:fill="FFFFFF" w:themeFill="background1"/>
            <w:vAlign w:val="center"/>
          </w:tcPr>
          <w:p w14:paraId="066ADF10" w14:textId="77777777" w:rsidR="00BA3C8E" w:rsidRPr="00EE43C6" w:rsidRDefault="00BA3C8E">
            <w:pPr>
              <w:spacing w:before="0" w:after="0" w:line="240" w:lineRule="auto"/>
              <w:jc w:val="center"/>
              <w:rPr>
                <w:rFonts w:cs="Arial"/>
                <w:sz w:val="18"/>
                <w:szCs w:val="18"/>
              </w:rPr>
            </w:pPr>
            <w:r w:rsidRPr="00EE43C6">
              <w:rPr>
                <w:rFonts w:cs="Arial"/>
                <w:sz w:val="18"/>
                <w:szCs w:val="18"/>
              </w:rPr>
              <w:t>√</w:t>
            </w:r>
          </w:p>
        </w:tc>
        <w:tc>
          <w:tcPr>
            <w:tcW w:w="580" w:type="pct"/>
            <w:shd w:val="clear" w:color="auto" w:fill="FFFFFF" w:themeFill="background1"/>
            <w:vAlign w:val="center"/>
          </w:tcPr>
          <w:p w14:paraId="4CFC0E6D" w14:textId="77777777" w:rsidR="00BA3C8E" w:rsidRPr="00EE43C6" w:rsidRDefault="00BA3C8E">
            <w:pPr>
              <w:spacing w:before="0" w:after="0" w:line="240" w:lineRule="auto"/>
              <w:jc w:val="center"/>
              <w:rPr>
                <w:rFonts w:cs="Arial"/>
                <w:sz w:val="18"/>
                <w:szCs w:val="18"/>
              </w:rPr>
            </w:pPr>
          </w:p>
        </w:tc>
      </w:tr>
    </w:tbl>
    <w:p w14:paraId="44FCDF34" w14:textId="77777777" w:rsidR="00BA3C8E" w:rsidRPr="00EE43C6" w:rsidRDefault="00BA3C8E" w:rsidP="00BA3C8E">
      <w:pPr>
        <w:spacing w:before="0" w:after="200" w:line="276" w:lineRule="auto"/>
        <w:jc w:val="left"/>
      </w:pPr>
    </w:p>
    <w:p w14:paraId="340BA389" w14:textId="77777777" w:rsidR="00BA3C8E" w:rsidRPr="00EE43C6" w:rsidRDefault="00BA3C8E" w:rsidP="00BA3C8E">
      <w:pPr>
        <w:spacing w:before="0" w:after="200" w:line="276" w:lineRule="auto"/>
      </w:pPr>
      <w:r w:rsidRPr="00EE43C6">
        <w:t>Stakeholder engagement activities will be the responsibility of a staff member from the Public Relations Unit who will be assigned by TUIOSB to implement the SEP, or a specially appointed person with the necessary qualifications to fulfil this task. The ultimate responsibility for the implementation of the SEP rests with TUIOSB. Throughout the construction and operation phases, TUIOSB will keep the following information up to date and accessible and will provide information on Project developments and implementation:</w:t>
      </w:r>
    </w:p>
    <w:p w14:paraId="3D8D89D9" w14:textId="77777777" w:rsidR="00BA3C8E" w:rsidRPr="00EE43C6" w:rsidRDefault="00BA3C8E" w:rsidP="00BA3C8E">
      <w:pPr>
        <w:pStyle w:val="ListParagraph"/>
        <w:numPr>
          <w:ilvl w:val="0"/>
          <w:numId w:val="50"/>
        </w:numPr>
        <w:spacing w:before="0" w:after="200" w:line="276" w:lineRule="auto"/>
        <w:rPr>
          <w:noProof w:val="0"/>
        </w:rPr>
      </w:pPr>
      <w:r w:rsidRPr="00EE43C6">
        <w:rPr>
          <w:noProof w:val="0"/>
        </w:rPr>
        <w:t>Key Project phases and timetables (e.g. obtaining permits, commencement of construction or operation activities, construction programme, etc;</w:t>
      </w:r>
    </w:p>
    <w:p w14:paraId="79EE23D1" w14:textId="77777777" w:rsidR="00BA3C8E" w:rsidRPr="00EE43C6" w:rsidRDefault="00BA3C8E" w:rsidP="00BA3C8E">
      <w:pPr>
        <w:pStyle w:val="ListParagraph"/>
        <w:numPr>
          <w:ilvl w:val="0"/>
          <w:numId w:val="50"/>
        </w:numPr>
        <w:spacing w:before="0" w:after="200" w:line="276" w:lineRule="auto"/>
        <w:rPr>
          <w:noProof w:val="0"/>
        </w:rPr>
      </w:pPr>
      <w:r w:rsidRPr="00EE43C6">
        <w:rPr>
          <w:noProof w:val="0"/>
        </w:rPr>
        <w:t>Any Project-related disruptions (e.g. road closures, access and infrastructure disruptions);</w:t>
      </w:r>
    </w:p>
    <w:p w14:paraId="3FE10EE6" w14:textId="77777777" w:rsidR="00BA3C8E" w:rsidRPr="00EE43C6" w:rsidRDefault="00BA3C8E" w:rsidP="00BA3C8E">
      <w:pPr>
        <w:pStyle w:val="ListParagraph"/>
        <w:rPr>
          <w:noProof w:val="0"/>
        </w:rPr>
      </w:pPr>
      <w:r w:rsidRPr="00EE43C6">
        <w:rPr>
          <w:noProof w:val="0"/>
        </w:rPr>
        <w:t>Significant consultations/meetings that may have consequences that may affect the community and local people;</w:t>
      </w:r>
    </w:p>
    <w:p w14:paraId="38055EB4" w14:textId="77777777" w:rsidR="00BA3C8E" w:rsidRPr="00EE43C6" w:rsidRDefault="00BA3C8E" w:rsidP="00BA3C8E">
      <w:pPr>
        <w:pStyle w:val="ListParagraph"/>
        <w:numPr>
          <w:ilvl w:val="0"/>
          <w:numId w:val="50"/>
        </w:numPr>
        <w:rPr>
          <w:noProof w:val="0"/>
        </w:rPr>
      </w:pPr>
      <w:r w:rsidRPr="00EE43C6">
        <w:rPr>
          <w:noProof w:val="0"/>
        </w:rPr>
        <w:t>Environmental, health and safety performance (e.g. information on accidents, monitoring results).</w:t>
      </w:r>
    </w:p>
    <w:p w14:paraId="410EEE5E" w14:textId="77777777" w:rsidR="00BA3C8E" w:rsidRPr="00EE43C6" w:rsidRDefault="00BA3C8E" w:rsidP="00BA3C8E">
      <w:pPr>
        <w:pStyle w:val="Heading2"/>
        <w:ind w:left="709" w:hanging="709"/>
        <w:rPr>
          <w:lang w:val="en-GB"/>
        </w:rPr>
      </w:pPr>
      <w:bookmarkStart w:id="1632" w:name="_Toc141445477"/>
      <w:r w:rsidRPr="00EE43C6">
        <w:rPr>
          <w:lang w:val="en-GB"/>
        </w:rPr>
        <w:t>Previous Stakeholder Engagement Activities</w:t>
      </w:r>
      <w:bookmarkEnd w:id="1632"/>
    </w:p>
    <w:p w14:paraId="74DB50DB" w14:textId="77777777" w:rsidR="00BA3C8E" w:rsidRPr="00EE43C6" w:rsidRDefault="00BA3C8E" w:rsidP="00BA3C8E">
      <w:r w:rsidRPr="00EE43C6">
        <w:t xml:space="preserve">Within the scope of the project, two different stakeholder </w:t>
      </w:r>
      <w:r>
        <w:t>consultations</w:t>
      </w:r>
      <w:r w:rsidRPr="00EE43C6">
        <w:t xml:space="preserve"> meetings were held regarding the existing area and the additional area related to the project.</w:t>
      </w:r>
    </w:p>
    <w:p w14:paraId="1CB9D10E" w14:textId="77777777" w:rsidR="00BA3C8E" w:rsidRPr="00EE43C6" w:rsidRDefault="00BA3C8E" w:rsidP="00BA3C8E">
      <w:r w:rsidRPr="00EE43C6">
        <w:t xml:space="preserve">The public </w:t>
      </w:r>
      <w:r>
        <w:t>consultation</w:t>
      </w:r>
      <w:r w:rsidRPr="00EE43C6">
        <w:t xml:space="preserve"> meeting related to the existing area was held on 07.12.2017 at 14.00 on 07.12.2017 at Ali Ergezer Meeting Hall of Tarsus Chamber of Agriculture. The Public </w:t>
      </w:r>
      <w:r>
        <w:t>Consultation</w:t>
      </w:r>
      <w:r w:rsidRPr="00EE43C6">
        <w:t xml:space="preserve"> Meeting was announced on 25.11.2017 with an advertisement in Yeni Doğuş newspaper.</w:t>
      </w:r>
    </w:p>
    <w:p w14:paraId="1F95C45B" w14:textId="1C0CD869" w:rsidR="00BA3C8E" w:rsidRPr="00EE43C6" w:rsidRDefault="00BA3C8E" w:rsidP="00BA3C8E">
      <w:r>
        <w:t xml:space="preserve">In the public consultation meeting held on 07.12.2017, information about the project area, the area where it is </w:t>
      </w:r>
      <w:r w:rsidR="337BDAA5">
        <w:t xml:space="preserve">going to be </w:t>
      </w:r>
      <w:r>
        <w:t>established, the workflow chart and process of the facility, possible social and environmental impacts, and measures to be taken were provided with slides. In addition, the opinions of the stakeholders regarding the said information were also received.</w:t>
      </w:r>
    </w:p>
    <w:p w14:paraId="4F9A885C" w14:textId="77777777" w:rsidR="00BA3C8E" w:rsidRPr="009E552F" w:rsidRDefault="00BA3C8E" w:rsidP="00BA3C8E">
      <w:pPr>
        <w:rPr>
          <w:rFonts w:cs="Arial"/>
          <w:szCs w:val="22"/>
          <w:lang w:val="en-US" w:eastAsia="tr-TR"/>
        </w:rPr>
      </w:pPr>
      <w:r w:rsidRPr="009E552F">
        <w:rPr>
          <w:rFonts w:cs="Arial"/>
          <w:szCs w:val="22"/>
          <w:lang w:val="en-US" w:eastAsia="tr-TR"/>
        </w:rPr>
        <w:t>During the public consultation meeting, it was suggested that adding the location of the area as "Kumgediği" to the name of the project could avoid confusion as there are several OIZs in the vicinity of Tarsus District. This amendment was not implemented as it was not deemed necessary.</w:t>
      </w:r>
      <w:r w:rsidRPr="009E552F">
        <w:rPr>
          <w:rFonts w:ascii="Times New Roman" w:hAnsi="Times New Roman"/>
          <w:sz w:val="24"/>
          <w:lang w:val="tr-TR" w:eastAsia="tr-TR"/>
        </w:rPr>
        <w:t xml:space="preserve"> </w:t>
      </w:r>
      <w:r w:rsidRPr="009E552F">
        <w:rPr>
          <w:rFonts w:cs="Arial"/>
          <w:szCs w:val="22"/>
          <w:lang w:val="en-US" w:eastAsia="tr-TR"/>
        </w:rPr>
        <w:t>In addition, the question of who will take part in the Specialized Organized Industrial Zone Enterprising Committee has been addressed and it has been stated that the people who will work in the OIZ should be selected from the region. These issues are evaluated in the EIA Report.</w:t>
      </w:r>
    </w:p>
    <w:p w14:paraId="766E1F30" w14:textId="77777777" w:rsidR="00BA3C8E" w:rsidRPr="00EE43C6" w:rsidRDefault="00BA3C8E" w:rsidP="00BA3C8E">
      <w:r w:rsidRPr="00EE43C6">
        <w:lastRenderedPageBreak/>
        <w:t xml:space="preserve">The public </w:t>
      </w:r>
      <w:r>
        <w:t>consultation</w:t>
      </w:r>
      <w:r w:rsidRPr="00EE43C6">
        <w:t xml:space="preserve"> meeting regarding the additional area was held on 08.06.2021 at 14.00 on the terrace floor of Kurbanlı Neighbourhood Mosque in Kurbanlı District of Tarsus District of Mersin Province. The Public </w:t>
      </w:r>
      <w:r>
        <w:t>Consultation</w:t>
      </w:r>
      <w:r w:rsidRPr="00EE43C6">
        <w:t xml:space="preserve"> Meeting was announced with an advertisement in Yeni Doğuş newspaper on 28.05.2021.</w:t>
      </w:r>
    </w:p>
    <w:p w14:paraId="79AF789C" w14:textId="77777777" w:rsidR="00BA3C8E" w:rsidRPr="00EE43C6" w:rsidRDefault="00BA3C8E" w:rsidP="00BA3C8E">
      <w:r w:rsidRPr="00EE43C6">
        <w:t xml:space="preserve">The public </w:t>
      </w:r>
      <w:r>
        <w:t>consultation</w:t>
      </w:r>
      <w:r w:rsidRPr="00EE43C6">
        <w:t xml:space="preserve"> meeting was held on 08.06.2021 and information about the additional area, distance to settlements, facilities to be located in the OIZ, </w:t>
      </w:r>
      <w:r>
        <w:t xml:space="preserve">social and </w:t>
      </w:r>
      <w:r w:rsidRPr="00EE43C6">
        <w:t xml:space="preserve">environmental impacts and measures to be taken, possible </w:t>
      </w:r>
      <w:r>
        <w:t xml:space="preserve">social and </w:t>
      </w:r>
      <w:r w:rsidRPr="00EE43C6">
        <w:t>environmental impacts and measures to be taken were provided with slides. In addition, the opinions of the stakeholders regarding the information in question were also received.</w:t>
      </w:r>
    </w:p>
    <w:p w14:paraId="5BB2E265" w14:textId="77777777" w:rsidR="00BA3C8E" w:rsidRPr="00EE43C6" w:rsidRDefault="00BA3C8E" w:rsidP="00BA3C8E">
      <w:r w:rsidRPr="00EE43C6">
        <w:t>Following these meetings, a site visit was conducted on 20.12.2022 - 21.12.2022 and primary data on the communities living around the Project area and potential project impacts were collected through key informant interviews with the mukhtars of Kurbanlı, Eskişehir and Sağlıklı neighbourhoods during the site visit. Interviews were also conducted with a nomadic family on the border of the Project area and former beneficiaries of the TUIOSB administrative building.</w:t>
      </w:r>
    </w:p>
    <w:p w14:paraId="78A421EB" w14:textId="77777777" w:rsidR="00BA3C8E" w:rsidRPr="00EE43C6" w:rsidRDefault="00BA3C8E" w:rsidP="00BA3C8E">
      <w:r w:rsidRPr="00EE43C6">
        <w:t>The information obtained from the interviews summarises the current situation of the neighbourhood in general. This information has been shared in the previous sections of this document.</w:t>
      </w:r>
    </w:p>
    <w:p w14:paraId="10F2C938" w14:textId="77777777" w:rsidR="00BA3C8E" w:rsidRPr="00EE43C6" w:rsidRDefault="00BA3C8E" w:rsidP="00BA3C8E">
      <w:pPr>
        <w:pStyle w:val="Heading2"/>
        <w:spacing w:before="480"/>
        <w:ind w:left="1134" w:hanging="1134"/>
        <w:rPr>
          <w:lang w:val="en-GB"/>
        </w:rPr>
      </w:pPr>
      <w:bookmarkStart w:id="1633" w:name="_Toc141445478"/>
      <w:r w:rsidRPr="00EE43C6">
        <w:rPr>
          <w:lang w:val="en-GB"/>
        </w:rPr>
        <w:t>Grievance Mechanism</w:t>
      </w:r>
      <w:bookmarkEnd w:id="1633"/>
    </w:p>
    <w:p w14:paraId="4D1E1D7E" w14:textId="77777777" w:rsidR="00BA3C8E" w:rsidRPr="00EE43C6" w:rsidRDefault="00BA3C8E" w:rsidP="00BA3C8E">
      <w:r w:rsidRPr="00EE43C6">
        <w:t>The Grievance Mechanism is to provide access to an effective procedure for people affected or interested parties in the project. Grievances can be an indicator of stakeholder concerns and can escalate if not identified and resolved. Identifying and responding to grievances supports the development of positive relationships between Project staff, local communities, and other stakeholders.</w:t>
      </w:r>
    </w:p>
    <w:p w14:paraId="175E54CD" w14:textId="77777777" w:rsidR="00BA3C8E" w:rsidRPr="00EE43C6" w:rsidRDefault="00BA3C8E" w:rsidP="00BA3C8E">
      <w:r w:rsidRPr="00EE43C6">
        <w:t>The Structured Grievance Mechanism aims to ensure that Project-related grievances are addressed through a transparent and impartial process. The grievance procedure will start from the pre-construction phase of the Project and will be periodically publicised to all stakeholders involved in the SEP.</w:t>
      </w:r>
      <w:r>
        <w:t xml:space="preserve"> A separate GM for the project workers is included in the LMP:</w:t>
      </w:r>
    </w:p>
    <w:p w14:paraId="18E7F0C6" w14:textId="77777777" w:rsidR="00BA3C8E" w:rsidRPr="00EE43C6" w:rsidRDefault="00BA3C8E" w:rsidP="00BA3C8E">
      <w:r w:rsidRPr="00EE43C6">
        <w:t>The methods used to publicise the existence of the grievance mechanism should be culturally appropriate and in line with the ways in which stakeholders usually obtain information. Women and men may access information differently and it should be ensured that both have equal access to information. Stakeholders will be able to share their views and grievances through a range of options such as letters, e-mails, grievance boxes and face-to-face meetings throughout the life of the Project.</w:t>
      </w:r>
    </w:p>
    <w:p w14:paraId="150CAD88" w14:textId="77777777" w:rsidR="00BA3C8E" w:rsidRPr="00EE43C6" w:rsidRDefault="00BA3C8E" w:rsidP="00BA3C8E">
      <w:r w:rsidRPr="00EE43C6">
        <w:t>The project-based GM is intended to serve as a mechanism to:</w:t>
      </w:r>
    </w:p>
    <w:p w14:paraId="2269E677" w14:textId="77777777" w:rsidR="00BA3C8E" w:rsidRPr="00EE43C6" w:rsidRDefault="00BA3C8E" w:rsidP="00BA3C8E">
      <w:pPr>
        <w:pStyle w:val="ListParagraph"/>
        <w:numPr>
          <w:ilvl w:val="0"/>
          <w:numId w:val="50"/>
        </w:numPr>
        <w:rPr>
          <w:noProof w:val="0"/>
        </w:rPr>
      </w:pPr>
      <w:r w:rsidRPr="00EE43C6">
        <w:rPr>
          <w:noProof w:val="0"/>
        </w:rPr>
        <w:lastRenderedPageBreak/>
        <w:t xml:space="preserve">Allow identification and impartial, timely and effective resolution of issues </w:t>
      </w:r>
      <w:r>
        <w:rPr>
          <w:noProof w:val="0"/>
        </w:rPr>
        <w:t>project-related issues raised by the public, stakeholders and project workforce (in a separate GM)</w:t>
      </w:r>
      <w:r w:rsidRPr="00EE43C6">
        <w:rPr>
          <w:noProof w:val="0"/>
        </w:rPr>
        <w:t>;</w:t>
      </w:r>
    </w:p>
    <w:p w14:paraId="53BB3593" w14:textId="77777777" w:rsidR="00BA3C8E" w:rsidRPr="00EE43C6" w:rsidRDefault="00BA3C8E" w:rsidP="00BA3C8E">
      <w:pPr>
        <w:pStyle w:val="ListParagraph"/>
        <w:numPr>
          <w:ilvl w:val="0"/>
          <w:numId w:val="50"/>
        </w:numPr>
        <w:rPr>
          <w:noProof w:val="0"/>
        </w:rPr>
      </w:pPr>
      <w:r w:rsidRPr="00EE43C6">
        <w:rPr>
          <w:noProof w:val="0"/>
        </w:rPr>
        <w:t xml:space="preserve">Strengthen </w:t>
      </w:r>
      <w:r>
        <w:rPr>
          <w:noProof w:val="0"/>
        </w:rPr>
        <w:t xml:space="preserve">project </w:t>
      </w:r>
      <w:r w:rsidRPr="00EE43C6">
        <w:rPr>
          <w:noProof w:val="0"/>
        </w:rPr>
        <w:t xml:space="preserve">accountability </w:t>
      </w:r>
      <w:r>
        <w:rPr>
          <w:noProof w:val="0"/>
        </w:rPr>
        <w:t xml:space="preserve">vis-à-vis </w:t>
      </w:r>
      <w:r w:rsidRPr="00EE43C6">
        <w:rPr>
          <w:noProof w:val="0"/>
        </w:rPr>
        <w:t xml:space="preserve">the </w:t>
      </w:r>
      <w:r>
        <w:rPr>
          <w:noProof w:val="0"/>
        </w:rPr>
        <w:t>public</w:t>
      </w:r>
      <w:r w:rsidRPr="00EE43C6">
        <w:rPr>
          <w:noProof w:val="0"/>
        </w:rPr>
        <w:t>, including project affected stakeholders</w:t>
      </w:r>
      <w:r>
        <w:rPr>
          <w:noProof w:val="0"/>
        </w:rPr>
        <w:t xml:space="preserve"> and workforce</w:t>
      </w:r>
      <w:r w:rsidRPr="00EE43C6">
        <w:rPr>
          <w:noProof w:val="0"/>
        </w:rPr>
        <w:t>;</w:t>
      </w:r>
    </w:p>
    <w:p w14:paraId="50033A25" w14:textId="77777777" w:rsidR="00BA3C8E" w:rsidRPr="00EE43C6" w:rsidRDefault="00BA3C8E" w:rsidP="00BA3C8E">
      <w:pPr>
        <w:pStyle w:val="ListParagraph"/>
        <w:numPr>
          <w:ilvl w:val="0"/>
          <w:numId w:val="50"/>
        </w:numPr>
        <w:rPr>
          <w:noProof w:val="0"/>
        </w:rPr>
      </w:pPr>
      <w:r w:rsidRPr="00EE43C6">
        <w:rPr>
          <w:noProof w:val="0"/>
        </w:rPr>
        <w:t>Provide channels for the stakeholders</w:t>
      </w:r>
      <w:r>
        <w:rPr>
          <w:noProof w:val="0"/>
        </w:rPr>
        <w:t>, other interested partis and project workforce</w:t>
      </w:r>
      <w:r w:rsidRPr="00EE43C6">
        <w:rPr>
          <w:noProof w:val="0"/>
        </w:rPr>
        <w:t xml:space="preserve"> to provide feedback and raise concerns.</w:t>
      </w:r>
    </w:p>
    <w:p w14:paraId="26DA6CF1" w14:textId="77777777" w:rsidR="00BA3C8E" w:rsidRPr="00EE43C6" w:rsidRDefault="00BA3C8E" w:rsidP="00BA3C8E">
      <w:r w:rsidRPr="00EE43C6">
        <w:t>Having an effective GM in place will also serve the objectives of reducing conflicts and risks such as external interference, corruption or mismanagement; improving the quality of project activities and results; and serving as an important feedback and learning mechanism for project management regarding the strengths and weaknesses of project procedures and implementation processes.</w:t>
      </w:r>
    </w:p>
    <w:p w14:paraId="249228AD" w14:textId="77777777" w:rsidR="00BA3C8E" w:rsidRDefault="00BA3C8E" w:rsidP="00BA3C8E">
      <w:r>
        <w:t>Handling SEA/SH issues: the grievance mechanism for workers shall include handling any case of sexual exploitation and abuse (SEA) and sexual harassment (SH). A SEA/SH confidential referral pathway will be established and updated in line with existing procedures of the country. The GM for the project workers will also be used for addressing SEA/SH-related issues and will have in place mechanisms for confidential reporting with safe and ethical resolution of SEA/SH issues. Further, the GM will also have in place processes to immediately notify both the MoIT and the World Bank of any SEA/SH complaints, with the consent of the survivor. Thus, the existing GM will also be strengthened with procedures to handle allegations of SEA/SH violations. SEA/SH related complaints from local communities will also be addressed through the existing grievance mechanism and managed sensitively and confidentially.</w:t>
      </w:r>
    </w:p>
    <w:p w14:paraId="10D6E85B" w14:textId="7A8620E7" w:rsidR="00DE6632" w:rsidRDefault="00DE6632" w:rsidP="00BA3C8E">
      <w:r w:rsidRPr="00954C02">
        <w:t>In order to provide an effective grievance mechanism, grievance mechanism will be managed in accordance with the following principles</w:t>
      </w:r>
      <w:r>
        <w:t>:</w:t>
      </w:r>
    </w:p>
    <w:p w14:paraId="0690F81A" w14:textId="77777777" w:rsidR="00F06F3D" w:rsidRDefault="00F06F3D" w:rsidP="00F06F3D">
      <w:pPr>
        <w:pStyle w:val="ListParagraph"/>
        <w:numPr>
          <w:ilvl w:val="0"/>
          <w:numId w:val="68"/>
        </w:numPr>
        <w:spacing w:before="120"/>
        <w:contextualSpacing w:val="0"/>
      </w:pPr>
      <w:r>
        <w:t>Accessibility and inclusiveness: The grievance mechanism should be accessible to all project-affected parties, irrespective of their backgrounds or circumstances. It should be designed in a manner that considers cultural appropriateness and provides no-cost access to all stakeholders. It should also not prevent access to judicial or administrative remedies.</w:t>
      </w:r>
    </w:p>
    <w:p w14:paraId="028AB412" w14:textId="77777777" w:rsidR="00F06F3D" w:rsidRDefault="00F06F3D" w:rsidP="00F06F3D">
      <w:pPr>
        <w:pStyle w:val="ListParagraph"/>
        <w:numPr>
          <w:ilvl w:val="0"/>
          <w:numId w:val="68"/>
        </w:numPr>
        <w:spacing w:before="120"/>
        <w:contextualSpacing w:val="0"/>
      </w:pPr>
      <w:r>
        <w:t>Transparency and timeliness: The grievance mechanism should address concerns promptly and effectively. It should operate in a transparent manner and provide culturally appropriate and readily accessible information to all project-affected parties. The Borrower should inform the community about the grievance process during its engagement activities and make a record of the responses to all grievances publicly available.</w:t>
      </w:r>
    </w:p>
    <w:p w14:paraId="1E2AD9FA" w14:textId="77777777" w:rsidR="00F06F3D" w:rsidRDefault="00F06F3D" w:rsidP="00F06F3D">
      <w:pPr>
        <w:spacing w:before="120" w:after="120"/>
      </w:pPr>
    </w:p>
    <w:p w14:paraId="6CF91194" w14:textId="77777777" w:rsidR="00F06F3D" w:rsidRDefault="00F06F3D" w:rsidP="00F06F3D">
      <w:pPr>
        <w:pStyle w:val="ListParagraph"/>
        <w:numPr>
          <w:ilvl w:val="0"/>
          <w:numId w:val="68"/>
        </w:numPr>
        <w:spacing w:before="120"/>
        <w:contextualSpacing w:val="0"/>
      </w:pPr>
      <w:r>
        <w:t xml:space="preserve">Discretion, objectivity, and sensitivity: The handling of grievances should be done in a culturally appropriate manner, ensuring discretion, objectivity, and sensitivity towards </w:t>
      </w:r>
      <w:r>
        <w:lastRenderedPageBreak/>
        <w:t>the needs and concerns of the project-affected parties. The mechanism should also allow for anonymous complaints to be raised and addressed.</w:t>
      </w:r>
    </w:p>
    <w:p w14:paraId="2A244FBB" w14:textId="77777777" w:rsidR="00F06F3D" w:rsidRDefault="00F06F3D" w:rsidP="00F06F3D">
      <w:pPr>
        <w:pStyle w:val="ListParagraph"/>
        <w:numPr>
          <w:ilvl w:val="0"/>
          <w:numId w:val="68"/>
        </w:numPr>
        <w:spacing w:before="120"/>
        <w:contextualSpacing w:val="0"/>
      </w:pPr>
      <w:r>
        <w:t>Design and scale: The design and scale of the grievance mechanism should be project-specific, taking into account factors such as the project context, scale, and scope, the number of project beneficiaries, capacity, cultural attitudes toward lodging grievances, available resources, and technological constraints. Existing formal or informal mechanisms identified during the environmental and social assessment may be utilized, supplemented as needed with project-specific arrangements.</w:t>
      </w:r>
    </w:p>
    <w:p w14:paraId="4E13813D" w14:textId="77777777" w:rsidR="00F06F3D" w:rsidRDefault="00F06F3D" w:rsidP="00F06F3D">
      <w:pPr>
        <w:pStyle w:val="ListParagraph"/>
        <w:numPr>
          <w:ilvl w:val="0"/>
          <w:numId w:val="68"/>
        </w:numPr>
        <w:spacing w:before="120"/>
        <w:contextualSpacing w:val="0"/>
      </w:pPr>
      <w:r>
        <w:t>Establishing the mechanism: The grievance mechanism should be established as early as possible in project development and supported by appropriate human and financial resources. It should specify the means by which grievances can be submitted and received, assign responsibility for processing grievances, establish timelines for processing complaints, and include a process for registering and monitoring grievances. Larger or more complex projects may require multiple locations, means, and methods for receiving, processing, and monitoring grievances.</w:t>
      </w:r>
    </w:p>
    <w:p w14:paraId="5D51E5DD" w14:textId="77777777" w:rsidR="00F06F3D" w:rsidRDefault="00F06F3D" w:rsidP="00F06F3D">
      <w:pPr>
        <w:pStyle w:val="ListParagraph"/>
        <w:numPr>
          <w:ilvl w:val="0"/>
          <w:numId w:val="68"/>
        </w:numPr>
        <w:spacing w:before="120"/>
        <w:contextualSpacing w:val="0"/>
      </w:pPr>
      <w:r>
        <w:t>Accessibility and advertising: The grievance procedures should be simple and easy to understand, publicly advertised through accessible and appropriate channels such as newspapers, radio broadcasts, or other mediums. The expected timelines for acknowledgment, response, and resolution should be indicated. It is essential to ensure accessibility for disadvantaged or vulnerable individuals or groups, and all grievances received and responses provided should be documented.</w:t>
      </w:r>
    </w:p>
    <w:p w14:paraId="29EC2DEC" w14:textId="77777777" w:rsidR="00F06F3D" w:rsidRDefault="00F06F3D" w:rsidP="00F06F3D">
      <w:pPr>
        <w:pStyle w:val="ListParagraph"/>
        <w:numPr>
          <w:ilvl w:val="0"/>
          <w:numId w:val="68"/>
        </w:numPr>
        <w:spacing w:before="120"/>
        <w:contextualSpacing w:val="0"/>
      </w:pPr>
      <w:r>
        <w:t>Balanced actions and resolution: Actions taken on grievances or suggestions should be informed and balanced. The time frame for grievance resolution depends on factors such as urgency, research, investigation, consultation, funding, and capacity. The grievance mechanism should provide indicative time frames for acknowledgment, interim responses, and, where possible, final resolution. Grievances that require coordination among multiple departments/agencies or detailed investigation may take longer, and this should be communicated to the concerned parties when acknowledging receipt of the grievances.</w:t>
      </w:r>
    </w:p>
    <w:p w14:paraId="2F4F0C20" w14:textId="2A673212" w:rsidR="00F06F3D" w:rsidRPr="00EE43C6" w:rsidRDefault="00F06F3D" w:rsidP="00BA3C8E">
      <w:pPr>
        <w:pStyle w:val="ListParagraph"/>
        <w:numPr>
          <w:ilvl w:val="0"/>
          <w:numId w:val="68"/>
        </w:numPr>
        <w:spacing w:before="120"/>
        <w:contextualSpacing w:val="0"/>
      </w:pPr>
      <w:r>
        <w:t>Confidentiality and non-retaliation: Grievance mechanisms should ensure confidentiality, impartiality, objectivity, and timely handling of grievances. In countries where anonymous grievances are not permitted, the Borrower may consider engaging third-party entities to facilitate their submission. Users of the grievance mechanism should not be subject to retaliation, abuse, or any kind of discrimination.</w:t>
      </w:r>
    </w:p>
    <w:p w14:paraId="162F477F" w14:textId="77777777" w:rsidR="00BA3C8E" w:rsidRPr="00EE43C6" w:rsidRDefault="00BA3C8E" w:rsidP="00BA3C8E">
      <w:pPr>
        <w:pStyle w:val="Heading3"/>
        <w:spacing w:after="240"/>
        <w:ind w:left="851" w:hanging="851"/>
        <w:rPr>
          <w:rFonts w:eastAsia="Calibri"/>
          <w:noProof w:val="0"/>
        </w:rPr>
      </w:pPr>
      <w:bookmarkStart w:id="1634" w:name="_Toc141445479"/>
      <w:r w:rsidRPr="00EE43C6">
        <w:rPr>
          <w:rFonts w:eastAsia="Calibri"/>
          <w:noProof w:val="0"/>
        </w:rPr>
        <w:t>Existing GMs</w:t>
      </w:r>
      <w:bookmarkEnd w:id="1634"/>
    </w:p>
    <w:p w14:paraId="2ED69407" w14:textId="77777777" w:rsidR="00BA3C8E" w:rsidRPr="00EE43C6" w:rsidRDefault="00BA3C8E" w:rsidP="00BA3C8E">
      <w:pPr>
        <w:pStyle w:val="Heading4"/>
        <w:rPr>
          <w:noProof w:val="0"/>
        </w:rPr>
      </w:pPr>
      <w:bookmarkStart w:id="1635" w:name="_Toc141445480"/>
      <w:r w:rsidRPr="00EE43C6">
        <w:rPr>
          <w:noProof w:val="0"/>
        </w:rPr>
        <w:t>GM at National Level</w:t>
      </w:r>
      <w:bookmarkEnd w:id="1635"/>
    </w:p>
    <w:p w14:paraId="78F98F8E" w14:textId="77777777" w:rsidR="00BA3C8E" w:rsidRPr="00EE43C6" w:rsidRDefault="00BA3C8E" w:rsidP="00BA3C8E">
      <w:pPr>
        <w:rPr>
          <w:lang w:eastAsia="en-US"/>
        </w:rPr>
      </w:pPr>
      <w:r w:rsidRPr="00EE43C6">
        <w:rPr>
          <w:lang w:eastAsia="en-US"/>
        </w:rPr>
        <w:t xml:space="preserve">CİMER is an abbreviation for "Presidential Communication Centre". It is a public relations practice established to facilitate the use of the right to petition and the right to information </w:t>
      </w:r>
      <w:r w:rsidRPr="00EE43C6">
        <w:rPr>
          <w:lang w:eastAsia="en-US"/>
        </w:rPr>
        <w:lastRenderedPageBreak/>
        <w:t>guaranteed by the Constitution. It is carried out under the responsibility of the Public Relations Department of the Presidential Communication Directorate.</w:t>
      </w:r>
    </w:p>
    <w:p w14:paraId="19053193" w14:textId="77777777" w:rsidR="00BA3C8E" w:rsidRPr="00EE43C6" w:rsidRDefault="00BA3C8E" w:rsidP="00BA3C8E">
      <w:pPr>
        <w:rPr>
          <w:lang w:eastAsia="en-US"/>
        </w:rPr>
      </w:pPr>
      <w:r w:rsidRPr="00EE43C6">
        <w:rPr>
          <w:lang w:eastAsia="en-US"/>
        </w:rPr>
        <w:t>CİMER is the name of the electronic system and the applications made are sent to the relevant public institution from approximately 60 thousand administrative units registered in the system and are processed and responded by the receiving institution. CİMER is a platform where you can submit all kinds of opinions and suggestions regarding public policies within the framework of the "participatory management" approach, as well as the use of petition and information rights.</w:t>
      </w:r>
    </w:p>
    <w:p w14:paraId="774B98F5" w14:textId="77777777" w:rsidR="00BA3C8E" w:rsidRPr="00EE43C6" w:rsidRDefault="00BA3C8E" w:rsidP="00BA3C8E">
      <w:r w:rsidRPr="00EE43C6">
        <w:rPr>
          <w:lang w:eastAsia="en-US"/>
        </w:rPr>
        <w:t>In addition to CİMER, there is the Foreigners Communication Center (YIMER) which provides a centralized complaint system for foreigners. Foreigners use YIMER to submit all kinds of requests, complaints, compliments and inquiries without experiencing language barriers.</w:t>
      </w:r>
    </w:p>
    <w:p w14:paraId="2A37F6ED" w14:textId="77777777" w:rsidR="00BA3C8E" w:rsidRPr="00EE43C6" w:rsidRDefault="00BA3C8E" w:rsidP="00BA3C8E">
      <w:pPr>
        <w:pStyle w:val="Heading4"/>
        <w:rPr>
          <w:noProof w:val="0"/>
        </w:rPr>
      </w:pPr>
      <w:bookmarkStart w:id="1636" w:name="_Toc141445481"/>
      <w:r w:rsidRPr="00EE43C6">
        <w:rPr>
          <w:noProof w:val="0"/>
        </w:rPr>
        <w:t>GM at Ministry Level</w:t>
      </w:r>
      <w:bookmarkEnd w:id="1636"/>
    </w:p>
    <w:p w14:paraId="4008A8C1" w14:textId="77777777" w:rsidR="00BA3C8E" w:rsidRPr="00EE43C6" w:rsidRDefault="00BA3C8E" w:rsidP="00BA3C8E">
      <w:pPr>
        <w:rPr>
          <w:lang w:eastAsia="en-US"/>
        </w:rPr>
      </w:pPr>
      <w:r w:rsidRPr="00EE43C6">
        <w:rPr>
          <w:lang w:eastAsia="en-US"/>
        </w:rPr>
        <w:t xml:space="preserve">In accordance with the World Bank's ESS10 requirements, an appropriate grievance mechanism (GM) has been established for the Project and is currently operational. For the proper and timely functioning of this mechanism, a GM focal point to oversee the entire process has been appointed as part of the project team of the Ministry of Industry and Technology. The GM focal point will also be responsible for reporting on the grievance redress process of the project for monitoring purposes. This person will also be responsible for coordination to ensure the smooth functioning of the grievance mechanism under the project. </w:t>
      </w:r>
    </w:p>
    <w:p w14:paraId="273ED8F8" w14:textId="77777777" w:rsidR="00BA3C8E" w:rsidRPr="00EE43C6" w:rsidRDefault="00BA3C8E" w:rsidP="00BA3C8E">
      <w:pPr>
        <w:rPr>
          <w:lang w:eastAsia="en-US"/>
        </w:rPr>
      </w:pPr>
      <w:r w:rsidRPr="00EE43C6">
        <w:rPr>
          <w:lang w:eastAsia="en-US"/>
        </w:rPr>
        <w:t>MoIT receive formal requests and grievances through the Presidential Communication Center (CIMER). Other than CIMER, MoIT can receive formal grievances either as official petitions or through its online web channels. In accordance with the requirements of the World Bank, an expert will be assigned to function as the GM focal point of the project, who will receive grievances regarding the project through all available GMs. The GM will also allow submission of anonymous grievances through CIMER.</w:t>
      </w:r>
    </w:p>
    <w:p w14:paraId="3116684E" w14:textId="77777777" w:rsidR="00BA3C8E" w:rsidRPr="00EE43C6" w:rsidRDefault="00BA3C8E" w:rsidP="00BA3C8E">
      <w:pPr>
        <w:rPr>
          <w:lang w:eastAsia="en-US"/>
        </w:rPr>
      </w:pPr>
      <w:r w:rsidRPr="2DB09FEA">
        <w:rPr>
          <w:lang w:eastAsia="en-US"/>
        </w:rPr>
        <w:t>Additionally, requests, grievances and suggestions can be sent to Department of Personnel (for MoIT) either electronically (online correspondence system) or paper-based petitions for project workers, who are staff of MoIT. Requests, grievances, and suggestions received in this way are evaluated in every 20 business days. The evaluation results are listed internally on the grievance system and can be accessed by employees through their own intranet. The grievances which are relevant to this Project, received through this system will also be reported to GM focal point.</w:t>
      </w:r>
    </w:p>
    <w:p w14:paraId="43AC3361" w14:textId="77777777" w:rsidR="00BA3C8E" w:rsidRPr="00EE43C6" w:rsidRDefault="00BA3C8E" w:rsidP="00BA3C8E">
      <w:pPr>
        <w:pStyle w:val="Heading4"/>
        <w:rPr>
          <w:rFonts w:eastAsia="Calibri"/>
          <w:noProof w:val="0"/>
        </w:rPr>
      </w:pPr>
      <w:bookmarkStart w:id="1637" w:name="_Toc141445482"/>
      <w:r w:rsidRPr="00EE43C6">
        <w:rPr>
          <w:rFonts w:eastAsia="Calibri"/>
          <w:noProof w:val="0"/>
        </w:rPr>
        <w:t xml:space="preserve">Project Level </w:t>
      </w:r>
      <w:r w:rsidRPr="00EE43C6">
        <w:rPr>
          <w:noProof w:val="0"/>
        </w:rPr>
        <w:t>Grievance</w:t>
      </w:r>
      <w:r w:rsidRPr="00EE43C6">
        <w:rPr>
          <w:rFonts w:eastAsia="Calibri"/>
          <w:noProof w:val="0"/>
        </w:rPr>
        <w:t xml:space="preserve"> Mechanism</w:t>
      </w:r>
      <w:bookmarkEnd w:id="1637"/>
    </w:p>
    <w:p w14:paraId="403BEF2C" w14:textId="77777777" w:rsidR="00BA3C8E" w:rsidRPr="00EE43C6" w:rsidRDefault="00BA3C8E" w:rsidP="00BA3C8E">
      <w:pPr>
        <w:rPr>
          <w:rFonts w:eastAsia="Calibri"/>
          <w:lang w:eastAsia="en-US"/>
        </w:rPr>
      </w:pPr>
      <w:r w:rsidRPr="00EE43C6">
        <w:rPr>
          <w:rFonts w:eastAsia="Calibri"/>
          <w:lang w:eastAsia="en-US"/>
        </w:rPr>
        <w:t>Project Implementation Unit (PIUs) in TUIOSB will be responsible for overall management and supervision of the project including compliance with SEP requirements as well as managing grievances. TUIOSB ha</w:t>
      </w:r>
      <w:r>
        <w:rPr>
          <w:rFonts w:eastAsia="Calibri"/>
          <w:lang w:eastAsia="en-US"/>
        </w:rPr>
        <w:t>s</w:t>
      </w:r>
      <w:r w:rsidRPr="00EE43C6">
        <w:rPr>
          <w:rFonts w:eastAsia="Calibri"/>
          <w:lang w:eastAsia="en-US"/>
        </w:rPr>
        <w:t xml:space="preserve"> </w:t>
      </w:r>
      <w:r>
        <w:rPr>
          <w:rFonts w:eastAsia="Calibri"/>
          <w:lang w:eastAsia="en-US"/>
        </w:rPr>
        <w:t>i</w:t>
      </w:r>
      <w:r w:rsidRPr="00EE43C6">
        <w:rPr>
          <w:rFonts w:eastAsia="Calibri"/>
          <w:lang w:eastAsia="en-US"/>
        </w:rPr>
        <w:t>t</w:t>
      </w:r>
      <w:r>
        <w:rPr>
          <w:rFonts w:eastAsia="Calibri"/>
          <w:lang w:eastAsia="en-US"/>
        </w:rPr>
        <w:t>s</w:t>
      </w:r>
      <w:r w:rsidRPr="00EE43C6">
        <w:rPr>
          <w:rFonts w:eastAsia="Calibri"/>
          <w:lang w:eastAsia="en-US"/>
        </w:rPr>
        <w:t xml:space="preserve"> own grievance mechanisms in place which allows its employees, contractors, and stakeholders to raise workplace related concerns and grievances. For this </w:t>
      </w:r>
      <w:r w:rsidRPr="00EE43C6">
        <w:rPr>
          <w:rFonts w:eastAsia="Calibri"/>
          <w:lang w:eastAsia="en-US"/>
        </w:rPr>
        <w:lastRenderedPageBreak/>
        <w:t>purpose, there are “Request and Complaint Boxes” in various parts in buildings. Additionally, requests, grievances and suggestions can be received by the TUIOSB through paper-based petitions. Any request, suggestion or grievances can be sent to the TUIOSB via ‘Send Message’ and ’Communication’ sections of their websites. Furthermore, any personnel may share his/her request, suggestion or grievance to Regional Directorate and the Board of Directors.</w:t>
      </w:r>
    </w:p>
    <w:p w14:paraId="56534A24" w14:textId="77777777" w:rsidR="00BA3C8E" w:rsidRPr="00EE43C6" w:rsidRDefault="00BA3C8E" w:rsidP="00BA3C8E">
      <w:pPr>
        <w:rPr>
          <w:rFonts w:eastAsia="Calibri"/>
          <w:lang w:eastAsia="en-US"/>
        </w:rPr>
      </w:pPr>
      <w:r w:rsidRPr="00EE43C6">
        <w:rPr>
          <w:rFonts w:eastAsia="Calibri"/>
          <w:lang w:eastAsia="en-US"/>
        </w:rPr>
        <w:t>PIU will require contractors to develop and implement a grievance mechanism for their workforce including sub-contractors, prior to the start of works. The construction contractors will prepare their Labour Management Procedure before the start of civil works, which will also include detailed description of the workers’ grievance mechanism.</w:t>
      </w:r>
    </w:p>
    <w:p w14:paraId="54503B24" w14:textId="77777777" w:rsidR="00BA3C8E" w:rsidRPr="00EE43C6" w:rsidRDefault="00BA3C8E" w:rsidP="00BA3C8E">
      <w:pPr>
        <w:rPr>
          <w:rFonts w:eastAsia="Calibri"/>
          <w:lang w:eastAsia="en-US"/>
        </w:rPr>
      </w:pPr>
      <w:r w:rsidRPr="00EE43C6">
        <w:rPr>
          <w:rFonts w:eastAsia="Calibri"/>
          <w:lang w:eastAsia="en-US"/>
        </w:rPr>
        <w:t>The workers’ grievance mechanism will include:</w:t>
      </w:r>
    </w:p>
    <w:p w14:paraId="24F9BBC8" w14:textId="77777777" w:rsidR="00BA3C8E" w:rsidRPr="00EE43C6" w:rsidRDefault="00BA3C8E" w:rsidP="00BA3C8E">
      <w:pPr>
        <w:pStyle w:val="ListParagraph"/>
        <w:numPr>
          <w:ilvl w:val="0"/>
          <w:numId w:val="52"/>
        </w:numPr>
        <w:rPr>
          <w:noProof w:val="0"/>
        </w:rPr>
      </w:pPr>
      <w:r w:rsidRPr="00EE43C6">
        <w:rPr>
          <w:noProof w:val="0"/>
        </w:rPr>
        <w:t>a procedure to receive grievances such as comment/complaint form, suggestion boxes, email, a telephone hotline;</w:t>
      </w:r>
    </w:p>
    <w:p w14:paraId="1BA5AA1F" w14:textId="77777777" w:rsidR="00BA3C8E" w:rsidRPr="00EE43C6" w:rsidRDefault="00BA3C8E" w:rsidP="00BA3C8E">
      <w:pPr>
        <w:pStyle w:val="ListParagraph"/>
        <w:numPr>
          <w:ilvl w:val="0"/>
          <w:numId w:val="52"/>
        </w:numPr>
        <w:rPr>
          <w:noProof w:val="0"/>
        </w:rPr>
      </w:pPr>
      <w:r w:rsidRPr="00EE43C6">
        <w:rPr>
          <w:noProof w:val="0"/>
        </w:rPr>
        <w:t>stipulated timeframes to respond to grievances and to resolve cases;</w:t>
      </w:r>
    </w:p>
    <w:p w14:paraId="3D7C1F29" w14:textId="77777777" w:rsidR="00BA3C8E" w:rsidRPr="00EE43C6" w:rsidRDefault="00BA3C8E" w:rsidP="00BA3C8E">
      <w:pPr>
        <w:pStyle w:val="ListParagraph"/>
        <w:numPr>
          <w:ilvl w:val="0"/>
          <w:numId w:val="52"/>
        </w:numPr>
        <w:rPr>
          <w:noProof w:val="0"/>
        </w:rPr>
      </w:pPr>
      <w:r w:rsidRPr="00EE43C6">
        <w:rPr>
          <w:noProof w:val="0"/>
        </w:rPr>
        <w:t>a register sheet to record and track the timely resolution of grievances; and</w:t>
      </w:r>
    </w:p>
    <w:p w14:paraId="5DC42EB3" w14:textId="77777777" w:rsidR="00BA3C8E" w:rsidRPr="00EE43C6" w:rsidRDefault="00BA3C8E" w:rsidP="00BA3C8E">
      <w:pPr>
        <w:pStyle w:val="ListParagraph"/>
        <w:numPr>
          <w:ilvl w:val="0"/>
          <w:numId w:val="52"/>
        </w:numPr>
        <w:rPr>
          <w:noProof w:val="0"/>
        </w:rPr>
      </w:pPr>
      <w:r w:rsidRPr="00EE43C6">
        <w:rPr>
          <w:noProof w:val="0"/>
        </w:rPr>
        <w:t>a responsible department to receive, record, address and track resolution of grievances.</w:t>
      </w:r>
    </w:p>
    <w:p w14:paraId="4A407BD1" w14:textId="77777777" w:rsidR="00BA3C8E" w:rsidRPr="00EE43C6" w:rsidRDefault="00BA3C8E" w:rsidP="00BA3C8E">
      <w:pPr>
        <w:rPr>
          <w:rFonts w:eastAsia="Calibri"/>
          <w:lang w:eastAsia="en-US"/>
        </w:rPr>
      </w:pPr>
      <w:r w:rsidRPr="00EE43C6">
        <w:rPr>
          <w:rFonts w:eastAsia="Calibri"/>
          <w:lang w:eastAsia="en-US"/>
        </w:rPr>
        <w:t>The workers grievance mechanism will be described in staff induction trainings, which will be provided to all project workers. The mechanism will be based on the following principles:</w:t>
      </w:r>
    </w:p>
    <w:p w14:paraId="26DAE542" w14:textId="77777777" w:rsidR="00BA3C8E" w:rsidRPr="00EE43C6" w:rsidRDefault="00BA3C8E" w:rsidP="00BA3C8E">
      <w:pPr>
        <w:pStyle w:val="ListParagraph"/>
        <w:numPr>
          <w:ilvl w:val="0"/>
          <w:numId w:val="53"/>
        </w:numPr>
        <w:rPr>
          <w:noProof w:val="0"/>
        </w:rPr>
      </w:pPr>
      <w:r w:rsidRPr="00EE43C6">
        <w:rPr>
          <w:noProof w:val="0"/>
        </w:rPr>
        <w:t>The process will be transparent and allow workers to express their concerns and file grievances;</w:t>
      </w:r>
    </w:p>
    <w:p w14:paraId="3699D0C5" w14:textId="77777777" w:rsidR="00BA3C8E" w:rsidRPr="00EE43C6" w:rsidRDefault="00BA3C8E" w:rsidP="00BA3C8E">
      <w:pPr>
        <w:pStyle w:val="ListParagraph"/>
        <w:numPr>
          <w:ilvl w:val="0"/>
          <w:numId w:val="53"/>
        </w:numPr>
        <w:rPr>
          <w:noProof w:val="0"/>
        </w:rPr>
      </w:pPr>
      <w:r w:rsidRPr="00EE43C6">
        <w:rPr>
          <w:noProof w:val="0"/>
        </w:rPr>
        <w:t>There will be no discrimination against those who express grievances, and any grievance will be treated confidentially;</w:t>
      </w:r>
    </w:p>
    <w:p w14:paraId="45EAED75" w14:textId="77777777" w:rsidR="00BA3C8E" w:rsidRPr="00EE43C6" w:rsidRDefault="00BA3C8E" w:rsidP="00BA3C8E">
      <w:pPr>
        <w:pStyle w:val="ListParagraph"/>
        <w:numPr>
          <w:ilvl w:val="0"/>
          <w:numId w:val="53"/>
        </w:numPr>
        <w:rPr>
          <w:noProof w:val="0"/>
        </w:rPr>
      </w:pPr>
      <w:r w:rsidRPr="00EE43C6">
        <w:rPr>
          <w:noProof w:val="0"/>
        </w:rPr>
        <w:t>Anonymous grievances will be treated equally as other grievances, whose origin is known; and</w:t>
      </w:r>
    </w:p>
    <w:p w14:paraId="60A47DD0" w14:textId="77777777" w:rsidR="00BA3C8E" w:rsidRPr="00EE43C6" w:rsidRDefault="00BA3C8E" w:rsidP="00BA3C8E">
      <w:pPr>
        <w:pStyle w:val="ListParagraph"/>
        <w:numPr>
          <w:ilvl w:val="0"/>
          <w:numId w:val="53"/>
        </w:numPr>
        <w:rPr>
          <w:noProof w:val="0"/>
        </w:rPr>
      </w:pPr>
      <w:r w:rsidRPr="00EE43C6">
        <w:rPr>
          <w:noProof w:val="0"/>
        </w:rPr>
        <w:t>Management will treat grievances seriously and take timely and appropriate action in response.</w:t>
      </w:r>
    </w:p>
    <w:p w14:paraId="70FF00F9" w14:textId="77777777" w:rsidR="00706318" w:rsidRPr="00EE43C6" w:rsidRDefault="00706318" w:rsidP="004A1AAE">
      <w:pPr>
        <w:pStyle w:val="Heading1"/>
        <w:ind w:left="567" w:hanging="567"/>
        <w:rPr>
          <w:noProof w:val="0"/>
          <w:lang w:val="en-GB"/>
        </w:rPr>
      </w:pPr>
      <w:bookmarkStart w:id="1638" w:name="_Toc141445483"/>
      <w:r w:rsidRPr="00EE43C6">
        <w:rPr>
          <w:noProof w:val="0"/>
          <w:lang w:val="en-GB"/>
        </w:rPr>
        <w:lastRenderedPageBreak/>
        <w:t>REPORTING</w:t>
      </w:r>
      <w:bookmarkEnd w:id="1614"/>
      <w:bookmarkEnd w:id="1615"/>
      <w:bookmarkEnd w:id="1638"/>
    </w:p>
    <w:p w14:paraId="71A68FC1" w14:textId="77777777" w:rsidR="00D329C5" w:rsidRPr="00EE43C6" w:rsidRDefault="00D329C5" w:rsidP="00D329C5">
      <w:r>
        <w:t>The Contractor presents the monthly Environmental and Social Progress Report (ESPR), to the Construction Supervision Consultant. The Construction Supervision Consultant adds the Contractor's monthly ESPR to its own monthly Environmental and Social Monitoring Report (ESMR) and forwards it to the TUIOSB as Project Management Unit (PMU). The PMU evaluates, reviews the Construction Supervision Consultant’s monthly ESMR, and submits it to the Project Implementation Unit (PIU) of MoIT.</w:t>
      </w:r>
    </w:p>
    <w:p w14:paraId="0D6D5884" w14:textId="1DE5CA43" w:rsidR="00D329C5" w:rsidRDefault="00D329C5" w:rsidP="00D329C5">
      <w:pPr>
        <w:rPr>
          <w:rFonts w:cs="Wingdings"/>
          <w:szCs w:val="22"/>
        </w:rPr>
      </w:pPr>
      <w:r>
        <w:t>Subsequently, the MoIT will perform its own supervision and monitoring along with the information obtained from the TUIOSB through its Construction Supervision Consultant E&amp;S team’s reports. After that the MoIT will prepare Environmental and Social Report (ESR) to cover summary of these ESMRs and submit it to the World Bank (WB) quarterly. During the operation phase, the social and environmental impacts, if any, will be evaluated and presented to the WB and MoIT biannually.</w:t>
      </w:r>
    </w:p>
    <w:p w14:paraId="1467C021" w14:textId="02D05D52" w:rsidR="004E35FF" w:rsidRPr="00EE43C6" w:rsidRDefault="004E35FF" w:rsidP="004E35FF">
      <w:pPr>
        <w:rPr>
          <w:rFonts w:cs="Wingdings"/>
          <w:szCs w:val="22"/>
        </w:rPr>
      </w:pPr>
      <w:r w:rsidRPr="00EE43C6">
        <w:rPr>
          <w:rFonts w:cs="Wingdings"/>
          <w:szCs w:val="22"/>
        </w:rPr>
        <w:t>Reporting processes that should be put into action during the implementation phase of the project and the requirements of such processes are presented in</w:t>
      </w:r>
      <w:r w:rsidR="00085A31" w:rsidRPr="00EE43C6">
        <w:rPr>
          <w:rFonts w:cs="Wingdings"/>
          <w:szCs w:val="22"/>
        </w:rPr>
        <w:t xml:space="preserve"> </w:t>
      </w:r>
      <w:r w:rsidR="00085A31" w:rsidRPr="00EE43C6">
        <w:rPr>
          <w:rFonts w:cs="Wingdings"/>
          <w:szCs w:val="22"/>
        </w:rPr>
        <w:fldChar w:fldCharType="begin"/>
      </w:r>
      <w:r w:rsidR="00085A31" w:rsidRPr="00EE43C6">
        <w:rPr>
          <w:rFonts w:cs="Wingdings"/>
          <w:szCs w:val="22"/>
        </w:rPr>
        <w:instrText xml:space="preserve"> REF _Ref118898101 \h </w:instrText>
      </w:r>
      <w:r w:rsidR="00085A31" w:rsidRPr="00EE43C6">
        <w:rPr>
          <w:rFonts w:cs="Wingdings"/>
          <w:szCs w:val="22"/>
        </w:rPr>
      </w:r>
      <w:r w:rsidR="00085A31" w:rsidRPr="00EE43C6">
        <w:rPr>
          <w:rFonts w:cs="Wingdings"/>
          <w:szCs w:val="22"/>
        </w:rPr>
        <w:fldChar w:fldCharType="separate"/>
      </w:r>
      <w:r w:rsidR="00B91E5E" w:rsidRPr="00EE43C6">
        <w:t xml:space="preserve">Table </w:t>
      </w:r>
      <w:r w:rsidR="00B91E5E">
        <w:rPr>
          <w:noProof/>
        </w:rPr>
        <w:t>11</w:t>
      </w:r>
      <w:r w:rsidR="00B91E5E">
        <w:noBreakHyphen/>
      </w:r>
      <w:r w:rsidR="00B91E5E">
        <w:rPr>
          <w:noProof/>
        </w:rPr>
        <w:t>1</w:t>
      </w:r>
      <w:r w:rsidR="00085A31" w:rsidRPr="00EE43C6">
        <w:rPr>
          <w:rFonts w:cs="Wingdings"/>
          <w:szCs w:val="22"/>
        </w:rPr>
        <w:fldChar w:fldCharType="end"/>
      </w:r>
      <w:r w:rsidRPr="00EE43C6">
        <w:rPr>
          <w:rFonts w:cs="Wingdings"/>
          <w:szCs w:val="22"/>
        </w:rPr>
        <w:t>.</w:t>
      </w:r>
    </w:p>
    <w:p w14:paraId="6B426756" w14:textId="5131ED67" w:rsidR="004E35FF" w:rsidRPr="00EE43C6" w:rsidRDefault="00085A31" w:rsidP="00085A31">
      <w:pPr>
        <w:pStyle w:val="Caption"/>
        <w:rPr>
          <w:b w:val="0"/>
          <w:noProof w:val="0"/>
          <w:color w:val="auto"/>
        </w:rPr>
      </w:pPr>
      <w:bookmarkStart w:id="1639" w:name="_Ref118898101"/>
      <w:bookmarkStart w:id="1640" w:name="_Toc102086974"/>
      <w:bookmarkStart w:id="1641" w:name="_Toc111118964"/>
      <w:bookmarkStart w:id="1642" w:name="_Toc120016875"/>
      <w:bookmarkStart w:id="1643" w:name="_Toc120004653"/>
      <w:bookmarkStart w:id="1644" w:name="_Toc141445545"/>
      <w:r w:rsidRPr="00EE43C6">
        <w:rPr>
          <w:noProof w:val="0"/>
        </w:rPr>
        <w:t xml:space="preserve">Table </w:t>
      </w:r>
      <w:r w:rsidR="006D2DE8">
        <w:rPr>
          <w:noProof w:val="0"/>
        </w:rPr>
        <w:fldChar w:fldCharType="begin"/>
      </w:r>
      <w:r w:rsidR="006D2DE8">
        <w:rPr>
          <w:noProof w:val="0"/>
        </w:rPr>
        <w:instrText xml:space="preserve"> STYLEREF 1 \s </w:instrText>
      </w:r>
      <w:r w:rsidR="006D2DE8">
        <w:rPr>
          <w:noProof w:val="0"/>
        </w:rPr>
        <w:fldChar w:fldCharType="separate"/>
      </w:r>
      <w:r w:rsidR="00B91E5E">
        <w:t>11</w:t>
      </w:r>
      <w:r w:rsidR="006D2DE8">
        <w:rPr>
          <w:noProof w:val="0"/>
        </w:rPr>
        <w:fldChar w:fldCharType="end"/>
      </w:r>
      <w:r w:rsidR="006D2DE8">
        <w:rPr>
          <w:noProof w:val="0"/>
        </w:rPr>
        <w:noBreakHyphen/>
      </w:r>
      <w:r w:rsidR="006D2DE8">
        <w:rPr>
          <w:noProof w:val="0"/>
        </w:rPr>
        <w:fldChar w:fldCharType="begin"/>
      </w:r>
      <w:r w:rsidR="006D2DE8">
        <w:rPr>
          <w:noProof w:val="0"/>
        </w:rPr>
        <w:instrText xml:space="preserve"> SEQ Table \* ARABIC \s 1 </w:instrText>
      </w:r>
      <w:r w:rsidR="006D2DE8">
        <w:rPr>
          <w:noProof w:val="0"/>
        </w:rPr>
        <w:fldChar w:fldCharType="separate"/>
      </w:r>
      <w:r w:rsidR="00B91E5E">
        <w:t>1</w:t>
      </w:r>
      <w:r w:rsidR="006D2DE8">
        <w:rPr>
          <w:noProof w:val="0"/>
        </w:rPr>
        <w:fldChar w:fldCharType="end"/>
      </w:r>
      <w:bookmarkEnd w:id="1639"/>
      <w:r w:rsidRPr="00EE43C6">
        <w:rPr>
          <w:noProof w:val="0"/>
        </w:rPr>
        <w:t xml:space="preserve">. </w:t>
      </w:r>
      <w:r w:rsidR="004E35FF" w:rsidRPr="00EE43C6">
        <w:rPr>
          <w:b w:val="0"/>
          <w:bCs w:val="0"/>
          <w:noProof w:val="0"/>
          <w:color w:val="auto"/>
        </w:rPr>
        <w:t>Reporting Process Requirements and Distribution of Roles</w:t>
      </w:r>
      <w:bookmarkStart w:id="1645" w:name="_Toc80633599"/>
      <w:bookmarkEnd w:id="1640"/>
      <w:bookmarkEnd w:id="1641"/>
      <w:bookmarkEnd w:id="1642"/>
      <w:bookmarkEnd w:id="1643"/>
      <w:bookmarkEnd w:id="1644"/>
      <w:r w:rsidR="004E35FF" w:rsidRPr="00EE43C6">
        <w:rPr>
          <w:b w:val="0"/>
          <w:bCs w:val="0"/>
          <w:noProof w:val="0"/>
          <w:color w:val="auto"/>
        </w:rPr>
        <w:t xml:space="preserve">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237"/>
      </w:tblGrid>
      <w:tr w:rsidR="00BF5054" w:rsidRPr="00270ACC" w14:paraId="75667C18" w14:textId="77777777" w:rsidTr="00270ACC">
        <w:trPr>
          <w:trHeight w:val="340"/>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4F81BD"/>
            <w:vAlign w:val="center"/>
          </w:tcPr>
          <w:p w14:paraId="735B2497" w14:textId="77777777" w:rsidR="00BF5054" w:rsidRPr="00270ACC" w:rsidRDefault="00BF5054" w:rsidP="006F58F4">
            <w:pPr>
              <w:spacing w:before="0" w:after="0" w:line="240" w:lineRule="auto"/>
              <w:jc w:val="left"/>
              <w:rPr>
                <w:rFonts w:cs="Arial"/>
                <w:b/>
                <w:bCs/>
                <w:color w:val="FFFFFF" w:themeColor="background1"/>
                <w:sz w:val="18"/>
                <w:szCs w:val="18"/>
              </w:rPr>
            </w:pPr>
            <w:r w:rsidRPr="00270ACC">
              <w:rPr>
                <w:rFonts w:cs="Arial"/>
                <w:b/>
                <w:bCs/>
                <w:color w:val="FFFFFF" w:themeColor="background1"/>
                <w:sz w:val="18"/>
                <w:szCs w:val="18"/>
              </w:rPr>
              <w:t>Responsible Party</w:t>
            </w:r>
          </w:p>
        </w:tc>
        <w:tc>
          <w:tcPr>
            <w:tcW w:w="6237" w:type="dxa"/>
            <w:tcBorders>
              <w:top w:val="single" w:sz="4" w:space="0" w:color="auto"/>
              <w:left w:val="single" w:sz="4" w:space="0" w:color="auto"/>
              <w:bottom w:val="single" w:sz="4" w:space="0" w:color="auto"/>
              <w:right w:val="single" w:sz="4" w:space="0" w:color="auto"/>
            </w:tcBorders>
            <w:shd w:val="clear" w:color="auto" w:fill="4F81BD"/>
            <w:vAlign w:val="center"/>
          </w:tcPr>
          <w:p w14:paraId="0A979CC9" w14:textId="77777777" w:rsidR="00BF5054" w:rsidRPr="00270ACC" w:rsidRDefault="00BF5054" w:rsidP="00BF5054">
            <w:pPr>
              <w:spacing w:before="0" w:after="0" w:line="240" w:lineRule="auto"/>
              <w:rPr>
                <w:rFonts w:cs="Arial"/>
                <w:b/>
                <w:bCs/>
                <w:color w:val="FFFFFF" w:themeColor="background1"/>
                <w:sz w:val="18"/>
                <w:szCs w:val="18"/>
              </w:rPr>
            </w:pPr>
            <w:r w:rsidRPr="00270ACC">
              <w:rPr>
                <w:rFonts w:cs="Arial"/>
                <w:b/>
                <w:bCs/>
                <w:color w:val="FFFFFF" w:themeColor="background1"/>
                <w:sz w:val="18"/>
                <w:szCs w:val="18"/>
              </w:rPr>
              <w:t>Roles &amp; Responsibility</w:t>
            </w:r>
          </w:p>
        </w:tc>
      </w:tr>
      <w:tr w:rsidR="00BF5054" w:rsidRPr="00270ACC" w14:paraId="35BB753A" w14:textId="77777777" w:rsidTr="00270ACC">
        <w:trPr>
          <w:trHeight w:val="34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77B3A3F2" w14:textId="77777777" w:rsidR="00BF5054" w:rsidRPr="00270ACC" w:rsidRDefault="00BF5054" w:rsidP="006F58F4">
            <w:pPr>
              <w:spacing w:before="0" w:after="0" w:line="240" w:lineRule="auto"/>
              <w:jc w:val="left"/>
              <w:rPr>
                <w:rFonts w:cs="Arial"/>
                <w:sz w:val="18"/>
                <w:szCs w:val="18"/>
              </w:rPr>
            </w:pPr>
            <w:r w:rsidRPr="00270ACC">
              <w:rPr>
                <w:rFonts w:cs="Arial"/>
                <w:sz w:val="18"/>
                <w:szCs w:val="18"/>
              </w:rPr>
              <w:t>WB</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1A5653D" w14:textId="77777777" w:rsidR="00BF5054" w:rsidRPr="00270ACC" w:rsidRDefault="00BF5054" w:rsidP="00270ACC">
            <w:pPr>
              <w:numPr>
                <w:ilvl w:val="0"/>
                <w:numId w:val="42"/>
              </w:numPr>
              <w:spacing w:before="60" w:after="60" w:line="240" w:lineRule="auto"/>
              <w:ind w:left="208" w:hanging="208"/>
              <w:rPr>
                <w:rFonts w:cs="Arial"/>
                <w:sz w:val="18"/>
                <w:szCs w:val="18"/>
              </w:rPr>
            </w:pPr>
            <w:r w:rsidRPr="00270ACC">
              <w:rPr>
                <w:rFonts w:cs="Arial"/>
                <w:sz w:val="18"/>
                <w:szCs w:val="18"/>
              </w:rPr>
              <w:t>Quarterly Environmental and Social Reports (ESRs) submitted by the PIU will be reviewed.</w:t>
            </w:r>
          </w:p>
          <w:p w14:paraId="0129A56A" w14:textId="77777777" w:rsidR="00BF5054" w:rsidRPr="00270ACC" w:rsidRDefault="00BF5054" w:rsidP="00270ACC">
            <w:pPr>
              <w:numPr>
                <w:ilvl w:val="0"/>
                <w:numId w:val="42"/>
              </w:numPr>
              <w:spacing w:before="60" w:after="60" w:line="240" w:lineRule="auto"/>
              <w:ind w:left="208" w:hanging="208"/>
              <w:rPr>
                <w:rFonts w:cs="Arial"/>
                <w:sz w:val="18"/>
                <w:szCs w:val="18"/>
              </w:rPr>
            </w:pPr>
            <w:r w:rsidRPr="00270ACC">
              <w:rPr>
                <w:rFonts w:cs="Arial"/>
                <w:sz w:val="18"/>
                <w:szCs w:val="18"/>
              </w:rPr>
              <w:t>Together with the PIU, it will carry out site visits periodically.</w:t>
            </w:r>
          </w:p>
        </w:tc>
      </w:tr>
      <w:tr w:rsidR="00BF5054" w:rsidRPr="00270ACC" w14:paraId="6E976463" w14:textId="77777777" w:rsidTr="00270ACC">
        <w:trPr>
          <w:trHeight w:val="34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738D01DE" w14:textId="77777777" w:rsidR="00BF5054" w:rsidRPr="00270ACC" w:rsidRDefault="00BF5054" w:rsidP="006F58F4">
            <w:pPr>
              <w:spacing w:before="0" w:after="0" w:line="240" w:lineRule="auto"/>
              <w:jc w:val="left"/>
              <w:rPr>
                <w:rFonts w:cs="Arial"/>
                <w:sz w:val="18"/>
                <w:szCs w:val="18"/>
              </w:rPr>
            </w:pPr>
            <w:r w:rsidRPr="00270ACC">
              <w:rPr>
                <w:rFonts w:cs="Arial"/>
                <w:sz w:val="18"/>
                <w:szCs w:val="18"/>
              </w:rPr>
              <w:t>Project Implementation Unit (PIU)</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38D981D" w14:textId="77777777" w:rsidR="00BF5054" w:rsidRPr="00270ACC" w:rsidRDefault="00BF5054" w:rsidP="00270ACC">
            <w:pPr>
              <w:numPr>
                <w:ilvl w:val="0"/>
                <w:numId w:val="42"/>
              </w:numPr>
              <w:spacing w:before="60" w:after="60" w:line="240" w:lineRule="auto"/>
              <w:ind w:left="208" w:hanging="208"/>
              <w:rPr>
                <w:rFonts w:cs="Arial"/>
                <w:sz w:val="18"/>
                <w:szCs w:val="18"/>
              </w:rPr>
            </w:pPr>
            <w:r w:rsidRPr="00270ACC">
              <w:rPr>
                <w:rFonts w:cs="Arial"/>
                <w:sz w:val="18"/>
                <w:szCs w:val="18"/>
              </w:rPr>
              <w:t>Quarterly inform the WB with ESRs to include summary of monthly Environmental and Social Monitoring Reports (ESMRs) on the progress and updates. Quarterly ESRs will highlight any issues arising from non-compliance with ES requirements and how it has been/is being addressed from the ES safeguards point of view.</w:t>
            </w:r>
          </w:p>
          <w:p w14:paraId="6A114AC1" w14:textId="77777777" w:rsidR="00BF5054" w:rsidRPr="00270ACC" w:rsidRDefault="00BF5054" w:rsidP="00270ACC">
            <w:pPr>
              <w:numPr>
                <w:ilvl w:val="0"/>
                <w:numId w:val="42"/>
              </w:numPr>
              <w:spacing w:before="60" w:after="60" w:line="240" w:lineRule="auto"/>
              <w:ind w:left="208" w:hanging="208"/>
              <w:rPr>
                <w:rFonts w:cs="Arial"/>
                <w:sz w:val="18"/>
                <w:szCs w:val="18"/>
              </w:rPr>
            </w:pPr>
            <w:r w:rsidRPr="00270ACC">
              <w:rPr>
                <w:rFonts w:cs="Arial"/>
                <w:sz w:val="18"/>
                <w:szCs w:val="18"/>
              </w:rPr>
              <w:t>Submitting the quarterly Grievance Mechanism Report (GMR) to WB</w:t>
            </w:r>
          </w:p>
          <w:p w14:paraId="346DAD20" w14:textId="77777777" w:rsidR="00BF5054" w:rsidRPr="00270ACC" w:rsidRDefault="00BF5054" w:rsidP="00270ACC">
            <w:pPr>
              <w:numPr>
                <w:ilvl w:val="0"/>
                <w:numId w:val="42"/>
              </w:numPr>
              <w:spacing w:before="60" w:after="60" w:line="240" w:lineRule="auto"/>
              <w:ind w:left="208" w:hanging="208"/>
              <w:rPr>
                <w:rFonts w:cs="Arial"/>
                <w:sz w:val="18"/>
                <w:szCs w:val="18"/>
              </w:rPr>
            </w:pPr>
            <w:r w:rsidRPr="00270ACC">
              <w:rPr>
                <w:rFonts w:cs="Arial"/>
                <w:sz w:val="18"/>
                <w:szCs w:val="18"/>
              </w:rPr>
              <w:t>Site visits will be carried out periodically and environmental and social issues will be examined on site. Findings after site visit will be included in the quarterly ESRs.</w:t>
            </w:r>
          </w:p>
        </w:tc>
      </w:tr>
      <w:tr w:rsidR="00BF5054" w:rsidRPr="00270ACC" w14:paraId="47F31A23" w14:textId="77777777" w:rsidTr="00270ACC">
        <w:trPr>
          <w:trHeight w:val="34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40F319E8" w14:textId="77777777" w:rsidR="00BF5054" w:rsidRPr="00270ACC" w:rsidRDefault="00BF5054" w:rsidP="006F58F4">
            <w:pPr>
              <w:spacing w:before="0" w:after="0" w:line="240" w:lineRule="auto"/>
              <w:jc w:val="left"/>
              <w:rPr>
                <w:rFonts w:cs="Arial"/>
                <w:sz w:val="18"/>
                <w:szCs w:val="18"/>
              </w:rPr>
            </w:pPr>
            <w:r w:rsidRPr="00270ACC">
              <w:rPr>
                <w:rFonts w:cs="Arial"/>
                <w:sz w:val="18"/>
                <w:szCs w:val="18"/>
              </w:rPr>
              <w:t>Project Management Unit (PMU)</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935C182" w14:textId="77777777" w:rsidR="00BF5054" w:rsidRPr="00270ACC" w:rsidRDefault="00BF5054" w:rsidP="00270ACC">
            <w:pPr>
              <w:numPr>
                <w:ilvl w:val="0"/>
                <w:numId w:val="42"/>
              </w:numPr>
              <w:spacing w:before="60" w:after="60" w:line="240" w:lineRule="auto"/>
              <w:ind w:left="208" w:hanging="208"/>
              <w:rPr>
                <w:rFonts w:cs="Arial"/>
                <w:sz w:val="18"/>
                <w:szCs w:val="18"/>
              </w:rPr>
            </w:pPr>
            <w:r w:rsidRPr="00270ACC">
              <w:rPr>
                <w:rFonts w:cs="Arial"/>
                <w:sz w:val="18"/>
                <w:szCs w:val="18"/>
              </w:rPr>
              <w:t>Review and submit monthly ESMRs to PIU</w:t>
            </w:r>
          </w:p>
          <w:p w14:paraId="2E4D651B" w14:textId="77777777" w:rsidR="00BF5054" w:rsidRPr="00270ACC" w:rsidRDefault="00BF5054" w:rsidP="00270ACC">
            <w:pPr>
              <w:numPr>
                <w:ilvl w:val="0"/>
                <w:numId w:val="42"/>
              </w:numPr>
              <w:spacing w:before="60" w:after="60" w:line="240" w:lineRule="auto"/>
              <w:ind w:left="208" w:hanging="208"/>
              <w:rPr>
                <w:rFonts w:cs="Arial"/>
                <w:sz w:val="18"/>
                <w:szCs w:val="18"/>
              </w:rPr>
            </w:pPr>
            <w:r w:rsidRPr="00270ACC">
              <w:rPr>
                <w:rFonts w:cs="Arial"/>
                <w:sz w:val="18"/>
                <w:szCs w:val="18"/>
              </w:rPr>
              <w:t>Submitting the monthly GMR to cover both Consultant’s GMR and Contractor GMR to PIU</w:t>
            </w:r>
          </w:p>
          <w:p w14:paraId="6A2C7E38" w14:textId="77777777" w:rsidR="00BF5054" w:rsidRPr="00270ACC" w:rsidRDefault="00BF5054" w:rsidP="00270ACC">
            <w:pPr>
              <w:numPr>
                <w:ilvl w:val="0"/>
                <w:numId w:val="42"/>
              </w:numPr>
              <w:spacing w:before="60" w:after="60" w:line="240" w:lineRule="auto"/>
              <w:ind w:left="208" w:hanging="208"/>
              <w:rPr>
                <w:rFonts w:cs="Arial"/>
                <w:sz w:val="18"/>
                <w:szCs w:val="18"/>
              </w:rPr>
            </w:pPr>
            <w:r w:rsidRPr="00270ACC">
              <w:rPr>
                <w:rFonts w:cs="Arial"/>
                <w:sz w:val="18"/>
                <w:szCs w:val="18"/>
              </w:rPr>
              <w:t>Follow up construction activities in coordination with Construction Supervision Consultant</w:t>
            </w:r>
          </w:p>
        </w:tc>
      </w:tr>
      <w:tr w:rsidR="00BF5054" w:rsidRPr="00270ACC" w14:paraId="1468CBFA" w14:textId="77777777" w:rsidTr="00270ACC">
        <w:trPr>
          <w:trHeight w:val="34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43E8ADA" w14:textId="77777777" w:rsidR="00BF5054" w:rsidRPr="00270ACC" w:rsidRDefault="00BF5054" w:rsidP="006F58F4">
            <w:pPr>
              <w:spacing w:before="0" w:after="0" w:line="240" w:lineRule="auto"/>
              <w:jc w:val="left"/>
              <w:rPr>
                <w:rFonts w:cs="Arial"/>
                <w:sz w:val="18"/>
                <w:szCs w:val="18"/>
              </w:rPr>
            </w:pPr>
            <w:r w:rsidRPr="00270ACC">
              <w:rPr>
                <w:rFonts w:cs="Arial"/>
                <w:sz w:val="18"/>
                <w:szCs w:val="18"/>
              </w:rPr>
              <w:t>Construction Supervision Consultant</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E61BABD" w14:textId="77777777" w:rsidR="00BF5054" w:rsidRPr="00270ACC" w:rsidRDefault="00BF5054" w:rsidP="00270ACC">
            <w:pPr>
              <w:numPr>
                <w:ilvl w:val="0"/>
                <w:numId w:val="42"/>
              </w:numPr>
              <w:spacing w:before="60" w:after="60" w:line="240" w:lineRule="auto"/>
              <w:ind w:left="208" w:hanging="208"/>
              <w:rPr>
                <w:rFonts w:cs="Arial"/>
                <w:sz w:val="18"/>
                <w:szCs w:val="18"/>
              </w:rPr>
            </w:pPr>
            <w:r w:rsidRPr="00270ACC">
              <w:rPr>
                <w:rFonts w:cs="Arial"/>
                <w:sz w:val="18"/>
                <w:szCs w:val="18"/>
              </w:rPr>
              <w:t>Prepare and submit monthly ESMR to PMU including monthly Environmental and Social Progress Report (ESPR) from the contractor. Monthly ESMRs will highlight any issues arising from non-compliance with ES requirements and how it has been/is being addressed from the ES safeguards point of view.</w:t>
            </w:r>
          </w:p>
          <w:p w14:paraId="0645D3EF" w14:textId="0D49D705" w:rsidR="00BF5054" w:rsidRPr="00270ACC" w:rsidRDefault="00BF5054" w:rsidP="00270ACC">
            <w:pPr>
              <w:numPr>
                <w:ilvl w:val="0"/>
                <w:numId w:val="42"/>
              </w:numPr>
              <w:spacing w:before="60" w:after="60" w:line="240" w:lineRule="auto"/>
              <w:ind w:left="208" w:hanging="208"/>
              <w:rPr>
                <w:rFonts w:cs="Arial"/>
                <w:sz w:val="18"/>
                <w:szCs w:val="18"/>
              </w:rPr>
            </w:pPr>
            <w:r w:rsidRPr="00270ACC">
              <w:rPr>
                <w:rFonts w:cs="Arial"/>
                <w:sz w:val="18"/>
                <w:szCs w:val="18"/>
              </w:rPr>
              <w:t>Submit the monthly Grievance Mechanism Report to PMU prepared in line with the complaint received and combine it with monthly the Grievance Mechanism Report prepared by the Contractor</w:t>
            </w:r>
            <w:r w:rsidR="0023668F" w:rsidRPr="00270ACC">
              <w:rPr>
                <w:rFonts w:cs="Arial"/>
                <w:sz w:val="18"/>
                <w:szCs w:val="18"/>
              </w:rPr>
              <w:t>.</w:t>
            </w:r>
          </w:p>
          <w:p w14:paraId="3FE02143" w14:textId="77777777" w:rsidR="00BF5054" w:rsidRPr="00270ACC" w:rsidRDefault="00BF5054" w:rsidP="00270ACC">
            <w:pPr>
              <w:pStyle w:val="ListParagraph"/>
              <w:numPr>
                <w:ilvl w:val="0"/>
                <w:numId w:val="42"/>
              </w:numPr>
              <w:spacing w:before="60" w:after="60" w:line="276" w:lineRule="auto"/>
              <w:ind w:left="208" w:hanging="208"/>
              <w:rPr>
                <w:rFonts w:eastAsia="Times New Roman"/>
                <w:noProof w:val="0"/>
                <w:color w:val="auto"/>
                <w:sz w:val="18"/>
                <w:szCs w:val="18"/>
                <w:lang w:eastAsia="zh-CN"/>
              </w:rPr>
            </w:pPr>
            <w:r w:rsidRPr="00270ACC">
              <w:rPr>
                <w:rFonts w:eastAsia="Times New Roman"/>
                <w:noProof w:val="0"/>
                <w:color w:val="auto"/>
                <w:sz w:val="18"/>
                <w:szCs w:val="18"/>
                <w:lang w:eastAsia="zh-CN"/>
              </w:rPr>
              <w:t>Follow up and audit the contractor's activities on a daily basis in line with the ES measures and commitments</w:t>
            </w:r>
          </w:p>
        </w:tc>
      </w:tr>
      <w:tr w:rsidR="00BF5054" w:rsidRPr="00270ACC" w14:paraId="357F91D4" w14:textId="77777777" w:rsidTr="00270ACC">
        <w:trPr>
          <w:trHeight w:val="34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1365F7FC" w14:textId="77777777" w:rsidR="00BF5054" w:rsidRPr="00270ACC" w:rsidRDefault="00BF5054" w:rsidP="006F58F4">
            <w:pPr>
              <w:spacing w:before="0" w:after="0" w:line="240" w:lineRule="auto"/>
              <w:jc w:val="left"/>
              <w:rPr>
                <w:rFonts w:cs="Arial"/>
                <w:sz w:val="18"/>
                <w:szCs w:val="18"/>
              </w:rPr>
            </w:pPr>
            <w:r w:rsidRPr="00270ACC">
              <w:rPr>
                <w:rFonts w:cs="Arial"/>
                <w:sz w:val="18"/>
                <w:szCs w:val="18"/>
              </w:rPr>
              <w:lastRenderedPageBreak/>
              <w:t>Contractor</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9E740EF" w14:textId="77777777" w:rsidR="00BF5054" w:rsidRPr="00270ACC" w:rsidRDefault="00BF5054" w:rsidP="00270ACC">
            <w:pPr>
              <w:numPr>
                <w:ilvl w:val="0"/>
                <w:numId w:val="42"/>
              </w:numPr>
              <w:spacing w:before="60" w:after="60" w:line="240" w:lineRule="auto"/>
              <w:ind w:left="208" w:hanging="208"/>
              <w:rPr>
                <w:rFonts w:cs="Arial"/>
                <w:sz w:val="18"/>
                <w:szCs w:val="18"/>
              </w:rPr>
            </w:pPr>
            <w:r w:rsidRPr="00270ACC">
              <w:rPr>
                <w:rFonts w:cs="Arial"/>
                <w:sz w:val="18"/>
                <w:szCs w:val="18"/>
              </w:rPr>
              <w:t>Prepare and submit monthly ESPRs covering the progress of the construction and environmental and social issues to the Construction Supervision Consultant</w:t>
            </w:r>
          </w:p>
          <w:p w14:paraId="47B2E81E" w14:textId="77777777" w:rsidR="00BF5054" w:rsidRPr="00270ACC" w:rsidRDefault="00BF5054" w:rsidP="00270ACC">
            <w:pPr>
              <w:numPr>
                <w:ilvl w:val="0"/>
                <w:numId w:val="42"/>
              </w:numPr>
              <w:spacing w:before="60" w:after="60" w:line="240" w:lineRule="auto"/>
              <w:ind w:left="208" w:hanging="208"/>
              <w:rPr>
                <w:rFonts w:cs="Arial"/>
                <w:sz w:val="18"/>
                <w:szCs w:val="18"/>
              </w:rPr>
            </w:pPr>
            <w:r w:rsidRPr="00270ACC">
              <w:rPr>
                <w:rFonts w:cs="Arial"/>
                <w:sz w:val="18"/>
                <w:szCs w:val="18"/>
              </w:rPr>
              <w:t>Submit the monthly GMR to Supervisor</w:t>
            </w:r>
          </w:p>
        </w:tc>
      </w:tr>
    </w:tbl>
    <w:p w14:paraId="3F00E32D" w14:textId="77777777" w:rsidR="00706318" w:rsidRPr="00EE43C6" w:rsidRDefault="00706318" w:rsidP="00AD6682">
      <w:pPr>
        <w:jc w:val="center"/>
        <w:rPr>
          <w:szCs w:val="22"/>
        </w:rPr>
      </w:pPr>
    </w:p>
    <w:p w14:paraId="2017FDCE" w14:textId="0814DC7E" w:rsidR="004339AC" w:rsidRPr="00EE43C6" w:rsidRDefault="004339AC" w:rsidP="00DD6A54">
      <w:pPr>
        <w:pStyle w:val="Heading1"/>
        <w:ind w:left="709" w:hanging="709"/>
        <w:rPr>
          <w:noProof w:val="0"/>
          <w:lang w:val="en-GB"/>
        </w:rPr>
      </w:pPr>
      <w:bookmarkStart w:id="1646" w:name="_Toc120004771"/>
      <w:bookmarkStart w:id="1647" w:name="_Toc120016994"/>
      <w:bookmarkStart w:id="1648" w:name="_Toc141445484"/>
      <w:r w:rsidRPr="00EE43C6">
        <w:rPr>
          <w:noProof w:val="0"/>
          <w:lang w:val="en-GB"/>
        </w:rPr>
        <w:lastRenderedPageBreak/>
        <w:t>CONCLUSION</w:t>
      </w:r>
      <w:bookmarkEnd w:id="1645"/>
      <w:bookmarkEnd w:id="1646"/>
      <w:bookmarkEnd w:id="1647"/>
      <w:bookmarkEnd w:id="1648"/>
    </w:p>
    <w:p w14:paraId="0F83E46B" w14:textId="77777777" w:rsidR="007623E0" w:rsidRPr="00EE43C6" w:rsidRDefault="007623E0" w:rsidP="007623E0">
      <w:pPr>
        <w:rPr>
          <w:rFonts w:cs="Wingdings"/>
          <w:szCs w:val="22"/>
        </w:rPr>
      </w:pPr>
      <w:r w:rsidRPr="00EE43C6">
        <w:rPr>
          <w:rFonts w:cs="Wingdings"/>
          <w:szCs w:val="22"/>
        </w:rPr>
        <w:t>This ESMP identifies the potential impacts that may arise during construction and operation phases of the Project and proposed appropriate mitigation measures to effectively address these impacts. In conclusion, the Project can be carried out in an environmentally and socially sustainable manner on full implementation of this ESMP as there are no likely major or irreversible negative impacts.</w:t>
      </w:r>
    </w:p>
    <w:p w14:paraId="51DE8B8D" w14:textId="77777777" w:rsidR="007623E0" w:rsidRPr="00EE43C6" w:rsidRDefault="007623E0" w:rsidP="007623E0">
      <w:pPr>
        <w:rPr>
          <w:rFonts w:cs="Wingdings"/>
          <w:szCs w:val="22"/>
        </w:rPr>
      </w:pPr>
      <w:r w:rsidRPr="00EE43C6">
        <w:rPr>
          <w:rFonts w:cs="Wingdings"/>
          <w:szCs w:val="22"/>
        </w:rPr>
        <w:t>During the construction period before mitigation measures are implemented:</w:t>
      </w:r>
    </w:p>
    <w:p w14:paraId="341E9799" w14:textId="181E35F7" w:rsidR="00FE22F0" w:rsidRPr="00EE43C6" w:rsidRDefault="00FE22F0" w:rsidP="00FE22F0">
      <w:pPr>
        <w:rPr>
          <w:rFonts w:cs="Wingdings"/>
          <w:szCs w:val="22"/>
        </w:rPr>
      </w:pPr>
      <w:r w:rsidRPr="00EE43C6">
        <w:rPr>
          <w:rFonts w:cs="Wingdings"/>
          <w:szCs w:val="22"/>
        </w:rPr>
        <w:t xml:space="preserve">Land use and soil quality, waste and chemical management, noise, OHS impacts are rated as high. </w:t>
      </w:r>
      <w:r w:rsidR="00506BCC" w:rsidRPr="00EE43C6">
        <w:rPr>
          <w:rFonts w:cs="Wingdings"/>
          <w:szCs w:val="22"/>
        </w:rPr>
        <w:t>Labour</w:t>
      </w:r>
      <w:r w:rsidRPr="00EE43C6">
        <w:rPr>
          <w:rFonts w:cs="Wingdings"/>
          <w:szCs w:val="22"/>
        </w:rPr>
        <w:t xml:space="preserve"> conditions, air quality, CHS and traffic and pedestrian safety impacts are rated as medium.</w:t>
      </w:r>
    </w:p>
    <w:p w14:paraId="4BF21EC0" w14:textId="77777777" w:rsidR="007623E0" w:rsidRPr="00EE43C6" w:rsidRDefault="007623E0" w:rsidP="007623E0">
      <w:pPr>
        <w:rPr>
          <w:rFonts w:cs="Wingdings"/>
          <w:szCs w:val="22"/>
        </w:rPr>
      </w:pPr>
      <w:r w:rsidRPr="00EE43C6">
        <w:rPr>
          <w:rFonts w:cs="Wingdings"/>
          <w:szCs w:val="22"/>
        </w:rPr>
        <w:t>During the operation period:</w:t>
      </w:r>
    </w:p>
    <w:p w14:paraId="6FFDC839" w14:textId="27E580D5" w:rsidR="00FE22F0" w:rsidRPr="00EE43C6" w:rsidRDefault="00FE22F0" w:rsidP="00FE22F0">
      <w:pPr>
        <w:rPr>
          <w:rFonts w:cs="Wingdings"/>
          <w:szCs w:val="22"/>
        </w:rPr>
      </w:pPr>
      <w:r w:rsidRPr="00EE43C6">
        <w:rPr>
          <w:rFonts w:cs="Wingdings"/>
          <w:szCs w:val="22"/>
        </w:rPr>
        <w:t xml:space="preserve">Water use, wastewater, </w:t>
      </w:r>
      <w:r w:rsidR="00B25EFC" w:rsidRPr="00EE43C6">
        <w:rPr>
          <w:rFonts w:cs="Wingdings"/>
          <w:szCs w:val="22"/>
        </w:rPr>
        <w:t>waste,</w:t>
      </w:r>
      <w:r w:rsidRPr="00EE43C6">
        <w:rPr>
          <w:rFonts w:cs="Wingdings"/>
          <w:szCs w:val="22"/>
        </w:rPr>
        <w:t xml:space="preserve"> and chemical management impacts are assessed as high. </w:t>
      </w:r>
      <w:r w:rsidR="00506BCC" w:rsidRPr="00EE43C6">
        <w:rPr>
          <w:rFonts w:cs="Wingdings"/>
          <w:szCs w:val="22"/>
        </w:rPr>
        <w:t>Labour</w:t>
      </w:r>
      <w:r w:rsidRPr="00EE43C6">
        <w:rPr>
          <w:rFonts w:cs="Wingdings"/>
          <w:szCs w:val="22"/>
        </w:rPr>
        <w:t xml:space="preserve"> conditions, OHS</w:t>
      </w:r>
      <w:r w:rsidR="005B4778">
        <w:rPr>
          <w:rFonts w:cs="Wingdings"/>
          <w:szCs w:val="22"/>
        </w:rPr>
        <w:t>, odour</w:t>
      </w:r>
      <w:r w:rsidRPr="00EE43C6">
        <w:rPr>
          <w:rFonts w:cs="Wingdings"/>
          <w:szCs w:val="22"/>
        </w:rPr>
        <w:t xml:space="preserve"> and CHS impacts are assessed as medium.</w:t>
      </w:r>
    </w:p>
    <w:p w14:paraId="6A861EBD" w14:textId="569583BB" w:rsidR="007623E0" w:rsidRPr="00EE43C6" w:rsidRDefault="00BF5054" w:rsidP="007623E0">
      <w:pPr>
        <w:rPr>
          <w:rFonts w:cs="Wingdings"/>
          <w:szCs w:val="22"/>
        </w:rPr>
      </w:pPr>
      <w:r w:rsidRPr="00EE43C6">
        <w:rPr>
          <w:lang w:eastAsia="en-US"/>
        </w:rPr>
        <w:t xml:space="preserve">Monthly monitoring activities will be carried out by </w:t>
      </w:r>
      <w:r w:rsidR="00534734" w:rsidRPr="00EE43C6">
        <w:rPr>
          <w:lang w:eastAsia="en-US"/>
        </w:rPr>
        <w:t xml:space="preserve">Construction Supervision </w:t>
      </w:r>
      <w:r w:rsidRPr="00EE43C6">
        <w:rPr>
          <w:lang w:eastAsia="en-US"/>
        </w:rPr>
        <w:t xml:space="preserve">Consultant and TUIOSB, and E&amp;S compliance will be reported regularly to MoIT. </w:t>
      </w:r>
      <w:r w:rsidR="007623E0" w:rsidRPr="00EE43C6">
        <w:rPr>
          <w:rFonts w:cs="Wingdings"/>
          <w:szCs w:val="22"/>
        </w:rPr>
        <w:t>MoIT will carry out its supervision monitoring as required and report to World Bank semi-annually on the progress and updates. Monitoring reports will aim to identify environmental, social, OHS related risks and impacts. Grievances will also be included in the monitoring reports.</w:t>
      </w:r>
    </w:p>
    <w:p w14:paraId="58793132" w14:textId="301476D9" w:rsidR="00225331" w:rsidRPr="00EE43C6" w:rsidRDefault="007623E0" w:rsidP="00D03619">
      <w:pPr>
        <w:rPr>
          <w:rFonts w:cs="Wingdings"/>
          <w:szCs w:val="22"/>
        </w:rPr>
      </w:pPr>
      <w:r w:rsidRPr="00EE43C6">
        <w:rPr>
          <w:rFonts w:cs="Wingdings"/>
          <w:szCs w:val="22"/>
        </w:rPr>
        <w:t xml:space="preserve">As part of the requirements stipulated by WB, ESMP is to be publicly disclosed by the </w:t>
      </w:r>
      <w:r w:rsidR="00042D44" w:rsidRPr="00EE43C6">
        <w:rPr>
          <w:rFonts w:cs="Wingdings"/>
          <w:szCs w:val="22"/>
        </w:rPr>
        <w:t>TUIOSB</w:t>
      </w:r>
      <w:r w:rsidRPr="00EE43C6">
        <w:rPr>
          <w:rFonts w:cs="Wingdings"/>
          <w:szCs w:val="22"/>
        </w:rPr>
        <w:t xml:space="preserve">’s and the WB’s website. ESMP will be reviewed, updated, and approved if necessary. For each approved updated version of this ESMP, the </w:t>
      </w:r>
      <w:r w:rsidR="00042D44" w:rsidRPr="00EE43C6">
        <w:rPr>
          <w:rFonts w:cs="Wingdings"/>
          <w:szCs w:val="22"/>
        </w:rPr>
        <w:t>TUIOSB</w:t>
      </w:r>
      <w:r w:rsidRPr="00EE43C6">
        <w:rPr>
          <w:rFonts w:cs="Wingdings"/>
          <w:szCs w:val="22"/>
        </w:rPr>
        <w:t xml:space="preserve"> will be responsible for the disclosure of the updated documents</w:t>
      </w:r>
      <w:r w:rsidR="006955C0" w:rsidRPr="00EE43C6">
        <w:rPr>
          <w:rFonts w:cs="Wingdings"/>
          <w:szCs w:val="22"/>
        </w:rPr>
        <w:t>.</w:t>
      </w:r>
    </w:p>
    <w:bookmarkEnd w:id="3" w:displacedByCustomXml="next"/>
    <w:bookmarkEnd w:id="2" w:displacedByCustomXml="next"/>
    <w:bookmarkEnd w:id="1" w:displacedByCustomXml="next"/>
    <w:bookmarkEnd w:id="0" w:displacedByCustomXml="next"/>
    <w:bookmarkStart w:id="1649" w:name="_Toc82779520" w:displacedByCustomXml="next"/>
    <w:bookmarkEnd w:id="1649" w:displacedByCustomXml="next"/>
    <w:bookmarkStart w:id="1650" w:name="_Toc82779508" w:displacedByCustomXml="next"/>
    <w:bookmarkEnd w:id="1650" w:displacedByCustomXml="next"/>
    <w:bookmarkStart w:id="1651" w:name="_Toc82779517" w:displacedByCustomXml="next"/>
    <w:bookmarkEnd w:id="1651" w:displacedByCustomXml="next"/>
    <w:bookmarkStart w:id="1652" w:name="_Toc82779506" w:displacedByCustomXml="next"/>
    <w:bookmarkEnd w:id="1652" w:displacedByCustomXml="next"/>
    <w:bookmarkStart w:id="1653" w:name="_Toc82779505" w:displacedByCustomXml="next"/>
    <w:bookmarkEnd w:id="1653" w:displacedByCustomXml="next"/>
    <w:bookmarkStart w:id="1654" w:name="_Toc82779504" w:displacedByCustomXml="next"/>
    <w:bookmarkEnd w:id="1654" w:displacedByCustomXml="next"/>
    <w:bookmarkStart w:id="1655" w:name="_Toc82779516" w:displacedByCustomXml="next"/>
    <w:bookmarkEnd w:id="1655" w:displacedByCustomXml="next"/>
    <w:bookmarkStart w:id="1656" w:name="_Toc82779519" w:displacedByCustomXml="next"/>
    <w:bookmarkEnd w:id="1656" w:displacedByCustomXml="next"/>
    <w:bookmarkStart w:id="1657" w:name="_Toc82779500" w:displacedByCustomXml="next"/>
    <w:bookmarkEnd w:id="1657" w:displacedByCustomXml="next"/>
    <w:bookmarkStart w:id="1658" w:name="_Toc82779515" w:displacedByCustomXml="next"/>
    <w:bookmarkEnd w:id="1658" w:displacedByCustomXml="next"/>
    <w:bookmarkStart w:id="1659" w:name="_Toc82779499" w:displacedByCustomXml="next"/>
    <w:bookmarkEnd w:id="1659" w:displacedByCustomXml="next"/>
    <w:bookmarkStart w:id="1660" w:name="_Toc82779514" w:displacedByCustomXml="next"/>
    <w:bookmarkEnd w:id="1660" w:displacedByCustomXml="next"/>
    <w:bookmarkStart w:id="1661" w:name="_Toc82779495" w:displacedByCustomXml="next"/>
    <w:bookmarkEnd w:id="1661" w:displacedByCustomXml="next"/>
    <w:bookmarkStart w:id="1662" w:name="_Toc82779513" w:displacedByCustomXml="next"/>
    <w:bookmarkEnd w:id="1662" w:displacedByCustomXml="next"/>
    <w:bookmarkStart w:id="1663" w:name="_Toc82779546" w:displacedByCustomXml="next"/>
    <w:bookmarkEnd w:id="1663" w:displacedByCustomXml="next"/>
    <w:bookmarkStart w:id="1664" w:name="_Toc120004772" w:displacedByCustomXml="next"/>
    <w:bookmarkStart w:id="1665" w:name="_Toc120016995" w:displacedByCustomXml="next"/>
    <w:bookmarkStart w:id="1666" w:name="_Toc141445485" w:displacedByCustomXml="next"/>
    <w:sdt>
      <w:sdtPr>
        <w:rPr>
          <w:rFonts w:cs="Arial Black"/>
          <w:b w:val="0"/>
          <w:bCs w:val="0"/>
          <w:noProof w:val="0"/>
          <w:color w:val="auto"/>
          <w:sz w:val="22"/>
          <w:szCs w:val="24"/>
          <w:lang w:val="en-GB" w:eastAsia="zh-CN"/>
        </w:rPr>
        <w:id w:val="-1668081335"/>
        <w:docPartObj>
          <w:docPartGallery w:val="Bibliographies"/>
          <w:docPartUnique/>
        </w:docPartObj>
      </w:sdtPr>
      <w:sdtEndPr>
        <w:rPr>
          <w:rFonts w:cs="Times New Roman"/>
        </w:rPr>
      </w:sdtEndPr>
      <w:sdtContent>
        <w:p w14:paraId="24BCA226" w14:textId="235B77CF" w:rsidR="004339AC" w:rsidRPr="00EE43C6" w:rsidRDefault="004339AC" w:rsidP="00616769">
          <w:pPr>
            <w:pStyle w:val="Heading1"/>
            <w:ind w:left="426"/>
            <w:rPr>
              <w:noProof w:val="0"/>
              <w:lang w:val="en-GB"/>
            </w:rPr>
          </w:pPr>
          <w:r w:rsidRPr="00EE43C6">
            <w:rPr>
              <w:noProof w:val="0"/>
              <w:lang w:val="en-GB"/>
            </w:rPr>
            <w:t>REFERENCES</w:t>
          </w:r>
          <w:bookmarkEnd w:id="1666"/>
          <w:bookmarkEnd w:id="1665"/>
          <w:bookmarkEnd w:id="1664"/>
        </w:p>
        <w:sdt>
          <w:sdtPr>
            <w:id w:val="-573587230"/>
            <w:bibliography/>
          </w:sdtPr>
          <w:sdtEndPr/>
          <w:sdtContent>
            <w:p w14:paraId="268D0C58" w14:textId="77777777" w:rsidR="00460F9F" w:rsidRDefault="004339AC" w:rsidP="00460F9F">
              <w:pPr>
                <w:pStyle w:val="Bibliography"/>
                <w:ind w:left="720" w:hanging="720"/>
                <w:rPr>
                  <w:noProof/>
                  <w:sz w:val="24"/>
                </w:rPr>
              </w:pPr>
              <w:r w:rsidRPr="00EE43C6">
                <w:fldChar w:fldCharType="begin"/>
              </w:r>
              <w:r w:rsidRPr="00EE43C6">
                <w:instrText xml:space="preserve"> BIBLIOGRAPHY </w:instrText>
              </w:r>
              <w:r w:rsidRPr="00EE43C6">
                <w:fldChar w:fldCharType="separate"/>
              </w:r>
              <w:r w:rsidR="00460F9F">
                <w:rPr>
                  <w:noProof/>
                </w:rPr>
                <w:t xml:space="preserve">Burced Engineering Service Co.Ltd.,The EIA Report of the OIZ. (2022). </w:t>
              </w:r>
              <w:r w:rsidR="00460F9F">
                <w:rPr>
                  <w:i/>
                  <w:iCs/>
                  <w:noProof/>
                </w:rPr>
                <w:t>The EIA Report of the Mersin Tarsus Agricultural Product Processing Specialized Organized Industrial Zone.</w:t>
              </w:r>
              <w:r w:rsidR="00460F9F">
                <w:rPr>
                  <w:noProof/>
                </w:rPr>
                <w:t xml:space="preserve"> Bursa.</w:t>
              </w:r>
            </w:p>
            <w:p w14:paraId="0C1F6570" w14:textId="77777777" w:rsidR="00460F9F" w:rsidRDefault="00460F9F" w:rsidP="00460F9F">
              <w:pPr>
                <w:pStyle w:val="Bibliography"/>
                <w:ind w:left="720" w:hanging="720"/>
                <w:rPr>
                  <w:noProof/>
                </w:rPr>
              </w:pPr>
              <w:r>
                <w:rPr>
                  <w:noProof/>
                </w:rPr>
                <w:t>Interim Advice for IFC Clients on Safe Stakeholder Engagement in the Context of COVID-19. (2020, May). Retrieved from https://www.ifc.org/wps/wcm/connect/30258731-0e7d-4cb2-863c-a6fb4c6d0d95/Tip+Sheet_Interim+Advice_StakeholderEngagement_COVID19_May2020.pdf?MOD=AJPERES&amp;CVID=n9s.b9a</w:t>
              </w:r>
            </w:p>
            <w:p w14:paraId="2B832885" w14:textId="77777777" w:rsidR="00460F9F" w:rsidRDefault="00460F9F" w:rsidP="00460F9F">
              <w:pPr>
                <w:pStyle w:val="Bibliography"/>
                <w:ind w:left="720" w:hanging="720"/>
                <w:rPr>
                  <w:noProof/>
                  <w:lang w:val="en-US"/>
                </w:rPr>
              </w:pPr>
              <w:r>
                <w:rPr>
                  <w:noProof/>
                </w:rPr>
                <w:t>Mersin Governorate. (2021). Retrieved from http://www.mersin.gov.tr/nufus-ve-dagilim</w:t>
              </w:r>
            </w:p>
            <w:p w14:paraId="61B63DF2" w14:textId="77777777" w:rsidR="00460F9F" w:rsidRDefault="00460F9F" w:rsidP="00460F9F">
              <w:pPr>
                <w:pStyle w:val="Bibliography"/>
                <w:ind w:left="720" w:hanging="720"/>
                <w:rPr>
                  <w:noProof/>
                </w:rPr>
              </w:pPr>
              <w:r>
                <w:rPr>
                  <w:noProof/>
                </w:rPr>
                <w:t xml:space="preserve">Optimal Project Management, The Feasibility Report of the Project. (2022). </w:t>
              </w:r>
              <w:r>
                <w:rPr>
                  <w:i/>
                  <w:iCs/>
                  <w:noProof/>
                </w:rPr>
                <w:t>The Feasibility Report of the Project.</w:t>
              </w:r>
              <w:r>
                <w:rPr>
                  <w:noProof/>
                </w:rPr>
                <w:t xml:space="preserve"> İstanbul.</w:t>
              </w:r>
            </w:p>
            <w:p w14:paraId="27735FA2" w14:textId="77777777" w:rsidR="00460F9F" w:rsidRDefault="00460F9F" w:rsidP="00460F9F">
              <w:pPr>
                <w:pStyle w:val="Bibliography"/>
                <w:ind w:left="720" w:hanging="720"/>
                <w:rPr>
                  <w:noProof/>
                </w:rPr>
              </w:pPr>
              <w:r>
                <w:rPr>
                  <w:noProof/>
                </w:rPr>
                <w:t xml:space="preserve">Şen Engineering, The Geological-Geotechnical Survey Report of the Project Area. (2018). </w:t>
              </w:r>
              <w:r>
                <w:rPr>
                  <w:i/>
                  <w:iCs/>
                  <w:noProof/>
                </w:rPr>
                <w:t>The Geological-Geotechnical Survey Report of the Project Area.</w:t>
              </w:r>
              <w:r>
                <w:rPr>
                  <w:noProof/>
                </w:rPr>
                <w:t xml:space="preserve"> Tarsus.</w:t>
              </w:r>
            </w:p>
            <w:p w14:paraId="102880DA" w14:textId="77777777" w:rsidR="00460F9F" w:rsidRDefault="00460F9F" w:rsidP="00460F9F">
              <w:pPr>
                <w:pStyle w:val="Bibliography"/>
                <w:ind w:left="720" w:hanging="720"/>
                <w:rPr>
                  <w:noProof/>
                  <w:lang w:val="en-US"/>
                </w:rPr>
              </w:pPr>
              <w:r>
                <w:rPr>
                  <w:noProof/>
                </w:rPr>
                <w:t>Tarsus Municipality. (n.d.). Retrieved from https://www.tarsus.bel.tr/tr/tarsus/ekonomisi.aspx</w:t>
              </w:r>
            </w:p>
            <w:p w14:paraId="7CE3EB1B" w14:textId="77777777" w:rsidR="00460F9F" w:rsidRDefault="00460F9F" w:rsidP="00460F9F">
              <w:pPr>
                <w:pStyle w:val="Bibliography"/>
                <w:ind w:left="720" w:hanging="720"/>
                <w:rPr>
                  <w:noProof/>
                </w:rPr>
              </w:pPr>
              <w:r>
                <w:rPr>
                  <w:noProof/>
                </w:rPr>
                <w:t xml:space="preserve">The Ministry of Industry and Technology. (2017). </w:t>
              </w:r>
              <w:r>
                <w:rPr>
                  <w:i/>
                  <w:iCs/>
                  <w:noProof/>
                </w:rPr>
                <w:t>Socio-economic Development Ranking of Provinces and Regions SEGE-2017</w:t>
              </w:r>
              <w:r>
                <w:rPr>
                  <w:noProof/>
                </w:rPr>
                <w:t>. Retrieved from https://www.sanayi.gov.tr/merkez-birimi/b94224510b7b/sege/il-sege-raporlari</w:t>
              </w:r>
            </w:p>
            <w:p w14:paraId="2D3AEE6A" w14:textId="1949A376" w:rsidR="004339AC" w:rsidRPr="00EE43C6" w:rsidRDefault="004339AC" w:rsidP="00460F9F">
              <w:r w:rsidRPr="00EE43C6">
                <w:rPr>
                  <w:b/>
                  <w:bCs/>
                </w:rPr>
                <w:fldChar w:fldCharType="end"/>
              </w:r>
            </w:p>
          </w:sdtContent>
        </w:sdt>
      </w:sdtContent>
    </w:sdt>
    <w:p w14:paraId="48D9339F" w14:textId="4E442DD2" w:rsidR="005364E0" w:rsidRPr="00EE43C6" w:rsidRDefault="005364E0">
      <w:pPr>
        <w:spacing w:before="0" w:after="200" w:line="276" w:lineRule="auto"/>
        <w:jc w:val="left"/>
      </w:pPr>
      <w:r w:rsidRPr="00EE43C6">
        <w:br w:type="page"/>
      </w:r>
    </w:p>
    <w:p w14:paraId="289EA908" w14:textId="77777777" w:rsidR="00E67B7C" w:rsidRPr="00EE43C6" w:rsidRDefault="00E67B7C" w:rsidP="00F513D0">
      <w:pPr>
        <w:spacing w:before="0" w:after="0"/>
        <w:rPr>
          <w:sz w:val="144"/>
          <w:szCs w:val="144"/>
        </w:rPr>
      </w:pPr>
    </w:p>
    <w:p w14:paraId="50EF6FC0" w14:textId="42035594" w:rsidR="00314DE8" w:rsidRPr="00EE43C6" w:rsidRDefault="00314DE8" w:rsidP="00F513D0">
      <w:pPr>
        <w:spacing w:before="0" w:after="0"/>
        <w:rPr>
          <w:sz w:val="144"/>
          <w:szCs w:val="144"/>
        </w:rPr>
      </w:pPr>
    </w:p>
    <w:p w14:paraId="14F6EC81" w14:textId="73E1E482" w:rsidR="00314DE8" w:rsidRPr="00EE43C6" w:rsidRDefault="00314DE8" w:rsidP="00F513D0">
      <w:pPr>
        <w:spacing w:before="0" w:after="0"/>
        <w:rPr>
          <w:sz w:val="144"/>
          <w:szCs w:val="144"/>
        </w:rPr>
      </w:pPr>
    </w:p>
    <w:p w14:paraId="42DCD672" w14:textId="02A70CEC" w:rsidR="00B41F9D" w:rsidRPr="00EE43C6" w:rsidRDefault="00B41F9D" w:rsidP="005364E0">
      <w:pPr>
        <w:pStyle w:val="Heading3"/>
        <w:numPr>
          <w:ilvl w:val="0"/>
          <w:numId w:val="0"/>
        </w:numPr>
        <w:jc w:val="center"/>
        <w:rPr>
          <w:noProof w:val="0"/>
        </w:rPr>
      </w:pPr>
      <w:bookmarkStart w:id="1667" w:name="_Toc120016996"/>
      <w:bookmarkStart w:id="1668" w:name="_Toc120004773"/>
      <w:bookmarkStart w:id="1669" w:name="_Toc141445486"/>
      <w:r w:rsidRPr="00EE43C6">
        <w:rPr>
          <w:b/>
          <w:noProof w:val="0"/>
          <w:sz w:val="40"/>
          <w:szCs w:val="40"/>
        </w:rPr>
        <w:t>Appendix-A</w:t>
      </w:r>
      <w:r w:rsidRPr="00EE43C6">
        <w:rPr>
          <w:bCs w:val="0"/>
          <w:noProof w:val="0"/>
          <w:sz w:val="40"/>
          <w:szCs w:val="40"/>
        </w:rPr>
        <w:br/>
      </w:r>
      <w:r w:rsidRPr="00EE43C6">
        <w:rPr>
          <w:b/>
          <w:noProof w:val="0"/>
          <w:sz w:val="40"/>
          <w:szCs w:val="40"/>
        </w:rPr>
        <w:t>Land Title Deed Record</w:t>
      </w:r>
      <w:bookmarkEnd w:id="1667"/>
      <w:bookmarkEnd w:id="1668"/>
      <w:r w:rsidR="00B43A1F" w:rsidRPr="00EE43C6">
        <w:rPr>
          <w:b/>
          <w:noProof w:val="0"/>
          <w:sz w:val="40"/>
          <w:szCs w:val="40"/>
        </w:rPr>
        <w:t>s</w:t>
      </w:r>
      <w:bookmarkEnd w:id="1669"/>
    </w:p>
    <w:p w14:paraId="2D1BB486" w14:textId="77777777" w:rsidR="00B41F9D" w:rsidRPr="00EE43C6" w:rsidRDefault="00B41F9D" w:rsidP="00B41F9D">
      <w:pPr>
        <w:jc w:val="center"/>
      </w:pPr>
      <w:r w:rsidRPr="00EE43C6">
        <w:br w:type="page"/>
      </w:r>
    </w:p>
    <w:p w14:paraId="1AE93BBE" w14:textId="79D9C20C" w:rsidR="00B41F9D" w:rsidRPr="00EE43C6" w:rsidRDefault="00B41F9D" w:rsidP="00B41F9D">
      <w:pPr>
        <w:rPr>
          <w:b/>
          <w:i/>
          <w:u w:val="single"/>
        </w:rPr>
      </w:pPr>
      <w:r w:rsidRPr="00EE43C6">
        <w:rPr>
          <w:b/>
          <w:bCs/>
          <w:i/>
          <w:iCs/>
          <w:u w:val="single"/>
        </w:rPr>
        <w:lastRenderedPageBreak/>
        <w:t>Project Area Title Deed Record</w:t>
      </w:r>
      <w:r w:rsidR="00733598">
        <w:rPr>
          <w:b/>
          <w:bCs/>
          <w:i/>
          <w:iCs/>
          <w:u w:val="single"/>
        </w:rPr>
        <w:t>s</w:t>
      </w:r>
    </w:p>
    <w:p w14:paraId="00A5B14F" w14:textId="0769A29A" w:rsidR="00B41F9D" w:rsidRPr="00EE43C6" w:rsidRDefault="0038519C" w:rsidP="005234E9">
      <w:pPr>
        <w:spacing w:before="0" w:after="0"/>
      </w:pPr>
      <w:r w:rsidRPr="00EE43C6">
        <w:rPr>
          <w:noProof/>
        </w:rPr>
        <w:drawing>
          <wp:inline distT="0" distB="0" distL="0" distR="0" wp14:anchorId="7A8F9BA6" wp14:editId="41535EE4">
            <wp:extent cx="5688000" cy="8045658"/>
            <wp:effectExtent l="0" t="0" r="825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7"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6F8FC989" w14:textId="2537AEC7" w:rsidR="00B41F9D" w:rsidRPr="00EE43C6" w:rsidRDefault="003825F6" w:rsidP="005234E9">
      <w:pPr>
        <w:spacing w:before="0" w:after="0"/>
      </w:pPr>
      <w:r w:rsidRPr="00EE43C6">
        <w:rPr>
          <w:noProof/>
        </w:rPr>
        <w:lastRenderedPageBreak/>
        <w:drawing>
          <wp:inline distT="0" distB="0" distL="0" distR="0" wp14:anchorId="6438BE77" wp14:editId="3B113AE5">
            <wp:extent cx="5688000" cy="8045658"/>
            <wp:effectExtent l="0" t="0" r="8255" b="0"/>
            <wp:docPr id="4" name="Resim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88"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r w:rsidR="00B41F9D" w:rsidRPr="00EE43C6">
        <w:br w:type="page"/>
      </w:r>
    </w:p>
    <w:p w14:paraId="7A33828E" w14:textId="16F4B6C5" w:rsidR="00B41F9D" w:rsidRPr="00EE43C6" w:rsidRDefault="001C306A" w:rsidP="005234E9">
      <w:pPr>
        <w:spacing w:before="0" w:after="0"/>
      </w:pPr>
      <w:r w:rsidRPr="00EE43C6">
        <w:rPr>
          <w:noProof/>
        </w:rPr>
        <w:lastRenderedPageBreak/>
        <w:drawing>
          <wp:inline distT="0" distB="0" distL="0" distR="0" wp14:anchorId="4514589E" wp14:editId="390BEA4A">
            <wp:extent cx="5688000" cy="8045658"/>
            <wp:effectExtent l="0" t="0" r="825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9"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25247BA5" w14:textId="77777777" w:rsidR="00B41F9D" w:rsidRPr="00EE43C6" w:rsidRDefault="00B41F9D" w:rsidP="00B41F9D"/>
    <w:p w14:paraId="687B8B4F" w14:textId="25FA1B3A" w:rsidR="00B41F9D" w:rsidRPr="00EE43C6" w:rsidRDefault="001C306A" w:rsidP="00431A95">
      <w:pPr>
        <w:spacing w:before="0" w:after="0"/>
      </w:pPr>
      <w:r w:rsidRPr="00EE43C6">
        <w:rPr>
          <w:noProof/>
        </w:rPr>
        <w:lastRenderedPageBreak/>
        <w:drawing>
          <wp:inline distT="0" distB="0" distL="0" distR="0" wp14:anchorId="06F33B91" wp14:editId="0D68C04B">
            <wp:extent cx="5688000" cy="8045658"/>
            <wp:effectExtent l="0" t="0" r="825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0"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3E43749B" w14:textId="0A58E2AA" w:rsidR="001C306A" w:rsidRPr="00EE43C6" w:rsidRDefault="001C306A" w:rsidP="00431A95">
      <w:pPr>
        <w:spacing w:before="0" w:after="0"/>
      </w:pPr>
      <w:r w:rsidRPr="00EE43C6">
        <w:rPr>
          <w:noProof/>
        </w:rPr>
        <w:lastRenderedPageBreak/>
        <w:drawing>
          <wp:inline distT="0" distB="0" distL="0" distR="0" wp14:anchorId="0EFC5BD8" wp14:editId="5C99E852">
            <wp:extent cx="5688000" cy="8045658"/>
            <wp:effectExtent l="0" t="0" r="825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1"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714E4F1E" w14:textId="77777777" w:rsidR="001C306A" w:rsidRPr="00EE43C6" w:rsidRDefault="001C306A" w:rsidP="00B41F9D"/>
    <w:p w14:paraId="3EF87981" w14:textId="683209E0" w:rsidR="001C306A" w:rsidRPr="00EE43C6" w:rsidRDefault="001C306A" w:rsidP="00431A95">
      <w:pPr>
        <w:spacing w:before="0" w:after="0"/>
      </w:pPr>
      <w:r w:rsidRPr="00EE43C6">
        <w:rPr>
          <w:noProof/>
        </w:rPr>
        <w:lastRenderedPageBreak/>
        <w:drawing>
          <wp:inline distT="0" distB="0" distL="0" distR="0" wp14:anchorId="62B1D2C1" wp14:editId="744EE83E">
            <wp:extent cx="5688000" cy="8045658"/>
            <wp:effectExtent l="0" t="0" r="825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2"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55CCF7CA" w14:textId="77777777" w:rsidR="001C306A" w:rsidRPr="00EE43C6" w:rsidRDefault="001C306A" w:rsidP="00B41F9D"/>
    <w:p w14:paraId="5DA1E056" w14:textId="703A8EE5" w:rsidR="001C306A" w:rsidRPr="00EE43C6" w:rsidRDefault="001C306A" w:rsidP="00431A95">
      <w:pPr>
        <w:spacing w:before="0" w:after="0"/>
      </w:pPr>
      <w:r w:rsidRPr="00EE43C6">
        <w:rPr>
          <w:noProof/>
        </w:rPr>
        <w:lastRenderedPageBreak/>
        <w:drawing>
          <wp:inline distT="0" distB="0" distL="0" distR="0" wp14:anchorId="1188E599" wp14:editId="7AB2DEFB">
            <wp:extent cx="5688000" cy="8045658"/>
            <wp:effectExtent l="0" t="0" r="8255" b="0"/>
            <wp:docPr id="9" name="Resim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a:blip r:embed="rId93"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5DFC395B" w14:textId="77777777" w:rsidR="001C306A" w:rsidRPr="00EE43C6" w:rsidRDefault="001C306A" w:rsidP="00B41F9D"/>
    <w:p w14:paraId="6DB26F6D" w14:textId="7C1EE1FE" w:rsidR="001C306A" w:rsidRPr="00EE43C6" w:rsidRDefault="001C306A" w:rsidP="00431A95">
      <w:pPr>
        <w:spacing w:before="0" w:after="0"/>
      </w:pPr>
      <w:r w:rsidRPr="00EE43C6">
        <w:rPr>
          <w:noProof/>
        </w:rPr>
        <w:lastRenderedPageBreak/>
        <w:drawing>
          <wp:inline distT="0" distB="0" distL="0" distR="0" wp14:anchorId="47D0D81E" wp14:editId="7B88E5BB">
            <wp:extent cx="5688000" cy="8045658"/>
            <wp:effectExtent l="0" t="0" r="8255" b="0"/>
            <wp:docPr id="12" name="Resim 12"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 schematic&#10;&#10;Description automatically generated"/>
                    <pic:cNvPicPr/>
                  </pic:nvPicPr>
                  <pic:blipFill>
                    <a:blip r:embed="rId94"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124059A7" w14:textId="77777777" w:rsidR="001C306A" w:rsidRPr="00EE43C6" w:rsidRDefault="001C306A" w:rsidP="00B41F9D"/>
    <w:p w14:paraId="528BE2D9" w14:textId="6C83164A" w:rsidR="001C306A" w:rsidRPr="00EE43C6" w:rsidRDefault="001C306A" w:rsidP="00431A95">
      <w:pPr>
        <w:spacing w:before="0" w:after="0"/>
      </w:pPr>
      <w:r w:rsidRPr="00EE43C6">
        <w:rPr>
          <w:noProof/>
        </w:rPr>
        <w:lastRenderedPageBreak/>
        <w:drawing>
          <wp:inline distT="0" distB="0" distL="0" distR="0" wp14:anchorId="7BFB020D" wp14:editId="452A4AEC">
            <wp:extent cx="5688000" cy="8045658"/>
            <wp:effectExtent l="0" t="0" r="8255" b="0"/>
            <wp:docPr id="14" name="Resim 14"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receipt&#10;&#10;Description automatically generated"/>
                    <pic:cNvPicPr/>
                  </pic:nvPicPr>
                  <pic:blipFill>
                    <a:blip r:embed="rId95"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174A74F3" w14:textId="77777777" w:rsidR="00AB6135" w:rsidRPr="00EE43C6" w:rsidRDefault="00AB6135" w:rsidP="00B41F9D"/>
    <w:p w14:paraId="1767ACBF" w14:textId="5E08D48E" w:rsidR="00AB6135" w:rsidRPr="00EE43C6" w:rsidRDefault="00AB6135" w:rsidP="00431A95">
      <w:pPr>
        <w:spacing w:before="0" w:after="0"/>
      </w:pPr>
      <w:r w:rsidRPr="00EE43C6">
        <w:rPr>
          <w:noProof/>
        </w:rPr>
        <w:lastRenderedPageBreak/>
        <w:drawing>
          <wp:inline distT="0" distB="0" distL="0" distR="0" wp14:anchorId="13CF23A1" wp14:editId="14892DAD">
            <wp:extent cx="5688000" cy="8045658"/>
            <wp:effectExtent l="0" t="0" r="825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6"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55FA6768" w14:textId="77777777" w:rsidR="00195AF0" w:rsidRPr="00EE43C6" w:rsidRDefault="00195AF0" w:rsidP="00431A95">
      <w:pPr>
        <w:spacing w:before="0" w:after="0"/>
      </w:pPr>
      <w:r w:rsidRPr="00EE43C6">
        <w:rPr>
          <w:noProof/>
        </w:rPr>
        <w:lastRenderedPageBreak/>
        <w:drawing>
          <wp:inline distT="0" distB="0" distL="0" distR="0" wp14:anchorId="21656CE8" wp14:editId="6F5EF370">
            <wp:extent cx="5688000" cy="8045658"/>
            <wp:effectExtent l="0" t="0" r="8255" b="0"/>
            <wp:docPr id="21" name="Resim 21"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 schematic&#10;&#10;Description automatically generated"/>
                    <pic:cNvPicPr/>
                  </pic:nvPicPr>
                  <pic:blipFill>
                    <a:blip r:embed="rId97"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025DE125" w14:textId="77777777" w:rsidR="00195AF0" w:rsidRPr="00EE43C6" w:rsidRDefault="00195AF0" w:rsidP="00195AF0"/>
    <w:p w14:paraId="6692EC2E" w14:textId="77777777" w:rsidR="00195AF0" w:rsidRPr="00EE43C6" w:rsidRDefault="00195AF0" w:rsidP="00431A95">
      <w:pPr>
        <w:spacing w:before="0" w:after="0"/>
      </w:pPr>
      <w:r w:rsidRPr="00EE43C6">
        <w:rPr>
          <w:noProof/>
        </w:rPr>
        <w:lastRenderedPageBreak/>
        <w:drawing>
          <wp:inline distT="0" distB="0" distL="0" distR="0" wp14:anchorId="39CDED55" wp14:editId="37CCDD6D">
            <wp:extent cx="5688000" cy="8045658"/>
            <wp:effectExtent l="0" t="0" r="825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8"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2D7B9335" w14:textId="77777777" w:rsidR="00195AF0" w:rsidRPr="00EE43C6" w:rsidRDefault="00195AF0" w:rsidP="00195AF0"/>
    <w:p w14:paraId="78CB1159" w14:textId="77777777" w:rsidR="00195AF0" w:rsidRPr="00EE43C6" w:rsidRDefault="00195AF0" w:rsidP="00431A95">
      <w:pPr>
        <w:spacing w:before="0" w:after="0"/>
      </w:pPr>
      <w:r w:rsidRPr="00EE43C6">
        <w:rPr>
          <w:noProof/>
        </w:rPr>
        <w:lastRenderedPageBreak/>
        <w:drawing>
          <wp:inline distT="0" distB="0" distL="0" distR="0" wp14:anchorId="7B4F0F4F" wp14:editId="5BADD9A3">
            <wp:extent cx="5688000" cy="8045658"/>
            <wp:effectExtent l="0" t="0" r="825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9"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541C1FBD" w14:textId="77777777" w:rsidR="00195AF0" w:rsidRPr="00EE43C6" w:rsidRDefault="00195AF0" w:rsidP="00B41F9D"/>
    <w:p w14:paraId="5DD1F08F" w14:textId="5A068520" w:rsidR="007E0AE3" w:rsidRPr="00EE43C6" w:rsidRDefault="007E0AE3" w:rsidP="00431A95">
      <w:pPr>
        <w:spacing w:before="0" w:after="0"/>
      </w:pPr>
      <w:r w:rsidRPr="00EE43C6">
        <w:rPr>
          <w:noProof/>
        </w:rPr>
        <w:lastRenderedPageBreak/>
        <w:drawing>
          <wp:inline distT="0" distB="0" distL="0" distR="0" wp14:anchorId="472DFB09" wp14:editId="409FFFAE">
            <wp:extent cx="5688000" cy="8045658"/>
            <wp:effectExtent l="0" t="0" r="8255" b="0"/>
            <wp:docPr id="24" name="Resim 24"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engineering drawing, schematic&#10;&#10;Description automatically generated"/>
                    <pic:cNvPicPr/>
                  </pic:nvPicPr>
                  <pic:blipFill>
                    <a:blip r:embed="rId100"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2C6127EB" w14:textId="4604993E" w:rsidR="00A41FC5" w:rsidRPr="00EE43C6" w:rsidRDefault="00A41FC5" w:rsidP="00431A95">
      <w:pPr>
        <w:spacing w:before="0" w:after="0"/>
      </w:pPr>
      <w:r w:rsidRPr="00EE43C6">
        <w:rPr>
          <w:noProof/>
        </w:rPr>
        <w:lastRenderedPageBreak/>
        <w:drawing>
          <wp:inline distT="0" distB="0" distL="0" distR="0" wp14:anchorId="3977B3AB" wp14:editId="4BB760FB">
            <wp:extent cx="5688000" cy="8045658"/>
            <wp:effectExtent l="0" t="0" r="825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1"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192CFF37" w14:textId="77777777" w:rsidR="00A41FC5" w:rsidRPr="00EE43C6" w:rsidRDefault="00A41FC5" w:rsidP="00B41F9D"/>
    <w:p w14:paraId="3517497F" w14:textId="601CAFF2" w:rsidR="007E0AE3" w:rsidRPr="00EE43C6" w:rsidRDefault="007E0AE3" w:rsidP="00431A95">
      <w:pPr>
        <w:spacing w:before="0" w:after="0"/>
      </w:pPr>
      <w:r w:rsidRPr="00EE43C6">
        <w:rPr>
          <w:noProof/>
        </w:rPr>
        <w:lastRenderedPageBreak/>
        <w:drawing>
          <wp:inline distT="0" distB="0" distL="0" distR="0" wp14:anchorId="4796B2DA" wp14:editId="29EEE1B3">
            <wp:extent cx="5688000" cy="8045658"/>
            <wp:effectExtent l="0" t="0" r="825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2"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4DCEBEE1" w14:textId="60215AF4" w:rsidR="00A41FC5" w:rsidRPr="00EE43C6" w:rsidRDefault="00A41FC5" w:rsidP="00431A95">
      <w:pPr>
        <w:spacing w:before="0" w:after="0"/>
      </w:pPr>
      <w:r w:rsidRPr="00EE43C6">
        <w:rPr>
          <w:noProof/>
        </w:rPr>
        <w:lastRenderedPageBreak/>
        <w:drawing>
          <wp:inline distT="0" distB="0" distL="0" distR="0" wp14:anchorId="7AAB2C83" wp14:editId="3406DFF3">
            <wp:extent cx="5688000" cy="8045658"/>
            <wp:effectExtent l="0" t="0" r="825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3"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763FFFB4" w14:textId="77777777" w:rsidR="007F3164" w:rsidRPr="00EE43C6" w:rsidRDefault="007F3164" w:rsidP="00B41F9D"/>
    <w:p w14:paraId="3F580E05" w14:textId="227C8645" w:rsidR="007F3164" w:rsidRPr="00EE43C6" w:rsidRDefault="007F3164" w:rsidP="00431A95">
      <w:pPr>
        <w:spacing w:before="0" w:after="0"/>
      </w:pPr>
      <w:r w:rsidRPr="00EE43C6">
        <w:rPr>
          <w:noProof/>
        </w:rPr>
        <w:lastRenderedPageBreak/>
        <w:drawing>
          <wp:inline distT="0" distB="0" distL="0" distR="0" wp14:anchorId="1E37BB2B" wp14:editId="0BF75987">
            <wp:extent cx="5688000" cy="8045658"/>
            <wp:effectExtent l="0" t="0" r="825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4"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1216F89F" w14:textId="77777777" w:rsidR="00C21767" w:rsidRPr="00EE43C6" w:rsidRDefault="00C21767" w:rsidP="00B41F9D"/>
    <w:p w14:paraId="136645C5" w14:textId="738BAB83" w:rsidR="00C21767" w:rsidRPr="00EE43C6" w:rsidRDefault="00C21767" w:rsidP="00431A95">
      <w:pPr>
        <w:spacing w:before="0" w:after="0"/>
      </w:pPr>
      <w:r w:rsidRPr="00EE43C6">
        <w:rPr>
          <w:noProof/>
        </w:rPr>
        <w:lastRenderedPageBreak/>
        <w:drawing>
          <wp:inline distT="0" distB="0" distL="0" distR="0" wp14:anchorId="503FB999" wp14:editId="380ABCE6">
            <wp:extent cx="5688000" cy="8045658"/>
            <wp:effectExtent l="0" t="0" r="825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5"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7152A359" w14:textId="77777777" w:rsidR="007B53F1" w:rsidRPr="00EE43C6" w:rsidRDefault="007B53F1" w:rsidP="00B41F9D"/>
    <w:p w14:paraId="73AFE989" w14:textId="7779AD12" w:rsidR="007B53F1" w:rsidRPr="00EE43C6" w:rsidRDefault="007B53F1" w:rsidP="00431A95">
      <w:pPr>
        <w:spacing w:before="0" w:after="0"/>
      </w:pPr>
      <w:r w:rsidRPr="00EE43C6">
        <w:rPr>
          <w:noProof/>
        </w:rPr>
        <w:lastRenderedPageBreak/>
        <w:drawing>
          <wp:inline distT="0" distB="0" distL="0" distR="0" wp14:anchorId="11F18B12" wp14:editId="4C705194">
            <wp:extent cx="5688000" cy="8045658"/>
            <wp:effectExtent l="0" t="0" r="825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6"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73F40443" w14:textId="77777777" w:rsidR="007B53F1" w:rsidRPr="00EE43C6" w:rsidRDefault="007B53F1" w:rsidP="00B41F9D"/>
    <w:p w14:paraId="2C4046AA" w14:textId="5AA204FB" w:rsidR="00FF4040" w:rsidRPr="00EE43C6" w:rsidRDefault="001C666D" w:rsidP="00B41F9D">
      <w:r w:rsidRPr="00EE43C6">
        <w:rPr>
          <w:noProof/>
        </w:rPr>
        <w:lastRenderedPageBreak/>
        <w:drawing>
          <wp:inline distT="0" distB="0" distL="0" distR="0" wp14:anchorId="14A5F61D" wp14:editId="721E9769">
            <wp:extent cx="5688000" cy="8099627"/>
            <wp:effectExtent l="0" t="0" r="8255" b="0"/>
            <wp:docPr id="11" name="Resim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07" cstate="screen">
                      <a:extLst>
                        <a:ext uri="{28A0092B-C50C-407E-A947-70E740481C1C}">
                          <a14:useLocalDpi xmlns:a14="http://schemas.microsoft.com/office/drawing/2010/main"/>
                        </a:ext>
                      </a:extLst>
                    </a:blip>
                    <a:stretch>
                      <a:fillRect/>
                    </a:stretch>
                  </pic:blipFill>
                  <pic:spPr>
                    <a:xfrm>
                      <a:off x="0" y="0"/>
                      <a:ext cx="5688000" cy="8099627"/>
                    </a:xfrm>
                    <a:prstGeom prst="rect">
                      <a:avLst/>
                    </a:prstGeom>
                  </pic:spPr>
                </pic:pic>
              </a:graphicData>
            </a:graphic>
          </wp:inline>
        </w:drawing>
      </w:r>
    </w:p>
    <w:p w14:paraId="0FC150CA" w14:textId="24A4ECBD" w:rsidR="001C666D" w:rsidRPr="00EE43C6" w:rsidRDefault="001C666D" w:rsidP="00B41F9D">
      <w:r w:rsidRPr="00EE43C6">
        <w:rPr>
          <w:noProof/>
        </w:rPr>
        <w:drawing>
          <wp:inline distT="0" distB="0" distL="0" distR="0" wp14:anchorId="661AD072" wp14:editId="6A355670">
            <wp:extent cx="5688000" cy="8099627"/>
            <wp:effectExtent l="0" t="0" r="825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8" cstate="screen">
                      <a:extLst>
                        <a:ext uri="{28A0092B-C50C-407E-A947-70E740481C1C}">
                          <a14:useLocalDpi xmlns:a14="http://schemas.microsoft.com/office/drawing/2010/main"/>
                        </a:ext>
                      </a:extLst>
                    </a:blip>
                    <a:stretch>
                      <a:fillRect/>
                    </a:stretch>
                  </pic:blipFill>
                  <pic:spPr>
                    <a:xfrm>
                      <a:off x="0" y="0"/>
                      <a:ext cx="5688000" cy="8099627"/>
                    </a:xfrm>
                    <a:prstGeom prst="rect">
                      <a:avLst/>
                    </a:prstGeom>
                  </pic:spPr>
                </pic:pic>
              </a:graphicData>
            </a:graphic>
          </wp:inline>
        </w:drawing>
      </w:r>
    </w:p>
    <w:p w14:paraId="40D2B108" w14:textId="77777777" w:rsidR="00FF4040" w:rsidRPr="00EE43C6" w:rsidRDefault="00FF4040" w:rsidP="00B41F9D"/>
    <w:p w14:paraId="06EEFD02" w14:textId="08CD4478" w:rsidR="00FF4040" w:rsidRPr="00EE43C6" w:rsidRDefault="00FF4040" w:rsidP="00B41F9D"/>
    <w:p w14:paraId="5162AA86" w14:textId="77777777" w:rsidR="00B41F9D" w:rsidRPr="00EE43C6" w:rsidRDefault="00B41F9D" w:rsidP="00F513D0">
      <w:pPr>
        <w:spacing w:before="0" w:after="0"/>
        <w:rPr>
          <w:sz w:val="144"/>
          <w:szCs w:val="144"/>
        </w:rPr>
      </w:pPr>
    </w:p>
    <w:p w14:paraId="5134B9BC" w14:textId="77777777" w:rsidR="00B41F9D" w:rsidRPr="00EE43C6" w:rsidRDefault="00B41F9D" w:rsidP="00F513D0">
      <w:pPr>
        <w:spacing w:before="0" w:after="0"/>
        <w:rPr>
          <w:sz w:val="144"/>
          <w:szCs w:val="144"/>
        </w:rPr>
      </w:pPr>
    </w:p>
    <w:p w14:paraId="6EC64014" w14:textId="77777777" w:rsidR="00B41F9D" w:rsidRPr="00EE43C6" w:rsidRDefault="00B41F9D" w:rsidP="00F513D0">
      <w:pPr>
        <w:spacing w:before="0" w:after="0"/>
        <w:rPr>
          <w:sz w:val="144"/>
          <w:szCs w:val="144"/>
        </w:rPr>
      </w:pPr>
    </w:p>
    <w:p w14:paraId="3E957A4A" w14:textId="1C470152" w:rsidR="00314DE8" w:rsidRPr="00EE43C6" w:rsidRDefault="00314DE8" w:rsidP="005364E0">
      <w:pPr>
        <w:pStyle w:val="Heading3"/>
        <w:numPr>
          <w:ilvl w:val="0"/>
          <w:numId w:val="0"/>
        </w:numPr>
        <w:jc w:val="center"/>
        <w:rPr>
          <w:b/>
          <w:noProof w:val="0"/>
          <w:sz w:val="40"/>
          <w:szCs w:val="40"/>
        </w:rPr>
      </w:pPr>
      <w:bookmarkStart w:id="1670" w:name="_Toc120016997"/>
      <w:bookmarkStart w:id="1671" w:name="_Toc120004774"/>
      <w:bookmarkStart w:id="1672" w:name="_Toc141445487"/>
      <w:r w:rsidRPr="00EE43C6">
        <w:rPr>
          <w:b/>
          <w:noProof w:val="0"/>
          <w:sz w:val="40"/>
          <w:szCs w:val="40"/>
        </w:rPr>
        <w:t>Appendix-</w:t>
      </w:r>
      <w:r w:rsidR="00B41F9D" w:rsidRPr="00EE43C6">
        <w:rPr>
          <w:b/>
          <w:noProof w:val="0"/>
          <w:sz w:val="40"/>
          <w:szCs w:val="40"/>
        </w:rPr>
        <w:t>B</w:t>
      </w:r>
      <w:r w:rsidRPr="00EE43C6">
        <w:rPr>
          <w:b/>
          <w:noProof w:val="0"/>
          <w:sz w:val="40"/>
          <w:szCs w:val="40"/>
        </w:rPr>
        <w:br/>
      </w:r>
      <w:r w:rsidR="00116AF9" w:rsidRPr="00EE43C6">
        <w:rPr>
          <w:b/>
          <w:noProof w:val="0"/>
          <w:sz w:val="40"/>
          <w:szCs w:val="40"/>
        </w:rPr>
        <w:t>E</w:t>
      </w:r>
      <w:r w:rsidR="003C753A" w:rsidRPr="00EE43C6">
        <w:rPr>
          <w:b/>
          <w:noProof w:val="0"/>
          <w:sz w:val="40"/>
          <w:szCs w:val="40"/>
        </w:rPr>
        <w:t xml:space="preserve">IA </w:t>
      </w:r>
      <w:r w:rsidR="00354F32" w:rsidRPr="00EE43C6">
        <w:rPr>
          <w:b/>
          <w:noProof w:val="0"/>
          <w:sz w:val="40"/>
          <w:szCs w:val="40"/>
        </w:rPr>
        <w:t>Positive</w:t>
      </w:r>
      <w:r w:rsidR="00116AF9" w:rsidRPr="00EE43C6">
        <w:rPr>
          <w:b/>
          <w:noProof w:val="0"/>
          <w:sz w:val="40"/>
          <w:szCs w:val="40"/>
        </w:rPr>
        <w:t xml:space="preserve"> </w:t>
      </w:r>
      <w:bookmarkEnd w:id="1670"/>
      <w:bookmarkEnd w:id="1671"/>
      <w:r w:rsidR="005A22BE" w:rsidRPr="00EE43C6">
        <w:rPr>
          <w:b/>
          <w:noProof w:val="0"/>
          <w:sz w:val="40"/>
          <w:szCs w:val="40"/>
        </w:rPr>
        <w:t>Certificates</w:t>
      </w:r>
      <w:bookmarkEnd w:id="1672"/>
    </w:p>
    <w:p w14:paraId="6E169CB1" w14:textId="3CA485C2" w:rsidR="00314DE8" w:rsidRPr="00EE43C6" w:rsidRDefault="00314DE8" w:rsidP="00534FC4">
      <w:pPr>
        <w:rPr>
          <w:b/>
          <w:sz w:val="40"/>
          <w:szCs w:val="40"/>
        </w:rPr>
      </w:pPr>
      <w:bookmarkStart w:id="1673" w:name="_Toc62821672"/>
    </w:p>
    <w:p w14:paraId="57BE7C26" w14:textId="77777777" w:rsidR="00EF6907" w:rsidRPr="00EE43C6" w:rsidRDefault="00EF6907" w:rsidP="00534FC4">
      <w:pPr>
        <w:rPr>
          <w:b/>
          <w:sz w:val="40"/>
          <w:szCs w:val="40"/>
        </w:rPr>
        <w:sectPr w:rsidR="00EF6907" w:rsidRPr="00EE43C6" w:rsidSect="00D719FE">
          <w:headerReference w:type="default" r:id="rId109"/>
          <w:pgSz w:w="11900" w:h="16840" w:code="9"/>
          <w:pgMar w:top="1418" w:right="1418" w:bottom="1418" w:left="1418" w:header="709" w:footer="709" w:gutter="0"/>
          <w:cols w:space="708"/>
          <w:docGrid w:linePitch="360"/>
        </w:sectPr>
      </w:pPr>
    </w:p>
    <w:p w14:paraId="6DD6BB56" w14:textId="3D5C7560" w:rsidR="00EF6907" w:rsidRPr="00EE43C6" w:rsidRDefault="00A3512E" w:rsidP="008D5E63">
      <w:pPr>
        <w:jc w:val="center"/>
      </w:pPr>
      <w:r w:rsidRPr="00EE43C6">
        <w:rPr>
          <w:noProof/>
        </w:rPr>
        <w:drawing>
          <wp:inline distT="0" distB="0" distL="0" distR="0" wp14:anchorId="1F0FB8C5" wp14:editId="67524568">
            <wp:extent cx="5705417" cy="8064000"/>
            <wp:effectExtent l="1587"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0" cstate="screen">
                      <a:extLst>
                        <a:ext uri="{28A0092B-C50C-407E-A947-70E740481C1C}">
                          <a14:useLocalDpi xmlns:a14="http://schemas.microsoft.com/office/drawing/2010/main"/>
                        </a:ext>
                      </a:extLst>
                    </a:blip>
                    <a:stretch>
                      <a:fillRect/>
                    </a:stretch>
                  </pic:blipFill>
                  <pic:spPr>
                    <a:xfrm rot="5400000">
                      <a:off x="0" y="0"/>
                      <a:ext cx="5705417" cy="8064000"/>
                    </a:xfrm>
                    <a:prstGeom prst="rect">
                      <a:avLst/>
                    </a:prstGeom>
                  </pic:spPr>
                </pic:pic>
              </a:graphicData>
            </a:graphic>
          </wp:inline>
        </w:drawing>
      </w:r>
    </w:p>
    <w:p w14:paraId="6069C62A" w14:textId="0521A8EC" w:rsidR="00E602CB" w:rsidRPr="00EE43C6" w:rsidRDefault="00E602CB" w:rsidP="002E09D9">
      <w:pPr>
        <w:jc w:val="center"/>
      </w:pPr>
      <w:r w:rsidRPr="00EE43C6">
        <w:rPr>
          <w:noProof/>
        </w:rPr>
        <w:drawing>
          <wp:inline distT="0" distB="0" distL="0" distR="0" wp14:anchorId="17BCB8C8" wp14:editId="5F603858">
            <wp:extent cx="7596000" cy="5374365"/>
            <wp:effectExtent l="0" t="0" r="508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1" cstate="screen">
                      <a:extLst>
                        <a:ext uri="{28A0092B-C50C-407E-A947-70E740481C1C}">
                          <a14:useLocalDpi xmlns:a14="http://schemas.microsoft.com/office/drawing/2010/main"/>
                        </a:ext>
                      </a:extLst>
                    </a:blip>
                    <a:stretch>
                      <a:fillRect/>
                    </a:stretch>
                  </pic:blipFill>
                  <pic:spPr>
                    <a:xfrm>
                      <a:off x="0" y="0"/>
                      <a:ext cx="7596000" cy="5374365"/>
                    </a:xfrm>
                    <a:prstGeom prst="rect">
                      <a:avLst/>
                    </a:prstGeom>
                  </pic:spPr>
                </pic:pic>
              </a:graphicData>
            </a:graphic>
          </wp:inline>
        </w:drawing>
      </w:r>
    </w:p>
    <w:p w14:paraId="3E8DA4DC" w14:textId="6D45BB98" w:rsidR="00A3512E" w:rsidRPr="00EE43C6" w:rsidRDefault="00A3512E" w:rsidP="00B41F9D">
      <w:pPr>
        <w:jc w:val="center"/>
        <w:sectPr w:rsidR="00A3512E" w:rsidRPr="00EE43C6" w:rsidSect="00D719FE">
          <w:headerReference w:type="default" r:id="rId112"/>
          <w:footerReference w:type="default" r:id="rId113"/>
          <w:pgSz w:w="16840" w:h="11900" w:orient="landscape" w:code="9"/>
          <w:pgMar w:top="1418" w:right="1418" w:bottom="1418" w:left="1418" w:header="709" w:footer="709" w:gutter="0"/>
          <w:cols w:space="708"/>
          <w:docGrid w:linePitch="360"/>
        </w:sectPr>
      </w:pPr>
    </w:p>
    <w:p w14:paraId="0D9490B0" w14:textId="77777777" w:rsidR="00370A0E" w:rsidRPr="00EE43C6" w:rsidRDefault="00370A0E" w:rsidP="00370A0E">
      <w:pPr>
        <w:spacing w:before="0" w:after="0"/>
        <w:rPr>
          <w:sz w:val="144"/>
          <w:szCs w:val="144"/>
        </w:rPr>
      </w:pPr>
    </w:p>
    <w:p w14:paraId="177F7B2B" w14:textId="77777777" w:rsidR="00370A0E" w:rsidRPr="00EE43C6" w:rsidRDefault="00370A0E" w:rsidP="00370A0E">
      <w:pPr>
        <w:spacing w:before="0" w:after="0"/>
        <w:rPr>
          <w:sz w:val="144"/>
          <w:szCs w:val="144"/>
        </w:rPr>
      </w:pPr>
    </w:p>
    <w:p w14:paraId="10A4E230" w14:textId="77777777" w:rsidR="00370A0E" w:rsidRPr="00EE43C6" w:rsidRDefault="00370A0E" w:rsidP="00370A0E">
      <w:pPr>
        <w:spacing w:before="0" w:after="0"/>
        <w:rPr>
          <w:sz w:val="144"/>
          <w:szCs w:val="144"/>
        </w:rPr>
      </w:pPr>
    </w:p>
    <w:p w14:paraId="60B076C9" w14:textId="2AACAD23" w:rsidR="00370A0E" w:rsidRPr="00EE43C6" w:rsidRDefault="00370A0E" w:rsidP="00370A0E">
      <w:pPr>
        <w:pStyle w:val="Heading3"/>
        <w:numPr>
          <w:ilvl w:val="0"/>
          <w:numId w:val="0"/>
        </w:numPr>
        <w:jc w:val="center"/>
        <w:rPr>
          <w:b/>
          <w:noProof w:val="0"/>
          <w:sz w:val="40"/>
          <w:szCs w:val="40"/>
        </w:rPr>
      </w:pPr>
      <w:bookmarkStart w:id="1674" w:name="_Toc120016998"/>
      <w:bookmarkStart w:id="1675" w:name="_Toc120004775"/>
      <w:bookmarkStart w:id="1676" w:name="_Ref125535568"/>
      <w:bookmarkStart w:id="1677" w:name="_Ref125535594"/>
      <w:bookmarkStart w:id="1678" w:name="_Ref125535605"/>
      <w:bookmarkStart w:id="1679" w:name="_Ref125535616"/>
      <w:bookmarkStart w:id="1680" w:name="_Toc141445488"/>
      <w:r w:rsidRPr="00EE43C6">
        <w:rPr>
          <w:b/>
          <w:noProof w:val="0"/>
          <w:sz w:val="40"/>
          <w:szCs w:val="40"/>
        </w:rPr>
        <w:t>Appendix-C</w:t>
      </w:r>
      <w:r w:rsidRPr="00EE43C6">
        <w:rPr>
          <w:b/>
          <w:noProof w:val="0"/>
          <w:sz w:val="40"/>
          <w:szCs w:val="40"/>
        </w:rPr>
        <w:br/>
      </w:r>
      <w:r w:rsidR="002617E7" w:rsidRPr="00EE43C6">
        <w:rPr>
          <w:b/>
          <w:noProof w:val="0"/>
          <w:sz w:val="40"/>
          <w:szCs w:val="40"/>
        </w:rPr>
        <w:t>Permits</w:t>
      </w:r>
      <w:r w:rsidR="007C1A65" w:rsidRPr="00EE43C6">
        <w:rPr>
          <w:b/>
          <w:noProof w:val="0"/>
          <w:sz w:val="40"/>
          <w:szCs w:val="40"/>
        </w:rPr>
        <w:t xml:space="preserve"> and</w:t>
      </w:r>
      <w:r w:rsidR="002617E7" w:rsidRPr="00EE43C6">
        <w:rPr>
          <w:b/>
          <w:noProof w:val="0"/>
          <w:sz w:val="40"/>
          <w:szCs w:val="40"/>
        </w:rPr>
        <w:t xml:space="preserve"> Opinion </w:t>
      </w:r>
      <w:r w:rsidR="00852EA2" w:rsidRPr="00EE43C6">
        <w:rPr>
          <w:b/>
          <w:noProof w:val="0"/>
          <w:sz w:val="40"/>
          <w:szCs w:val="40"/>
        </w:rPr>
        <w:t>L</w:t>
      </w:r>
      <w:r w:rsidR="002617E7" w:rsidRPr="00EE43C6">
        <w:rPr>
          <w:b/>
          <w:noProof w:val="0"/>
          <w:sz w:val="40"/>
          <w:szCs w:val="40"/>
        </w:rPr>
        <w:t>etters</w:t>
      </w:r>
      <w:bookmarkEnd w:id="1674"/>
      <w:bookmarkEnd w:id="1675"/>
      <w:bookmarkEnd w:id="1676"/>
      <w:bookmarkEnd w:id="1677"/>
      <w:bookmarkEnd w:id="1678"/>
      <w:bookmarkEnd w:id="1679"/>
      <w:bookmarkEnd w:id="1680"/>
    </w:p>
    <w:p w14:paraId="6CC9F859" w14:textId="77777777" w:rsidR="00370A0E" w:rsidRPr="00EE43C6" w:rsidRDefault="00370A0E" w:rsidP="00370A0E">
      <w:pPr>
        <w:rPr>
          <w:b/>
          <w:sz w:val="40"/>
          <w:szCs w:val="40"/>
        </w:rPr>
      </w:pPr>
    </w:p>
    <w:p w14:paraId="050735B6" w14:textId="77777777" w:rsidR="00560D6F" w:rsidRPr="00EE43C6" w:rsidRDefault="00560D6F" w:rsidP="00370A0E">
      <w:pPr>
        <w:rPr>
          <w:b/>
          <w:sz w:val="40"/>
          <w:szCs w:val="40"/>
        </w:rPr>
      </w:pPr>
    </w:p>
    <w:p w14:paraId="39E3EE4F" w14:textId="77777777" w:rsidR="00560D6F" w:rsidRPr="00EE43C6" w:rsidRDefault="00560D6F" w:rsidP="00370A0E">
      <w:pPr>
        <w:rPr>
          <w:b/>
          <w:sz w:val="40"/>
          <w:szCs w:val="40"/>
        </w:rPr>
      </w:pPr>
    </w:p>
    <w:p w14:paraId="6B5268D8" w14:textId="77777777" w:rsidR="00560D6F" w:rsidRPr="00EE43C6" w:rsidRDefault="00560D6F" w:rsidP="00370A0E">
      <w:pPr>
        <w:rPr>
          <w:b/>
          <w:sz w:val="40"/>
          <w:szCs w:val="40"/>
        </w:rPr>
      </w:pPr>
    </w:p>
    <w:p w14:paraId="64209F22" w14:textId="77777777" w:rsidR="00560D6F" w:rsidRPr="00EE43C6" w:rsidRDefault="00560D6F" w:rsidP="00370A0E">
      <w:pPr>
        <w:rPr>
          <w:b/>
          <w:sz w:val="40"/>
          <w:szCs w:val="40"/>
        </w:rPr>
      </w:pPr>
    </w:p>
    <w:p w14:paraId="7105EDA1" w14:textId="77777777" w:rsidR="00560D6F" w:rsidRPr="00EE43C6" w:rsidRDefault="00560D6F" w:rsidP="00370A0E">
      <w:pPr>
        <w:rPr>
          <w:b/>
          <w:sz w:val="40"/>
          <w:szCs w:val="40"/>
        </w:rPr>
      </w:pPr>
    </w:p>
    <w:p w14:paraId="56A80766" w14:textId="77777777" w:rsidR="003E2A69" w:rsidRPr="00EE43C6" w:rsidRDefault="003E2A69" w:rsidP="00370A0E">
      <w:pPr>
        <w:rPr>
          <w:b/>
          <w:sz w:val="40"/>
          <w:szCs w:val="40"/>
        </w:rPr>
      </w:pPr>
    </w:p>
    <w:p w14:paraId="71CB3904" w14:textId="5A496D9B" w:rsidR="003E2A69" w:rsidRPr="00EE43C6" w:rsidRDefault="003E2A69" w:rsidP="00370A0E">
      <w:pPr>
        <w:rPr>
          <w:b/>
          <w:sz w:val="40"/>
          <w:szCs w:val="40"/>
        </w:rPr>
      </w:pPr>
      <w:r w:rsidRPr="00EE43C6">
        <w:rPr>
          <w:b/>
          <w:noProof/>
          <w:sz w:val="40"/>
        </w:rPr>
        <w:drawing>
          <wp:inline distT="0" distB="0" distL="0" distR="0" wp14:anchorId="4DFECBA5" wp14:editId="1011CFDF">
            <wp:extent cx="5755640" cy="8141335"/>
            <wp:effectExtent l="0" t="0" r="0"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14"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1FCEF257" w14:textId="4196A292" w:rsidR="00506796" w:rsidRPr="00EE43C6" w:rsidRDefault="00506796" w:rsidP="00370A0E">
      <w:pPr>
        <w:rPr>
          <w:b/>
          <w:sz w:val="40"/>
          <w:szCs w:val="40"/>
        </w:rPr>
      </w:pPr>
      <w:r w:rsidRPr="00EE43C6">
        <w:rPr>
          <w:b/>
          <w:noProof/>
          <w:sz w:val="40"/>
        </w:rPr>
        <w:drawing>
          <wp:inline distT="0" distB="0" distL="0" distR="0" wp14:anchorId="4AE78EBC" wp14:editId="4D265A82">
            <wp:extent cx="5755640" cy="8141335"/>
            <wp:effectExtent l="0" t="0" r="0"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5"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36FF5CF2" w14:textId="26CAEAE7" w:rsidR="003E2A69" w:rsidRPr="00EE43C6" w:rsidRDefault="003E2A69" w:rsidP="00370A0E">
      <w:pPr>
        <w:rPr>
          <w:b/>
          <w:sz w:val="40"/>
          <w:szCs w:val="40"/>
        </w:rPr>
      </w:pPr>
      <w:r w:rsidRPr="00EE43C6">
        <w:rPr>
          <w:b/>
          <w:noProof/>
          <w:sz w:val="40"/>
        </w:rPr>
        <w:drawing>
          <wp:inline distT="0" distB="0" distL="0" distR="0" wp14:anchorId="52E229F7" wp14:editId="490A36DC">
            <wp:extent cx="5755640" cy="8141335"/>
            <wp:effectExtent l="0" t="0" r="0" b="0"/>
            <wp:docPr id="101" name="Resim 10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ext, letter&#10;&#10;Description automatically generated"/>
                    <pic:cNvPicPr/>
                  </pic:nvPicPr>
                  <pic:blipFill>
                    <a:blip r:embed="rId116"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6B34EAC6" w14:textId="45B4D316" w:rsidR="00560D6F" w:rsidRPr="00EE43C6" w:rsidRDefault="00772224" w:rsidP="00370A0E">
      <w:pPr>
        <w:rPr>
          <w:b/>
          <w:sz w:val="40"/>
          <w:szCs w:val="40"/>
        </w:rPr>
      </w:pPr>
      <w:r w:rsidRPr="00EE43C6">
        <w:rPr>
          <w:b/>
          <w:noProof/>
          <w:sz w:val="40"/>
        </w:rPr>
        <w:drawing>
          <wp:inline distT="0" distB="0" distL="0" distR="0" wp14:anchorId="4512CF4E" wp14:editId="1DB175E4">
            <wp:extent cx="5755640" cy="8141335"/>
            <wp:effectExtent l="0" t="0" r="0" b="0"/>
            <wp:docPr id="32" name="Resim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17"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2C9EEFCD" w14:textId="137A8EF4" w:rsidR="00BD0C7C" w:rsidRPr="00EE43C6" w:rsidRDefault="00772224" w:rsidP="00370A0E">
      <w:pPr>
        <w:rPr>
          <w:b/>
          <w:sz w:val="40"/>
          <w:szCs w:val="40"/>
        </w:rPr>
      </w:pPr>
      <w:r w:rsidRPr="00EE43C6">
        <w:rPr>
          <w:b/>
          <w:noProof/>
          <w:sz w:val="40"/>
        </w:rPr>
        <w:drawing>
          <wp:inline distT="0" distB="0" distL="0" distR="0" wp14:anchorId="5FCADD69" wp14:editId="544D6ABC">
            <wp:extent cx="5755640" cy="8141335"/>
            <wp:effectExtent l="0" t="0" r="0" b="0"/>
            <wp:docPr id="33" name="Resim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118"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3B6E8AA1" w14:textId="00DB7661" w:rsidR="00BD0C7C" w:rsidRPr="00EE43C6" w:rsidRDefault="00772224" w:rsidP="00370A0E">
      <w:pPr>
        <w:rPr>
          <w:b/>
          <w:sz w:val="40"/>
          <w:szCs w:val="40"/>
        </w:rPr>
      </w:pPr>
      <w:r w:rsidRPr="00EE43C6">
        <w:rPr>
          <w:b/>
          <w:noProof/>
          <w:sz w:val="40"/>
        </w:rPr>
        <w:drawing>
          <wp:inline distT="0" distB="0" distL="0" distR="0" wp14:anchorId="7E591098" wp14:editId="36215B7C">
            <wp:extent cx="5755640" cy="8141335"/>
            <wp:effectExtent l="0" t="0" r="0" b="0"/>
            <wp:docPr id="34" name="Resim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119"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631E38CB" w14:textId="21A4294D" w:rsidR="00BD0C7C" w:rsidRPr="00EE43C6" w:rsidRDefault="00772224" w:rsidP="00370A0E">
      <w:pPr>
        <w:rPr>
          <w:b/>
          <w:sz w:val="40"/>
          <w:szCs w:val="40"/>
        </w:rPr>
      </w:pPr>
      <w:r w:rsidRPr="00EE43C6">
        <w:rPr>
          <w:b/>
          <w:noProof/>
          <w:sz w:val="40"/>
        </w:rPr>
        <w:drawing>
          <wp:inline distT="0" distB="0" distL="0" distR="0" wp14:anchorId="31D122C0" wp14:editId="50085918">
            <wp:extent cx="5755640" cy="8141335"/>
            <wp:effectExtent l="0" t="0" r="0" b="0"/>
            <wp:docPr id="35" name="Resim 3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imeline&#10;&#10;Description automatically generated"/>
                    <pic:cNvPicPr/>
                  </pic:nvPicPr>
                  <pic:blipFill>
                    <a:blip r:embed="rId120"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3063500E" w14:textId="4A783188" w:rsidR="00BD0C7C" w:rsidRPr="00EE43C6" w:rsidRDefault="00772224" w:rsidP="00370A0E">
      <w:pPr>
        <w:rPr>
          <w:b/>
          <w:sz w:val="40"/>
          <w:szCs w:val="40"/>
        </w:rPr>
      </w:pPr>
      <w:r w:rsidRPr="00EE43C6">
        <w:rPr>
          <w:b/>
          <w:noProof/>
          <w:sz w:val="40"/>
        </w:rPr>
        <w:drawing>
          <wp:inline distT="0" distB="0" distL="0" distR="0" wp14:anchorId="00110DF2" wp14:editId="6355170A">
            <wp:extent cx="5755640" cy="8131810"/>
            <wp:effectExtent l="0" t="0" r="0" b="2540"/>
            <wp:docPr id="36" name="Resim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121" cstate="screen">
                      <a:extLst>
                        <a:ext uri="{28A0092B-C50C-407E-A947-70E740481C1C}">
                          <a14:useLocalDpi xmlns:a14="http://schemas.microsoft.com/office/drawing/2010/main"/>
                        </a:ext>
                      </a:extLst>
                    </a:blip>
                    <a:stretch>
                      <a:fillRect/>
                    </a:stretch>
                  </pic:blipFill>
                  <pic:spPr>
                    <a:xfrm>
                      <a:off x="0" y="0"/>
                      <a:ext cx="5755640" cy="8131810"/>
                    </a:xfrm>
                    <a:prstGeom prst="rect">
                      <a:avLst/>
                    </a:prstGeom>
                  </pic:spPr>
                </pic:pic>
              </a:graphicData>
            </a:graphic>
          </wp:inline>
        </w:drawing>
      </w:r>
    </w:p>
    <w:p w14:paraId="56221CE4" w14:textId="2CF1B375" w:rsidR="00BD0C7C" w:rsidRPr="00EE43C6" w:rsidRDefault="00A7494F" w:rsidP="00370A0E">
      <w:pPr>
        <w:rPr>
          <w:b/>
          <w:sz w:val="40"/>
          <w:szCs w:val="40"/>
        </w:rPr>
      </w:pPr>
      <w:r w:rsidRPr="00EE43C6">
        <w:rPr>
          <w:b/>
          <w:noProof/>
          <w:sz w:val="40"/>
        </w:rPr>
        <w:drawing>
          <wp:inline distT="0" distB="0" distL="0" distR="0" wp14:anchorId="4F7E52B7" wp14:editId="4D002331">
            <wp:extent cx="5755640" cy="8131810"/>
            <wp:effectExtent l="0" t="0" r="0" b="2540"/>
            <wp:docPr id="37" name="Resim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a:blip r:embed="rId122" cstate="screen">
                      <a:extLst>
                        <a:ext uri="{28A0092B-C50C-407E-A947-70E740481C1C}">
                          <a14:useLocalDpi xmlns:a14="http://schemas.microsoft.com/office/drawing/2010/main"/>
                        </a:ext>
                      </a:extLst>
                    </a:blip>
                    <a:stretch>
                      <a:fillRect/>
                    </a:stretch>
                  </pic:blipFill>
                  <pic:spPr>
                    <a:xfrm>
                      <a:off x="0" y="0"/>
                      <a:ext cx="5755640" cy="8131810"/>
                    </a:xfrm>
                    <a:prstGeom prst="rect">
                      <a:avLst/>
                    </a:prstGeom>
                  </pic:spPr>
                </pic:pic>
              </a:graphicData>
            </a:graphic>
          </wp:inline>
        </w:drawing>
      </w:r>
    </w:p>
    <w:p w14:paraId="03D0C89F" w14:textId="1F6E2DD3" w:rsidR="00BD0C7C" w:rsidRPr="00EE43C6" w:rsidRDefault="00A7494F" w:rsidP="00370A0E">
      <w:pPr>
        <w:rPr>
          <w:b/>
          <w:sz w:val="40"/>
          <w:szCs w:val="40"/>
        </w:rPr>
      </w:pPr>
      <w:r w:rsidRPr="00EE43C6">
        <w:rPr>
          <w:b/>
          <w:noProof/>
          <w:sz w:val="40"/>
        </w:rPr>
        <w:drawing>
          <wp:inline distT="0" distB="0" distL="0" distR="0" wp14:anchorId="60E0CD12" wp14:editId="2CAB9470">
            <wp:extent cx="5755640" cy="8131810"/>
            <wp:effectExtent l="0" t="0" r="0" b="2540"/>
            <wp:docPr id="38" name="Resim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pic:nvPicPr>
                  <pic:blipFill>
                    <a:blip r:embed="rId123" cstate="screen">
                      <a:extLst>
                        <a:ext uri="{28A0092B-C50C-407E-A947-70E740481C1C}">
                          <a14:useLocalDpi xmlns:a14="http://schemas.microsoft.com/office/drawing/2010/main"/>
                        </a:ext>
                      </a:extLst>
                    </a:blip>
                    <a:stretch>
                      <a:fillRect/>
                    </a:stretch>
                  </pic:blipFill>
                  <pic:spPr>
                    <a:xfrm>
                      <a:off x="0" y="0"/>
                      <a:ext cx="5755640" cy="8131810"/>
                    </a:xfrm>
                    <a:prstGeom prst="rect">
                      <a:avLst/>
                    </a:prstGeom>
                  </pic:spPr>
                </pic:pic>
              </a:graphicData>
            </a:graphic>
          </wp:inline>
        </w:drawing>
      </w:r>
    </w:p>
    <w:p w14:paraId="0FD532E9" w14:textId="0595DE99" w:rsidR="00BD0C7C" w:rsidRPr="00EE43C6" w:rsidRDefault="00A7494F" w:rsidP="00370A0E">
      <w:pPr>
        <w:rPr>
          <w:b/>
          <w:sz w:val="40"/>
          <w:szCs w:val="40"/>
        </w:rPr>
      </w:pPr>
      <w:r w:rsidRPr="00EE43C6">
        <w:rPr>
          <w:b/>
          <w:noProof/>
          <w:sz w:val="40"/>
        </w:rPr>
        <w:drawing>
          <wp:inline distT="0" distB="0" distL="0" distR="0" wp14:anchorId="61894F26" wp14:editId="0E3E65AE">
            <wp:extent cx="5755640" cy="8141970"/>
            <wp:effectExtent l="0" t="0" r="0" b="0"/>
            <wp:docPr id="39" name="Resim 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 letter&#10;&#10;Description automatically generated"/>
                    <pic:cNvPicPr/>
                  </pic:nvPicPr>
                  <pic:blipFill>
                    <a:blip r:embed="rId124" cstate="screen">
                      <a:extLst>
                        <a:ext uri="{28A0092B-C50C-407E-A947-70E740481C1C}">
                          <a14:useLocalDpi xmlns:a14="http://schemas.microsoft.com/office/drawing/2010/main"/>
                        </a:ext>
                      </a:extLst>
                    </a:blip>
                    <a:stretch>
                      <a:fillRect/>
                    </a:stretch>
                  </pic:blipFill>
                  <pic:spPr>
                    <a:xfrm>
                      <a:off x="0" y="0"/>
                      <a:ext cx="5755640" cy="8141970"/>
                    </a:xfrm>
                    <a:prstGeom prst="rect">
                      <a:avLst/>
                    </a:prstGeom>
                  </pic:spPr>
                </pic:pic>
              </a:graphicData>
            </a:graphic>
          </wp:inline>
        </w:drawing>
      </w:r>
    </w:p>
    <w:p w14:paraId="57E992CF" w14:textId="0F1282F4" w:rsidR="00370A0E" w:rsidRPr="00EE43C6" w:rsidRDefault="00A7494F" w:rsidP="00370A0E">
      <w:pPr>
        <w:rPr>
          <w:b/>
          <w:sz w:val="40"/>
          <w:szCs w:val="40"/>
        </w:rPr>
      </w:pPr>
      <w:r w:rsidRPr="00EE43C6">
        <w:rPr>
          <w:b/>
          <w:noProof/>
          <w:sz w:val="40"/>
        </w:rPr>
        <w:drawing>
          <wp:inline distT="0" distB="0" distL="0" distR="0" wp14:anchorId="2E2351EE" wp14:editId="5E899F56">
            <wp:extent cx="5755640" cy="8141970"/>
            <wp:effectExtent l="0" t="0" r="0" b="0"/>
            <wp:docPr id="40" name="Resim 40" descr="A picture containing text, receip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receipt, document&#10;&#10;Description automatically generated"/>
                    <pic:cNvPicPr/>
                  </pic:nvPicPr>
                  <pic:blipFill>
                    <a:blip r:embed="rId125" cstate="screen">
                      <a:extLst>
                        <a:ext uri="{28A0092B-C50C-407E-A947-70E740481C1C}">
                          <a14:useLocalDpi xmlns:a14="http://schemas.microsoft.com/office/drawing/2010/main"/>
                        </a:ext>
                      </a:extLst>
                    </a:blip>
                    <a:stretch>
                      <a:fillRect/>
                    </a:stretch>
                  </pic:blipFill>
                  <pic:spPr>
                    <a:xfrm>
                      <a:off x="0" y="0"/>
                      <a:ext cx="5755640" cy="8141970"/>
                    </a:xfrm>
                    <a:prstGeom prst="rect">
                      <a:avLst/>
                    </a:prstGeom>
                  </pic:spPr>
                </pic:pic>
              </a:graphicData>
            </a:graphic>
          </wp:inline>
        </w:drawing>
      </w:r>
    </w:p>
    <w:p w14:paraId="43468B50" w14:textId="40C73BE6" w:rsidR="00560D6F" w:rsidRPr="00EE43C6" w:rsidRDefault="002C700C" w:rsidP="00370A0E">
      <w:pPr>
        <w:rPr>
          <w:b/>
          <w:sz w:val="40"/>
          <w:szCs w:val="40"/>
        </w:rPr>
      </w:pPr>
      <w:r w:rsidRPr="00EE43C6">
        <w:rPr>
          <w:b/>
          <w:noProof/>
          <w:sz w:val="40"/>
        </w:rPr>
        <w:drawing>
          <wp:inline distT="0" distB="0" distL="0" distR="0" wp14:anchorId="3651B8C0" wp14:editId="42EBF0F7">
            <wp:extent cx="5755640" cy="814260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6" cstate="screen">
                      <a:extLst>
                        <a:ext uri="{28A0092B-C50C-407E-A947-70E740481C1C}">
                          <a14:useLocalDpi xmlns:a14="http://schemas.microsoft.com/office/drawing/2010/main"/>
                        </a:ext>
                      </a:extLst>
                    </a:blip>
                    <a:stretch>
                      <a:fillRect/>
                    </a:stretch>
                  </pic:blipFill>
                  <pic:spPr>
                    <a:xfrm>
                      <a:off x="0" y="0"/>
                      <a:ext cx="5755640" cy="8142605"/>
                    </a:xfrm>
                    <a:prstGeom prst="rect">
                      <a:avLst/>
                    </a:prstGeom>
                  </pic:spPr>
                </pic:pic>
              </a:graphicData>
            </a:graphic>
          </wp:inline>
        </w:drawing>
      </w:r>
    </w:p>
    <w:p w14:paraId="46CEE27F" w14:textId="2CDF0C3A" w:rsidR="00F10A35" w:rsidRPr="00EE43C6" w:rsidRDefault="00F10A35" w:rsidP="00370A0E">
      <w:pPr>
        <w:rPr>
          <w:b/>
          <w:sz w:val="40"/>
          <w:szCs w:val="40"/>
        </w:rPr>
      </w:pPr>
      <w:r w:rsidRPr="00EE43C6">
        <w:rPr>
          <w:b/>
          <w:noProof/>
          <w:sz w:val="40"/>
        </w:rPr>
        <w:drawing>
          <wp:inline distT="0" distB="0" distL="0" distR="0" wp14:anchorId="119D7889" wp14:editId="3985A9B6">
            <wp:extent cx="5755640" cy="8146415"/>
            <wp:effectExtent l="0" t="0" r="0" b="6985"/>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27" cstate="screen">
                      <a:extLst>
                        <a:ext uri="{28A0092B-C50C-407E-A947-70E740481C1C}">
                          <a14:useLocalDpi xmlns:a14="http://schemas.microsoft.com/office/drawing/2010/main"/>
                        </a:ext>
                      </a:extLst>
                    </a:blip>
                    <a:stretch>
                      <a:fillRect/>
                    </a:stretch>
                  </pic:blipFill>
                  <pic:spPr>
                    <a:xfrm>
                      <a:off x="0" y="0"/>
                      <a:ext cx="5755640" cy="8146415"/>
                    </a:xfrm>
                    <a:prstGeom prst="rect">
                      <a:avLst/>
                    </a:prstGeom>
                  </pic:spPr>
                </pic:pic>
              </a:graphicData>
            </a:graphic>
          </wp:inline>
        </w:drawing>
      </w:r>
    </w:p>
    <w:p w14:paraId="1B496DCA" w14:textId="5B28C9B4" w:rsidR="00370A0E" w:rsidRPr="00EE43C6" w:rsidRDefault="00370A0E" w:rsidP="00370A0E">
      <w:pPr>
        <w:rPr>
          <w:b/>
          <w:sz w:val="40"/>
          <w:szCs w:val="40"/>
        </w:rPr>
        <w:sectPr w:rsidR="00370A0E" w:rsidRPr="00EE43C6" w:rsidSect="00D719FE">
          <w:headerReference w:type="default" r:id="rId128"/>
          <w:footerReference w:type="default" r:id="rId129"/>
          <w:pgSz w:w="11900" w:h="16840" w:code="9"/>
          <w:pgMar w:top="1418" w:right="1418" w:bottom="1418" w:left="1418" w:header="709" w:footer="709" w:gutter="0"/>
          <w:cols w:space="708"/>
          <w:docGrid w:linePitch="360"/>
        </w:sectPr>
      </w:pPr>
    </w:p>
    <w:p w14:paraId="0C90BFE4" w14:textId="77777777" w:rsidR="00374F84" w:rsidRPr="00EE43C6" w:rsidRDefault="00374F84" w:rsidP="00F513D0">
      <w:pPr>
        <w:spacing w:before="0" w:after="0"/>
        <w:rPr>
          <w:sz w:val="144"/>
          <w:szCs w:val="144"/>
        </w:rPr>
      </w:pPr>
    </w:p>
    <w:p w14:paraId="73E1FB94" w14:textId="77777777" w:rsidR="00374F84" w:rsidRPr="00EE43C6" w:rsidRDefault="00374F84" w:rsidP="00F513D0">
      <w:pPr>
        <w:spacing w:before="0" w:after="0"/>
        <w:rPr>
          <w:sz w:val="144"/>
          <w:szCs w:val="144"/>
        </w:rPr>
      </w:pPr>
    </w:p>
    <w:p w14:paraId="397F2997" w14:textId="77777777" w:rsidR="00B06083" w:rsidRPr="00EE43C6" w:rsidRDefault="00B06083" w:rsidP="00F513D0">
      <w:pPr>
        <w:spacing w:before="0" w:after="0"/>
        <w:rPr>
          <w:sz w:val="144"/>
          <w:szCs w:val="144"/>
        </w:rPr>
      </w:pPr>
    </w:p>
    <w:p w14:paraId="738C87D6" w14:textId="3711E823" w:rsidR="00E553C6" w:rsidRPr="00EE43C6" w:rsidRDefault="00E553C6" w:rsidP="00395001">
      <w:pPr>
        <w:pStyle w:val="Heading3"/>
        <w:numPr>
          <w:ilvl w:val="0"/>
          <w:numId w:val="0"/>
        </w:numPr>
        <w:ind w:left="720" w:hanging="720"/>
        <w:jc w:val="center"/>
        <w:rPr>
          <w:b/>
          <w:noProof w:val="0"/>
          <w:sz w:val="40"/>
          <w:szCs w:val="40"/>
        </w:rPr>
      </w:pPr>
      <w:bookmarkStart w:id="1681" w:name="_Toc120017002"/>
      <w:bookmarkStart w:id="1682" w:name="_Toc120004779"/>
      <w:bookmarkStart w:id="1683" w:name="_Toc141445489"/>
      <w:bookmarkEnd w:id="1673"/>
      <w:r w:rsidRPr="00EE43C6">
        <w:rPr>
          <w:b/>
          <w:noProof w:val="0"/>
          <w:sz w:val="40"/>
          <w:szCs w:val="40"/>
        </w:rPr>
        <w:t>Appendix-</w:t>
      </w:r>
      <w:r w:rsidR="003C273F" w:rsidRPr="00EE43C6">
        <w:rPr>
          <w:b/>
          <w:noProof w:val="0"/>
          <w:sz w:val="40"/>
          <w:szCs w:val="40"/>
        </w:rPr>
        <w:t>D</w:t>
      </w:r>
      <w:r w:rsidRPr="00EE43C6">
        <w:rPr>
          <w:b/>
          <w:noProof w:val="0"/>
          <w:sz w:val="40"/>
          <w:szCs w:val="40"/>
        </w:rPr>
        <w:t xml:space="preserve"> </w:t>
      </w:r>
      <w:r w:rsidR="00395001" w:rsidRPr="00EE43C6">
        <w:rPr>
          <w:b/>
          <w:noProof w:val="0"/>
          <w:sz w:val="40"/>
          <w:szCs w:val="40"/>
        </w:rPr>
        <w:t>Chance Find Procedure</w:t>
      </w:r>
      <w:bookmarkEnd w:id="1681"/>
      <w:bookmarkEnd w:id="1682"/>
      <w:bookmarkEnd w:id="1683"/>
    </w:p>
    <w:p w14:paraId="430E0FDB" w14:textId="77777777" w:rsidR="003C273F" w:rsidRPr="00EE43C6" w:rsidRDefault="003C273F" w:rsidP="003C273F">
      <w:pPr>
        <w:rPr>
          <w:lang w:eastAsia="en-US"/>
        </w:rPr>
      </w:pPr>
    </w:p>
    <w:p w14:paraId="5BFD84B5" w14:textId="77777777" w:rsidR="00F63F4C" w:rsidRPr="00EE43C6" w:rsidRDefault="00F63F4C" w:rsidP="00F63F4C">
      <w:pPr>
        <w:rPr>
          <w:b/>
          <w:bCs/>
        </w:rPr>
      </w:pPr>
      <w:bookmarkStart w:id="1684" w:name="_Toc87780019"/>
      <w:r w:rsidRPr="00EE43C6">
        <w:rPr>
          <w:b/>
          <w:bCs/>
        </w:rPr>
        <w:t>INTRODUCTION</w:t>
      </w:r>
      <w:bookmarkEnd w:id="1684"/>
    </w:p>
    <w:p w14:paraId="491F8661" w14:textId="19EBD712" w:rsidR="00F63F4C" w:rsidRPr="00EE43C6" w:rsidRDefault="00F63F4C" w:rsidP="00F63F4C">
      <w:pPr>
        <w:rPr>
          <w:rFonts w:cs="Wingdings"/>
          <w:szCs w:val="22"/>
        </w:rPr>
      </w:pPr>
      <w:r w:rsidRPr="00EE43C6">
        <w:rPr>
          <w:rFonts w:cs="Wingdings"/>
          <w:szCs w:val="22"/>
        </w:rPr>
        <w:t>This document is intended to avoid potential impacts of the Project on any cultural heritage during land preparation works, including excavation. At the baseline studies, field survey and literature review were conducted for the Project and its vicinity to identify potential archaeological and immovable cultural properties. No archaeological or immovable cultural property was encountered during the study.</w:t>
      </w:r>
    </w:p>
    <w:p w14:paraId="5973217C" w14:textId="76CF5442" w:rsidR="00F63F4C" w:rsidRPr="00EE43C6" w:rsidRDefault="00F63F4C" w:rsidP="00F63F4C">
      <w:pPr>
        <w:rPr>
          <w:rFonts w:cs="Wingdings"/>
          <w:szCs w:val="22"/>
        </w:rPr>
      </w:pPr>
      <w:r w:rsidRPr="00EE43C6">
        <w:rPr>
          <w:rFonts w:cs="Wingdings"/>
          <w:szCs w:val="22"/>
        </w:rPr>
        <w:t>This Procedure is a part of the general package as an appendix to the Environmental and Social Management Plan (ESMP) developed for the Project.</w:t>
      </w:r>
    </w:p>
    <w:p w14:paraId="1825C00E" w14:textId="77777777" w:rsidR="00FD12C6" w:rsidRPr="00EE43C6" w:rsidRDefault="00FD12C6">
      <w:pPr>
        <w:spacing w:before="0" w:after="200" w:line="276" w:lineRule="auto"/>
        <w:jc w:val="left"/>
        <w:rPr>
          <w:b/>
          <w:bCs/>
        </w:rPr>
      </w:pPr>
      <w:bookmarkStart w:id="1685" w:name="_Toc496517712"/>
      <w:bookmarkStart w:id="1686" w:name="_Toc496517757"/>
      <w:bookmarkStart w:id="1687" w:name="_Toc496517713"/>
      <w:bookmarkStart w:id="1688" w:name="_Toc496517758"/>
      <w:bookmarkStart w:id="1689" w:name="_Toc496517714"/>
      <w:bookmarkStart w:id="1690" w:name="_Toc496517759"/>
      <w:bookmarkStart w:id="1691" w:name="_Toc496517715"/>
      <w:bookmarkStart w:id="1692" w:name="_Toc496517760"/>
      <w:bookmarkStart w:id="1693" w:name="_Toc87780020"/>
      <w:bookmarkEnd w:id="1685"/>
      <w:bookmarkEnd w:id="1686"/>
      <w:bookmarkEnd w:id="1687"/>
      <w:bookmarkEnd w:id="1688"/>
      <w:bookmarkEnd w:id="1689"/>
      <w:bookmarkEnd w:id="1690"/>
      <w:bookmarkEnd w:id="1691"/>
      <w:bookmarkEnd w:id="1692"/>
      <w:r w:rsidRPr="00EE43C6">
        <w:rPr>
          <w:b/>
          <w:bCs/>
        </w:rPr>
        <w:br w:type="page"/>
      </w:r>
    </w:p>
    <w:p w14:paraId="30D8819E" w14:textId="1D09B306" w:rsidR="00F63F4C" w:rsidRPr="00EE43C6" w:rsidRDefault="00F63F4C" w:rsidP="00F63F4C">
      <w:pPr>
        <w:rPr>
          <w:b/>
          <w:bCs/>
        </w:rPr>
      </w:pPr>
      <w:r w:rsidRPr="00EE43C6">
        <w:rPr>
          <w:b/>
          <w:bCs/>
        </w:rPr>
        <w:t>SCOPE</w:t>
      </w:r>
      <w:bookmarkEnd w:id="1693"/>
    </w:p>
    <w:p w14:paraId="7CF14FA1" w14:textId="77777777" w:rsidR="00F63F4C" w:rsidRPr="00EE43C6" w:rsidRDefault="00F63F4C" w:rsidP="00F63F4C">
      <w:pPr>
        <w:rPr>
          <w:rFonts w:cs="Wingdings"/>
          <w:b/>
          <w:szCs w:val="22"/>
        </w:rPr>
      </w:pPr>
      <w:r w:rsidRPr="00EE43C6">
        <w:rPr>
          <w:rFonts w:cs="Wingdings"/>
          <w:b/>
          <w:szCs w:val="22"/>
        </w:rPr>
        <w:t>Types of Cultural Heritage Covered by This Procedure</w:t>
      </w:r>
    </w:p>
    <w:p w14:paraId="5088CD65" w14:textId="77777777" w:rsidR="00F63F4C" w:rsidRPr="00EE43C6" w:rsidRDefault="00F63F4C" w:rsidP="00F63F4C">
      <w:pPr>
        <w:rPr>
          <w:rFonts w:cs="Wingdings"/>
          <w:i/>
          <w:szCs w:val="22"/>
          <w:u w:val="single"/>
        </w:rPr>
      </w:pPr>
      <w:r w:rsidRPr="00EE43C6">
        <w:rPr>
          <w:rFonts w:cs="Wingdings"/>
          <w:i/>
          <w:szCs w:val="22"/>
          <w:u w:val="single"/>
        </w:rPr>
        <w:t>Tangible Cultural Heritage</w:t>
      </w:r>
    </w:p>
    <w:p w14:paraId="2B3C89EA" w14:textId="77777777" w:rsidR="00F63F4C" w:rsidRPr="00EE43C6" w:rsidRDefault="00F63F4C" w:rsidP="00F63F4C">
      <w:pPr>
        <w:rPr>
          <w:rFonts w:cs="Wingdings"/>
          <w:szCs w:val="22"/>
        </w:rPr>
      </w:pPr>
      <w:r w:rsidRPr="00EE43C6">
        <w:rPr>
          <w:rFonts w:cs="Wingdings"/>
          <w:szCs w:val="22"/>
        </w:rPr>
        <w:t>Tangible (physical) cultural heritage refers to movable or immovable objects, sites, structures, groups of structures, and natural features and landscapes that have archaeological, paleontological, historical, architectural, religious, aesthetic, or other cultural significance.</w:t>
      </w:r>
    </w:p>
    <w:p w14:paraId="4C8390E7" w14:textId="77777777" w:rsidR="00F63F4C" w:rsidRPr="00EE43C6" w:rsidRDefault="00F63F4C" w:rsidP="00F63F4C">
      <w:pPr>
        <w:rPr>
          <w:b/>
          <w:bCs/>
        </w:rPr>
      </w:pPr>
      <w:bookmarkStart w:id="1694" w:name="_Toc87780021"/>
      <w:r w:rsidRPr="00EE43C6">
        <w:rPr>
          <w:b/>
          <w:bCs/>
        </w:rPr>
        <w:t>ROLES AND RESPONSIBILITIES</w:t>
      </w:r>
      <w:bookmarkEnd w:id="1694"/>
    </w:p>
    <w:tbl>
      <w:tblPr>
        <w:tblW w:w="5000" w:type="pct"/>
        <w:tblCellMar>
          <w:left w:w="0" w:type="dxa"/>
          <w:right w:w="0" w:type="dxa"/>
        </w:tblCellMar>
        <w:tblLook w:val="01E0" w:firstRow="1" w:lastRow="1" w:firstColumn="1" w:lastColumn="1" w:noHBand="0" w:noVBand="0"/>
      </w:tblPr>
      <w:tblGrid>
        <w:gridCol w:w="2685"/>
        <w:gridCol w:w="6363"/>
      </w:tblGrid>
      <w:tr w:rsidR="00F63F4C" w:rsidRPr="00EE43C6" w14:paraId="7FDECF18" w14:textId="77777777" w:rsidTr="00DD25D0">
        <w:trPr>
          <w:trHeight w:val="284"/>
        </w:trPr>
        <w:tc>
          <w:tcPr>
            <w:tcW w:w="1484"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vAlign w:val="center"/>
            <w:hideMark/>
          </w:tcPr>
          <w:p w14:paraId="6E5ABEEA" w14:textId="77777777" w:rsidR="00F63F4C" w:rsidRPr="00EE43C6" w:rsidRDefault="00F63F4C" w:rsidP="00DD25D0">
            <w:pPr>
              <w:spacing w:before="0" w:after="0" w:line="240" w:lineRule="auto"/>
              <w:jc w:val="center"/>
              <w:rPr>
                <w:rFonts w:eastAsia="Wingdings" w:cs="Wingdings"/>
                <w:b/>
                <w:color w:val="FFFFFF"/>
                <w:position w:val="-1"/>
                <w:sz w:val="18"/>
                <w:szCs w:val="18"/>
              </w:rPr>
            </w:pPr>
            <w:r w:rsidRPr="00EE43C6">
              <w:rPr>
                <w:rFonts w:eastAsia="Wingdings" w:cs="Wingdings"/>
                <w:b/>
                <w:color w:val="FFFFFF"/>
                <w:sz w:val="18"/>
                <w:szCs w:val="18"/>
              </w:rPr>
              <w:t>Roles</w:t>
            </w:r>
          </w:p>
        </w:tc>
        <w:tc>
          <w:tcPr>
            <w:tcW w:w="3516"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vAlign w:val="center"/>
          </w:tcPr>
          <w:p w14:paraId="2A5AFE69" w14:textId="77777777" w:rsidR="00F63F4C" w:rsidRPr="00EE43C6" w:rsidRDefault="00F63F4C" w:rsidP="00DD25D0">
            <w:pPr>
              <w:spacing w:before="0" w:after="0" w:line="240" w:lineRule="auto"/>
              <w:jc w:val="center"/>
              <w:rPr>
                <w:rFonts w:eastAsia="Wingdings" w:cs="Wingdings"/>
                <w:b/>
                <w:color w:val="FFFFFF"/>
                <w:position w:val="-1"/>
                <w:sz w:val="18"/>
                <w:szCs w:val="18"/>
              </w:rPr>
            </w:pPr>
            <w:r w:rsidRPr="00EE43C6">
              <w:rPr>
                <w:rFonts w:eastAsia="Wingdings" w:cs="Wingdings"/>
                <w:b/>
                <w:color w:val="FFFFFF"/>
                <w:sz w:val="18"/>
                <w:szCs w:val="18"/>
              </w:rPr>
              <w:t xml:space="preserve">Responsibilities </w:t>
            </w:r>
          </w:p>
        </w:tc>
      </w:tr>
      <w:tr w:rsidR="00F63F4C" w:rsidRPr="00EE43C6" w14:paraId="35C46BBF" w14:textId="77777777" w:rsidTr="00DD25D0">
        <w:trPr>
          <w:trHeight w:val="284"/>
        </w:trPr>
        <w:tc>
          <w:tcPr>
            <w:tcW w:w="148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BBBA77" w14:textId="77777777" w:rsidR="00F63F4C" w:rsidRPr="00EE43C6" w:rsidRDefault="00F63F4C" w:rsidP="00DD25D0">
            <w:pPr>
              <w:spacing w:before="0" w:after="0" w:line="240" w:lineRule="auto"/>
              <w:jc w:val="center"/>
              <w:rPr>
                <w:rFonts w:eastAsia="Wingdings" w:cs="Wingdings"/>
                <w:sz w:val="18"/>
                <w:szCs w:val="18"/>
              </w:rPr>
            </w:pPr>
            <w:r w:rsidRPr="00EE43C6">
              <w:rPr>
                <w:rFonts w:eastAsia="Wingdings" w:cs="Wingdings"/>
                <w:sz w:val="18"/>
                <w:szCs w:val="18"/>
              </w:rPr>
              <w:t xml:space="preserve">Contractors </w:t>
            </w:r>
          </w:p>
        </w:tc>
        <w:tc>
          <w:tcPr>
            <w:tcW w:w="3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9ED2CB1" w14:textId="77777777" w:rsidR="00F63F4C" w:rsidRPr="00EE43C6" w:rsidRDefault="00F63F4C" w:rsidP="00854BE8">
            <w:pPr>
              <w:pStyle w:val="ListParagraph"/>
              <w:numPr>
                <w:ilvl w:val="0"/>
                <w:numId w:val="35"/>
              </w:numPr>
              <w:tabs>
                <w:tab w:val="left" w:pos="426"/>
              </w:tabs>
              <w:spacing w:before="0" w:after="0" w:line="240" w:lineRule="auto"/>
              <w:ind w:left="420" w:hanging="278"/>
              <w:rPr>
                <w:rFonts w:eastAsia="Wingdings"/>
                <w:noProof w:val="0"/>
                <w:sz w:val="18"/>
                <w:szCs w:val="18"/>
              </w:rPr>
            </w:pPr>
            <w:r w:rsidRPr="00EE43C6">
              <w:rPr>
                <w:rFonts w:eastAsia="Wingdings"/>
                <w:noProof w:val="0"/>
                <w:sz w:val="18"/>
                <w:szCs w:val="18"/>
              </w:rPr>
              <w:t>Compliance with the Chance Find Procedure provided in contractor agreements</w:t>
            </w:r>
          </w:p>
          <w:p w14:paraId="5AD84463" w14:textId="77777777" w:rsidR="00F63F4C" w:rsidRPr="00EE43C6" w:rsidRDefault="00F63F4C" w:rsidP="00854BE8">
            <w:pPr>
              <w:pStyle w:val="ListParagraph"/>
              <w:numPr>
                <w:ilvl w:val="0"/>
                <w:numId w:val="35"/>
              </w:numPr>
              <w:tabs>
                <w:tab w:val="left" w:pos="426"/>
              </w:tabs>
              <w:spacing w:before="0" w:after="0" w:line="240" w:lineRule="auto"/>
              <w:ind w:left="142" w:firstLine="0"/>
              <w:rPr>
                <w:rFonts w:eastAsia="Wingdings"/>
                <w:noProof w:val="0"/>
                <w:sz w:val="18"/>
                <w:szCs w:val="18"/>
              </w:rPr>
            </w:pPr>
            <w:r w:rsidRPr="00EE43C6">
              <w:rPr>
                <w:rFonts w:eastAsia="Wingdings"/>
                <w:noProof w:val="0"/>
                <w:sz w:val="18"/>
                <w:szCs w:val="18"/>
              </w:rPr>
              <w:t>Provide appropriate training and information to the worksite personnel who work in the projects and who may disturb the cultural heritage so that they understand their responsibilities for cultural heritage</w:t>
            </w:r>
          </w:p>
        </w:tc>
      </w:tr>
      <w:tr w:rsidR="00F63F4C" w:rsidRPr="00EE43C6" w14:paraId="06125914" w14:textId="77777777" w:rsidTr="00DD25D0">
        <w:trPr>
          <w:trHeight w:val="284"/>
        </w:trPr>
        <w:tc>
          <w:tcPr>
            <w:tcW w:w="148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6659CD" w14:textId="0C76FD2F" w:rsidR="00F63F4C" w:rsidRPr="00EE43C6" w:rsidRDefault="00F63F4C" w:rsidP="00DD25D0">
            <w:pPr>
              <w:spacing w:before="0" w:after="0" w:line="240" w:lineRule="auto"/>
              <w:jc w:val="center"/>
              <w:rPr>
                <w:rFonts w:eastAsia="Wingdings" w:cs="Wingdings"/>
                <w:sz w:val="18"/>
                <w:szCs w:val="18"/>
              </w:rPr>
            </w:pPr>
            <w:r w:rsidRPr="00EE43C6">
              <w:rPr>
                <w:rFonts w:eastAsia="Wingdings" w:cs="Wingdings"/>
                <w:sz w:val="18"/>
                <w:szCs w:val="18"/>
              </w:rPr>
              <w:t>Project Owner (TUIOSB)</w:t>
            </w:r>
          </w:p>
        </w:tc>
        <w:tc>
          <w:tcPr>
            <w:tcW w:w="351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8FD807" w14:textId="77777777" w:rsidR="00F63F4C" w:rsidRPr="00EE43C6" w:rsidRDefault="00F63F4C" w:rsidP="00854BE8">
            <w:pPr>
              <w:pStyle w:val="ListParagraph"/>
              <w:numPr>
                <w:ilvl w:val="0"/>
                <w:numId w:val="35"/>
              </w:numPr>
              <w:tabs>
                <w:tab w:val="left" w:pos="426"/>
              </w:tabs>
              <w:spacing w:before="0" w:after="0" w:line="240" w:lineRule="auto"/>
              <w:ind w:left="420" w:hanging="278"/>
              <w:rPr>
                <w:rFonts w:eastAsia="Wingdings"/>
                <w:noProof w:val="0"/>
                <w:sz w:val="18"/>
                <w:szCs w:val="18"/>
              </w:rPr>
            </w:pPr>
            <w:r w:rsidRPr="00EE43C6">
              <w:rPr>
                <w:rFonts w:eastAsia="Wingdings"/>
                <w:noProof w:val="0"/>
                <w:sz w:val="18"/>
                <w:szCs w:val="18"/>
              </w:rPr>
              <w:t>Ensure compliance of the project with the Project Standards and other requirements given in this Plan</w:t>
            </w:r>
          </w:p>
          <w:p w14:paraId="195F541F" w14:textId="77777777" w:rsidR="00F63F4C" w:rsidRPr="00EE43C6" w:rsidRDefault="00F63F4C" w:rsidP="00854BE8">
            <w:pPr>
              <w:pStyle w:val="ListParagraph"/>
              <w:numPr>
                <w:ilvl w:val="0"/>
                <w:numId w:val="35"/>
              </w:numPr>
              <w:tabs>
                <w:tab w:val="left" w:pos="426"/>
              </w:tabs>
              <w:spacing w:before="0" w:after="0" w:line="240" w:lineRule="auto"/>
              <w:ind w:left="420" w:hanging="278"/>
              <w:rPr>
                <w:rFonts w:eastAsia="Wingdings"/>
                <w:noProof w:val="0"/>
                <w:sz w:val="18"/>
                <w:szCs w:val="18"/>
              </w:rPr>
            </w:pPr>
            <w:r w:rsidRPr="00EE43C6">
              <w:rPr>
                <w:rFonts w:eastAsia="Wingdings"/>
                <w:noProof w:val="0"/>
                <w:sz w:val="18"/>
                <w:szCs w:val="18"/>
              </w:rPr>
              <w:t>General responsibility for the scope and implementation of the Plan</w:t>
            </w:r>
          </w:p>
          <w:p w14:paraId="792AD8FD" w14:textId="77777777" w:rsidR="00F63F4C" w:rsidRPr="00EE43C6" w:rsidRDefault="00F63F4C" w:rsidP="00854BE8">
            <w:pPr>
              <w:pStyle w:val="ListParagraph"/>
              <w:numPr>
                <w:ilvl w:val="0"/>
                <w:numId w:val="35"/>
              </w:numPr>
              <w:tabs>
                <w:tab w:val="left" w:pos="426"/>
              </w:tabs>
              <w:spacing w:before="0" w:after="0" w:line="240" w:lineRule="auto"/>
              <w:ind w:left="420" w:hanging="278"/>
              <w:rPr>
                <w:rFonts w:eastAsia="Wingdings"/>
                <w:noProof w:val="0"/>
                <w:sz w:val="18"/>
                <w:szCs w:val="18"/>
              </w:rPr>
            </w:pPr>
            <w:r w:rsidRPr="00EE43C6">
              <w:rPr>
                <w:rFonts w:eastAsia="Wingdings"/>
                <w:noProof w:val="0"/>
                <w:sz w:val="18"/>
                <w:szCs w:val="18"/>
              </w:rPr>
              <w:t>Development, monitoring and revision of this Plan</w:t>
            </w:r>
          </w:p>
          <w:p w14:paraId="7BD356CC" w14:textId="77777777" w:rsidR="00F63F4C" w:rsidRPr="00EE43C6" w:rsidRDefault="00F63F4C" w:rsidP="00854BE8">
            <w:pPr>
              <w:pStyle w:val="ListParagraph"/>
              <w:numPr>
                <w:ilvl w:val="0"/>
                <w:numId w:val="35"/>
              </w:numPr>
              <w:tabs>
                <w:tab w:val="left" w:pos="426"/>
              </w:tabs>
              <w:spacing w:before="0" w:after="0" w:line="240" w:lineRule="auto"/>
              <w:ind w:left="420" w:hanging="278"/>
              <w:rPr>
                <w:rFonts w:eastAsia="Wingdings"/>
                <w:noProof w:val="0"/>
                <w:sz w:val="18"/>
                <w:szCs w:val="18"/>
              </w:rPr>
            </w:pPr>
            <w:r w:rsidRPr="00EE43C6">
              <w:rPr>
                <w:rFonts w:eastAsia="Wingdings"/>
                <w:noProof w:val="0"/>
                <w:sz w:val="18"/>
                <w:szCs w:val="18"/>
              </w:rPr>
              <w:t>Fulfilment of cultural heritage evaluation processes</w:t>
            </w:r>
          </w:p>
          <w:p w14:paraId="75B5B7BB" w14:textId="77777777" w:rsidR="00F63F4C" w:rsidRPr="00EE43C6" w:rsidRDefault="00F63F4C" w:rsidP="00854BE8">
            <w:pPr>
              <w:pStyle w:val="ListParagraph"/>
              <w:numPr>
                <w:ilvl w:val="0"/>
                <w:numId w:val="35"/>
              </w:numPr>
              <w:tabs>
                <w:tab w:val="left" w:pos="426"/>
              </w:tabs>
              <w:spacing w:before="0" w:after="0" w:line="240" w:lineRule="auto"/>
              <w:ind w:left="420" w:hanging="278"/>
              <w:rPr>
                <w:rFonts w:eastAsia="Wingdings"/>
                <w:noProof w:val="0"/>
                <w:sz w:val="18"/>
                <w:szCs w:val="18"/>
              </w:rPr>
            </w:pPr>
            <w:r w:rsidRPr="00EE43C6">
              <w:rPr>
                <w:rFonts w:eastAsia="Wingdings"/>
                <w:noProof w:val="0"/>
                <w:sz w:val="18"/>
                <w:szCs w:val="18"/>
              </w:rPr>
              <w:t>Ensure that the operations do not disturb cultural properties and sites without the approval of the relevant authority</w:t>
            </w:r>
          </w:p>
          <w:p w14:paraId="5756893A" w14:textId="77777777" w:rsidR="00F63F4C" w:rsidRPr="00EE43C6" w:rsidRDefault="00F63F4C" w:rsidP="00854BE8">
            <w:pPr>
              <w:pStyle w:val="ListParagraph"/>
              <w:numPr>
                <w:ilvl w:val="0"/>
                <w:numId w:val="35"/>
              </w:numPr>
              <w:tabs>
                <w:tab w:val="left" w:pos="426"/>
              </w:tabs>
              <w:spacing w:before="0" w:after="0" w:line="240" w:lineRule="auto"/>
              <w:ind w:left="420" w:hanging="278"/>
              <w:rPr>
                <w:rFonts w:eastAsia="Wingdings"/>
                <w:noProof w:val="0"/>
                <w:sz w:val="18"/>
                <w:szCs w:val="18"/>
              </w:rPr>
            </w:pPr>
            <w:r w:rsidRPr="00EE43C6">
              <w:rPr>
                <w:rFonts w:eastAsia="Wingdings"/>
                <w:noProof w:val="0"/>
                <w:sz w:val="18"/>
                <w:szCs w:val="18"/>
              </w:rPr>
              <w:t>Investigation, reporting and monitoring of unauthorized damages to the worksite as well as of procedure violations</w:t>
            </w:r>
          </w:p>
          <w:p w14:paraId="2DDB5F7F" w14:textId="77777777" w:rsidR="00F63F4C" w:rsidRPr="00EE43C6" w:rsidRDefault="00F63F4C" w:rsidP="00854BE8">
            <w:pPr>
              <w:pStyle w:val="ListParagraph"/>
              <w:numPr>
                <w:ilvl w:val="0"/>
                <w:numId w:val="35"/>
              </w:numPr>
              <w:tabs>
                <w:tab w:val="left" w:pos="426"/>
              </w:tabs>
              <w:spacing w:before="0" w:after="0" w:line="240" w:lineRule="auto"/>
              <w:ind w:left="420" w:hanging="278"/>
              <w:rPr>
                <w:rFonts w:eastAsia="Wingdings"/>
                <w:noProof w:val="0"/>
                <w:sz w:val="18"/>
                <w:szCs w:val="18"/>
              </w:rPr>
            </w:pPr>
            <w:r w:rsidRPr="00EE43C6">
              <w:rPr>
                <w:rFonts w:eastAsia="Wingdings"/>
                <w:noProof w:val="0"/>
                <w:sz w:val="18"/>
                <w:szCs w:val="18"/>
              </w:rPr>
              <w:t>Management of amendments to laws or policies</w:t>
            </w:r>
          </w:p>
          <w:p w14:paraId="53EB546A" w14:textId="77777777" w:rsidR="00F63F4C" w:rsidRPr="00EE43C6" w:rsidRDefault="00F63F4C" w:rsidP="00854BE8">
            <w:pPr>
              <w:pStyle w:val="ListParagraph"/>
              <w:numPr>
                <w:ilvl w:val="0"/>
                <w:numId w:val="35"/>
              </w:numPr>
              <w:tabs>
                <w:tab w:val="left" w:pos="426"/>
              </w:tabs>
              <w:spacing w:before="0" w:after="0" w:line="240" w:lineRule="auto"/>
              <w:ind w:left="420" w:hanging="278"/>
              <w:rPr>
                <w:rFonts w:eastAsia="Wingdings"/>
                <w:noProof w:val="0"/>
                <w:sz w:val="18"/>
                <w:szCs w:val="18"/>
              </w:rPr>
            </w:pPr>
            <w:r w:rsidRPr="00EE43C6">
              <w:rPr>
                <w:rFonts w:eastAsia="Wingdings"/>
                <w:noProof w:val="0"/>
                <w:sz w:val="18"/>
                <w:szCs w:val="18"/>
              </w:rPr>
              <w:t>Coordination with the organizations involved in the implementation and other stakeholders</w:t>
            </w:r>
          </w:p>
        </w:tc>
      </w:tr>
      <w:tr w:rsidR="00F63F4C" w:rsidRPr="00EE43C6" w14:paraId="2C886841" w14:textId="77777777" w:rsidTr="00DD25D0">
        <w:trPr>
          <w:trHeight w:val="284"/>
        </w:trPr>
        <w:tc>
          <w:tcPr>
            <w:tcW w:w="148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EFFD54" w14:textId="77777777" w:rsidR="00F63F4C" w:rsidRPr="00EE43C6" w:rsidRDefault="00F63F4C" w:rsidP="00DD25D0">
            <w:pPr>
              <w:spacing w:before="0" w:after="0" w:line="240" w:lineRule="auto"/>
              <w:jc w:val="center"/>
              <w:rPr>
                <w:rFonts w:eastAsia="Wingdings" w:cs="Wingdings"/>
                <w:sz w:val="18"/>
                <w:szCs w:val="18"/>
              </w:rPr>
            </w:pPr>
            <w:r w:rsidRPr="00EE43C6">
              <w:rPr>
                <w:rFonts w:eastAsia="Wingdings" w:cs="Wingdings"/>
                <w:sz w:val="18"/>
                <w:szCs w:val="18"/>
              </w:rPr>
              <w:t>All Workers</w:t>
            </w:r>
          </w:p>
        </w:tc>
        <w:tc>
          <w:tcPr>
            <w:tcW w:w="3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9D647AB" w14:textId="77777777" w:rsidR="00F63F4C" w:rsidRPr="00EE43C6" w:rsidRDefault="00F63F4C" w:rsidP="00854BE8">
            <w:pPr>
              <w:pStyle w:val="ListParagraph"/>
              <w:numPr>
                <w:ilvl w:val="0"/>
                <w:numId w:val="35"/>
              </w:numPr>
              <w:tabs>
                <w:tab w:val="left" w:pos="426"/>
              </w:tabs>
              <w:spacing w:before="0" w:after="0" w:line="240" w:lineRule="auto"/>
              <w:ind w:left="420" w:hanging="278"/>
              <w:rPr>
                <w:rFonts w:eastAsia="Wingdings"/>
                <w:noProof w:val="0"/>
                <w:sz w:val="18"/>
                <w:szCs w:val="18"/>
              </w:rPr>
            </w:pPr>
            <w:r w:rsidRPr="00EE43C6">
              <w:rPr>
                <w:rFonts w:eastAsia="Wingdings"/>
                <w:noProof w:val="0"/>
                <w:sz w:val="18"/>
                <w:szCs w:val="18"/>
              </w:rPr>
              <w:t xml:space="preserve">Learn about the Chance Find Procedure through induction training and any other training provided </w:t>
            </w:r>
          </w:p>
        </w:tc>
      </w:tr>
    </w:tbl>
    <w:p w14:paraId="08144648" w14:textId="77777777" w:rsidR="00F63F4C" w:rsidRPr="00EE43C6" w:rsidRDefault="00F63F4C" w:rsidP="00F63F4C">
      <w:pPr>
        <w:rPr>
          <w:b/>
          <w:bCs/>
        </w:rPr>
      </w:pPr>
      <w:bookmarkStart w:id="1695" w:name="_Toc87780022"/>
    </w:p>
    <w:p w14:paraId="0CD8E245" w14:textId="77777777" w:rsidR="00F63F4C" w:rsidRPr="00EE43C6" w:rsidRDefault="00F63F4C" w:rsidP="00F63F4C">
      <w:pPr>
        <w:rPr>
          <w:b/>
          <w:bCs/>
        </w:rPr>
      </w:pPr>
      <w:r w:rsidRPr="00EE43C6">
        <w:rPr>
          <w:b/>
          <w:bCs/>
        </w:rPr>
        <w:t>PROJECT STANDARDS</w:t>
      </w:r>
      <w:bookmarkEnd w:id="1695"/>
      <w:r w:rsidRPr="00EE43C6">
        <w:rPr>
          <w:b/>
          <w:bCs/>
        </w:rPr>
        <w:t xml:space="preserve"> </w:t>
      </w:r>
    </w:p>
    <w:p w14:paraId="776D27B0" w14:textId="77777777" w:rsidR="00F63F4C" w:rsidRPr="00EE43C6" w:rsidRDefault="00F63F4C" w:rsidP="00854BE8">
      <w:pPr>
        <w:pStyle w:val="ListParagraph"/>
        <w:numPr>
          <w:ilvl w:val="0"/>
          <w:numId w:val="35"/>
        </w:numPr>
        <w:spacing w:after="240"/>
        <w:rPr>
          <w:noProof w:val="0"/>
        </w:rPr>
      </w:pPr>
      <w:r w:rsidRPr="00EE43C6">
        <w:rPr>
          <w:noProof w:val="0"/>
        </w:rPr>
        <w:t>Law on the Conservation of Cultural and Natural Properties (LCCNP) (No: 2863),</w:t>
      </w:r>
    </w:p>
    <w:p w14:paraId="319874BD" w14:textId="77777777" w:rsidR="00F63F4C" w:rsidRPr="00EE43C6" w:rsidRDefault="00F63F4C" w:rsidP="00854BE8">
      <w:pPr>
        <w:pStyle w:val="ListParagraph"/>
        <w:numPr>
          <w:ilvl w:val="0"/>
          <w:numId w:val="35"/>
        </w:numPr>
        <w:spacing w:after="240"/>
        <w:rPr>
          <w:noProof w:val="0"/>
        </w:rPr>
      </w:pPr>
      <w:r w:rsidRPr="00EE43C6">
        <w:rPr>
          <w:noProof w:val="0"/>
        </w:rPr>
        <w:t>World Bank Protection Policy on Physical Cultural Resources (ESS-8),</w:t>
      </w:r>
    </w:p>
    <w:p w14:paraId="40C33C6B" w14:textId="77777777" w:rsidR="00F63F4C" w:rsidRPr="00EE43C6" w:rsidRDefault="00F63F4C" w:rsidP="00854BE8">
      <w:pPr>
        <w:pStyle w:val="ListParagraph"/>
        <w:numPr>
          <w:ilvl w:val="0"/>
          <w:numId w:val="35"/>
        </w:numPr>
        <w:spacing w:after="240"/>
        <w:rPr>
          <w:noProof w:val="0"/>
        </w:rPr>
      </w:pPr>
      <w:r w:rsidRPr="00EE43C6">
        <w:rPr>
          <w:noProof w:val="0"/>
        </w:rPr>
        <w:t>Convention Concerning the Protection of the World Cultural and Natural Heritage (World Heritage Convention).</w:t>
      </w:r>
      <w:bookmarkStart w:id="1696" w:name="_Toc87780023"/>
    </w:p>
    <w:p w14:paraId="1CF1B2D5" w14:textId="77777777" w:rsidR="00F63F4C" w:rsidRPr="00EE43C6" w:rsidRDefault="00F63F4C" w:rsidP="00F63F4C">
      <w:r w:rsidRPr="00EE43C6">
        <w:rPr>
          <w:b/>
          <w:bCs/>
        </w:rPr>
        <w:t>CHANCE FIND PROCEDURE</w:t>
      </w:r>
      <w:bookmarkEnd w:id="1696"/>
    </w:p>
    <w:p w14:paraId="7F6666AC" w14:textId="77777777" w:rsidR="00F63F4C" w:rsidRPr="00EE43C6" w:rsidRDefault="00F63F4C" w:rsidP="00F63F4C">
      <w:pPr>
        <w:rPr>
          <w:b/>
          <w:bCs/>
          <w:color w:val="4F81BD"/>
        </w:rPr>
      </w:pPr>
      <w:bookmarkStart w:id="1697" w:name="_Toc87780024"/>
      <w:r w:rsidRPr="00EE43C6">
        <w:rPr>
          <w:b/>
          <w:bCs/>
        </w:rPr>
        <w:t xml:space="preserve">Initial Approach Adopted by the </w:t>
      </w:r>
      <w:r w:rsidRPr="00EE43C6">
        <w:rPr>
          <w:b/>
          <w:bCs/>
          <w:iCs/>
        </w:rPr>
        <w:t>C</w:t>
      </w:r>
      <w:r w:rsidRPr="00EE43C6">
        <w:rPr>
          <w:b/>
          <w:bCs/>
        </w:rPr>
        <w:t>ontractor</w:t>
      </w:r>
      <w:bookmarkEnd w:id="1697"/>
    </w:p>
    <w:p w14:paraId="167DD7C3" w14:textId="47BF7F60" w:rsidR="00F63F4C" w:rsidRPr="00EE43C6" w:rsidRDefault="00F63F4C" w:rsidP="00854BE8">
      <w:pPr>
        <w:pStyle w:val="ListParagraph"/>
        <w:numPr>
          <w:ilvl w:val="0"/>
          <w:numId w:val="35"/>
        </w:numPr>
        <w:spacing w:after="240"/>
        <w:rPr>
          <w:noProof w:val="0"/>
        </w:rPr>
      </w:pPr>
      <w:r w:rsidRPr="00EE43C6">
        <w:rPr>
          <w:noProof w:val="0"/>
        </w:rPr>
        <w:t xml:space="preserve">Action 1: Immediately stop all construction works in the vicinity of the chance find, in case of discovery of </w:t>
      </w:r>
      <w:r w:rsidR="007614E4" w:rsidRPr="00EE43C6">
        <w:rPr>
          <w:noProof w:val="0"/>
        </w:rPr>
        <w:t>archaeological</w:t>
      </w:r>
      <w:r w:rsidRPr="00EE43C6">
        <w:rPr>
          <w:noProof w:val="0"/>
        </w:rPr>
        <w:t xml:space="preserve"> finds;</w:t>
      </w:r>
    </w:p>
    <w:p w14:paraId="74CB104E" w14:textId="77777777" w:rsidR="00F63F4C" w:rsidRPr="00EE43C6" w:rsidRDefault="00F63F4C" w:rsidP="00854BE8">
      <w:pPr>
        <w:pStyle w:val="ListParagraph"/>
        <w:numPr>
          <w:ilvl w:val="0"/>
          <w:numId w:val="35"/>
        </w:numPr>
        <w:spacing w:after="240"/>
        <w:rPr>
          <w:noProof w:val="0"/>
        </w:rPr>
      </w:pPr>
      <w:r w:rsidRPr="00EE43C6">
        <w:rPr>
          <w:noProof w:val="0"/>
        </w:rPr>
        <w:t>Action 2: Immediately notify the project manager and/or environmental department;</w:t>
      </w:r>
    </w:p>
    <w:p w14:paraId="2D3D7094" w14:textId="77777777" w:rsidR="00F63F4C" w:rsidRPr="00EE43C6" w:rsidRDefault="00F63F4C" w:rsidP="00854BE8">
      <w:pPr>
        <w:pStyle w:val="ListParagraph"/>
        <w:numPr>
          <w:ilvl w:val="0"/>
          <w:numId w:val="35"/>
        </w:numPr>
        <w:spacing w:after="240"/>
        <w:rPr>
          <w:noProof w:val="0"/>
        </w:rPr>
      </w:pPr>
      <w:r w:rsidRPr="00EE43C6">
        <w:rPr>
          <w:noProof w:val="0"/>
        </w:rPr>
        <w:t>Action 3: Take photographs or make technical drawings;</w:t>
      </w:r>
    </w:p>
    <w:p w14:paraId="2914BB81" w14:textId="77777777" w:rsidR="00F63F4C" w:rsidRPr="00EE43C6" w:rsidRDefault="00F63F4C" w:rsidP="00854BE8">
      <w:pPr>
        <w:pStyle w:val="ListParagraph"/>
        <w:numPr>
          <w:ilvl w:val="0"/>
          <w:numId w:val="35"/>
        </w:numPr>
        <w:spacing w:after="240"/>
        <w:rPr>
          <w:noProof w:val="0"/>
        </w:rPr>
      </w:pPr>
      <w:r w:rsidRPr="00EE43C6">
        <w:rPr>
          <w:noProof w:val="0"/>
        </w:rPr>
        <w:t>Action 4: Record the location of the location by keeping all remains in their position (without moving them);</w:t>
      </w:r>
    </w:p>
    <w:p w14:paraId="1B6A0042" w14:textId="77777777" w:rsidR="00F63F4C" w:rsidRPr="00EE43C6" w:rsidRDefault="00F63F4C" w:rsidP="00854BE8">
      <w:pPr>
        <w:pStyle w:val="ListParagraph"/>
        <w:numPr>
          <w:ilvl w:val="0"/>
          <w:numId w:val="35"/>
        </w:numPr>
        <w:spacing w:after="240"/>
        <w:rPr>
          <w:noProof w:val="0"/>
        </w:rPr>
      </w:pPr>
      <w:r w:rsidRPr="00EE43C6">
        <w:rPr>
          <w:noProof w:val="0"/>
        </w:rPr>
        <w:t>Action 5: Prevent damage to or loss of movable objects by encircling the area;</w:t>
      </w:r>
    </w:p>
    <w:p w14:paraId="4C98A6E3" w14:textId="77777777" w:rsidR="00F63F4C" w:rsidRPr="00EE43C6" w:rsidRDefault="00F63F4C" w:rsidP="00854BE8">
      <w:pPr>
        <w:pStyle w:val="ListParagraph"/>
        <w:numPr>
          <w:ilvl w:val="0"/>
          <w:numId w:val="35"/>
        </w:numPr>
        <w:spacing w:after="240"/>
        <w:rPr>
          <w:noProof w:val="0"/>
        </w:rPr>
      </w:pPr>
      <w:r w:rsidRPr="00EE43C6">
        <w:rPr>
          <w:noProof w:val="0"/>
        </w:rPr>
        <w:t>Action 6: Contact an archaeologist from a local university for guidance;</w:t>
      </w:r>
    </w:p>
    <w:p w14:paraId="1747342D" w14:textId="380539F9" w:rsidR="00F63F4C" w:rsidRPr="00EE43C6" w:rsidRDefault="00F63F4C" w:rsidP="00854BE8">
      <w:pPr>
        <w:pStyle w:val="ListParagraph"/>
        <w:numPr>
          <w:ilvl w:val="0"/>
          <w:numId w:val="35"/>
        </w:numPr>
        <w:spacing w:after="240"/>
        <w:rPr>
          <w:noProof w:val="0"/>
        </w:rPr>
      </w:pPr>
      <w:r w:rsidRPr="00EE43C6">
        <w:rPr>
          <w:noProof w:val="0"/>
        </w:rPr>
        <w:t>Action 7: Prepare the Chance Find Form.</w:t>
      </w:r>
    </w:p>
    <w:p w14:paraId="21A9506E" w14:textId="574469CD" w:rsidR="00F63F4C" w:rsidRPr="00EE43C6" w:rsidRDefault="00F63F4C" w:rsidP="00F63F4C">
      <w:pPr>
        <w:rPr>
          <w:b/>
          <w:bCs/>
          <w:color w:val="4F81BD"/>
        </w:rPr>
      </w:pPr>
      <w:bookmarkStart w:id="1698" w:name="_Toc87780025"/>
      <w:r w:rsidRPr="00EE43C6">
        <w:rPr>
          <w:b/>
          <w:bCs/>
        </w:rPr>
        <w:t xml:space="preserve">Approach Adopted by the </w:t>
      </w:r>
      <w:bookmarkEnd w:id="1698"/>
      <w:r w:rsidR="007614E4" w:rsidRPr="00EE43C6">
        <w:rPr>
          <w:b/>
          <w:bCs/>
        </w:rPr>
        <w:t>Archaeologist</w:t>
      </w:r>
    </w:p>
    <w:p w14:paraId="777F5AA2" w14:textId="77777777" w:rsidR="00F63F4C" w:rsidRPr="00EE43C6" w:rsidRDefault="00F63F4C" w:rsidP="00F63F4C">
      <w:pPr>
        <w:rPr>
          <w:rFonts w:cs="Wingdings"/>
        </w:rPr>
      </w:pPr>
      <w:r w:rsidRPr="00EE43C6">
        <w:rPr>
          <w:rFonts w:cs="Wingdings"/>
        </w:rPr>
        <w:t>Based on the description of the find, the archaeologist will make recommendations on actions to be taken by phone/e-mail or visit. The Project team will take into account the following possible strategies, if the archaeologist(s) confirm(s) the presence of archaeological finds/remains/sites:</w:t>
      </w:r>
    </w:p>
    <w:p w14:paraId="6BC4EE69" w14:textId="77777777" w:rsidR="00F63F4C" w:rsidRPr="00EE43C6" w:rsidRDefault="00F63F4C" w:rsidP="00F63F4C">
      <w:pPr>
        <w:rPr>
          <w:rFonts w:cs="Wingdings"/>
          <w:u w:val="single"/>
        </w:rPr>
      </w:pPr>
      <w:r w:rsidRPr="00EE43C6">
        <w:rPr>
          <w:rFonts w:cs="Wingdings"/>
          <w:u w:val="single"/>
        </w:rPr>
        <w:t>Strategy 1: Avoidance by partial or full project redesign or relocation</w:t>
      </w:r>
    </w:p>
    <w:p w14:paraId="7CFB3232" w14:textId="39035105" w:rsidR="00F63F4C" w:rsidRPr="00EE43C6" w:rsidRDefault="00F63F4C" w:rsidP="00F63F4C">
      <w:pPr>
        <w:rPr>
          <w:rFonts w:cs="Wingdings"/>
        </w:rPr>
      </w:pPr>
      <w:r w:rsidRPr="00EE43C6">
        <w:rPr>
          <w:rFonts w:cs="Wingdings"/>
        </w:rPr>
        <w:t>In case of any archaeological find or discovery, TUIOSB will provide the relevant information to authorities. This responsibility will apply even if the project is redesigned or relocated. In any case, the relevant governmental body will be informed of the archaeological find or discovery.</w:t>
      </w:r>
    </w:p>
    <w:p w14:paraId="4BC19256" w14:textId="77777777" w:rsidR="00F63F4C" w:rsidRPr="00EE43C6" w:rsidRDefault="00F63F4C" w:rsidP="00F63F4C">
      <w:pPr>
        <w:rPr>
          <w:rFonts w:cs="Wingdings"/>
          <w:u w:val="single"/>
        </w:rPr>
      </w:pPr>
      <w:r w:rsidRPr="00EE43C6">
        <w:rPr>
          <w:rFonts w:cs="Wingdings"/>
          <w:u w:val="single"/>
        </w:rPr>
        <w:t>Strategy 2: Implementation of worksite protection measures</w:t>
      </w:r>
    </w:p>
    <w:p w14:paraId="5C17D5EA" w14:textId="4502C789" w:rsidR="00F63F4C" w:rsidRPr="00EE43C6" w:rsidRDefault="00F63F4C" w:rsidP="00F63F4C">
      <w:pPr>
        <w:rPr>
          <w:rFonts w:cs="Wingdings"/>
        </w:rPr>
      </w:pPr>
      <w:r w:rsidRPr="00EE43C6">
        <w:rPr>
          <w:rFonts w:cs="Wingdings"/>
        </w:rPr>
        <w:t xml:space="preserve">This option includes the implementation of site protection measures such as fencing or blockage. As per LCCNP No. 2863, any archaeological find is the property of the Republic of </w:t>
      </w:r>
      <w:r w:rsidR="00117757">
        <w:rPr>
          <w:rFonts w:cs="Wingdings"/>
        </w:rPr>
        <w:t>Türkiye</w:t>
      </w:r>
      <w:r w:rsidRPr="00EE43C6">
        <w:rPr>
          <w:rFonts w:cs="Wingdings"/>
        </w:rPr>
        <w:t>, and governmental bodies will decide on the geographical scope and implementation of site protection measures.</w:t>
      </w:r>
    </w:p>
    <w:p w14:paraId="197668B2" w14:textId="77777777" w:rsidR="00F63F4C" w:rsidRPr="00EE43C6" w:rsidRDefault="00F63F4C" w:rsidP="00F63F4C">
      <w:pPr>
        <w:rPr>
          <w:rFonts w:cs="Wingdings"/>
          <w:u w:val="single"/>
        </w:rPr>
      </w:pPr>
      <w:r w:rsidRPr="00EE43C6">
        <w:rPr>
          <w:rFonts w:cs="Wingdings"/>
          <w:u w:val="single"/>
        </w:rPr>
        <w:t>Strategy 3: Rescue or emergency excavation</w:t>
      </w:r>
    </w:p>
    <w:p w14:paraId="6E9B43B6" w14:textId="7623D0E9" w:rsidR="00F63F4C" w:rsidRPr="00EE43C6" w:rsidRDefault="00F63F4C" w:rsidP="00F63F4C">
      <w:pPr>
        <w:rPr>
          <w:rFonts w:cs="Wingdings"/>
        </w:rPr>
      </w:pPr>
      <w:r w:rsidRPr="00EE43C6">
        <w:rPr>
          <w:rFonts w:cs="Wingdings"/>
        </w:rPr>
        <w:t>If TUIOSB fails to relocate or redesign the Project, this may require rescue or emergency excavation works. If notification is stipulated by LCCNP, an application will be lodged to governmental bodies. If an official application is lodged, the relevant Regional Board will be allowed to make a decision.</w:t>
      </w:r>
    </w:p>
    <w:p w14:paraId="55818F28" w14:textId="77777777" w:rsidR="00F63F4C" w:rsidRPr="00EE43C6" w:rsidRDefault="00F63F4C" w:rsidP="00F63F4C">
      <w:pPr>
        <w:rPr>
          <w:rFonts w:cs="Wingdings"/>
        </w:rPr>
      </w:pPr>
      <w:r w:rsidRPr="00EE43C6">
        <w:rPr>
          <w:rFonts w:cs="Wingdings"/>
        </w:rPr>
        <w:t xml:space="preserve">After the permit is obtained, archaeological excavations will be performed with the attendance of scientific consultants from the archaeological departments of universities. Following the completion of archaeological excavations, the results will be submitted to relevant governmental bodies for the final decision to be taken for the progress of the Project. </w:t>
      </w:r>
    </w:p>
    <w:p w14:paraId="665DDD0D" w14:textId="77777777" w:rsidR="00F63F4C" w:rsidRPr="00EE43C6" w:rsidRDefault="00F63F4C" w:rsidP="00F63F4C">
      <w:pPr>
        <w:rPr>
          <w:b/>
          <w:bCs/>
          <w:color w:val="4F81BD"/>
        </w:rPr>
      </w:pPr>
      <w:bookmarkStart w:id="1699" w:name="_Toc87780026"/>
      <w:r w:rsidRPr="00EE43C6">
        <w:rPr>
          <w:b/>
          <w:bCs/>
        </w:rPr>
        <w:t>Procedure for the Discovery of Potential Human Remains</w:t>
      </w:r>
      <w:bookmarkEnd w:id="1699"/>
      <w:r w:rsidRPr="00EE43C6">
        <w:rPr>
          <w:b/>
          <w:bCs/>
        </w:rPr>
        <w:t xml:space="preserve"> </w:t>
      </w:r>
    </w:p>
    <w:p w14:paraId="39F62EAA" w14:textId="77777777" w:rsidR="00F63F4C" w:rsidRPr="00EE43C6" w:rsidRDefault="00F63F4C" w:rsidP="00F63F4C">
      <w:pPr>
        <w:rPr>
          <w:rFonts w:cs="Wingdings"/>
        </w:rPr>
      </w:pPr>
      <w:r w:rsidRPr="00EE43C6">
        <w:rPr>
          <w:rFonts w:cs="Wingdings"/>
        </w:rPr>
        <w:t>Identification of human remains is very clear in terms of graves or burial sites. If a grave or burial site is found, the procedures to be followed are not different from the procedure applicable to archaeological finds as per Article 6 of LCCNP. Modern burials or forensic human remains will not be addressed within the scope of LCCNP.</w:t>
      </w:r>
    </w:p>
    <w:p w14:paraId="3468FBA9" w14:textId="77777777" w:rsidR="00F63F4C" w:rsidRPr="00EE43C6" w:rsidRDefault="00F63F4C" w:rsidP="00F63F4C">
      <w:pPr>
        <w:rPr>
          <w:b/>
          <w:bCs/>
        </w:rPr>
      </w:pPr>
      <w:bookmarkStart w:id="1700" w:name="_Toc87780027"/>
      <w:r w:rsidRPr="00EE43C6">
        <w:rPr>
          <w:b/>
          <w:bCs/>
        </w:rPr>
        <w:t>KEY PERFORMANCE INDICATORS</w:t>
      </w:r>
      <w:bookmarkEnd w:id="1700"/>
      <w:r w:rsidRPr="00EE43C6">
        <w:rPr>
          <w:b/>
          <w:bCs/>
        </w:rPr>
        <w:t xml:space="preserve"> </w:t>
      </w:r>
    </w:p>
    <w:p w14:paraId="3A8B5C4F" w14:textId="77777777" w:rsidR="00F63F4C" w:rsidRPr="00EE43C6" w:rsidRDefault="00F63F4C" w:rsidP="00F63F4C">
      <w:pPr>
        <w:rPr>
          <w:color w:val="000000" w:themeColor="text1"/>
          <w:szCs w:val="22"/>
        </w:rPr>
      </w:pPr>
      <w:r w:rsidRPr="00EE43C6">
        <w:rPr>
          <w:color w:val="000000" w:themeColor="text1"/>
          <w:szCs w:val="22"/>
        </w:rPr>
        <w:t>The key performance indicators to be used during the implementation of this Procedure are set out below.</w:t>
      </w:r>
    </w:p>
    <w:p w14:paraId="0F611B58" w14:textId="77777777" w:rsidR="00F63F4C" w:rsidRPr="00EE43C6" w:rsidRDefault="00F63F4C" w:rsidP="00F63F4C">
      <w:pPr>
        <w:pStyle w:val="Caption"/>
        <w:spacing w:before="240" w:after="0"/>
        <w:rPr>
          <w:i/>
          <w:iCs/>
          <w:noProof w:val="0"/>
          <w:color w:val="auto"/>
        </w:rPr>
      </w:pPr>
      <w:bookmarkStart w:id="1701" w:name="_Toc87780029"/>
      <w:bookmarkStart w:id="1702" w:name="_Toc111118965"/>
      <w:r w:rsidRPr="00EE43C6">
        <w:rPr>
          <w:b w:val="0"/>
          <w:bCs w:val="0"/>
          <w:noProof w:val="0"/>
          <w:color w:val="auto"/>
        </w:rPr>
        <w:t>Key Performance Indicators (KPIs)</w:t>
      </w:r>
      <w:bookmarkEnd w:id="1701"/>
      <w:bookmarkEnd w:id="1702"/>
      <w:r w:rsidRPr="00EE43C6">
        <w:rPr>
          <w:b w:val="0"/>
          <w:bCs w:val="0"/>
          <w:noProof w:val="0"/>
          <w:color w:val="auto"/>
        </w:rPr>
        <w:t xml:space="preserve"> </w:t>
      </w:r>
    </w:p>
    <w:tbl>
      <w:tblPr>
        <w:tblW w:w="5076" w:type="pct"/>
        <w:tblCellMar>
          <w:left w:w="0" w:type="dxa"/>
          <w:right w:w="0" w:type="dxa"/>
        </w:tblCellMar>
        <w:tblLook w:val="01E0" w:firstRow="1" w:lastRow="1" w:firstColumn="1" w:lastColumn="1" w:noHBand="0" w:noVBand="0"/>
      </w:tblPr>
      <w:tblGrid>
        <w:gridCol w:w="437"/>
        <w:gridCol w:w="3630"/>
        <w:gridCol w:w="2645"/>
        <w:gridCol w:w="2478"/>
      </w:tblGrid>
      <w:tr w:rsidR="00F63F4C" w:rsidRPr="00EE43C6" w14:paraId="54A08A42" w14:textId="77777777" w:rsidTr="00270ACC">
        <w:trPr>
          <w:cantSplit/>
          <w:trHeight w:val="284"/>
          <w:tblHeader/>
        </w:trPr>
        <w:tc>
          <w:tcPr>
            <w:tcW w:w="238"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hemeFill="accent1"/>
          </w:tcPr>
          <w:p w14:paraId="1B62ADE0" w14:textId="77777777" w:rsidR="00F63F4C" w:rsidRPr="00EE43C6" w:rsidRDefault="00F63F4C" w:rsidP="00270ACC">
            <w:pPr>
              <w:spacing w:before="0" w:after="0" w:line="240" w:lineRule="auto"/>
              <w:jc w:val="left"/>
              <w:rPr>
                <w:rFonts w:cs="Wingdings"/>
                <w:b/>
                <w:color w:val="FFFFFF"/>
                <w:sz w:val="18"/>
                <w:szCs w:val="18"/>
              </w:rPr>
            </w:pPr>
            <w:r w:rsidRPr="00EE43C6">
              <w:rPr>
                <w:rFonts w:cs="Wingdings"/>
                <w:b/>
                <w:color w:val="FFFFFF" w:themeColor="background1"/>
                <w:sz w:val="18"/>
                <w:szCs w:val="18"/>
              </w:rPr>
              <w:t>No</w:t>
            </w:r>
          </w:p>
        </w:tc>
        <w:tc>
          <w:tcPr>
            <w:tcW w:w="1975"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hemeFill="accent1"/>
          </w:tcPr>
          <w:p w14:paraId="33B538FA" w14:textId="77777777" w:rsidR="00F63F4C" w:rsidRPr="00EE43C6" w:rsidRDefault="00F63F4C" w:rsidP="00270ACC">
            <w:pPr>
              <w:spacing w:before="0" w:after="0" w:line="240" w:lineRule="auto"/>
              <w:jc w:val="left"/>
              <w:rPr>
                <w:rFonts w:cs="Wingdings"/>
                <w:b/>
                <w:color w:val="FFFFFF"/>
                <w:sz w:val="18"/>
                <w:szCs w:val="18"/>
              </w:rPr>
            </w:pPr>
            <w:r w:rsidRPr="00EE43C6">
              <w:rPr>
                <w:rFonts w:cs="Wingdings"/>
                <w:b/>
                <w:color w:val="FFFFFF" w:themeColor="background1"/>
                <w:sz w:val="18"/>
                <w:szCs w:val="18"/>
              </w:rPr>
              <w:t>KPIs</w:t>
            </w:r>
          </w:p>
        </w:tc>
        <w:tc>
          <w:tcPr>
            <w:tcW w:w="1439"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hemeFill="accent1"/>
          </w:tcPr>
          <w:p w14:paraId="4A57970D" w14:textId="77777777" w:rsidR="00F63F4C" w:rsidRPr="00EE43C6" w:rsidRDefault="00F63F4C" w:rsidP="00270ACC">
            <w:pPr>
              <w:spacing w:before="0" w:after="0" w:line="240" w:lineRule="auto"/>
              <w:jc w:val="left"/>
              <w:rPr>
                <w:rFonts w:cs="Wingdings"/>
                <w:b/>
                <w:color w:val="FFFFFF"/>
                <w:sz w:val="18"/>
                <w:szCs w:val="18"/>
              </w:rPr>
            </w:pPr>
            <w:r w:rsidRPr="00EE43C6">
              <w:rPr>
                <w:rFonts w:cs="Wingdings"/>
                <w:b/>
                <w:color w:val="FFFFFF" w:themeColor="background1"/>
                <w:sz w:val="18"/>
                <w:szCs w:val="18"/>
              </w:rPr>
              <w:t>Target</w:t>
            </w:r>
          </w:p>
        </w:tc>
        <w:tc>
          <w:tcPr>
            <w:tcW w:w="1348"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hemeFill="accent1"/>
          </w:tcPr>
          <w:p w14:paraId="1D4AAB76" w14:textId="77777777" w:rsidR="00F63F4C" w:rsidRPr="00EE43C6" w:rsidRDefault="00F63F4C" w:rsidP="00270ACC">
            <w:pPr>
              <w:spacing w:before="0" w:after="0" w:line="240" w:lineRule="auto"/>
              <w:jc w:val="left"/>
              <w:rPr>
                <w:rFonts w:cs="Wingdings"/>
                <w:b/>
                <w:color w:val="FFFFFF"/>
                <w:sz w:val="18"/>
                <w:szCs w:val="18"/>
              </w:rPr>
            </w:pPr>
            <w:r w:rsidRPr="00EE43C6">
              <w:rPr>
                <w:rFonts w:cs="Wingdings"/>
                <w:b/>
                <w:color w:val="FFFFFF" w:themeColor="background1"/>
                <w:sz w:val="18"/>
                <w:szCs w:val="18"/>
              </w:rPr>
              <w:t>Monitoring Measure</w:t>
            </w:r>
          </w:p>
        </w:tc>
      </w:tr>
      <w:tr w:rsidR="00F63F4C" w:rsidRPr="00EE43C6" w14:paraId="752E7878" w14:textId="77777777" w:rsidTr="00270ACC">
        <w:trPr>
          <w:cantSplit/>
          <w:trHeight w:val="284"/>
        </w:trPr>
        <w:tc>
          <w:tcPr>
            <w:tcW w:w="2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E4EF41" w14:textId="77777777" w:rsidR="00F63F4C" w:rsidRPr="00EE43C6" w:rsidRDefault="00F63F4C" w:rsidP="00270ACC">
            <w:pPr>
              <w:spacing w:before="0" w:after="0" w:line="240" w:lineRule="auto"/>
              <w:jc w:val="left"/>
              <w:rPr>
                <w:rFonts w:cs="Wingdings"/>
                <w:sz w:val="18"/>
                <w:szCs w:val="18"/>
              </w:rPr>
            </w:pPr>
            <w:r w:rsidRPr="00EE43C6">
              <w:rPr>
                <w:rFonts w:cs="Wingdings"/>
                <w:sz w:val="18"/>
                <w:szCs w:val="18"/>
              </w:rPr>
              <w:t>1</w:t>
            </w:r>
          </w:p>
        </w:tc>
        <w:tc>
          <w:tcPr>
            <w:tcW w:w="1975"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BB4BF5" w14:textId="77777777" w:rsidR="00F63F4C" w:rsidRPr="00EE43C6" w:rsidRDefault="00F63F4C" w:rsidP="00270ACC">
            <w:pPr>
              <w:spacing w:before="0" w:after="0" w:line="240" w:lineRule="auto"/>
              <w:ind w:left="141"/>
              <w:jc w:val="left"/>
              <w:rPr>
                <w:rFonts w:cs="Wingdings"/>
                <w:sz w:val="18"/>
                <w:szCs w:val="18"/>
              </w:rPr>
            </w:pPr>
            <w:r w:rsidRPr="00EE43C6">
              <w:rPr>
                <w:rFonts w:cs="Wingdings"/>
                <w:sz w:val="18"/>
                <w:szCs w:val="18"/>
              </w:rPr>
              <w:t>Non-conformities reported during the year with respect to key management controls identified in this Plan</w:t>
            </w:r>
          </w:p>
        </w:tc>
        <w:tc>
          <w:tcPr>
            <w:tcW w:w="143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65DCA73" w14:textId="77777777" w:rsidR="00F63F4C" w:rsidRPr="00EE43C6" w:rsidRDefault="00F63F4C" w:rsidP="00270ACC">
            <w:pPr>
              <w:spacing w:before="0" w:after="0" w:line="240" w:lineRule="auto"/>
              <w:ind w:left="98"/>
              <w:jc w:val="left"/>
              <w:rPr>
                <w:rFonts w:cs="Wingdings"/>
                <w:sz w:val="18"/>
                <w:szCs w:val="18"/>
              </w:rPr>
            </w:pPr>
            <w:r w:rsidRPr="00EE43C6">
              <w:rPr>
                <w:rFonts w:cs="Wingdings"/>
                <w:sz w:val="18"/>
                <w:szCs w:val="18"/>
              </w:rPr>
              <w:t>Minimization of reported non-conformities, aiming at zero</w:t>
            </w:r>
          </w:p>
        </w:tc>
        <w:tc>
          <w:tcPr>
            <w:tcW w:w="134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72C6C73" w14:textId="77777777" w:rsidR="00F63F4C" w:rsidRPr="00EE43C6" w:rsidRDefault="00F63F4C" w:rsidP="00270ACC">
            <w:pPr>
              <w:spacing w:before="0" w:after="0" w:line="240" w:lineRule="auto"/>
              <w:ind w:left="36"/>
              <w:jc w:val="left"/>
              <w:rPr>
                <w:rFonts w:cs="Wingdings"/>
                <w:sz w:val="18"/>
                <w:szCs w:val="18"/>
              </w:rPr>
            </w:pPr>
            <w:r w:rsidRPr="00EE43C6">
              <w:rPr>
                <w:rFonts w:cs="Wingdings"/>
                <w:sz w:val="18"/>
                <w:szCs w:val="18"/>
              </w:rPr>
              <w:t>Database</w:t>
            </w:r>
          </w:p>
          <w:p w14:paraId="7E496D56" w14:textId="77777777" w:rsidR="00F63F4C" w:rsidRPr="00EE43C6" w:rsidRDefault="00F63F4C" w:rsidP="00270ACC">
            <w:pPr>
              <w:spacing w:before="0" w:after="0" w:line="240" w:lineRule="auto"/>
              <w:ind w:left="36"/>
              <w:jc w:val="left"/>
              <w:rPr>
                <w:rFonts w:cs="Wingdings"/>
                <w:sz w:val="18"/>
                <w:szCs w:val="18"/>
              </w:rPr>
            </w:pPr>
            <w:r w:rsidRPr="00EE43C6">
              <w:rPr>
                <w:rFonts w:cs="Wingdings"/>
                <w:sz w:val="18"/>
                <w:szCs w:val="18"/>
              </w:rPr>
              <w:t>Reporting</w:t>
            </w:r>
          </w:p>
          <w:p w14:paraId="61F47C4B" w14:textId="77777777" w:rsidR="00F63F4C" w:rsidRPr="00EE43C6" w:rsidRDefault="00F63F4C" w:rsidP="00270ACC">
            <w:pPr>
              <w:spacing w:before="0" w:after="0" w:line="240" w:lineRule="auto"/>
              <w:ind w:left="36"/>
              <w:jc w:val="left"/>
              <w:rPr>
                <w:rFonts w:cs="Wingdings"/>
                <w:sz w:val="18"/>
                <w:szCs w:val="18"/>
              </w:rPr>
            </w:pPr>
            <w:r w:rsidRPr="00EE43C6">
              <w:rPr>
                <w:rFonts w:cs="Wingdings"/>
                <w:sz w:val="18"/>
                <w:szCs w:val="18"/>
              </w:rPr>
              <w:t xml:space="preserve">Inspection Reports </w:t>
            </w:r>
          </w:p>
          <w:p w14:paraId="7B51336B" w14:textId="77777777" w:rsidR="00F63F4C" w:rsidRPr="00EE43C6" w:rsidRDefault="00F63F4C" w:rsidP="00270ACC">
            <w:pPr>
              <w:spacing w:before="0" w:after="0" w:line="240" w:lineRule="auto"/>
              <w:ind w:left="36"/>
              <w:jc w:val="left"/>
              <w:rPr>
                <w:rFonts w:cs="Wingdings"/>
                <w:sz w:val="18"/>
                <w:szCs w:val="18"/>
              </w:rPr>
            </w:pPr>
          </w:p>
        </w:tc>
      </w:tr>
      <w:tr w:rsidR="00F63F4C" w:rsidRPr="00EE43C6" w14:paraId="4E446636" w14:textId="77777777" w:rsidTr="00270ACC">
        <w:trPr>
          <w:cantSplit/>
          <w:trHeight w:val="284"/>
        </w:trPr>
        <w:tc>
          <w:tcPr>
            <w:tcW w:w="23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D08351" w14:textId="77777777" w:rsidR="00F63F4C" w:rsidRPr="00EE43C6" w:rsidRDefault="00F63F4C" w:rsidP="00270ACC">
            <w:pPr>
              <w:spacing w:before="0" w:after="0" w:line="240" w:lineRule="auto"/>
              <w:jc w:val="left"/>
              <w:rPr>
                <w:rFonts w:cs="Wingdings"/>
                <w:sz w:val="18"/>
                <w:szCs w:val="18"/>
              </w:rPr>
            </w:pPr>
            <w:r w:rsidRPr="00EE43C6">
              <w:rPr>
                <w:rFonts w:cs="Wingdings"/>
                <w:sz w:val="18"/>
                <w:szCs w:val="18"/>
              </w:rPr>
              <w:t>2</w:t>
            </w:r>
          </w:p>
        </w:tc>
        <w:tc>
          <w:tcPr>
            <w:tcW w:w="1975"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4A674E" w14:textId="77777777" w:rsidR="00F63F4C" w:rsidRPr="00EE43C6" w:rsidRDefault="00F63F4C" w:rsidP="00270ACC">
            <w:pPr>
              <w:spacing w:before="0" w:after="0" w:line="240" w:lineRule="auto"/>
              <w:ind w:left="137"/>
              <w:jc w:val="left"/>
              <w:rPr>
                <w:rFonts w:cs="Wingdings"/>
                <w:sz w:val="18"/>
                <w:szCs w:val="18"/>
              </w:rPr>
            </w:pPr>
            <w:r w:rsidRPr="00EE43C6">
              <w:rPr>
                <w:rFonts w:cs="Wingdings"/>
                <w:sz w:val="18"/>
                <w:szCs w:val="18"/>
              </w:rPr>
              <w:t>Number of complaints lodged by local communities during the year regarding cultural heritages</w:t>
            </w:r>
          </w:p>
        </w:tc>
        <w:tc>
          <w:tcPr>
            <w:tcW w:w="143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6A13F9" w14:textId="77777777" w:rsidR="00F63F4C" w:rsidRPr="00EE43C6" w:rsidRDefault="00F63F4C" w:rsidP="00270ACC">
            <w:pPr>
              <w:spacing w:before="0" w:after="0" w:line="240" w:lineRule="auto"/>
              <w:ind w:left="98"/>
              <w:jc w:val="left"/>
              <w:rPr>
                <w:rFonts w:cs="Wingdings"/>
                <w:sz w:val="18"/>
                <w:szCs w:val="18"/>
              </w:rPr>
            </w:pPr>
            <w:r w:rsidRPr="00EE43C6">
              <w:rPr>
                <w:rFonts w:cs="Wingdings"/>
                <w:sz w:val="18"/>
                <w:szCs w:val="18"/>
              </w:rPr>
              <w:t xml:space="preserve"> Investigation of complaints about cultural heritage (disrespect, destruction, removal, sale of artefacts) and fulfilment of relevant actions.</w:t>
            </w:r>
          </w:p>
          <w:p w14:paraId="218CFBDE" w14:textId="22D85945" w:rsidR="00F63F4C" w:rsidRPr="00EE43C6" w:rsidRDefault="00F63F4C" w:rsidP="00270ACC">
            <w:pPr>
              <w:pStyle w:val="ListParagraph"/>
              <w:numPr>
                <w:ilvl w:val="0"/>
                <w:numId w:val="35"/>
              </w:numPr>
              <w:spacing w:before="0" w:after="0" w:line="240" w:lineRule="auto"/>
              <w:ind w:left="523"/>
              <w:jc w:val="left"/>
              <w:rPr>
                <w:noProof w:val="0"/>
                <w:sz w:val="18"/>
                <w:szCs w:val="18"/>
              </w:rPr>
            </w:pPr>
            <w:r w:rsidRPr="00EE43C6">
              <w:rPr>
                <w:noProof w:val="0"/>
                <w:sz w:val="18"/>
                <w:szCs w:val="18"/>
              </w:rPr>
              <w:t xml:space="preserve">Provision of prompt response to complaints from local communities regarding the </w:t>
            </w:r>
            <w:r w:rsidR="007614E4" w:rsidRPr="00EE43C6">
              <w:rPr>
                <w:noProof w:val="0"/>
                <w:sz w:val="18"/>
                <w:szCs w:val="18"/>
              </w:rPr>
              <w:t>misbehaviour</w:t>
            </w:r>
            <w:r w:rsidRPr="00EE43C6">
              <w:rPr>
                <w:noProof w:val="0"/>
                <w:sz w:val="18"/>
                <w:szCs w:val="18"/>
              </w:rPr>
              <w:t xml:space="preserve"> of personnel regarding cultural properties </w:t>
            </w:r>
          </w:p>
        </w:tc>
        <w:tc>
          <w:tcPr>
            <w:tcW w:w="1348"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A74745" w14:textId="77777777" w:rsidR="00F63F4C" w:rsidRPr="00EE43C6" w:rsidRDefault="00F63F4C" w:rsidP="00270ACC">
            <w:pPr>
              <w:spacing w:before="0" w:after="0" w:line="240" w:lineRule="auto"/>
              <w:ind w:left="36"/>
              <w:jc w:val="left"/>
              <w:rPr>
                <w:rFonts w:cs="Wingdings"/>
                <w:sz w:val="18"/>
                <w:szCs w:val="18"/>
              </w:rPr>
            </w:pPr>
            <w:r w:rsidRPr="00EE43C6">
              <w:rPr>
                <w:rFonts w:cs="Wingdings"/>
                <w:sz w:val="18"/>
                <w:szCs w:val="18"/>
              </w:rPr>
              <w:t>Database</w:t>
            </w:r>
          </w:p>
          <w:p w14:paraId="0465F0D2" w14:textId="77777777" w:rsidR="00F63F4C" w:rsidRPr="00EE43C6" w:rsidRDefault="00F63F4C" w:rsidP="00270ACC">
            <w:pPr>
              <w:spacing w:before="0" w:after="0" w:line="240" w:lineRule="auto"/>
              <w:ind w:left="36"/>
              <w:jc w:val="left"/>
              <w:rPr>
                <w:rFonts w:cs="Wingdings"/>
                <w:sz w:val="18"/>
                <w:szCs w:val="18"/>
              </w:rPr>
            </w:pPr>
            <w:r w:rsidRPr="00EE43C6">
              <w:rPr>
                <w:rFonts w:cs="Wingdings"/>
                <w:sz w:val="18"/>
                <w:szCs w:val="18"/>
              </w:rPr>
              <w:t xml:space="preserve">Grievance Mechanism Records </w:t>
            </w:r>
          </w:p>
          <w:p w14:paraId="55D45818" w14:textId="77777777" w:rsidR="00F63F4C" w:rsidRPr="00EE43C6" w:rsidRDefault="00F63F4C" w:rsidP="00270ACC">
            <w:pPr>
              <w:spacing w:before="0" w:after="0" w:line="240" w:lineRule="auto"/>
              <w:ind w:left="36"/>
              <w:jc w:val="left"/>
              <w:rPr>
                <w:rFonts w:cs="Wingdings"/>
                <w:sz w:val="18"/>
                <w:szCs w:val="18"/>
              </w:rPr>
            </w:pPr>
            <w:r w:rsidRPr="00EE43C6">
              <w:rPr>
                <w:rFonts w:cs="Wingdings"/>
                <w:sz w:val="18"/>
                <w:szCs w:val="18"/>
              </w:rPr>
              <w:t xml:space="preserve">Reporting </w:t>
            </w:r>
          </w:p>
        </w:tc>
      </w:tr>
    </w:tbl>
    <w:p w14:paraId="31120920" w14:textId="77777777" w:rsidR="00F63F4C" w:rsidRPr="00EE43C6" w:rsidRDefault="00F63F4C" w:rsidP="00F63F4C">
      <w:pPr>
        <w:rPr>
          <w:b/>
          <w:bCs/>
          <w:color w:val="4F81BD"/>
          <w:szCs w:val="22"/>
        </w:rPr>
      </w:pPr>
    </w:p>
    <w:p w14:paraId="1BF4CC7F" w14:textId="16ADB142" w:rsidR="00F63F4C" w:rsidRPr="00EE43C6" w:rsidRDefault="00F63F4C" w:rsidP="5F58EB95">
      <w:pPr>
        <w:rPr>
          <w:b/>
          <w:bCs/>
        </w:rPr>
      </w:pPr>
      <w:r w:rsidRPr="5F58EB95">
        <w:rPr>
          <w:b/>
          <w:bCs/>
        </w:rPr>
        <w:t>Sample Chan</w:t>
      </w:r>
      <w:r w:rsidR="65668795" w:rsidRPr="5F58EB95">
        <w:rPr>
          <w:b/>
          <w:bCs/>
        </w:rPr>
        <w:t>c</w:t>
      </w:r>
      <w:r w:rsidRPr="5F58EB95">
        <w:rPr>
          <w:b/>
          <w:bCs/>
        </w:rPr>
        <w:t>e Find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2"/>
        <w:gridCol w:w="3051"/>
        <w:gridCol w:w="3011"/>
      </w:tblGrid>
      <w:tr w:rsidR="00F63F4C" w:rsidRPr="00EE43C6" w14:paraId="54AD1740" w14:textId="77777777" w:rsidTr="00DD25D0">
        <w:trPr>
          <w:trHeight w:val="284"/>
        </w:trPr>
        <w:tc>
          <w:tcPr>
            <w:tcW w:w="1652" w:type="pct"/>
            <w:shd w:val="clear" w:color="auto" w:fill="4F81BD"/>
            <w:vAlign w:val="center"/>
          </w:tcPr>
          <w:p w14:paraId="1955DCA3" w14:textId="77777777" w:rsidR="00F63F4C" w:rsidRPr="00EE43C6" w:rsidRDefault="00F63F4C" w:rsidP="00DD25D0">
            <w:pPr>
              <w:spacing w:before="0" w:after="0" w:line="240" w:lineRule="auto"/>
              <w:rPr>
                <w:rFonts w:cs="Wingdings"/>
                <w:b/>
                <w:color w:val="FFFFFF" w:themeColor="background1"/>
                <w:sz w:val="18"/>
                <w:szCs w:val="18"/>
              </w:rPr>
            </w:pPr>
            <w:r w:rsidRPr="00EE43C6">
              <w:rPr>
                <w:rFonts w:cs="Arial"/>
                <w:b/>
                <w:bCs/>
                <w:color w:val="FFFFFF" w:themeColor="background1"/>
                <w:sz w:val="18"/>
                <w:szCs w:val="18"/>
              </w:rPr>
              <w:t>Place:</w:t>
            </w:r>
          </w:p>
        </w:tc>
        <w:tc>
          <w:tcPr>
            <w:tcW w:w="1685" w:type="pct"/>
            <w:shd w:val="clear" w:color="auto" w:fill="4F81BD"/>
            <w:vAlign w:val="center"/>
          </w:tcPr>
          <w:p w14:paraId="0DFE0B0C" w14:textId="77777777" w:rsidR="00F63F4C" w:rsidRPr="00EE43C6" w:rsidRDefault="00F63F4C" w:rsidP="00DD25D0">
            <w:pPr>
              <w:spacing w:before="0" w:after="0" w:line="240" w:lineRule="auto"/>
              <w:jc w:val="center"/>
              <w:rPr>
                <w:rFonts w:cs="Wingdings"/>
                <w:b/>
                <w:color w:val="FFFFFF" w:themeColor="background1"/>
                <w:sz w:val="18"/>
                <w:szCs w:val="18"/>
              </w:rPr>
            </w:pPr>
            <w:r w:rsidRPr="00EE43C6">
              <w:rPr>
                <w:rFonts w:cs="Arial"/>
                <w:b/>
                <w:bCs/>
                <w:color w:val="FFFFFF" w:themeColor="background1"/>
                <w:sz w:val="18"/>
                <w:szCs w:val="18"/>
              </w:rPr>
              <w:t>Chance Find No:</w:t>
            </w:r>
          </w:p>
        </w:tc>
        <w:tc>
          <w:tcPr>
            <w:tcW w:w="1663" w:type="pct"/>
            <w:shd w:val="clear" w:color="auto" w:fill="4F81BD"/>
            <w:vAlign w:val="center"/>
          </w:tcPr>
          <w:p w14:paraId="65FA76D1" w14:textId="77777777" w:rsidR="00F63F4C" w:rsidRPr="00EE43C6" w:rsidRDefault="00F63F4C" w:rsidP="00DD25D0">
            <w:pPr>
              <w:spacing w:before="0" w:after="0" w:line="240" w:lineRule="auto"/>
              <w:jc w:val="center"/>
              <w:rPr>
                <w:rFonts w:cs="Wingdings"/>
                <w:b/>
                <w:color w:val="FFFFFF" w:themeColor="background1"/>
                <w:sz w:val="18"/>
                <w:szCs w:val="18"/>
              </w:rPr>
            </w:pPr>
            <w:r w:rsidRPr="00EE43C6">
              <w:rPr>
                <w:rFonts w:cs="Arial"/>
                <w:b/>
                <w:bCs/>
                <w:color w:val="FFFFFF" w:themeColor="background1"/>
                <w:sz w:val="18"/>
                <w:szCs w:val="18"/>
              </w:rPr>
              <w:t>Date:</w:t>
            </w:r>
          </w:p>
        </w:tc>
      </w:tr>
      <w:tr w:rsidR="00F63F4C" w:rsidRPr="00EE43C6" w14:paraId="56135830" w14:textId="77777777" w:rsidTr="00DD25D0">
        <w:trPr>
          <w:trHeight w:val="284"/>
        </w:trPr>
        <w:tc>
          <w:tcPr>
            <w:tcW w:w="1652" w:type="pct"/>
            <w:shd w:val="clear" w:color="auto" w:fill="FFFFFF" w:themeFill="background1"/>
          </w:tcPr>
          <w:p w14:paraId="0F61DE99" w14:textId="77777777" w:rsidR="00F63F4C" w:rsidRPr="00EE43C6" w:rsidRDefault="00F63F4C" w:rsidP="00DD25D0">
            <w:pPr>
              <w:pStyle w:val="NormalIndent"/>
              <w:tabs>
                <w:tab w:val="clear" w:pos="1134"/>
              </w:tabs>
              <w:spacing w:after="0" w:line="240" w:lineRule="auto"/>
              <w:ind w:left="0"/>
              <w:rPr>
                <w:b/>
                <w:bCs/>
                <w:sz w:val="18"/>
                <w:szCs w:val="18"/>
              </w:rPr>
            </w:pPr>
            <w:r w:rsidRPr="00EE43C6">
              <w:rPr>
                <w:b/>
                <w:bCs/>
                <w:sz w:val="18"/>
                <w:szCs w:val="18"/>
              </w:rPr>
              <w:t>Location Data:</w:t>
            </w:r>
          </w:p>
          <w:p w14:paraId="38A56016" w14:textId="77777777" w:rsidR="00F63F4C" w:rsidRPr="00EE43C6" w:rsidRDefault="00F63F4C" w:rsidP="00DD25D0">
            <w:pPr>
              <w:pStyle w:val="NormalIndent"/>
              <w:spacing w:after="0" w:line="240" w:lineRule="auto"/>
              <w:ind w:left="0"/>
              <w:rPr>
                <w:b/>
                <w:bCs/>
                <w:sz w:val="18"/>
                <w:szCs w:val="18"/>
              </w:rPr>
            </w:pPr>
            <w:r w:rsidRPr="00EE43C6">
              <w:rPr>
                <w:b/>
                <w:bCs/>
                <w:sz w:val="18"/>
                <w:szCs w:val="18"/>
              </w:rPr>
              <w:t>Coordination:</w:t>
            </w:r>
          </w:p>
          <w:p w14:paraId="3B63F0ED" w14:textId="77777777" w:rsidR="00F63F4C" w:rsidRPr="00EE43C6" w:rsidRDefault="00F63F4C" w:rsidP="00DD25D0">
            <w:pPr>
              <w:pStyle w:val="NormalIndent"/>
              <w:spacing w:after="0" w:line="240" w:lineRule="auto"/>
              <w:ind w:left="0"/>
              <w:rPr>
                <w:b/>
                <w:bCs/>
                <w:sz w:val="18"/>
                <w:szCs w:val="18"/>
              </w:rPr>
            </w:pPr>
            <w:r w:rsidRPr="00EE43C6">
              <w:rPr>
                <w:b/>
                <w:bCs/>
                <w:sz w:val="18"/>
                <w:szCs w:val="18"/>
              </w:rPr>
              <w:t>Elevation:</w:t>
            </w:r>
          </w:p>
          <w:p w14:paraId="041E9223" w14:textId="77777777" w:rsidR="00F63F4C" w:rsidRPr="00EE43C6" w:rsidRDefault="00F63F4C" w:rsidP="00DD25D0">
            <w:pPr>
              <w:pStyle w:val="NormalIndent"/>
              <w:spacing w:after="0" w:line="240" w:lineRule="auto"/>
              <w:ind w:left="0"/>
              <w:rPr>
                <w:b/>
                <w:bCs/>
                <w:sz w:val="18"/>
                <w:szCs w:val="18"/>
              </w:rPr>
            </w:pPr>
            <w:r w:rsidRPr="00EE43C6">
              <w:rPr>
                <w:b/>
                <w:bCs/>
                <w:sz w:val="18"/>
                <w:szCs w:val="18"/>
              </w:rPr>
              <w:t>Brief Area Description:</w:t>
            </w:r>
          </w:p>
        </w:tc>
        <w:tc>
          <w:tcPr>
            <w:tcW w:w="3348" w:type="pct"/>
            <w:gridSpan w:val="2"/>
            <w:shd w:val="clear" w:color="auto" w:fill="FFFFFF" w:themeFill="background1"/>
          </w:tcPr>
          <w:p w14:paraId="23D8FA9E" w14:textId="77777777" w:rsidR="00F63F4C" w:rsidRPr="00EE43C6" w:rsidRDefault="00F63F4C" w:rsidP="00DD25D0">
            <w:pPr>
              <w:pStyle w:val="NormalIndent"/>
              <w:spacing w:after="0" w:line="240" w:lineRule="auto"/>
              <w:rPr>
                <w:b/>
                <w:bCs/>
                <w:sz w:val="18"/>
                <w:szCs w:val="18"/>
              </w:rPr>
            </w:pPr>
          </w:p>
        </w:tc>
      </w:tr>
      <w:tr w:rsidR="00F63F4C" w:rsidRPr="00EE43C6" w14:paraId="046A24DA" w14:textId="77777777" w:rsidTr="00DD25D0">
        <w:trPr>
          <w:trHeight w:val="284"/>
        </w:trPr>
        <w:tc>
          <w:tcPr>
            <w:tcW w:w="1652" w:type="pct"/>
            <w:shd w:val="clear" w:color="auto" w:fill="FFFFFF" w:themeFill="background1"/>
          </w:tcPr>
          <w:p w14:paraId="3F2B0CA5" w14:textId="77777777" w:rsidR="00F63F4C" w:rsidRPr="00EE43C6" w:rsidRDefault="00F63F4C" w:rsidP="00DD25D0">
            <w:pPr>
              <w:pStyle w:val="NormalIndent"/>
              <w:spacing w:after="0" w:line="240" w:lineRule="auto"/>
              <w:ind w:left="0"/>
              <w:rPr>
                <w:b/>
                <w:bCs/>
                <w:sz w:val="18"/>
                <w:szCs w:val="18"/>
              </w:rPr>
            </w:pPr>
            <w:r w:rsidRPr="00EE43C6">
              <w:rPr>
                <w:b/>
                <w:bCs/>
                <w:sz w:val="18"/>
                <w:szCs w:val="18"/>
              </w:rPr>
              <w:t>Chance Type:</w:t>
            </w:r>
          </w:p>
          <w:p w14:paraId="7190DC4C" w14:textId="77777777" w:rsidR="00F63F4C" w:rsidRPr="00EE43C6" w:rsidRDefault="00F63F4C" w:rsidP="00DD25D0">
            <w:pPr>
              <w:pStyle w:val="NormalIndent"/>
              <w:spacing w:after="0" w:line="240" w:lineRule="auto"/>
              <w:ind w:left="0"/>
              <w:rPr>
                <w:b/>
                <w:bCs/>
                <w:sz w:val="18"/>
                <w:szCs w:val="18"/>
              </w:rPr>
            </w:pPr>
          </w:p>
        </w:tc>
        <w:tc>
          <w:tcPr>
            <w:tcW w:w="1685" w:type="pct"/>
            <w:shd w:val="clear" w:color="auto" w:fill="FFFFFF" w:themeFill="background1"/>
          </w:tcPr>
          <w:p w14:paraId="5D603EF4" w14:textId="77777777" w:rsidR="00F63F4C" w:rsidRPr="00EE43C6" w:rsidRDefault="00EC509A" w:rsidP="00DD25D0">
            <w:pPr>
              <w:pStyle w:val="NormalIndent"/>
              <w:tabs>
                <w:tab w:val="clear" w:pos="1134"/>
                <w:tab w:val="left" w:pos="481"/>
              </w:tabs>
              <w:spacing w:after="0" w:line="240" w:lineRule="auto"/>
              <w:ind w:left="481"/>
              <w:rPr>
                <w:sz w:val="18"/>
                <w:szCs w:val="18"/>
              </w:rPr>
            </w:pPr>
            <m:oMath>
              <m:d>
                <m:dPr>
                  <m:begChr m:val="⌈"/>
                  <m:endChr m:val="⌉"/>
                  <m:ctrlPr>
                    <w:rPr>
                      <w:rFonts w:ascii="Cambria Math" w:hAnsi="Cambria Math"/>
                      <w:sz w:val="18"/>
                      <w:szCs w:val="18"/>
                    </w:rPr>
                  </m:ctrlPr>
                </m:dPr>
                <m:e/>
              </m:d>
            </m:oMath>
            <w:r w:rsidR="00F63F4C" w:rsidRPr="00EE43C6">
              <w:rPr>
                <w:sz w:val="18"/>
                <w:szCs w:val="18"/>
              </w:rPr>
              <w:t>Archaeological Items</w:t>
            </w:r>
          </w:p>
          <w:p w14:paraId="505BED7B" w14:textId="77777777" w:rsidR="00F63F4C" w:rsidRPr="00EE43C6" w:rsidRDefault="00EC509A" w:rsidP="00DD25D0">
            <w:pPr>
              <w:pStyle w:val="NormalIndent"/>
              <w:tabs>
                <w:tab w:val="clear" w:pos="1134"/>
                <w:tab w:val="left" w:pos="481"/>
              </w:tabs>
              <w:spacing w:after="0" w:line="240" w:lineRule="auto"/>
              <w:ind w:left="481"/>
              <w:rPr>
                <w:sz w:val="18"/>
                <w:szCs w:val="18"/>
              </w:rPr>
            </w:pPr>
            <m:oMath>
              <m:d>
                <m:dPr>
                  <m:begChr m:val="⌈"/>
                  <m:endChr m:val="⌉"/>
                  <m:ctrlPr>
                    <w:rPr>
                      <w:rFonts w:ascii="Cambria Math" w:hAnsi="Cambria Math"/>
                      <w:sz w:val="18"/>
                      <w:szCs w:val="18"/>
                    </w:rPr>
                  </m:ctrlPr>
                </m:dPr>
                <m:e/>
              </m:d>
            </m:oMath>
            <w:r w:rsidR="00F63F4C" w:rsidRPr="00EE43C6">
              <w:rPr>
                <w:sz w:val="18"/>
                <w:szCs w:val="18"/>
              </w:rPr>
              <w:t>Metal Finds</w:t>
            </w:r>
          </w:p>
          <w:p w14:paraId="71B27587" w14:textId="77777777" w:rsidR="00F63F4C" w:rsidRPr="00EE43C6" w:rsidRDefault="00EC509A" w:rsidP="00DD25D0">
            <w:pPr>
              <w:pStyle w:val="NormalIndent"/>
              <w:tabs>
                <w:tab w:val="clear" w:pos="1134"/>
                <w:tab w:val="left" w:pos="481"/>
              </w:tabs>
              <w:spacing w:after="0" w:line="240" w:lineRule="auto"/>
              <w:ind w:left="481"/>
              <w:rPr>
                <w:sz w:val="18"/>
                <w:szCs w:val="18"/>
              </w:rPr>
            </w:pPr>
            <m:oMath>
              <m:d>
                <m:dPr>
                  <m:begChr m:val="⌈"/>
                  <m:endChr m:val="⌉"/>
                  <m:ctrlPr>
                    <w:rPr>
                      <w:rFonts w:ascii="Cambria Math" w:hAnsi="Cambria Math"/>
                      <w:sz w:val="18"/>
                      <w:szCs w:val="18"/>
                    </w:rPr>
                  </m:ctrlPr>
                </m:dPr>
                <m:e/>
              </m:d>
            </m:oMath>
            <w:r w:rsidR="00F63F4C" w:rsidRPr="00EE43C6">
              <w:rPr>
                <w:sz w:val="18"/>
                <w:szCs w:val="18"/>
              </w:rPr>
              <w:t>Terracotta Finds</w:t>
            </w:r>
          </w:p>
          <w:p w14:paraId="6653A0D2" w14:textId="77777777" w:rsidR="00F63F4C" w:rsidRPr="00EE43C6" w:rsidRDefault="00EC509A" w:rsidP="00DD25D0">
            <w:pPr>
              <w:pStyle w:val="NormalIndent"/>
              <w:tabs>
                <w:tab w:val="clear" w:pos="1134"/>
                <w:tab w:val="left" w:pos="481"/>
              </w:tabs>
              <w:spacing w:after="0" w:line="240" w:lineRule="auto"/>
              <w:ind w:left="481"/>
              <w:rPr>
                <w:sz w:val="18"/>
                <w:szCs w:val="18"/>
              </w:rPr>
            </w:pPr>
            <m:oMath>
              <m:d>
                <m:dPr>
                  <m:begChr m:val="⌈"/>
                  <m:endChr m:val="⌉"/>
                  <m:ctrlPr>
                    <w:rPr>
                      <w:rFonts w:ascii="Cambria Math" w:hAnsi="Cambria Math"/>
                      <w:sz w:val="18"/>
                      <w:szCs w:val="18"/>
                    </w:rPr>
                  </m:ctrlPr>
                </m:dPr>
                <m:e/>
              </m:d>
            </m:oMath>
            <w:r w:rsidR="00F63F4C" w:rsidRPr="00EE43C6">
              <w:rPr>
                <w:sz w:val="18"/>
                <w:szCs w:val="18"/>
              </w:rPr>
              <w:t>Pottery Shards</w:t>
            </w:r>
          </w:p>
          <w:p w14:paraId="314D7DF8" w14:textId="77777777" w:rsidR="00F63F4C" w:rsidRPr="00EE43C6" w:rsidRDefault="00EC509A" w:rsidP="00DD25D0">
            <w:pPr>
              <w:pStyle w:val="NormalIndent"/>
              <w:spacing w:after="0" w:line="240" w:lineRule="auto"/>
              <w:ind w:hanging="653"/>
              <w:rPr>
                <w:sz w:val="18"/>
                <w:szCs w:val="18"/>
              </w:rPr>
            </w:pPr>
            <m:oMath>
              <m:d>
                <m:dPr>
                  <m:begChr m:val="⌈"/>
                  <m:endChr m:val="⌉"/>
                  <m:ctrlPr>
                    <w:rPr>
                      <w:rFonts w:ascii="Cambria Math" w:hAnsi="Cambria Math"/>
                      <w:sz w:val="18"/>
                      <w:szCs w:val="18"/>
                    </w:rPr>
                  </m:ctrlPr>
                </m:dPr>
                <m:e/>
              </m:d>
            </m:oMath>
            <w:r w:rsidR="00F63F4C" w:rsidRPr="00EE43C6">
              <w:rPr>
                <w:sz w:val="18"/>
                <w:szCs w:val="18"/>
              </w:rPr>
              <w:t>Glass Finds</w:t>
            </w:r>
          </w:p>
        </w:tc>
        <w:tc>
          <w:tcPr>
            <w:tcW w:w="1663" w:type="pct"/>
            <w:shd w:val="clear" w:color="auto" w:fill="FFFFFF" w:themeFill="background1"/>
          </w:tcPr>
          <w:p w14:paraId="04E6593B" w14:textId="77777777" w:rsidR="00F63F4C" w:rsidRPr="00EE43C6" w:rsidRDefault="00EC509A" w:rsidP="00DD25D0">
            <w:pPr>
              <w:pStyle w:val="NormalIndent"/>
              <w:tabs>
                <w:tab w:val="clear" w:pos="1134"/>
                <w:tab w:val="left" w:pos="175"/>
              </w:tabs>
              <w:spacing w:after="0" w:line="240" w:lineRule="auto"/>
              <w:ind w:left="317"/>
              <w:rPr>
                <w:sz w:val="18"/>
                <w:szCs w:val="18"/>
              </w:rPr>
            </w:pPr>
            <m:oMath>
              <m:d>
                <m:dPr>
                  <m:begChr m:val="⌈"/>
                  <m:endChr m:val="⌉"/>
                  <m:ctrlPr>
                    <w:rPr>
                      <w:rFonts w:ascii="Cambria Math" w:hAnsi="Cambria Math"/>
                      <w:sz w:val="18"/>
                      <w:szCs w:val="18"/>
                    </w:rPr>
                  </m:ctrlPr>
                </m:dPr>
                <m:e/>
              </m:d>
            </m:oMath>
            <w:r w:rsidR="00F63F4C" w:rsidRPr="00EE43C6">
              <w:rPr>
                <w:sz w:val="18"/>
                <w:szCs w:val="18"/>
              </w:rPr>
              <w:t>Sculpture etc.</w:t>
            </w:r>
          </w:p>
          <w:p w14:paraId="13F9E083" w14:textId="77777777" w:rsidR="00F63F4C" w:rsidRPr="00EE43C6" w:rsidRDefault="00EC509A" w:rsidP="00DD25D0">
            <w:pPr>
              <w:pStyle w:val="NormalIndent"/>
              <w:tabs>
                <w:tab w:val="clear" w:pos="1134"/>
                <w:tab w:val="left" w:pos="175"/>
              </w:tabs>
              <w:spacing w:after="0" w:line="240" w:lineRule="auto"/>
              <w:ind w:left="317"/>
              <w:rPr>
                <w:sz w:val="18"/>
                <w:szCs w:val="18"/>
              </w:rPr>
            </w:pPr>
            <m:oMath>
              <m:d>
                <m:dPr>
                  <m:begChr m:val="⌈"/>
                  <m:endChr m:val="⌉"/>
                  <m:ctrlPr>
                    <w:rPr>
                      <w:rFonts w:ascii="Cambria Math" w:hAnsi="Cambria Math"/>
                      <w:sz w:val="18"/>
                      <w:szCs w:val="18"/>
                    </w:rPr>
                  </m:ctrlPr>
                </m:dPr>
                <m:e/>
              </m:d>
            </m:oMath>
            <w:r w:rsidR="00F63F4C" w:rsidRPr="00EE43C6">
              <w:rPr>
                <w:sz w:val="18"/>
                <w:szCs w:val="18"/>
              </w:rPr>
              <w:t>Human / Animal Bone</w:t>
            </w:r>
          </w:p>
          <w:p w14:paraId="7426BE47" w14:textId="77777777" w:rsidR="00F63F4C" w:rsidRPr="00EE43C6" w:rsidRDefault="00EC509A" w:rsidP="00DD25D0">
            <w:pPr>
              <w:pStyle w:val="NormalIndent"/>
              <w:tabs>
                <w:tab w:val="clear" w:pos="1134"/>
                <w:tab w:val="left" w:pos="175"/>
              </w:tabs>
              <w:spacing w:after="0" w:line="240" w:lineRule="auto"/>
              <w:ind w:left="317"/>
              <w:rPr>
                <w:sz w:val="18"/>
                <w:szCs w:val="18"/>
              </w:rPr>
            </w:pPr>
            <m:oMath>
              <m:d>
                <m:dPr>
                  <m:begChr m:val="⌈"/>
                  <m:endChr m:val="⌉"/>
                  <m:ctrlPr>
                    <w:rPr>
                      <w:rFonts w:ascii="Cambria Math" w:hAnsi="Cambria Math"/>
                      <w:sz w:val="18"/>
                      <w:szCs w:val="18"/>
                    </w:rPr>
                  </m:ctrlPr>
                </m:dPr>
                <m:e/>
              </m:d>
            </m:oMath>
            <w:r w:rsidR="00F63F4C" w:rsidRPr="00EE43C6">
              <w:rPr>
                <w:sz w:val="18"/>
                <w:szCs w:val="18"/>
              </w:rPr>
              <w:t>Unidentified</w:t>
            </w:r>
          </w:p>
          <w:p w14:paraId="0D5EAEF2" w14:textId="77777777" w:rsidR="00F63F4C" w:rsidRPr="00EE43C6" w:rsidRDefault="00F63F4C" w:rsidP="00DD25D0">
            <w:pPr>
              <w:pStyle w:val="NormalIndent"/>
              <w:spacing w:after="0" w:line="240" w:lineRule="auto"/>
              <w:rPr>
                <w:sz w:val="18"/>
                <w:szCs w:val="18"/>
              </w:rPr>
            </w:pPr>
          </w:p>
        </w:tc>
      </w:tr>
      <w:tr w:rsidR="00F63F4C" w:rsidRPr="00EE43C6" w14:paraId="5BB20924" w14:textId="77777777" w:rsidTr="00DD25D0">
        <w:trPr>
          <w:trHeight w:val="284"/>
        </w:trPr>
        <w:tc>
          <w:tcPr>
            <w:tcW w:w="1652" w:type="pct"/>
            <w:shd w:val="clear" w:color="auto" w:fill="FFFFFF" w:themeFill="background1"/>
          </w:tcPr>
          <w:p w14:paraId="771475BD" w14:textId="77777777" w:rsidR="00F63F4C" w:rsidRPr="00EE43C6" w:rsidRDefault="00F63F4C" w:rsidP="00DD25D0">
            <w:pPr>
              <w:pStyle w:val="NormalIndent"/>
              <w:spacing w:after="0" w:line="240" w:lineRule="auto"/>
              <w:ind w:left="0"/>
              <w:rPr>
                <w:b/>
                <w:bCs/>
                <w:sz w:val="18"/>
                <w:szCs w:val="18"/>
              </w:rPr>
            </w:pPr>
            <w:r w:rsidRPr="00EE43C6">
              <w:rPr>
                <w:b/>
                <w:bCs/>
                <w:sz w:val="18"/>
                <w:szCs w:val="18"/>
              </w:rPr>
              <w:t xml:space="preserve">Temporary Measures </w:t>
            </w:r>
          </w:p>
        </w:tc>
        <w:tc>
          <w:tcPr>
            <w:tcW w:w="3348" w:type="pct"/>
            <w:gridSpan w:val="2"/>
            <w:shd w:val="clear" w:color="auto" w:fill="FFFFFF" w:themeFill="background1"/>
          </w:tcPr>
          <w:p w14:paraId="66F5DCDA" w14:textId="77777777" w:rsidR="00F63F4C" w:rsidRPr="00EE43C6" w:rsidRDefault="00F63F4C" w:rsidP="00DD25D0">
            <w:pPr>
              <w:pStyle w:val="NormalIndent"/>
              <w:tabs>
                <w:tab w:val="clear" w:pos="1134"/>
                <w:tab w:val="left" w:pos="175"/>
              </w:tabs>
              <w:spacing w:after="0" w:line="240" w:lineRule="auto"/>
              <w:ind w:left="317"/>
              <w:rPr>
                <w:sz w:val="18"/>
                <w:szCs w:val="18"/>
              </w:rPr>
            </w:pPr>
          </w:p>
          <w:p w14:paraId="01268784" w14:textId="77777777" w:rsidR="00F63F4C" w:rsidRPr="00EE43C6" w:rsidRDefault="00F63F4C" w:rsidP="00DD25D0">
            <w:pPr>
              <w:pStyle w:val="NormalIndent"/>
              <w:tabs>
                <w:tab w:val="clear" w:pos="1134"/>
                <w:tab w:val="left" w:pos="175"/>
              </w:tabs>
              <w:spacing w:after="0" w:line="240" w:lineRule="auto"/>
              <w:ind w:left="317"/>
              <w:rPr>
                <w:sz w:val="18"/>
                <w:szCs w:val="18"/>
              </w:rPr>
            </w:pPr>
          </w:p>
          <w:p w14:paraId="3E299125" w14:textId="77777777" w:rsidR="00F63F4C" w:rsidRPr="00EE43C6" w:rsidRDefault="00F63F4C" w:rsidP="00DD25D0">
            <w:pPr>
              <w:pStyle w:val="NormalIndent"/>
              <w:tabs>
                <w:tab w:val="clear" w:pos="1134"/>
                <w:tab w:val="left" w:pos="175"/>
              </w:tabs>
              <w:spacing w:after="0" w:line="240" w:lineRule="auto"/>
              <w:ind w:left="317"/>
              <w:rPr>
                <w:sz w:val="18"/>
                <w:szCs w:val="18"/>
              </w:rPr>
            </w:pPr>
          </w:p>
        </w:tc>
      </w:tr>
      <w:tr w:rsidR="00F63F4C" w:rsidRPr="00EE43C6" w14:paraId="4BB3BB1E" w14:textId="77777777" w:rsidTr="00DD25D0">
        <w:trPr>
          <w:trHeight w:val="284"/>
        </w:trPr>
        <w:tc>
          <w:tcPr>
            <w:tcW w:w="1652" w:type="pct"/>
            <w:shd w:val="clear" w:color="auto" w:fill="FFFFFF" w:themeFill="background1"/>
          </w:tcPr>
          <w:p w14:paraId="58158112" w14:textId="77777777" w:rsidR="00F63F4C" w:rsidRPr="00EE43C6" w:rsidRDefault="00F63F4C" w:rsidP="00DD25D0">
            <w:pPr>
              <w:pStyle w:val="NormalIndent"/>
              <w:spacing w:after="0" w:line="240" w:lineRule="auto"/>
              <w:ind w:left="0"/>
              <w:rPr>
                <w:b/>
                <w:bCs/>
                <w:sz w:val="18"/>
                <w:szCs w:val="18"/>
              </w:rPr>
            </w:pPr>
            <w:r w:rsidRPr="00EE43C6">
              <w:rPr>
                <w:b/>
                <w:bCs/>
                <w:sz w:val="18"/>
                <w:szCs w:val="18"/>
              </w:rPr>
              <w:t>Photograph</w:t>
            </w:r>
          </w:p>
          <w:p w14:paraId="4C0564F5" w14:textId="77777777" w:rsidR="00F63F4C" w:rsidRPr="00EE43C6" w:rsidRDefault="00F63F4C" w:rsidP="00DD25D0">
            <w:pPr>
              <w:pStyle w:val="NormalIndent"/>
              <w:spacing w:after="0" w:line="240" w:lineRule="auto"/>
              <w:rPr>
                <w:b/>
                <w:bCs/>
                <w:sz w:val="18"/>
                <w:szCs w:val="18"/>
              </w:rPr>
            </w:pPr>
          </w:p>
          <w:p w14:paraId="05FEE78B" w14:textId="77777777" w:rsidR="00F63F4C" w:rsidRPr="00EE43C6" w:rsidRDefault="00F63F4C" w:rsidP="00DD25D0">
            <w:pPr>
              <w:pStyle w:val="NormalIndent"/>
              <w:spacing w:after="0" w:line="240" w:lineRule="auto"/>
              <w:rPr>
                <w:b/>
                <w:bCs/>
                <w:sz w:val="18"/>
                <w:szCs w:val="18"/>
              </w:rPr>
            </w:pPr>
          </w:p>
          <w:p w14:paraId="1F057F7D" w14:textId="77777777" w:rsidR="00F63F4C" w:rsidRPr="00EE43C6" w:rsidRDefault="00F63F4C" w:rsidP="00DD25D0">
            <w:pPr>
              <w:pStyle w:val="NormalIndent"/>
              <w:spacing w:after="0" w:line="240" w:lineRule="auto"/>
              <w:rPr>
                <w:b/>
                <w:bCs/>
                <w:sz w:val="18"/>
                <w:szCs w:val="18"/>
              </w:rPr>
            </w:pPr>
          </w:p>
        </w:tc>
        <w:tc>
          <w:tcPr>
            <w:tcW w:w="3348" w:type="pct"/>
            <w:gridSpan w:val="2"/>
            <w:shd w:val="clear" w:color="auto" w:fill="FFFFFF" w:themeFill="background1"/>
          </w:tcPr>
          <w:p w14:paraId="30F89688" w14:textId="77777777" w:rsidR="00F63F4C" w:rsidRPr="00EE43C6" w:rsidRDefault="00F63F4C" w:rsidP="00DD25D0">
            <w:pPr>
              <w:pStyle w:val="NormalIndent"/>
              <w:spacing w:after="0" w:line="240" w:lineRule="auto"/>
              <w:rPr>
                <w:b/>
                <w:bCs/>
                <w:sz w:val="18"/>
                <w:szCs w:val="18"/>
              </w:rPr>
            </w:pPr>
          </w:p>
        </w:tc>
      </w:tr>
      <w:tr w:rsidR="00F63F4C" w:rsidRPr="00EE43C6" w14:paraId="2EC9E6E7" w14:textId="77777777" w:rsidTr="00DD25D0">
        <w:trPr>
          <w:trHeight w:val="284"/>
        </w:trPr>
        <w:tc>
          <w:tcPr>
            <w:tcW w:w="1652" w:type="pct"/>
            <w:shd w:val="clear" w:color="auto" w:fill="FFFFFF" w:themeFill="background1"/>
          </w:tcPr>
          <w:p w14:paraId="491E5453" w14:textId="77777777" w:rsidR="00F63F4C" w:rsidRPr="00EE43C6" w:rsidRDefault="00F63F4C" w:rsidP="00DD25D0">
            <w:pPr>
              <w:pStyle w:val="NormalIndent"/>
              <w:spacing w:after="0" w:line="240" w:lineRule="auto"/>
              <w:ind w:left="0"/>
              <w:rPr>
                <w:b/>
                <w:bCs/>
                <w:sz w:val="18"/>
                <w:szCs w:val="18"/>
              </w:rPr>
            </w:pPr>
            <w:r w:rsidRPr="00EE43C6">
              <w:rPr>
                <w:b/>
                <w:bCs/>
                <w:sz w:val="18"/>
                <w:szCs w:val="18"/>
              </w:rPr>
              <w:t>Discoverer's Name-Last Name:</w:t>
            </w:r>
          </w:p>
        </w:tc>
        <w:tc>
          <w:tcPr>
            <w:tcW w:w="3348" w:type="pct"/>
            <w:gridSpan w:val="2"/>
            <w:shd w:val="clear" w:color="auto" w:fill="FFFFFF" w:themeFill="background1"/>
          </w:tcPr>
          <w:p w14:paraId="2B95D99B" w14:textId="77777777" w:rsidR="00F63F4C" w:rsidRPr="00EE43C6" w:rsidRDefault="00F63F4C" w:rsidP="00DD25D0">
            <w:pPr>
              <w:pStyle w:val="NormalIndent"/>
              <w:spacing w:after="0" w:line="240" w:lineRule="auto"/>
              <w:rPr>
                <w:b/>
                <w:bCs/>
                <w:sz w:val="18"/>
                <w:szCs w:val="18"/>
              </w:rPr>
            </w:pPr>
          </w:p>
        </w:tc>
      </w:tr>
      <w:tr w:rsidR="00F63F4C" w:rsidRPr="00EE43C6" w14:paraId="0DA51343" w14:textId="77777777" w:rsidTr="00DD25D0">
        <w:trPr>
          <w:trHeight w:val="284"/>
        </w:trPr>
        <w:tc>
          <w:tcPr>
            <w:tcW w:w="1652" w:type="pct"/>
            <w:shd w:val="clear" w:color="auto" w:fill="FFFFFF" w:themeFill="background1"/>
          </w:tcPr>
          <w:p w14:paraId="12ABEC5C" w14:textId="77777777" w:rsidR="00F63F4C" w:rsidRPr="00EE43C6" w:rsidRDefault="00F63F4C" w:rsidP="00DD25D0">
            <w:pPr>
              <w:pStyle w:val="NormalIndent"/>
              <w:spacing w:after="0" w:line="240" w:lineRule="auto"/>
              <w:ind w:left="0"/>
              <w:rPr>
                <w:b/>
                <w:bCs/>
                <w:sz w:val="18"/>
                <w:szCs w:val="18"/>
              </w:rPr>
            </w:pPr>
            <w:r w:rsidRPr="00EE43C6">
              <w:rPr>
                <w:b/>
                <w:bCs/>
                <w:sz w:val="18"/>
                <w:szCs w:val="18"/>
              </w:rPr>
              <w:t>Signature:</w:t>
            </w:r>
          </w:p>
        </w:tc>
        <w:tc>
          <w:tcPr>
            <w:tcW w:w="3348" w:type="pct"/>
            <w:gridSpan w:val="2"/>
            <w:shd w:val="clear" w:color="auto" w:fill="FFFFFF" w:themeFill="background1"/>
          </w:tcPr>
          <w:p w14:paraId="689740FD" w14:textId="77777777" w:rsidR="00F63F4C" w:rsidRPr="00EE43C6" w:rsidRDefault="00F63F4C" w:rsidP="00DD25D0">
            <w:pPr>
              <w:pStyle w:val="NormalIndent"/>
              <w:spacing w:after="0" w:line="240" w:lineRule="auto"/>
              <w:rPr>
                <w:b/>
                <w:bCs/>
                <w:sz w:val="18"/>
                <w:szCs w:val="18"/>
              </w:rPr>
            </w:pPr>
          </w:p>
        </w:tc>
      </w:tr>
    </w:tbl>
    <w:p w14:paraId="59F3AE89" w14:textId="614F119D" w:rsidR="00063811" w:rsidRPr="00EE43C6" w:rsidRDefault="00063811" w:rsidP="00F63F4C">
      <w:pPr>
        <w:spacing w:before="0" w:after="200" w:line="276" w:lineRule="auto"/>
        <w:jc w:val="left"/>
        <w:rPr>
          <w:lang w:eastAsia="en-US"/>
        </w:rPr>
      </w:pPr>
    </w:p>
    <w:sectPr w:rsidR="00063811" w:rsidRPr="00EE43C6" w:rsidSect="00D719FE">
      <w:headerReference w:type="default" r:id="rId130"/>
      <w:pgSz w:w="11900" w:h="16840" w:code="9"/>
      <w:pgMar w:top="1701" w:right="1418" w:bottom="1559" w:left="1418" w:header="851" w:footer="7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2F288" w14:textId="77777777" w:rsidR="0067541F" w:rsidRDefault="0067541F" w:rsidP="004339AC">
      <w:pPr>
        <w:spacing w:before="0" w:after="0" w:line="240" w:lineRule="auto"/>
      </w:pPr>
      <w:r>
        <w:separator/>
      </w:r>
    </w:p>
  </w:endnote>
  <w:endnote w:type="continuationSeparator" w:id="0">
    <w:p w14:paraId="11572DC2" w14:textId="77777777" w:rsidR="0067541F" w:rsidRDefault="0067541F" w:rsidP="004339AC">
      <w:pPr>
        <w:spacing w:before="0" w:after="0" w:line="240" w:lineRule="auto"/>
      </w:pPr>
      <w:r>
        <w:continuationSeparator/>
      </w:r>
    </w:p>
  </w:endnote>
  <w:endnote w:type="continuationNotice" w:id="1">
    <w:p w14:paraId="3B2A3296" w14:textId="77777777" w:rsidR="0067541F" w:rsidRDefault="0067541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TUR">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F73F" w14:textId="77777777" w:rsidR="004C60B9" w:rsidRDefault="004C60B9" w:rsidP="004C60B9">
    <w:pPr>
      <w:pStyle w:val="Footer"/>
      <w:spacing w:before="0" w:after="0" w:line="240" w:lineRule="auto"/>
    </w:pPr>
    <w:r w:rsidRPr="00EE43C6">
      <w:rPr>
        <w:sz w:val="16"/>
        <w:szCs w:val="16"/>
      </w:rPr>
      <w:t>This Report has been prepared by 2U1K Engineering and Consulting Inc. on behalf of Directorate of Mersin Tarsus Agricultural Product Processing Specialized Organized Industrial Zone. No part of this report may be reproduced, distributed, or transmitted in any form or by any means, including printing, photocopying, microfilm, or other electronic or mechanical methods ; nor may be used for any purpose other than for which it is produced without the prior permission of the 2U1K Engineering and Consultancy Inc. 2U1K Engineering and Consultancy Inc.is certified according to the ISO 9001:2015, ISO 14001:2015 and ISO 45001:2018 integrated management system</w:t>
    </w:r>
  </w:p>
  <w:p w14:paraId="3E8DCDBF" w14:textId="77777777" w:rsidR="004C60B9" w:rsidRDefault="004C60B9" w:rsidP="004C60B9">
    <w:pPr>
      <w:pStyle w:val="Footer"/>
      <w:spacing w:before="0" w:after="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539"/>
      <w:gridCol w:w="8463"/>
    </w:tblGrid>
    <w:tr w:rsidR="00270ACC" w:rsidRPr="00ED44F3" w14:paraId="71194DA4" w14:textId="77777777" w:rsidTr="008A3429">
      <w:tc>
        <w:tcPr>
          <w:tcW w:w="1978" w:type="pct"/>
          <w:tcBorders>
            <w:bottom w:val="single" w:sz="4" w:space="0" w:color="00AEEC"/>
          </w:tcBorders>
        </w:tcPr>
        <w:p w14:paraId="2570270E" w14:textId="77777777" w:rsidR="00270ACC" w:rsidRPr="00ED44F3" w:rsidRDefault="00270ACC" w:rsidP="00A56F87">
          <w:pPr>
            <w:spacing w:before="40" w:after="40" w:line="240" w:lineRule="auto"/>
            <w:ind w:hanging="108"/>
            <w:rPr>
              <w:rFonts w:cs="Wingdings"/>
              <w:color w:val="00AEC0"/>
              <w:sz w:val="18"/>
              <w:szCs w:val="18"/>
            </w:rPr>
          </w:pPr>
          <w:r>
            <w:rPr>
              <w:rFonts w:cs="Wingdings"/>
              <w:color w:val="00AEC0"/>
              <w:sz w:val="18"/>
              <w:szCs w:val="18"/>
            </w:rPr>
            <w:t>Final Draft</w:t>
          </w:r>
          <w:r w:rsidRPr="00ED44F3">
            <w:rPr>
              <w:rFonts w:cs="Wingdings"/>
              <w:color w:val="00AEC0"/>
              <w:sz w:val="18"/>
              <w:szCs w:val="18"/>
            </w:rPr>
            <w:t xml:space="preserve"> Report </w:t>
          </w:r>
        </w:p>
      </w:tc>
      <w:tc>
        <w:tcPr>
          <w:tcW w:w="3022" w:type="pct"/>
          <w:tcBorders>
            <w:bottom w:val="single" w:sz="8" w:space="0" w:color="00B0F0"/>
          </w:tcBorders>
        </w:tcPr>
        <w:p w14:paraId="5A97154F" w14:textId="77777777" w:rsidR="00270ACC" w:rsidRPr="00ED44F3" w:rsidRDefault="00270ACC" w:rsidP="00A56F87">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270ACC" w:rsidRPr="00ED44F3" w14:paraId="54A31891" w14:textId="77777777" w:rsidTr="008A3429">
      <w:trPr>
        <w:trHeight w:val="179"/>
      </w:trPr>
      <w:tc>
        <w:tcPr>
          <w:tcW w:w="1978" w:type="pct"/>
          <w:tcBorders>
            <w:top w:val="single" w:sz="4" w:space="0" w:color="00AEEC"/>
          </w:tcBorders>
        </w:tcPr>
        <w:p w14:paraId="72C47387" w14:textId="77777777" w:rsidR="00270ACC" w:rsidRPr="00ED44F3" w:rsidRDefault="00270ACC" w:rsidP="00A56F87">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7590F20F" w14:textId="2E1FBC7B" w:rsidR="00270ACC" w:rsidRPr="00ED44F3" w:rsidRDefault="00270ACC" w:rsidP="00A56F87">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133</w:t>
          </w:r>
          <w:r w:rsidRPr="00ED44F3">
            <w:rPr>
              <w:rFonts w:cs="Wingdings"/>
              <w:b/>
              <w:color w:val="00B050"/>
              <w:sz w:val="18"/>
              <w:szCs w:val="2"/>
            </w:rPr>
            <w:fldChar w:fldCharType="end"/>
          </w:r>
          <w:r>
            <w:rPr>
              <w:rFonts w:cs="Wingdings"/>
              <w:color w:val="00B050"/>
              <w:sz w:val="18"/>
              <w:szCs w:val="2"/>
            </w:rPr>
            <w:t xml:space="preserve"> / 25</w:t>
          </w:r>
          <w:r w:rsidR="00733598">
            <w:rPr>
              <w:rFonts w:cs="Wingdings"/>
              <w:color w:val="00B050"/>
              <w:sz w:val="18"/>
              <w:szCs w:val="2"/>
            </w:rPr>
            <w:t>2</w:t>
          </w:r>
        </w:p>
      </w:tc>
    </w:tr>
  </w:tbl>
  <w:p w14:paraId="0FF25AE7" w14:textId="77777777" w:rsidR="00270ACC" w:rsidRPr="00A56F87" w:rsidRDefault="00270ACC" w:rsidP="00A126DC">
    <w:pPr>
      <w:pStyle w:val="Footer"/>
      <w:spacing w:before="0" w:after="0" w:line="240"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270ACC" w:rsidRPr="00ED44F3" w14:paraId="165A6B59" w14:textId="77777777" w:rsidTr="008A3429">
      <w:tc>
        <w:tcPr>
          <w:tcW w:w="1978" w:type="pct"/>
          <w:tcBorders>
            <w:bottom w:val="single" w:sz="4" w:space="0" w:color="00AEEC"/>
          </w:tcBorders>
        </w:tcPr>
        <w:p w14:paraId="4A616C68" w14:textId="77777777" w:rsidR="00270ACC" w:rsidRPr="00ED44F3" w:rsidRDefault="00270ACC" w:rsidP="00A56F87">
          <w:pPr>
            <w:spacing w:before="40" w:after="40" w:line="240" w:lineRule="auto"/>
            <w:ind w:hanging="108"/>
            <w:rPr>
              <w:rFonts w:cs="Wingdings"/>
              <w:color w:val="00AEC0"/>
              <w:sz w:val="18"/>
              <w:szCs w:val="18"/>
            </w:rPr>
          </w:pPr>
          <w:r>
            <w:rPr>
              <w:rFonts w:cs="Wingdings"/>
              <w:color w:val="00AEC0"/>
              <w:sz w:val="18"/>
              <w:szCs w:val="18"/>
            </w:rPr>
            <w:t>Final Draft</w:t>
          </w:r>
          <w:r w:rsidRPr="00ED44F3">
            <w:rPr>
              <w:rFonts w:cs="Wingdings"/>
              <w:color w:val="00AEC0"/>
              <w:sz w:val="18"/>
              <w:szCs w:val="18"/>
            </w:rPr>
            <w:t xml:space="preserve"> Report </w:t>
          </w:r>
        </w:p>
      </w:tc>
      <w:tc>
        <w:tcPr>
          <w:tcW w:w="3022" w:type="pct"/>
          <w:tcBorders>
            <w:bottom w:val="single" w:sz="8" w:space="0" w:color="00B0F0"/>
          </w:tcBorders>
        </w:tcPr>
        <w:p w14:paraId="1688BA29" w14:textId="77777777" w:rsidR="00270ACC" w:rsidRPr="00ED44F3" w:rsidRDefault="00270ACC" w:rsidP="00A56F87">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270ACC" w:rsidRPr="00ED44F3" w14:paraId="34389A18" w14:textId="77777777" w:rsidTr="008A3429">
      <w:trPr>
        <w:trHeight w:val="179"/>
      </w:trPr>
      <w:tc>
        <w:tcPr>
          <w:tcW w:w="1978" w:type="pct"/>
          <w:tcBorders>
            <w:top w:val="single" w:sz="4" w:space="0" w:color="00AEEC"/>
          </w:tcBorders>
        </w:tcPr>
        <w:p w14:paraId="25D4EE81" w14:textId="77777777" w:rsidR="00270ACC" w:rsidRPr="00ED44F3" w:rsidRDefault="00270ACC" w:rsidP="00A56F87">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74CE950A" w14:textId="7EA8FB1B" w:rsidR="00270ACC" w:rsidRPr="00ED44F3" w:rsidRDefault="00270ACC" w:rsidP="00A56F87">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133</w:t>
          </w:r>
          <w:r w:rsidRPr="00ED44F3">
            <w:rPr>
              <w:rFonts w:cs="Wingdings"/>
              <w:b/>
              <w:color w:val="00B050"/>
              <w:sz w:val="18"/>
              <w:szCs w:val="2"/>
            </w:rPr>
            <w:fldChar w:fldCharType="end"/>
          </w:r>
          <w:r>
            <w:rPr>
              <w:rFonts w:cs="Wingdings"/>
              <w:color w:val="00B050"/>
              <w:sz w:val="18"/>
              <w:szCs w:val="2"/>
            </w:rPr>
            <w:t xml:space="preserve"> / 25</w:t>
          </w:r>
          <w:r w:rsidR="00733598">
            <w:rPr>
              <w:rFonts w:cs="Wingdings"/>
              <w:color w:val="00B050"/>
              <w:sz w:val="18"/>
              <w:szCs w:val="2"/>
            </w:rPr>
            <w:t>2</w:t>
          </w:r>
        </w:p>
      </w:tc>
    </w:tr>
  </w:tbl>
  <w:p w14:paraId="7A7C4F20" w14:textId="77777777" w:rsidR="00270ACC" w:rsidRPr="00A56F87" w:rsidRDefault="00270ACC" w:rsidP="00A126DC">
    <w:pPr>
      <w:pStyle w:val="Footer"/>
      <w:spacing w:before="0" w:after="0" w:line="240"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8"/>
      <w:gridCol w:w="5482"/>
    </w:tblGrid>
    <w:tr w:rsidR="00270ACC" w:rsidRPr="00ED44F3" w14:paraId="64A80A33" w14:textId="77777777" w:rsidTr="008A3429">
      <w:tc>
        <w:tcPr>
          <w:tcW w:w="1978" w:type="pct"/>
          <w:tcBorders>
            <w:bottom w:val="single" w:sz="4" w:space="0" w:color="00AEEC"/>
          </w:tcBorders>
        </w:tcPr>
        <w:p w14:paraId="6E336C58" w14:textId="77777777" w:rsidR="00270ACC" w:rsidRPr="00ED44F3" w:rsidRDefault="00270ACC" w:rsidP="00A56F87">
          <w:pPr>
            <w:spacing w:before="40" w:after="40" w:line="240" w:lineRule="auto"/>
            <w:ind w:hanging="108"/>
            <w:rPr>
              <w:rFonts w:cs="Wingdings"/>
              <w:color w:val="00AEC0"/>
              <w:sz w:val="18"/>
              <w:szCs w:val="18"/>
            </w:rPr>
          </w:pPr>
          <w:r>
            <w:rPr>
              <w:rFonts w:cs="Wingdings"/>
              <w:color w:val="00AEC0"/>
              <w:sz w:val="18"/>
              <w:szCs w:val="18"/>
            </w:rPr>
            <w:t>Final Draft</w:t>
          </w:r>
          <w:r w:rsidRPr="00ED44F3">
            <w:rPr>
              <w:rFonts w:cs="Wingdings"/>
              <w:color w:val="00AEC0"/>
              <w:sz w:val="18"/>
              <w:szCs w:val="18"/>
            </w:rPr>
            <w:t xml:space="preserve"> Report </w:t>
          </w:r>
        </w:p>
      </w:tc>
      <w:tc>
        <w:tcPr>
          <w:tcW w:w="3022" w:type="pct"/>
          <w:tcBorders>
            <w:bottom w:val="single" w:sz="8" w:space="0" w:color="00B0F0"/>
          </w:tcBorders>
        </w:tcPr>
        <w:p w14:paraId="45D0570B" w14:textId="77777777" w:rsidR="00270ACC" w:rsidRPr="00ED44F3" w:rsidRDefault="00270ACC" w:rsidP="00A56F87">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270ACC" w:rsidRPr="00ED44F3" w14:paraId="6CA164C3" w14:textId="77777777" w:rsidTr="008A3429">
      <w:trPr>
        <w:trHeight w:val="179"/>
      </w:trPr>
      <w:tc>
        <w:tcPr>
          <w:tcW w:w="1978" w:type="pct"/>
          <w:tcBorders>
            <w:top w:val="single" w:sz="4" w:space="0" w:color="00AEEC"/>
          </w:tcBorders>
        </w:tcPr>
        <w:p w14:paraId="1D9C3220" w14:textId="77777777" w:rsidR="00270ACC" w:rsidRPr="00ED44F3" w:rsidRDefault="00270ACC" w:rsidP="00A56F87">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0C3BC92C" w14:textId="6E0EB5C6" w:rsidR="00270ACC" w:rsidRPr="00ED44F3" w:rsidRDefault="00270ACC" w:rsidP="00A56F87">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133</w:t>
          </w:r>
          <w:r w:rsidRPr="00ED44F3">
            <w:rPr>
              <w:rFonts w:cs="Wingdings"/>
              <w:b/>
              <w:color w:val="00B050"/>
              <w:sz w:val="18"/>
              <w:szCs w:val="2"/>
            </w:rPr>
            <w:fldChar w:fldCharType="end"/>
          </w:r>
          <w:r>
            <w:rPr>
              <w:rFonts w:cs="Wingdings"/>
              <w:color w:val="00B050"/>
              <w:sz w:val="18"/>
              <w:szCs w:val="2"/>
            </w:rPr>
            <w:t xml:space="preserve"> / 25</w:t>
          </w:r>
          <w:r w:rsidR="00733598">
            <w:rPr>
              <w:rFonts w:cs="Wingdings"/>
              <w:color w:val="00B050"/>
              <w:sz w:val="18"/>
              <w:szCs w:val="2"/>
            </w:rPr>
            <w:t>2</w:t>
          </w:r>
        </w:p>
      </w:tc>
    </w:tr>
  </w:tbl>
  <w:p w14:paraId="06A38D7F" w14:textId="77777777" w:rsidR="00270ACC" w:rsidRPr="00A56F87" w:rsidRDefault="00270ACC" w:rsidP="00A126DC">
    <w:pPr>
      <w:pStyle w:val="Footer"/>
      <w:spacing w:before="0" w:after="0" w:line="240"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8299"/>
      <w:gridCol w:w="12679"/>
    </w:tblGrid>
    <w:tr w:rsidR="00270ACC" w:rsidRPr="00ED44F3" w14:paraId="27D017DA" w14:textId="77777777" w:rsidTr="008A3429">
      <w:tc>
        <w:tcPr>
          <w:tcW w:w="1978" w:type="pct"/>
          <w:tcBorders>
            <w:bottom w:val="single" w:sz="4" w:space="0" w:color="00AEEC"/>
          </w:tcBorders>
        </w:tcPr>
        <w:p w14:paraId="41F56BB3" w14:textId="77777777" w:rsidR="00270ACC" w:rsidRPr="00ED44F3" w:rsidRDefault="00270ACC" w:rsidP="00A56F87">
          <w:pPr>
            <w:spacing w:before="40" w:after="40" w:line="240" w:lineRule="auto"/>
            <w:ind w:hanging="108"/>
            <w:rPr>
              <w:rFonts w:cs="Wingdings"/>
              <w:color w:val="00AEC0"/>
              <w:sz w:val="18"/>
              <w:szCs w:val="18"/>
            </w:rPr>
          </w:pPr>
          <w:r>
            <w:rPr>
              <w:rFonts w:cs="Wingdings"/>
              <w:color w:val="00AEC0"/>
              <w:sz w:val="18"/>
              <w:szCs w:val="18"/>
            </w:rPr>
            <w:t>Final Draft</w:t>
          </w:r>
          <w:r w:rsidRPr="00ED44F3">
            <w:rPr>
              <w:rFonts w:cs="Wingdings"/>
              <w:color w:val="00AEC0"/>
              <w:sz w:val="18"/>
              <w:szCs w:val="18"/>
            </w:rPr>
            <w:t xml:space="preserve"> Report </w:t>
          </w:r>
        </w:p>
      </w:tc>
      <w:tc>
        <w:tcPr>
          <w:tcW w:w="3022" w:type="pct"/>
          <w:tcBorders>
            <w:bottom w:val="single" w:sz="8" w:space="0" w:color="00B0F0"/>
          </w:tcBorders>
        </w:tcPr>
        <w:p w14:paraId="7F3177DB" w14:textId="77777777" w:rsidR="00270ACC" w:rsidRPr="00ED44F3" w:rsidRDefault="00270ACC" w:rsidP="00A56F87">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270ACC" w:rsidRPr="00ED44F3" w14:paraId="26539B76" w14:textId="77777777" w:rsidTr="008A3429">
      <w:trPr>
        <w:trHeight w:val="179"/>
      </w:trPr>
      <w:tc>
        <w:tcPr>
          <w:tcW w:w="1978" w:type="pct"/>
          <w:tcBorders>
            <w:top w:val="single" w:sz="4" w:space="0" w:color="00AEEC"/>
          </w:tcBorders>
        </w:tcPr>
        <w:p w14:paraId="752FD372" w14:textId="77777777" w:rsidR="00270ACC" w:rsidRPr="00ED44F3" w:rsidRDefault="00270ACC" w:rsidP="00A56F87">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46CFA0AB" w14:textId="1AE9557C" w:rsidR="00270ACC" w:rsidRPr="00ED44F3" w:rsidRDefault="00270ACC" w:rsidP="00A56F87">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133</w:t>
          </w:r>
          <w:r w:rsidRPr="00ED44F3">
            <w:rPr>
              <w:rFonts w:cs="Wingdings"/>
              <w:b/>
              <w:color w:val="00B050"/>
              <w:sz w:val="18"/>
              <w:szCs w:val="2"/>
            </w:rPr>
            <w:fldChar w:fldCharType="end"/>
          </w:r>
          <w:r>
            <w:rPr>
              <w:rFonts w:cs="Wingdings"/>
              <w:color w:val="00B050"/>
              <w:sz w:val="18"/>
              <w:szCs w:val="2"/>
            </w:rPr>
            <w:t xml:space="preserve"> / 25</w:t>
          </w:r>
          <w:r w:rsidR="00733598">
            <w:rPr>
              <w:rFonts w:cs="Wingdings"/>
              <w:color w:val="00B050"/>
              <w:sz w:val="18"/>
              <w:szCs w:val="2"/>
            </w:rPr>
            <w:t>2</w:t>
          </w:r>
        </w:p>
      </w:tc>
    </w:tr>
  </w:tbl>
  <w:p w14:paraId="707FC173" w14:textId="77777777" w:rsidR="00270ACC" w:rsidRPr="00A56F87" w:rsidRDefault="00270ACC" w:rsidP="00A126DC">
    <w:pPr>
      <w:pStyle w:val="Footer"/>
      <w:spacing w:before="0" w:after="0" w:line="240"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270ACC" w:rsidRPr="00ED44F3" w14:paraId="298854D5" w14:textId="77777777" w:rsidTr="008A3429">
      <w:tc>
        <w:tcPr>
          <w:tcW w:w="1978" w:type="pct"/>
          <w:tcBorders>
            <w:bottom w:val="single" w:sz="4" w:space="0" w:color="00AEEC"/>
          </w:tcBorders>
        </w:tcPr>
        <w:p w14:paraId="7BDC0E07" w14:textId="77777777" w:rsidR="00270ACC" w:rsidRPr="00ED44F3" w:rsidRDefault="00270ACC" w:rsidP="00A56F87">
          <w:pPr>
            <w:spacing w:before="40" w:after="40" w:line="240" w:lineRule="auto"/>
            <w:ind w:hanging="108"/>
            <w:rPr>
              <w:rFonts w:cs="Wingdings"/>
              <w:color w:val="00AEC0"/>
              <w:sz w:val="18"/>
              <w:szCs w:val="18"/>
            </w:rPr>
          </w:pPr>
          <w:r>
            <w:rPr>
              <w:rFonts w:cs="Wingdings"/>
              <w:color w:val="00AEC0"/>
              <w:sz w:val="18"/>
              <w:szCs w:val="18"/>
            </w:rPr>
            <w:t>Final Draft</w:t>
          </w:r>
          <w:r w:rsidRPr="00ED44F3">
            <w:rPr>
              <w:rFonts w:cs="Wingdings"/>
              <w:color w:val="00AEC0"/>
              <w:sz w:val="18"/>
              <w:szCs w:val="18"/>
            </w:rPr>
            <w:t xml:space="preserve"> Report </w:t>
          </w:r>
        </w:p>
      </w:tc>
      <w:tc>
        <w:tcPr>
          <w:tcW w:w="3022" w:type="pct"/>
          <w:tcBorders>
            <w:bottom w:val="single" w:sz="8" w:space="0" w:color="00B0F0"/>
          </w:tcBorders>
        </w:tcPr>
        <w:p w14:paraId="44130A8B" w14:textId="77777777" w:rsidR="00270ACC" w:rsidRPr="00ED44F3" w:rsidRDefault="00270ACC" w:rsidP="00A56F87">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270ACC" w:rsidRPr="00ED44F3" w14:paraId="295EC986" w14:textId="77777777" w:rsidTr="008A3429">
      <w:trPr>
        <w:trHeight w:val="179"/>
      </w:trPr>
      <w:tc>
        <w:tcPr>
          <w:tcW w:w="1978" w:type="pct"/>
          <w:tcBorders>
            <w:top w:val="single" w:sz="4" w:space="0" w:color="00AEEC"/>
          </w:tcBorders>
        </w:tcPr>
        <w:p w14:paraId="6E2B3D27" w14:textId="77777777" w:rsidR="00270ACC" w:rsidRPr="00ED44F3" w:rsidRDefault="00270ACC" w:rsidP="00A56F87">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0BD5EFD7" w14:textId="6AEEE22B" w:rsidR="00270ACC" w:rsidRPr="00ED44F3" w:rsidRDefault="00270ACC" w:rsidP="00A56F87">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133</w:t>
          </w:r>
          <w:r w:rsidRPr="00ED44F3">
            <w:rPr>
              <w:rFonts w:cs="Wingdings"/>
              <w:b/>
              <w:color w:val="00B050"/>
              <w:sz w:val="18"/>
              <w:szCs w:val="2"/>
            </w:rPr>
            <w:fldChar w:fldCharType="end"/>
          </w:r>
          <w:r>
            <w:rPr>
              <w:rFonts w:cs="Wingdings"/>
              <w:color w:val="00B050"/>
              <w:sz w:val="18"/>
              <w:szCs w:val="2"/>
            </w:rPr>
            <w:t xml:space="preserve"> / 25</w:t>
          </w:r>
          <w:r w:rsidR="00733598">
            <w:rPr>
              <w:rFonts w:cs="Wingdings"/>
              <w:color w:val="00B050"/>
              <w:sz w:val="18"/>
              <w:szCs w:val="2"/>
            </w:rPr>
            <w:t>2</w:t>
          </w:r>
        </w:p>
      </w:tc>
    </w:tr>
  </w:tbl>
  <w:p w14:paraId="3465D8EC" w14:textId="77777777" w:rsidR="00270ACC" w:rsidRPr="00A56F87" w:rsidRDefault="00270ACC" w:rsidP="00A126DC">
    <w:pPr>
      <w:pStyle w:val="Footer"/>
      <w:spacing w:before="0" w:after="0" w:line="240"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540"/>
      <w:gridCol w:w="8464"/>
    </w:tblGrid>
    <w:tr w:rsidR="00270ACC" w:rsidRPr="00ED44F3" w14:paraId="50976125" w14:textId="77777777" w:rsidTr="008A3429">
      <w:tc>
        <w:tcPr>
          <w:tcW w:w="1978" w:type="pct"/>
          <w:tcBorders>
            <w:bottom w:val="single" w:sz="4" w:space="0" w:color="00AEEC"/>
          </w:tcBorders>
        </w:tcPr>
        <w:p w14:paraId="4A2A87B8" w14:textId="77777777" w:rsidR="00270ACC" w:rsidRPr="00ED44F3" w:rsidRDefault="00270ACC" w:rsidP="00A56F87">
          <w:pPr>
            <w:spacing w:before="40" w:after="40" w:line="240" w:lineRule="auto"/>
            <w:ind w:hanging="108"/>
            <w:rPr>
              <w:rFonts w:cs="Wingdings"/>
              <w:color w:val="00AEC0"/>
              <w:sz w:val="18"/>
              <w:szCs w:val="18"/>
            </w:rPr>
          </w:pPr>
          <w:r>
            <w:rPr>
              <w:rFonts w:cs="Wingdings"/>
              <w:color w:val="00AEC0"/>
              <w:sz w:val="18"/>
              <w:szCs w:val="18"/>
            </w:rPr>
            <w:t>Final Draft</w:t>
          </w:r>
          <w:r w:rsidRPr="00ED44F3">
            <w:rPr>
              <w:rFonts w:cs="Wingdings"/>
              <w:color w:val="00AEC0"/>
              <w:sz w:val="18"/>
              <w:szCs w:val="18"/>
            </w:rPr>
            <w:t xml:space="preserve"> Report </w:t>
          </w:r>
        </w:p>
      </w:tc>
      <w:tc>
        <w:tcPr>
          <w:tcW w:w="3022" w:type="pct"/>
          <w:tcBorders>
            <w:bottom w:val="single" w:sz="8" w:space="0" w:color="00B0F0"/>
          </w:tcBorders>
        </w:tcPr>
        <w:p w14:paraId="5CA56819" w14:textId="77777777" w:rsidR="00270ACC" w:rsidRPr="00ED44F3" w:rsidRDefault="00270ACC" w:rsidP="00A56F87">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270ACC" w:rsidRPr="00ED44F3" w14:paraId="294370D2" w14:textId="77777777" w:rsidTr="008A3429">
      <w:trPr>
        <w:trHeight w:val="179"/>
      </w:trPr>
      <w:tc>
        <w:tcPr>
          <w:tcW w:w="1978" w:type="pct"/>
          <w:tcBorders>
            <w:top w:val="single" w:sz="4" w:space="0" w:color="00AEEC"/>
          </w:tcBorders>
        </w:tcPr>
        <w:p w14:paraId="5A76AF04" w14:textId="77777777" w:rsidR="00270ACC" w:rsidRPr="00ED44F3" w:rsidRDefault="00270ACC" w:rsidP="00A56F87">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16251FD8" w14:textId="40BFF99D" w:rsidR="00270ACC" w:rsidRPr="00ED44F3" w:rsidRDefault="00270ACC" w:rsidP="00A56F87">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133</w:t>
          </w:r>
          <w:r w:rsidRPr="00ED44F3">
            <w:rPr>
              <w:rFonts w:cs="Wingdings"/>
              <w:b/>
              <w:color w:val="00B050"/>
              <w:sz w:val="18"/>
              <w:szCs w:val="2"/>
            </w:rPr>
            <w:fldChar w:fldCharType="end"/>
          </w:r>
          <w:r>
            <w:rPr>
              <w:rFonts w:cs="Wingdings"/>
              <w:color w:val="00B050"/>
              <w:sz w:val="18"/>
              <w:szCs w:val="2"/>
            </w:rPr>
            <w:t xml:space="preserve"> / 25</w:t>
          </w:r>
          <w:r w:rsidR="00733598">
            <w:rPr>
              <w:rFonts w:cs="Wingdings"/>
              <w:color w:val="00B050"/>
              <w:sz w:val="18"/>
              <w:szCs w:val="2"/>
            </w:rPr>
            <w:t>2</w:t>
          </w:r>
        </w:p>
      </w:tc>
    </w:tr>
  </w:tbl>
  <w:p w14:paraId="1B4BE97B" w14:textId="77777777" w:rsidR="00270ACC" w:rsidRPr="00A56F87" w:rsidRDefault="00270ACC" w:rsidP="00A126DC">
    <w:pPr>
      <w:pStyle w:val="Footer"/>
      <w:spacing w:before="0" w:after="0" w:line="240" w:lineRule="auto"/>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270ACC" w:rsidRPr="00ED44F3" w14:paraId="7A3C9784" w14:textId="77777777" w:rsidTr="008A3429">
      <w:tc>
        <w:tcPr>
          <w:tcW w:w="1978" w:type="pct"/>
          <w:tcBorders>
            <w:bottom w:val="single" w:sz="4" w:space="0" w:color="00AEEC"/>
          </w:tcBorders>
        </w:tcPr>
        <w:p w14:paraId="17302E88" w14:textId="77777777" w:rsidR="00270ACC" w:rsidRPr="00ED44F3" w:rsidRDefault="00270ACC" w:rsidP="00A56F87">
          <w:pPr>
            <w:spacing w:before="40" w:after="40" w:line="240" w:lineRule="auto"/>
            <w:ind w:hanging="108"/>
            <w:rPr>
              <w:rFonts w:cs="Wingdings"/>
              <w:color w:val="00AEC0"/>
              <w:sz w:val="18"/>
              <w:szCs w:val="18"/>
            </w:rPr>
          </w:pPr>
          <w:r>
            <w:rPr>
              <w:rFonts w:cs="Wingdings"/>
              <w:color w:val="00AEC0"/>
              <w:sz w:val="18"/>
              <w:szCs w:val="18"/>
            </w:rPr>
            <w:t>Final Draft</w:t>
          </w:r>
          <w:r w:rsidRPr="00ED44F3">
            <w:rPr>
              <w:rFonts w:cs="Wingdings"/>
              <w:color w:val="00AEC0"/>
              <w:sz w:val="18"/>
              <w:szCs w:val="18"/>
            </w:rPr>
            <w:t xml:space="preserve"> Report </w:t>
          </w:r>
        </w:p>
      </w:tc>
      <w:tc>
        <w:tcPr>
          <w:tcW w:w="3022" w:type="pct"/>
          <w:tcBorders>
            <w:bottom w:val="single" w:sz="8" w:space="0" w:color="00B0F0"/>
          </w:tcBorders>
        </w:tcPr>
        <w:p w14:paraId="2E75DA18" w14:textId="77777777" w:rsidR="00270ACC" w:rsidRPr="00ED44F3" w:rsidRDefault="00270ACC" w:rsidP="00A56F87">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270ACC" w:rsidRPr="00ED44F3" w14:paraId="31EAA71D" w14:textId="77777777" w:rsidTr="008A3429">
      <w:trPr>
        <w:trHeight w:val="179"/>
      </w:trPr>
      <w:tc>
        <w:tcPr>
          <w:tcW w:w="1978" w:type="pct"/>
          <w:tcBorders>
            <w:top w:val="single" w:sz="4" w:space="0" w:color="00AEEC"/>
          </w:tcBorders>
        </w:tcPr>
        <w:p w14:paraId="018DAA21" w14:textId="77777777" w:rsidR="00270ACC" w:rsidRPr="00ED44F3" w:rsidRDefault="00270ACC" w:rsidP="00A56F87">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32C45B2D" w14:textId="36DE5C6B" w:rsidR="00270ACC" w:rsidRPr="00ED44F3" w:rsidRDefault="00270ACC" w:rsidP="00A56F87">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133</w:t>
          </w:r>
          <w:r w:rsidRPr="00ED44F3">
            <w:rPr>
              <w:rFonts w:cs="Wingdings"/>
              <w:b/>
              <w:color w:val="00B050"/>
              <w:sz w:val="18"/>
              <w:szCs w:val="2"/>
            </w:rPr>
            <w:fldChar w:fldCharType="end"/>
          </w:r>
          <w:r>
            <w:rPr>
              <w:rFonts w:cs="Wingdings"/>
              <w:color w:val="00B050"/>
              <w:sz w:val="18"/>
              <w:szCs w:val="2"/>
            </w:rPr>
            <w:t xml:space="preserve"> / 25</w:t>
          </w:r>
          <w:r w:rsidR="00733598">
            <w:rPr>
              <w:rFonts w:cs="Wingdings"/>
              <w:color w:val="00B050"/>
              <w:sz w:val="18"/>
              <w:szCs w:val="2"/>
            </w:rPr>
            <w:t>2</w:t>
          </w:r>
        </w:p>
      </w:tc>
    </w:tr>
  </w:tbl>
  <w:p w14:paraId="1219D9BE" w14:textId="77777777" w:rsidR="00270ACC" w:rsidRPr="00A56F87" w:rsidRDefault="00270ACC" w:rsidP="00A126DC">
    <w:pPr>
      <w:pStyle w:val="Footer"/>
      <w:spacing w:before="0" w:after="0"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71341B" w:rsidRPr="00ED44F3" w14:paraId="6DF11E81" w14:textId="77777777" w:rsidTr="003C297A">
      <w:tc>
        <w:tcPr>
          <w:tcW w:w="1978" w:type="pct"/>
          <w:tcBorders>
            <w:bottom w:val="single" w:sz="4" w:space="0" w:color="00AEEC"/>
          </w:tcBorders>
        </w:tcPr>
        <w:p w14:paraId="5CD2404D" w14:textId="297383BD" w:rsidR="0071341B" w:rsidRPr="00ED44F3" w:rsidRDefault="00270ACC" w:rsidP="00FC3C03">
          <w:pPr>
            <w:spacing w:before="40" w:after="40" w:line="240" w:lineRule="auto"/>
            <w:ind w:hanging="108"/>
            <w:rPr>
              <w:rFonts w:cs="Wingdings"/>
              <w:color w:val="00AEC0"/>
              <w:sz w:val="18"/>
              <w:szCs w:val="18"/>
            </w:rPr>
          </w:pPr>
          <w:r>
            <w:rPr>
              <w:rFonts w:cs="Wingdings"/>
              <w:color w:val="00AEC0"/>
              <w:sz w:val="18"/>
              <w:szCs w:val="18"/>
            </w:rPr>
            <w:t xml:space="preserve">Final </w:t>
          </w:r>
          <w:r w:rsidR="0071341B">
            <w:rPr>
              <w:rFonts w:cs="Wingdings"/>
              <w:color w:val="00AEC0"/>
              <w:sz w:val="18"/>
              <w:szCs w:val="18"/>
            </w:rPr>
            <w:t>Draft</w:t>
          </w:r>
          <w:r w:rsidR="0071341B" w:rsidRPr="00ED44F3">
            <w:rPr>
              <w:rFonts w:cs="Wingdings"/>
              <w:color w:val="00AEC0"/>
              <w:sz w:val="18"/>
              <w:szCs w:val="18"/>
            </w:rPr>
            <w:t xml:space="preserve"> Report </w:t>
          </w:r>
        </w:p>
      </w:tc>
      <w:tc>
        <w:tcPr>
          <w:tcW w:w="3022" w:type="pct"/>
          <w:tcBorders>
            <w:bottom w:val="single" w:sz="8" w:space="0" w:color="00B0F0"/>
          </w:tcBorders>
        </w:tcPr>
        <w:p w14:paraId="08F9B067" w14:textId="2075E654" w:rsidR="0071341B" w:rsidRPr="00ED44F3" w:rsidRDefault="0071341B" w:rsidP="00FC3C03">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202</w:t>
          </w:r>
          <w:r>
            <w:rPr>
              <w:rFonts w:cs="Wingdings"/>
              <w:color w:val="00B0F0"/>
              <w:sz w:val="18"/>
              <w:szCs w:val="2"/>
            </w:rPr>
            <w:t>3</w:t>
          </w:r>
        </w:p>
      </w:tc>
    </w:tr>
    <w:tr w:rsidR="0071341B" w:rsidRPr="00ED44F3" w14:paraId="209BF160" w14:textId="77777777" w:rsidTr="003C297A">
      <w:trPr>
        <w:trHeight w:val="179"/>
      </w:trPr>
      <w:tc>
        <w:tcPr>
          <w:tcW w:w="1978" w:type="pct"/>
          <w:tcBorders>
            <w:top w:val="single" w:sz="4" w:space="0" w:color="00AEEC"/>
          </w:tcBorders>
        </w:tcPr>
        <w:p w14:paraId="562C38D1" w14:textId="446EBA51" w:rsidR="0071341B" w:rsidRPr="00ED44F3" w:rsidRDefault="0071341B" w:rsidP="00FC3C03">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798C90CD" w14:textId="736DF33F" w:rsidR="0071341B" w:rsidRPr="00ED44F3" w:rsidRDefault="0071341B" w:rsidP="00FC3C03">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ix</w:t>
          </w:r>
          <w:r w:rsidRPr="00ED44F3">
            <w:rPr>
              <w:rFonts w:cs="Wingdings"/>
              <w:b/>
              <w:color w:val="00B050"/>
              <w:sz w:val="18"/>
              <w:szCs w:val="2"/>
            </w:rPr>
            <w:fldChar w:fldCharType="end"/>
          </w:r>
          <w:r>
            <w:rPr>
              <w:rFonts w:cs="Wingdings"/>
              <w:color w:val="00B050"/>
              <w:sz w:val="18"/>
              <w:szCs w:val="2"/>
            </w:rPr>
            <w:t xml:space="preserve"> / ix</w:t>
          </w:r>
        </w:p>
      </w:tc>
    </w:tr>
  </w:tbl>
  <w:p w14:paraId="1987AEBE" w14:textId="77777777" w:rsidR="0071341B" w:rsidRPr="00FC3C03" w:rsidRDefault="0071341B" w:rsidP="00FC3C03">
    <w:pPr>
      <w:pStyle w:val="Footer"/>
      <w:spacing w:before="0" w:after="0" w:line="240"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71341B" w:rsidRPr="00ED44F3" w14:paraId="4E40ADDE" w14:textId="77777777" w:rsidTr="003C297A">
      <w:tc>
        <w:tcPr>
          <w:tcW w:w="1978" w:type="pct"/>
          <w:tcBorders>
            <w:bottom w:val="single" w:sz="4" w:space="0" w:color="00AEEC"/>
          </w:tcBorders>
        </w:tcPr>
        <w:p w14:paraId="0542FA81" w14:textId="3E9B5896" w:rsidR="0071341B" w:rsidRPr="00ED44F3" w:rsidRDefault="00270ACC" w:rsidP="00FC3C03">
          <w:pPr>
            <w:spacing w:before="40" w:after="40" w:line="240" w:lineRule="auto"/>
            <w:ind w:hanging="108"/>
            <w:rPr>
              <w:rFonts w:cs="Wingdings"/>
              <w:color w:val="00AEC0"/>
              <w:sz w:val="18"/>
              <w:szCs w:val="18"/>
            </w:rPr>
          </w:pPr>
          <w:r>
            <w:rPr>
              <w:rFonts w:cs="Wingdings"/>
              <w:color w:val="00AEC0"/>
              <w:sz w:val="18"/>
              <w:szCs w:val="18"/>
            </w:rPr>
            <w:t xml:space="preserve">Final </w:t>
          </w:r>
          <w:r w:rsidR="0071341B">
            <w:rPr>
              <w:rFonts w:cs="Wingdings"/>
              <w:color w:val="00AEC0"/>
              <w:sz w:val="18"/>
              <w:szCs w:val="18"/>
            </w:rPr>
            <w:t>Draft</w:t>
          </w:r>
          <w:r w:rsidR="0071341B" w:rsidRPr="00ED44F3">
            <w:rPr>
              <w:rFonts w:cs="Wingdings"/>
              <w:color w:val="00AEC0"/>
              <w:sz w:val="18"/>
              <w:szCs w:val="18"/>
            </w:rPr>
            <w:t xml:space="preserve"> Report </w:t>
          </w:r>
        </w:p>
      </w:tc>
      <w:tc>
        <w:tcPr>
          <w:tcW w:w="3022" w:type="pct"/>
          <w:tcBorders>
            <w:bottom w:val="single" w:sz="8" w:space="0" w:color="00B0F0"/>
          </w:tcBorders>
        </w:tcPr>
        <w:p w14:paraId="7590C774" w14:textId="6611E494" w:rsidR="0071341B" w:rsidRPr="00ED44F3" w:rsidRDefault="0071341B" w:rsidP="00FC3C03">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July</w:t>
          </w:r>
          <w:r w:rsidDel="005F475F">
            <w:rPr>
              <w:rFonts w:cs="Wingdings"/>
              <w:color w:val="00B0F0"/>
              <w:sz w:val="18"/>
              <w:szCs w:val="2"/>
            </w:rPr>
            <w:t xml:space="preserve"> </w:t>
          </w:r>
          <w:r w:rsidRPr="00ED44F3">
            <w:rPr>
              <w:rFonts w:cs="Wingdings"/>
              <w:color w:val="00B0F0"/>
              <w:sz w:val="18"/>
              <w:szCs w:val="2"/>
            </w:rPr>
            <w:t>202</w:t>
          </w:r>
          <w:r>
            <w:rPr>
              <w:rFonts w:cs="Wingdings"/>
              <w:color w:val="00B0F0"/>
              <w:sz w:val="18"/>
              <w:szCs w:val="2"/>
            </w:rPr>
            <w:t>3</w:t>
          </w:r>
        </w:p>
      </w:tc>
    </w:tr>
    <w:tr w:rsidR="0071341B" w:rsidRPr="00ED44F3" w14:paraId="58086385" w14:textId="77777777" w:rsidTr="003C297A">
      <w:trPr>
        <w:trHeight w:val="179"/>
      </w:trPr>
      <w:tc>
        <w:tcPr>
          <w:tcW w:w="1978" w:type="pct"/>
          <w:tcBorders>
            <w:top w:val="single" w:sz="4" w:space="0" w:color="00AEEC"/>
          </w:tcBorders>
        </w:tcPr>
        <w:p w14:paraId="225AF9E3" w14:textId="568977EB" w:rsidR="0071341B" w:rsidRPr="00ED44F3" w:rsidRDefault="0071341B" w:rsidP="00FC3C03">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173143F2" w14:textId="58C2D803" w:rsidR="0071341B" w:rsidRPr="00ED44F3" w:rsidRDefault="0071341B" w:rsidP="00FC3C03">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27</w:t>
          </w:r>
          <w:r w:rsidRPr="00ED44F3">
            <w:rPr>
              <w:rFonts w:cs="Wingdings"/>
              <w:b/>
              <w:color w:val="00B050"/>
              <w:sz w:val="18"/>
              <w:szCs w:val="2"/>
            </w:rPr>
            <w:fldChar w:fldCharType="end"/>
          </w:r>
          <w:r>
            <w:rPr>
              <w:rFonts w:cs="Wingdings"/>
              <w:color w:val="00B050"/>
              <w:sz w:val="18"/>
              <w:szCs w:val="2"/>
            </w:rPr>
            <w:t xml:space="preserve"> / 2</w:t>
          </w:r>
          <w:r w:rsidR="00270ACC">
            <w:rPr>
              <w:rFonts w:cs="Wingdings"/>
              <w:color w:val="00B050"/>
              <w:sz w:val="18"/>
              <w:szCs w:val="2"/>
            </w:rPr>
            <w:t>5</w:t>
          </w:r>
          <w:r w:rsidR="00733598">
            <w:rPr>
              <w:rFonts w:cs="Wingdings"/>
              <w:color w:val="00B050"/>
              <w:sz w:val="18"/>
              <w:szCs w:val="2"/>
            </w:rPr>
            <w:t>2</w:t>
          </w:r>
        </w:p>
      </w:tc>
    </w:tr>
  </w:tbl>
  <w:p w14:paraId="54DEBF87" w14:textId="77777777" w:rsidR="0071341B" w:rsidRPr="00FC3C03" w:rsidRDefault="0071341B" w:rsidP="00FC3C03">
    <w:pPr>
      <w:pStyle w:val="Footer"/>
      <w:spacing w:before="0" w:after="0" w:line="240"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71341B" w:rsidRPr="00ED44F3" w14:paraId="28FAD894" w14:textId="77777777" w:rsidTr="003C297A">
      <w:tc>
        <w:tcPr>
          <w:tcW w:w="1978" w:type="pct"/>
          <w:tcBorders>
            <w:bottom w:val="single" w:sz="4" w:space="0" w:color="00AEEC"/>
          </w:tcBorders>
        </w:tcPr>
        <w:p w14:paraId="1C491A22" w14:textId="11725A32" w:rsidR="0071341B" w:rsidRPr="00ED44F3" w:rsidRDefault="00270ACC" w:rsidP="00FC3C03">
          <w:pPr>
            <w:spacing w:before="40" w:after="40" w:line="240" w:lineRule="auto"/>
            <w:ind w:hanging="108"/>
            <w:rPr>
              <w:rFonts w:cs="Wingdings"/>
              <w:color w:val="00AEC0"/>
              <w:sz w:val="18"/>
              <w:szCs w:val="18"/>
            </w:rPr>
          </w:pPr>
          <w:r>
            <w:rPr>
              <w:rFonts w:cs="Wingdings"/>
              <w:color w:val="00AEC0"/>
              <w:sz w:val="18"/>
              <w:szCs w:val="18"/>
            </w:rPr>
            <w:t xml:space="preserve">Final </w:t>
          </w:r>
          <w:r w:rsidR="0071341B">
            <w:rPr>
              <w:rFonts w:cs="Wingdings"/>
              <w:color w:val="00AEC0"/>
              <w:sz w:val="18"/>
              <w:szCs w:val="18"/>
            </w:rPr>
            <w:t>Draft</w:t>
          </w:r>
          <w:r w:rsidR="0071341B" w:rsidRPr="00ED44F3">
            <w:rPr>
              <w:rFonts w:cs="Wingdings"/>
              <w:color w:val="00AEC0"/>
              <w:sz w:val="18"/>
              <w:szCs w:val="18"/>
            </w:rPr>
            <w:t xml:space="preserve"> Report </w:t>
          </w:r>
        </w:p>
      </w:tc>
      <w:tc>
        <w:tcPr>
          <w:tcW w:w="3022" w:type="pct"/>
          <w:tcBorders>
            <w:bottom w:val="single" w:sz="8" w:space="0" w:color="00B0F0"/>
          </w:tcBorders>
        </w:tcPr>
        <w:p w14:paraId="3B7C41F3" w14:textId="210526F0" w:rsidR="0071341B" w:rsidRPr="00ED44F3" w:rsidRDefault="0071341B" w:rsidP="00FC3C03">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71341B" w:rsidRPr="00ED44F3" w14:paraId="1EB15A13" w14:textId="77777777" w:rsidTr="00757092">
      <w:trPr>
        <w:trHeight w:val="60"/>
      </w:trPr>
      <w:tc>
        <w:tcPr>
          <w:tcW w:w="1978" w:type="pct"/>
          <w:tcBorders>
            <w:top w:val="single" w:sz="4" w:space="0" w:color="00AEEC"/>
          </w:tcBorders>
        </w:tcPr>
        <w:p w14:paraId="3A535C50" w14:textId="37C667C5" w:rsidR="0071341B" w:rsidRPr="00ED44F3" w:rsidRDefault="0071341B" w:rsidP="00FC3C03">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2B094BE5" w14:textId="1AA9B12C" w:rsidR="0071341B" w:rsidRPr="00ED44F3" w:rsidRDefault="0071341B" w:rsidP="00FC3C03">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35</w:t>
          </w:r>
          <w:r w:rsidRPr="00ED44F3">
            <w:rPr>
              <w:rFonts w:cs="Wingdings"/>
              <w:b/>
              <w:color w:val="00B050"/>
              <w:sz w:val="18"/>
              <w:szCs w:val="2"/>
            </w:rPr>
            <w:fldChar w:fldCharType="end"/>
          </w:r>
          <w:r>
            <w:rPr>
              <w:rFonts w:cs="Wingdings"/>
              <w:color w:val="00B050"/>
              <w:sz w:val="18"/>
              <w:szCs w:val="2"/>
            </w:rPr>
            <w:t xml:space="preserve"> / 2</w:t>
          </w:r>
          <w:r w:rsidR="00270ACC">
            <w:rPr>
              <w:rFonts w:cs="Wingdings"/>
              <w:color w:val="00B050"/>
              <w:sz w:val="18"/>
              <w:szCs w:val="2"/>
            </w:rPr>
            <w:t>5</w:t>
          </w:r>
          <w:r w:rsidR="00733598">
            <w:rPr>
              <w:rFonts w:cs="Wingdings"/>
              <w:color w:val="00B050"/>
              <w:sz w:val="18"/>
              <w:szCs w:val="2"/>
            </w:rPr>
            <w:t>2</w:t>
          </w:r>
        </w:p>
      </w:tc>
    </w:tr>
  </w:tbl>
  <w:p w14:paraId="14D94221" w14:textId="77777777" w:rsidR="0071341B" w:rsidRPr="0003765E" w:rsidRDefault="0071341B">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540"/>
      <w:gridCol w:w="8464"/>
    </w:tblGrid>
    <w:tr w:rsidR="00270ACC" w:rsidRPr="00ED44F3" w14:paraId="0BEBE27D" w14:textId="77777777" w:rsidTr="003C297A">
      <w:tc>
        <w:tcPr>
          <w:tcW w:w="1978" w:type="pct"/>
          <w:tcBorders>
            <w:bottom w:val="single" w:sz="4" w:space="0" w:color="00AEEC"/>
          </w:tcBorders>
        </w:tcPr>
        <w:p w14:paraId="736839FA" w14:textId="77777777" w:rsidR="00270ACC" w:rsidRPr="00ED44F3" w:rsidRDefault="00270ACC" w:rsidP="00FC3C03">
          <w:pPr>
            <w:spacing w:before="40" w:after="40" w:line="240" w:lineRule="auto"/>
            <w:ind w:hanging="108"/>
            <w:rPr>
              <w:rFonts w:cs="Wingdings"/>
              <w:color w:val="00AEC0"/>
              <w:sz w:val="18"/>
              <w:szCs w:val="18"/>
            </w:rPr>
          </w:pPr>
          <w:r>
            <w:rPr>
              <w:rFonts w:cs="Wingdings"/>
              <w:color w:val="00AEC0"/>
              <w:sz w:val="18"/>
              <w:szCs w:val="18"/>
            </w:rPr>
            <w:t>Final Draft</w:t>
          </w:r>
          <w:r w:rsidRPr="00ED44F3">
            <w:rPr>
              <w:rFonts w:cs="Wingdings"/>
              <w:color w:val="00AEC0"/>
              <w:sz w:val="18"/>
              <w:szCs w:val="18"/>
            </w:rPr>
            <w:t xml:space="preserve"> Report </w:t>
          </w:r>
        </w:p>
      </w:tc>
      <w:tc>
        <w:tcPr>
          <w:tcW w:w="3022" w:type="pct"/>
          <w:tcBorders>
            <w:bottom w:val="single" w:sz="8" w:space="0" w:color="00B0F0"/>
          </w:tcBorders>
        </w:tcPr>
        <w:p w14:paraId="0085110D" w14:textId="77777777" w:rsidR="00270ACC" w:rsidRPr="00ED44F3" w:rsidRDefault="00270ACC" w:rsidP="00FC3C03">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270ACC" w:rsidRPr="00ED44F3" w14:paraId="685A5938" w14:textId="77777777" w:rsidTr="00757092">
      <w:trPr>
        <w:trHeight w:val="60"/>
      </w:trPr>
      <w:tc>
        <w:tcPr>
          <w:tcW w:w="1978" w:type="pct"/>
          <w:tcBorders>
            <w:top w:val="single" w:sz="4" w:space="0" w:color="00AEEC"/>
          </w:tcBorders>
        </w:tcPr>
        <w:p w14:paraId="735C82D1" w14:textId="77777777" w:rsidR="00270ACC" w:rsidRPr="00ED44F3" w:rsidRDefault="00270ACC" w:rsidP="00FC3C03">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3F13741D" w14:textId="134B82A1" w:rsidR="00270ACC" w:rsidRPr="00ED44F3" w:rsidRDefault="00270ACC" w:rsidP="00FC3C03">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35</w:t>
          </w:r>
          <w:r w:rsidRPr="00ED44F3">
            <w:rPr>
              <w:rFonts w:cs="Wingdings"/>
              <w:b/>
              <w:color w:val="00B050"/>
              <w:sz w:val="18"/>
              <w:szCs w:val="2"/>
            </w:rPr>
            <w:fldChar w:fldCharType="end"/>
          </w:r>
          <w:r>
            <w:rPr>
              <w:rFonts w:cs="Wingdings"/>
              <w:color w:val="00B050"/>
              <w:sz w:val="18"/>
              <w:szCs w:val="2"/>
            </w:rPr>
            <w:t xml:space="preserve"> / 25</w:t>
          </w:r>
          <w:r w:rsidR="00733598">
            <w:rPr>
              <w:rFonts w:cs="Wingdings"/>
              <w:color w:val="00B050"/>
              <w:sz w:val="18"/>
              <w:szCs w:val="2"/>
            </w:rPr>
            <w:t>2</w:t>
          </w:r>
        </w:p>
      </w:tc>
    </w:tr>
  </w:tbl>
  <w:p w14:paraId="6D1DADA1" w14:textId="77777777" w:rsidR="00270ACC" w:rsidRPr="0003765E" w:rsidRDefault="00270ACC">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270ACC" w:rsidRPr="00ED44F3" w14:paraId="662D8ADA" w14:textId="77777777" w:rsidTr="003C297A">
      <w:tc>
        <w:tcPr>
          <w:tcW w:w="1978" w:type="pct"/>
          <w:tcBorders>
            <w:bottom w:val="single" w:sz="4" w:space="0" w:color="00AEEC"/>
          </w:tcBorders>
        </w:tcPr>
        <w:p w14:paraId="5DA32542" w14:textId="77777777" w:rsidR="00270ACC" w:rsidRPr="00ED44F3" w:rsidRDefault="00270ACC" w:rsidP="00FC3C03">
          <w:pPr>
            <w:spacing w:before="40" w:after="40" w:line="240" w:lineRule="auto"/>
            <w:ind w:hanging="108"/>
            <w:rPr>
              <w:rFonts w:cs="Wingdings"/>
              <w:color w:val="00AEC0"/>
              <w:sz w:val="18"/>
              <w:szCs w:val="18"/>
            </w:rPr>
          </w:pPr>
          <w:r>
            <w:rPr>
              <w:rFonts w:cs="Wingdings"/>
              <w:color w:val="00AEC0"/>
              <w:sz w:val="18"/>
              <w:szCs w:val="18"/>
            </w:rPr>
            <w:t>Final Draft</w:t>
          </w:r>
          <w:r w:rsidRPr="00ED44F3">
            <w:rPr>
              <w:rFonts w:cs="Wingdings"/>
              <w:color w:val="00AEC0"/>
              <w:sz w:val="18"/>
              <w:szCs w:val="18"/>
            </w:rPr>
            <w:t xml:space="preserve"> Report </w:t>
          </w:r>
        </w:p>
      </w:tc>
      <w:tc>
        <w:tcPr>
          <w:tcW w:w="3022" w:type="pct"/>
          <w:tcBorders>
            <w:bottom w:val="single" w:sz="8" w:space="0" w:color="00B0F0"/>
          </w:tcBorders>
        </w:tcPr>
        <w:p w14:paraId="56D9375B" w14:textId="77777777" w:rsidR="00270ACC" w:rsidRPr="00ED44F3" w:rsidRDefault="00270ACC" w:rsidP="00FC3C03">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270ACC" w:rsidRPr="00ED44F3" w14:paraId="37B9868B" w14:textId="77777777" w:rsidTr="00757092">
      <w:trPr>
        <w:trHeight w:val="60"/>
      </w:trPr>
      <w:tc>
        <w:tcPr>
          <w:tcW w:w="1978" w:type="pct"/>
          <w:tcBorders>
            <w:top w:val="single" w:sz="4" w:space="0" w:color="00AEEC"/>
          </w:tcBorders>
        </w:tcPr>
        <w:p w14:paraId="7C34C381" w14:textId="77777777" w:rsidR="00270ACC" w:rsidRPr="00ED44F3" w:rsidRDefault="00270ACC" w:rsidP="00FC3C03">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0F3D24CD" w14:textId="5443F617" w:rsidR="00270ACC" w:rsidRPr="00ED44F3" w:rsidRDefault="00270ACC" w:rsidP="00FC3C03">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35</w:t>
          </w:r>
          <w:r w:rsidRPr="00ED44F3">
            <w:rPr>
              <w:rFonts w:cs="Wingdings"/>
              <w:b/>
              <w:color w:val="00B050"/>
              <w:sz w:val="18"/>
              <w:szCs w:val="2"/>
            </w:rPr>
            <w:fldChar w:fldCharType="end"/>
          </w:r>
          <w:r>
            <w:rPr>
              <w:rFonts w:cs="Wingdings"/>
              <w:color w:val="00B050"/>
              <w:sz w:val="18"/>
              <w:szCs w:val="2"/>
            </w:rPr>
            <w:t xml:space="preserve"> / 25</w:t>
          </w:r>
          <w:r w:rsidR="00733598">
            <w:rPr>
              <w:rFonts w:cs="Wingdings"/>
              <w:color w:val="00B050"/>
              <w:sz w:val="18"/>
              <w:szCs w:val="2"/>
            </w:rPr>
            <w:t>2</w:t>
          </w:r>
        </w:p>
      </w:tc>
    </w:tr>
  </w:tbl>
  <w:p w14:paraId="636B5391" w14:textId="77777777" w:rsidR="00270ACC" w:rsidRPr="0003765E" w:rsidRDefault="00270ACC">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90"/>
      <w:gridCol w:w="5484"/>
    </w:tblGrid>
    <w:tr w:rsidR="0071341B" w:rsidRPr="00ED44F3" w14:paraId="25F9135F" w14:textId="77777777" w:rsidTr="008A3429">
      <w:tc>
        <w:tcPr>
          <w:tcW w:w="1978" w:type="pct"/>
          <w:tcBorders>
            <w:bottom w:val="single" w:sz="4" w:space="0" w:color="00AEEC"/>
          </w:tcBorders>
        </w:tcPr>
        <w:p w14:paraId="326DAC6C" w14:textId="24C95A38" w:rsidR="0071341B" w:rsidRPr="00ED44F3" w:rsidRDefault="00270ACC" w:rsidP="00A56F87">
          <w:pPr>
            <w:spacing w:before="40" w:after="40" w:line="240" w:lineRule="auto"/>
            <w:ind w:hanging="108"/>
            <w:rPr>
              <w:rFonts w:cs="Wingdings"/>
              <w:color w:val="00AEC0"/>
              <w:sz w:val="18"/>
              <w:szCs w:val="18"/>
            </w:rPr>
          </w:pPr>
          <w:r>
            <w:rPr>
              <w:rFonts w:cs="Wingdings"/>
              <w:color w:val="00AEC0"/>
              <w:sz w:val="18"/>
              <w:szCs w:val="18"/>
            </w:rPr>
            <w:t xml:space="preserve">Final </w:t>
          </w:r>
          <w:r w:rsidR="0071341B">
            <w:rPr>
              <w:rFonts w:cs="Wingdings"/>
              <w:color w:val="00AEC0"/>
              <w:sz w:val="18"/>
              <w:szCs w:val="18"/>
            </w:rPr>
            <w:t>Draft</w:t>
          </w:r>
          <w:r w:rsidR="0071341B" w:rsidRPr="00ED44F3">
            <w:rPr>
              <w:rFonts w:cs="Wingdings"/>
              <w:color w:val="00AEC0"/>
              <w:sz w:val="18"/>
              <w:szCs w:val="18"/>
            </w:rPr>
            <w:t xml:space="preserve"> Report </w:t>
          </w:r>
        </w:p>
      </w:tc>
      <w:tc>
        <w:tcPr>
          <w:tcW w:w="3022" w:type="pct"/>
          <w:tcBorders>
            <w:bottom w:val="single" w:sz="8" w:space="0" w:color="00B0F0"/>
          </w:tcBorders>
        </w:tcPr>
        <w:p w14:paraId="347C774A" w14:textId="42BF3DCD" w:rsidR="0071341B" w:rsidRPr="00ED44F3" w:rsidRDefault="0071341B" w:rsidP="00A56F87">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71341B" w:rsidRPr="00ED44F3" w14:paraId="43CCCC50" w14:textId="77777777" w:rsidTr="008A3429">
      <w:trPr>
        <w:trHeight w:val="179"/>
      </w:trPr>
      <w:tc>
        <w:tcPr>
          <w:tcW w:w="1978" w:type="pct"/>
          <w:tcBorders>
            <w:top w:val="single" w:sz="4" w:space="0" w:color="00AEEC"/>
          </w:tcBorders>
        </w:tcPr>
        <w:p w14:paraId="5F68F3E8" w14:textId="77777777" w:rsidR="0071341B" w:rsidRPr="00ED44F3" w:rsidRDefault="0071341B" w:rsidP="00A56F87">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586207A9" w14:textId="5AB240D6" w:rsidR="0071341B" w:rsidRPr="00ED44F3" w:rsidRDefault="0071341B" w:rsidP="00A56F87">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133</w:t>
          </w:r>
          <w:r w:rsidRPr="00ED44F3">
            <w:rPr>
              <w:rFonts w:cs="Wingdings"/>
              <w:b/>
              <w:color w:val="00B050"/>
              <w:sz w:val="18"/>
              <w:szCs w:val="2"/>
            </w:rPr>
            <w:fldChar w:fldCharType="end"/>
          </w:r>
          <w:r>
            <w:rPr>
              <w:rFonts w:cs="Wingdings"/>
              <w:color w:val="00B050"/>
              <w:sz w:val="18"/>
              <w:szCs w:val="2"/>
            </w:rPr>
            <w:t xml:space="preserve"> / 2</w:t>
          </w:r>
          <w:r w:rsidR="00270ACC">
            <w:rPr>
              <w:rFonts w:cs="Wingdings"/>
              <w:color w:val="00B050"/>
              <w:sz w:val="18"/>
              <w:szCs w:val="2"/>
            </w:rPr>
            <w:t>5</w:t>
          </w:r>
          <w:r w:rsidR="00733598">
            <w:rPr>
              <w:rFonts w:cs="Wingdings"/>
              <w:color w:val="00B050"/>
              <w:sz w:val="18"/>
              <w:szCs w:val="2"/>
            </w:rPr>
            <w:t>2</w:t>
          </w:r>
        </w:p>
      </w:tc>
    </w:tr>
  </w:tbl>
  <w:p w14:paraId="22C704D0" w14:textId="77777777" w:rsidR="0071341B" w:rsidRPr="00A56F87" w:rsidRDefault="0071341B" w:rsidP="00A126DC">
    <w:pPr>
      <w:pStyle w:val="Footer"/>
      <w:spacing w:before="0" w:after="0" w:line="240"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540"/>
      <w:gridCol w:w="8464"/>
    </w:tblGrid>
    <w:tr w:rsidR="00270ACC" w:rsidRPr="00ED44F3" w14:paraId="55BA728E" w14:textId="77777777" w:rsidTr="008A3429">
      <w:tc>
        <w:tcPr>
          <w:tcW w:w="1978" w:type="pct"/>
          <w:tcBorders>
            <w:bottom w:val="single" w:sz="4" w:space="0" w:color="00AEEC"/>
          </w:tcBorders>
        </w:tcPr>
        <w:p w14:paraId="2BD8528E" w14:textId="77777777" w:rsidR="00270ACC" w:rsidRPr="00ED44F3" w:rsidRDefault="00270ACC" w:rsidP="00A56F87">
          <w:pPr>
            <w:spacing w:before="40" w:after="40" w:line="240" w:lineRule="auto"/>
            <w:ind w:hanging="108"/>
            <w:rPr>
              <w:rFonts w:cs="Wingdings"/>
              <w:color w:val="00AEC0"/>
              <w:sz w:val="18"/>
              <w:szCs w:val="18"/>
            </w:rPr>
          </w:pPr>
          <w:r>
            <w:rPr>
              <w:rFonts w:cs="Wingdings"/>
              <w:color w:val="00AEC0"/>
              <w:sz w:val="18"/>
              <w:szCs w:val="18"/>
            </w:rPr>
            <w:t>Final Draft</w:t>
          </w:r>
          <w:r w:rsidRPr="00ED44F3">
            <w:rPr>
              <w:rFonts w:cs="Wingdings"/>
              <w:color w:val="00AEC0"/>
              <w:sz w:val="18"/>
              <w:szCs w:val="18"/>
            </w:rPr>
            <w:t xml:space="preserve"> Report </w:t>
          </w:r>
        </w:p>
      </w:tc>
      <w:tc>
        <w:tcPr>
          <w:tcW w:w="3022" w:type="pct"/>
          <w:tcBorders>
            <w:bottom w:val="single" w:sz="8" w:space="0" w:color="00B0F0"/>
          </w:tcBorders>
        </w:tcPr>
        <w:p w14:paraId="24E3E44F" w14:textId="77777777" w:rsidR="00270ACC" w:rsidRPr="00ED44F3" w:rsidRDefault="00270ACC" w:rsidP="00A56F87">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270ACC" w:rsidRPr="00ED44F3" w14:paraId="589071B5" w14:textId="77777777" w:rsidTr="008A3429">
      <w:trPr>
        <w:trHeight w:val="179"/>
      </w:trPr>
      <w:tc>
        <w:tcPr>
          <w:tcW w:w="1978" w:type="pct"/>
          <w:tcBorders>
            <w:top w:val="single" w:sz="4" w:space="0" w:color="00AEEC"/>
          </w:tcBorders>
        </w:tcPr>
        <w:p w14:paraId="6CC992D7" w14:textId="77777777" w:rsidR="00270ACC" w:rsidRPr="00ED44F3" w:rsidRDefault="00270ACC" w:rsidP="00A56F87">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0C133978" w14:textId="36C6CB11" w:rsidR="00270ACC" w:rsidRPr="00ED44F3" w:rsidRDefault="00270ACC" w:rsidP="00A56F87">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133</w:t>
          </w:r>
          <w:r w:rsidRPr="00ED44F3">
            <w:rPr>
              <w:rFonts w:cs="Wingdings"/>
              <w:b/>
              <w:color w:val="00B050"/>
              <w:sz w:val="18"/>
              <w:szCs w:val="2"/>
            </w:rPr>
            <w:fldChar w:fldCharType="end"/>
          </w:r>
          <w:r>
            <w:rPr>
              <w:rFonts w:cs="Wingdings"/>
              <w:color w:val="00B050"/>
              <w:sz w:val="18"/>
              <w:szCs w:val="2"/>
            </w:rPr>
            <w:t xml:space="preserve"> / 25</w:t>
          </w:r>
          <w:r w:rsidR="00733598">
            <w:rPr>
              <w:rFonts w:cs="Wingdings"/>
              <w:color w:val="00B050"/>
              <w:sz w:val="18"/>
              <w:szCs w:val="2"/>
            </w:rPr>
            <w:t>2</w:t>
          </w:r>
        </w:p>
      </w:tc>
    </w:tr>
  </w:tbl>
  <w:p w14:paraId="386700AD" w14:textId="77777777" w:rsidR="00270ACC" w:rsidRPr="00A56F87" w:rsidRDefault="00270ACC" w:rsidP="00A126DC">
    <w:pPr>
      <w:pStyle w:val="Footer"/>
      <w:spacing w:before="0" w:after="0" w:line="240"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90"/>
      <w:gridCol w:w="5484"/>
    </w:tblGrid>
    <w:tr w:rsidR="00270ACC" w:rsidRPr="00ED44F3" w14:paraId="2B1BE17A" w14:textId="77777777" w:rsidTr="008A3429">
      <w:tc>
        <w:tcPr>
          <w:tcW w:w="1978" w:type="pct"/>
          <w:tcBorders>
            <w:bottom w:val="single" w:sz="4" w:space="0" w:color="00AEEC"/>
          </w:tcBorders>
        </w:tcPr>
        <w:p w14:paraId="57A04D4D" w14:textId="77777777" w:rsidR="00270ACC" w:rsidRPr="00ED44F3" w:rsidRDefault="00270ACC" w:rsidP="00A56F87">
          <w:pPr>
            <w:spacing w:before="40" w:after="40" w:line="240" w:lineRule="auto"/>
            <w:ind w:hanging="108"/>
            <w:rPr>
              <w:rFonts w:cs="Wingdings"/>
              <w:color w:val="00AEC0"/>
              <w:sz w:val="18"/>
              <w:szCs w:val="18"/>
            </w:rPr>
          </w:pPr>
          <w:r>
            <w:rPr>
              <w:rFonts w:cs="Wingdings"/>
              <w:color w:val="00AEC0"/>
              <w:sz w:val="18"/>
              <w:szCs w:val="18"/>
            </w:rPr>
            <w:t>Final Draft</w:t>
          </w:r>
          <w:r w:rsidRPr="00ED44F3">
            <w:rPr>
              <w:rFonts w:cs="Wingdings"/>
              <w:color w:val="00AEC0"/>
              <w:sz w:val="18"/>
              <w:szCs w:val="18"/>
            </w:rPr>
            <w:t xml:space="preserve"> Report </w:t>
          </w:r>
        </w:p>
      </w:tc>
      <w:tc>
        <w:tcPr>
          <w:tcW w:w="3022" w:type="pct"/>
          <w:tcBorders>
            <w:bottom w:val="single" w:sz="8" w:space="0" w:color="00B0F0"/>
          </w:tcBorders>
        </w:tcPr>
        <w:p w14:paraId="3BC2614F" w14:textId="77777777" w:rsidR="00270ACC" w:rsidRPr="00ED44F3" w:rsidRDefault="00270ACC" w:rsidP="00A56F87">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 xml:space="preserve">July </w:t>
          </w:r>
          <w:r w:rsidRPr="00ED44F3">
            <w:rPr>
              <w:rFonts w:cs="Wingdings"/>
              <w:color w:val="00B0F0"/>
              <w:sz w:val="18"/>
              <w:szCs w:val="2"/>
            </w:rPr>
            <w:t>20</w:t>
          </w:r>
          <w:r>
            <w:rPr>
              <w:rFonts w:cs="Wingdings"/>
              <w:color w:val="00B0F0"/>
              <w:sz w:val="18"/>
              <w:szCs w:val="2"/>
            </w:rPr>
            <w:t>23</w:t>
          </w:r>
        </w:p>
      </w:tc>
    </w:tr>
    <w:tr w:rsidR="00270ACC" w:rsidRPr="00ED44F3" w14:paraId="2D0C3EA7" w14:textId="77777777" w:rsidTr="008A3429">
      <w:trPr>
        <w:trHeight w:val="179"/>
      </w:trPr>
      <w:tc>
        <w:tcPr>
          <w:tcW w:w="1978" w:type="pct"/>
          <w:tcBorders>
            <w:top w:val="single" w:sz="4" w:space="0" w:color="00AEEC"/>
          </w:tcBorders>
        </w:tcPr>
        <w:p w14:paraId="67A5CDA0" w14:textId="77777777" w:rsidR="00270ACC" w:rsidRPr="00ED44F3" w:rsidRDefault="00270ACC" w:rsidP="00A56F87">
          <w:pPr>
            <w:spacing w:before="40" w:after="40" w:line="240" w:lineRule="auto"/>
            <w:ind w:left="-108"/>
            <w:rPr>
              <w:rFonts w:cs="Wingdings"/>
              <w:sz w:val="18"/>
              <w:szCs w:val="18"/>
            </w:rPr>
          </w:pPr>
          <w:r w:rsidRPr="00ED44F3">
            <w:rPr>
              <w:rFonts w:eastAsia="Arial TUR" w:cs="Wingdings"/>
              <w:color w:val="00B050"/>
              <w:sz w:val="18"/>
              <w:szCs w:val="2"/>
              <w:lang w:eastAsia="en-US"/>
            </w:rPr>
            <w:t xml:space="preserve">Project No: </w:t>
          </w:r>
          <w:r w:rsidRPr="00EA0227">
            <w:rPr>
              <w:rFonts w:eastAsia="Arial TUR" w:cs="Wingdings"/>
              <w:color w:val="00B050"/>
              <w:sz w:val="18"/>
              <w:szCs w:val="2"/>
              <w:lang w:eastAsia="en-US"/>
            </w:rPr>
            <w:t>22 / 0</w:t>
          </w:r>
          <w:r>
            <w:rPr>
              <w:rFonts w:eastAsia="Arial TUR" w:cs="Wingdings"/>
              <w:color w:val="00B050"/>
              <w:sz w:val="18"/>
              <w:szCs w:val="2"/>
              <w:lang w:eastAsia="en-US"/>
            </w:rPr>
            <w:t>16</w:t>
          </w:r>
        </w:p>
      </w:tc>
      <w:tc>
        <w:tcPr>
          <w:tcW w:w="3022" w:type="pct"/>
          <w:tcBorders>
            <w:top w:val="single" w:sz="8" w:space="0" w:color="00B0F0"/>
          </w:tcBorders>
        </w:tcPr>
        <w:p w14:paraId="5ECE57D4" w14:textId="7181D5DC" w:rsidR="00270ACC" w:rsidRPr="00ED44F3" w:rsidRDefault="00270ACC" w:rsidP="00A56F87">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133</w:t>
          </w:r>
          <w:r w:rsidRPr="00ED44F3">
            <w:rPr>
              <w:rFonts w:cs="Wingdings"/>
              <w:b/>
              <w:color w:val="00B050"/>
              <w:sz w:val="18"/>
              <w:szCs w:val="2"/>
            </w:rPr>
            <w:fldChar w:fldCharType="end"/>
          </w:r>
          <w:r>
            <w:rPr>
              <w:rFonts w:cs="Wingdings"/>
              <w:color w:val="00B050"/>
              <w:sz w:val="18"/>
              <w:szCs w:val="2"/>
            </w:rPr>
            <w:t xml:space="preserve"> / 25</w:t>
          </w:r>
          <w:r w:rsidR="00733598">
            <w:rPr>
              <w:rFonts w:cs="Wingdings"/>
              <w:color w:val="00B050"/>
              <w:sz w:val="18"/>
              <w:szCs w:val="2"/>
            </w:rPr>
            <w:t>2</w:t>
          </w:r>
        </w:p>
      </w:tc>
    </w:tr>
  </w:tbl>
  <w:p w14:paraId="49CC4FF4" w14:textId="77777777" w:rsidR="00270ACC" w:rsidRPr="00A56F87" w:rsidRDefault="00270ACC" w:rsidP="00A126DC">
    <w:pPr>
      <w:pStyle w:val="Footer"/>
      <w:spacing w:before="0" w:after="0"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383F0" w14:textId="77777777" w:rsidR="0067541F" w:rsidRDefault="0067541F" w:rsidP="004339AC">
      <w:pPr>
        <w:spacing w:before="0" w:after="0" w:line="240" w:lineRule="auto"/>
      </w:pPr>
      <w:r>
        <w:separator/>
      </w:r>
    </w:p>
  </w:footnote>
  <w:footnote w:type="continuationSeparator" w:id="0">
    <w:p w14:paraId="2A3C893F" w14:textId="77777777" w:rsidR="0067541F" w:rsidRDefault="0067541F" w:rsidP="004339AC">
      <w:pPr>
        <w:spacing w:before="0" w:after="0" w:line="240" w:lineRule="auto"/>
      </w:pPr>
      <w:r>
        <w:continuationSeparator/>
      </w:r>
    </w:p>
  </w:footnote>
  <w:footnote w:type="continuationNotice" w:id="1">
    <w:p w14:paraId="527CE928" w14:textId="77777777" w:rsidR="0067541F" w:rsidRDefault="0067541F">
      <w:pPr>
        <w:spacing w:before="0" w:after="0" w:line="240" w:lineRule="auto"/>
      </w:pPr>
    </w:p>
  </w:footnote>
  <w:footnote w:id="2">
    <w:p w14:paraId="6B987AC9" w14:textId="36F4E4A7" w:rsidR="0071341B" w:rsidRPr="00874BB7" w:rsidRDefault="0071341B">
      <w:pPr>
        <w:pStyle w:val="FootnoteText"/>
        <w:rPr>
          <w:lang w:val="tr-TR"/>
        </w:rPr>
      </w:pPr>
      <w:r>
        <w:rPr>
          <w:rStyle w:val="FootnoteReference"/>
        </w:rPr>
        <w:footnoteRef/>
      </w:r>
      <w:r>
        <w:t xml:space="preserve"> </w:t>
      </w:r>
      <w:r w:rsidRPr="00874BB7">
        <w:t>Facilities or activities that are not funded as part of the project and, in the judgment of the Bank, are: (a) directly and significantly related to the project; and (b) carried out, or planned to be carried out, contemporaneously with the project; and (c) necessary for the project to be viable and would not have been constructed, expanded or conducted if the project did not exist. For facilities or activities to be Associated Facilities, they must meet all three criteria.</w:t>
      </w:r>
    </w:p>
  </w:footnote>
  <w:footnote w:id="3">
    <w:p w14:paraId="0BF3E8DC" w14:textId="77777777" w:rsidR="0071341B" w:rsidRPr="004C60B9" w:rsidRDefault="0071341B" w:rsidP="00C4227D">
      <w:pPr>
        <w:pStyle w:val="FootnoteText"/>
        <w:rPr>
          <w:sz w:val="18"/>
          <w:szCs w:val="18"/>
          <w:lang w:val="tr-TR"/>
        </w:rPr>
      </w:pPr>
      <w:r w:rsidRPr="004C60B9">
        <w:rPr>
          <w:rStyle w:val="FootnoteReference"/>
          <w:sz w:val="18"/>
          <w:szCs w:val="18"/>
        </w:rPr>
        <w:footnoteRef/>
      </w:r>
      <w:r w:rsidRPr="004C60B9">
        <w:rPr>
          <w:sz w:val="18"/>
          <w:szCs w:val="18"/>
          <w:lang w:val="tr-TR"/>
        </w:rPr>
        <w:t xml:space="preserve"> https://documents1.worldbank.org/curated/en/604561468170043490/pdf/602530WP0worke10Box358316B01PUBLIC1.pdf</w:t>
      </w:r>
    </w:p>
  </w:footnote>
  <w:footnote w:id="4">
    <w:p w14:paraId="1A847B39" w14:textId="0A512543" w:rsidR="0071341B" w:rsidRPr="00CC4905" w:rsidRDefault="0071341B">
      <w:pPr>
        <w:pStyle w:val="FootnoteText"/>
        <w:rPr>
          <w:lang w:val="tr-TR"/>
        </w:rPr>
      </w:pPr>
      <w:r>
        <w:rPr>
          <w:rStyle w:val="FootnoteReference"/>
        </w:rPr>
        <w:footnoteRef/>
      </w:r>
      <w:r>
        <w:t xml:space="preserve"> As</w:t>
      </w:r>
      <w:r w:rsidRPr="007C3281">
        <w:t xml:space="preserve"> the ESMP was being prepared, the </w:t>
      </w:r>
      <w:r>
        <w:t xml:space="preserve">territorial </w:t>
      </w:r>
      <w:r w:rsidRPr="007C3281">
        <w:t xml:space="preserve">plan containing the OIZ </w:t>
      </w:r>
      <w:r>
        <w:t>A</w:t>
      </w:r>
      <w:r w:rsidRPr="007C3281">
        <w:t>rea, wh</w:t>
      </w:r>
      <w:r>
        <w:t xml:space="preserve">ere </w:t>
      </w:r>
      <w:r w:rsidRPr="007C3281">
        <w:t xml:space="preserve">additional OIZ </w:t>
      </w:r>
      <w:r>
        <w:t>A</w:t>
      </w:r>
      <w:r w:rsidRPr="007C3281">
        <w:t>rea</w:t>
      </w:r>
      <w:r>
        <w:t xml:space="preserve"> was not included (</w:t>
      </w:r>
      <w:r w:rsidRPr="007C3281">
        <w:t>since no updates were made by the Mo</w:t>
      </w:r>
      <w:r>
        <w:t>EUCC</w:t>
      </w:r>
      <w:r w:rsidRPr="007C3281">
        <w:t xml:space="preserve"> in the </w:t>
      </w:r>
      <w:r>
        <w:t>concerned</w:t>
      </w:r>
      <w:r w:rsidRPr="007C3281">
        <w:t xml:space="preserve"> plan</w:t>
      </w:r>
      <w:r>
        <w:t>)</w:t>
      </w:r>
      <w:r w:rsidRPr="007C3281">
        <w:t xml:space="preserve"> was shared.</w:t>
      </w:r>
    </w:p>
  </w:footnote>
  <w:footnote w:id="5">
    <w:p w14:paraId="57E2F0B6" w14:textId="77777777" w:rsidR="0071341B" w:rsidRPr="00DC1D96" w:rsidRDefault="0071341B" w:rsidP="00082434">
      <w:pPr>
        <w:pStyle w:val="FootnoteText"/>
        <w:rPr>
          <w:szCs w:val="16"/>
          <w:lang w:val="tr-TR"/>
        </w:rPr>
      </w:pPr>
      <w:r w:rsidRPr="00DC1D96">
        <w:rPr>
          <w:rStyle w:val="FootnoteReference"/>
          <w:szCs w:val="16"/>
        </w:rPr>
        <w:footnoteRef/>
      </w:r>
      <w:r w:rsidRPr="00D017EE">
        <w:rPr>
          <w:szCs w:val="16"/>
          <w:shd w:val="clear" w:color="auto" w:fill="FFFFFF"/>
        </w:rPr>
        <w:t xml:space="preserve">Coordination of </w:t>
      </w:r>
      <w:r>
        <w:rPr>
          <w:szCs w:val="16"/>
          <w:shd w:val="clear" w:color="auto" w:fill="FFFFFF"/>
        </w:rPr>
        <w:t xml:space="preserve">Information on the Environment </w:t>
      </w:r>
      <w:r w:rsidRPr="00D017EE">
        <w:rPr>
          <w:szCs w:val="16"/>
          <w:shd w:val="clear" w:color="auto" w:fill="FFFFFF"/>
        </w:rPr>
        <w:t>CORINE</w:t>
      </w:r>
      <w:r>
        <w:rPr>
          <w:szCs w:val="16"/>
          <w:shd w:val="clear" w:color="auto" w:fill="FFFFFF"/>
        </w:rPr>
        <w:t xml:space="preserve"> </w:t>
      </w:r>
      <w:r w:rsidRPr="00DC1D96">
        <w:rPr>
          <w:szCs w:val="16"/>
        </w:rPr>
        <w:t>https://land.copernicus.eu/pan-european/corine-land-cover/clc2018</w:t>
      </w:r>
    </w:p>
  </w:footnote>
  <w:footnote w:id="6">
    <w:p w14:paraId="383951FB" w14:textId="2DF2E6C1" w:rsidR="0071341B" w:rsidRPr="00677413" w:rsidRDefault="0071341B" w:rsidP="00082434">
      <w:pPr>
        <w:pStyle w:val="FootnoteText"/>
        <w:rPr>
          <w:lang w:val="tr-TR"/>
        </w:rPr>
      </w:pPr>
      <w:r>
        <w:rPr>
          <w:rStyle w:val="FootnoteReference"/>
        </w:rPr>
        <w:footnoteRef/>
      </w:r>
      <w:r>
        <w:t xml:space="preserve"> </w:t>
      </w:r>
      <w:r w:rsidRPr="00677413">
        <w:t xml:space="preserve">Davis, P.H. (ed.). (1965-1988). Flora of </w:t>
      </w:r>
      <w:r>
        <w:t>Türkiye</w:t>
      </w:r>
      <w:r w:rsidRPr="00677413">
        <w:t xml:space="preserve"> and the East Aegean Islands, vol. 1-10, Edinburgh Univ. Press: Edinburgh.</w:t>
      </w:r>
    </w:p>
  </w:footnote>
  <w:footnote w:id="7">
    <w:p w14:paraId="0A0AD830" w14:textId="2AAB3125" w:rsidR="0071341B" w:rsidRPr="00677413" w:rsidRDefault="0071341B" w:rsidP="00082434">
      <w:pPr>
        <w:pStyle w:val="FootnoteText"/>
        <w:rPr>
          <w:lang w:val="tr-TR"/>
        </w:rPr>
      </w:pPr>
      <w:r>
        <w:rPr>
          <w:rStyle w:val="FootnoteReference"/>
        </w:rPr>
        <w:footnoteRef/>
      </w:r>
      <w:r w:rsidRPr="00F94D13">
        <w:rPr>
          <w:lang w:val="tr-TR"/>
        </w:rPr>
        <w:t xml:space="preserve"> Ekim, T. ve ark. </w:t>
      </w:r>
      <w:r>
        <w:rPr>
          <w:lang w:val="tr-TR"/>
        </w:rPr>
        <w:t>Türkiye</w:t>
      </w:r>
      <w:r w:rsidRPr="00F94D13">
        <w:rPr>
          <w:lang w:val="tr-TR"/>
        </w:rPr>
        <w:t xml:space="preserve"> Bitkileri Kırmızı Kitabı. </w:t>
      </w:r>
      <w:r>
        <w:rPr>
          <w:lang w:val="tr-TR"/>
        </w:rPr>
        <w:t>Türkiye</w:t>
      </w:r>
      <w:r w:rsidRPr="00F94D13">
        <w:rPr>
          <w:lang w:val="tr-TR"/>
        </w:rPr>
        <w:t xml:space="preserve"> Tabiatını Koruma Derneği. Yayın No:18 (2000).  </w:t>
      </w:r>
    </w:p>
  </w:footnote>
  <w:footnote w:id="8">
    <w:p w14:paraId="5D146049" w14:textId="04893522" w:rsidR="0071341B" w:rsidRPr="00677413" w:rsidRDefault="0071341B" w:rsidP="00082434">
      <w:pPr>
        <w:pStyle w:val="FootnoteText"/>
        <w:rPr>
          <w:lang w:val="tr-TR"/>
        </w:rPr>
      </w:pPr>
      <w:r>
        <w:rPr>
          <w:rStyle w:val="FootnoteReference"/>
        </w:rPr>
        <w:footnoteRef/>
      </w:r>
      <w:r w:rsidRPr="0040126F">
        <w:rPr>
          <w:lang w:val="de-DE"/>
        </w:rPr>
        <w:t xml:space="preserve"> Baran, İ. (2005). </w:t>
      </w:r>
      <w:r>
        <w:rPr>
          <w:lang w:val="de-DE"/>
        </w:rPr>
        <w:t>Türkiye</w:t>
      </w:r>
      <w:r w:rsidRPr="0040126F">
        <w:rPr>
          <w:lang w:val="de-DE"/>
        </w:rPr>
        <w:t xml:space="preserve"> Amfibileri ve Sürüngenleri. Tübitak Popüler Bilim Kitapları, Ankara.</w:t>
      </w:r>
    </w:p>
  </w:footnote>
  <w:footnote w:id="9">
    <w:p w14:paraId="71BEA8DB" w14:textId="77777777" w:rsidR="0071341B" w:rsidRPr="00677413" w:rsidRDefault="0071341B" w:rsidP="00082434">
      <w:pPr>
        <w:pStyle w:val="FootnoteText"/>
        <w:rPr>
          <w:lang w:val="tr-TR"/>
        </w:rPr>
      </w:pPr>
      <w:r>
        <w:rPr>
          <w:rStyle w:val="FootnoteReference"/>
        </w:rPr>
        <w:footnoteRef/>
      </w:r>
      <w:r w:rsidRPr="0040126F">
        <w:rPr>
          <w:lang w:val="tr-TR"/>
        </w:rPr>
        <w:t xml:space="preserve"> http://www.turkherptil.org/</w:t>
      </w:r>
    </w:p>
  </w:footnote>
  <w:footnote w:id="10">
    <w:p w14:paraId="3A60DFAE" w14:textId="1EC800EB" w:rsidR="0071341B" w:rsidRPr="0029338D" w:rsidRDefault="0071341B" w:rsidP="00082434">
      <w:pPr>
        <w:pStyle w:val="FootnoteText"/>
        <w:rPr>
          <w:lang w:val="tr-TR"/>
        </w:rPr>
      </w:pPr>
      <w:r>
        <w:rPr>
          <w:rStyle w:val="FootnoteReference"/>
        </w:rPr>
        <w:footnoteRef/>
      </w:r>
      <w:r w:rsidRPr="0040126F">
        <w:rPr>
          <w:lang w:val="tr-TR"/>
        </w:rPr>
        <w:t xml:space="preserve"> Özeti, N. ve İ., Yılmaz 1994 </w:t>
      </w:r>
      <w:r>
        <w:rPr>
          <w:lang w:val="tr-TR"/>
        </w:rPr>
        <w:t>Türkiye</w:t>
      </w:r>
      <w:r w:rsidRPr="0040126F">
        <w:rPr>
          <w:lang w:val="tr-TR"/>
        </w:rPr>
        <w:t xml:space="preserve"> amfibileri. Ege Üniversitesi Fen Fakültesi, Kitaplar Serisi: 151, Ege Üniversitesi Basımevi, Bornova-İzmir.</w:t>
      </w:r>
    </w:p>
  </w:footnote>
  <w:footnote w:id="11">
    <w:p w14:paraId="3171F572" w14:textId="79D7E73F" w:rsidR="0071341B" w:rsidRPr="00677413" w:rsidRDefault="0071341B" w:rsidP="00082434">
      <w:pPr>
        <w:pStyle w:val="FootnoteText"/>
        <w:rPr>
          <w:lang w:val="tr-TR"/>
        </w:rPr>
      </w:pPr>
      <w:r>
        <w:rPr>
          <w:rStyle w:val="FootnoteReference"/>
        </w:rPr>
        <w:footnoteRef/>
      </w:r>
      <w:r w:rsidRPr="0040126F">
        <w:rPr>
          <w:lang w:val="de-DE"/>
        </w:rPr>
        <w:t xml:space="preserve"> Baran, İ. (2005). </w:t>
      </w:r>
      <w:r>
        <w:rPr>
          <w:lang w:val="de-DE"/>
        </w:rPr>
        <w:t>Türkiye</w:t>
      </w:r>
      <w:r w:rsidRPr="0040126F">
        <w:rPr>
          <w:lang w:val="de-DE"/>
        </w:rPr>
        <w:t xml:space="preserve"> Amfibileri ve Sürüngenleri. Tübitak Popüler Bilim Kitapları, Ankara.</w:t>
      </w:r>
    </w:p>
  </w:footnote>
  <w:footnote w:id="12">
    <w:p w14:paraId="7BE1EB14" w14:textId="77777777" w:rsidR="0071341B" w:rsidRPr="00677413" w:rsidRDefault="0071341B" w:rsidP="00082434">
      <w:pPr>
        <w:pStyle w:val="FootnoteText"/>
        <w:rPr>
          <w:lang w:val="tr-TR"/>
        </w:rPr>
      </w:pPr>
      <w:r>
        <w:rPr>
          <w:rStyle w:val="FootnoteReference"/>
        </w:rPr>
        <w:footnoteRef/>
      </w:r>
      <w:r>
        <w:t xml:space="preserve"> </w:t>
      </w:r>
      <w:r w:rsidRPr="0029338D">
        <w:t>http://www.turkherptil.org/</w:t>
      </w:r>
    </w:p>
  </w:footnote>
  <w:footnote w:id="13">
    <w:p w14:paraId="25046836" w14:textId="77777777" w:rsidR="0071341B" w:rsidRPr="0029338D" w:rsidRDefault="0071341B" w:rsidP="00082434">
      <w:pPr>
        <w:pStyle w:val="FootnoteText"/>
        <w:rPr>
          <w:lang w:val="tr-TR"/>
        </w:rPr>
      </w:pPr>
      <w:r>
        <w:rPr>
          <w:rStyle w:val="FootnoteReference"/>
        </w:rPr>
        <w:footnoteRef/>
      </w:r>
      <w:r>
        <w:t xml:space="preserve"> </w:t>
      </w:r>
      <w:r w:rsidRPr="0029338D">
        <w:t>BirdLife International 2003 BirdLife's online World Bird Database: Search for Species. Version 2.0. Cambridge, UK: BirdLife International. Available: http://www.birdlife.org</w:t>
      </w:r>
    </w:p>
  </w:footnote>
  <w:footnote w:id="14">
    <w:p w14:paraId="351EA287" w14:textId="6ACF5EB6" w:rsidR="0071341B" w:rsidRPr="0029338D" w:rsidRDefault="0071341B" w:rsidP="00082434">
      <w:pPr>
        <w:pStyle w:val="FootnoteText"/>
        <w:rPr>
          <w:lang w:val="tr-TR"/>
        </w:rPr>
      </w:pPr>
      <w:r>
        <w:rPr>
          <w:rStyle w:val="FootnoteReference"/>
        </w:rPr>
        <w:footnoteRef/>
      </w:r>
      <w:r>
        <w:t xml:space="preserve"> </w:t>
      </w:r>
      <w:r w:rsidRPr="0029338D">
        <w:t xml:space="preserve">Kiziroglu, I. (2009).  The Pocket Book for Birds of </w:t>
      </w:r>
      <w:r>
        <w:t>Türkiye</w:t>
      </w:r>
      <w:r w:rsidRPr="0029338D">
        <w:t>, ISBN: 975-7460-01-X, Ankamat Matbaası, Ankara, 564 s.</w:t>
      </w:r>
    </w:p>
  </w:footnote>
  <w:footnote w:id="15">
    <w:p w14:paraId="734DF6BF" w14:textId="77777777" w:rsidR="0071341B" w:rsidRPr="0029338D" w:rsidRDefault="0071341B" w:rsidP="00082434">
      <w:pPr>
        <w:pStyle w:val="FootnoteText"/>
        <w:rPr>
          <w:lang w:val="tr-TR"/>
        </w:rPr>
      </w:pPr>
      <w:r>
        <w:rPr>
          <w:rStyle w:val="FootnoteReference"/>
        </w:rPr>
        <w:footnoteRef/>
      </w:r>
      <w:r w:rsidRPr="0040126F">
        <w:rPr>
          <w:lang w:val="tr-TR"/>
        </w:rPr>
        <w:t xml:space="preserve"> https://ebird.org/home</w:t>
      </w:r>
    </w:p>
  </w:footnote>
  <w:footnote w:id="16">
    <w:p w14:paraId="10FFF833" w14:textId="05700FED" w:rsidR="0071341B" w:rsidRPr="0029338D" w:rsidRDefault="0071341B" w:rsidP="00082434">
      <w:pPr>
        <w:pStyle w:val="FootnoteText"/>
        <w:rPr>
          <w:lang w:val="tr-TR"/>
        </w:rPr>
      </w:pPr>
      <w:r>
        <w:rPr>
          <w:rStyle w:val="FootnoteReference"/>
        </w:rPr>
        <w:footnoteRef/>
      </w:r>
      <w:r w:rsidRPr="0040126F">
        <w:rPr>
          <w:lang w:val="tr-TR"/>
        </w:rPr>
        <w:t xml:space="preserve"> A Demirsoy, N Yiğit – 2003, Memeliler: </w:t>
      </w:r>
      <w:r>
        <w:rPr>
          <w:lang w:val="tr-TR"/>
        </w:rPr>
        <w:t>Türkiye</w:t>
      </w:r>
      <w:r w:rsidRPr="0040126F">
        <w:rPr>
          <w:lang w:val="tr-TR"/>
        </w:rPr>
        <w:t xml:space="preserve"> omurgalıları: </w:t>
      </w:r>
      <w:r>
        <w:rPr>
          <w:lang w:val="tr-TR"/>
        </w:rPr>
        <w:t>Türkiye</w:t>
      </w:r>
      <w:r w:rsidRPr="0040126F">
        <w:rPr>
          <w:lang w:val="tr-TR"/>
        </w:rPr>
        <w:t xml:space="preserve"> omurgalı faunasının sistematik ve biyolojik özelliklerinin araştırılması ve koruma önlemlerinin saptanması</w:t>
      </w:r>
    </w:p>
  </w:footnote>
  <w:footnote w:id="17">
    <w:p w14:paraId="5CE3BFED" w14:textId="06445DB9" w:rsidR="0071341B" w:rsidRPr="001E0229" w:rsidRDefault="0071341B">
      <w:pPr>
        <w:pStyle w:val="FootnoteText"/>
        <w:rPr>
          <w:sz w:val="18"/>
          <w:szCs w:val="18"/>
          <w:lang w:val="tr-TR"/>
        </w:rPr>
      </w:pPr>
      <w:r w:rsidRPr="001E0229">
        <w:rPr>
          <w:rStyle w:val="FootnoteReference"/>
          <w:sz w:val="18"/>
          <w:szCs w:val="18"/>
        </w:rPr>
        <w:footnoteRef/>
      </w:r>
      <w:r w:rsidRPr="001E0229">
        <w:rPr>
          <w:sz w:val="18"/>
          <w:szCs w:val="18"/>
        </w:rPr>
        <w:t xml:space="preserve"> After the earthquake, the neighborhood headmen were contacted via telephone. In the Kurbanlı neighborhood, one family affected by the earthquake settled in their own house. In Sağlıklı neighborhood, three families came, one permanent and the other two temporary. The number of settled families was low and there was no demographic change.</w:t>
      </w:r>
    </w:p>
  </w:footnote>
  <w:footnote w:id="18">
    <w:p w14:paraId="568A8EAC" w14:textId="4326B616" w:rsidR="0071341B" w:rsidRPr="00A472A8" w:rsidRDefault="0071341B">
      <w:pPr>
        <w:pStyle w:val="FootnoteText"/>
        <w:rPr>
          <w:lang w:val="tr-TR"/>
        </w:rPr>
      </w:pPr>
      <w:r>
        <w:rPr>
          <w:rStyle w:val="FootnoteReference"/>
        </w:rPr>
        <w:footnoteRef/>
      </w:r>
      <w:r>
        <w:t xml:space="preserve"> </w:t>
      </w:r>
      <w:r w:rsidRPr="00A472A8">
        <w:t>TurkStat, Daily Amount of Water Usage Per Capita (Liters/Person-Day) Data (Mersin), 20</w:t>
      </w:r>
      <w:r>
        <w:t>18</w:t>
      </w:r>
    </w:p>
  </w:footnote>
  <w:footnote w:id="19">
    <w:p w14:paraId="14E047DE" w14:textId="71A360EB" w:rsidR="0071341B" w:rsidRPr="005819A0" w:rsidRDefault="0071341B">
      <w:pPr>
        <w:pStyle w:val="FootnoteText"/>
        <w:rPr>
          <w:lang w:val="tr-TR"/>
        </w:rPr>
      </w:pPr>
      <w:r>
        <w:rPr>
          <w:rStyle w:val="FootnoteReference"/>
        </w:rPr>
        <w:footnoteRef/>
      </w:r>
      <w:r>
        <w:t xml:space="preserve"> </w:t>
      </w:r>
      <w:r w:rsidRPr="005819A0">
        <w:t>Prof.Dr.</w:t>
      </w:r>
      <w:r>
        <w:t>İ</w:t>
      </w:r>
      <w:r w:rsidRPr="005819A0">
        <w:t xml:space="preserve">zzet </w:t>
      </w:r>
      <w:r>
        <w:t>Ö</w:t>
      </w:r>
      <w:r w:rsidRPr="005819A0">
        <w:t>zt</w:t>
      </w:r>
      <w:r>
        <w:t>ü</w:t>
      </w:r>
      <w:r w:rsidRPr="005819A0">
        <w:t>rk, Dr. Hacer Timur, Dr. Ufuk Koşkan 2005, Principles of Wastewater Treatment, M</w:t>
      </w:r>
      <w:r>
        <w:t>oEUCC</w:t>
      </w:r>
    </w:p>
  </w:footnote>
  <w:footnote w:id="20">
    <w:p w14:paraId="5E4AD215" w14:textId="7FFE577C" w:rsidR="0071341B" w:rsidRPr="00A472A8" w:rsidRDefault="0071341B" w:rsidP="0058281D">
      <w:pPr>
        <w:pStyle w:val="FootnoteText"/>
        <w:rPr>
          <w:lang w:val="tr-TR"/>
        </w:rPr>
      </w:pPr>
      <w:r>
        <w:rPr>
          <w:rStyle w:val="FootnoteReference"/>
        </w:rPr>
        <w:footnoteRef/>
      </w:r>
      <w:r>
        <w:t xml:space="preserve"> </w:t>
      </w:r>
      <w:r w:rsidRPr="00A472A8">
        <w:t>TurkStat, Daily Amount of Water Usage Per Capita (Liters/Person-Day) Data (Mersin), 20</w:t>
      </w:r>
      <w:r>
        <w:t>18</w:t>
      </w:r>
    </w:p>
  </w:footnote>
  <w:footnote w:id="21">
    <w:p w14:paraId="20F56850" w14:textId="40D3156E" w:rsidR="0071341B" w:rsidRPr="00CC4BD4" w:rsidRDefault="0071341B">
      <w:pPr>
        <w:pStyle w:val="FootnoteText"/>
        <w:rPr>
          <w:lang w:val="tr-TR"/>
        </w:rPr>
      </w:pPr>
      <w:r>
        <w:rPr>
          <w:rStyle w:val="FootnoteReference"/>
        </w:rPr>
        <w:footnoteRef/>
      </w:r>
      <w:r>
        <w:t xml:space="preserve"> </w:t>
      </w:r>
      <w:r w:rsidRPr="00CC4BD4">
        <w:t>TurkStat, Daily Amount of Municipal Waste Per Capita (Kg/Person-Day) Data (</w:t>
      </w:r>
      <w:r>
        <w:t>Mersin</w:t>
      </w:r>
      <w:r w:rsidRPr="00CC4BD4">
        <w:t>), 2020</w:t>
      </w:r>
    </w:p>
  </w:footnote>
  <w:footnote w:id="22">
    <w:p w14:paraId="3CD52358" w14:textId="53ED8ADB" w:rsidR="0071341B" w:rsidRPr="00346180" w:rsidRDefault="0071341B">
      <w:pPr>
        <w:pStyle w:val="FootnoteText"/>
        <w:rPr>
          <w:lang w:val="tr-TR"/>
        </w:rPr>
      </w:pPr>
      <w:r>
        <w:rPr>
          <w:rStyle w:val="FootnoteReference"/>
        </w:rPr>
        <w:footnoteRef/>
      </w:r>
      <w:r>
        <w:t xml:space="preserve"> </w:t>
      </w:r>
      <w:r w:rsidRPr="00346180">
        <w:t xml:space="preserve">Solid Waste Management and Recovery, </w:t>
      </w:r>
      <w:r>
        <w:t>E</w:t>
      </w:r>
      <w:r w:rsidRPr="00C80A9A">
        <w:t xml:space="preserve">nvironmental </w:t>
      </w:r>
      <w:r>
        <w:t>P</w:t>
      </w:r>
      <w:r w:rsidRPr="00C80A9A">
        <w:t xml:space="preserve">rotection and </w:t>
      </w:r>
      <w:r>
        <w:t>P</w:t>
      </w:r>
      <w:r w:rsidRPr="00C80A9A">
        <w:t xml:space="preserve">ackaging </w:t>
      </w:r>
      <w:r>
        <w:t>W</w:t>
      </w:r>
      <w:r w:rsidRPr="00C80A9A">
        <w:t xml:space="preserve">aste </w:t>
      </w:r>
      <w:r>
        <w:t>R</w:t>
      </w:r>
      <w:r w:rsidRPr="00C80A9A">
        <w:t xml:space="preserve">ecovery and </w:t>
      </w:r>
      <w:r>
        <w:t>R</w:t>
      </w:r>
      <w:r w:rsidRPr="00C80A9A">
        <w:t xml:space="preserve">ecycling </w:t>
      </w:r>
      <w:r>
        <w:t>F</w:t>
      </w:r>
      <w:r w:rsidRPr="00C80A9A">
        <w:t xml:space="preserve">oundation </w:t>
      </w:r>
      <w:r>
        <w:t>(</w:t>
      </w:r>
      <w:r w:rsidRPr="00346180">
        <w:t>ÇEVKO</w:t>
      </w:r>
      <w:r>
        <w:t>)</w:t>
      </w:r>
      <w:r w:rsidRPr="00346180">
        <w:t xml:space="preserve"> Publications</w:t>
      </w:r>
    </w:p>
  </w:footnote>
  <w:footnote w:id="23">
    <w:p w14:paraId="45068C82" w14:textId="77777777" w:rsidR="0071341B" w:rsidRPr="00CC4BD4" w:rsidRDefault="0071341B" w:rsidP="0026317E">
      <w:pPr>
        <w:pStyle w:val="FootnoteText"/>
        <w:rPr>
          <w:lang w:val="tr-TR"/>
        </w:rPr>
      </w:pPr>
      <w:r>
        <w:rPr>
          <w:rStyle w:val="FootnoteReference"/>
        </w:rPr>
        <w:footnoteRef/>
      </w:r>
      <w:r>
        <w:t xml:space="preserve"> </w:t>
      </w:r>
      <w:r w:rsidRPr="00CC4BD4">
        <w:t>TurkStat, Daily Amount of Municipal Waste Per Capita (Kg/Person-Day) Data (</w:t>
      </w:r>
      <w:r>
        <w:t>Mersin</w:t>
      </w:r>
      <w:r w:rsidRPr="00CC4BD4">
        <w:t>), 2020</w:t>
      </w:r>
    </w:p>
  </w:footnote>
  <w:footnote w:id="24">
    <w:p w14:paraId="613E7690" w14:textId="77777777" w:rsidR="0071341B" w:rsidRPr="00346180" w:rsidRDefault="0071341B" w:rsidP="007D5476">
      <w:pPr>
        <w:pStyle w:val="FootnoteText"/>
        <w:rPr>
          <w:lang w:val="tr-TR"/>
        </w:rPr>
      </w:pPr>
      <w:r>
        <w:rPr>
          <w:rStyle w:val="FootnoteReference"/>
        </w:rPr>
        <w:footnoteRef/>
      </w:r>
      <w:r>
        <w:t xml:space="preserve"> </w:t>
      </w:r>
      <w:r w:rsidRPr="00346180">
        <w:t xml:space="preserve">Solid Waste Management and Recovery, </w:t>
      </w:r>
      <w:r>
        <w:t>E</w:t>
      </w:r>
      <w:r w:rsidRPr="00C80A9A">
        <w:t xml:space="preserve">nvironmental </w:t>
      </w:r>
      <w:r>
        <w:t>P</w:t>
      </w:r>
      <w:r w:rsidRPr="00C80A9A">
        <w:t xml:space="preserve">rotection and </w:t>
      </w:r>
      <w:r>
        <w:t>P</w:t>
      </w:r>
      <w:r w:rsidRPr="00C80A9A">
        <w:t xml:space="preserve">ackaging </w:t>
      </w:r>
      <w:r>
        <w:t>W</w:t>
      </w:r>
      <w:r w:rsidRPr="00C80A9A">
        <w:t xml:space="preserve">aste </w:t>
      </w:r>
      <w:r>
        <w:t>R</w:t>
      </w:r>
      <w:r w:rsidRPr="00C80A9A">
        <w:t xml:space="preserve">ecovery and </w:t>
      </w:r>
      <w:r>
        <w:t>R</w:t>
      </w:r>
      <w:r w:rsidRPr="00C80A9A">
        <w:t xml:space="preserve">ecycling </w:t>
      </w:r>
      <w:r>
        <w:t>F</w:t>
      </w:r>
      <w:r w:rsidRPr="00C80A9A">
        <w:t xml:space="preserve">oundation </w:t>
      </w:r>
      <w:r>
        <w:t>(</w:t>
      </w:r>
      <w:r w:rsidRPr="00346180">
        <w:t>ÇEVKO</w:t>
      </w:r>
      <w:r>
        <w:t>)</w:t>
      </w:r>
      <w:r w:rsidRPr="00346180">
        <w:t xml:space="preserve"> Publications</w:t>
      </w:r>
    </w:p>
  </w:footnote>
  <w:footnote w:id="25">
    <w:p w14:paraId="2E5C2A50" w14:textId="77777777" w:rsidR="0071341B" w:rsidRPr="00727F6E" w:rsidRDefault="0071341B" w:rsidP="00B5274C">
      <w:pPr>
        <w:pStyle w:val="FootnoteText"/>
        <w:rPr>
          <w:lang w:val="tr-TR"/>
        </w:rPr>
      </w:pPr>
      <w:r>
        <w:rPr>
          <w:rStyle w:val="FootnoteReference"/>
        </w:rPr>
        <w:footnoteRef/>
      </w:r>
      <w:r w:rsidRPr="00F733C6">
        <w:rPr>
          <w:lang w:val="tr-TR"/>
        </w:rPr>
        <w:t xml:space="preserve"> https://documents1.worldbank.org/curated/en/604561468170043490/pdf/602530WP0worke10Box358316B01PUBLIC1.pdf</w:t>
      </w:r>
    </w:p>
  </w:footnote>
  <w:footnote w:id="26">
    <w:p w14:paraId="5DFF3D5C" w14:textId="4DEE9545" w:rsidR="0071341B" w:rsidRPr="004C60B9" w:rsidRDefault="0071341B">
      <w:pPr>
        <w:pStyle w:val="FootnoteText"/>
        <w:rPr>
          <w:lang w:val="tr-TR"/>
        </w:rPr>
      </w:pPr>
      <w:r>
        <w:rPr>
          <w:rStyle w:val="FootnoteReference"/>
        </w:rPr>
        <w:footnoteRef/>
      </w:r>
      <w:r>
        <w:t xml:space="preserve"> </w:t>
      </w:r>
      <w:r w:rsidRPr="0092059B">
        <w:t>The total area is approximately 101 hectares. However, 9400 square metres of parcel 189/11 in Kurbanlı neighbourhood and 66650 square metres of parcel 0/680 in Eskişehir neighbourhood will be included in Phase 2. Therefore, the area to be used for Phase 1 is approximately 92 hectares.</w:t>
      </w:r>
    </w:p>
  </w:footnote>
  <w:footnote w:id="27">
    <w:p w14:paraId="53DEFA94" w14:textId="77777777" w:rsidR="0071341B" w:rsidRPr="00A00D53" w:rsidRDefault="0071341B" w:rsidP="00924706">
      <w:pPr>
        <w:pStyle w:val="FootnoteText"/>
        <w:rPr>
          <w:szCs w:val="16"/>
          <w:lang w:val="tr-TR"/>
        </w:rPr>
      </w:pPr>
      <w:r w:rsidRPr="00A00D53">
        <w:rPr>
          <w:rStyle w:val="FootnoteReference"/>
          <w:szCs w:val="16"/>
        </w:rPr>
        <w:footnoteRef/>
      </w:r>
      <w:r w:rsidRPr="00A00D53">
        <w:rPr>
          <w:szCs w:val="16"/>
        </w:rPr>
        <w:t xml:space="preserve"> Since the shareholders could not be reached, it was acquired by expropriation.</w:t>
      </w:r>
    </w:p>
  </w:footnote>
  <w:footnote w:id="28">
    <w:p w14:paraId="40444DF6" w14:textId="36E93AD8" w:rsidR="0071341B" w:rsidRPr="00E961E6" w:rsidRDefault="0071341B">
      <w:pPr>
        <w:pStyle w:val="FootnoteText"/>
        <w:rPr>
          <w:sz w:val="18"/>
          <w:szCs w:val="18"/>
          <w:lang w:val="tr-TR"/>
        </w:rPr>
      </w:pPr>
      <w:r w:rsidRPr="00E961E6">
        <w:rPr>
          <w:rStyle w:val="FootnoteReference"/>
          <w:sz w:val="18"/>
          <w:szCs w:val="18"/>
        </w:rPr>
        <w:footnoteRef/>
      </w:r>
      <w:r w:rsidRPr="00E961E6">
        <w:rPr>
          <w:sz w:val="18"/>
          <w:szCs w:val="18"/>
        </w:rPr>
        <w:t xml:space="preserve"> </w:t>
      </w:r>
      <w:r w:rsidRPr="00E961E6">
        <w:rPr>
          <w:sz w:val="18"/>
          <w:szCs w:val="18"/>
          <w:lang w:val="en-US"/>
        </w:rPr>
        <w:t>The name given to the compensation received from the person who makes use of an immovable property that does not belong to him/her without a lease contract and constitutes the compensation for the use.</w:t>
      </w:r>
    </w:p>
  </w:footnote>
  <w:footnote w:id="29">
    <w:p w14:paraId="4E5A023A" w14:textId="77777777" w:rsidR="0071341B" w:rsidRPr="00A006A8" w:rsidRDefault="0071341B" w:rsidP="00306336">
      <w:pPr>
        <w:pStyle w:val="FootnoteText"/>
        <w:rPr>
          <w:lang w:val="tr-TR"/>
        </w:rPr>
      </w:pPr>
      <w:r>
        <w:rPr>
          <w:rStyle w:val="FootnoteReference"/>
        </w:rPr>
        <w:footnoteRef/>
      </w:r>
      <w:r w:rsidRPr="000C525B">
        <w:rPr>
          <w:lang w:val="tr-TR"/>
        </w:rPr>
        <w:t xml:space="preserve"> https://www.csgb.gov.tr/media/42182/isyerlerinde-koronaviruse-covid-19-karsi-alinmasi-gereken-onlemler.pdf</w:t>
      </w:r>
    </w:p>
  </w:footnote>
  <w:footnote w:id="30">
    <w:p w14:paraId="405B8DD3" w14:textId="0012B8E2" w:rsidR="0071341B" w:rsidRPr="00204BA7" w:rsidRDefault="0071341B" w:rsidP="00B3628F">
      <w:pPr>
        <w:pStyle w:val="FootnoteText"/>
      </w:pPr>
      <w:r>
        <w:rPr>
          <w:rStyle w:val="FootnoteReference"/>
          <w:lang w:val="en"/>
        </w:rPr>
        <w:footnoteRef/>
      </w:r>
      <w:r>
        <w:rPr>
          <w:lang w:val="en"/>
        </w:rPr>
        <w:t xml:space="preserve"> Land acquisition covers displacement of people, change in livelihoods, and seizure of private properties. This applies to acquired/assigned lands, and affects the residents and/or slum dwellers and business owners on the lands acquired in the said way.</w:t>
      </w:r>
    </w:p>
  </w:footnote>
  <w:footnote w:id="31">
    <w:p w14:paraId="135CBDEF" w14:textId="5770D871" w:rsidR="0071341B" w:rsidRPr="00204BA7" w:rsidRDefault="0071341B" w:rsidP="00B3628F">
      <w:pPr>
        <w:pStyle w:val="FootnoteText"/>
      </w:pPr>
      <w:r>
        <w:rPr>
          <w:rStyle w:val="FootnoteReference"/>
          <w:lang w:val="en"/>
        </w:rPr>
        <w:footnoteRef/>
      </w:r>
      <w:r>
        <w:rPr>
          <w:lang w:val="en"/>
        </w:rPr>
        <w:t xml:space="preserve"> Toxic/hazardous materials include asbestos, toxic paints, harmful solvents, lead paint removal, etc.</w:t>
      </w:r>
    </w:p>
  </w:footnote>
  <w:footnote w:id="32">
    <w:p w14:paraId="182A5605" w14:textId="6C203EF6" w:rsidR="0071341B" w:rsidRDefault="0071341B" w:rsidP="009155D1">
      <w:pPr>
        <w:pStyle w:val="FootnoteText"/>
      </w:pPr>
      <w:r>
        <w:rPr>
          <w:rStyle w:val="FootnoteReference"/>
          <w:lang w:val="en"/>
        </w:rPr>
        <w:footnoteRef/>
      </w:r>
      <w:r>
        <w:rPr>
          <w:lang w:val="en"/>
        </w:rPr>
        <w:t xml:space="preserve"> As mentioned in the United Nations Development Cooperation Strategy Türkiye 2016-2020 Government of The Republic of Türkiye and The United Nations System in Türkiye, </w:t>
      </w:r>
      <w:r>
        <w:rPr>
          <w:i/>
          <w:iCs/>
          <w:lang w:val="en"/>
        </w:rPr>
        <w:t>Sustainable, Inclusive Growth and Development Goals</w:t>
      </w:r>
      <w:r>
        <w:rPr>
          <w:lang w:val="en"/>
        </w:rPr>
        <w:t>.</w:t>
      </w:r>
    </w:p>
  </w:footnote>
  <w:footnote w:id="33">
    <w:p w14:paraId="2B32C05B" w14:textId="77777777" w:rsidR="0071341B" w:rsidRPr="00C62F21" w:rsidRDefault="0071341B" w:rsidP="009155D1">
      <w:pPr>
        <w:pStyle w:val="FootnoteText"/>
        <w:rPr>
          <w:lang w:val="tr-TR"/>
        </w:rPr>
      </w:pPr>
      <w:r>
        <w:rPr>
          <w:rStyle w:val="FootnoteReference"/>
        </w:rPr>
        <w:footnoteRef/>
      </w:r>
      <w:r>
        <w:t xml:space="preserve"> </w:t>
      </w:r>
      <w:r w:rsidRPr="001A1EFD">
        <w:t>The Parcel-Based Geotechnical Report of the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E83E" w14:textId="7F080E3C" w:rsidR="0071341B" w:rsidRPr="00CC574E" w:rsidRDefault="0071341B" w:rsidP="00CC574E">
    <w:pPr>
      <w:pStyle w:val="Header"/>
      <w:spacing w:before="0" w:after="0" w:line="240" w:lineRule="auto"/>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71341B" w:rsidRPr="003213D5" w14:paraId="1E169FFF" w14:textId="77777777">
      <w:trPr>
        <w:trHeight w:hRule="exact" w:val="433"/>
      </w:trPr>
      <w:tc>
        <w:tcPr>
          <w:tcW w:w="3921" w:type="pct"/>
          <w:tcBorders>
            <w:top w:val="nil"/>
            <w:bottom w:val="single" w:sz="4" w:space="0" w:color="548DD4"/>
          </w:tcBorders>
          <w:vAlign w:val="center"/>
        </w:tcPr>
        <w:p w14:paraId="6B1240B9" w14:textId="77777777" w:rsidR="0071341B" w:rsidRDefault="0071341B" w:rsidP="00751150">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3649EC86" w14:textId="77777777" w:rsidR="0071341B" w:rsidRPr="001F0315" w:rsidRDefault="0071341B" w:rsidP="00751150">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Basic Infrastructure</w:t>
          </w:r>
          <w:r>
            <w:rPr>
              <w:rFonts w:eastAsia="Arial TUR" w:cs="Wingdings"/>
              <w:color w:val="00B0F0"/>
              <w:sz w:val="18"/>
              <w:szCs w:val="18"/>
              <w:lang w:eastAsia="en-US"/>
            </w:rPr>
            <w:t xml:space="preserve"> </w:t>
          </w:r>
          <w:r w:rsidRPr="00A242A5">
            <w:rPr>
              <w:rFonts w:eastAsia="Calibri" w:cs="Arial"/>
              <w:bCs/>
              <w:color w:val="00B0F0"/>
              <w:sz w:val="18"/>
              <w:szCs w:val="18"/>
              <w:lang w:eastAsia="en-US"/>
            </w:rPr>
            <w:t>Project</w:t>
          </w:r>
        </w:p>
      </w:tc>
      <w:tc>
        <w:tcPr>
          <w:tcW w:w="1079" w:type="pct"/>
        </w:tcPr>
        <w:p w14:paraId="4D039923" w14:textId="77777777" w:rsidR="0071341B" w:rsidRPr="00D63730" w:rsidRDefault="0071341B" w:rsidP="00751150">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6504A9AA" wp14:editId="7EEDC927">
                <wp:extent cx="1057275" cy="451421"/>
                <wp:effectExtent l="19050" t="0" r="9525" b="0"/>
                <wp:docPr id="660049347" name="Resim 660049347"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bl>
  <w:p w14:paraId="7E41F8C9" w14:textId="73B653C9" w:rsidR="0071341B" w:rsidRPr="008324CA" w:rsidRDefault="0071341B" w:rsidP="008324CA">
    <w:pPr>
      <w:pStyle w:val="Header"/>
      <w:spacing w:before="0" w:after="0" w:line="240"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06" w:type="pct"/>
      <w:tblBorders>
        <w:insideH w:val="single" w:sz="4" w:space="0" w:color="000000"/>
      </w:tblBorders>
      <w:tblLook w:val="04A0" w:firstRow="1" w:lastRow="0" w:firstColumn="1" w:lastColumn="0" w:noHBand="0" w:noVBand="1"/>
    </w:tblPr>
    <w:tblGrid>
      <w:gridCol w:w="11348"/>
      <w:gridCol w:w="2391"/>
    </w:tblGrid>
    <w:tr w:rsidR="0071341B" w:rsidRPr="003213D5" w14:paraId="0FE1CF96" w14:textId="77777777" w:rsidTr="000F7C6F">
      <w:trPr>
        <w:trHeight w:hRule="exact" w:val="433"/>
      </w:trPr>
      <w:tc>
        <w:tcPr>
          <w:tcW w:w="4130" w:type="pct"/>
          <w:tcBorders>
            <w:top w:val="nil"/>
            <w:bottom w:val="single" w:sz="4" w:space="0" w:color="548DD4"/>
          </w:tcBorders>
          <w:vAlign w:val="center"/>
        </w:tcPr>
        <w:p w14:paraId="4179DFB5" w14:textId="77777777" w:rsidR="0071341B"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10D012C8" w14:textId="62057770" w:rsidR="0071341B" w:rsidRPr="001F0315"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870" w:type="pct"/>
          <w:vMerge w:val="restart"/>
        </w:tcPr>
        <w:p w14:paraId="196D444C" w14:textId="77777777" w:rsidR="0071341B" w:rsidRPr="00D63730" w:rsidRDefault="0071341B" w:rsidP="00693B0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076DA630" wp14:editId="148D38D6">
                <wp:extent cx="1057275" cy="451421"/>
                <wp:effectExtent l="19050" t="0" r="9525" b="0"/>
                <wp:docPr id="640801642" name="Resim 640801642"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71341B" w:rsidRPr="003213D5" w14:paraId="3D442F32" w14:textId="77777777" w:rsidTr="000F7C6F">
      <w:trPr>
        <w:trHeight w:hRule="exact" w:val="422"/>
      </w:trPr>
      <w:tc>
        <w:tcPr>
          <w:tcW w:w="4130" w:type="pct"/>
          <w:tcBorders>
            <w:top w:val="single" w:sz="4" w:space="0" w:color="548DD4"/>
          </w:tcBorders>
        </w:tcPr>
        <w:p w14:paraId="64E554E7" w14:textId="77777777" w:rsidR="0071341B" w:rsidRPr="00D63730" w:rsidRDefault="0071341B" w:rsidP="00693B0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r w:rsidRPr="00D63730">
            <w:rPr>
              <w:rFonts w:cs="Arial"/>
              <w:color w:val="00B050"/>
              <w:sz w:val="18"/>
              <w:szCs w:val="18"/>
            </w:rPr>
            <w:t xml:space="preserve">  </w:t>
          </w:r>
        </w:p>
      </w:tc>
      <w:tc>
        <w:tcPr>
          <w:tcW w:w="870" w:type="pct"/>
          <w:vMerge/>
          <w:vAlign w:val="center"/>
        </w:tcPr>
        <w:p w14:paraId="4CF71096" w14:textId="77777777" w:rsidR="0071341B" w:rsidRPr="00D63730" w:rsidRDefault="0071341B" w:rsidP="00693B0B">
          <w:pPr>
            <w:spacing w:after="120"/>
            <w:rPr>
              <w:rFonts w:eastAsia="Arial TUR" w:cs="Wingdings"/>
              <w:color w:val="000000"/>
              <w:sz w:val="18"/>
              <w:szCs w:val="18"/>
              <w:lang w:eastAsia="en-US"/>
            </w:rPr>
          </w:pPr>
        </w:p>
      </w:tc>
    </w:tr>
  </w:tbl>
  <w:p w14:paraId="3D3077B8" w14:textId="77777777" w:rsidR="0071341B" w:rsidRPr="00693B0B" w:rsidRDefault="0071341B" w:rsidP="00693B0B">
    <w:pPr>
      <w:pStyle w:val="Header"/>
      <w:spacing w:before="0" w:after="0" w:line="240"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71341B" w:rsidRPr="003213D5" w14:paraId="08298B90" w14:textId="77777777" w:rsidTr="00693B0B">
      <w:trPr>
        <w:trHeight w:hRule="exact" w:val="433"/>
      </w:trPr>
      <w:tc>
        <w:tcPr>
          <w:tcW w:w="3921" w:type="pct"/>
          <w:tcBorders>
            <w:top w:val="nil"/>
            <w:bottom w:val="single" w:sz="4" w:space="0" w:color="548DD4"/>
          </w:tcBorders>
          <w:vAlign w:val="center"/>
        </w:tcPr>
        <w:p w14:paraId="68DF0814" w14:textId="77777777" w:rsidR="0071341B"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38F3A36F" w14:textId="41CB6131" w:rsidR="0071341B" w:rsidRPr="001F0315"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1079" w:type="pct"/>
          <w:vMerge w:val="restart"/>
        </w:tcPr>
        <w:p w14:paraId="75D1AEBD" w14:textId="77777777" w:rsidR="0071341B" w:rsidRPr="00D63730" w:rsidRDefault="0071341B" w:rsidP="00693B0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448A359B" wp14:editId="053749CD">
                <wp:extent cx="1057275" cy="451421"/>
                <wp:effectExtent l="19050" t="0" r="9525" b="0"/>
                <wp:docPr id="1658647135" name="Resim 1658647135"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71341B" w:rsidRPr="003213D5" w14:paraId="0112411C" w14:textId="77777777" w:rsidTr="00693B0B">
      <w:trPr>
        <w:trHeight w:hRule="exact" w:val="422"/>
      </w:trPr>
      <w:tc>
        <w:tcPr>
          <w:tcW w:w="3921" w:type="pct"/>
          <w:tcBorders>
            <w:top w:val="single" w:sz="4" w:space="0" w:color="548DD4"/>
          </w:tcBorders>
        </w:tcPr>
        <w:p w14:paraId="3CDBD360" w14:textId="384CEC1B" w:rsidR="0071341B" w:rsidRPr="00D63730" w:rsidRDefault="0071341B" w:rsidP="00693B0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r w:rsidRPr="00D63730">
            <w:rPr>
              <w:rFonts w:cs="Arial"/>
              <w:color w:val="00B050"/>
              <w:sz w:val="18"/>
              <w:szCs w:val="18"/>
            </w:rPr>
            <w:t xml:space="preserve">  </w:t>
          </w:r>
        </w:p>
      </w:tc>
      <w:tc>
        <w:tcPr>
          <w:tcW w:w="1079" w:type="pct"/>
          <w:vMerge/>
          <w:vAlign w:val="center"/>
        </w:tcPr>
        <w:p w14:paraId="5848EF54" w14:textId="77777777" w:rsidR="0071341B" w:rsidRPr="00D63730" w:rsidRDefault="0071341B" w:rsidP="00693B0B">
          <w:pPr>
            <w:spacing w:after="120"/>
            <w:rPr>
              <w:rFonts w:eastAsia="Arial TUR" w:cs="Wingdings"/>
              <w:color w:val="000000"/>
              <w:sz w:val="18"/>
              <w:szCs w:val="18"/>
              <w:lang w:eastAsia="en-US"/>
            </w:rPr>
          </w:pPr>
        </w:p>
      </w:tc>
    </w:tr>
  </w:tbl>
  <w:p w14:paraId="34588F9C" w14:textId="77777777" w:rsidR="0071341B" w:rsidRPr="00693B0B" w:rsidRDefault="0071341B" w:rsidP="00693B0B">
    <w:pPr>
      <w:pStyle w:val="Header"/>
      <w:spacing w:before="0" w:after="0" w:line="240"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71341B" w:rsidRPr="003213D5" w14:paraId="62DC9A20" w14:textId="77777777" w:rsidTr="00693B0B">
      <w:trPr>
        <w:trHeight w:hRule="exact" w:val="433"/>
      </w:trPr>
      <w:tc>
        <w:tcPr>
          <w:tcW w:w="3921" w:type="pct"/>
          <w:tcBorders>
            <w:top w:val="nil"/>
            <w:bottom w:val="single" w:sz="4" w:space="0" w:color="548DD4"/>
          </w:tcBorders>
          <w:vAlign w:val="center"/>
        </w:tcPr>
        <w:p w14:paraId="340297D7" w14:textId="77777777" w:rsidR="0071341B"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29022413" w14:textId="364F7D38" w:rsidR="0071341B" w:rsidRPr="001F0315"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1079" w:type="pct"/>
          <w:vMerge w:val="restart"/>
        </w:tcPr>
        <w:p w14:paraId="522EA77F" w14:textId="77777777" w:rsidR="0071341B" w:rsidRPr="00D63730" w:rsidRDefault="0071341B" w:rsidP="00693B0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4C6F19F5" wp14:editId="5D439D26">
                <wp:extent cx="1057275" cy="451421"/>
                <wp:effectExtent l="19050" t="0" r="9525" b="0"/>
                <wp:docPr id="75866640" name="Resim 75866640"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71341B" w:rsidRPr="003213D5" w14:paraId="36A17D04" w14:textId="77777777" w:rsidTr="00693B0B">
      <w:trPr>
        <w:trHeight w:hRule="exact" w:val="422"/>
      </w:trPr>
      <w:tc>
        <w:tcPr>
          <w:tcW w:w="3921" w:type="pct"/>
          <w:tcBorders>
            <w:top w:val="single" w:sz="4" w:space="0" w:color="548DD4"/>
          </w:tcBorders>
        </w:tcPr>
        <w:p w14:paraId="44119DD5" w14:textId="7A0A86E5" w:rsidR="0071341B" w:rsidRPr="00D63730" w:rsidRDefault="0071341B" w:rsidP="00693B0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r w:rsidRPr="00D63730">
            <w:rPr>
              <w:rFonts w:cs="Arial"/>
              <w:color w:val="00B050"/>
              <w:sz w:val="18"/>
              <w:szCs w:val="18"/>
            </w:rPr>
            <w:t xml:space="preserve">  </w:t>
          </w:r>
        </w:p>
      </w:tc>
      <w:tc>
        <w:tcPr>
          <w:tcW w:w="1079" w:type="pct"/>
          <w:vMerge/>
          <w:vAlign w:val="center"/>
        </w:tcPr>
        <w:p w14:paraId="72E0D6E8" w14:textId="77777777" w:rsidR="0071341B" w:rsidRPr="00D63730" w:rsidRDefault="0071341B" w:rsidP="00693B0B">
          <w:pPr>
            <w:spacing w:after="120"/>
            <w:rPr>
              <w:rFonts w:eastAsia="Arial TUR" w:cs="Wingdings"/>
              <w:color w:val="000000"/>
              <w:sz w:val="18"/>
              <w:szCs w:val="18"/>
              <w:lang w:eastAsia="en-US"/>
            </w:rPr>
          </w:pPr>
        </w:p>
      </w:tc>
    </w:tr>
  </w:tbl>
  <w:p w14:paraId="6C45CA4F" w14:textId="77777777" w:rsidR="0071341B" w:rsidRPr="00693B0B" w:rsidRDefault="0071341B" w:rsidP="00693B0B">
    <w:pPr>
      <w:pStyle w:val="Header"/>
      <w:spacing w:before="0" w:after="0" w:line="240"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71341B" w:rsidRPr="003213D5" w14:paraId="4693BBB9" w14:textId="77777777" w:rsidTr="00693B0B">
      <w:trPr>
        <w:trHeight w:hRule="exact" w:val="433"/>
      </w:trPr>
      <w:tc>
        <w:tcPr>
          <w:tcW w:w="3921" w:type="pct"/>
          <w:tcBorders>
            <w:top w:val="nil"/>
            <w:bottom w:val="single" w:sz="4" w:space="0" w:color="548DD4"/>
          </w:tcBorders>
          <w:vAlign w:val="center"/>
        </w:tcPr>
        <w:p w14:paraId="59E8E81F" w14:textId="77777777" w:rsidR="0071341B"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20C14267" w14:textId="10247AC7" w:rsidR="0071341B" w:rsidRPr="001F0315"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1079" w:type="pct"/>
          <w:vMerge w:val="restart"/>
        </w:tcPr>
        <w:p w14:paraId="311D27FC" w14:textId="77777777" w:rsidR="0071341B" w:rsidRPr="00D63730" w:rsidRDefault="0071341B" w:rsidP="00693B0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461FE157" wp14:editId="501499B3">
                <wp:extent cx="1057275" cy="451421"/>
                <wp:effectExtent l="19050" t="0" r="9525" b="0"/>
                <wp:docPr id="1888088796" name="Resim 1888088796"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71341B" w:rsidRPr="003213D5" w14:paraId="4BD58B44" w14:textId="77777777" w:rsidTr="00693B0B">
      <w:trPr>
        <w:trHeight w:hRule="exact" w:val="422"/>
      </w:trPr>
      <w:tc>
        <w:tcPr>
          <w:tcW w:w="3921" w:type="pct"/>
          <w:tcBorders>
            <w:top w:val="single" w:sz="4" w:space="0" w:color="548DD4"/>
          </w:tcBorders>
        </w:tcPr>
        <w:p w14:paraId="2C95857F" w14:textId="00E5FD26" w:rsidR="0071341B" w:rsidRPr="00D63730" w:rsidRDefault="0071341B" w:rsidP="00693B0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r w:rsidRPr="00D63730">
            <w:rPr>
              <w:rFonts w:cs="Arial"/>
              <w:color w:val="00B050"/>
              <w:sz w:val="18"/>
              <w:szCs w:val="18"/>
            </w:rPr>
            <w:t xml:space="preserve">  </w:t>
          </w:r>
        </w:p>
      </w:tc>
      <w:tc>
        <w:tcPr>
          <w:tcW w:w="1079" w:type="pct"/>
          <w:vMerge/>
          <w:vAlign w:val="center"/>
        </w:tcPr>
        <w:p w14:paraId="7F2F1214" w14:textId="77777777" w:rsidR="0071341B" w:rsidRPr="00D63730" w:rsidRDefault="0071341B" w:rsidP="00693B0B">
          <w:pPr>
            <w:spacing w:after="120"/>
            <w:rPr>
              <w:rFonts w:eastAsia="Arial TUR" w:cs="Wingdings"/>
              <w:color w:val="000000"/>
              <w:sz w:val="18"/>
              <w:szCs w:val="18"/>
              <w:lang w:eastAsia="en-US"/>
            </w:rPr>
          </w:pPr>
        </w:p>
      </w:tc>
    </w:tr>
  </w:tbl>
  <w:p w14:paraId="5A4C8F3C" w14:textId="77777777" w:rsidR="0071341B" w:rsidRPr="00693B0B" w:rsidRDefault="0071341B" w:rsidP="00693B0B">
    <w:pPr>
      <w:pStyle w:val="Header"/>
      <w:spacing w:before="0" w:after="0" w:line="240" w:lineRule="auto"/>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10982"/>
      <w:gridCol w:w="3022"/>
    </w:tblGrid>
    <w:tr w:rsidR="0071341B" w:rsidRPr="003213D5" w14:paraId="5EFC4D3E" w14:textId="77777777">
      <w:trPr>
        <w:trHeight w:hRule="exact" w:val="433"/>
      </w:trPr>
      <w:tc>
        <w:tcPr>
          <w:tcW w:w="3921" w:type="pct"/>
          <w:tcBorders>
            <w:top w:val="nil"/>
            <w:bottom w:val="single" w:sz="4" w:space="0" w:color="548DD4"/>
          </w:tcBorders>
          <w:vAlign w:val="center"/>
        </w:tcPr>
        <w:p w14:paraId="22056D8F" w14:textId="77777777" w:rsidR="0071341B"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5C1CB64C" w14:textId="4FF546BA" w:rsidR="0071341B" w:rsidRPr="001F0315"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1079" w:type="pct"/>
          <w:vMerge w:val="restart"/>
        </w:tcPr>
        <w:p w14:paraId="548A76CC" w14:textId="77777777" w:rsidR="0071341B" w:rsidRPr="00D63730" w:rsidRDefault="0071341B" w:rsidP="0003109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51927752" wp14:editId="7AF85ED9">
                <wp:extent cx="1057275" cy="451421"/>
                <wp:effectExtent l="19050" t="0" r="9525" b="0"/>
                <wp:docPr id="1136526189" name="Resim 1136526189"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71341B" w:rsidRPr="003213D5" w14:paraId="33474E45" w14:textId="77777777">
      <w:trPr>
        <w:trHeight w:hRule="exact" w:val="422"/>
      </w:trPr>
      <w:tc>
        <w:tcPr>
          <w:tcW w:w="3921" w:type="pct"/>
          <w:tcBorders>
            <w:top w:val="single" w:sz="4" w:space="0" w:color="548DD4"/>
          </w:tcBorders>
        </w:tcPr>
        <w:p w14:paraId="102C3B43" w14:textId="77777777" w:rsidR="0071341B" w:rsidRPr="00D63730" w:rsidRDefault="0071341B" w:rsidP="0003109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r w:rsidRPr="00D63730">
            <w:rPr>
              <w:rFonts w:cs="Arial"/>
              <w:color w:val="00B050"/>
              <w:sz w:val="18"/>
              <w:szCs w:val="18"/>
            </w:rPr>
            <w:t xml:space="preserve">  </w:t>
          </w:r>
        </w:p>
      </w:tc>
      <w:tc>
        <w:tcPr>
          <w:tcW w:w="1079" w:type="pct"/>
          <w:vMerge/>
          <w:vAlign w:val="center"/>
        </w:tcPr>
        <w:p w14:paraId="0BEA36DC" w14:textId="77777777" w:rsidR="0071341B" w:rsidRPr="00D63730" w:rsidRDefault="0071341B" w:rsidP="0003109B">
          <w:pPr>
            <w:spacing w:after="120"/>
            <w:rPr>
              <w:rFonts w:eastAsia="Arial TUR" w:cs="Wingdings"/>
              <w:color w:val="000000"/>
              <w:sz w:val="18"/>
              <w:szCs w:val="18"/>
              <w:lang w:eastAsia="en-US"/>
            </w:rPr>
          </w:pPr>
        </w:p>
      </w:tc>
    </w:tr>
  </w:tbl>
  <w:p w14:paraId="7D529B69" w14:textId="28292886" w:rsidR="0071341B" w:rsidRPr="00693B0B" w:rsidRDefault="0071341B" w:rsidP="00693B0B">
    <w:pPr>
      <w:pStyle w:val="Header"/>
      <w:spacing w:before="0" w:after="0" w:line="240" w:lineRule="aut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71341B" w:rsidRPr="003213D5" w14:paraId="51FEFF23" w14:textId="77777777">
      <w:trPr>
        <w:trHeight w:hRule="exact" w:val="433"/>
      </w:trPr>
      <w:tc>
        <w:tcPr>
          <w:tcW w:w="3921" w:type="pct"/>
          <w:tcBorders>
            <w:top w:val="nil"/>
            <w:bottom w:val="single" w:sz="4" w:space="0" w:color="548DD4"/>
          </w:tcBorders>
          <w:vAlign w:val="center"/>
        </w:tcPr>
        <w:p w14:paraId="28913DEC" w14:textId="77777777" w:rsidR="0071341B"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07EC6D28" w14:textId="4A841359" w:rsidR="0071341B" w:rsidRPr="001F0315"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1079" w:type="pct"/>
          <w:vMerge w:val="restart"/>
        </w:tcPr>
        <w:p w14:paraId="14245C8B" w14:textId="77777777" w:rsidR="0071341B" w:rsidRPr="00D63730" w:rsidRDefault="0071341B" w:rsidP="0003109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31519F96" wp14:editId="23640294">
                <wp:extent cx="1057275" cy="451421"/>
                <wp:effectExtent l="19050" t="0" r="9525" b="0"/>
                <wp:docPr id="1508824313" name="Resim 1508824313"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71341B" w:rsidRPr="003213D5" w14:paraId="4C6835AD" w14:textId="77777777">
      <w:trPr>
        <w:trHeight w:hRule="exact" w:val="422"/>
      </w:trPr>
      <w:tc>
        <w:tcPr>
          <w:tcW w:w="3921" w:type="pct"/>
          <w:tcBorders>
            <w:top w:val="single" w:sz="4" w:space="0" w:color="548DD4"/>
          </w:tcBorders>
        </w:tcPr>
        <w:p w14:paraId="3E8EB5DC" w14:textId="77777777" w:rsidR="0071341B" w:rsidRPr="00D63730" w:rsidRDefault="0071341B" w:rsidP="0003109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r w:rsidRPr="00D63730">
            <w:rPr>
              <w:rFonts w:cs="Arial"/>
              <w:color w:val="00B050"/>
              <w:sz w:val="18"/>
              <w:szCs w:val="18"/>
            </w:rPr>
            <w:t xml:space="preserve">  </w:t>
          </w:r>
        </w:p>
      </w:tc>
      <w:tc>
        <w:tcPr>
          <w:tcW w:w="1079" w:type="pct"/>
          <w:vMerge/>
          <w:vAlign w:val="center"/>
        </w:tcPr>
        <w:p w14:paraId="03E39217" w14:textId="77777777" w:rsidR="0071341B" w:rsidRPr="00D63730" w:rsidRDefault="0071341B" w:rsidP="0003109B">
          <w:pPr>
            <w:spacing w:after="120"/>
            <w:rPr>
              <w:rFonts w:eastAsia="Arial TUR" w:cs="Wingdings"/>
              <w:color w:val="000000"/>
              <w:sz w:val="18"/>
              <w:szCs w:val="18"/>
              <w:lang w:eastAsia="en-US"/>
            </w:rPr>
          </w:pPr>
        </w:p>
      </w:tc>
    </w:tr>
  </w:tbl>
  <w:p w14:paraId="54E005F6" w14:textId="77777777" w:rsidR="0071341B" w:rsidRPr="00693B0B" w:rsidRDefault="0071341B" w:rsidP="00693B0B">
    <w:pPr>
      <w:pStyle w:val="Header"/>
      <w:spacing w:before="0" w:after="0" w:line="240" w:lineRule="auto"/>
      <w:rPr>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71341B" w:rsidRPr="003213D5" w14:paraId="0AE4C73A" w14:textId="77777777" w:rsidTr="00693B0B">
      <w:trPr>
        <w:trHeight w:hRule="exact" w:val="433"/>
      </w:trPr>
      <w:tc>
        <w:tcPr>
          <w:tcW w:w="3921" w:type="pct"/>
          <w:tcBorders>
            <w:top w:val="nil"/>
            <w:bottom w:val="single" w:sz="4" w:space="0" w:color="548DD4"/>
          </w:tcBorders>
          <w:vAlign w:val="center"/>
        </w:tcPr>
        <w:p w14:paraId="02936AEA" w14:textId="77777777" w:rsidR="0071341B"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6363345E" w14:textId="12C023F6" w:rsidR="0071341B" w:rsidRPr="001F0315"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1079" w:type="pct"/>
          <w:vMerge w:val="restart"/>
        </w:tcPr>
        <w:p w14:paraId="6FDCF660" w14:textId="77777777" w:rsidR="0071341B" w:rsidRPr="00D63730" w:rsidRDefault="0071341B" w:rsidP="00693B0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77E7AA37" wp14:editId="0D79F2C6">
                <wp:extent cx="1057275" cy="451421"/>
                <wp:effectExtent l="19050" t="0" r="9525" b="0"/>
                <wp:docPr id="1213454804" name="Resim 1213454804"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71341B" w:rsidRPr="003213D5" w14:paraId="53B0BB82" w14:textId="77777777" w:rsidTr="00693B0B">
      <w:trPr>
        <w:trHeight w:hRule="exact" w:val="422"/>
      </w:trPr>
      <w:tc>
        <w:tcPr>
          <w:tcW w:w="3921" w:type="pct"/>
          <w:tcBorders>
            <w:top w:val="single" w:sz="4" w:space="0" w:color="548DD4"/>
          </w:tcBorders>
        </w:tcPr>
        <w:p w14:paraId="05BBA369" w14:textId="76BC9AFE" w:rsidR="0071341B" w:rsidRPr="00D63730" w:rsidRDefault="0071341B" w:rsidP="00693B0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r w:rsidRPr="00D63730">
            <w:rPr>
              <w:rFonts w:cs="Arial"/>
              <w:color w:val="00B050"/>
              <w:sz w:val="18"/>
              <w:szCs w:val="18"/>
            </w:rPr>
            <w:t xml:space="preserve">  </w:t>
          </w:r>
        </w:p>
      </w:tc>
      <w:tc>
        <w:tcPr>
          <w:tcW w:w="1079" w:type="pct"/>
          <w:vMerge/>
          <w:vAlign w:val="center"/>
        </w:tcPr>
        <w:p w14:paraId="0A78B47C" w14:textId="77777777" w:rsidR="0071341B" w:rsidRPr="00D63730" w:rsidRDefault="0071341B" w:rsidP="00693B0B">
          <w:pPr>
            <w:spacing w:after="120"/>
            <w:rPr>
              <w:rFonts w:eastAsia="Arial TUR" w:cs="Wingdings"/>
              <w:color w:val="000000"/>
              <w:sz w:val="18"/>
              <w:szCs w:val="18"/>
              <w:lang w:eastAsia="en-US"/>
            </w:rPr>
          </w:pPr>
        </w:p>
      </w:tc>
    </w:tr>
  </w:tbl>
  <w:p w14:paraId="3E16487D" w14:textId="1617A1BA" w:rsidR="0071341B" w:rsidRPr="007B0195" w:rsidRDefault="0071341B" w:rsidP="007B0195">
    <w:pPr>
      <w:pStyle w:val="Header"/>
      <w:tabs>
        <w:tab w:val="clear" w:pos="4536"/>
        <w:tab w:val="clear" w:pos="9072"/>
        <w:tab w:val="left" w:pos="7016"/>
        <w:tab w:val="left" w:pos="7845"/>
      </w:tabs>
      <w:spacing w:before="0" w:after="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71341B" w:rsidRPr="003213D5" w14:paraId="2609A279" w14:textId="77777777" w:rsidTr="003C297A">
      <w:trPr>
        <w:trHeight w:hRule="exact" w:val="433"/>
      </w:trPr>
      <w:tc>
        <w:tcPr>
          <w:tcW w:w="3921" w:type="pct"/>
          <w:tcBorders>
            <w:top w:val="nil"/>
            <w:bottom w:val="single" w:sz="4" w:space="0" w:color="548DD4"/>
          </w:tcBorders>
          <w:vAlign w:val="center"/>
        </w:tcPr>
        <w:p w14:paraId="1ED45B04" w14:textId="77777777" w:rsidR="0071341B"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366DD59F" w14:textId="77F6745A" w:rsidR="0071341B" w:rsidRPr="001F0315"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1079" w:type="pct"/>
          <w:vMerge w:val="restart"/>
        </w:tcPr>
        <w:p w14:paraId="2EA90AA2" w14:textId="77777777" w:rsidR="0071341B" w:rsidRPr="00D63730" w:rsidRDefault="0071341B" w:rsidP="00CC574E">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68E8CD2C" wp14:editId="4613F8FC">
                <wp:extent cx="1057275" cy="451421"/>
                <wp:effectExtent l="19050" t="0" r="9525" b="0"/>
                <wp:docPr id="1489291216" name="Resim 1489291216"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71341B" w:rsidRPr="003213D5" w14:paraId="6E2C99DD" w14:textId="77777777" w:rsidTr="003C297A">
      <w:trPr>
        <w:trHeight w:hRule="exact" w:val="422"/>
      </w:trPr>
      <w:tc>
        <w:tcPr>
          <w:tcW w:w="3921" w:type="pct"/>
          <w:tcBorders>
            <w:top w:val="single" w:sz="4" w:space="0" w:color="548DD4"/>
          </w:tcBorders>
        </w:tcPr>
        <w:p w14:paraId="5AAAC995" w14:textId="62282937" w:rsidR="0071341B" w:rsidRPr="00D63730" w:rsidRDefault="0071341B" w:rsidP="00CC574E">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p>
      </w:tc>
      <w:tc>
        <w:tcPr>
          <w:tcW w:w="1079" w:type="pct"/>
          <w:vMerge/>
          <w:vAlign w:val="center"/>
        </w:tcPr>
        <w:p w14:paraId="650439DC" w14:textId="77777777" w:rsidR="0071341B" w:rsidRPr="00D63730" w:rsidRDefault="0071341B" w:rsidP="00CC574E">
          <w:pPr>
            <w:spacing w:after="120"/>
            <w:rPr>
              <w:rFonts w:eastAsia="Arial TUR" w:cs="Wingdings"/>
              <w:color w:val="000000"/>
              <w:sz w:val="18"/>
              <w:szCs w:val="18"/>
              <w:lang w:eastAsia="en-US"/>
            </w:rPr>
          </w:pPr>
        </w:p>
      </w:tc>
    </w:tr>
  </w:tbl>
  <w:p w14:paraId="4017B789" w14:textId="77777777" w:rsidR="0071341B" w:rsidRPr="00CC574E" w:rsidRDefault="0071341B" w:rsidP="00CC574E">
    <w:pPr>
      <w:pStyle w:val="Header"/>
      <w:spacing w:before="0" w:after="0" w:line="24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71341B" w:rsidRPr="003213D5" w14:paraId="36234101" w14:textId="77777777" w:rsidTr="00693B0B">
      <w:trPr>
        <w:trHeight w:hRule="exact" w:val="433"/>
      </w:trPr>
      <w:tc>
        <w:tcPr>
          <w:tcW w:w="3921" w:type="pct"/>
          <w:tcBorders>
            <w:top w:val="nil"/>
            <w:bottom w:val="single" w:sz="4" w:space="0" w:color="548DD4"/>
          </w:tcBorders>
          <w:vAlign w:val="center"/>
        </w:tcPr>
        <w:p w14:paraId="69C87228" w14:textId="77777777" w:rsidR="0071341B"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189B4B2B" w14:textId="30C68DDB" w:rsidR="0071341B" w:rsidRPr="001F0315" w:rsidRDefault="0071341B"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1079" w:type="pct"/>
          <w:vMerge w:val="restart"/>
        </w:tcPr>
        <w:p w14:paraId="189F6646" w14:textId="77777777" w:rsidR="0071341B" w:rsidRPr="00D63730" w:rsidRDefault="0071341B" w:rsidP="00693B0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7A113CBB" wp14:editId="0253C867">
                <wp:extent cx="1057275" cy="451421"/>
                <wp:effectExtent l="19050" t="0" r="9525" b="0"/>
                <wp:docPr id="1684689488" name="Resim 1684689488"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71341B" w:rsidRPr="003213D5" w14:paraId="03937BD0" w14:textId="77777777" w:rsidTr="00693B0B">
      <w:trPr>
        <w:trHeight w:hRule="exact" w:val="422"/>
      </w:trPr>
      <w:tc>
        <w:tcPr>
          <w:tcW w:w="3921" w:type="pct"/>
          <w:tcBorders>
            <w:top w:val="single" w:sz="4" w:space="0" w:color="548DD4"/>
          </w:tcBorders>
        </w:tcPr>
        <w:p w14:paraId="01819856" w14:textId="77777777" w:rsidR="0071341B" w:rsidRPr="00D63730" w:rsidRDefault="0071341B" w:rsidP="00693B0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r w:rsidRPr="00D63730">
            <w:rPr>
              <w:rFonts w:cs="Arial"/>
              <w:color w:val="00B050"/>
              <w:sz w:val="18"/>
              <w:szCs w:val="18"/>
            </w:rPr>
            <w:t xml:space="preserve">  </w:t>
          </w:r>
        </w:p>
      </w:tc>
      <w:tc>
        <w:tcPr>
          <w:tcW w:w="1079" w:type="pct"/>
          <w:vMerge/>
          <w:vAlign w:val="center"/>
        </w:tcPr>
        <w:p w14:paraId="63BDCDF7" w14:textId="77777777" w:rsidR="0071341B" w:rsidRPr="00D63730" w:rsidRDefault="0071341B" w:rsidP="00693B0B">
          <w:pPr>
            <w:spacing w:after="120"/>
            <w:rPr>
              <w:rFonts w:eastAsia="Arial TUR" w:cs="Wingdings"/>
              <w:color w:val="000000"/>
              <w:sz w:val="18"/>
              <w:szCs w:val="18"/>
              <w:lang w:eastAsia="en-US"/>
            </w:rPr>
          </w:pPr>
        </w:p>
      </w:tc>
    </w:tr>
  </w:tbl>
  <w:p w14:paraId="4C019BE6" w14:textId="77777777" w:rsidR="0071341B" w:rsidRPr="00693B0B" w:rsidRDefault="0071341B" w:rsidP="00693B0B">
    <w:pPr>
      <w:pStyle w:val="Header"/>
      <w:spacing w:before="0" w:after="0" w:line="240"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71341B" w:rsidRPr="003213D5" w14:paraId="365988B2" w14:textId="77777777" w:rsidTr="003C297A">
      <w:trPr>
        <w:trHeight w:hRule="exact" w:val="433"/>
      </w:trPr>
      <w:tc>
        <w:tcPr>
          <w:tcW w:w="3921" w:type="pct"/>
          <w:tcBorders>
            <w:top w:val="nil"/>
            <w:bottom w:val="single" w:sz="4" w:space="0" w:color="548DD4"/>
          </w:tcBorders>
          <w:vAlign w:val="center"/>
        </w:tcPr>
        <w:p w14:paraId="763BC084" w14:textId="77777777" w:rsidR="0071341B" w:rsidRDefault="0071341B" w:rsidP="000948D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0FB7B08B" w14:textId="2670C391" w:rsidR="0071341B" w:rsidRPr="001F0315" w:rsidRDefault="0071341B" w:rsidP="00FE6625">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1079" w:type="pct"/>
          <w:vMerge w:val="restart"/>
        </w:tcPr>
        <w:p w14:paraId="14FC83D0" w14:textId="77777777" w:rsidR="0071341B" w:rsidRPr="00D63730" w:rsidRDefault="0071341B" w:rsidP="00CC574E">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1120A7F8" wp14:editId="2CD895AF">
                <wp:extent cx="1057275" cy="451421"/>
                <wp:effectExtent l="19050" t="0" r="9525" b="0"/>
                <wp:docPr id="398563961" name="Resim 398563961"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71341B" w:rsidRPr="003213D5" w14:paraId="419C5C49" w14:textId="77777777" w:rsidTr="003C297A">
      <w:trPr>
        <w:trHeight w:hRule="exact" w:val="422"/>
      </w:trPr>
      <w:tc>
        <w:tcPr>
          <w:tcW w:w="3921" w:type="pct"/>
          <w:tcBorders>
            <w:top w:val="single" w:sz="4" w:space="0" w:color="548DD4"/>
          </w:tcBorders>
        </w:tcPr>
        <w:p w14:paraId="23DDEF1B" w14:textId="4D1FC797" w:rsidR="0071341B" w:rsidRPr="00D63730" w:rsidRDefault="0071341B" w:rsidP="00CC574E">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p>
      </w:tc>
      <w:tc>
        <w:tcPr>
          <w:tcW w:w="1079" w:type="pct"/>
          <w:vMerge/>
          <w:vAlign w:val="center"/>
        </w:tcPr>
        <w:p w14:paraId="142A9B81" w14:textId="77777777" w:rsidR="0071341B" w:rsidRPr="00D63730" w:rsidRDefault="0071341B" w:rsidP="00CC574E">
          <w:pPr>
            <w:spacing w:after="120"/>
            <w:rPr>
              <w:rFonts w:eastAsia="Arial TUR" w:cs="Wingdings"/>
              <w:color w:val="000000"/>
              <w:sz w:val="18"/>
              <w:szCs w:val="18"/>
              <w:lang w:eastAsia="en-US"/>
            </w:rPr>
          </w:pPr>
        </w:p>
      </w:tc>
    </w:tr>
  </w:tbl>
  <w:p w14:paraId="268D2DBE" w14:textId="77777777" w:rsidR="0071341B" w:rsidRPr="00C86A3A" w:rsidRDefault="0071341B" w:rsidP="00C86A3A">
    <w:pPr>
      <w:pStyle w:val="Header"/>
      <w:spacing w:before="0" w:after="0"/>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E67C71" w:rsidRPr="003213D5" w14:paraId="5BDFD443" w14:textId="77777777" w:rsidTr="003C297A">
      <w:trPr>
        <w:trHeight w:hRule="exact" w:val="433"/>
      </w:trPr>
      <w:tc>
        <w:tcPr>
          <w:tcW w:w="3921" w:type="pct"/>
          <w:tcBorders>
            <w:top w:val="nil"/>
            <w:bottom w:val="single" w:sz="4" w:space="0" w:color="548DD4"/>
          </w:tcBorders>
          <w:vAlign w:val="center"/>
        </w:tcPr>
        <w:p w14:paraId="636E9C25" w14:textId="77777777" w:rsidR="00E67C71" w:rsidRDefault="00E67C71" w:rsidP="000948D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256930E7" w14:textId="77777777" w:rsidR="00E67C71" w:rsidRPr="001F0315" w:rsidRDefault="00E67C71" w:rsidP="00FE6625">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1079" w:type="pct"/>
          <w:vMerge w:val="restart"/>
        </w:tcPr>
        <w:p w14:paraId="4F85D240" w14:textId="77777777" w:rsidR="00E67C71" w:rsidRPr="00D63730" w:rsidRDefault="00E67C71" w:rsidP="00CC574E">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3FBADDDD" wp14:editId="7EDE3189">
                <wp:extent cx="1057275" cy="451421"/>
                <wp:effectExtent l="19050" t="0" r="9525" b="0"/>
                <wp:docPr id="419489240" name="Resim 419489240"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67C71" w:rsidRPr="003213D5" w14:paraId="07D41F2F" w14:textId="77777777" w:rsidTr="003C297A">
      <w:trPr>
        <w:trHeight w:hRule="exact" w:val="422"/>
      </w:trPr>
      <w:tc>
        <w:tcPr>
          <w:tcW w:w="3921" w:type="pct"/>
          <w:tcBorders>
            <w:top w:val="single" w:sz="4" w:space="0" w:color="548DD4"/>
          </w:tcBorders>
        </w:tcPr>
        <w:p w14:paraId="34DF0793" w14:textId="77777777" w:rsidR="00E67C71" w:rsidRPr="00D63730" w:rsidRDefault="00E67C71" w:rsidP="00CC574E">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p>
      </w:tc>
      <w:tc>
        <w:tcPr>
          <w:tcW w:w="1079" w:type="pct"/>
          <w:vMerge/>
          <w:vAlign w:val="center"/>
        </w:tcPr>
        <w:p w14:paraId="6B326831" w14:textId="77777777" w:rsidR="00E67C71" w:rsidRPr="00D63730" w:rsidRDefault="00E67C71" w:rsidP="00CC574E">
          <w:pPr>
            <w:spacing w:after="120"/>
            <w:rPr>
              <w:rFonts w:eastAsia="Arial TUR" w:cs="Wingdings"/>
              <w:color w:val="000000"/>
              <w:sz w:val="18"/>
              <w:szCs w:val="18"/>
              <w:lang w:eastAsia="en-US"/>
            </w:rPr>
          </w:pPr>
        </w:p>
      </w:tc>
    </w:tr>
  </w:tbl>
  <w:p w14:paraId="6FBCF975" w14:textId="77777777" w:rsidR="00E67C71" w:rsidRPr="00C86A3A" w:rsidRDefault="00E67C71" w:rsidP="00C86A3A">
    <w:pPr>
      <w:pStyle w:val="Header"/>
      <w:spacing w:before="0" w:after="0"/>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E67C71" w:rsidRPr="003213D5" w14:paraId="4D320CA0" w14:textId="77777777" w:rsidTr="003C297A">
      <w:trPr>
        <w:trHeight w:hRule="exact" w:val="433"/>
      </w:trPr>
      <w:tc>
        <w:tcPr>
          <w:tcW w:w="3921" w:type="pct"/>
          <w:tcBorders>
            <w:top w:val="nil"/>
            <w:bottom w:val="single" w:sz="4" w:space="0" w:color="548DD4"/>
          </w:tcBorders>
          <w:vAlign w:val="center"/>
        </w:tcPr>
        <w:p w14:paraId="4C78831E" w14:textId="77777777" w:rsidR="00E67C71" w:rsidRDefault="00E67C71" w:rsidP="000948D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464AEC11" w14:textId="77777777" w:rsidR="00E67C71" w:rsidRPr="001F0315" w:rsidRDefault="00E67C71" w:rsidP="00FE6625">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1079" w:type="pct"/>
          <w:vMerge w:val="restart"/>
        </w:tcPr>
        <w:p w14:paraId="434F1DAB" w14:textId="77777777" w:rsidR="00E67C71" w:rsidRPr="00D63730" w:rsidRDefault="00E67C71" w:rsidP="00CC574E">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0393F18D" wp14:editId="5DA67015">
                <wp:extent cx="1057275" cy="451421"/>
                <wp:effectExtent l="19050" t="0" r="9525" b="0"/>
                <wp:docPr id="484421158" name="Resim 484421158"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67C71" w:rsidRPr="003213D5" w14:paraId="0CADE491" w14:textId="77777777" w:rsidTr="003C297A">
      <w:trPr>
        <w:trHeight w:hRule="exact" w:val="422"/>
      </w:trPr>
      <w:tc>
        <w:tcPr>
          <w:tcW w:w="3921" w:type="pct"/>
          <w:tcBorders>
            <w:top w:val="single" w:sz="4" w:space="0" w:color="548DD4"/>
          </w:tcBorders>
        </w:tcPr>
        <w:p w14:paraId="141B385C" w14:textId="77777777" w:rsidR="00E67C71" w:rsidRPr="00D63730" w:rsidRDefault="00E67C71" w:rsidP="00CC574E">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p>
      </w:tc>
      <w:tc>
        <w:tcPr>
          <w:tcW w:w="1079" w:type="pct"/>
          <w:vMerge/>
          <w:vAlign w:val="center"/>
        </w:tcPr>
        <w:p w14:paraId="734DD9EA" w14:textId="77777777" w:rsidR="00E67C71" w:rsidRPr="00D63730" w:rsidRDefault="00E67C71" w:rsidP="00CC574E">
          <w:pPr>
            <w:spacing w:after="120"/>
            <w:rPr>
              <w:rFonts w:eastAsia="Arial TUR" w:cs="Wingdings"/>
              <w:color w:val="000000"/>
              <w:sz w:val="18"/>
              <w:szCs w:val="18"/>
              <w:lang w:eastAsia="en-US"/>
            </w:rPr>
          </w:pPr>
        </w:p>
      </w:tc>
    </w:tr>
  </w:tbl>
  <w:p w14:paraId="06263A37" w14:textId="77777777" w:rsidR="00E67C71" w:rsidRPr="00C86A3A" w:rsidRDefault="00E67C71" w:rsidP="00C86A3A">
    <w:pPr>
      <w:pStyle w:val="Header"/>
      <w:spacing w:before="0" w:after="0"/>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8" w:type="pct"/>
      <w:tblBorders>
        <w:insideH w:val="single" w:sz="4" w:space="0" w:color="000000"/>
      </w:tblBorders>
      <w:tblLook w:val="04A0" w:firstRow="1" w:lastRow="0" w:firstColumn="1" w:lastColumn="0" w:noHBand="0" w:noVBand="1"/>
    </w:tblPr>
    <w:tblGrid>
      <w:gridCol w:w="7230"/>
      <w:gridCol w:w="1957"/>
    </w:tblGrid>
    <w:tr w:rsidR="00E67C71" w:rsidRPr="003213D5" w14:paraId="0C592C50" w14:textId="77777777" w:rsidTr="00E67C71">
      <w:trPr>
        <w:trHeight w:hRule="exact" w:val="433"/>
      </w:trPr>
      <w:tc>
        <w:tcPr>
          <w:tcW w:w="3935" w:type="pct"/>
          <w:tcBorders>
            <w:top w:val="nil"/>
            <w:bottom w:val="single" w:sz="4" w:space="0" w:color="548DD4"/>
          </w:tcBorders>
          <w:vAlign w:val="center"/>
        </w:tcPr>
        <w:p w14:paraId="690FB302" w14:textId="77777777" w:rsidR="00E67C71" w:rsidRDefault="00E67C71" w:rsidP="000948D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1A533CEE" w14:textId="77777777" w:rsidR="00E67C71" w:rsidRPr="001F0315" w:rsidRDefault="00E67C71" w:rsidP="00FE6625">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 xml:space="preserve">Basic Infrastructure </w:t>
          </w:r>
          <w:r w:rsidRPr="00A242A5">
            <w:rPr>
              <w:rFonts w:eastAsia="Calibri" w:cs="Arial"/>
              <w:bCs/>
              <w:color w:val="00B0F0"/>
              <w:sz w:val="18"/>
              <w:szCs w:val="18"/>
              <w:lang w:eastAsia="en-US"/>
            </w:rPr>
            <w:t>Project</w:t>
          </w:r>
        </w:p>
      </w:tc>
      <w:tc>
        <w:tcPr>
          <w:tcW w:w="1065" w:type="pct"/>
          <w:vMerge w:val="restart"/>
        </w:tcPr>
        <w:p w14:paraId="06552AD7" w14:textId="77777777" w:rsidR="00E67C71" w:rsidRPr="00D63730" w:rsidRDefault="00E67C71" w:rsidP="00CC574E">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4AE30268" wp14:editId="01E03311">
                <wp:extent cx="1057275" cy="451421"/>
                <wp:effectExtent l="19050" t="0" r="9525" b="0"/>
                <wp:docPr id="898607013" name="Resim 898607013"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67C71" w:rsidRPr="003213D5" w14:paraId="15453411" w14:textId="77777777" w:rsidTr="00E67C71">
      <w:trPr>
        <w:trHeight w:hRule="exact" w:val="422"/>
      </w:trPr>
      <w:tc>
        <w:tcPr>
          <w:tcW w:w="3935" w:type="pct"/>
          <w:tcBorders>
            <w:top w:val="single" w:sz="4" w:space="0" w:color="548DD4"/>
          </w:tcBorders>
        </w:tcPr>
        <w:p w14:paraId="5405A100" w14:textId="77777777" w:rsidR="00E67C71" w:rsidRPr="00D63730" w:rsidRDefault="00E67C71" w:rsidP="00CC574E">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p>
      </w:tc>
      <w:tc>
        <w:tcPr>
          <w:tcW w:w="1065" w:type="pct"/>
          <w:vMerge/>
          <w:vAlign w:val="center"/>
        </w:tcPr>
        <w:p w14:paraId="76FE4FB8" w14:textId="77777777" w:rsidR="00E67C71" w:rsidRPr="00D63730" w:rsidRDefault="00E67C71" w:rsidP="00CC574E">
          <w:pPr>
            <w:spacing w:after="120"/>
            <w:rPr>
              <w:rFonts w:eastAsia="Arial TUR" w:cs="Wingdings"/>
              <w:color w:val="000000"/>
              <w:sz w:val="18"/>
              <w:szCs w:val="18"/>
              <w:lang w:eastAsia="en-US"/>
            </w:rPr>
          </w:pPr>
        </w:p>
      </w:tc>
    </w:tr>
  </w:tbl>
  <w:p w14:paraId="1AEB2B26" w14:textId="77777777" w:rsidR="00E67C71" w:rsidRPr="00C86A3A" w:rsidRDefault="00E67C71" w:rsidP="00C86A3A">
    <w:pPr>
      <w:pStyle w:val="Header"/>
      <w:spacing w:before="0" w:after="0"/>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71341B" w:rsidRPr="003213D5" w14:paraId="428CB675" w14:textId="77777777" w:rsidTr="008A3429">
      <w:trPr>
        <w:trHeight w:hRule="exact" w:val="433"/>
      </w:trPr>
      <w:tc>
        <w:tcPr>
          <w:tcW w:w="3921" w:type="pct"/>
          <w:tcBorders>
            <w:top w:val="nil"/>
            <w:bottom w:val="single" w:sz="4" w:space="0" w:color="548DD4"/>
          </w:tcBorders>
          <w:vAlign w:val="center"/>
        </w:tcPr>
        <w:p w14:paraId="288AC70F" w14:textId="77777777" w:rsidR="0071341B" w:rsidRDefault="0071341B" w:rsidP="00A56F8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6F03468A" w14:textId="77777777" w:rsidR="0071341B" w:rsidRPr="001F0315" w:rsidRDefault="0071341B" w:rsidP="00A56F8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Basic Infrastructure</w:t>
          </w:r>
          <w:r>
            <w:rPr>
              <w:rFonts w:eastAsia="Arial TUR" w:cs="Wingdings"/>
              <w:color w:val="00B0F0"/>
              <w:sz w:val="18"/>
              <w:szCs w:val="18"/>
              <w:lang w:eastAsia="en-US"/>
            </w:rPr>
            <w:t xml:space="preserve"> </w:t>
          </w:r>
          <w:r w:rsidRPr="00A242A5">
            <w:rPr>
              <w:rFonts w:eastAsia="Calibri" w:cs="Arial"/>
              <w:bCs/>
              <w:color w:val="00B0F0"/>
              <w:sz w:val="18"/>
              <w:szCs w:val="18"/>
              <w:lang w:eastAsia="en-US"/>
            </w:rPr>
            <w:t>Project</w:t>
          </w:r>
        </w:p>
      </w:tc>
      <w:tc>
        <w:tcPr>
          <w:tcW w:w="1079" w:type="pct"/>
          <w:vMerge w:val="restart"/>
        </w:tcPr>
        <w:p w14:paraId="6BB60FE5" w14:textId="77777777" w:rsidR="0071341B" w:rsidRPr="00D63730" w:rsidRDefault="0071341B" w:rsidP="00A56F87">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78E8E0CC" wp14:editId="1904EC52">
                <wp:extent cx="1057275" cy="451421"/>
                <wp:effectExtent l="19050" t="0" r="9525" b="0"/>
                <wp:docPr id="470163620" name="Resim 470163620"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71341B" w:rsidRPr="003213D5" w14:paraId="406F1DC0" w14:textId="77777777" w:rsidTr="008A3429">
      <w:trPr>
        <w:trHeight w:hRule="exact" w:val="422"/>
      </w:trPr>
      <w:tc>
        <w:tcPr>
          <w:tcW w:w="3921" w:type="pct"/>
          <w:tcBorders>
            <w:top w:val="single" w:sz="4" w:space="0" w:color="548DD4"/>
          </w:tcBorders>
        </w:tcPr>
        <w:p w14:paraId="2B40807F" w14:textId="77777777" w:rsidR="0071341B" w:rsidRPr="00D63730" w:rsidRDefault="0071341B" w:rsidP="00A56F87">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p>
      </w:tc>
      <w:tc>
        <w:tcPr>
          <w:tcW w:w="1079" w:type="pct"/>
          <w:vMerge/>
          <w:vAlign w:val="center"/>
        </w:tcPr>
        <w:p w14:paraId="648E4161" w14:textId="77777777" w:rsidR="0071341B" w:rsidRPr="00D63730" w:rsidRDefault="0071341B" w:rsidP="00A56F87">
          <w:pPr>
            <w:spacing w:after="120"/>
            <w:rPr>
              <w:rFonts w:eastAsia="Arial TUR" w:cs="Wingdings"/>
              <w:color w:val="000000"/>
              <w:sz w:val="18"/>
              <w:szCs w:val="18"/>
              <w:lang w:eastAsia="en-US"/>
            </w:rPr>
          </w:pPr>
        </w:p>
      </w:tc>
    </w:tr>
  </w:tbl>
  <w:p w14:paraId="3D26D357" w14:textId="77777777" w:rsidR="0071341B" w:rsidRPr="00A56F87" w:rsidRDefault="0071341B" w:rsidP="00A126DC">
    <w:pPr>
      <w:pStyle w:val="Header"/>
      <w:spacing w:before="0" w:after="0" w:line="240"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9397" w14:textId="1586856D" w:rsidR="0071341B" w:rsidRDefault="0071341B" w:rsidP="00A56F87">
    <w:pPr>
      <w:pStyle w:val="Header"/>
      <w:spacing w:before="0" w:after="0"/>
      <w:rPr>
        <w:sz w:val="2"/>
        <w:szCs w:val="2"/>
      </w:rPr>
    </w:pPr>
  </w:p>
  <w:tbl>
    <w:tblPr>
      <w:tblW w:w="5000" w:type="pct"/>
      <w:tblBorders>
        <w:insideH w:val="single" w:sz="4" w:space="0" w:color="000000"/>
      </w:tblBorders>
      <w:tblLook w:val="04A0" w:firstRow="1" w:lastRow="0" w:firstColumn="1" w:lastColumn="0" w:noHBand="0" w:noVBand="1"/>
    </w:tblPr>
    <w:tblGrid>
      <w:gridCol w:w="7108"/>
      <w:gridCol w:w="1956"/>
    </w:tblGrid>
    <w:tr w:rsidR="0071341B" w:rsidRPr="003213D5" w14:paraId="7DB1F096" w14:textId="77777777" w:rsidTr="008A3429">
      <w:trPr>
        <w:trHeight w:hRule="exact" w:val="433"/>
      </w:trPr>
      <w:tc>
        <w:tcPr>
          <w:tcW w:w="3921" w:type="pct"/>
          <w:tcBorders>
            <w:top w:val="nil"/>
            <w:bottom w:val="single" w:sz="4" w:space="0" w:color="548DD4"/>
          </w:tcBorders>
          <w:vAlign w:val="center"/>
        </w:tcPr>
        <w:p w14:paraId="4E5E8995" w14:textId="3A27A2E4" w:rsidR="0071341B" w:rsidRDefault="0071341B" w:rsidP="00A56F8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1BD0EE2D" w14:textId="77777777" w:rsidR="0071341B" w:rsidRPr="001F0315" w:rsidRDefault="0071341B" w:rsidP="00A56F8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Basic Infrastructure</w:t>
          </w:r>
          <w:r>
            <w:rPr>
              <w:rFonts w:eastAsia="Arial TUR" w:cs="Wingdings"/>
              <w:color w:val="00B0F0"/>
              <w:sz w:val="18"/>
              <w:szCs w:val="18"/>
              <w:lang w:eastAsia="en-US"/>
            </w:rPr>
            <w:t xml:space="preserve"> </w:t>
          </w:r>
          <w:r w:rsidRPr="00A242A5">
            <w:rPr>
              <w:rFonts w:eastAsia="Calibri" w:cs="Arial"/>
              <w:bCs/>
              <w:color w:val="00B0F0"/>
              <w:sz w:val="18"/>
              <w:szCs w:val="18"/>
              <w:lang w:eastAsia="en-US"/>
            </w:rPr>
            <w:t>Project</w:t>
          </w:r>
        </w:p>
      </w:tc>
      <w:tc>
        <w:tcPr>
          <w:tcW w:w="1079" w:type="pct"/>
          <w:vMerge w:val="restart"/>
        </w:tcPr>
        <w:p w14:paraId="394DEE0B" w14:textId="77777777" w:rsidR="0071341B" w:rsidRPr="00D63730" w:rsidRDefault="0071341B" w:rsidP="00A56F87">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val="tr-TR" w:eastAsia="tr-TR"/>
            </w:rPr>
            <w:drawing>
              <wp:inline distT="0" distB="0" distL="0" distR="0" wp14:anchorId="0D2368AD" wp14:editId="22735F56">
                <wp:extent cx="1057275" cy="451421"/>
                <wp:effectExtent l="19050" t="0" r="9525" b="0"/>
                <wp:docPr id="1346535515" name="Resim 1346535515"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71341B" w:rsidRPr="003213D5" w14:paraId="133A4A97" w14:textId="77777777" w:rsidTr="008A3429">
      <w:trPr>
        <w:trHeight w:hRule="exact" w:val="422"/>
      </w:trPr>
      <w:tc>
        <w:tcPr>
          <w:tcW w:w="3921" w:type="pct"/>
          <w:tcBorders>
            <w:top w:val="single" w:sz="4" w:space="0" w:color="548DD4"/>
          </w:tcBorders>
        </w:tcPr>
        <w:p w14:paraId="2E67AD78" w14:textId="77777777" w:rsidR="0071341B" w:rsidRPr="00D63730" w:rsidRDefault="0071341B" w:rsidP="00A56F87">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p>
      </w:tc>
      <w:tc>
        <w:tcPr>
          <w:tcW w:w="1079" w:type="pct"/>
          <w:vMerge/>
          <w:vAlign w:val="center"/>
        </w:tcPr>
        <w:p w14:paraId="5A769B8D" w14:textId="77777777" w:rsidR="0071341B" w:rsidRPr="00D63730" w:rsidRDefault="0071341B" w:rsidP="00A56F87">
          <w:pPr>
            <w:spacing w:after="120"/>
            <w:rPr>
              <w:rFonts w:eastAsia="Arial TUR" w:cs="Wingdings"/>
              <w:color w:val="000000"/>
              <w:sz w:val="18"/>
              <w:szCs w:val="18"/>
              <w:lang w:eastAsia="en-US"/>
            </w:rPr>
          </w:pPr>
        </w:p>
      </w:tc>
    </w:tr>
  </w:tbl>
  <w:p w14:paraId="3E4C3894" w14:textId="77777777" w:rsidR="0071341B" w:rsidRPr="00A56F87" w:rsidRDefault="0071341B" w:rsidP="00A56F87">
    <w:pPr>
      <w:pStyle w:val="Header"/>
      <w:spacing w:before="0"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
      <w:lvlJc w:val="left"/>
      <w:pPr>
        <w:tabs>
          <w:tab w:val="num" w:pos="3600"/>
        </w:tabs>
        <w:ind w:left="3600" w:hanging="360"/>
      </w:pPr>
      <w:rPr>
        <w:rFonts w:ascii="Symbol" w:hAnsi="Symbol"/>
      </w:rPr>
    </w:lvl>
    <w:lvl w:ilvl="5">
      <w:start w:val="1"/>
      <w:numFmt w:val="bullet"/>
      <w:lvlText w:val=""/>
      <w:lvlJc w:val="left"/>
      <w:pPr>
        <w:tabs>
          <w:tab w:val="num" w:pos="4320"/>
        </w:tabs>
        <w:ind w:left="4320" w:hanging="360"/>
      </w:pPr>
      <w:rPr>
        <w:rFonts w:ascii="Symbol" w:hAnsi="Symbol"/>
      </w:rPr>
    </w:lvl>
    <w:lvl w:ilvl="6">
      <w:start w:val="1"/>
      <w:numFmt w:val="bullet"/>
      <w:lvlText w:val=""/>
      <w:lvlJc w:val="left"/>
      <w:pPr>
        <w:tabs>
          <w:tab w:val="num" w:pos="5040"/>
        </w:tabs>
        <w:ind w:left="5040" w:hanging="360"/>
      </w:pPr>
      <w:rPr>
        <w:rFonts w:ascii="Symbol" w:hAnsi="Symbol"/>
      </w:rPr>
    </w:lvl>
    <w:lvl w:ilvl="7">
      <w:start w:val="1"/>
      <w:numFmt w:val="bullet"/>
      <w:lvlText w:val=""/>
      <w:lvlJc w:val="left"/>
      <w:pPr>
        <w:tabs>
          <w:tab w:val="num" w:pos="5760"/>
        </w:tabs>
        <w:ind w:left="5760" w:hanging="360"/>
      </w:pPr>
      <w:rPr>
        <w:rFonts w:ascii="Symbol" w:hAnsi="Symbol"/>
      </w:rPr>
    </w:lvl>
    <w:lvl w:ilvl="8">
      <w:start w:val="1"/>
      <w:numFmt w:val="bullet"/>
      <w:lvlText w:val=""/>
      <w:lvlJc w:val="left"/>
      <w:pPr>
        <w:tabs>
          <w:tab w:val="num" w:pos="6480"/>
        </w:tabs>
        <w:ind w:left="6480" w:hanging="360"/>
      </w:pPr>
      <w:rPr>
        <w:rFonts w:ascii="Symbol" w:hAnsi="Symbol"/>
      </w:rPr>
    </w:lvl>
  </w:abstractNum>
  <w:abstractNum w:abstractNumId="1" w15:restartNumberingAfterBreak="0">
    <w:nsid w:val="01DC0486"/>
    <w:multiLevelType w:val="hybridMultilevel"/>
    <w:tmpl w:val="61380CEC"/>
    <w:lvl w:ilvl="0" w:tplc="041F0001">
      <w:start w:val="1"/>
      <w:numFmt w:val="bullet"/>
      <w:lvlText w:val=""/>
      <w:lvlJc w:val="left"/>
      <w:pPr>
        <w:ind w:left="643" w:hanging="360"/>
      </w:pPr>
      <w:rPr>
        <w:rFonts w:ascii="Symbol" w:hAnsi="Symbol" w:hint="default"/>
      </w:rPr>
    </w:lvl>
    <w:lvl w:ilvl="1" w:tplc="08090003">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2" w15:restartNumberingAfterBreak="0">
    <w:nsid w:val="02B21664"/>
    <w:multiLevelType w:val="hybridMultilevel"/>
    <w:tmpl w:val="E624A056"/>
    <w:lvl w:ilvl="0" w:tplc="F05CAA18">
      <w:start w:val="1"/>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ED45D3"/>
    <w:multiLevelType w:val="hybridMultilevel"/>
    <w:tmpl w:val="78BE8896"/>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B085B"/>
    <w:multiLevelType w:val="hybridMultilevel"/>
    <w:tmpl w:val="550E6E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CB77083"/>
    <w:multiLevelType w:val="hybridMultilevel"/>
    <w:tmpl w:val="2DA45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D75E0"/>
    <w:multiLevelType w:val="hybridMultilevel"/>
    <w:tmpl w:val="BF221D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18267D9"/>
    <w:multiLevelType w:val="hybridMultilevel"/>
    <w:tmpl w:val="9ABA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4100D5"/>
    <w:multiLevelType w:val="hybridMultilevel"/>
    <w:tmpl w:val="BF325D84"/>
    <w:lvl w:ilvl="0" w:tplc="D1DEAFCA">
      <w:start w:val="1"/>
      <w:numFmt w:val="upperLetter"/>
      <w:lvlText w:val="%1."/>
      <w:lvlJc w:val="left"/>
      <w:pPr>
        <w:tabs>
          <w:tab w:val="num" w:pos="360"/>
        </w:tabs>
        <w:ind w:left="360" w:hanging="360"/>
      </w:pPr>
      <w:rPr>
        <w:rFonts w:hint="default"/>
      </w:rPr>
    </w:lvl>
    <w:lvl w:ilvl="1" w:tplc="5A38ACD2" w:tentative="1">
      <w:start w:val="1"/>
      <w:numFmt w:val="lowerLetter"/>
      <w:lvlText w:val="%2."/>
      <w:lvlJc w:val="left"/>
      <w:pPr>
        <w:tabs>
          <w:tab w:val="num" w:pos="1080"/>
        </w:tabs>
        <w:ind w:left="1080" w:hanging="360"/>
      </w:pPr>
    </w:lvl>
    <w:lvl w:ilvl="2" w:tplc="78BC1EA0" w:tentative="1">
      <w:start w:val="1"/>
      <w:numFmt w:val="lowerRoman"/>
      <w:lvlText w:val="%3."/>
      <w:lvlJc w:val="right"/>
      <w:pPr>
        <w:tabs>
          <w:tab w:val="num" w:pos="1800"/>
        </w:tabs>
        <w:ind w:left="1800" w:hanging="180"/>
      </w:pPr>
    </w:lvl>
    <w:lvl w:ilvl="3" w:tplc="477814D8" w:tentative="1">
      <w:start w:val="1"/>
      <w:numFmt w:val="decimal"/>
      <w:lvlText w:val="%4."/>
      <w:lvlJc w:val="left"/>
      <w:pPr>
        <w:tabs>
          <w:tab w:val="num" w:pos="2520"/>
        </w:tabs>
        <w:ind w:left="2520" w:hanging="360"/>
      </w:pPr>
    </w:lvl>
    <w:lvl w:ilvl="4" w:tplc="24FC4E44" w:tentative="1">
      <w:start w:val="1"/>
      <w:numFmt w:val="lowerLetter"/>
      <w:lvlText w:val="%5."/>
      <w:lvlJc w:val="left"/>
      <w:pPr>
        <w:tabs>
          <w:tab w:val="num" w:pos="3240"/>
        </w:tabs>
        <w:ind w:left="3240" w:hanging="360"/>
      </w:pPr>
    </w:lvl>
    <w:lvl w:ilvl="5" w:tplc="FC04BA30" w:tentative="1">
      <w:start w:val="1"/>
      <w:numFmt w:val="lowerRoman"/>
      <w:lvlText w:val="%6."/>
      <w:lvlJc w:val="right"/>
      <w:pPr>
        <w:tabs>
          <w:tab w:val="num" w:pos="3960"/>
        </w:tabs>
        <w:ind w:left="3960" w:hanging="180"/>
      </w:pPr>
    </w:lvl>
    <w:lvl w:ilvl="6" w:tplc="3948EACC" w:tentative="1">
      <w:start w:val="1"/>
      <w:numFmt w:val="decimal"/>
      <w:lvlText w:val="%7."/>
      <w:lvlJc w:val="left"/>
      <w:pPr>
        <w:tabs>
          <w:tab w:val="num" w:pos="4680"/>
        </w:tabs>
        <w:ind w:left="4680" w:hanging="360"/>
      </w:pPr>
    </w:lvl>
    <w:lvl w:ilvl="7" w:tplc="17E61B66" w:tentative="1">
      <w:start w:val="1"/>
      <w:numFmt w:val="lowerLetter"/>
      <w:lvlText w:val="%8."/>
      <w:lvlJc w:val="left"/>
      <w:pPr>
        <w:tabs>
          <w:tab w:val="num" w:pos="5400"/>
        </w:tabs>
        <w:ind w:left="5400" w:hanging="360"/>
      </w:pPr>
    </w:lvl>
    <w:lvl w:ilvl="8" w:tplc="7F9040EE" w:tentative="1">
      <w:start w:val="1"/>
      <w:numFmt w:val="lowerRoman"/>
      <w:lvlText w:val="%9."/>
      <w:lvlJc w:val="right"/>
      <w:pPr>
        <w:tabs>
          <w:tab w:val="num" w:pos="6120"/>
        </w:tabs>
        <w:ind w:left="6120" w:hanging="180"/>
      </w:pPr>
    </w:lvl>
  </w:abstractNum>
  <w:abstractNum w:abstractNumId="9" w15:restartNumberingAfterBreak="0">
    <w:nsid w:val="12880DA8"/>
    <w:multiLevelType w:val="hybridMultilevel"/>
    <w:tmpl w:val="3B7A0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44496A"/>
    <w:multiLevelType w:val="hybridMultilevel"/>
    <w:tmpl w:val="E73C86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94C33BE"/>
    <w:multiLevelType w:val="hybridMultilevel"/>
    <w:tmpl w:val="46E4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A0A46"/>
    <w:multiLevelType w:val="hybridMultilevel"/>
    <w:tmpl w:val="8E0E3A98"/>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1B217118"/>
    <w:multiLevelType w:val="hybridMultilevel"/>
    <w:tmpl w:val="728AA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6E44596">
      <w:numFmt w:val="bullet"/>
      <w:lvlText w:val="-"/>
      <w:lvlJc w:val="left"/>
      <w:pPr>
        <w:ind w:left="2160" w:hanging="360"/>
      </w:pPr>
      <w:rPr>
        <w:rFonts w:ascii="Arial" w:eastAsia="Cambr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423630"/>
    <w:multiLevelType w:val="multilevel"/>
    <w:tmpl w:val="D2C2E3A0"/>
    <w:lvl w:ilvl="0">
      <w:start w:val="1"/>
      <w:numFmt w:val="decimal"/>
      <w:pStyle w:val="Heading1"/>
      <w:lvlText w:val="%1"/>
      <w:lvlJc w:val="left"/>
      <w:pPr>
        <w:ind w:left="1000" w:hanging="432"/>
      </w:pPr>
      <w:rPr>
        <w:b/>
      </w:rPr>
    </w:lvl>
    <w:lvl w:ilvl="1">
      <w:start w:val="1"/>
      <w:numFmt w:val="decimal"/>
      <w:pStyle w:val="Heading2"/>
      <w:lvlText w:val="%1.%2"/>
      <w:lvlJc w:val="left"/>
      <w:pPr>
        <w:ind w:left="718"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2D572CE"/>
    <w:multiLevelType w:val="hybridMultilevel"/>
    <w:tmpl w:val="52DC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175BDD"/>
    <w:multiLevelType w:val="hybridMultilevel"/>
    <w:tmpl w:val="FC723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881311"/>
    <w:multiLevelType w:val="hybridMultilevel"/>
    <w:tmpl w:val="333AA7F0"/>
    <w:lvl w:ilvl="0" w:tplc="04090003">
      <w:start w:val="1"/>
      <w:numFmt w:val="bullet"/>
      <w:lvlText w:val="o"/>
      <w:lvlJc w:val="left"/>
      <w:pPr>
        <w:ind w:left="815" w:hanging="360"/>
      </w:pPr>
      <w:rPr>
        <w:rFonts w:ascii="Courier New" w:hAnsi="Courier New" w:cs="Courier New"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8" w15:restartNumberingAfterBreak="0">
    <w:nsid w:val="2AF817E4"/>
    <w:multiLevelType w:val="hybridMultilevel"/>
    <w:tmpl w:val="5B66B9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467C0E"/>
    <w:multiLevelType w:val="hybridMultilevel"/>
    <w:tmpl w:val="EAECE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F61705"/>
    <w:multiLevelType w:val="hybridMultilevel"/>
    <w:tmpl w:val="AAE8076A"/>
    <w:lvl w:ilvl="0" w:tplc="041F0001">
      <w:start w:val="1"/>
      <w:numFmt w:val="bullet"/>
      <w:lvlText w:val=""/>
      <w:lvlJc w:val="left"/>
      <w:pPr>
        <w:ind w:left="833" w:hanging="360"/>
      </w:pPr>
      <w:rPr>
        <w:rFonts w:ascii="Symbol" w:hAnsi="Symbol"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abstractNum w:abstractNumId="21" w15:restartNumberingAfterBreak="0">
    <w:nsid w:val="350C4BBB"/>
    <w:multiLevelType w:val="hybridMultilevel"/>
    <w:tmpl w:val="95C04EDC"/>
    <w:lvl w:ilvl="0" w:tplc="041F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 w15:restartNumberingAfterBreak="0">
    <w:nsid w:val="369661F3"/>
    <w:multiLevelType w:val="hybridMultilevel"/>
    <w:tmpl w:val="C7F0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5B4A82"/>
    <w:multiLevelType w:val="hybridMultilevel"/>
    <w:tmpl w:val="E73C86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A72750"/>
    <w:multiLevelType w:val="hybridMultilevel"/>
    <w:tmpl w:val="C9820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8FD77AD"/>
    <w:multiLevelType w:val="hybridMultilevel"/>
    <w:tmpl w:val="410E20A4"/>
    <w:lvl w:ilvl="0" w:tplc="041F0003">
      <w:start w:val="1"/>
      <w:numFmt w:val="bullet"/>
      <w:lvlText w:val="o"/>
      <w:lvlJc w:val="left"/>
      <w:pPr>
        <w:ind w:left="643" w:hanging="360"/>
      </w:pPr>
      <w:rPr>
        <w:rFonts w:ascii="Courier New" w:hAnsi="Courier New" w:cs="Courier New" w:hint="default"/>
      </w:rPr>
    </w:lvl>
    <w:lvl w:ilvl="1" w:tplc="FFFFFFFF">
      <w:start w:val="1"/>
      <w:numFmt w:val="bullet"/>
      <w:lvlText w:val="o"/>
      <w:lvlJc w:val="left"/>
      <w:pPr>
        <w:ind w:left="1649" w:hanging="360"/>
      </w:pPr>
      <w:rPr>
        <w:rFonts w:ascii="Courier New" w:hAnsi="Courier New" w:cs="Courier New" w:hint="default"/>
      </w:rPr>
    </w:lvl>
    <w:lvl w:ilvl="2" w:tplc="FFFFFFFF" w:tentative="1">
      <w:start w:val="1"/>
      <w:numFmt w:val="bullet"/>
      <w:lvlText w:val=""/>
      <w:lvlJc w:val="left"/>
      <w:pPr>
        <w:ind w:left="2369" w:hanging="360"/>
      </w:pPr>
      <w:rPr>
        <w:rFonts w:ascii="Wingdings" w:hAnsi="Wingdings" w:hint="default"/>
      </w:rPr>
    </w:lvl>
    <w:lvl w:ilvl="3" w:tplc="FFFFFFFF" w:tentative="1">
      <w:start w:val="1"/>
      <w:numFmt w:val="bullet"/>
      <w:lvlText w:val=""/>
      <w:lvlJc w:val="left"/>
      <w:pPr>
        <w:ind w:left="3089" w:hanging="360"/>
      </w:pPr>
      <w:rPr>
        <w:rFonts w:ascii="Symbol" w:hAnsi="Symbol" w:hint="default"/>
      </w:rPr>
    </w:lvl>
    <w:lvl w:ilvl="4" w:tplc="FFFFFFFF" w:tentative="1">
      <w:start w:val="1"/>
      <w:numFmt w:val="bullet"/>
      <w:lvlText w:val="o"/>
      <w:lvlJc w:val="left"/>
      <w:pPr>
        <w:ind w:left="3809" w:hanging="360"/>
      </w:pPr>
      <w:rPr>
        <w:rFonts w:ascii="Courier New" w:hAnsi="Courier New" w:cs="Courier New" w:hint="default"/>
      </w:rPr>
    </w:lvl>
    <w:lvl w:ilvl="5" w:tplc="FFFFFFFF" w:tentative="1">
      <w:start w:val="1"/>
      <w:numFmt w:val="bullet"/>
      <w:lvlText w:val=""/>
      <w:lvlJc w:val="left"/>
      <w:pPr>
        <w:ind w:left="4529" w:hanging="360"/>
      </w:pPr>
      <w:rPr>
        <w:rFonts w:ascii="Wingdings" w:hAnsi="Wingdings" w:hint="default"/>
      </w:rPr>
    </w:lvl>
    <w:lvl w:ilvl="6" w:tplc="FFFFFFFF" w:tentative="1">
      <w:start w:val="1"/>
      <w:numFmt w:val="bullet"/>
      <w:lvlText w:val=""/>
      <w:lvlJc w:val="left"/>
      <w:pPr>
        <w:ind w:left="5249" w:hanging="360"/>
      </w:pPr>
      <w:rPr>
        <w:rFonts w:ascii="Symbol" w:hAnsi="Symbol" w:hint="default"/>
      </w:rPr>
    </w:lvl>
    <w:lvl w:ilvl="7" w:tplc="FFFFFFFF" w:tentative="1">
      <w:start w:val="1"/>
      <w:numFmt w:val="bullet"/>
      <w:lvlText w:val="o"/>
      <w:lvlJc w:val="left"/>
      <w:pPr>
        <w:ind w:left="5969" w:hanging="360"/>
      </w:pPr>
      <w:rPr>
        <w:rFonts w:ascii="Courier New" w:hAnsi="Courier New" w:cs="Courier New" w:hint="default"/>
      </w:rPr>
    </w:lvl>
    <w:lvl w:ilvl="8" w:tplc="FFFFFFFF" w:tentative="1">
      <w:start w:val="1"/>
      <w:numFmt w:val="bullet"/>
      <w:lvlText w:val=""/>
      <w:lvlJc w:val="left"/>
      <w:pPr>
        <w:ind w:left="6689" w:hanging="360"/>
      </w:pPr>
      <w:rPr>
        <w:rFonts w:ascii="Wingdings" w:hAnsi="Wingdings" w:hint="default"/>
      </w:rPr>
    </w:lvl>
  </w:abstractNum>
  <w:abstractNum w:abstractNumId="26" w15:restartNumberingAfterBreak="0">
    <w:nsid w:val="39C85DF5"/>
    <w:multiLevelType w:val="hybridMultilevel"/>
    <w:tmpl w:val="72FA6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EA09C7"/>
    <w:multiLevelType w:val="hybridMultilevel"/>
    <w:tmpl w:val="88EE9222"/>
    <w:lvl w:ilvl="0" w:tplc="041F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366" w:hanging="360"/>
      </w:pPr>
      <w:rPr>
        <w:rFonts w:ascii="Courier New" w:hAnsi="Courier New" w:cs="Courier New" w:hint="default"/>
      </w:rPr>
    </w:lvl>
    <w:lvl w:ilvl="2" w:tplc="FFFFFFFF" w:tentative="1">
      <w:start w:val="1"/>
      <w:numFmt w:val="bullet"/>
      <w:lvlText w:val=""/>
      <w:lvlJc w:val="left"/>
      <w:pPr>
        <w:ind w:left="2086" w:hanging="360"/>
      </w:pPr>
      <w:rPr>
        <w:rFonts w:ascii="Wingdings" w:hAnsi="Wingdings" w:hint="default"/>
      </w:rPr>
    </w:lvl>
    <w:lvl w:ilvl="3" w:tplc="FFFFFFFF" w:tentative="1">
      <w:start w:val="1"/>
      <w:numFmt w:val="bullet"/>
      <w:lvlText w:val=""/>
      <w:lvlJc w:val="left"/>
      <w:pPr>
        <w:ind w:left="2806" w:hanging="360"/>
      </w:pPr>
      <w:rPr>
        <w:rFonts w:ascii="Symbol" w:hAnsi="Symbol" w:hint="default"/>
      </w:rPr>
    </w:lvl>
    <w:lvl w:ilvl="4" w:tplc="FFFFFFFF" w:tentative="1">
      <w:start w:val="1"/>
      <w:numFmt w:val="bullet"/>
      <w:lvlText w:val="o"/>
      <w:lvlJc w:val="left"/>
      <w:pPr>
        <w:ind w:left="3526" w:hanging="360"/>
      </w:pPr>
      <w:rPr>
        <w:rFonts w:ascii="Courier New" w:hAnsi="Courier New" w:cs="Courier New" w:hint="default"/>
      </w:rPr>
    </w:lvl>
    <w:lvl w:ilvl="5" w:tplc="FFFFFFFF" w:tentative="1">
      <w:start w:val="1"/>
      <w:numFmt w:val="bullet"/>
      <w:lvlText w:val=""/>
      <w:lvlJc w:val="left"/>
      <w:pPr>
        <w:ind w:left="4246" w:hanging="360"/>
      </w:pPr>
      <w:rPr>
        <w:rFonts w:ascii="Wingdings" w:hAnsi="Wingdings" w:hint="default"/>
      </w:rPr>
    </w:lvl>
    <w:lvl w:ilvl="6" w:tplc="FFFFFFFF" w:tentative="1">
      <w:start w:val="1"/>
      <w:numFmt w:val="bullet"/>
      <w:lvlText w:val=""/>
      <w:lvlJc w:val="left"/>
      <w:pPr>
        <w:ind w:left="4966" w:hanging="360"/>
      </w:pPr>
      <w:rPr>
        <w:rFonts w:ascii="Symbol" w:hAnsi="Symbol" w:hint="default"/>
      </w:rPr>
    </w:lvl>
    <w:lvl w:ilvl="7" w:tplc="FFFFFFFF" w:tentative="1">
      <w:start w:val="1"/>
      <w:numFmt w:val="bullet"/>
      <w:lvlText w:val="o"/>
      <w:lvlJc w:val="left"/>
      <w:pPr>
        <w:ind w:left="5686" w:hanging="360"/>
      </w:pPr>
      <w:rPr>
        <w:rFonts w:ascii="Courier New" w:hAnsi="Courier New" w:cs="Courier New" w:hint="default"/>
      </w:rPr>
    </w:lvl>
    <w:lvl w:ilvl="8" w:tplc="FFFFFFFF" w:tentative="1">
      <w:start w:val="1"/>
      <w:numFmt w:val="bullet"/>
      <w:lvlText w:val=""/>
      <w:lvlJc w:val="left"/>
      <w:pPr>
        <w:ind w:left="6406" w:hanging="360"/>
      </w:pPr>
      <w:rPr>
        <w:rFonts w:ascii="Wingdings" w:hAnsi="Wingdings" w:hint="default"/>
      </w:rPr>
    </w:lvl>
  </w:abstractNum>
  <w:abstractNum w:abstractNumId="28"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9" w15:restartNumberingAfterBreak="0">
    <w:nsid w:val="4243571D"/>
    <w:multiLevelType w:val="hybridMultilevel"/>
    <w:tmpl w:val="7CB0032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0" w15:restartNumberingAfterBreak="0">
    <w:nsid w:val="4533023D"/>
    <w:multiLevelType w:val="hybridMultilevel"/>
    <w:tmpl w:val="D9C4B0BE"/>
    <w:lvl w:ilvl="0" w:tplc="19F06114">
      <w:start w:val="1"/>
      <w:numFmt w:val="bullet"/>
      <w:pStyle w:val="ListBulletIndented"/>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63C3B8A"/>
    <w:multiLevelType w:val="hybridMultilevel"/>
    <w:tmpl w:val="C82A9C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936E555"/>
    <w:multiLevelType w:val="hybridMultilevel"/>
    <w:tmpl w:val="FE7A2CA6"/>
    <w:lvl w:ilvl="0" w:tplc="6A8E2FC2">
      <w:start w:val="1"/>
      <w:numFmt w:val="bullet"/>
      <w:lvlText w:val=""/>
      <w:lvlJc w:val="left"/>
      <w:pPr>
        <w:ind w:left="720" w:hanging="360"/>
      </w:pPr>
      <w:rPr>
        <w:rFonts w:ascii="Symbol" w:hAnsi="Symbol" w:hint="default"/>
      </w:rPr>
    </w:lvl>
    <w:lvl w:ilvl="1" w:tplc="B1FA5970">
      <w:start w:val="1"/>
      <w:numFmt w:val="bullet"/>
      <w:lvlText w:val="o"/>
      <w:lvlJc w:val="left"/>
      <w:pPr>
        <w:ind w:left="1440" w:hanging="360"/>
      </w:pPr>
      <w:rPr>
        <w:rFonts w:ascii="Courier New" w:hAnsi="Courier New" w:hint="default"/>
      </w:rPr>
    </w:lvl>
    <w:lvl w:ilvl="2" w:tplc="74EC15B6">
      <w:start w:val="1"/>
      <w:numFmt w:val="bullet"/>
      <w:lvlText w:val=""/>
      <w:lvlJc w:val="left"/>
      <w:pPr>
        <w:ind w:left="2160" w:hanging="360"/>
      </w:pPr>
      <w:rPr>
        <w:rFonts w:ascii="Wingdings" w:hAnsi="Wingdings" w:hint="default"/>
      </w:rPr>
    </w:lvl>
    <w:lvl w:ilvl="3" w:tplc="6E24F954">
      <w:start w:val="1"/>
      <w:numFmt w:val="bullet"/>
      <w:lvlText w:val=""/>
      <w:lvlJc w:val="left"/>
      <w:pPr>
        <w:ind w:left="2880" w:hanging="360"/>
      </w:pPr>
      <w:rPr>
        <w:rFonts w:ascii="Symbol" w:hAnsi="Symbol" w:hint="default"/>
      </w:rPr>
    </w:lvl>
    <w:lvl w:ilvl="4" w:tplc="C0FE7028">
      <w:start w:val="1"/>
      <w:numFmt w:val="bullet"/>
      <w:lvlText w:val="o"/>
      <w:lvlJc w:val="left"/>
      <w:pPr>
        <w:ind w:left="3600" w:hanging="360"/>
      </w:pPr>
      <w:rPr>
        <w:rFonts w:ascii="Courier New" w:hAnsi="Courier New" w:hint="default"/>
      </w:rPr>
    </w:lvl>
    <w:lvl w:ilvl="5" w:tplc="131EA2F2">
      <w:start w:val="1"/>
      <w:numFmt w:val="bullet"/>
      <w:lvlText w:val=""/>
      <w:lvlJc w:val="left"/>
      <w:pPr>
        <w:ind w:left="4320" w:hanging="360"/>
      </w:pPr>
      <w:rPr>
        <w:rFonts w:ascii="Wingdings" w:hAnsi="Wingdings" w:hint="default"/>
      </w:rPr>
    </w:lvl>
    <w:lvl w:ilvl="6" w:tplc="99C8078A">
      <w:start w:val="1"/>
      <w:numFmt w:val="bullet"/>
      <w:lvlText w:val=""/>
      <w:lvlJc w:val="left"/>
      <w:pPr>
        <w:ind w:left="5040" w:hanging="360"/>
      </w:pPr>
      <w:rPr>
        <w:rFonts w:ascii="Symbol" w:hAnsi="Symbol" w:hint="default"/>
      </w:rPr>
    </w:lvl>
    <w:lvl w:ilvl="7" w:tplc="AE8256E0">
      <w:start w:val="1"/>
      <w:numFmt w:val="bullet"/>
      <w:lvlText w:val="o"/>
      <w:lvlJc w:val="left"/>
      <w:pPr>
        <w:ind w:left="5760" w:hanging="360"/>
      </w:pPr>
      <w:rPr>
        <w:rFonts w:ascii="Courier New" w:hAnsi="Courier New" w:hint="default"/>
      </w:rPr>
    </w:lvl>
    <w:lvl w:ilvl="8" w:tplc="49F003BC">
      <w:start w:val="1"/>
      <w:numFmt w:val="bullet"/>
      <w:lvlText w:val=""/>
      <w:lvlJc w:val="left"/>
      <w:pPr>
        <w:ind w:left="6480" w:hanging="360"/>
      </w:pPr>
      <w:rPr>
        <w:rFonts w:ascii="Wingdings" w:hAnsi="Wingdings" w:hint="default"/>
      </w:rPr>
    </w:lvl>
  </w:abstractNum>
  <w:abstractNum w:abstractNumId="33" w15:restartNumberingAfterBreak="0">
    <w:nsid w:val="498127C1"/>
    <w:multiLevelType w:val="hybridMultilevel"/>
    <w:tmpl w:val="BABC64C8"/>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34" w15:restartNumberingAfterBreak="0">
    <w:nsid w:val="4A9751D4"/>
    <w:multiLevelType w:val="hybridMultilevel"/>
    <w:tmpl w:val="0A12D0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A9C017A"/>
    <w:multiLevelType w:val="hybridMultilevel"/>
    <w:tmpl w:val="8C841A9E"/>
    <w:lvl w:ilvl="0" w:tplc="86C6C9E0">
      <w:start w:val="17"/>
      <w:numFmt w:val="bullet"/>
      <w:pStyle w:val="Bullet2"/>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B123BC3"/>
    <w:multiLevelType w:val="hybridMultilevel"/>
    <w:tmpl w:val="EED297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C0A5430"/>
    <w:multiLevelType w:val="hybridMultilevel"/>
    <w:tmpl w:val="D9E01A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CAC2888"/>
    <w:multiLevelType w:val="hybridMultilevel"/>
    <w:tmpl w:val="6B20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E953A7"/>
    <w:multiLevelType w:val="hybridMultilevel"/>
    <w:tmpl w:val="DE54F2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4EFD14D1"/>
    <w:multiLevelType w:val="hybridMultilevel"/>
    <w:tmpl w:val="A37EBBF2"/>
    <w:lvl w:ilvl="0" w:tplc="041F0001">
      <w:start w:val="1"/>
      <w:numFmt w:val="bullet"/>
      <w:lvlText w:val=""/>
      <w:lvlJc w:val="left"/>
      <w:pPr>
        <w:ind w:left="643" w:hanging="360"/>
      </w:pPr>
      <w:rPr>
        <w:rFonts w:ascii="Symbol" w:hAnsi="Symbol" w:hint="default"/>
      </w:rPr>
    </w:lvl>
    <w:lvl w:ilvl="1" w:tplc="08090003">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41" w15:restartNumberingAfterBreak="0">
    <w:nsid w:val="523A4000"/>
    <w:multiLevelType w:val="hybridMultilevel"/>
    <w:tmpl w:val="E4F8AD24"/>
    <w:lvl w:ilvl="0" w:tplc="E2E04A20">
      <w:start w:val="1"/>
      <w:numFmt w:val="bullet"/>
      <w:pStyle w:val="List1"/>
      <w:lvlText w:val=""/>
      <w:lvlJc w:val="left"/>
      <w:pPr>
        <w:ind w:left="-544" w:hanging="360"/>
      </w:pPr>
      <w:rPr>
        <w:rFonts w:ascii="Symbol" w:hAnsi="Symbol" w:hint="default"/>
      </w:rPr>
    </w:lvl>
    <w:lvl w:ilvl="1" w:tplc="041F0003">
      <w:start w:val="1"/>
      <w:numFmt w:val="bullet"/>
      <w:lvlText w:val="o"/>
      <w:lvlJc w:val="left"/>
      <w:pPr>
        <w:ind w:left="176" w:hanging="360"/>
      </w:pPr>
      <w:rPr>
        <w:rFonts w:ascii="Courier New" w:hAnsi="Courier New" w:cs="Courier New" w:hint="default"/>
      </w:rPr>
    </w:lvl>
    <w:lvl w:ilvl="2" w:tplc="041F0005">
      <w:start w:val="1"/>
      <w:numFmt w:val="bullet"/>
      <w:lvlText w:val=""/>
      <w:lvlJc w:val="left"/>
      <w:pPr>
        <w:ind w:left="896" w:hanging="360"/>
      </w:pPr>
      <w:rPr>
        <w:rFonts w:ascii="Wingdings" w:hAnsi="Wingdings" w:hint="default"/>
      </w:rPr>
    </w:lvl>
    <w:lvl w:ilvl="3" w:tplc="041F0001" w:tentative="1">
      <w:start w:val="1"/>
      <w:numFmt w:val="bullet"/>
      <w:lvlText w:val=""/>
      <w:lvlJc w:val="left"/>
      <w:pPr>
        <w:ind w:left="1616" w:hanging="360"/>
      </w:pPr>
      <w:rPr>
        <w:rFonts w:ascii="Symbol" w:hAnsi="Symbol" w:hint="default"/>
      </w:rPr>
    </w:lvl>
    <w:lvl w:ilvl="4" w:tplc="041F0003">
      <w:start w:val="1"/>
      <w:numFmt w:val="bullet"/>
      <w:lvlText w:val="o"/>
      <w:lvlJc w:val="left"/>
      <w:pPr>
        <w:ind w:left="2336" w:hanging="360"/>
      </w:pPr>
      <w:rPr>
        <w:rFonts w:ascii="Courier New" w:hAnsi="Courier New" w:cs="Courier New" w:hint="default"/>
      </w:rPr>
    </w:lvl>
    <w:lvl w:ilvl="5" w:tplc="041F0005" w:tentative="1">
      <w:start w:val="1"/>
      <w:numFmt w:val="bullet"/>
      <w:lvlText w:val=""/>
      <w:lvlJc w:val="left"/>
      <w:pPr>
        <w:ind w:left="3056" w:hanging="360"/>
      </w:pPr>
      <w:rPr>
        <w:rFonts w:ascii="Wingdings" w:hAnsi="Wingdings" w:hint="default"/>
      </w:rPr>
    </w:lvl>
    <w:lvl w:ilvl="6" w:tplc="041F0001" w:tentative="1">
      <w:start w:val="1"/>
      <w:numFmt w:val="bullet"/>
      <w:lvlText w:val=""/>
      <w:lvlJc w:val="left"/>
      <w:pPr>
        <w:ind w:left="3776" w:hanging="360"/>
      </w:pPr>
      <w:rPr>
        <w:rFonts w:ascii="Symbol" w:hAnsi="Symbol" w:hint="default"/>
      </w:rPr>
    </w:lvl>
    <w:lvl w:ilvl="7" w:tplc="041F0003" w:tentative="1">
      <w:start w:val="1"/>
      <w:numFmt w:val="bullet"/>
      <w:lvlText w:val="o"/>
      <w:lvlJc w:val="left"/>
      <w:pPr>
        <w:ind w:left="4496" w:hanging="360"/>
      </w:pPr>
      <w:rPr>
        <w:rFonts w:ascii="Courier New" w:hAnsi="Courier New" w:cs="Courier New" w:hint="default"/>
      </w:rPr>
    </w:lvl>
    <w:lvl w:ilvl="8" w:tplc="041F0005" w:tentative="1">
      <w:start w:val="1"/>
      <w:numFmt w:val="bullet"/>
      <w:lvlText w:val=""/>
      <w:lvlJc w:val="left"/>
      <w:pPr>
        <w:ind w:left="5216" w:hanging="360"/>
      </w:pPr>
      <w:rPr>
        <w:rFonts w:ascii="Wingdings" w:hAnsi="Wingdings" w:hint="default"/>
      </w:rPr>
    </w:lvl>
  </w:abstractNum>
  <w:abstractNum w:abstractNumId="42" w15:restartNumberingAfterBreak="0">
    <w:nsid w:val="52D509FD"/>
    <w:multiLevelType w:val="hybridMultilevel"/>
    <w:tmpl w:val="AEFC9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1A4050"/>
    <w:multiLevelType w:val="hybridMultilevel"/>
    <w:tmpl w:val="0C54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9B5904"/>
    <w:multiLevelType w:val="hybridMultilevel"/>
    <w:tmpl w:val="017A0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E44EB5"/>
    <w:multiLevelType w:val="hybridMultilevel"/>
    <w:tmpl w:val="1CA415E6"/>
    <w:lvl w:ilvl="0" w:tplc="041F0003">
      <w:start w:val="1"/>
      <w:numFmt w:val="bullet"/>
      <w:lvlText w:val="o"/>
      <w:lvlJc w:val="left"/>
      <w:pPr>
        <w:ind w:left="643" w:hanging="360"/>
      </w:pPr>
      <w:rPr>
        <w:rFonts w:ascii="Courier New" w:hAnsi="Courier New" w:cs="Courier New" w:hint="default"/>
      </w:rPr>
    </w:lvl>
    <w:lvl w:ilvl="1" w:tplc="FFFFFFFF">
      <w:start w:val="1"/>
      <w:numFmt w:val="bullet"/>
      <w:lvlText w:val="o"/>
      <w:lvlJc w:val="left"/>
      <w:pPr>
        <w:ind w:left="1649" w:hanging="360"/>
      </w:pPr>
      <w:rPr>
        <w:rFonts w:ascii="Courier New" w:hAnsi="Courier New" w:cs="Courier New" w:hint="default"/>
      </w:rPr>
    </w:lvl>
    <w:lvl w:ilvl="2" w:tplc="FFFFFFFF" w:tentative="1">
      <w:start w:val="1"/>
      <w:numFmt w:val="bullet"/>
      <w:lvlText w:val=""/>
      <w:lvlJc w:val="left"/>
      <w:pPr>
        <w:ind w:left="2369" w:hanging="360"/>
      </w:pPr>
      <w:rPr>
        <w:rFonts w:ascii="Wingdings" w:hAnsi="Wingdings" w:hint="default"/>
      </w:rPr>
    </w:lvl>
    <w:lvl w:ilvl="3" w:tplc="FFFFFFFF" w:tentative="1">
      <w:start w:val="1"/>
      <w:numFmt w:val="bullet"/>
      <w:lvlText w:val=""/>
      <w:lvlJc w:val="left"/>
      <w:pPr>
        <w:ind w:left="3089" w:hanging="360"/>
      </w:pPr>
      <w:rPr>
        <w:rFonts w:ascii="Symbol" w:hAnsi="Symbol" w:hint="default"/>
      </w:rPr>
    </w:lvl>
    <w:lvl w:ilvl="4" w:tplc="FFFFFFFF" w:tentative="1">
      <w:start w:val="1"/>
      <w:numFmt w:val="bullet"/>
      <w:lvlText w:val="o"/>
      <w:lvlJc w:val="left"/>
      <w:pPr>
        <w:ind w:left="3809" w:hanging="360"/>
      </w:pPr>
      <w:rPr>
        <w:rFonts w:ascii="Courier New" w:hAnsi="Courier New" w:cs="Courier New" w:hint="default"/>
      </w:rPr>
    </w:lvl>
    <w:lvl w:ilvl="5" w:tplc="FFFFFFFF" w:tentative="1">
      <w:start w:val="1"/>
      <w:numFmt w:val="bullet"/>
      <w:lvlText w:val=""/>
      <w:lvlJc w:val="left"/>
      <w:pPr>
        <w:ind w:left="4529" w:hanging="360"/>
      </w:pPr>
      <w:rPr>
        <w:rFonts w:ascii="Wingdings" w:hAnsi="Wingdings" w:hint="default"/>
      </w:rPr>
    </w:lvl>
    <w:lvl w:ilvl="6" w:tplc="FFFFFFFF" w:tentative="1">
      <w:start w:val="1"/>
      <w:numFmt w:val="bullet"/>
      <w:lvlText w:val=""/>
      <w:lvlJc w:val="left"/>
      <w:pPr>
        <w:ind w:left="5249" w:hanging="360"/>
      </w:pPr>
      <w:rPr>
        <w:rFonts w:ascii="Symbol" w:hAnsi="Symbol" w:hint="default"/>
      </w:rPr>
    </w:lvl>
    <w:lvl w:ilvl="7" w:tplc="FFFFFFFF" w:tentative="1">
      <w:start w:val="1"/>
      <w:numFmt w:val="bullet"/>
      <w:lvlText w:val="o"/>
      <w:lvlJc w:val="left"/>
      <w:pPr>
        <w:ind w:left="5969" w:hanging="360"/>
      </w:pPr>
      <w:rPr>
        <w:rFonts w:ascii="Courier New" w:hAnsi="Courier New" w:cs="Courier New" w:hint="default"/>
      </w:rPr>
    </w:lvl>
    <w:lvl w:ilvl="8" w:tplc="FFFFFFFF" w:tentative="1">
      <w:start w:val="1"/>
      <w:numFmt w:val="bullet"/>
      <w:lvlText w:val=""/>
      <w:lvlJc w:val="left"/>
      <w:pPr>
        <w:ind w:left="6689" w:hanging="360"/>
      </w:pPr>
      <w:rPr>
        <w:rFonts w:ascii="Wingdings" w:hAnsi="Wingdings" w:hint="default"/>
      </w:rPr>
    </w:lvl>
  </w:abstractNum>
  <w:abstractNum w:abstractNumId="46" w15:restartNumberingAfterBreak="0">
    <w:nsid w:val="561A63B7"/>
    <w:multiLevelType w:val="hybridMultilevel"/>
    <w:tmpl w:val="581C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D30286"/>
    <w:multiLevelType w:val="hybridMultilevel"/>
    <w:tmpl w:val="A48AF468"/>
    <w:lvl w:ilvl="0" w:tplc="04090001">
      <w:start w:val="1"/>
      <w:numFmt w:val="bullet"/>
      <w:lvlText w:val=""/>
      <w:lvlJc w:val="left"/>
      <w:pPr>
        <w:ind w:left="720" w:hanging="360"/>
      </w:pPr>
      <w:rPr>
        <w:rFonts w:ascii="Symbol" w:hAnsi="Symbol" w:hint="default"/>
      </w:rPr>
    </w:lvl>
    <w:lvl w:ilvl="1" w:tplc="03B6986A">
      <w:numFmt w:val="bullet"/>
      <w:lvlText w:val="•"/>
      <w:lvlJc w:val="left"/>
      <w:pPr>
        <w:ind w:left="1800" w:hanging="72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0B2BE4"/>
    <w:multiLevelType w:val="hybridMultilevel"/>
    <w:tmpl w:val="2B32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806E81"/>
    <w:multiLevelType w:val="singleLevel"/>
    <w:tmpl w:val="6FD6C39C"/>
    <w:lvl w:ilvl="0">
      <w:start w:val="1"/>
      <w:numFmt w:val="bullet"/>
      <w:pStyle w:val="ListBullet2"/>
      <w:lvlText w:val=""/>
      <w:lvlJc w:val="left"/>
      <w:pPr>
        <w:ind w:left="1353" w:hanging="360"/>
      </w:pPr>
      <w:rPr>
        <w:rFonts w:ascii="Wingdings" w:hAnsi="Wingdings" w:hint="default"/>
        <w:b w:val="0"/>
        <w:sz w:val="20"/>
      </w:rPr>
    </w:lvl>
  </w:abstractNum>
  <w:abstractNum w:abstractNumId="50" w15:restartNumberingAfterBreak="0">
    <w:nsid w:val="5D997B7E"/>
    <w:multiLevelType w:val="hybridMultilevel"/>
    <w:tmpl w:val="A816F6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5EF82D13"/>
    <w:multiLevelType w:val="hybridMultilevel"/>
    <w:tmpl w:val="DBCE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5B4F23"/>
    <w:multiLevelType w:val="hybridMultilevel"/>
    <w:tmpl w:val="6FD24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2D6676D"/>
    <w:multiLevelType w:val="hybridMultilevel"/>
    <w:tmpl w:val="F81ABECA"/>
    <w:lvl w:ilvl="0" w:tplc="6BF62132">
      <w:start w:val="1"/>
      <w:numFmt w:val="bullet"/>
      <w:pStyle w:val="CitrusBullet"/>
      <w:lvlText w:val=""/>
      <w:lvlJc w:val="left"/>
      <w:pPr>
        <w:ind w:left="1440" w:hanging="360"/>
      </w:pPr>
      <w:rPr>
        <w:rFonts w:ascii="Wingdings" w:hAnsi="Wingdings" w:hint="default"/>
        <w:color w:val="7EBA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2D8540B"/>
    <w:multiLevelType w:val="hybridMultilevel"/>
    <w:tmpl w:val="74D22F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3D7723D"/>
    <w:multiLevelType w:val="hybridMultilevel"/>
    <w:tmpl w:val="363AADE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648627A8"/>
    <w:multiLevelType w:val="hybridMultilevel"/>
    <w:tmpl w:val="0CBA861C"/>
    <w:lvl w:ilvl="0" w:tplc="0409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65EF608F"/>
    <w:multiLevelType w:val="hybridMultilevel"/>
    <w:tmpl w:val="2968F0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5F82253"/>
    <w:multiLevelType w:val="hybridMultilevel"/>
    <w:tmpl w:val="1E46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960C48"/>
    <w:multiLevelType w:val="hybridMultilevel"/>
    <w:tmpl w:val="E96EE0AE"/>
    <w:lvl w:ilvl="0" w:tplc="04090005">
      <w:start w:val="1"/>
      <w:numFmt w:val="bullet"/>
      <w:lvlText w:val=""/>
      <w:lvlJc w:val="left"/>
      <w:pPr>
        <w:ind w:left="643" w:hanging="360"/>
      </w:pPr>
      <w:rPr>
        <w:rFonts w:ascii="Wingdings" w:hAnsi="Wingdings" w:hint="default"/>
      </w:rPr>
    </w:lvl>
    <w:lvl w:ilvl="1" w:tplc="08090003">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60" w15:restartNumberingAfterBreak="0">
    <w:nsid w:val="6EAE5A66"/>
    <w:multiLevelType w:val="multilevel"/>
    <w:tmpl w:val="806E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13A056F"/>
    <w:multiLevelType w:val="hybridMultilevel"/>
    <w:tmpl w:val="6A8290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3AA023E"/>
    <w:multiLevelType w:val="hybridMultilevel"/>
    <w:tmpl w:val="887C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24033A"/>
    <w:multiLevelType w:val="hybridMultilevel"/>
    <w:tmpl w:val="EC7A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9340AD"/>
    <w:multiLevelType w:val="hybridMultilevel"/>
    <w:tmpl w:val="CB7CD4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7A805DD8"/>
    <w:multiLevelType w:val="hybridMultilevel"/>
    <w:tmpl w:val="C3CC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E78150F"/>
    <w:multiLevelType w:val="hybridMultilevel"/>
    <w:tmpl w:val="B6D82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4189290">
    <w:abstractNumId w:val="32"/>
  </w:num>
  <w:num w:numId="2" w16cid:durableId="1188301098">
    <w:abstractNumId w:val="41"/>
  </w:num>
  <w:num w:numId="3" w16cid:durableId="190262855">
    <w:abstractNumId w:val="28"/>
  </w:num>
  <w:num w:numId="4" w16cid:durableId="1113862132">
    <w:abstractNumId w:val="14"/>
  </w:num>
  <w:num w:numId="5" w16cid:durableId="984358253">
    <w:abstractNumId w:val="47"/>
  </w:num>
  <w:num w:numId="6" w16cid:durableId="1468935448">
    <w:abstractNumId w:val="8"/>
  </w:num>
  <w:num w:numId="7" w16cid:durableId="1640723124">
    <w:abstractNumId w:val="59"/>
  </w:num>
  <w:num w:numId="8" w16cid:durableId="1645116225">
    <w:abstractNumId w:val="30"/>
  </w:num>
  <w:num w:numId="9" w16cid:durableId="894123059">
    <w:abstractNumId w:val="49"/>
  </w:num>
  <w:num w:numId="10" w16cid:durableId="26880477">
    <w:abstractNumId w:val="13"/>
  </w:num>
  <w:num w:numId="11" w16cid:durableId="1687487866">
    <w:abstractNumId w:val="35"/>
  </w:num>
  <w:num w:numId="12" w16cid:durableId="832334915">
    <w:abstractNumId w:val="57"/>
  </w:num>
  <w:num w:numId="13" w16cid:durableId="1156069250">
    <w:abstractNumId w:val="54"/>
  </w:num>
  <w:num w:numId="14" w16cid:durableId="992877104">
    <w:abstractNumId w:val="36"/>
  </w:num>
  <w:num w:numId="15" w16cid:durableId="1379470170">
    <w:abstractNumId w:val="60"/>
  </w:num>
  <w:num w:numId="16" w16cid:durableId="1265924255">
    <w:abstractNumId w:val="9"/>
  </w:num>
  <w:num w:numId="17" w16cid:durableId="380708840">
    <w:abstractNumId w:val="33"/>
  </w:num>
  <w:num w:numId="18" w16cid:durableId="1569923276">
    <w:abstractNumId w:val="3"/>
  </w:num>
  <w:num w:numId="19" w16cid:durableId="131607629">
    <w:abstractNumId w:val="39"/>
  </w:num>
  <w:num w:numId="20" w16cid:durableId="1680808705">
    <w:abstractNumId w:val="22"/>
  </w:num>
  <w:num w:numId="21" w16cid:durableId="295574753">
    <w:abstractNumId w:val="38"/>
  </w:num>
  <w:num w:numId="22" w16cid:durableId="1840459414">
    <w:abstractNumId w:val="53"/>
  </w:num>
  <w:num w:numId="23" w16cid:durableId="1156805400">
    <w:abstractNumId w:val="46"/>
  </w:num>
  <w:num w:numId="24" w16cid:durableId="2132362637">
    <w:abstractNumId w:val="58"/>
  </w:num>
  <w:num w:numId="25" w16cid:durableId="1931575105">
    <w:abstractNumId w:val="42"/>
  </w:num>
  <w:num w:numId="26" w16cid:durableId="2019891961">
    <w:abstractNumId w:val="56"/>
  </w:num>
  <w:num w:numId="27" w16cid:durableId="498155448">
    <w:abstractNumId w:val="16"/>
  </w:num>
  <w:num w:numId="28" w16cid:durableId="721487594">
    <w:abstractNumId w:val="65"/>
  </w:num>
  <w:num w:numId="29" w16cid:durableId="218520485">
    <w:abstractNumId w:val="37"/>
  </w:num>
  <w:num w:numId="30" w16cid:durableId="1861625123">
    <w:abstractNumId w:val="24"/>
  </w:num>
  <w:num w:numId="31" w16cid:durableId="653607105">
    <w:abstractNumId w:val="44"/>
  </w:num>
  <w:num w:numId="32" w16cid:durableId="1663846719">
    <w:abstractNumId w:val="61"/>
  </w:num>
  <w:num w:numId="33" w16cid:durableId="579173236">
    <w:abstractNumId w:val="18"/>
  </w:num>
  <w:num w:numId="34" w16cid:durableId="1828739173">
    <w:abstractNumId w:val="52"/>
  </w:num>
  <w:num w:numId="35" w16cid:durableId="328024972">
    <w:abstractNumId w:val="48"/>
  </w:num>
  <w:num w:numId="36" w16cid:durableId="421681811">
    <w:abstractNumId w:val="5"/>
  </w:num>
  <w:num w:numId="37" w16cid:durableId="232740803">
    <w:abstractNumId w:val="20"/>
  </w:num>
  <w:num w:numId="38" w16cid:durableId="1584754581">
    <w:abstractNumId w:val="50"/>
  </w:num>
  <w:num w:numId="39" w16cid:durableId="1277175668">
    <w:abstractNumId w:val="31"/>
  </w:num>
  <w:num w:numId="40" w16cid:durableId="1412653661">
    <w:abstractNumId w:val="55"/>
  </w:num>
  <w:num w:numId="41" w16cid:durableId="792558537">
    <w:abstractNumId w:val="6"/>
  </w:num>
  <w:num w:numId="42" w16cid:durableId="1115488312">
    <w:abstractNumId w:val="40"/>
  </w:num>
  <w:num w:numId="43" w16cid:durableId="1321157800">
    <w:abstractNumId w:val="1"/>
  </w:num>
  <w:num w:numId="44" w16cid:durableId="107746151">
    <w:abstractNumId w:val="7"/>
  </w:num>
  <w:num w:numId="45" w16cid:durableId="977955177">
    <w:abstractNumId w:val="12"/>
  </w:num>
  <w:num w:numId="46" w16cid:durableId="115292305">
    <w:abstractNumId w:val="21"/>
  </w:num>
  <w:num w:numId="47" w16cid:durableId="1254127763">
    <w:abstractNumId w:val="51"/>
  </w:num>
  <w:num w:numId="48" w16cid:durableId="1368018687">
    <w:abstractNumId w:val="27"/>
  </w:num>
  <w:num w:numId="49" w16cid:durableId="405568242">
    <w:abstractNumId w:val="2"/>
  </w:num>
  <w:num w:numId="50" w16cid:durableId="189882579">
    <w:abstractNumId w:val="11"/>
  </w:num>
  <w:num w:numId="51" w16cid:durableId="654990455">
    <w:abstractNumId w:val="29"/>
  </w:num>
  <w:num w:numId="52" w16cid:durableId="1530795966">
    <w:abstractNumId w:val="19"/>
  </w:num>
  <w:num w:numId="53" w16cid:durableId="203716446">
    <w:abstractNumId w:val="15"/>
  </w:num>
  <w:num w:numId="54" w16cid:durableId="2130538815">
    <w:abstractNumId w:val="63"/>
  </w:num>
  <w:num w:numId="55" w16cid:durableId="251938108">
    <w:abstractNumId w:val="26"/>
  </w:num>
  <w:num w:numId="56" w16cid:durableId="1843935327">
    <w:abstractNumId w:val="17"/>
  </w:num>
  <w:num w:numId="57" w16cid:durableId="692148999">
    <w:abstractNumId w:val="66"/>
  </w:num>
  <w:num w:numId="58" w16cid:durableId="679895078">
    <w:abstractNumId w:val="43"/>
  </w:num>
  <w:num w:numId="59" w16cid:durableId="1804957105">
    <w:abstractNumId w:val="62"/>
  </w:num>
  <w:num w:numId="60" w16cid:durableId="2089112816">
    <w:abstractNumId w:val="10"/>
  </w:num>
  <w:num w:numId="61" w16cid:durableId="773592958">
    <w:abstractNumId w:val="14"/>
  </w:num>
  <w:num w:numId="62" w16cid:durableId="1092894119">
    <w:abstractNumId w:val="14"/>
  </w:num>
  <w:num w:numId="63" w16cid:durableId="2024165341">
    <w:abstractNumId w:val="14"/>
  </w:num>
  <w:num w:numId="64" w16cid:durableId="2110850691">
    <w:abstractNumId w:val="64"/>
  </w:num>
  <w:num w:numId="65" w16cid:durableId="873227832">
    <w:abstractNumId w:val="34"/>
  </w:num>
  <w:num w:numId="66" w16cid:durableId="1739786504">
    <w:abstractNumId w:val="25"/>
  </w:num>
  <w:num w:numId="67" w16cid:durableId="997268838">
    <w:abstractNumId w:val="45"/>
  </w:num>
  <w:num w:numId="68" w16cid:durableId="680742517">
    <w:abstractNumId w:val="23"/>
  </w:num>
  <w:num w:numId="69" w16cid:durableId="555699252">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tr-TR" w:vendorID="64" w:dllVersion="4096" w:nlCheck="1" w:checkStyle="0"/>
  <w:activeWritingStyle w:appName="MSWord" w:lang="en-GB" w:vendorID="64" w:dllVersion="0" w:nlCheck="1" w:checkStyle="0"/>
  <w:activeWritingStyle w:appName="MSWord" w:lang="en-US" w:vendorID="64" w:dllVersion="0" w:nlCheck="1" w:checkStyle="0"/>
  <w:activeWritingStyle w:appName="MSWord" w:lang="tr-TR"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0NDYwMDAzNjc0NLFQ0lEKTi0uzszPAykwrgUAo6NC9ywAAAA="/>
  </w:docVars>
  <w:rsids>
    <w:rsidRoot w:val="00364DE3"/>
    <w:rsid w:val="00000013"/>
    <w:rsid w:val="0000004D"/>
    <w:rsid w:val="00000140"/>
    <w:rsid w:val="000003D5"/>
    <w:rsid w:val="00000504"/>
    <w:rsid w:val="0000056D"/>
    <w:rsid w:val="00000570"/>
    <w:rsid w:val="000005C6"/>
    <w:rsid w:val="000006EE"/>
    <w:rsid w:val="000009A1"/>
    <w:rsid w:val="00000AFA"/>
    <w:rsid w:val="00000BCD"/>
    <w:rsid w:val="00000E49"/>
    <w:rsid w:val="00000E66"/>
    <w:rsid w:val="00000F80"/>
    <w:rsid w:val="000010AD"/>
    <w:rsid w:val="000010FF"/>
    <w:rsid w:val="000011D6"/>
    <w:rsid w:val="0000122F"/>
    <w:rsid w:val="000015B8"/>
    <w:rsid w:val="00001BA0"/>
    <w:rsid w:val="00001D4A"/>
    <w:rsid w:val="00001DF4"/>
    <w:rsid w:val="00001EF7"/>
    <w:rsid w:val="00002216"/>
    <w:rsid w:val="0000230F"/>
    <w:rsid w:val="0000239A"/>
    <w:rsid w:val="000023CB"/>
    <w:rsid w:val="00002492"/>
    <w:rsid w:val="000025C2"/>
    <w:rsid w:val="000025EB"/>
    <w:rsid w:val="00002624"/>
    <w:rsid w:val="00002734"/>
    <w:rsid w:val="000029CE"/>
    <w:rsid w:val="000029D9"/>
    <w:rsid w:val="00002A7B"/>
    <w:rsid w:val="00002EB3"/>
    <w:rsid w:val="00002EBA"/>
    <w:rsid w:val="00002F21"/>
    <w:rsid w:val="00002F6E"/>
    <w:rsid w:val="00003082"/>
    <w:rsid w:val="000032D3"/>
    <w:rsid w:val="0000354B"/>
    <w:rsid w:val="00003710"/>
    <w:rsid w:val="0000373F"/>
    <w:rsid w:val="000037A2"/>
    <w:rsid w:val="00003830"/>
    <w:rsid w:val="00003834"/>
    <w:rsid w:val="000039C4"/>
    <w:rsid w:val="000039FB"/>
    <w:rsid w:val="00003A2C"/>
    <w:rsid w:val="00003A90"/>
    <w:rsid w:val="00003AC8"/>
    <w:rsid w:val="00003B09"/>
    <w:rsid w:val="00003BAE"/>
    <w:rsid w:val="00003F68"/>
    <w:rsid w:val="00004021"/>
    <w:rsid w:val="0000406C"/>
    <w:rsid w:val="00004157"/>
    <w:rsid w:val="000041E9"/>
    <w:rsid w:val="00004341"/>
    <w:rsid w:val="00004421"/>
    <w:rsid w:val="00004812"/>
    <w:rsid w:val="0000483D"/>
    <w:rsid w:val="00004881"/>
    <w:rsid w:val="00004997"/>
    <w:rsid w:val="00004A1C"/>
    <w:rsid w:val="00004BB4"/>
    <w:rsid w:val="00004C82"/>
    <w:rsid w:val="00004CD6"/>
    <w:rsid w:val="00005078"/>
    <w:rsid w:val="00005088"/>
    <w:rsid w:val="000050A4"/>
    <w:rsid w:val="00005413"/>
    <w:rsid w:val="000054AE"/>
    <w:rsid w:val="00005800"/>
    <w:rsid w:val="00005942"/>
    <w:rsid w:val="00005A7B"/>
    <w:rsid w:val="00005B22"/>
    <w:rsid w:val="00005D5D"/>
    <w:rsid w:val="00005FBD"/>
    <w:rsid w:val="00006020"/>
    <w:rsid w:val="00006108"/>
    <w:rsid w:val="00006221"/>
    <w:rsid w:val="0000625F"/>
    <w:rsid w:val="000063F6"/>
    <w:rsid w:val="000064CB"/>
    <w:rsid w:val="000067F2"/>
    <w:rsid w:val="0000697D"/>
    <w:rsid w:val="00006A05"/>
    <w:rsid w:val="00006A36"/>
    <w:rsid w:val="00006BC5"/>
    <w:rsid w:val="00006F93"/>
    <w:rsid w:val="0000746B"/>
    <w:rsid w:val="0000754A"/>
    <w:rsid w:val="00007821"/>
    <w:rsid w:val="00007831"/>
    <w:rsid w:val="000078AF"/>
    <w:rsid w:val="00007978"/>
    <w:rsid w:val="00007C7C"/>
    <w:rsid w:val="00007E90"/>
    <w:rsid w:val="00007FD6"/>
    <w:rsid w:val="0001002E"/>
    <w:rsid w:val="00010080"/>
    <w:rsid w:val="000101C1"/>
    <w:rsid w:val="00010357"/>
    <w:rsid w:val="00010390"/>
    <w:rsid w:val="00010622"/>
    <w:rsid w:val="00010972"/>
    <w:rsid w:val="00010BBE"/>
    <w:rsid w:val="00010CB8"/>
    <w:rsid w:val="00010D39"/>
    <w:rsid w:val="00010D73"/>
    <w:rsid w:val="00011060"/>
    <w:rsid w:val="000110E9"/>
    <w:rsid w:val="000112CA"/>
    <w:rsid w:val="000114C5"/>
    <w:rsid w:val="000117AA"/>
    <w:rsid w:val="00011807"/>
    <w:rsid w:val="0001182B"/>
    <w:rsid w:val="00011ABC"/>
    <w:rsid w:val="00011BB5"/>
    <w:rsid w:val="00011D0D"/>
    <w:rsid w:val="00011EC2"/>
    <w:rsid w:val="00012142"/>
    <w:rsid w:val="000121C8"/>
    <w:rsid w:val="0001228B"/>
    <w:rsid w:val="000122A6"/>
    <w:rsid w:val="000122D5"/>
    <w:rsid w:val="000124F2"/>
    <w:rsid w:val="000127A6"/>
    <w:rsid w:val="0001289D"/>
    <w:rsid w:val="00012AF9"/>
    <w:rsid w:val="00012B2A"/>
    <w:rsid w:val="00012C69"/>
    <w:rsid w:val="00012C6D"/>
    <w:rsid w:val="00012DB8"/>
    <w:rsid w:val="00012DCF"/>
    <w:rsid w:val="00012E66"/>
    <w:rsid w:val="00012F27"/>
    <w:rsid w:val="000130F2"/>
    <w:rsid w:val="00013320"/>
    <w:rsid w:val="000137A6"/>
    <w:rsid w:val="00013985"/>
    <w:rsid w:val="000139DB"/>
    <w:rsid w:val="00013B6A"/>
    <w:rsid w:val="00013D68"/>
    <w:rsid w:val="00014038"/>
    <w:rsid w:val="00014060"/>
    <w:rsid w:val="00014123"/>
    <w:rsid w:val="0001423F"/>
    <w:rsid w:val="0001431A"/>
    <w:rsid w:val="0001438C"/>
    <w:rsid w:val="00014398"/>
    <w:rsid w:val="00014442"/>
    <w:rsid w:val="0001479C"/>
    <w:rsid w:val="000147A0"/>
    <w:rsid w:val="00014813"/>
    <w:rsid w:val="00014A1C"/>
    <w:rsid w:val="00014A27"/>
    <w:rsid w:val="00014A34"/>
    <w:rsid w:val="00014B29"/>
    <w:rsid w:val="00014D15"/>
    <w:rsid w:val="00014EFF"/>
    <w:rsid w:val="00014F3C"/>
    <w:rsid w:val="00014F83"/>
    <w:rsid w:val="00014FDC"/>
    <w:rsid w:val="000151E9"/>
    <w:rsid w:val="000155E8"/>
    <w:rsid w:val="000155E9"/>
    <w:rsid w:val="00015709"/>
    <w:rsid w:val="000157DA"/>
    <w:rsid w:val="0001598B"/>
    <w:rsid w:val="00015A0A"/>
    <w:rsid w:val="00015A92"/>
    <w:rsid w:val="00015B20"/>
    <w:rsid w:val="00015DA5"/>
    <w:rsid w:val="00015FD4"/>
    <w:rsid w:val="0001602C"/>
    <w:rsid w:val="00016142"/>
    <w:rsid w:val="00016180"/>
    <w:rsid w:val="00016297"/>
    <w:rsid w:val="0001654E"/>
    <w:rsid w:val="00016AD4"/>
    <w:rsid w:val="00016B6B"/>
    <w:rsid w:val="00016C69"/>
    <w:rsid w:val="00016D83"/>
    <w:rsid w:val="00016E09"/>
    <w:rsid w:val="00016FA7"/>
    <w:rsid w:val="00016FB4"/>
    <w:rsid w:val="0001712F"/>
    <w:rsid w:val="000172FF"/>
    <w:rsid w:val="000175D1"/>
    <w:rsid w:val="0001768A"/>
    <w:rsid w:val="0001779F"/>
    <w:rsid w:val="000177C0"/>
    <w:rsid w:val="00017ACB"/>
    <w:rsid w:val="00017AE0"/>
    <w:rsid w:val="00017BFF"/>
    <w:rsid w:val="00017C5E"/>
    <w:rsid w:val="00017E4C"/>
    <w:rsid w:val="00017EC5"/>
    <w:rsid w:val="00017F49"/>
    <w:rsid w:val="00020077"/>
    <w:rsid w:val="00020303"/>
    <w:rsid w:val="00020384"/>
    <w:rsid w:val="0002056D"/>
    <w:rsid w:val="0002086F"/>
    <w:rsid w:val="00020A66"/>
    <w:rsid w:val="00020D72"/>
    <w:rsid w:val="00020DFB"/>
    <w:rsid w:val="00020F0F"/>
    <w:rsid w:val="00021117"/>
    <w:rsid w:val="000212E7"/>
    <w:rsid w:val="00021347"/>
    <w:rsid w:val="00021386"/>
    <w:rsid w:val="00021577"/>
    <w:rsid w:val="000215B2"/>
    <w:rsid w:val="00021673"/>
    <w:rsid w:val="000216D8"/>
    <w:rsid w:val="00021890"/>
    <w:rsid w:val="000218DA"/>
    <w:rsid w:val="000218F5"/>
    <w:rsid w:val="000219B9"/>
    <w:rsid w:val="00021A53"/>
    <w:rsid w:val="00021D4E"/>
    <w:rsid w:val="00021EB8"/>
    <w:rsid w:val="00021FA8"/>
    <w:rsid w:val="00021FEC"/>
    <w:rsid w:val="0002210B"/>
    <w:rsid w:val="00022319"/>
    <w:rsid w:val="000224BC"/>
    <w:rsid w:val="00022558"/>
    <w:rsid w:val="000226E6"/>
    <w:rsid w:val="000228C2"/>
    <w:rsid w:val="000229A6"/>
    <w:rsid w:val="00022B41"/>
    <w:rsid w:val="00022B6B"/>
    <w:rsid w:val="00022D25"/>
    <w:rsid w:val="00022DAF"/>
    <w:rsid w:val="00022DEF"/>
    <w:rsid w:val="00023007"/>
    <w:rsid w:val="000231C0"/>
    <w:rsid w:val="00023234"/>
    <w:rsid w:val="000233CA"/>
    <w:rsid w:val="00023411"/>
    <w:rsid w:val="0002348E"/>
    <w:rsid w:val="00023506"/>
    <w:rsid w:val="00023680"/>
    <w:rsid w:val="00023AEA"/>
    <w:rsid w:val="00023C66"/>
    <w:rsid w:val="00023D23"/>
    <w:rsid w:val="00023F61"/>
    <w:rsid w:val="00024049"/>
    <w:rsid w:val="00024090"/>
    <w:rsid w:val="00024162"/>
    <w:rsid w:val="000241D1"/>
    <w:rsid w:val="00024350"/>
    <w:rsid w:val="00024357"/>
    <w:rsid w:val="0002436D"/>
    <w:rsid w:val="0002463A"/>
    <w:rsid w:val="0002473F"/>
    <w:rsid w:val="0002477D"/>
    <w:rsid w:val="00024854"/>
    <w:rsid w:val="00024998"/>
    <w:rsid w:val="00024A53"/>
    <w:rsid w:val="00024C2E"/>
    <w:rsid w:val="00024C39"/>
    <w:rsid w:val="00024C3B"/>
    <w:rsid w:val="00025039"/>
    <w:rsid w:val="00025118"/>
    <w:rsid w:val="00025199"/>
    <w:rsid w:val="00025210"/>
    <w:rsid w:val="0002524F"/>
    <w:rsid w:val="0002526A"/>
    <w:rsid w:val="000252A9"/>
    <w:rsid w:val="00025505"/>
    <w:rsid w:val="000256A1"/>
    <w:rsid w:val="00025885"/>
    <w:rsid w:val="000259E9"/>
    <w:rsid w:val="00025BDE"/>
    <w:rsid w:val="00025D40"/>
    <w:rsid w:val="00025F01"/>
    <w:rsid w:val="00026196"/>
    <w:rsid w:val="00026271"/>
    <w:rsid w:val="000263AA"/>
    <w:rsid w:val="00026405"/>
    <w:rsid w:val="0002648F"/>
    <w:rsid w:val="000266A0"/>
    <w:rsid w:val="000266CE"/>
    <w:rsid w:val="000266F1"/>
    <w:rsid w:val="00026711"/>
    <w:rsid w:val="000268B2"/>
    <w:rsid w:val="00026ACE"/>
    <w:rsid w:val="00026B74"/>
    <w:rsid w:val="00026B76"/>
    <w:rsid w:val="00026D61"/>
    <w:rsid w:val="00026F46"/>
    <w:rsid w:val="0002713B"/>
    <w:rsid w:val="00027217"/>
    <w:rsid w:val="0002762A"/>
    <w:rsid w:val="000276C5"/>
    <w:rsid w:val="000276CA"/>
    <w:rsid w:val="0002781A"/>
    <w:rsid w:val="0002796F"/>
    <w:rsid w:val="000279B0"/>
    <w:rsid w:val="00027B0C"/>
    <w:rsid w:val="00027C65"/>
    <w:rsid w:val="00027EF0"/>
    <w:rsid w:val="00030141"/>
    <w:rsid w:val="00030208"/>
    <w:rsid w:val="0003025D"/>
    <w:rsid w:val="0003027C"/>
    <w:rsid w:val="00030354"/>
    <w:rsid w:val="00030505"/>
    <w:rsid w:val="00030606"/>
    <w:rsid w:val="000306D0"/>
    <w:rsid w:val="00030730"/>
    <w:rsid w:val="0003076D"/>
    <w:rsid w:val="0003080B"/>
    <w:rsid w:val="000309EF"/>
    <w:rsid w:val="00030A6E"/>
    <w:rsid w:val="00030E5A"/>
    <w:rsid w:val="00030F57"/>
    <w:rsid w:val="0003109B"/>
    <w:rsid w:val="00031194"/>
    <w:rsid w:val="0003150D"/>
    <w:rsid w:val="0003167E"/>
    <w:rsid w:val="000316B5"/>
    <w:rsid w:val="0003171A"/>
    <w:rsid w:val="00031785"/>
    <w:rsid w:val="0003178C"/>
    <w:rsid w:val="00031A7F"/>
    <w:rsid w:val="00031AF1"/>
    <w:rsid w:val="00031EBE"/>
    <w:rsid w:val="00032138"/>
    <w:rsid w:val="0003220B"/>
    <w:rsid w:val="00032468"/>
    <w:rsid w:val="00032481"/>
    <w:rsid w:val="0003249F"/>
    <w:rsid w:val="00032679"/>
    <w:rsid w:val="000327B2"/>
    <w:rsid w:val="000327E9"/>
    <w:rsid w:val="0003294D"/>
    <w:rsid w:val="00032AFC"/>
    <w:rsid w:val="00032B65"/>
    <w:rsid w:val="00032B88"/>
    <w:rsid w:val="00032D08"/>
    <w:rsid w:val="00032E04"/>
    <w:rsid w:val="00032F20"/>
    <w:rsid w:val="000330DF"/>
    <w:rsid w:val="0003317F"/>
    <w:rsid w:val="000332F2"/>
    <w:rsid w:val="000333A9"/>
    <w:rsid w:val="00033560"/>
    <w:rsid w:val="00033579"/>
    <w:rsid w:val="00033710"/>
    <w:rsid w:val="00033790"/>
    <w:rsid w:val="0003385A"/>
    <w:rsid w:val="00033963"/>
    <w:rsid w:val="00033D01"/>
    <w:rsid w:val="00033D68"/>
    <w:rsid w:val="00033EB6"/>
    <w:rsid w:val="00033F21"/>
    <w:rsid w:val="00034075"/>
    <w:rsid w:val="00034097"/>
    <w:rsid w:val="000340A0"/>
    <w:rsid w:val="00034639"/>
    <w:rsid w:val="0003493E"/>
    <w:rsid w:val="00034B26"/>
    <w:rsid w:val="00034BF7"/>
    <w:rsid w:val="00034E4B"/>
    <w:rsid w:val="00034F7C"/>
    <w:rsid w:val="00034F9F"/>
    <w:rsid w:val="00034FED"/>
    <w:rsid w:val="00035096"/>
    <w:rsid w:val="00035169"/>
    <w:rsid w:val="0003527A"/>
    <w:rsid w:val="00035370"/>
    <w:rsid w:val="000353E6"/>
    <w:rsid w:val="000354FE"/>
    <w:rsid w:val="00035659"/>
    <w:rsid w:val="00035674"/>
    <w:rsid w:val="000356B6"/>
    <w:rsid w:val="00035869"/>
    <w:rsid w:val="000358AE"/>
    <w:rsid w:val="000358F2"/>
    <w:rsid w:val="000359D7"/>
    <w:rsid w:val="00035D06"/>
    <w:rsid w:val="00035D09"/>
    <w:rsid w:val="00035FD4"/>
    <w:rsid w:val="00036007"/>
    <w:rsid w:val="000365F8"/>
    <w:rsid w:val="00036732"/>
    <w:rsid w:val="00036769"/>
    <w:rsid w:val="00036A19"/>
    <w:rsid w:val="00036B86"/>
    <w:rsid w:val="00036C6A"/>
    <w:rsid w:val="00036CB2"/>
    <w:rsid w:val="00036CD7"/>
    <w:rsid w:val="00036DAB"/>
    <w:rsid w:val="00036DBF"/>
    <w:rsid w:val="00036DDA"/>
    <w:rsid w:val="00036EBD"/>
    <w:rsid w:val="00037438"/>
    <w:rsid w:val="0003765E"/>
    <w:rsid w:val="0003779F"/>
    <w:rsid w:val="000377E7"/>
    <w:rsid w:val="000377F8"/>
    <w:rsid w:val="00037871"/>
    <w:rsid w:val="000379C3"/>
    <w:rsid w:val="00037B45"/>
    <w:rsid w:val="00037D05"/>
    <w:rsid w:val="0004031C"/>
    <w:rsid w:val="0004066C"/>
    <w:rsid w:val="000406D1"/>
    <w:rsid w:val="00040768"/>
    <w:rsid w:val="0004080C"/>
    <w:rsid w:val="00040A10"/>
    <w:rsid w:val="00040A70"/>
    <w:rsid w:val="00040AA9"/>
    <w:rsid w:val="00040BAD"/>
    <w:rsid w:val="00040BF3"/>
    <w:rsid w:val="00040C1B"/>
    <w:rsid w:val="000412A7"/>
    <w:rsid w:val="000413A9"/>
    <w:rsid w:val="000414C2"/>
    <w:rsid w:val="000415B2"/>
    <w:rsid w:val="000415CB"/>
    <w:rsid w:val="000415DF"/>
    <w:rsid w:val="0004173F"/>
    <w:rsid w:val="00041822"/>
    <w:rsid w:val="0004186F"/>
    <w:rsid w:val="00041AC7"/>
    <w:rsid w:val="00041B1E"/>
    <w:rsid w:val="00041CCC"/>
    <w:rsid w:val="00041D5E"/>
    <w:rsid w:val="00041E76"/>
    <w:rsid w:val="00041F77"/>
    <w:rsid w:val="00041FA0"/>
    <w:rsid w:val="0004212B"/>
    <w:rsid w:val="000421A5"/>
    <w:rsid w:val="000423D8"/>
    <w:rsid w:val="00042446"/>
    <w:rsid w:val="000424CB"/>
    <w:rsid w:val="000425DC"/>
    <w:rsid w:val="0004263F"/>
    <w:rsid w:val="0004268A"/>
    <w:rsid w:val="00042706"/>
    <w:rsid w:val="000428A7"/>
    <w:rsid w:val="000428AC"/>
    <w:rsid w:val="00042A76"/>
    <w:rsid w:val="00042B08"/>
    <w:rsid w:val="00042BDA"/>
    <w:rsid w:val="00042C2E"/>
    <w:rsid w:val="00042D44"/>
    <w:rsid w:val="00042FB2"/>
    <w:rsid w:val="00042FFD"/>
    <w:rsid w:val="000431E4"/>
    <w:rsid w:val="00043263"/>
    <w:rsid w:val="000432E6"/>
    <w:rsid w:val="00043372"/>
    <w:rsid w:val="0004338C"/>
    <w:rsid w:val="000434FC"/>
    <w:rsid w:val="00043521"/>
    <w:rsid w:val="00043893"/>
    <w:rsid w:val="00043A38"/>
    <w:rsid w:val="00043C85"/>
    <w:rsid w:val="00043C94"/>
    <w:rsid w:val="00043D20"/>
    <w:rsid w:val="00043D27"/>
    <w:rsid w:val="00043D7E"/>
    <w:rsid w:val="00043EED"/>
    <w:rsid w:val="00043F43"/>
    <w:rsid w:val="000440DB"/>
    <w:rsid w:val="000442AF"/>
    <w:rsid w:val="000442B7"/>
    <w:rsid w:val="000442FC"/>
    <w:rsid w:val="00044443"/>
    <w:rsid w:val="000444CF"/>
    <w:rsid w:val="0004481B"/>
    <w:rsid w:val="00044926"/>
    <w:rsid w:val="000449C3"/>
    <w:rsid w:val="00044B59"/>
    <w:rsid w:val="00044BC0"/>
    <w:rsid w:val="00044BC4"/>
    <w:rsid w:val="00044D80"/>
    <w:rsid w:val="00044E03"/>
    <w:rsid w:val="00044E90"/>
    <w:rsid w:val="00044E9B"/>
    <w:rsid w:val="00044ED4"/>
    <w:rsid w:val="00044F6D"/>
    <w:rsid w:val="00044F7C"/>
    <w:rsid w:val="0004502E"/>
    <w:rsid w:val="00045031"/>
    <w:rsid w:val="00045668"/>
    <w:rsid w:val="00045718"/>
    <w:rsid w:val="000458C0"/>
    <w:rsid w:val="00045B77"/>
    <w:rsid w:val="00045DB4"/>
    <w:rsid w:val="00045DC1"/>
    <w:rsid w:val="00045E5A"/>
    <w:rsid w:val="000460D0"/>
    <w:rsid w:val="000462B9"/>
    <w:rsid w:val="000463CC"/>
    <w:rsid w:val="00046752"/>
    <w:rsid w:val="000467BA"/>
    <w:rsid w:val="00046942"/>
    <w:rsid w:val="00046A06"/>
    <w:rsid w:val="00046AFB"/>
    <w:rsid w:val="00046B7B"/>
    <w:rsid w:val="00046DD0"/>
    <w:rsid w:val="00046E91"/>
    <w:rsid w:val="00046F32"/>
    <w:rsid w:val="00046FD3"/>
    <w:rsid w:val="00047062"/>
    <w:rsid w:val="000470D3"/>
    <w:rsid w:val="0004727B"/>
    <w:rsid w:val="00047332"/>
    <w:rsid w:val="000473A4"/>
    <w:rsid w:val="00047648"/>
    <w:rsid w:val="0004764C"/>
    <w:rsid w:val="0004769F"/>
    <w:rsid w:val="0004773C"/>
    <w:rsid w:val="00047876"/>
    <w:rsid w:val="00047B8A"/>
    <w:rsid w:val="00047B8D"/>
    <w:rsid w:val="00047F6B"/>
    <w:rsid w:val="000500ED"/>
    <w:rsid w:val="0005027D"/>
    <w:rsid w:val="00050397"/>
    <w:rsid w:val="000503D8"/>
    <w:rsid w:val="00050936"/>
    <w:rsid w:val="00050A7F"/>
    <w:rsid w:val="00050A82"/>
    <w:rsid w:val="00050D7F"/>
    <w:rsid w:val="00051240"/>
    <w:rsid w:val="000512BC"/>
    <w:rsid w:val="00051489"/>
    <w:rsid w:val="0005160C"/>
    <w:rsid w:val="00051696"/>
    <w:rsid w:val="000518BB"/>
    <w:rsid w:val="00051939"/>
    <w:rsid w:val="00051A27"/>
    <w:rsid w:val="000520A4"/>
    <w:rsid w:val="00052115"/>
    <w:rsid w:val="00052158"/>
    <w:rsid w:val="00052192"/>
    <w:rsid w:val="00052312"/>
    <w:rsid w:val="000524DB"/>
    <w:rsid w:val="000525E1"/>
    <w:rsid w:val="0005271C"/>
    <w:rsid w:val="00052D10"/>
    <w:rsid w:val="00052EF8"/>
    <w:rsid w:val="00052F36"/>
    <w:rsid w:val="00053168"/>
    <w:rsid w:val="0005326C"/>
    <w:rsid w:val="000533C1"/>
    <w:rsid w:val="000533C8"/>
    <w:rsid w:val="00053421"/>
    <w:rsid w:val="000535A0"/>
    <w:rsid w:val="00053882"/>
    <w:rsid w:val="000538E5"/>
    <w:rsid w:val="00053ADE"/>
    <w:rsid w:val="00053C73"/>
    <w:rsid w:val="00053FE2"/>
    <w:rsid w:val="00054028"/>
    <w:rsid w:val="000541E3"/>
    <w:rsid w:val="0005425A"/>
    <w:rsid w:val="000545EB"/>
    <w:rsid w:val="000548EE"/>
    <w:rsid w:val="0005494A"/>
    <w:rsid w:val="00054BDA"/>
    <w:rsid w:val="00054D5D"/>
    <w:rsid w:val="00054FB7"/>
    <w:rsid w:val="00055103"/>
    <w:rsid w:val="0005534B"/>
    <w:rsid w:val="000553E4"/>
    <w:rsid w:val="00055507"/>
    <w:rsid w:val="00055691"/>
    <w:rsid w:val="00055825"/>
    <w:rsid w:val="000559A0"/>
    <w:rsid w:val="000559CF"/>
    <w:rsid w:val="00055A47"/>
    <w:rsid w:val="00055BAE"/>
    <w:rsid w:val="00055BDC"/>
    <w:rsid w:val="00055BE6"/>
    <w:rsid w:val="00055C13"/>
    <w:rsid w:val="00055C64"/>
    <w:rsid w:val="00055CDF"/>
    <w:rsid w:val="00055D2B"/>
    <w:rsid w:val="00055F15"/>
    <w:rsid w:val="00056021"/>
    <w:rsid w:val="00056286"/>
    <w:rsid w:val="000563BC"/>
    <w:rsid w:val="000564D9"/>
    <w:rsid w:val="000564F4"/>
    <w:rsid w:val="000566B6"/>
    <w:rsid w:val="000566E0"/>
    <w:rsid w:val="0005673E"/>
    <w:rsid w:val="000567C3"/>
    <w:rsid w:val="0005689F"/>
    <w:rsid w:val="00056957"/>
    <w:rsid w:val="00056A88"/>
    <w:rsid w:val="00056B54"/>
    <w:rsid w:val="00056BC0"/>
    <w:rsid w:val="00056D29"/>
    <w:rsid w:val="00056ED8"/>
    <w:rsid w:val="00056F20"/>
    <w:rsid w:val="00056FE4"/>
    <w:rsid w:val="0005712E"/>
    <w:rsid w:val="000573D5"/>
    <w:rsid w:val="000574FA"/>
    <w:rsid w:val="0005755F"/>
    <w:rsid w:val="00057599"/>
    <w:rsid w:val="0005768C"/>
    <w:rsid w:val="0005781F"/>
    <w:rsid w:val="00057871"/>
    <w:rsid w:val="0005787E"/>
    <w:rsid w:val="000578FA"/>
    <w:rsid w:val="00057A1C"/>
    <w:rsid w:val="00057B0D"/>
    <w:rsid w:val="00057BDE"/>
    <w:rsid w:val="00057D36"/>
    <w:rsid w:val="00057EE4"/>
    <w:rsid w:val="00060047"/>
    <w:rsid w:val="0006008D"/>
    <w:rsid w:val="00060203"/>
    <w:rsid w:val="0006026F"/>
    <w:rsid w:val="000602B1"/>
    <w:rsid w:val="00060342"/>
    <w:rsid w:val="00060480"/>
    <w:rsid w:val="0006055C"/>
    <w:rsid w:val="000606ED"/>
    <w:rsid w:val="00060730"/>
    <w:rsid w:val="000608AB"/>
    <w:rsid w:val="00060B82"/>
    <w:rsid w:val="00060B95"/>
    <w:rsid w:val="00060C2B"/>
    <w:rsid w:val="00060C37"/>
    <w:rsid w:val="00060CA1"/>
    <w:rsid w:val="00060CBE"/>
    <w:rsid w:val="0006103D"/>
    <w:rsid w:val="00061133"/>
    <w:rsid w:val="0006120C"/>
    <w:rsid w:val="00061299"/>
    <w:rsid w:val="0006154D"/>
    <w:rsid w:val="000615EB"/>
    <w:rsid w:val="000615FA"/>
    <w:rsid w:val="00061690"/>
    <w:rsid w:val="00061910"/>
    <w:rsid w:val="00061936"/>
    <w:rsid w:val="000619D6"/>
    <w:rsid w:val="000619FE"/>
    <w:rsid w:val="00061B16"/>
    <w:rsid w:val="00061B58"/>
    <w:rsid w:val="00061D59"/>
    <w:rsid w:val="00061E55"/>
    <w:rsid w:val="00061F57"/>
    <w:rsid w:val="00061F9D"/>
    <w:rsid w:val="00062033"/>
    <w:rsid w:val="0006211F"/>
    <w:rsid w:val="000623BE"/>
    <w:rsid w:val="0006256D"/>
    <w:rsid w:val="000625D3"/>
    <w:rsid w:val="00062813"/>
    <w:rsid w:val="00062B2C"/>
    <w:rsid w:val="00062BF5"/>
    <w:rsid w:val="00062C43"/>
    <w:rsid w:val="00062C6D"/>
    <w:rsid w:val="00062D25"/>
    <w:rsid w:val="00062D8B"/>
    <w:rsid w:val="00062DAA"/>
    <w:rsid w:val="00062F86"/>
    <w:rsid w:val="000631FA"/>
    <w:rsid w:val="00063262"/>
    <w:rsid w:val="000632D7"/>
    <w:rsid w:val="000632FC"/>
    <w:rsid w:val="0006345D"/>
    <w:rsid w:val="000636EB"/>
    <w:rsid w:val="00063722"/>
    <w:rsid w:val="00063811"/>
    <w:rsid w:val="00063A53"/>
    <w:rsid w:val="00063B99"/>
    <w:rsid w:val="00063ECA"/>
    <w:rsid w:val="00063ED6"/>
    <w:rsid w:val="00063F41"/>
    <w:rsid w:val="00064259"/>
    <w:rsid w:val="000642E2"/>
    <w:rsid w:val="00064302"/>
    <w:rsid w:val="0006443D"/>
    <w:rsid w:val="000648B1"/>
    <w:rsid w:val="000648F7"/>
    <w:rsid w:val="00064A07"/>
    <w:rsid w:val="00064B0F"/>
    <w:rsid w:val="00064CA5"/>
    <w:rsid w:val="00064CBA"/>
    <w:rsid w:val="00064D48"/>
    <w:rsid w:val="000655D6"/>
    <w:rsid w:val="0006578E"/>
    <w:rsid w:val="000657E7"/>
    <w:rsid w:val="00065835"/>
    <w:rsid w:val="00065A30"/>
    <w:rsid w:val="00066202"/>
    <w:rsid w:val="0006628B"/>
    <w:rsid w:val="000662B6"/>
    <w:rsid w:val="000662ED"/>
    <w:rsid w:val="0006633F"/>
    <w:rsid w:val="00066397"/>
    <w:rsid w:val="000665E9"/>
    <w:rsid w:val="000666E8"/>
    <w:rsid w:val="000666EF"/>
    <w:rsid w:val="00066882"/>
    <w:rsid w:val="00066AB3"/>
    <w:rsid w:val="00066AD9"/>
    <w:rsid w:val="00066B67"/>
    <w:rsid w:val="00066D26"/>
    <w:rsid w:val="00066EAF"/>
    <w:rsid w:val="0006705A"/>
    <w:rsid w:val="00067148"/>
    <w:rsid w:val="0006717D"/>
    <w:rsid w:val="000671D2"/>
    <w:rsid w:val="0006737F"/>
    <w:rsid w:val="0006772A"/>
    <w:rsid w:val="000678F3"/>
    <w:rsid w:val="000679A5"/>
    <w:rsid w:val="00067BB0"/>
    <w:rsid w:val="00067E61"/>
    <w:rsid w:val="00067EA6"/>
    <w:rsid w:val="00067F78"/>
    <w:rsid w:val="000702FB"/>
    <w:rsid w:val="000704D3"/>
    <w:rsid w:val="0007090A"/>
    <w:rsid w:val="00070E15"/>
    <w:rsid w:val="00070F30"/>
    <w:rsid w:val="000710E9"/>
    <w:rsid w:val="0007114F"/>
    <w:rsid w:val="000713FD"/>
    <w:rsid w:val="00071422"/>
    <w:rsid w:val="0007167E"/>
    <w:rsid w:val="00071696"/>
    <w:rsid w:val="00071BB8"/>
    <w:rsid w:val="00071C42"/>
    <w:rsid w:val="00071DBE"/>
    <w:rsid w:val="00071E4B"/>
    <w:rsid w:val="00071EFF"/>
    <w:rsid w:val="00071F21"/>
    <w:rsid w:val="00071F37"/>
    <w:rsid w:val="00071FF4"/>
    <w:rsid w:val="00072169"/>
    <w:rsid w:val="000721B1"/>
    <w:rsid w:val="000721E9"/>
    <w:rsid w:val="000724AC"/>
    <w:rsid w:val="000725D3"/>
    <w:rsid w:val="000725DF"/>
    <w:rsid w:val="000727BA"/>
    <w:rsid w:val="00072C11"/>
    <w:rsid w:val="00072E9A"/>
    <w:rsid w:val="00072F5B"/>
    <w:rsid w:val="00072F93"/>
    <w:rsid w:val="00073285"/>
    <w:rsid w:val="00073462"/>
    <w:rsid w:val="00073974"/>
    <w:rsid w:val="000739EB"/>
    <w:rsid w:val="00073A56"/>
    <w:rsid w:val="00073AEC"/>
    <w:rsid w:val="00073B17"/>
    <w:rsid w:val="00073B5D"/>
    <w:rsid w:val="00073C08"/>
    <w:rsid w:val="00073C65"/>
    <w:rsid w:val="00073D9A"/>
    <w:rsid w:val="00073DE8"/>
    <w:rsid w:val="00073DEF"/>
    <w:rsid w:val="00074050"/>
    <w:rsid w:val="00074219"/>
    <w:rsid w:val="0007423D"/>
    <w:rsid w:val="00074245"/>
    <w:rsid w:val="00074309"/>
    <w:rsid w:val="0007449B"/>
    <w:rsid w:val="00074915"/>
    <w:rsid w:val="00074C6A"/>
    <w:rsid w:val="00074EFD"/>
    <w:rsid w:val="00075063"/>
    <w:rsid w:val="0007516D"/>
    <w:rsid w:val="00075244"/>
    <w:rsid w:val="00075553"/>
    <w:rsid w:val="000755EF"/>
    <w:rsid w:val="00075962"/>
    <w:rsid w:val="00075BE6"/>
    <w:rsid w:val="00075DB1"/>
    <w:rsid w:val="00075ED9"/>
    <w:rsid w:val="00075FA7"/>
    <w:rsid w:val="0007600B"/>
    <w:rsid w:val="00076333"/>
    <w:rsid w:val="00076380"/>
    <w:rsid w:val="000764E4"/>
    <w:rsid w:val="0007651F"/>
    <w:rsid w:val="00076544"/>
    <w:rsid w:val="00076765"/>
    <w:rsid w:val="00076A3D"/>
    <w:rsid w:val="00076AAA"/>
    <w:rsid w:val="00076AD2"/>
    <w:rsid w:val="00076BC6"/>
    <w:rsid w:val="00076DB3"/>
    <w:rsid w:val="00076DC2"/>
    <w:rsid w:val="00076F1C"/>
    <w:rsid w:val="00076F3B"/>
    <w:rsid w:val="00076FD2"/>
    <w:rsid w:val="00077040"/>
    <w:rsid w:val="0007705A"/>
    <w:rsid w:val="0007709A"/>
    <w:rsid w:val="0007719A"/>
    <w:rsid w:val="000772D9"/>
    <w:rsid w:val="0007738E"/>
    <w:rsid w:val="000775E7"/>
    <w:rsid w:val="00077897"/>
    <w:rsid w:val="00077972"/>
    <w:rsid w:val="00077D2B"/>
    <w:rsid w:val="00077D32"/>
    <w:rsid w:val="00077E32"/>
    <w:rsid w:val="00077EDD"/>
    <w:rsid w:val="00080452"/>
    <w:rsid w:val="00080592"/>
    <w:rsid w:val="000805A0"/>
    <w:rsid w:val="00080712"/>
    <w:rsid w:val="000807D5"/>
    <w:rsid w:val="0008097B"/>
    <w:rsid w:val="00080A8D"/>
    <w:rsid w:val="00080E30"/>
    <w:rsid w:val="00080E65"/>
    <w:rsid w:val="00081227"/>
    <w:rsid w:val="000815E9"/>
    <w:rsid w:val="000818BA"/>
    <w:rsid w:val="0008194D"/>
    <w:rsid w:val="00081EA1"/>
    <w:rsid w:val="00082083"/>
    <w:rsid w:val="0008212B"/>
    <w:rsid w:val="00082238"/>
    <w:rsid w:val="000822EF"/>
    <w:rsid w:val="000823AE"/>
    <w:rsid w:val="00082434"/>
    <w:rsid w:val="000826D0"/>
    <w:rsid w:val="00082A0D"/>
    <w:rsid w:val="00082A60"/>
    <w:rsid w:val="00082A9D"/>
    <w:rsid w:val="00082AF1"/>
    <w:rsid w:val="00082C2E"/>
    <w:rsid w:val="00082C63"/>
    <w:rsid w:val="00082CF9"/>
    <w:rsid w:val="00083233"/>
    <w:rsid w:val="0008327A"/>
    <w:rsid w:val="00083288"/>
    <w:rsid w:val="00083293"/>
    <w:rsid w:val="00083334"/>
    <w:rsid w:val="0008350E"/>
    <w:rsid w:val="00083540"/>
    <w:rsid w:val="0008358B"/>
    <w:rsid w:val="0008373E"/>
    <w:rsid w:val="000837EC"/>
    <w:rsid w:val="00083917"/>
    <w:rsid w:val="00083932"/>
    <w:rsid w:val="00083CE5"/>
    <w:rsid w:val="00083D1E"/>
    <w:rsid w:val="00083D42"/>
    <w:rsid w:val="00083D74"/>
    <w:rsid w:val="00083D76"/>
    <w:rsid w:val="00083F19"/>
    <w:rsid w:val="00083FDC"/>
    <w:rsid w:val="000840B1"/>
    <w:rsid w:val="00084330"/>
    <w:rsid w:val="0008457D"/>
    <w:rsid w:val="00084650"/>
    <w:rsid w:val="00084683"/>
    <w:rsid w:val="00084885"/>
    <w:rsid w:val="0008492F"/>
    <w:rsid w:val="00084AB6"/>
    <w:rsid w:val="00084B65"/>
    <w:rsid w:val="00084BF7"/>
    <w:rsid w:val="00084FF4"/>
    <w:rsid w:val="000852FC"/>
    <w:rsid w:val="0008550C"/>
    <w:rsid w:val="0008559D"/>
    <w:rsid w:val="00085715"/>
    <w:rsid w:val="00085A31"/>
    <w:rsid w:val="00085DAA"/>
    <w:rsid w:val="00085EFB"/>
    <w:rsid w:val="00085FB0"/>
    <w:rsid w:val="00085FE3"/>
    <w:rsid w:val="00086026"/>
    <w:rsid w:val="00086257"/>
    <w:rsid w:val="00086340"/>
    <w:rsid w:val="000865AF"/>
    <w:rsid w:val="0008665D"/>
    <w:rsid w:val="0008680B"/>
    <w:rsid w:val="00086BEC"/>
    <w:rsid w:val="00086D53"/>
    <w:rsid w:val="00087355"/>
    <w:rsid w:val="000873DC"/>
    <w:rsid w:val="000874DA"/>
    <w:rsid w:val="00087551"/>
    <w:rsid w:val="000875C5"/>
    <w:rsid w:val="0008763D"/>
    <w:rsid w:val="0008771A"/>
    <w:rsid w:val="00087772"/>
    <w:rsid w:val="0008783F"/>
    <w:rsid w:val="0008788A"/>
    <w:rsid w:val="0008794B"/>
    <w:rsid w:val="000879A8"/>
    <w:rsid w:val="00087A3B"/>
    <w:rsid w:val="00087AF8"/>
    <w:rsid w:val="00087B00"/>
    <w:rsid w:val="00087B4D"/>
    <w:rsid w:val="00087BB5"/>
    <w:rsid w:val="00090157"/>
    <w:rsid w:val="000902C2"/>
    <w:rsid w:val="00090746"/>
    <w:rsid w:val="000907AA"/>
    <w:rsid w:val="000908C7"/>
    <w:rsid w:val="00090A8E"/>
    <w:rsid w:val="00090BF6"/>
    <w:rsid w:val="00090C82"/>
    <w:rsid w:val="00090CA4"/>
    <w:rsid w:val="00090D3A"/>
    <w:rsid w:val="00090E2B"/>
    <w:rsid w:val="00090F86"/>
    <w:rsid w:val="0009108C"/>
    <w:rsid w:val="00091467"/>
    <w:rsid w:val="000914C8"/>
    <w:rsid w:val="000915C1"/>
    <w:rsid w:val="000916B3"/>
    <w:rsid w:val="0009181F"/>
    <w:rsid w:val="000919E0"/>
    <w:rsid w:val="00091D6F"/>
    <w:rsid w:val="00091E30"/>
    <w:rsid w:val="00091EF0"/>
    <w:rsid w:val="00092011"/>
    <w:rsid w:val="00092171"/>
    <w:rsid w:val="0009230F"/>
    <w:rsid w:val="00092438"/>
    <w:rsid w:val="000924FD"/>
    <w:rsid w:val="00092598"/>
    <w:rsid w:val="0009263B"/>
    <w:rsid w:val="0009265C"/>
    <w:rsid w:val="00092973"/>
    <w:rsid w:val="00092A2B"/>
    <w:rsid w:val="00092BA3"/>
    <w:rsid w:val="00092EAF"/>
    <w:rsid w:val="0009301D"/>
    <w:rsid w:val="0009304F"/>
    <w:rsid w:val="00093125"/>
    <w:rsid w:val="00093134"/>
    <w:rsid w:val="0009322D"/>
    <w:rsid w:val="00093309"/>
    <w:rsid w:val="00093463"/>
    <w:rsid w:val="00093599"/>
    <w:rsid w:val="000936BB"/>
    <w:rsid w:val="00093764"/>
    <w:rsid w:val="000937A6"/>
    <w:rsid w:val="000939C8"/>
    <w:rsid w:val="000939F7"/>
    <w:rsid w:val="00093F2C"/>
    <w:rsid w:val="000943A3"/>
    <w:rsid w:val="000943C1"/>
    <w:rsid w:val="000944AC"/>
    <w:rsid w:val="00094527"/>
    <w:rsid w:val="00094569"/>
    <w:rsid w:val="000946B3"/>
    <w:rsid w:val="00094725"/>
    <w:rsid w:val="000947BC"/>
    <w:rsid w:val="00094882"/>
    <w:rsid w:val="000948D7"/>
    <w:rsid w:val="00094979"/>
    <w:rsid w:val="0009499A"/>
    <w:rsid w:val="00094A66"/>
    <w:rsid w:val="00094AEC"/>
    <w:rsid w:val="00094C6C"/>
    <w:rsid w:val="00094D5F"/>
    <w:rsid w:val="00094DE0"/>
    <w:rsid w:val="00094E79"/>
    <w:rsid w:val="00094F37"/>
    <w:rsid w:val="00094FD4"/>
    <w:rsid w:val="00095023"/>
    <w:rsid w:val="000950EF"/>
    <w:rsid w:val="00095101"/>
    <w:rsid w:val="00095118"/>
    <w:rsid w:val="000955EF"/>
    <w:rsid w:val="000956B1"/>
    <w:rsid w:val="00095BAE"/>
    <w:rsid w:val="00095C62"/>
    <w:rsid w:val="00095C65"/>
    <w:rsid w:val="00095C88"/>
    <w:rsid w:val="00095C9A"/>
    <w:rsid w:val="00095FAA"/>
    <w:rsid w:val="00096001"/>
    <w:rsid w:val="00096030"/>
    <w:rsid w:val="000961DC"/>
    <w:rsid w:val="00096228"/>
    <w:rsid w:val="000964C3"/>
    <w:rsid w:val="000965D0"/>
    <w:rsid w:val="0009664B"/>
    <w:rsid w:val="0009664C"/>
    <w:rsid w:val="000967AF"/>
    <w:rsid w:val="0009697F"/>
    <w:rsid w:val="00096A9C"/>
    <w:rsid w:val="00096AAC"/>
    <w:rsid w:val="00096B74"/>
    <w:rsid w:val="00096C52"/>
    <w:rsid w:val="00096C5C"/>
    <w:rsid w:val="00096DB9"/>
    <w:rsid w:val="00096EDF"/>
    <w:rsid w:val="00096EFB"/>
    <w:rsid w:val="00096F2A"/>
    <w:rsid w:val="0009728E"/>
    <w:rsid w:val="0009761D"/>
    <w:rsid w:val="0009768D"/>
    <w:rsid w:val="0009789A"/>
    <w:rsid w:val="000978DD"/>
    <w:rsid w:val="00097B25"/>
    <w:rsid w:val="00097B28"/>
    <w:rsid w:val="00097B5C"/>
    <w:rsid w:val="00097C4D"/>
    <w:rsid w:val="00097DAA"/>
    <w:rsid w:val="00097F9A"/>
    <w:rsid w:val="00097FF6"/>
    <w:rsid w:val="000A0493"/>
    <w:rsid w:val="000A04CE"/>
    <w:rsid w:val="000A052A"/>
    <w:rsid w:val="000A0580"/>
    <w:rsid w:val="000A0642"/>
    <w:rsid w:val="000A0774"/>
    <w:rsid w:val="000A0950"/>
    <w:rsid w:val="000A0AF9"/>
    <w:rsid w:val="000A0BE8"/>
    <w:rsid w:val="000A0D4C"/>
    <w:rsid w:val="000A0DAA"/>
    <w:rsid w:val="000A0DB7"/>
    <w:rsid w:val="000A0FA7"/>
    <w:rsid w:val="000A11FB"/>
    <w:rsid w:val="000A1366"/>
    <w:rsid w:val="000A1384"/>
    <w:rsid w:val="000A141C"/>
    <w:rsid w:val="000A1467"/>
    <w:rsid w:val="000A1938"/>
    <w:rsid w:val="000A1A2D"/>
    <w:rsid w:val="000A1AE1"/>
    <w:rsid w:val="000A1E69"/>
    <w:rsid w:val="000A2047"/>
    <w:rsid w:val="000A204E"/>
    <w:rsid w:val="000A2087"/>
    <w:rsid w:val="000A22F1"/>
    <w:rsid w:val="000A24FC"/>
    <w:rsid w:val="000A273A"/>
    <w:rsid w:val="000A2981"/>
    <w:rsid w:val="000A2DEC"/>
    <w:rsid w:val="000A2FF8"/>
    <w:rsid w:val="000A30E0"/>
    <w:rsid w:val="000A3138"/>
    <w:rsid w:val="000A316F"/>
    <w:rsid w:val="000A3193"/>
    <w:rsid w:val="000A332F"/>
    <w:rsid w:val="000A33FE"/>
    <w:rsid w:val="000A35DC"/>
    <w:rsid w:val="000A3938"/>
    <w:rsid w:val="000A3B19"/>
    <w:rsid w:val="000A3C5C"/>
    <w:rsid w:val="000A3C8C"/>
    <w:rsid w:val="000A3FB3"/>
    <w:rsid w:val="000A3FC5"/>
    <w:rsid w:val="000A3FDF"/>
    <w:rsid w:val="000A4118"/>
    <w:rsid w:val="000A4273"/>
    <w:rsid w:val="000A4313"/>
    <w:rsid w:val="000A4318"/>
    <w:rsid w:val="000A444D"/>
    <w:rsid w:val="000A44A9"/>
    <w:rsid w:val="000A451E"/>
    <w:rsid w:val="000A45B8"/>
    <w:rsid w:val="000A478E"/>
    <w:rsid w:val="000A4798"/>
    <w:rsid w:val="000A4A67"/>
    <w:rsid w:val="000A4AE6"/>
    <w:rsid w:val="000A4B1C"/>
    <w:rsid w:val="000A4C54"/>
    <w:rsid w:val="000A4CF2"/>
    <w:rsid w:val="000A4DEE"/>
    <w:rsid w:val="000A4F1C"/>
    <w:rsid w:val="000A5214"/>
    <w:rsid w:val="000A536B"/>
    <w:rsid w:val="000A53C3"/>
    <w:rsid w:val="000A53FE"/>
    <w:rsid w:val="000A5480"/>
    <w:rsid w:val="000A57BA"/>
    <w:rsid w:val="000A5A3A"/>
    <w:rsid w:val="000A5A6A"/>
    <w:rsid w:val="000A5B44"/>
    <w:rsid w:val="000A5C23"/>
    <w:rsid w:val="000A5EB9"/>
    <w:rsid w:val="000A606C"/>
    <w:rsid w:val="000A6269"/>
    <w:rsid w:val="000A6273"/>
    <w:rsid w:val="000A63C1"/>
    <w:rsid w:val="000A65F8"/>
    <w:rsid w:val="000A674A"/>
    <w:rsid w:val="000A6895"/>
    <w:rsid w:val="000A6985"/>
    <w:rsid w:val="000A6F5A"/>
    <w:rsid w:val="000A7089"/>
    <w:rsid w:val="000A7180"/>
    <w:rsid w:val="000A71DC"/>
    <w:rsid w:val="000A7288"/>
    <w:rsid w:val="000A730D"/>
    <w:rsid w:val="000A7523"/>
    <w:rsid w:val="000A7538"/>
    <w:rsid w:val="000A7590"/>
    <w:rsid w:val="000A75CA"/>
    <w:rsid w:val="000A78E1"/>
    <w:rsid w:val="000A7978"/>
    <w:rsid w:val="000A79F6"/>
    <w:rsid w:val="000A7ABE"/>
    <w:rsid w:val="000A7CB2"/>
    <w:rsid w:val="000A7CBC"/>
    <w:rsid w:val="000A7D59"/>
    <w:rsid w:val="000A7DA0"/>
    <w:rsid w:val="000A7EDC"/>
    <w:rsid w:val="000B0010"/>
    <w:rsid w:val="000B0018"/>
    <w:rsid w:val="000B0066"/>
    <w:rsid w:val="000B00A2"/>
    <w:rsid w:val="000B0187"/>
    <w:rsid w:val="000B01FA"/>
    <w:rsid w:val="000B0227"/>
    <w:rsid w:val="000B0379"/>
    <w:rsid w:val="000B03A7"/>
    <w:rsid w:val="000B03EF"/>
    <w:rsid w:val="000B0514"/>
    <w:rsid w:val="000B056B"/>
    <w:rsid w:val="000B0628"/>
    <w:rsid w:val="000B0872"/>
    <w:rsid w:val="000B0C31"/>
    <w:rsid w:val="000B0C79"/>
    <w:rsid w:val="000B0D79"/>
    <w:rsid w:val="000B0E04"/>
    <w:rsid w:val="000B0EBB"/>
    <w:rsid w:val="000B1037"/>
    <w:rsid w:val="000B12C2"/>
    <w:rsid w:val="000B147B"/>
    <w:rsid w:val="000B155C"/>
    <w:rsid w:val="000B17F4"/>
    <w:rsid w:val="000B1812"/>
    <w:rsid w:val="000B199B"/>
    <w:rsid w:val="000B1B67"/>
    <w:rsid w:val="000B20AE"/>
    <w:rsid w:val="000B2194"/>
    <w:rsid w:val="000B24A7"/>
    <w:rsid w:val="000B25C5"/>
    <w:rsid w:val="000B25FF"/>
    <w:rsid w:val="000B26CD"/>
    <w:rsid w:val="000B275F"/>
    <w:rsid w:val="000B27BC"/>
    <w:rsid w:val="000B27BF"/>
    <w:rsid w:val="000B27DB"/>
    <w:rsid w:val="000B280D"/>
    <w:rsid w:val="000B280E"/>
    <w:rsid w:val="000B29AE"/>
    <w:rsid w:val="000B2A1E"/>
    <w:rsid w:val="000B2D3C"/>
    <w:rsid w:val="000B2D95"/>
    <w:rsid w:val="000B2EB1"/>
    <w:rsid w:val="000B2F1A"/>
    <w:rsid w:val="000B3123"/>
    <w:rsid w:val="000B329E"/>
    <w:rsid w:val="000B337F"/>
    <w:rsid w:val="000B3566"/>
    <w:rsid w:val="000B3801"/>
    <w:rsid w:val="000B3890"/>
    <w:rsid w:val="000B3952"/>
    <w:rsid w:val="000B3BCB"/>
    <w:rsid w:val="000B3EEE"/>
    <w:rsid w:val="000B3F20"/>
    <w:rsid w:val="000B3F36"/>
    <w:rsid w:val="000B3FBF"/>
    <w:rsid w:val="000B409E"/>
    <w:rsid w:val="000B416C"/>
    <w:rsid w:val="000B4248"/>
    <w:rsid w:val="000B42BF"/>
    <w:rsid w:val="000B488A"/>
    <w:rsid w:val="000B48EE"/>
    <w:rsid w:val="000B48EF"/>
    <w:rsid w:val="000B4997"/>
    <w:rsid w:val="000B4B5B"/>
    <w:rsid w:val="000B4D71"/>
    <w:rsid w:val="000B4ED4"/>
    <w:rsid w:val="000B501F"/>
    <w:rsid w:val="000B5338"/>
    <w:rsid w:val="000B5356"/>
    <w:rsid w:val="000B54A1"/>
    <w:rsid w:val="000B55F8"/>
    <w:rsid w:val="000B57DE"/>
    <w:rsid w:val="000B5A28"/>
    <w:rsid w:val="000B5B09"/>
    <w:rsid w:val="000B5C9B"/>
    <w:rsid w:val="000B5D2C"/>
    <w:rsid w:val="000B5E0D"/>
    <w:rsid w:val="000B5F83"/>
    <w:rsid w:val="000B619A"/>
    <w:rsid w:val="000B630F"/>
    <w:rsid w:val="000B6350"/>
    <w:rsid w:val="000B63AE"/>
    <w:rsid w:val="000B6585"/>
    <w:rsid w:val="000B65D2"/>
    <w:rsid w:val="000B6683"/>
    <w:rsid w:val="000B6982"/>
    <w:rsid w:val="000B69CB"/>
    <w:rsid w:val="000B6A09"/>
    <w:rsid w:val="000B6A66"/>
    <w:rsid w:val="000B6DC4"/>
    <w:rsid w:val="000B6E08"/>
    <w:rsid w:val="000B6E8C"/>
    <w:rsid w:val="000B72DD"/>
    <w:rsid w:val="000B733D"/>
    <w:rsid w:val="000B7350"/>
    <w:rsid w:val="000B7402"/>
    <w:rsid w:val="000B7426"/>
    <w:rsid w:val="000B751B"/>
    <w:rsid w:val="000B763C"/>
    <w:rsid w:val="000B76F5"/>
    <w:rsid w:val="000B78AB"/>
    <w:rsid w:val="000B78D9"/>
    <w:rsid w:val="000B7AEE"/>
    <w:rsid w:val="000B7C45"/>
    <w:rsid w:val="000B7F63"/>
    <w:rsid w:val="000C0015"/>
    <w:rsid w:val="000C0062"/>
    <w:rsid w:val="000C02A4"/>
    <w:rsid w:val="000C0426"/>
    <w:rsid w:val="000C07D3"/>
    <w:rsid w:val="000C07F3"/>
    <w:rsid w:val="000C081A"/>
    <w:rsid w:val="000C09DA"/>
    <w:rsid w:val="000C0A71"/>
    <w:rsid w:val="000C0AA1"/>
    <w:rsid w:val="000C0B24"/>
    <w:rsid w:val="000C0C0B"/>
    <w:rsid w:val="000C0ED2"/>
    <w:rsid w:val="000C0EF6"/>
    <w:rsid w:val="000C107C"/>
    <w:rsid w:val="000C15A9"/>
    <w:rsid w:val="000C1793"/>
    <w:rsid w:val="000C1944"/>
    <w:rsid w:val="000C1A3B"/>
    <w:rsid w:val="000C1B2D"/>
    <w:rsid w:val="000C1B34"/>
    <w:rsid w:val="000C1BF7"/>
    <w:rsid w:val="000C1D5E"/>
    <w:rsid w:val="000C1F2F"/>
    <w:rsid w:val="000C22BE"/>
    <w:rsid w:val="000C23C4"/>
    <w:rsid w:val="000C2411"/>
    <w:rsid w:val="000C28B1"/>
    <w:rsid w:val="000C29BE"/>
    <w:rsid w:val="000C29EB"/>
    <w:rsid w:val="000C2B6D"/>
    <w:rsid w:val="000C2C99"/>
    <w:rsid w:val="000C3038"/>
    <w:rsid w:val="000C3039"/>
    <w:rsid w:val="000C3160"/>
    <w:rsid w:val="000C3254"/>
    <w:rsid w:val="000C32FD"/>
    <w:rsid w:val="000C33E9"/>
    <w:rsid w:val="000C34ED"/>
    <w:rsid w:val="000C3584"/>
    <w:rsid w:val="000C3755"/>
    <w:rsid w:val="000C37DC"/>
    <w:rsid w:val="000C3A34"/>
    <w:rsid w:val="000C3BDC"/>
    <w:rsid w:val="000C3C86"/>
    <w:rsid w:val="000C3EFA"/>
    <w:rsid w:val="000C3F8B"/>
    <w:rsid w:val="000C4005"/>
    <w:rsid w:val="000C40C7"/>
    <w:rsid w:val="000C410A"/>
    <w:rsid w:val="000C4257"/>
    <w:rsid w:val="000C425F"/>
    <w:rsid w:val="000C456F"/>
    <w:rsid w:val="000C45D7"/>
    <w:rsid w:val="000C493C"/>
    <w:rsid w:val="000C499D"/>
    <w:rsid w:val="000C4E52"/>
    <w:rsid w:val="000C520C"/>
    <w:rsid w:val="000C525B"/>
    <w:rsid w:val="000C525E"/>
    <w:rsid w:val="000C585A"/>
    <w:rsid w:val="000C5978"/>
    <w:rsid w:val="000C5AF6"/>
    <w:rsid w:val="000C5B38"/>
    <w:rsid w:val="000C5B7F"/>
    <w:rsid w:val="000C5F15"/>
    <w:rsid w:val="000C5F92"/>
    <w:rsid w:val="000C64A0"/>
    <w:rsid w:val="000C64C7"/>
    <w:rsid w:val="000C658C"/>
    <w:rsid w:val="000C660C"/>
    <w:rsid w:val="000C6734"/>
    <w:rsid w:val="000C6B75"/>
    <w:rsid w:val="000C6BCF"/>
    <w:rsid w:val="000C6E77"/>
    <w:rsid w:val="000C6EB7"/>
    <w:rsid w:val="000C6F35"/>
    <w:rsid w:val="000C6FC5"/>
    <w:rsid w:val="000C7017"/>
    <w:rsid w:val="000C70AB"/>
    <w:rsid w:val="000C70D9"/>
    <w:rsid w:val="000C72EE"/>
    <w:rsid w:val="000C7454"/>
    <w:rsid w:val="000C751E"/>
    <w:rsid w:val="000C7661"/>
    <w:rsid w:val="000C76CC"/>
    <w:rsid w:val="000C7923"/>
    <w:rsid w:val="000C7C80"/>
    <w:rsid w:val="000C7CB6"/>
    <w:rsid w:val="000C7EFB"/>
    <w:rsid w:val="000C7F3B"/>
    <w:rsid w:val="000C7FAF"/>
    <w:rsid w:val="000C7FDE"/>
    <w:rsid w:val="000C8539"/>
    <w:rsid w:val="000D000C"/>
    <w:rsid w:val="000D007A"/>
    <w:rsid w:val="000D014B"/>
    <w:rsid w:val="000D0832"/>
    <w:rsid w:val="000D093A"/>
    <w:rsid w:val="000D0C6C"/>
    <w:rsid w:val="000D0CDE"/>
    <w:rsid w:val="000D0D14"/>
    <w:rsid w:val="000D0D2A"/>
    <w:rsid w:val="000D0DEB"/>
    <w:rsid w:val="000D0E93"/>
    <w:rsid w:val="000D0F88"/>
    <w:rsid w:val="000D1302"/>
    <w:rsid w:val="000D14A8"/>
    <w:rsid w:val="000D14CB"/>
    <w:rsid w:val="000D15B7"/>
    <w:rsid w:val="000D1812"/>
    <w:rsid w:val="000D1834"/>
    <w:rsid w:val="000D19C4"/>
    <w:rsid w:val="000D1AEE"/>
    <w:rsid w:val="000D1C7E"/>
    <w:rsid w:val="000D1C8A"/>
    <w:rsid w:val="000D1CC5"/>
    <w:rsid w:val="000D20A8"/>
    <w:rsid w:val="000D2157"/>
    <w:rsid w:val="000D2332"/>
    <w:rsid w:val="000D26EA"/>
    <w:rsid w:val="000D2757"/>
    <w:rsid w:val="000D28E2"/>
    <w:rsid w:val="000D2A83"/>
    <w:rsid w:val="000D2B4B"/>
    <w:rsid w:val="000D2B64"/>
    <w:rsid w:val="000D2C48"/>
    <w:rsid w:val="000D2F10"/>
    <w:rsid w:val="000D3068"/>
    <w:rsid w:val="000D3559"/>
    <w:rsid w:val="000D35A8"/>
    <w:rsid w:val="000D35CA"/>
    <w:rsid w:val="000D36BB"/>
    <w:rsid w:val="000D36F3"/>
    <w:rsid w:val="000D3742"/>
    <w:rsid w:val="000D388F"/>
    <w:rsid w:val="000D3893"/>
    <w:rsid w:val="000D394C"/>
    <w:rsid w:val="000D3CAC"/>
    <w:rsid w:val="000D3EC2"/>
    <w:rsid w:val="000D3F19"/>
    <w:rsid w:val="000D4387"/>
    <w:rsid w:val="000D4806"/>
    <w:rsid w:val="000D4822"/>
    <w:rsid w:val="000D4937"/>
    <w:rsid w:val="000D4A25"/>
    <w:rsid w:val="000D4A2B"/>
    <w:rsid w:val="000D4BDC"/>
    <w:rsid w:val="000D4EA3"/>
    <w:rsid w:val="000D5036"/>
    <w:rsid w:val="000D5044"/>
    <w:rsid w:val="000D5207"/>
    <w:rsid w:val="000D52E9"/>
    <w:rsid w:val="000D58CF"/>
    <w:rsid w:val="000D5BED"/>
    <w:rsid w:val="000D5C24"/>
    <w:rsid w:val="000D5EFD"/>
    <w:rsid w:val="000D5F2F"/>
    <w:rsid w:val="000D605B"/>
    <w:rsid w:val="000D60A4"/>
    <w:rsid w:val="000D6441"/>
    <w:rsid w:val="000D645F"/>
    <w:rsid w:val="000D6529"/>
    <w:rsid w:val="000D654A"/>
    <w:rsid w:val="000D66C9"/>
    <w:rsid w:val="000D6860"/>
    <w:rsid w:val="000D698E"/>
    <w:rsid w:val="000D69AA"/>
    <w:rsid w:val="000D69C9"/>
    <w:rsid w:val="000D6A48"/>
    <w:rsid w:val="000D6EED"/>
    <w:rsid w:val="000D7045"/>
    <w:rsid w:val="000D7237"/>
    <w:rsid w:val="000D725B"/>
    <w:rsid w:val="000D7457"/>
    <w:rsid w:val="000D7587"/>
    <w:rsid w:val="000D78A6"/>
    <w:rsid w:val="000D7911"/>
    <w:rsid w:val="000D79E8"/>
    <w:rsid w:val="000D7BA0"/>
    <w:rsid w:val="000D7BBB"/>
    <w:rsid w:val="000D7C07"/>
    <w:rsid w:val="000D7C64"/>
    <w:rsid w:val="000D7C7B"/>
    <w:rsid w:val="000D7C9E"/>
    <w:rsid w:val="000D7EC2"/>
    <w:rsid w:val="000D7ED0"/>
    <w:rsid w:val="000E008A"/>
    <w:rsid w:val="000E022E"/>
    <w:rsid w:val="000E042E"/>
    <w:rsid w:val="000E0499"/>
    <w:rsid w:val="000E04E9"/>
    <w:rsid w:val="000E0507"/>
    <w:rsid w:val="000E0534"/>
    <w:rsid w:val="000E076D"/>
    <w:rsid w:val="000E0A04"/>
    <w:rsid w:val="000E0A4A"/>
    <w:rsid w:val="000E0E00"/>
    <w:rsid w:val="000E0E04"/>
    <w:rsid w:val="000E0E85"/>
    <w:rsid w:val="000E0EAC"/>
    <w:rsid w:val="000E10B2"/>
    <w:rsid w:val="000E10DE"/>
    <w:rsid w:val="000E138E"/>
    <w:rsid w:val="000E15E4"/>
    <w:rsid w:val="000E1682"/>
    <w:rsid w:val="000E17F2"/>
    <w:rsid w:val="000E1C88"/>
    <w:rsid w:val="000E1D32"/>
    <w:rsid w:val="000E1EB5"/>
    <w:rsid w:val="000E1EF1"/>
    <w:rsid w:val="000E1F9C"/>
    <w:rsid w:val="000E20D7"/>
    <w:rsid w:val="000E223E"/>
    <w:rsid w:val="000E239E"/>
    <w:rsid w:val="000E248F"/>
    <w:rsid w:val="000E2505"/>
    <w:rsid w:val="000E2543"/>
    <w:rsid w:val="000E260F"/>
    <w:rsid w:val="000E26CE"/>
    <w:rsid w:val="000E2791"/>
    <w:rsid w:val="000E280D"/>
    <w:rsid w:val="000E285D"/>
    <w:rsid w:val="000E29AC"/>
    <w:rsid w:val="000E29FE"/>
    <w:rsid w:val="000E2A42"/>
    <w:rsid w:val="000E2B05"/>
    <w:rsid w:val="000E2CD5"/>
    <w:rsid w:val="000E2DF1"/>
    <w:rsid w:val="000E3134"/>
    <w:rsid w:val="000E3212"/>
    <w:rsid w:val="000E323B"/>
    <w:rsid w:val="000E32A1"/>
    <w:rsid w:val="000E3317"/>
    <w:rsid w:val="000E33FA"/>
    <w:rsid w:val="000E3561"/>
    <w:rsid w:val="000E356D"/>
    <w:rsid w:val="000E36FB"/>
    <w:rsid w:val="000E370C"/>
    <w:rsid w:val="000E3764"/>
    <w:rsid w:val="000E38D7"/>
    <w:rsid w:val="000E397A"/>
    <w:rsid w:val="000E3A63"/>
    <w:rsid w:val="000E3CED"/>
    <w:rsid w:val="000E3E4A"/>
    <w:rsid w:val="000E3E61"/>
    <w:rsid w:val="000E40E4"/>
    <w:rsid w:val="000E4150"/>
    <w:rsid w:val="000E41AE"/>
    <w:rsid w:val="000E449B"/>
    <w:rsid w:val="000E45F9"/>
    <w:rsid w:val="000E4626"/>
    <w:rsid w:val="000E476F"/>
    <w:rsid w:val="000E47D2"/>
    <w:rsid w:val="000E48EB"/>
    <w:rsid w:val="000E4991"/>
    <w:rsid w:val="000E4AAE"/>
    <w:rsid w:val="000E4B7A"/>
    <w:rsid w:val="000E4B9F"/>
    <w:rsid w:val="000E4C4E"/>
    <w:rsid w:val="000E4CCE"/>
    <w:rsid w:val="000E50F5"/>
    <w:rsid w:val="000E51C8"/>
    <w:rsid w:val="000E549F"/>
    <w:rsid w:val="000E54CB"/>
    <w:rsid w:val="000E54E8"/>
    <w:rsid w:val="000E5534"/>
    <w:rsid w:val="000E5670"/>
    <w:rsid w:val="000E572C"/>
    <w:rsid w:val="000E59B1"/>
    <w:rsid w:val="000E5A26"/>
    <w:rsid w:val="000E5D33"/>
    <w:rsid w:val="000E5D39"/>
    <w:rsid w:val="000E5D74"/>
    <w:rsid w:val="000E5E93"/>
    <w:rsid w:val="000E63F0"/>
    <w:rsid w:val="000E657E"/>
    <w:rsid w:val="000E65FB"/>
    <w:rsid w:val="000E669D"/>
    <w:rsid w:val="000E6940"/>
    <w:rsid w:val="000E6944"/>
    <w:rsid w:val="000E6BF5"/>
    <w:rsid w:val="000E6CAD"/>
    <w:rsid w:val="000E6E61"/>
    <w:rsid w:val="000E6F89"/>
    <w:rsid w:val="000E714E"/>
    <w:rsid w:val="000E715D"/>
    <w:rsid w:val="000E71EB"/>
    <w:rsid w:val="000E72A3"/>
    <w:rsid w:val="000E738E"/>
    <w:rsid w:val="000E73AC"/>
    <w:rsid w:val="000E7676"/>
    <w:rsid w:val="000E788A"/>
    <w:rsid w:val="000E7A7C"/>
    <w:rsid w:val="000E7B70"/>
    <w:rsid w:val="000E7BFC"/>
    <w:rsid w:val="000E7CB6"/>
    <w:rsid w:val="000E7D8F"/>
    <w:rsid w:val="000E7E7D"/>
    <w:rsid w:val="000E7EE9"/>
    <w:rsid w:val="000F00CD"/>
    <w:rsid w:val="000F0458"/>
    <w:rsid w:val="000F04C3"/>
    <w:rsid w:val="000F04EE"/>
    <w:rsid w:val="000F079E"/>
    <w:rsid w:val="000F08CE"/>
    <w:rsid w:val="000F09DD"/>
    <w:rsid w:val="000F09DE"/>
    <w:rsid w:val="000F0BBC"/>
    <w:rsid w:val="000F0CF5"/>
    <w:rsid w:val="000F0D2E"/>
    <w:rsid w:val="000F0E84"/>
    <w:rsid w:val="000F1202"/>
    <w:rsid w:val="000F1364"/>
    <w:rsid w:val="000F140A"/>
    <w:rsid w:val="000F1528"/>
    <w:rsid w:val="000F169C"/>
    <w:rsid w:val="000F1856"/>
    <w:rsid w:val="000F1AE0"/>
    <w:rsid w:val="000F1D99"/>
    <w:rsid w:val="000F1E24"/>
    <w:rsid w:val="000F1E3F"/>
    <w:rsid w:val="000F1FC7"/>
    <w:rsid w:val="000F2140"/>
    <w:rsid w:val="000F23B8"/>
    <w:rsid w:val="000F2578"/>
    <w:rsid w:val="000F26E9"/>
    <w:rsid w:val="000F2BC3"/>
    <w:rsid w:val="000F2DDF"/>
    <w:rsid w:val="000F30EF"/>
    <w:rsid w:val="000F317A"/>
    <w:rsid w:val="000F3260"/>
    <w:rsid w:val="000F3292"/>
    <w:rsid w:val="000F32C6"/>
    <w:rsid w:val="000F346C"/>
    <w:rsid w:val="000F35B0"/>
    <w:rsid w:val="000F38B4"/>
    <w:rsid w:val="000F390C"/>
    <w:rsid w:val="000F391A"/>
    <w:rsid w:val="000F3B78"/>
    <w:rsid w:val="000F3BDA"/>
    <w:rsid w:val="000F3C0E"/>
    <w:rsid w:val="000F3DB6"/>
    <w:rsid w:val="000F3E27"/>
    <w:rsid w:val="000F3F0D"/>
    <w:rsid w:val="000F4017"/>
    <w:rsid w:val="000F40AD"/>
    <w:rsid w:val="000F4170"/>
    <w:rsid w:val="000F43DC"/>
    <w:rsid w:val="000F4439"/>
    <w:rsid w:val="000F44BB"/>
    <w:rsid w:val="000F45B8"/>
    <w:rsid w:val="000F470F"/>
    <w:rsid w:val="000F4764"/>
    <w:rsid w:val="000F4969"/>
    <w:rsid w:val="000F49F1"/>
    <w:rsid w:val="000F4B46"/>
    <w:rsid w:val="000F4C3C"/>
    <w:rsid w:val="000F4C91"/>
    <w:rsid w:val="000F4D36"/>
    <w:rsid w:val="000F4E4C"/>
    <w:rsid w:val="000F5076"/>
    <w:rsid w:val="000F54E6"/>
    <w:rsid w:val="000F5534"/>
    <w:rsid w:val="000F5558"/>
    <w:rsid w:val="000F56A5"/>
    <w:rsid w:val="000F57E8"/>
    <w:rsid w:val="000F5A13"/>
    <w:rsid w:val="000F5A9F"/>
    <w:rsid w:val="000F5CBA"/>
    <w:rsid w:val="000F5DA1"/>
    <w:rsid w:val="000F5DB8"/>
    <w:rsid w:val="000F5E1C"/>
    <w:rsid w:val="000F608D"/>
    <w:rsid w:val="000F6185"/>
    <w:rsid w:val="000F6282"/>
    <w:rsid w:val="000F64E1"/>
    <w:rsid w:val="000F65C6"/>
    <w:rsid w:val="000F65D3"/>
    <w:rsid w:val="000F677E"/>
    <w:rsid w:val="000F67A7"/>
    <w:rsid w:val="000F68AF"/>
    <w:rsid w:val="000F691B"/>
    <w:rsid w:val="000F6935"/>
    <w:rsid w:val="000F6B12"/>
    <w:rsid w:val="000F6C1E"/>
    <w:rsid w:val="000F6C69"/>
    <w:rsid w:val="000F6DD9"/>
    <w:rsid w:val="000F6F3F"/>
    <w:rsid w:val="000F7157"/>
    <w:rsid w:val="000F71C1"/>
    <w:rsid w:val="000F7377"/>
    <w:rsid w:val="000F73B3"/>
    <w:rsid w:val="000F73DC"/>
    <w:rsid w:val="000F74FA"/>
    <w:rsid w:val="000F76C3"/>
    <w:rsid w:val="000F77DA"/>
    <w:rsid w:val="000F782E"/>
    <w:rsid w:val="000F7873"/>
    <w:rsid w:val="000F7920"/>
    <w:rsid w:val="000F79A8"/>
    <w:rsid w:val="000F7B28"/>
    <w:rsid w:val="000F7B2A"/>
    <w:rsid w:val="000F7C0B"/>
    <w:rsid w:val="000F7C6F"/>
    <w:rsid w:val="000F7D9A"/>
    <w:rsid w:val="000F7ED3"/>
    <w:rsid w:val="000F7F4E"/>
    <w:rsid w:val="0010009A"/>
    <w:rsid w:val="00100140"/>
    <w:rsid w:val="001001A6"/>
    <w:rsid w:val="001001BC"/>
    <w:rsid w:val="00100213"/>
    <w:rsid w:val="00100380"/>
    <w:rsid w:val="00100392"/>
    <w:rsid w:val="00100514"/>
    <w:rsid w:val="0010054A"/>
    <w:rsid w:val="00100569"/>
    <w:rsid w:val="0010059B"/>
    <w:rsid w:val="001007DE"/>
    <w:rsid w:val="001008F3"/>
    <w:rsid w:val="00100E89"/>
    <w:rsid w:val="00100E93"/>
    <w:rsid w:val="0010104B"/>
    <w:rsid w:val="0010105E"/>
    <w:rsid w:val="001011A9"/>
    <w:rsid w:val="00101361"/>
    <w:rsid w:val="00101390"/>
    <w:rsid w:val="001013FF"/>
    <w:rsid w:val="00101546"/>
    <w:rsid w:val="00101594"/>
    <w:rsid w:val="001017BD"/>
    <w:rsid w:val="001018AB"/>
    <w:rsid w:val="00101964"/>
    <w:rsid w:val="00101CD5"/>
    <w:rsid w:val="00101D03"/>
    <w:rsid w:val="0010208A"/>
    <w:rsid w:val="001020AA"/>
    <w:rsid w:val="001020B8"/>
    <w:rsid w:val="00102140"/>
    <w:rsid w:val="00102175"/>
    <w:rsid w:val="001021F6"/>
    <w:rsid w:val="001021FE"/>
    <w:rsid w:val="001022FD"/>
    <w:rsid w:val="00102347"/>
    <w:rsid w:val="001025A0"/>
    <w:rsid w:val="001026E0"/>
    <w:rsid w:val="0010286B"/>
    <w:rsid w:val="001029BA"/>
    <w:rsid w:val="001029C2"/>
    <w:rsid w:val="001029EA"/>
    <w:rsid w:val="00102A54"/>
    <w:rsid w:val="00102CD2"/>
    <w:rsid w:val="00102D11"/>
    <w:rsid w:val="00102D58"/>
    <w:rsid w:val="00102D81"/>
    <w:rsid w:val="00102E14"/>
    <w:rsid w:val="00102F2A"/>
    <w:rsid w:val="00102F3D"/>
    <w:rsid w:val="001030C7"/>
    <w:rsid w:val="00103131"/>
    <w:rsid w:val="001032DF"/>
    <w:rsid w:val="001032F0"/>
    <w:rsid w:val="001033A8"/>
    <w:rsid w:val="0010347A"/>
    <w:rsid w:val="0010352F"/>
    <w:rsid w:val="00103629"/>
    <w:rsid w:val="00103687"/>
    <w:rsid w:val="00103AC5"/>
    <w:rsid w:val="00103DDD"/>
    <w:rsid w:val="0010420D"/>
    <w:rsid w:val="00104297"/>
    <w:rsid w:val="0010435C"/>
    <w:rsid w:val="00104420"/>
    <w:rsid w:val="00104503"/>
    <w:rsid w:val="001047F5"/>
    <w:rsid w:val="0010498B"/>
    <w:rsid w:val="00104B3E"/>
    <w:rsid w:val="00104BAC"/>
    <w:rsid w:val="00104C32"/>
    <w:rsid w:val="00104E99"/>
    <w:rsid w:val="00104EC5"/>
    <w:rsid w:val="00104F98"/>
    <w:rsid w:val="00104FBA"/>
    <w:rsid w:val="00105164"/>
    <w:rsid w:val="001052E3"/>
    <w:rsid w:val="00105438"/>
    <w:rsid w:val="0010545E"/>
    <w:rsid w:val="0010549E"/>
    <w:rsid w:val="001055EC"/>
    <w:rsid w:val="00105A1D"/>
    <w:rsid w:val="00105B98"/>
    <w:rsid w:val="00105BB0"/>
    <w:rsid w:val="00105CCD"/>
    <w:rsid w:val="00105CE2"/>
    <w:rsid w:val="00105DD0"/>
    <w:rsid w:val="00105EA9"/>
    <w:rsid w:val="00106619"/>
    <w:rsid w:val="001066D8"/>
    <w:rsid w:val="00106764"/>
    <w:rsid w:val="00106AC5"/>
    <w:rsid w:val="00106B0A"/>
    <w:rsid w:val="00106F15"/>
    <w:rsid w:val="00106F16"/>
    <w:rsid w:val="00107030"/>
    <w:rsid w:val="0010705E"/>
    <w:rsid w:val="00107300"/>
    <w:rsid w:val="001073B8"/>
    <w:rsid w:val="001075F4"/>
    <w:rsid w:val="001076FF"/>
    <w:rsid w:val="001077BA"/>
    <w:rsid w:val="00107838"/>
    <w:rsid w:val="001078ED"/>
    <w:rsid w:val="00107910"/>
    <w:rsid w:val="001079DA"/>
    <w:rsid w:val="00107A43"/>
    <w:rsid w:val="00107C65"/>
    <w:rsid w:val="00107C69"/>
    <w:rsid w:val="00107C76"/>
    <w:rsid w:val="00107CDA"/>
    <w:rsid w:val="001101CC"/>
    <w:rsid w:val="00110429"/>
    <w:rsid w:val="00110485"/>
    <w:rsid w:val="001106FE"/>
    <w:rsid w:val="001108AD"/>
    <w:rsid w:val="001109BF"/>
    <w:rsid w:val="00110AFF"/>
    <w:rsid w:val="00110B0E"/>
    <w:rsid w:val="00110CBE"/>
    <w:rsid w:val="00110FBE"/>
    <w:rsid w:val="00111001"/>
    <w:rsid w:val="00111015"/>
    <w:rsid w:val="0011101A"/>
    <w:rsid w:val="001110F1"/>
    <w:rsid w:val="00111419"/>
    <w:rsid w:val="00111603"/>
    <w:rsid w:val="001117A8"/>
    <w:rsid w:val="00111810"/>
    <w:rsid w:val="0011191C"/>
    <w:rsid w:val="001119D4"/>
    <w:rsid w:val="001119E2"/>
    <w:rsid w:val="00111ADF"/>
    <w:rsid w:val="00111B31"/>
    <w:rsid w:val="00111E90"/>
    <w:rsid w:val="00112128"/>
    <w:rsid w:val="0011228D"/>
    <w:rsid w:val="00112312"/>
    <w:rsid w:val="001126D4"/>
    <w:rsid w:val="0011275D"/>
    <w:rsid w:val="001127EE"/>
    <w:rsid w:val="001127F1"/>
    <w:rsid w:val="00112913"/>
    <w:rsid w:val="00112968"/>
    <w:rsid w:val="00112A38"/>
    <w:rsid w:val="00112C6C"/>
    <w:rsid w:val="00112CB3"/>
    <w:rsid w:val="00112CCB"/>
    <w:rsid w:val="00112D2A"/>
    <w:rsid w:val="00112F7A"/>
    <w:rsid w:val="001130A0"/>
    <w:rsid w:val="001133AC"/>
    <w:rsid w:val="001133B5"/>
    <w:rsid w:val="00113603"/>
    <w:rsid w:val="001136DC"/>
    <w:rsid w:val="00113790"/>
    <w:rsid w:val="00113A9A"/>
    <w:rsid w:val="00113B0E"/>
    <w:rsid w:val="00113D33"/>
    <w:rsid w:val="00114056"/>
    <w:rsid w:val="0011419C"/>
    <w:rsid w:val="001141EA"/>
    <w:rsid w:val="00114392"/>
    <w:rsid w:val="001143F5"/>
    <w:rsid w:val="001144E7"/>
    <w:rsid w:val="0011454E"/>
    <w:rsid w:val="00114568"/>
    <w:rsid w:val="00114927"/>
    <w:rsid w:val="00114973"/>
    <w:rsid w:val="00114CE2"/>
    <w:rsid w:val="00114E3C"/>
    <w:rsid w:val="00114F7E"/>
    <w:rsid w:val="00115219"/>
    <w:rsid w:val="001156AA"/>
    <w:rsid w:val="00115739"/>
    <w:rsid w:val="00115C07"/>
    <w:rsid w:val="00115C86"/>
    <w:rsid w:val="00115D5E"/>
    <w:rsid w:val="00115DAD"/>
    <w:rsid w:val="00115F40"/>
    <w:rsid w:val="00115FEB"/>
    <w:rsid w:val="00116000"/>
    <w:rsid w:val="001161AF"/>
    <w:rsid w:val="001163ED"/>
    <w:rsid w:val="0011640B"/>
    <w:rsid w:val="001165FB"/>
    <w:rsid w:val="0011669A"/>
    <w:rsid w:val="001167DB"/>
    <w:rsid w:val="00116A99"/>
    <w:rsid w:val="00116AF9"/>
    <w:rsid w:val="00116BE1"/>
    <w:rsid w:val="00116C36"/>
    <w:rsid w:val="0011722D"/>
    <w:rsid w:val="00117536"/>
    <w:rsid w:val="00117757"/>
    <w:rsid w:val="0011791D"/>
    <w:rsid w:val="00117BD2"/>
    <w:rsid w:val="00117CE2"/>
    <w:rsid w:val="00117D73"/>
    <w:rsid w:val="0012024E"/>
    <w:rsid w:val="00120336"/>
    <w:rsid w:val="00120384"/>
    <w:rsid w:val="00120416"/>
    <w:rsid w:val="00120439"/>
    <w:rsid w:val="001208F3"/>
    <w:rsid w:val="0012094A"/>
    <w:rsid w:val="00120C28"/>
    <w:rsid w:val="00120C4F"/>
    <w:rsid w:val="00120DAE"/>
    <w:rsid w:val="0012102B"/>
    <w:rsid w:val="001210C7"/>
    <w:rsid w:val="00121133"/>
    <w:rsid w:val="00121176"/>
    <w:rsid w:val="0012125E"/>
    <w:rsid w:val="001213B4"/>
    <w:rsid w:val="00121438"/>
    <w:rsid w:val="00121574"/>
    <w:rsid w:val="0012174F"/>
    <w:rsid w:val="001217B2"/>
    <w:rsid w:val="00121A72"/>
    <w:rsid w:val="00121ADB"/>
    <w:rsid w:val="00121B9B"/>
    <w:rsid w:val="00121C04"/>
    <w:rsid w:val="00121FED"/>
    <w:rsid w:val="00122052"/>
    <w:rsid w:val="001220A7"/>
    <w:rsid w:val="0012235E"/>
    <w:rsid w:val="0012243D"/>
    <w:rsid w:val="00122612"/>
    <w:rsid w:val="00122681"/>
    <w:rsid w:val="001227D5"/>
    <w:rsid w:val="00122A80"/>
    <w:rsid w:val="00122D6C"/>
    <w:rsid w:val="00122EAD"/>
    <w:rsid w:val="0012346E"/>
    <w:rsid w:val="00123659"/>
    <w:rsid w:val="0012374F"/>
    <w:rsid w:val="00123A2A"/>
    <w:rsid w:val="00123A40"/>
    <w:rsid w:val="00123E28"/>
    <w:rsid w:val="00123E5D"/>
    <w:rsid w:val="001240F3"/>
    <w:rsid w:val="00124273"/>
    <w:rsid w:val="001242BB"/>
    <w:rsid w:val="001242C0"/>
    <w:rsid w:val="00124301"/>
    <w:rsid w:val="00124387"/>
    <w:rsid w:val="0012440F"/>
    <w:rsid w:val="00124557"/>
    <w:rsid w:val="001246D6"/>
    <w:rsid w:val="00124718"/>
    <w:rsid w:val="00124719"/>
    <w:rsid w:val="001247B9"/>
    <w:rsid w:val="00124B1D"/>
    <w:rsid w:val="001250AF"/>
    <w:rsid w:val="00125132"/>
    <w:rsid w:val="00125179"/>
    <w:rsid w:val="00125181"/>
    <w:rsid w:val="00125182"/>
    <w:rsid w:val="0012525C"/>
    <w:rsid w:val="001253DE"/>
    <w:rsid w:val="00125638"/>
    <w:rsid w:val="00125777"/>
    <w:rsid w:val="001258EE"/>
    <w:rsid w:val="00125B06"/>
    <w:rsid w:val="00125C66"/>
    <w:rsid w:val="00125D96"/>
    <w:rsid w:val="00125E75"/>
    <w:rsid w:val="00125EA0"/>
    <w:rsid w:val="00125EB2"/>
    <w:rsid w:val="00126046"/>
    <w:rsid w:val="001260B0"/>
    <w:rsid w:val="001262A7"/>
    <w:rsid w:val="00126386"/>
    <w:rsid w:val="00126442"/>
    <w:rsid w:val="0012647E"/>
    <w:rsid w:val="00126571"/>
    <w:rsid w:val="0012659F"/>
    <w:rsid w:val="001266DC"/>
    <w:rsid w:val="0012671C"/>
    <w:rsid w:val="00126966"/>
    <w:rsid w:val="00126B95"/>
    <w:rsid w:val="00126BB6"/>
    <w:rsid w:val="00126BEE"/>
    <w:rsid w:val="00126CDB"/>
    <w:rsid w:val="001270C6"/>
    <w:rsid w:val="001271C7"/>
    <w:rsid w:val="001271DE"/>
    <w:rsid w:val="00127442"/>
    <w:rsid w:val="00127662"/>
    <w:rsid w:val="00127679"/>
    <w:rsid w:val="00127749"/>
    <w:rsid w:val="00127CC1"/>
    <w:rsid w:val="00127E8E"/>
    <w:rsid w:val="00127EE9"/>
    <w:rsid w:val="00127F53"/>
    <w:rsid w:val="0013007B"/>
    <w:rsid w:val="00130196"/>
    <w:rsid w:val="00130477"/>
    <w:rsid w:val="00130555"/>
    <w:rsid w:val="00130584"/>
    <w:rsid w:val="001305EB"/>
    <w:rsid w:val="00130613"/>
    <w:rsid w:val="00130950"/>
    <w:rsid w:val="00130A70"/>
    <w:rsid w:val="00130AA0"/>
    <w:rsid w:val="00130B2F"/>
    <w:rsid w:val="00130CB8"/>
    <w:rsid w:val="00130D50"/>
    <w:rsid w:val="00131457"/>
    <w:rsid w:val="001314F3"/>
    <w:rsid w:val="001315B2"/>
    <w:rsid w:val="00131741"/>
    <w:rsid w:val="00131803"/>
    <w:rsid w:val="0013182B"/>
    <w:rsid w:val="001318B8"/>
    <w:rsid w:val="0013196B"/>
    <w:rsid w:val="00131A9A"/>
    <w:rsid w:val="00131B2C"/>
    <w:rsid w:val="00131C16"/>
    <w:rsid w:val="00131CDE"/>
    <w:rsid w:val="00131E3A"/>
    <w:rsid w:val="00131E8D"/>
    <w:rsid w:val="00131F60"/>
    <w:rsid w:val="001320B2"/>
    <w:rsid w:val="0013213C"/>
    <w:rsid w:val="00132251"/>
    <w:rsid w:val="0013230C"/>
    <w:rsid w:val="00132936"/>
    <w:rsid w:val="00132CA9"/>
    <w:rsid w:val="00132E74"/>
    <w:rsid w:val="00132EC8"/>
    <w:rsid w:val="00133144"/>
    <w:rsid w:val="00133253"/>
    <w:rsid w:val="0013354B"/>
    <w:rsid w:val="001338CF"/>
    <w:rsid w:val="00133A01"/>
    <w:rsid w:val="00133A2C"/>
    <w:rsid w:val="00133A91"/>
    <w:rsid w:val="00133CC1"/>
    <w:rsid w:val="00133DB6"/>
    <w:rsid w:val="00133E8D"/>
    <w:rsid w:val="00134036"/>
    <w:rsid w:val="00134218"/>
    <w:rsid w:val="0013425B"/>
    <w:rsid w:val="001342DA"/>
    <w:rsid w:val="001345B3"/>
    <w:rsid w:val="0013461F"/>
    <w:rsid w:val="0013482C"/>
    <w:rsid w:val="00134881"/>
    <w:rsid w:val="00134A6E"/>
    <w:rsid w:val="00134B34"/>
    <w:rsid w:val="00134E34"/>
    <w:rsid w:val="0013502D"/>
    <w:rsid w:val="001350DB"/>
    <w:rsid w:val="00135150"/>
    <w:rsid w:val="001351D8"/>
    <w:rsid w:val="00135442"/>
    <w:rsid w:val="001354E6"/>
    <w:rsid w:val="00135687"/>
    <w:rsid w:val="0013584B"/>
    <w:rsid w:val="0013587A"/>
    <w:rsid w:val="00135C32"/>
    <w:rsid w:val="00135C7D"/>
    <w:rsid w:val="00135D3E"/>
    <w:rsid w:val="00135D9D"/>
    <w:rsid w:val="0013609D"/>
    <w:rsid w:val="00136134"/>
    <w:rsid w:val="00136373"/>
    <w:rsid w:val="001363C4"/>
    <w:rsid w:val="00136A78"/>
    <w:rsid w:val="00136D77"/>
    <w:rsid w:val="00136EBD"/>
    <w:rsid w:val="00136F6D"/>
    <w:rsid w:val="00137205"/>
    <w:rsid w:val="00137292"/>
    <w:rsid w:val="00137405"/>
    <w:rsid w:val="00137430"/>
    <w:rsid w:val="001374BD"/>
    <w:rsid w:val="00137528"/>
    <w:rsid w:val="00137586"/>
    <w:rsid w:val="00137597"/>
    <w:rsid w:val="001375DA"/>
    <w:rsid w:val="0013764F"/>
    <w:rsid w:val="001377B8"/>
    <w:rsid w:val="001377BF"/>
    <w:rsid w:val="001377ED"/>
    <w:rsid w:val="0013781A"/>
    <w:rsid w:val="00137841"/>
    <w:rsid w:val="0013785F"/>
    <w:rsid w:val="0013787B"/>
    <w:rsid w:val="001379A4"/>
    <w:rsid w:val="001379AC"/>
    <w:rsid w:val="00137B02"/>
    <w:rsid w:val="00137B3E"/>
    <w:rsid w:val="00137C69"/>
    <w:rsid w:val="00137CA8"/>
    <w:rsid w:val="00137D4E"/>
    <w:rsid w:val="00137E9E"/>
    <w:rsid w:val="00137F80"/>
    <w:rsid w:val="00137F83"/>
    <w:rsid w:val="00140084"/>
    <w:rsid w:val="001400BD"/>
    <w:rsid w:val="0014033E"/>
    <w:rsid w:val="0014037F"/>
    <w:rsid w:val="001403A2"/>
    <w:rsid w:val="00140795"/>
    <w:rsid w:val="0014083B"/>
    <w:rsid w:val="00140B24"/>
    <w:rsid w:val="00140CA1"/>
    <w:rsid w:val="00140D7A"/>
    <w:rsid w:val="00140D96"/>
    <w:rsid w:val="00140DE7"/>
    <w:rsid w:val="00140E74"/>
    <w:rsid w:val="00140EA7"/>
    <w:rsid w:val="00140F07"/>
    <w:rsid w:val="0014115B"/>
    <w:rsid w:val="0014136B"/>
    <w:rsid w:val="0014148C"/>
    <w:rsid w:val="001415B7"/>
    <w:rsid w:val="0014161E"/>
    <w:rsid w:val="00141863"/>
    <w:rsid w:val="00141AA1"/>
    <w:rsid w:val="00141CF4"/>
    <w:rsid w:val="00141D9E"/>
    <w:rsid w:val="00141DC0"/>
    <w:rsid w:val="00141E00"/>
    <w:rsid w:val="00141EA6"/>
    <w:rsid w:val="00141FA4"/>
    <w:rsid w:val="00142559"/>
    <w:rsid w:val="00142745"/>
    <w:rsid w:val="00142A13"/>
    <w:rsid w:val="00142B16"/>
    <w:rsid w:val="00142B7A"/>
    <w:rsid w:val="00142B98"/>
    <w:rsid w:val="00142C2D"/>
    <w:rsid w:val="00142F00"/>
    <w:rsid w:val="00143095"/>
    <w:rsid w:val="00143163"/>
    <w:rsid w:val="001434C5"/>
    <w:rsid w:val="001434CE"/>
    <w:rsid w:val="00143871"/>
    <w:rsid w:val="00143A53"/>
    <w:rsid w:val="00143ACA"/>
    <w:rsid w:val="00143B64"/>
    <w:rsid w:val="00143B69"/>
    <w:rsid w:val="00143D29"/>
    <w:rsid w:val="00143DCD"/>
    <w:rsid w:val="00143E27"/>
    <w:rsid w:val="00143EEB"/>
    <w:rsid w:val="00143F51"/>
    <w:rsid w:val="00143FAE"/>
    <w:rsid w:val="00144134"/>
    <w:rsid w:val="0014437A"/>
    <w:rsid w:val="001447D9"/>
    <w:rsid w:val="00144860"/>
    <w:rsid w:val="00144995"/>
    <w:rsid w:val="00144A13"/>
    <w:rsid w:val="00144AD4"/>
    <w:rsid w:val="00144AEE"/>
    <w:rsid w:val="00144BA5"/>
    <w:rsid w:val="00144BB2"/>
    <w:rsid w:val="00144CFB"/>
    <w:rsid w:val="00144E78"/>
    <w:rsid w:val="00144F71"/>
    <w:rsid w:val="0014529C"/>
    <w:rsid w:val="001459D7"/>
    <w:rsid w:val="001459DF"/>
    <w:rsid w:val="00145C2C"/>
    <w:rsid w:val="00146234"/>
    <w:rsid w:val="001463F9"/>
    <w:rsid w:val="00146418"/>
    <w:rsid w:val="00146434"/>
    <w:rsid w:val="001466F7"/>
    <w:rsid w:val="001468ED"/>
    <w:rsid w:val="00146BA8"/>
    <w:rsid w:val="00146BE0"/>
    <w:rsid w:val="00146CA4"/>
    <w:rsid w:val="00146CDD"/>
    <w:rsid w:val="00146EDC"/>
    <w:rsid w:val="00146F29"/>
    <w:rsid w:val="0014717E"/>
    <w:rsid w:val="0014731E"/>
    <w:rsid w:val="001474D6"/>
    <w:rsid w:val="001477B7"/>
    <w:rsid w:val="00147965"/>
    <w:rsid w:val="0014797C"/>
    <w:rsid w:val="00147AC4"/>
    <w:rsid w:val="00147B65"/>
    <w:rsid w:val="00147D0F"/>
    <w:rsid w:val="00147F4B"/>
    <w:rsid w:val="00150244"/>
    <w:rsid w:val="001502A0"/>
    <w:rsid w:val="001504CF"/>
    <w:rsid w:val="0015059A"/>
    <w:rsid w:val="001505C9"/>
    <w:rsid w:val="00150668"/>
    <w:rsid w:val="001506AF"/>
    <w:rsid w:val="0015083E"/>
    <w:rsid w:val="0015085A"/>
    <w:rsid w:val="001508EB"/>
    <w:rsid w:val="00150B72"/>
    <w:rsid w:val="00150BCD"/>
    <w:rsid w:val="00150CE7"/>
    <w:rsid w:val="00150E3F"/>
    <w:rsid w:val="00150E7D"/>
    <w:rsid w:val="0015106E"/>
    <w:rsid w:val="001514A7"/>
    <w:rsid w:val="00151520"/>
    <w:rsid w:val="0015160B"/>
    <w:rsid w:val="0015161F"/>
    <w:rsid w:val="001517D1"/>
    <w:rsid w:val="0015193F"/>
    <w:rsid w:val="00151AE9"/>
    <w:rsid w:val="00151C48"/>
    <w:rsid w:val="00151C97"/>
    <w:rsid w:val="00151D14"/>
    <w:rsid w:val="00151D31"/>
    <w:rsid w:val="00151FAF"/>
    <w:rsid w:val="001520B9"/>
    <w:rsid w:val="00152164"/>
    <w:rsid w:val="0015221C"/>
    <w:rsid w:val="00152260"/>
    <w:rsid w:val="0015228F"/>
    <w:rsid w:val="00152328"/>
    <w:rsid w:val="001523B8"/>
    <w:rsid w:val="001523BD"/>
    <w:rsid w:val="001523E3"/>
    <w:rsid w:val="00152861"/>
    <w:rsid w:val="001528F5"/>
    <w:rsid w:val="00152C49"/>
    <w:rsid w:val="00152C9B"/>
    <w:rsid w:val="00152E5D"/>
    <w:rsid w:val="00152E74"/>
    <w:rsid w:val="00153168"/>
    <w:rsid w:val="001531C4"/>
    <w:rsid w:val="0015337F"/>
    <w:rsid w:val="001533B1"/>
    <w:rsid w:val="001533FF"/>
    <w:rsid w:val="0015361E"/>
    <w:rsid w:val="00153632"/>
    <w:rsid w:val="00153738"/>
    <w:rsid w:val="001537C4"/>
    <w:rsid w:val="00153A38"/>
    <w:rsid w:val="00153B47"/>
    <w:rsid w:val="00153BAB"/>
    <w:rsid w:val="00153CB5"/>
    <w:rsid w:val="00153CF3"/>
    <w:rsid w:val="00153DB1"/>
    <w:rsid w:val="00153F34"/>
    <w:rsid w:val="00153FD0"/>
    <w:rsid w:val="00154246"/>
    <w:rsid w:val="001542AF"/>
    <w:rsid w:val="0015448E"/>
    <w:rsid w:val="001547ED"/>
    <w:rsid w:val="001549B5"/>
    <w:rsid w:val="00154BBA"/>
    <w:rsid w:val="00154DB9"/>
    <w:rsid w:val="00154EC7"/>
    <w:rsid w:val="0015501B"/>
    <w:rsid w:val="00155074"/>
    <w:rsid w:val="001551A4"/>
    <w:rsid w:val="0015526A"/>
    <w:rsid w:val="0015539D"/>
    <w:rsid w:val="001553DD"/>
    <w:rsid w:val="0015550E"/>
    <w:rsid w:val="001559A8"/>
    <w:rsid w:val="00155E7A"/>
    <w:rsid w:val="001560B0"/>
    <w:rsid w:val="0015613B"/>
    <w:rsid w:val="00156140"/>
    <w:rsid w:val="001561D8"/>
    <w:rsid w:val="0015623D"/>
    <w:rsid w:val="0015628B"/>
    <w:rsid w:val="00156557"/>
    <w:rsid w:val="001565ED"/>
    <w:rsid w:val="00156700"/>
    <w:rsid w:val="001567D4"/>
    <w:rsid w:val="00156858"/>
    <w:rsid w:val="00156A57"/>
    <w:rsid w:val="00156B89"/>
    <w:rsid w:val="00156BBF"/>
    <w:rsid w:val="00156CE6"/>
    <w:rsid w:val="00156CF9"/>
    <w:rsid w:val="00156FA3"/>
    <w:rsid w:val="00157014"/>
    <w:rsid w:val="00157123"/>
    <w:rsid w:val="0015713A"/>
    <w:rsid w:val="00157332"/>
    <w:rsid w:val="0015738F"/>
    <w:rsid w:val="001573BA"/>
    <w:rsid w:val="0015741B"/>
    <w:rsid w:val="00157559"/>
    <w:rsid w:val="00157770"/>
    <w:rsid w:val="00157A55"/>
    <w:rsid w:val="00157B1D"/>
    <w:rsid w:val="00157B30"/>
    <w:rsid w:val="00157B6C"/>
    <w:rsid w:val="00157B7F"/>
    <w:rsid w:val="00157C2D"/>
    <w:rsid w:val="00157E4E"/>
    <w:rsid w:val="00157F86"/>
    <w:rsid w:val="0016021A"/>
    <w:rsid w:val="001603FE"/>
    <w:rsid w:val="0016040B"/>
    <w:rsid w:val="001606BE"/>
    <w:rsid w:val="00160701"/>
    <w:rsid w:val="001609F1"/>
    <w:rsid w:val="00160AF3"/>
    <w:rsid w:val="00160BA6"/>
    <w:rsid w:val="00160CD9"/>
    <w:rsid w:val="00160D24"/>
    <w:rsid w:val="00160DB3"/>
    <w:rsid w:val="00161101"/>
    <w:rsid w:val="00161121"/>
    <w:rsid w:val="001611BC"/>
    <w:rsid w:val="00161306"/>
    <w:rsid w:val="0016136E"/>
    <w:rsid w:val="001613C4"/>
    <w:rsid w:val="001614A5"/>
    <w:rsid w:val="0016164D"/>
    <w:rsid w:val="001616D4"/>
    <w:rsid w:val="001616F0"/>
    <w:rsid w:val="00161759"/>
    <w:rsid w:val="0016189B"/>
    <w:rsid w:val="0016193C"/>
    <w:rsid w:val="00161D13"/>
    <w:rsid w:val="00161E07"/>
    <w:rsid w:val="00162100"/>
    <w:rsid w:val="00162111"/>
    <w:rsid w:val="00162261"/>
    <w:rsid w:val="001623E7"/>
    <w:rsid w:val="00162524"/>
    <w:rsid w:val="001626F2"/>
    <w:rsid w:val="00162891"/>
    <w:rsid w:val="00162941"/>
    <w:rsid w:val="00162952"/>
    <w:rsid w:val="00162D72"/>
    <w:rsid w:val="00162E40"/>
    <w:rsid w:val="00163093"/>
    <w:rsid w:val="001632B6"/>
    <w:rsid w:val="00163461"/>
    <w:rsid w:val="001634B7"/>
    <w:rsid w:val="0016378E"/>
    <w:rsid w:val="001637A4"/>
    <w:rsid w:val="001637E2"/>
    <w:rsid w:val="00163873"/>
    <w:rsid w:val="00163A35"/>
    <w:rsid w:val="00163A51"/>
    <w:rsid w:val="00163C2C"/>
    <w:rsid w:val="00163CA1"/>
    <w:rsid w:val="00163D7B"/>
    <w:rsid w:val="001640DD"/>
    <w:rsid w:val="00164153"/>
    <w:rsid w:val="001641D9"/>
    <w:rsid w:val="001642BD"/>
    <w:rsid w:val="001642F0"/>
    <w:rsid w:val="0016431C"/>
    <w:rsid w:val="001644F0"/>
    <w:rsid w:val="0016479F"/>
    <w:rsid w:val="001649EC"/>
    <w:rsid w:val="00164B01"/>
    <w:rsid w:val="00164BBD"/>
    <w:rsid w:val="00164DDA"/>
    <w:rsid w:val="0016508A"/>
    <w:rsid w:val="001650A3"/>
    <w:rsid w:val="00165249"/>
    <w:rsid w:val="001652EA"/>
    <w:rsid w:val="001653A7"/>
    <w:rsid w:val="001653CB"/>
    <w:rsid w:val="00165429"/>
    <w:rsid w:val="001654A1"/>
    <w:rsid w:val="0016559E"/>
    <w:rsid w:val="00165610"/>
    <w:rsid w:val="00165685"/>
    <w:rsid w:val="00165770"/>
    <w:rsid w:val="001659A2"/>
    <w:rsid w:val="001659FC"/>
    <w:rsid w:val="00165A8C"/>
    <w:rsid w:val="00165B3A"/>
    <w:rsid w:val="00165BD2"/>
    <w:rsid w:val="00165CDA"/>
    <w:rsid w:val="00165F3C"/>
    <w:rsid w:val="00165FCD"/>
    <w:rsid w:val="001660DA"/>
    <w:rsid w:val="0016615B"/>
    <w:rsid w:val="0016627C"/>
    <w:rsid w:val="00166350"/>
    <w:rsid w:val="0016643B"/>
    <w:rsid w:val="00166490"/>
    <w:rsid w:val="0016649C"/>
    <w:rsid w:val="001666E6"/>
    <w:rsid w:val="0016682C"/>
    <w:rsid w:val="00166B01"/>
    <w:rsid w:val="00166BD3"/>
    <w:rsid w:val="00166D3A"/>
    <w:rsid w:val="00166E8A"/>
    <w:rsid w:val="00166EBB"/>
    <w:rsid w:val="001670E0"/>
    <w:rsid w:val="00167139"/>
    <w:rsid w:val="001671E7"/>
    <w:rsid w:val="0016725D"/>
    <w:rsid w:val="00167325"/>
    <w:rsid w:val="0016732D"/>
    <w:rsid w:val="001673A6"/>
    <w:rsid w:val="001673DF"/>
    <w:rsid w:val="0016741F"/>
    <w:rsid w:val="0016746E"/>
    <w:rsid w:val="001675BC"/>
    <w:rsid w:val="00167780"/>
    <w:rsid w:val="00167900"/>
    <w:rsid w:val="00167984"/>
    <w:rsid w:val="0016799F"/>
    <w:rsid w:val="00167AAA"/>
    <w:rsid w:val="00167B25"/>
    <w:rsid w:val="00167C45"/>
    <w:rsid w:val="00167C53"/>
    <w:rsid w:val="00167DD0"/>
    <w:rsid w:val="00167E40"/>
    <w:rsid w:val="00167F14"/>
    <w:rsid w:val="00167F1A"/>
    <w:rsid w:val="00167F48"/>
    <w:rsid w:val="0017003C"/>
    <w:rsid w:val="001700A9"/>
    <w:rsid w:val="0017017C"/>
    <w:rsid w:val="0017017D"/>
    <w:rsid w:val="001701AE"/>
    <w:rsid w:val="001701C8"/>
    <w:rsid w:val="001705CD"/>
    <w:rsid w:val="0017098A"/>
    <w:rsid w:val="00170E8A"/>
    <w:rsid w:val="00170ECF"/>
    <w:rsid w:val="00171180"/>
    <w:rsid w:val="001711C8"/>
    <w:rsid w:val="00171436"/>
    <w:rsid w:val="0017149A"/>
    <w:rsid w:val="00171528"/>
    <w:rsid w:val="00171604"/>
    <w:rsid w:val="001716AD"/>
    <w:rsid w:val="00171B18"/>
    <w:rsid w:val="00171BC0"/>
    <w:rsid w:val="00171D22"/>
    <w:rsid w:val="00171E47"/>
    <w:rsid w:val="00171EEA"/>
    <w:rsid w:val="00171FC5"/>
    <w:rsid w:val="0017211C"/>
    <w:rsid w:val="00172171"/>
    <w:rsid w:val="0017224E"/>
    <w:rsid w:val="00172320"/>
    <w:rsid w:val="001724C1"/>
    <w:rsid w:val="001725CF"/>
    <w:rsid w:val="001727F9"/>
    <w:rsid w:val="00172862"/>
    <w:rsid w:val="0017299A"/>
    <w:rsid w:val="00172A0B"/>
    <w:rsid w:val="00172D73"/>
    <w:rsid w:val="00172EF8"/>
    <w:rsid w:val="00172F1D"/>
    <w:rsid w:val="001732FC"/>
    <w:rsid w:val="0017353D"/>
    <w:rsid w:val="00173556"/>
    <w:rsid w:val="001735AB"/>
    <w:rsid w:val="001736B8"/>
    <w:rsid w:val="0017370D"/>
    <w:rsid w:val="001737A1"/>
    <w:rsid w:val="001738E7"/>
    <w:rsid w:val="00173A1D"/>
    <w:rsid w:val="00173ADE"/>
    <w:rsid w:val="00173E97"/>
    <w:rsid w:val="00173F6D"/>
    <w:rsid w:val="00173F9B"/>
    <w:rsid w:val="00173FFF"/>
    <w:rsid w:val="00174060"/>
    <w:rsid w:val="001740ED"/>
    <w:rsid w:val="0017441B"/>
    <w:rsid w:val="00174501"/>
    <w:rsid w:val="001746AE"/>
    <w:rsid w:val="00174776"/>
    <w:rsid w:val="00174779"/>
    <w:rsid w:val="001748CD"/>
    <w:rsid w:val="0017498C"/>
    <w:rsid w:val="00174BC7"/>
    <w:rsid w:val="00174E02"/>
    <w:rsid w:val="00174F57"/>
    <w:rsid w:val="001750BB"/>
    <w:rsid w:val="00175394"/>
    <w:rsid w:val="00175478"/>
    <w:rsid w:val="001755D5"/>
    <w:rsid w:val="001756E8"/>
    <w:rsid w:val="00175714"/>
    <w:rsid w:val="001757AB"/>
    <w:rsid w:val="001758A3"/>
    <w:rsid w:val="0017592E"/>
    <w:rsid w:val="00175996"/>
    <w:rsid w:val="001759B7"/>
    <w:rsid w:val="00175AB5"/>
    <w:rsid w:val="001761B2"/>
    <w:rsid w:val="0017624E"/>
    <w:rsid w:val="00176275"/>
    <w:rsid w:val="00176348"/>
    <w:rsid w:val="00176454"/>
    <w:rsid w:val="001764A3"/>
    <w:rsid w:val="00176907"/>
    <w:rsid w:val="00176A6B"/>
    <w:rsid w:val="00176AED"/>
    <w:rsid w:val="00176C46"/>
    <w:rsid w:val="00176D39"/>
    <w:rsid w:val="00176D3C"/>
    <w:rsid w:val="00176F4F"/>
    <w:rsid w:val="0017724F"/>
    <w:rsid w:val="0017725B"/>
    <w:rsid w:val="00177387"/>
    <w:rsid w:val="00177455"/>
    <w:rsid w:val="00177558"/>
    <w:rsid w:val="00177602"/>
    <w:rsid w:val="001776BE"/>
    <w:rsid w:val="0017773B"/>
    <w:rsid w:val="00177752"/>
    <w:rsid w:val="00177BDD"/>
    <w:rsid w:val="00177BF7"/>
    <w:rsid w:val="001800F3"/>
    <w:rsid w:val="00180103"/>
    <w:rsid w:val="001803AB"/>
    <w:rsid w:val="00180739"/>
    <w:rsid w:val="00180831"/>
    <w:rsid w:val="00180B85"/>
    <w:rsid w:val="00180C51"/>
    <w:rsid w:val="00180D93"/>
    <w:rsid w:val="00180E68"/>
    <w:rsid w:val="00181026"/>
    <w:rsid w:val="00181131"/>
    <w:rsid w:val="001812B2"/>
    <w:rsid w:val="0018130F"/>
    <w:rsid w:val="00181631"/>
    <w:rsid w:val="001818AF"/>
    <w:rsid w:val="0018193E"/>
    <w:rsid w:val="00181C2C"/>
    <w:rsid w:val="00181E5C"/>
    <w:rsid w:val="001822BF"/>
    <w:rsid w:val="00182305"/>
    <w:rsid w:val="00182ACF"/>
    <w:rsid w:val="00182C63"/>
    <w:rsid w:val="00182D89"/>
    <w:rsid w:val="00182DEB"/>
    <w:rsid w:val="001830B5"/>
    <w:rsid w:val="001830E4"/>
    <w:rsid w:val="001835AD"/>
    <w:rsid w:val="00183608"/>
    <w:rsid w:val="0018372E"/>
    <w:rsid w:val="00183A85"/>
    <w:rsid w:val="00183B3D"/>
    <w:rsid w:val="00183CD7"/>
    <w:rsid w:val="00183DCA"/>
    <w:rsid w:val="00183E91"/>
    <w:rsid w:val="00183FD1"/>
    <w:rsid w:val="0018400A"/>
    <w:rsid w:val="00184213"/>
    <w:rsid w:val="00184244"/>
    <w:rsid w:val="00184298"/>
    <w:rsid w:val="001842AE"/>
    <w:rsid w:val="001842F9"/>
    <w:rsid w:val="001842FB"/>
    <w:rsid w:val="00184350"/>
    <w:rsid w:val="00184476"/>
    <w:rsid w:val="001846BB"/>
    <w:rsid w:val="001848F7"/>
    <w:rsid w:val="0018493A"/>
    <w:rsid w:val="001849D8"/>
    <w:rsid w:val="00184D94"/>
    <w:rsid w:val="00184EC6"/>
    <w:rsid w:val="00184FEB"/>
    <w:rsid w:val="0018505E"/>
    <w:rsid w:val="0018546C"/>
    <w:rsid w:val="001856B1"/>
    <w:rsid w:val="00185718"/>
    <w:rsid w:val="001857B8"/>
    <w:rsid w:val="0018590C"/>
    <w:rsid w:val="00185A4D"/>
    <w:rsid w:val="00185AB3"/>
    <w:rsid w:val="00185DAC"/>
    <w:rsid w:val="00185DE5"/>
    <w:rsid w:val="00185E79"/>
    <w:rsid w:val="00185EBF"/>
    <w:rsid w:val="00185F70"/>
    <w:rsid w:val="00185FA6"/>
    <w:rsid w:val="00185FA9"/>
    <w:rsid w:val="00185FB9"/>
    <w:rsid w:val="00186044"/>
    <w:rsid w:val="00186162"/>
    <w:rsid w:val="001863EC"/>
    <w:rsid w:val="001864EB"/>
    <w:rsid w:val="001864F8"/>
    <w:rsid w:val="00186533"/>
    <w:rsid w:val="001865BC"/>
    <w:rsid w:val="001865E0"/>
    <w:rsid w:val="00186914"/>
    <w:rsid w:val="001869DC"/>
    <w:rsid w:val="00186B6B"/>
    <w:rsid w:val="00186C37"/>
    <w:rsid w:val="00186F97"/>
    <w:rsid w:val="001872B2"/>
    <w:rsid w:val="0018730A"/>
    <w:rsid w:val="00187322"/>
    <w:rsid w:val="0018732C"/>
    <w:rsid w:val="0018734F"/>
    <w:rsid w:val="00187497"/>
    <w:rsid w:val="00187688"/>
    <w:rsid w:val="00187829"/>
    <w:rsid w:val="00187872"/>
    <w:rsid w:val="0018789B"/>
    <w:rsid w:val="00187A16"/>
    <w:rsid w:val="00187B8A"/>
    <w:rsid w:val="0019024C"/>
    <w:rsid w:val="00190450"/>
    <w:rsid w:val="00190505"/>
    <w:rsid w:val="001905B4"/>
    <w:rsid w:val="001906C7"/>
    <w:rsid w:val="00190A3E"/>
    <w:rsid w:val="00190C4B"/>
    <w:rsid w:val="00190DC8"/>
    <w:rsid w:val="00190F61"/>
    <w:rsid w:val="00190FA6"/>
    <w:rsid w:val="0019101C"/>
    <w:rsid w:val="001910AD"/>
    <w:rsid w:val="001911E4"/>
    <w:rsid w:val="001914D3"/>
    <w:rsid w:val="001915BA"/>
    <w:rsid w:val="00191774"/>
    <w:rsid w:val="00191933"/>
    <w:rsid w:val="00191989"/>
    <w:rsid w:val="00191AFE"/>
    <w:rsid w:val="00191DC3"/>
    <w:rsid w:val="00191E18"/>
    <w:rsid w:val="00191E7C"/>
    <w:rsid w:val="00192028"/>
    <w:rsid w:val="0019209E"/>
    <w:rsid w:val="00192554"/>
    <w:rsid w:val="00192591"/>
    <w:rsid w:val="0019289F"/>
    <w:rsid w:val="00192BF2"/>
    <w:rsid w:val="00192C3D"/>
    <w:rsid w:val="00192C71"/>
    <w:rsid w:val="00192D4F"/>
    <w:rsid w:val="00192E23"/>
    <w:rsid w:val="00192EB5"/>
    <w:rsid w:val="00192EF8"/>
    <w:rsid w:val="00192F38"/>
    <w:rsid w:val="00192F66"/>
    <w:rsid w:val="0019300A"/>
    <w:rsid w:val="00193025"/>
    <w:rsid w:val="001930C1"/>
    <w:rsid w:val="0019319F"/>
    <w:rsid w:val="001932B8"/>
    <w:rsid w:val="00193369"/>
    <w:rsid w:val="0019345F"/>
    <w:rsid w:val="0019348A"/>
    <w:rsid w:val="0019366A"/>
    <w:rsid w:val="00193822"/>
    <w:rsid w:val="0019386D"/>
    <w:rsid w:val="00193CF1"/>
    <w:rsid w:val="00193DB9"/>
    <w:rsid w:val="00193DE4"/>
    <w:rsid w:val="00193E06"/>
    <w:rsid w:val="00193E40"/>
    <w:rsid w:val="0019401C"/>
    <w:rsid w:val="0019418C"/>
    <w:rsid w:val="0019424A"/>
    <w:rsid w:val="00194369"/>
    <w:rsid w:val="001943B8"/>
    <w:rsid w:val="001943DA"/>
    <w:rsid w:val="001943E6"/>
    <w:rsid w:val="00194598"/>
    <w:rsid w:val="00194624"/>
    <w:rsid w:val="001949A7"/>
    <w:rsid w:val="00194A30"/>
    <w:rsid w:val="00194BB4"/>
    <w:rsid w:val="00194D1F"/>
    <w:rsid w:val="00194D8D"/>
    <w:rsid w:val="00194F72"/>
    <w:rsid w:val="00195195"/>
    <w:rsid w:val="00195239"/>
    <w:rsid w:val="00195247"/>
    <w:rsid w:val="00195357"/>
    <w:rsid w:val="001954F4"/>
    <w:rsid w:val="0019553F"/>
    <w:rsid w:val="001957BF"/>
    <w:rsid w:val="001957F7"/>
    <w:rsid w:val="00195809"/>
    <w:rsid w:val="0019580D"/>
    <w:rsid w:val="001958D1"/>
    <w:rsid w:val="00195907"/>
    <w:rsid w:val="0019594E"/>
    <w:rsid w:val="001959C1"/>
    <w:rsid w:val="00195AF0"/>
    <w:rsid w:val="00195D97"/>
    <w:rsid w:val="00195E19"/>
    <w:rsid w:val="00195F77"/>
    <w:rsid w:val="001962A7"/>
    <w:rsid w:val="001964A1"/>
    <w:rsid w:val="00196876"/>
    <w:rsid w:val="001968A0"/>
    <w:rsid w:val="00196AC9"/>
    <w:rsid w:val="00196C84"/>
    <w:rsid w:val="00196DDA"/>
    <w:rsid w:val="00196FF1"/>
    <w:rsid w:val="0019717C"/>
    <w:rsid w:val="00197204"/>
    <w:rsid w:val="00197225"/>
    <w:rsid w:val="001972A5"/>
    <w:rsid w:val="00197322"/>
    <w:rsid w:val="00197332"/>
    <w:rsid w:val="00197636"/>
    <w:rsid w:val="001977B3"/>
    <w:rsid w:val="00197926"/>
    <w:rsid w:val="0019798C"/>
    <w:rsid w:val="00197A2E"/>
    <w:rsid w:val="00197B7C"/>
    <w:rsid w:val="00197BA5"/>
    <w:rsid w:val="00197C47"/>
    <w:rsid w:val="00197CCC"/>
    <w:rsid w:val="00197E46"/>
    <w:rsid w:val="00197E56"/>
    <w:rsid w:val="00197FC0"/>
    <w:rsid w:val="001A0058"/>
    <w:rsid w:val="001A011B"/>
    <w:rsid w:val="001A013C"/>
    <w:rsid w:val="001A04A3"/>
    <w:rsid w:val="001A0855"/>
    <w:rsid w:val="001A09C0"/>
    <w:rsid w:val="001A0AA4"/>
    <w:rsid w:val="001A0B0A"/>
    <w:rsid w:val="001A0B6B"/>
    <w:rsid w:val="001A0CF0"/>
    <w:rsid w:val="001A0D64"/>
    <w:rsid w:val="001A0F4C"/>
    <w:rsid w:val="001A1018"/>
    <w:rsid w:val="001A10C7"/>
    <w:rsid w:val="001A1539"/>
    <w:rsid w:val="001A1570"/>
    <w:rsid w:val="001A1571"/>
    <w:rsid w:val="001A16B9"/>
    <w:rsid w:val="001A17DE"/>
    <w:rsid w:val="001A185A"/>
    <w:rsid w:val="001A1D7A"/>
    <w:rsid w:val="001A1EFD"/>
    <w:rsid w:val="001A1FD3"/>
    <w:rsid w:val="001A2050"/>
    <w:rsid w:val="001A20FD"/>
    <w:rsid w:val="001A212F"/>
    <w:rsid w:val="001A2478"/>
    <w:rsid w:val="001A2502"/>
    <w:rsid w:val="001A263B"/>
    <w:rsid w:val="001A2672"/>
    <w:rsid w:val="001A26B4"/>
    <w:rsid w:val="001A28E1"/>
    <w:rsid w:val="001A29DA"/>
    <w:rsid w:val="001A2AD9"/>
    <w:rsid w:val="001A2C03"/>
    <w:rsid w:val="001A2C63"/>
    <w:rsid w:val="001A2C92"/>
    <w:rsid w:val="001A2C9B"/>
    <w:rsid w:val="001A2D1F"/>
    <w:rsid w:val="001A2E3A"/>
    <w:rsid w:val="001A2FDC"/>
    <w:rsid w:val="001A379B"/>
    <w:rsid w:val="001A37AC"/>
    <w:rsid w:val="001A37D0"/>
    <w:rsid w:val="001A3812"/>
    <w:rsid w:val="001A3889"/>
    <w:rsid w:val="001A3B18"/>
    <w:rsid w:val="001A3B69"/>
    <w:rsid w:val="001A3C3F"/>
    <w:rsid w:val="001A3C66"/>
    <w:rsid w:val="001A3D6F"/>
    <w:rsid w:val="001A3EA1"/>
    <w:rsid w:val="001A411E"/>
    <w:rsid w:val="001A4217"/>
    <w:rsid w:val="001A4247"/>
    <w:rsid w:val="001A429C"/>
    <w:rsid w:val="001A456A"/>
    <w:rsid w:val="001A4602"/>
    <w:rsid w:val="001A47D3"/>
    <w:rsid w:val="001A484B"/>
    <w:rsid w:val="001A4958"/>
    <w:rsid w:val="001A4A2D"/>
    <w:rsid w:val="001A4B04"/>
    <w:rsid w:val="001A4BF6"/>
    <w:rsid w:val="001A4C2C"/>
    <w:rsid w:val="001A4CBE"/>
    <w:rsid w:val="001A4D22"/>
    <w:rsid w:val="001A4E91"/>
    <w:rsid w:val="001A4E9F"/>
    <w:rsid w:val="001A4EA5"/>
    <w:rsid w:val="001A4EAE"/>
    <w:rsid w:val="001A51AD"/>
    <w:rsid w:val="001A5282"/>
    <w:rsid w:val="001A530C"/>
    <w:rsid w:val="001A555E"/>
    <w:rsid w:val="001A56F4"/>
    <w:rsid w:val="001A58C6"/>
    <w:rsid w:val="001A5949"/>
    <w:rsid w:val="001A5A5E"/>
    <w:rsid w:val="001A5AC8"/>
    <w:rsid w:val="001A5B74"/>
    <w:rsid w:val="001A5E26"/>
    <w:rsid w:val="001A5E88"/>
    <w:rsid w:val="001A5F6F"/>
    <w:rsid w:val="001A6076"/>
    <w:rsid w:val="001A615C"/>
    <w:rsid w:val="001A61BF"/>
    <w:rsid w:val="001A61D9"/>
    <w:rsid w:val="001A6255"/>
    <w:rsid w:val="001A6332"/>
    <w:rsid w:val="001A698B"/>
    <w:rsid w:val="001A6A32"/>
    <w:rsid w:val="001A6C6C"/>
    <w:rsid w:val="001A6DC9"/>
    <w:rsid w:val="001A6DE1"/>
    <w:rsid w:val="001A6F20"/>
    <w:rsid w:val="001A6FD5"/>
    <w:rsid w:val="001A702C"/>
    <w:rsid w:val="001A7351"/>
    <w:rsid w:val="001A75E3"/>
    <w:rsid w:val="001A76EA"/>
    <w:rsid w:val="001A78E1"/>
    <w:rsid w:val="001A7B3A"/>
    <w:rsid w:val="001A7B8C"/>
    <w:rsid w:val="001A7DF0"/>
    <w:rsid w:val="001A7E49"/>
    <w:rsid w:val="001A7FEC"/>
    <w:rsid w:val="001B01A1"/>
    <w:rsid w:val="001B0256"/>
    <w:rsid w:val="001B0279"/>
    <w:rsid w:val="001B02AA"/>
    <w:rsid w:val="001B053A"/>
    <w:rsid w:val="001B05FB"/>
    <w:rsid w:val="001B0659"/>
    <w:rsid w:val="001B08BB"/>
    <w:rsid w:val="001B0954"/>
    <w:rsid w:val="001B09B0"/>
    <w:rsid w:val="001B0CAD"/>
    <w:rsid w:val="001B0D4E"/>
    <w:rsid w:val="001B0DBA"/>
    <w:rsid w:val="001B0EF2"/>
    <w:rsid w:val="001B0FBB"/>
    <w:rsid w:val="001B1258"/>
    <w:rsid w:val="001B179E"/>
    <w:rsid w:val="001B1860"/>
    <w:rsid w:val="001B1904"/>
    <w:rsid w:val="001B1949"/>
    <w:rsid w:val="001B198C"/>
    <w:rsid w:val="001B1A9E"/>
    <w:rsid w:val="001B1B7B"/>
    <w:rsid w:val="001B2013"/>
    <w:rsid w:val="001B210B"/>
    <w:rsid w:val="001B2144"/>
    <w:rsid w:val="001B2502"/>
    <w:rsid w:val="001B258C"/>
    <w:rsid w:val="001B2659"/>
    <w:rsid w:val="001B26B5"/>
    <w:rsid w:val="001B26DC"/>
    <w:rsid w:val="001B2846"/>
    <w:rsid w:val="001B2A5C"/>
    <w:rsid w:val="001B2CDE"/>
    <w:rsid w:val="001B2D9A"/>
    <w:rsid w:val="001B2E75"/>
    <w:rsid w:val="001B2EAA"/>
    <w:rsid w:val="001B30DA"/>
    <w:rsid w:val="001B3122"/>
    <w:rsid w:val="001B3593"/>
    <w:rsid w:val="001B3896"/>
    <w:rsid w:val="001B38A8"/>
    <w:rsid w:val="001B3974"/>
    <w:rsid w:val="001B3B9C"/>
    <w:rsid w:val="001B3DED"/>
    <w:rsid w:val="001B3EE4"/>
    <w:rsid w:val="001B41FF"/>
    <w:rsid w:val="001B42B4"/>
    <w:rsid w:val="001B4418"/>
    <w:rsid w:val="001B448B"/>
    <w:rsid w:val="001B4B2B"/>
    <w:rsid w:val="001B4BBD"/>
    <w:rsid w:val="001B4C45"/>
    <w:rsid w:val="001B4C99"/>
    <w:rsid w:val="001B4E69"/>
    <w:rsid w:val="001B4F0E"/>
    <w:rsid w:val="001B4FA1"/>
    <w:rsid w:val="001B4FBA"/>
    <w:rsid w:val="001B4FCC"/>
    <w:rsid w:val="001B50E7"/>
    <w:rsid w:val="001B512B"/>
    <w:rsid w:val="001B5211"/>
    <w:rsid w:val="001B533F"/>
    <w:rsid w:val="001B54A8"/>
    <w:rsid w:val="001B5543"/>
    <w:rsid w:val="001B5712"/>
    <w:rsid w:val="001B57B8"/>
    <w:rsid w:val="001B5819"/>
    <w:rsid w:val="001B58AD"/>
    <w:rsid w:val="001B5908"/>
    <w:rsid w:val="001B59A6"/>
    <w:rsid w:val="001B5B7C"/>
    <w:rsid w:val="001B5D16"/>
    <w:rsid w:val="001B61D7"/>
    <w:rsid w:val="001B6258"/>
    <w:rsid w:val="001B63DF"/>
    <w:rsid w:val="001B6679"/>
    <w:rsid w:val="001B68CF"/>
    <w:rsid w:val="001B6C6D"/>
    <w:rsid w:val="001B6FC6"/>
    <w:rsid w:val="001B6FFF"/>
    <w:rsid w:val="001B7014"/>
    <w:rsid w:val="001B72C2"/>
    <w:rsid w:val="001B7434"/>
    <w:rsid w:val="001B74F0"/>
    <w:rsid w:val="001B776B"/>
    <w:rsid w:val="001B78C3"/>
    <w:rsid w:val="001B7979"/>
    <w:rsid w:val="001B7BE7"/>
    <w:rsid w:val="001B7C05"/>
    <w:rsid w:val="001B7D8D"/>
    <w:rsid w:val="001C002B"/>
    <w:rsid w:val="001C00A7"/>
    <w:rsid w:val="001C0164"/>
    <w:rsid w:val="001C01E9"/>
    <w:rsid w:val="001C0261"/>
    <w:rsid w:val="001C0412"/>
    <w:rsid w:val="001C091B"/>
    <w:rsid w:val="001C0C70"/>
    <w:rsid w:val="001C0D1F"/>
    <w:rsid w:val="001C0DC9"/>
    <w:rsid w:val="001C11CA"/>
    <w:rsid w:val="001C1244"/>
    <w:rsid w:val="001C1288"/>
    <w:rsid w:val="001C12F5"/>
    <w:rsid w:val="001C1328"/>
    <w:rsid w:val="001C14B9"/>
    <w:rsid w:val="001C156C"/>
    <w:rsid w:val="001C1584"/>
    <w:rsid w:val="001C1613"/>
    <w:rsid w:val="001C1680"/>
    <w:rsid w:val="001C170D"/>
    <w:rsid w:val="001C1772"/>
    <w:rsid w:val="001C17A6"/>
    <w:rsid w:val="001C17CF"/>
    <w:rsid w:val="001C1910"/>
    <w:rsid w:val="001C19EE"/>
    <w:rsid w:val="001C1A90"/>
    <w:rsid w:val="001C1B48"/>
    <w:rsid w:val="001C1B87"/>
    <w:rsid w:val="001C1D5B"/>
    <w:rsid w:val="001C1F74"/>
    <w:rsid w:val="001C1F8A"/>
    <w:rsid w:val="001C21B0"/>
    <w:rsid w:val="001C228C"/>
    <w:rsid w:val="001C22E7"/>
    <w:rsid w:val="001C271C"/>
    <w:rsid w:val="001C2ABC"/>
    <w:rsid w:val="001C2B7D"/>
    <w:rsid w:val="001C2D3E"/>
    <w:rsid w:val="001C2DE5"/>
    <w:rsid w:val="001C2EAC"/>
    <w:rsid w:val="001C3022"/>
    <w:rsid w:val="001C306A"/>
    <w:rsid w:val="001C35FD"/>
    <w:rsid w:val="001C36E6"/>
    <w:rsid w:val="001C385C"/>
    <w:rsid w:val="001C391C"/>
    <w:rsid w:val="001C3A8F"/>
    <w:rsid w:val="001C3AFF"/>
    <w:rsid w:val="001C3C81"/>
    <w:rsid w:val="001C3D2E"/>
    <w:rsid w:val="001C3D60"/>
    <w:rsid w:val="001C3E80"/>
    <w:rsid w:val="001C3F09"/>
    <w:rsid w:val="001C3FA5"/>
    <w:rsid w:val="001C405C"/>
    <w:rsid w:val="001C41C4"/>
    <w:rsid w:val="001C4335"/>
    <w:rsid w:val="001C43BD"/>
    <w:rsid w:val="001C43F1"/>
    <w:rsid w:val="001C4481"/>
    <w:rsid w:val="001C4638"/>
    <w:rsid w:val="001C474B"/>
    <w:rsid w:val="001C4D21"/>
    <w:rsid w:val="001C4EA6"/>
    <w:rsid w:val="001C5107"/>
    <w:rsid w:val="001C510F"/>
    <w:rsid w:val="001C516A"/>
    <w:rsid w:val="001C52B9"/>
    <w:rsid w:val="001C534E"/>
    <w:rsid w:val="001C5409"/>
    <w:rsid w:val="001C5535"/>
    <w:rsid w:val="001C55B3"/>
    <w:rsid w:val="001C55EF"/>
    <w:rsid w:val="001C5694"/>
    <w:rsid w:val="001C5836"/>
    <w:rsid w:val="001C5875"/>
    <w:rsid w:val="001C5933"/>
    <w:rsid w:val="001C59D2"/>
    <w:rsid w:val="001C5A17"/>
    <w:rsid w:val="001C5C3F"/>
    <w:rsid w:val="001C5F04"/>
    <w:rsid w:val="001C5F3D"/>
    <w:rsid w:val="001C5F62"/>
    <w:rsid w:val="001C60AB"/>
    <w:rsid w:val="001C60E2"/>
    <w:rsid w:val="001C628D"/>
    <w:rsid w:val="001C630E"/>
    <w:rsid w:val="001C63A4"/>
    <w:rsid w:val="001C641E"/>
    <w:rsid w:val="001C64AE"/>
    <w:rsid w:val="001C6596"/>
    <w:rsid w:val="001C666D"/>
    <w:rsid w:val="001C682F"/>
    <w:rsid w:val="001C69F9"/>
    <w:rsid w:val="001C69FB"/>
    <w:rsid w:val="001C6A26"/>
    <w:rsid w:val="001C6C6C"/>
    <w:rsid w:val="001C6D64"/>
    <w:rsid w:val="001C6DA5"/>
    <w:rsid w:val="001C6FD1"/>
    <w:rsid w:val="001C70CF"/>
    <w:rsid w:val="001C70DB"/>
    <w:rsid w:val="001C72A8"/>
    <w:rsid w:val="001C73EA"/>
    <w:rsid w:val="001C7557"/>
    <w:rsid w:val="001C781B"/>
    <w:rsid w:val="001C79F9"/>
    <w:rsid w:val="001C7AD6"/>
    <w:rsid w:val="001C7E22"/>
    <w:rsid w:val="001C7E88"/>
    <w:rsid w:val="001D0110"/>
    <w:rsid w:val="001D01FC"/>
    <w:rsid w:val="001D0361"/>
    <w:rsid w:val="001D0500"/>
    <w:rsid w:val="001D0763"/>
    <w:rsid w:val="001D0975"/>
    <w:rsid w:val="001D09A4"/>
    <w:rsid w:val="001D0DDC"/>
    <w:rsid w:val="001D0E47"/>
    <w:rsid w:val="001D0E62"/>
    <w:rsid w:val="001D11F0"/>
    <w:rsid w:val="001D12F4"/>
    <w:rsid w:val="001D13BB"/>
    <w:rsid w:val="001D13BD"/>
    <w:rsid w:val="001D15D4"/>
    <w:rsid w:val="001D1718"/>
    <w:rsid w:val="001D1770"/>
    <w:rsid w:val="001D195E"/>
    <w:rsid w:val="001D199D"/>
    <w:rsid w:val="001D1AA2"/>
    <w:rsid w:val="001D1C1D"/>
    <w:rsid w:val="001D1C24"/>
    <w:rsid w:val="001D1E85"/>
    <w:rsid w:val="001D1F42"/>
    <w:rsid w:val="001D1FA3"/>
    <w:rsid w:val="001D203D"/>
    <w:rsid w:val="001D2267"/>
    <w:rsid w:val="001D2602"/>
    <w:rsid w:val="001D2638"/>
    <w:rsid w:val="001D268F"/>
    <w:rsid w:val="001D26C3"/>
    <w:rsid w:val="001D2731"/>
    <w:rsid w:val="001D2786"/>
    <w:rsid w:val="001D2926"/>
    <w:rsid w:val="001D2BEF"/>
    <w:rsid w:val="001D2C8A"/>
    <w:rsid w:val="001D2D14"/>
    <w:rsid w:val="001D2DA8"/>
    <w:rsid w:val="001D2EFE"/>
    <w:rsid w:val="001D30E3"/>
    <w:rsid w:val="001D3279"/>
    <w:rsid w:val="001D32A4"/>
    <w:rsid w:val="001D3715"/>
    <w:rsid w:val="001D38F7"/>
    <w:rsid w:val="001D3A62"/>
    <w:rsid w:val="001D3B74"/>
    <w:rsid w:val="001D3B7E"/>
    <w:rsid w:val="001D3C1C"/>
    <w:rsid w:val="001D3DAC"/>
    <w:rsid w:val="001D3F54"/>
    <w:rsid w:val="001D409C"/>
    <w:rsid w:val="001D40E6"/>
    <w:rsid w:val="001D40F3"/>
    <w:rsid w:val="001D4418"/>
    <w:rsid w:val="001D475F"/>
    <w:rsid w:val="001D4832"/>
    <w:rsid w:val="001D48BB"/>
    <w:rsid w:val="001D48D8"/>
    <w:rsid w:val="001D48DC"/>
    <w:rsid w:val="001D4943"/>
    <w:rsid w:val="001D494A"/>
    <w:rsid w:val="001D4983"/>
    <w:rsid w:val="001D49BA"/>
    <w:rsid w:val="001D49CE"/>
    <w:rsid w:val="001D4A31"/>
    <w:rsid w:val="001D4B01"/>
    <w:rsid w:val="001D4B45"/>
    <w:rsid w:val="001D4C98"/>
    <w:rsid w:val="001D4CD1"/>
    <w:rsid w:val="001D4D66"/>
    <w:rsid w:val="001D4EA8"/>
    <w:rsid w:val="001D5032"/>
    <w:rsid w:val="001D5044"/>
    <w:rsid w:val="001D50F5"/>
    <w:rsid w:val="001D515A"/>
    <w:rsid w:val="001D51C7"/>
    <w:rsid w:val="001D51D6"/>
    <w:rsid w:val="001D5342"/>
    <w:rsid w:val="001D578C"/>
    <w:rsid w:val="001D58ED"/>
    <w:rsid w:val="001D597A"/>
    <w:rsid w:val="001D59C5"/>
    <w:rsid w:val="001D5C30"/>
    <w:rsid w:val="001D5DDF"/>
    <w:rsid w:val="001D6399"/>
    <w:rsid w:val="001D6527"/>
    <w:rsid w:val="001D6539"/>
    <w:rsid w:val="001D663F"/>
    <w:rsid w:val="001D668D"/>
    <w:rsid w:val="001D692A"/>
    <w:rsid w:val="001D6966"/>
    <w:rsid w:val="001D6A77"/>
    <w:rsid w:val="001D6B11"/>
    <w:rsid w:val="001D6BDD"/>
    <w:rsid w:val="001D6BF9"/>
    <w:rsid w:val="001D6CC1"/>
    <w:rsid w:val="001D6EA7"/>
    <w:rsid w:val="001D6FFD"/>
    <w:rsid w:val="001D7005"/>
    <w:rsid w:val="001D7086"/>
    <w:rsid w:val="001D71B3"/>
    <w:rsid w:val="001D71D1"/>
    <w:rsid w:val="001D71F8"/>
    <w:rsid w:val="001D7251"/>
    <w:rsid w:val="001D72C5"/>
    <w:rsid w:val="001D72FC"/>
    <w:rsid w:val="001D7328"/>
    <w:rsid w:val="001D74E7"/>
    <w:rsid w:val="001D750B"/>
    <w:rsid w:val="001D763F"/>
    <w:rsid w:val="001D766C"/>
    <w:rsid w:val="001D77F1"/>
    <w:rsid w:val="001D7A03"/>
    <w:rsid w:val="001D7A92"/>
    <w:rsid w:val="001D7AFA"/>
    <w:rsid w:val="001D7CAD"/>
    <w:rsid w:val="001D7CD3"/>
    <w:rsid w:val="001D7EFC"/>
    <w:rsid w:val="001D7FC6"/>
    <w:rsid w:val="001E01A1"/>
    <w:rsid w:val="001E0229"/>
    <w:rsid w:val="001E04BB"/>
    <w:rsid w:val="001E05C2"/>
    <w:rsid w:val="001E06CA"/>
    <w:rsid w:val="001E09C9"/>
    <w:rsid w:val="001E09E8"/>
    <w:rsid w:val="001E0C2C"/>
    <w:rsid w:val="001E0CA1"/>
    <w:rsid w:val="001E0EAC"/>
    <w:rsid w:val="001E0F5A"/>
    <w:rsid w:val="001E0FCA"/>
    <w:rsid w:val="001E144E"/>
    <w:rsid w:val="001E1630"/>
    <w:rsid w:val="001E168D"/>
    <w:rsid w:val="001E1735"/>
    <w:rsid w:val="001E1784"/>
    <w:rsid w:val="001E1ABE"/>
    <w:rsid w:val="001E1E0E"/>
    <w:rsid w:val="001E1E38"/>
    <w:rsid w:val="001E1E96"/>
    <w:rsid w:val="001E2084"/>
    <w:rsid w:val="001E228F"/>
    <w:rsid w:val="001E22D1"/>
    <w:rsid w:val="001E23F4"/>
    <w:rsid w:val="001E2423"/>
    <w:rsid w:val="001E2441"/>
    <w:rsid w:val="001E2491"/>
    <w:rsid w:val="001E24F3"/>
    <w:rsid w:val="001E25AA"/>
    <w:rsid w:val="001E28A6"/>
    <w:rsid w:val="001E2911"/>
    <w:rsid w:val="001E2AA8"/>
    <w:rsid w:val="001E2BAD"/>
    <w:rsid w:val="001E2CA0"/>
    <w:rsid w:val="001E2D0E"/>
    <w:rsid w:val="001E2FEA"/>
    <w:rsid w:val="001E300C"/>
    <w:rsid w:val="001E310D"/>
    <w:rsid w:val="001E3181"/>
    <w:rsid w:val="001E31C0"/>
    <w:rsid w:val="001E321E"/>
    <w:rsid w:val="001E323F"/>
    <w:rsid w:val="001E32DE"/>
    <w:rsid w:val="001E37F3"/>
    <w:rsid w:val="001E37FA"/>
    <w:rsid w:val="001E39E9"/>
    <w:rsid w:val="001E3A37"/>
    <w:rsid w:val="001E3CD3"/>
    <w:rsid w:val="001E3D38"/>
    <w:rsid w:val="001E3D3E"/>
    <w:rsid w:val="001E3D8A"/>
    <w:rsid w:val="001E3DAF"/>
    <w:rsid w:val="001E3FA3"/>
    <w:rsid w:val="001E408A"/>
    <w:rsid w:val="001E4430"/>
    <w:rsid w:val="001E45BA"/>
    <w:rsid w:val="001E45E5"/>
    <w:rsid w:val="001E46F5"/>
    <w:rsid w:val="001E4934"/>
    <w:rsid w:val="001E495F"/>
    <w:rsid w:val="001E49DF"/>
    <w:rsid w:val="001E4BEC"/>
    <w:rsid w:val="001E4C59"/>
    <w:rsid w:val="001E4C70"/>
    <w:rsid w:val="001E4DDC"/>
    <w:rsid w:val="001E5183"/>
    <w:rsid w:val="001E5239"/>
    <w:rsid w:val="001E532E"/>
    <w:rsid w:val="001E533F"/>
    <w:rsid w:val="001E5363"/>
    <w:rsid w:val="001E56F1"/>
    <w:rsid w:val="001E571C"/>
    <w:rsid w:val="001E5A13"/>
    <w:rsid w:val="001E5AF8"/>
    <w:rsid w:val="001E5AFF"/>
    <w:rsid w:val="001E5DA5"/>
    <w:rsid w:val="001E5DB1"/>
    <w:rsid w:val="001E5EBA"/>
    <w:rsid w:val="001E628E"/>
    <w:rsid w:val="001E6400"/>
    <w:rsid w:val="001E644F"/>
    <w:rsid w:val="001E646B"/>
    <w:rsid w:val="001E64CB"/>
    <w:rsid w:val="001E65BC"/>
    <w:rsid w:val="001E668A"/>
    <w:rsid w:val="001E66ED"/>
    <w:rsid w:val="001E6725"/>
    <w:rsid w:val="001E68F5"/>
    <w:rsid w:val="001E6C49"/>
    <w:rsid w:val="001E6DC1"/>
    <w:rsid w:val="001E6F42"/>
    <w:rsid w:val="001E6F50"/>
    <w:rsid w:val="001E6FAF"/>
    <w:rsid w:val="001E6FB2"/>
    <w:rsid w:val="001E70B2"/>
    <w:rsid w:val="001E712D"/>
    <w:rsid w:val="001E7205"/>
    <w:rsid w:val="001E73F8"/>
    <w:rsid w:val="001E74DC"/>
    <w:rsid w:val="001E756D"/>
    <w:rsid w:val="001E761F"/>
    <w:rsid w:val="001E763F"/>
    <w:rsid w:val="001E778D"/>
    <w:rsid w:val="001E77BB"/>
    <w:rsid w:val="001E7CD0"/>
    <w:rsid w:val="001E7EAE"/>
    <w:rsid w:val="001F00D0"/>
    <w:rsid w:val="001F0315"/>
    <w:rsid w:val="001F04F4"/>
    <w:rsid w:val="001F0BE3"/>
    <w:rsid w:val="001F0D54"/>
    <w:rsid w:val="001F0DBD"/>
    <w:rsid w:val="001F0DFC"/>
    <w:rsid w:val="001F0DFE"/>
    <w:rsid w:val="001F0EFB"/>
    <w:rsid w:val="001F0F50"/>
    <w:rsid w:val="001F10F0"/>
    <w:rsid w:val="001F1184"/>
    <w:rsid w:val="001F1216"/>
    <w:rsid w:val="001F148C"/>
    <w:rsid w:val="001F148F"/>
    <w:rsid w:val="001F15F2"/>
    <w:rsid w:val="001F163A"/>
    <w:rsid w:val="001F1656"/>
    <w:rsid w:val="001F16A6"/>
    <w:rsid w:val="001F1714"/>
    <w:rsid w:val="001F1733"/>
    <w:rsid w:val="001F1744"/>
    <w:rsid w:val="001F17EB"/>
    <w:rsid w:val="001F191A"/>
    <w:rsid w:val="001F1B05"/>
    <w:rsid w:val="001F1BAC"/>
    <w:rsid w:val="001F1D20"/>
    <w:rsid w:val="001F1FEF"/>
    <w:rsid w:val="001F2132"/>
    <w:rsid w:val="001F2136"/>
    <w:rsid w:val="001F21D0"/>
    <w:rsid w:val="001F2354"/>
    <w:rsid w:val="001F261B"/>
    <w:rsid w:val="001F27CA"/>
    <w:rsid w:val="001F2849"/>
    <w:rsid w:val="001F28BE"/>
    <w:rsid w:val="001F2C06"/>
    <w:rsid w:val="001F2C2B"/>
    <w:rsid w:val="001F2CAB"/>
    <w:rsid w:val="001F2D30"/>
    <w:rsid w:val="001F2F4B"/>
    <w:rsid w:val="001F3049"/>
    <w:rsid w:val="001F338F"/>
    <w:rsid w:val="001F33A9"/>
    <w:rsid w:val="001F3411"/>
    <w:rsid w:val="001F3534"/>
    <w:rsid w:val="001F363B"/>
    <w:rsid w:val="001F3660"/>
    <w:rsid w:val="001F397B"/>
    <w:rsid w:val="001F39CA"/>
    <w:rsid w:val="001F3A0D"/>
    <w:rsid w:val="001F3A8C"/>
    <w:rsid w:val="001F3AA8"/>
    <w:rsid w:val="001F3B46"/>
    <w:rsid w:val="001F3D9F"/>
    <w:rsid w:val="001F4070"/>
    <w:rsid w:val="001F4088"/>
    <w:rsid w:val="001F41C9"/>
    <w:rsid w:val="001F41D3"/>
    <w:rsid w:val="001F41F2"/>
    <w:rsid w:val="001F438F"/>
    <w:rsid w:val="001F4524"/>
    <w:rsid w:val="001F46C2"/>
    <w:rsid w:val="001F4A85"/>
    <w:rsid w:val="001F4B1A"/>
    <w:rsid w:val="001F4B38"/>
    <w:rsid w:val="001F4C68"/>
    <w:rsid w:val="001F4F7E"/>
    <w:rsid w:val="001F5273"/>
    <w:rsid w:val="001F554D"/>
    <w:rsid w:val="001F55D6"/>
    <w:rsid w:val="001F5668"/>
    <w:rsid w:val="001F5785"/>
    <w:rsid w:val="001F59E9"/>
    <w:rsid w:val="001F5A66"/>
    <w:rsid w:val="001F5BBC"/>
    <w:rsid w:val="001F5C85"/>
    <w:rsid w:val="001F5F4B"/>
    <w:rsid w:val="001F66E7"/>
    <w:rsid w:val="001F67EC"/>
    <w:rsid w:val="001F67F2"/>
    <w:rsid w:val="001F6838"/>
    <w:rsid w:val="001F6A07"/>
    <w:rsid w:val="001F6C49"/>
    <w:rsid w:val="001F6C6A"/>
    <w:rsid w:val="001F6E7A"/>
    <w:rsid w:val="001F71DD"/>
    <w:rsid w:val="001F7396"/>
    <w:rsid w:val="001F74E4"/>
    <w:rsid w:val="001F75F4"/>
    <w:rsid w:val="001F7823"/>
    <w:rsid w:val="001F78D7"/>
    <w:rsid w:val="001F7A39"/>
    <w:rsid w:val="001F7ABC"/>
    <w:rsid w:val="001F7B97"/>
    <w:rsid w:val="001F7BE5"/>
    <w:rsid w:val="001F7C22"/>
    <w:rsid w:val="001F7CA9"/>
    <w:rsid w:val="001F7D32"/>
    <w:rsid w:val="001F7DFE"/>
    <w:rsid w:val="001F7F37"/>
    <w:rsid w:val="0020000A"/>
    <w:rsid w:val="00200087"/>
    <w:rsid w:val="002000B1"/>
    <w:rsid w:val="002000E4"/>
    <w:rsid w:val="0020029A"/>
    <w:rsid w:val="002002A9"/>
    <w:rsid w:val="00200359"/>
    <w:rsid w:val="00200435"/>
    <w:rsid w:val="002005AB"/>
    <w:rsid w:val="0020060D"/>
    <w:rsid w:val="00200752"/>
    <w:rsid w:val="0020076E"/>
    <w:rsid w:val="00200B0C"/>
    <w:rsid w:val="00200CF6"/>
    <w:rsid w:val="00200D14"/>
    <w:rsid w:val="00200ECE"/>
    <w:rsid w:val="00200EDF"/>
    <w:rsid w:val="00200F28"/>
    <w:rsid w:val="0020119C"/>
    <w:rsid w:val="002014D6"/>
    <w:rsid w:val="002014FF"/>
    <w:rsid w:val="002015CE"/>
    <w:rsid w:val="002015FA"/>
    <w:rsid w:val="002016B7"/>
    <w:rsid w:val="002019DE"/>
    <w:rsid w:val="00201B93"/>
    <w:rsid w:val="00201C8C"/>
    <w:rsid w:val="00201D49"/>
    <w:rsid w:val="00201F67"/>
    <w:rsid w:val="00201F81"/>
    <w:rsid w:val="00201FD0"/>
    <w:rsid w:val="002020AA"/>
    <w:rsid w:val="002021A7"/>
    <w:rsid w:val="002022A5"/>
    <w:rsid w:val="00202493"/>
    <w:rsid w:val="00202550"/>
    <w:rsid w:val="002025D0"/>
    <w:rsid w:val="002026A5"/>
    <w:rsid w:val="0020284B"/>
    <w:rsid w:val="00202CEB"/>
    <w:rsid w:val="00202E4A"/>
    <w:rsid w:val="00203047"/>
    <w:rsid w:val="002032AD"/>
    <w:rsid w:val="0020336D"/>
    <w:rsid w:val="0020342C"/>
    <w:rsid w:val="0020350D"/>
    <w:rsid w:val="0020396B"/>
    <w:rsid w:val="00203BF4"/>
    <w:rsid w:val="00203C46"/>
    <w:rsid w:val="00203E2E"/>
    <w:rsid w:val="00203F71"/>
    <w:rsid w:val="00204053"/>
    <w:rsid w:val="00204060"/>
    <w:rsid w:val="002043BD"/>
    <w:rsid w:val="002043D8"/>
    <w:rsid w:val="002044EC"/>
    <w:rsid w:val="00204681"/>
    <w:rsid w:val="002047A6"/>
    <w:rsid w:val="00204897"/>
    <w:rsid w:val="002048B4"/>
    <w:rsid w:val="00204D31"/>
    <w:rsid w:val="00204EF9"/>
    <w:rsid w:val="002053DD"/>
    <w:rsid w:val="002053F2"/>
    <w:rsid w:val="002054AC"/>
    <w:rsid w:val="0020554A"/>
    <w:rsid w:val="002056F5"/>
    <w:rsid w:val="00205712"/>
    <w:rsid w:val="0020586F"/>
    <w:rsid w:val="00205A14"/>
    <w:rsid w:val="00205AAE"/>
    <w:rsid w:val="00205B7B"/>
    <w:rsid w:val="00205C66"/>
    <w:rsid w:val="00205F03"/>
    <w:rsid w:val="00206310"/>
    <w:rsid w:val="002063B7"/>
    <w:rsid w:val="00206419"/>
    <w:rsid w:val="002065C7"/>
    <w:rsid w:val="00206632"/>
    <w:rsid w:val="002066A8"/>
    <w:rsid w:val="00206884"/>
    <w:rsid w:val="00206B16"/>
    <w:rsid w:val="00206C2A"/>
    <w:rsid w:val="00206DA6"/>
    <w:rsid w:val="00206E4B"/>
    <w:rsid w:val="00206F45"/>
    <w:rsid w:val="00206FB2"/>
    <w:rsid w:val="00207006"/>
    <w:rsid w:val="0020709E"/>
    <w:rsid w:val="002071F7"/>
    <w:rsid w:val="002072EB"/>
    <w:rsid w:val="00207615"/>
    <w:rsid w:val="002077EB"/>
    <w:rsid w:val="0020792F"/>
    <w:rsid w:val="0020793A"/>
    <w:rsid w:val="002079B5"/>
    <w:rsid w:val="00207B0C"/>
    <w:rsid w:val="00207B2C"/>
    <w:rsid w:val="00207D19"/>
    <w:rsid w:val="002101C2"/>
    <w:rsid w:val="002102E5"/>
    <w:rsid w:val="00210366"/>
    <w:rsid w:val="002106BF"/>
    <w:rsid w:val="00210831"/>
    <w:rsid w:val="00210A0C"/>
    <w:rsid w:val="00210C18"/>
    <w:rsid w:val="00210C31"/>
    <w:rsid w:val="00210C7B"/>
    <w:rsid w:val="00210C92"/>
    <w:rsid w:val="00210CCB"/>
    <w:rsid w:val="00210D27"/>
    <w:rsid w:val="00210D37"/>
    <w:rsid w:val="00210DB5"/>
    <w:rsid w:val="00210DBC"/>
    <w:rsid w:val="00210EA8"/>
    <w:rsid w:val="00210ECB"/>
    <w:rsid w:val="00210F3C"/>
    <w:rsid w:val="002111BF"/>
    <w:rsid w:val="00211291"/>
    <w:rsid w:val="0021139B"/>
    <w:rsid w:val="00211880"/>
    <w:rsid w:val="00211A21"/>
    <w:rsid w:val="00211A80"/>
    <w:rsid w:val="00211B0F"/>
    <w:rsid w:val="00211C1C"/>
    <w:rsid w:val="002120EA"/>
    <w:rsid w:val="00212615"/>
    <w:rsid w:val="00212800"/>
    <w:rsid w:val="00212AAE"/>
    <w:rsid w:val="00212E9F"/>
    <w:rsid w:val="00212F04"/>
    <w:rsid w:val="00212FD5"/>
    <w:rsid w:val="00213100"/>
    <w:rsid w:val="002131EB"/>
    <w:rsid w:val="0021324D"/>
    <w:rsid w:val="0021348C"/>
    <w:rsid w:val="002137D4"/>
    <w:rsid w:val="0021383F"/>
    <w:rsid w:val="00213A7F"/>
    <w:rsid w:val="00213AF5"/>
    <w:rsid w:val="00213B34"/>
    <w:rsid w:val="00213C65"/>
    <w:rsid w:val="00213F4C"/>
    <w:rsid w:val="00213FF9"/>
    <w:rsid w:val="002142A3"/>
    <w:rsid w:val="002142C6"/>
    <w:rsid w:val="002142DE"/>
    <w:rsid w:val="0021440D"/>
    <w:rsid w:val="00214431"/>
    <w:rsid w:val="00214558"/>
    <w:rsid w:val="0021477A"/>
    <w:rsid w:val="00214961"/>
    <w:rsid w:val="00214BD6"/>
    <w:rsid w:val="00214BDE"/>
    <w:rsid w:val="00214D49"/>
    <w:rsid w:val="00214FFC"/>
    <w:rsid w:val="002150F3"/>
    <w:rsid w:val="002153E7"/>
    <w:rsid w:val="00215685"/>
    <w:rsid w:val="00215799"/>
    <w:rsid w:val="00215859"/>
    <w:rsid w:val="002158B8"/>
    <w:rsid w:val="002159E9"/>
    <w:rsid w:val="00215DC0"/>
    <w:rsid w:val="00215E71"/>
    <w:rsid w:val="00215EEC"/>
    <w:rsid w:val="0021614A"/>
    <w:rsid w:val="002162D0"/>
    <w:rsid w:val="002166E7"/>
    <w:rsid w:val="002168EC"/>
    <w:rsid w:val="002169E1"/>
    <w:rsid w:val="002169F9"/>
    <w:rsid w:val="00216B1E"/>
    <w:rsid w:val="00216B47"/>
    <w:rsid w:val="00216C02"/>
    <w:rsid w:val="00216D61"/>
    <w:rsid w:val="00216DA3"/>
    <w:rsid w:val="00216F7B"/>
    <w:rsid w:val="00216FEE"/>
    <w:rsid w:val="0021702A"/>
    <w:rsid w:val="002170D0"/>
    <w:rsid w:val="00217272"/>
    <w:rsid w:val="002175EA"/>
    <w:rsid w:val="0021773F"/>
    <w:rsid w:val="002178D1"/>
    <w:rsid w:val="00217AB3"/>
    <w:rsid w:val="00217B7E"/>
    <w:rsid w:val="00217D96"/>
    <w:rsid w:val="00217F3D"/>
    <w:rsid w:val="0022005E"/>
    <w:rsid w:val="00220149"/>
    <w:rsid w:val="0022017E"/>
    <w:rsid w:val="00220218"/>
    <w:rsid w:val="002204C3"/>
    <w:rsid w:val="0022067A"/>
    <w:rsid w:val="00220966"/>
    <w:rsid w:val="00220A14"/>
    <w:rsid w:val="00220AD7"/>
    <w:rsid w:val="00220B13"/>
    <w:rsid w:val="00220DB4"/>
    <w:rsid w:val="00220EB8"/>
    <w:rsid w:val="00220F97"/>
    <w:rsid w:val="0022114A"/>
    <w:rsid w:val="00221243"/>
    <w:rsid w:val="002212B0"/>
    <w:rsid w:val="002212F3"/>
    <w:rsid w:val="00221386"/>
    <w:rsid w:val="00221400"/>
    <w:rsid w:val="00221462"/>
    <w:rsid w:val="002214ED"/>
    <w:rsid w:val="0022165F"/>
    <w:rsid w:val="0022179A"/>
    <w:rsid w:val="00221896"/>
    <w:rsid w:val="00221967"/>
    <w:rsid w:val="00221991"/>
    <w:rsid w:val="00221A12"/>
    <w:rsid w:val="00221AEE"/>
    <w:rsid w:val="00221E4B"/>
    <w:rsid w:val="00221ECE"/>
    <w:rsid w:val="00221F62"/>
    <w:rsid w:val="00222052"/>
    <w:rsid w:val="002221F4"/>
    <w:rsid w:val="00222326"/>
    <w:rsid w:val="00222487"/>
    <w:rsid w:val="002224CA"/>
    <w:rsid w:val="002224D0"/>
    <w:rsid w:val="002225ED"/>
    <w:rsid w:val="002226C9"/>
    <w:rsid w:val="0022276D"/>
    <w:rsid w:val="002228F1"/>
    <w:rsid w:val="002229EF"/>
    <w:rsid w:val="00222A58"/>
    <w:rsid w:val="0022314D"/>
    <w:rsid w:val="002231E8"/>
    <w:rsid w:val="00223333"/>
    <w:rsid w:val="0022361F"/>
    <w:rsid w:val="0022385D"/>
    <w:rsid w:val="0022398E"/>
    <w:rsid w:val="002239DF"/>
    <w:rsid w:val="00223D54"/>
    <w:rsid w:val="00223DAC"/>
    <w:rsid w:val="00223FE3"/>
    <w:rsid w:val="00224195"/>
    <w:rsid w:val="00224353"/>
    <w:rsid w:val="002244C7"/>
    <w:rsid w:val="002245B4"/>
    <w:rsid w:val="002248A7"/>
    <w:rsid w:val="0022492E"/>
    <w:rsid w:val="00224A71"/>
    <w:rsid w:val="00224BD4"/>
    <w:rsid w:val="00224F3C"/>
    <w:rsid w:val="00225036"/>
    <w:rsid w:val="0022510A"/>
    <w:rsid w:val="0022512F"/>
    <w:rsid w:val="0022525F"/>
    <w:rsid w:val="002252D1"/>
    <w:rsid w:val="00225331"/>
    <w:rsid w:val="00225393"/>
    <w:rsid w:val="00225396"/>
    <w:rsid w:val="00225610"/>
    <w:rsid w:val="002257D7"/>
    <w:rsid w:val="002258A7"/>
    <w:rsid w:val="002258C7"/>
    <w:rsid w:val="00225936"/>
    <w:rsid w:val="00225957"/>
    <w:rsid w:val="00225AE9"/>
    <w:rsid w:val="00225B6B"/>
    <w:rsid w:val="00225C58"/>
    <w:rsid w:val="00225E93"/>
    <w:rsid w:val="00225EB0"/>
    <w:rsid w:val="00226213"/>
    <w:rsid w:val="0022630A"/>
    <w:rsid w:val="00226350"/>
    <w:rsid w:val="0022635A"/>
    <w:rsid w:val="00226368"/>
    <w:rsid w:val="0022638C"/>
    <w:rsid w:val="00226401"/>
    <w:rsid w:val="00226465"/>
    <w:rsid w:val="00226542"/>
    <w:rsid w:val="0022683C"/>
    <w:rsid w:val="00226C7F"/>
    <w:rsid w:val="00226CD1"/>
    <w:rsid w:val="00227065"/>
    <w:rsid w:val="0022724D"/>
    <w:rsid w:val="00227290"/>
    <w:rsid w:val="00227407"/>
    <w:rsid w:val="002274C6"/>
    <w:rsid w:val="00227669"/>
    <w:rsid w:val="002279CA"/>
    <w:rsid w:val="00227BB1"/>
    <w:rsid w:val="00227CB1"/>
    <w:rsid w:val="00227CBF"/>
    <w:rsid w:val="00227DC5"/>
    <w:rsid w:val="00227E18"/>
    <w:rsid w:val="00227E40"/>
    <w:rsid w:val="00227EB8"/>
    <w:rsid w:val="00227F21"/>
    <w:rsid w:val="00227F40"/>
    <w:rsid w:val="00227F8F"/>
    <w:rsid w:val="00230001"/>
    <w:rsid w:val="002301ED"/>
    <w:rsid w:val="00230205"/>
    <w:rsid w:val="0023039B"/>
    <w:rsid w:val="00230518"/>
    <w:rsid w:val="002306CA"/>
    <w:rsid w:val="00230766"/>
    <w:rsid w:val="00230A37"/>
    <w:rsid w:val="00230AAD"/>
    <w:rsid w:val="00230BA0"/>
    <w:rsid w:val="00230BAE"/>
    <w:rsid w:val="00230BDD"/>
    <w:rsid w:val="00230BF5"/>
    <w:rsid w:val="00230E66"/>
    <w:rsid w:val="00230F79"/>
    <w:rsid w:val="00230F97"/>
    <w:rsid w:val="002313B2"/>
    <w:rsid w:val="00231466"/>
    <w:rsid w:val="0023149B"/>
    <w:rsid w:val="002314AC"/>
    <w:rsid w:val="002314D1"/>
    <w:rsid w:val="00231549"/>
    <w:rsid w:val="00231890"/>
    <w:rsid w:val="00231B90"/>
    <w:rsid w:val="00231D8F"/>
    <w:rsid w:val="00231DA1"/>
    <w:rsid w:val="00231E05"/>
    <w:rsid w:val="00231E2C"/>
    <w:rsid w:val="00231EBC"/>
    <w:rsid w:val="00231F91"/>
    <w:rsid w:val="002322FD"/>
    <w:rsid w:val="002324C1"/>
    <w:rsid w:val="00232621"/>
    <w:rsid w:val="002327D5"/>
    <w:rsid w:val="002328CE"/>
    <w:rsid w:val="00232B8B"/>
    <w:rsid w:val="00232C7F"/>
    <w:rsid w:val="002330A4"/>
    <w:rsid w:val="00233225"/>
    <w:rsid w:val="00233294"/>
    <w:rsid w:val="002332D2"/>
    <w:rsid w:val="002333E6"/>
    <w:rsid w:val="002334FE"/>
    <w:rsid w:val="00233563"/>
    <w:rsid w:val="00233647"/>
    <w:rsid w:val="00233741"/>
    <w:rsid w:val="00233A02"/>
    <w:rsid w:val="00233A65"/>
    <w:rsid w:val="00233ADB"/>
    <w:rsid w:val="00233CEE"/>
    <w:rsid w:val="00233FB7"/>
    <w:rsid w:val="0023445F"/>
    <w:rsid w:val="00234673"/>
    <w:rsid w:val="00234684"/>
    <w:rsid w:val="00234745"/>
    <w:rsid w:val="00234957"/>
    <w:rsid w:val="002349B1"/>
    <w:rsid w:val="002349D3"/>
    <w:rsid w:val="002349F9"/>
    <w:rsid w:val="00234A0A"/>
    <w:rsid w:val="00234B01"/>
    <w:rsid w:val="00234E7B"/>
    <w:rsid w:val="00234F29"/>
    <w:rsid w:val="00234F2B"/>
    <w:rsid w:val="00234F34"/>
    <w:rsid w:val="00234F7F"/>
    <w:rsid w:val="00234FAB"/>
    <w:rsid w:val="00235076"/>
    <w:rsid w:val="002350A3"/>
    <w:rsid w:val="0023515A"/>
    <w:rsid w:val="00235205"/>
    <w:rsid w:val="00235278"/>
    <w:rsid w:val="002355EB"/>
    <w:rsid w:val="00235677"/>
    <w:rsid w:val="0023577A"/>
    <w:rsid w:val="0023582E"/>
    <w:rsid w:val="0023598C"/>
    <w:rsid w:val="002359AA"/>
    <w:rsid w:val="00235A93"/>
    <w:rsid w:val="00235B75"/>
    <w:rsid w:val="00235BD7"/>
    <w:rsid w:val="002362E7"/>
    <w:rsid w:val="002363FE"/>
    <w:rsid w:val="00236444"/>
    <w:rsid w:val="002364A6"/>
    <w:rsid w:val="002364DA"/>
    <w:rsid w:val="0023665E"/>
    <w:rsid w:val="0023668F"/>
    <w:rsid w:val="002366BF"/>
    <w:rsid w:val="00236795"/>
    <w:rsid w:val="0023683E"/>
    <w:rsid w:val="002368B5"/>
    <w:rsid w:val="0023696C"/>
    <w:rsid w:val="0023697D"/>
    <w:rsid w:val="00236BFA"/>
    <w:rsid w:val="00236E23"/>
    <w:rsid w:val="00236E32"/>
    <w:rsid w:val="00236E37"/>
    <w:rsid w:val="0023704C"/>
    <w:rsid w:val="0023781F"/>
    <w:rsid w:val="002378D5"/>
    <w:rsid w:val="00237A87"/>
    <w:rsid w:val="00237BD6"/>
    <w:rsid w:val="00237D4C"/>
    <w:rsid w:val="00237F74"/>
    <w:rsid w:val="002400EE"/>
    <w:rsid w:val="002401A1"/>
    <w:rsid w:val="002402A3"/>
    <w:rsid w:val="002402AB"/>
    <w:rsid w:val="0024039A"/>
    <w:rsid w:val="002403AA"/>
    <w:rsid w:val="002404AF"/>
    <w:rsid w:val="00240670"/>
    <w:rsid w:val="00240726"/>
    <w:rsid w:val="00240A06"/>
    <w:rsid w:val="00240B92"/>
    <w:rsid w:val="00240C3E"/>
    <w:rsid w:val="00240EAA"/>
    <w:rsid w:val="00240F1E"/>
    <w:rsid w:val="00240F31"/>
    <w:rsid w:val="00240F85"/>
    <w:rsid w:val="002410D0"/>
    <w:rsid w:val="00241293"/>
    <w:rsid w:val="002412BA"/>
    <w:rsid w:val="002413D0"/>
    <w:rsid w:val="00241473"/>
    <w:rsid w:val="0024167A"/>
    <w:rsid w:val="00241752"/>
    <w:rsid w:val="00241804"/>
    <w:rsid w:val="00241CE6"/>
    <w:rsid w:val="00241D52"/>
    <w:rsid w:val="00241FEA"/>
    <w:rsid w:val="002422B3"/>
    <w:rsid w:val="0024231E"/>
    <w:rsid w:val="002426B3"/>
    <w:rsid w:val="00242722"/>
    <w:rsid w:val="00242987"/>
    <w:rsid w:val="00242A62"/>
    <w:rsid w:val="00242BA2"/>
    <w:rsid w:val="00242CEF"/>
    <w:rsid w:val="00242D2C"/>
    <w:rsid w:val="00242DD5"/>
    <w:rsid w:val="00242E88"/>
    <w:rsid w:val="00242F61"/>
    <w:rsid w:val="00243172"/>
    <w:rsid w:val="00243290"/>
    <w:rsid w:val="00243320"/>
    <w:rsid w:val="00243409"/>
    <w:rsid w:val="00243473"/>
    <w:rsid w:val="002434B5"/>
    <w:rsid w:val="002439B3"/>
    <w:rsid w:val="002439DA"/>
    <w:rsid w:val="00243A66"/>
    <w:rsid w:val="00243B04"/>
    <w:rsid w:val="00243B10"/>
    <w:rsid w:val="00243B7B"/>
    <w:rsid w:val="00243CA8"/>
    <w:rsid w:val="00243DD2"/>
    <w:rsid w:val="00243DFF"/>
    <w:rsid w:val="00243EDE"/>
    <w:rsid w:val="00244047"/>
    <w:rsid w:val="00244214"/>
    <w:rsid w:val="00244284"/>
    <w:rsid w:val="0024454B"/>
    <w:rsid w:val="0024459D"/>
    <w:rsid w:val="00244673"/>
    <w:rsid w:val="0024476B"/>
    <w:rsid w:val="00244812"/>
    <w:rsid w:val="00244B2D"/>
    <w:rsid w:val="00244E15"/>
    <w:rsid w:val="00244E46"/>
    <w:rsid w:val="00244F9D"/>
    <w:rsid w:val="00244FD8"/>
    <w:rsid w:val="002453F6"/>
    <w:rsid w:val="002454E9"/>
    <w:rsid w:val="002456D4"/>
    <w:rsid w:val="0024570A"/>
    <w:rsid w:val="002458B0"/>
    <w:rsid w:val="00245933"/>
    <w:rsid w:val="00245973"/>
    <w:rsid w:val="00245ADE"/>
    <w:rsid w:val="00245C3B"/>
    <w:rsid w:val="00245CCB"/>
    <w:rsid w:val="00245CF8"/>
    <w:rsid w:val="00245E24"/>
    <w:rsid w:val="00245FB9"/>
    <w:rsid w:val="0024617D"/>
    <w:rsid w:val="00246210"/>
    <w:rsid w:val="002462AA"/>
    <w:rsid w:val="0024639B"/>
    <w:rsid w:val="002463D9"/>
    <w:rsid w:val="00246416"/>
    <w:rsid w:val="00246425"/>
    <w:rsid w:val="002466D9"/>
    <w:rsid w:val="00246760"/>
    <w:rsid w:val="0024687F"/>
    <w:rsid w:val="0024689B"/>
    <w:rsid w:val="002469DF"/>
    <w:rsid w:val="00246AC2"/>
    <w:rsid w:val="00246AC7"/>
    <w:rsid w:val="00246BE5"/>
    <w:rsid w:val="00246CD7"/>
    <w:rsid w:val="00246D0E"/>
    <w:rsid w:val="00246F57"/>
    <w:rsid w:val="00247386"/>
    <w:rsid w:val="002474AF"/>
    <w:rsid w:val="002478D6"/>
    <w:rsid w:val="00247A85"/>
    <w:rsid w:val="00247B7C"/>
    <w:rsid w:val="00247C72"/>
    <w:rsid w:val="00247DB0"/>
    <w:rsid w:val="00247DDB"/>
    <w:rsid w:val="00247E41"/>
    <w:rsid w:val="00247F91"/>
    <w:rsid w:val="00250145"/>
    <w:rsid w:val="002502C7"/>
    <w:rsid w:val="0025030F"/>
    <w:rsid w:val="0025039F"/>
    <w:rsid w:val="002503CC"/>
    <w:rsid w:val="002503D9"/>
    <w:rsid w:val="0025058A"/>
    <w:rsid w:val="00250B20"/>
    <w:rsid w:val="00250C48"/>
    <w:rsid w:val="00250D09"/>
    <w:rsid w:val="00250E18"/>
    <w:rsid w:val="00250EF9"/>
    <w:rsid w:val="0025103C"/>
    <w:rsid w:val="002512B9"/>
    <w:rsid w:val="0025166D"/>
    <w:rsid w:val="002518B4"/>
    <w:rsid w:val="00251996"/>
    <w:rsid w:val="00251A9C"/>
    <w:rsid w:val="00251CD2"/>
    <w:rsid w:val="00251CFB"/>
    <w:rsid w:val="00251DAF"/>
    <w:rsid w:val="00252264"/>
    <w:rsid w:val="00252273"/>
    <w:rsid w:val="00252487"/>
    <w:rsid w:val="002525A5"/>
    <w:rsid w:val="00252608"/>
    <w:rsid w:val="002526EF"/>
    <w:rsid w:val="00252785"/>
    <w:rsid w:val="002527F5"/>
    <w:rsid w:val="0025298A"/>
    <w:rsid w:val="002529BF"/>
    <w:rsid w:val="00252C01"/>
    <w:rsid w:val="00252CE6"/>
    <w:rsid w:val="00252D49"/>
    <w:rsid w:val="00252D8D"/>
    <w:rsid w:val="00252F32"/>
    <w:rsid w:val="0025314C"/>
    <w:rsid w:val="00253163"/>
    <w:rsid w:val="00253173"/>
    <w:rsid w:val="002531E1"/>
    <w:rsid w:val="0025324D"/>
    <w:rsid w:val="002532C2"/>
    <w:rsid w:val="002532F4"/>
    <w:rsid w:val="002533CB"/>
    <w:rsid w:val="0025347D"/>
    <w:rsid w:val="002534A9"/>
    <w:rsid w:val="00253551"/>
    <w:rsid w:val="0025390B"/>
    <w:rsid w:val="002539CA"/>
    <w:rsid w:val="00253A71"/>
    <w:rsid w:val="00253D19"/>
    <w:rsid w:val="00253E50"/>
    <w:rsid w:val="00254078"/>
    <w:rsid w:val="00254208"/>
    <w:rsid w:val="0025437F"/>
    <w:rsid w:val="002544CF"/>
    <w:rsid w:val="00254683"/>
    <w:rsid w:val="00254846"/>
    <w:rsid w:val="002549BB"/>
    <w:rsid w:val="00254A35"/>
    <w:rsid w:val="00254A9D"/>
    <w:rsid w:val="00254AFD"/>
    <w:rsid w:val="00254B92"/>
    <w:rsid w:val="00254BAD"/>
    <w:rsid w:val="00254BB5"/>
    <w:rsid w:val="00254C0C"/>
    <w:rsid w:val="00254D30"/>
    <w:rsid w:val="00254E44"/>
    <w:rsid w:val="002550F4"/>
    <w:rsid w:val="00255293"/>
    <w:rsid w:val="00255358"/>
    <w:rsid w:val="00255619"/>
    <w:rsid w:val="00255685"/>
    <w:rsid w:val="00255754"/>
    <w:rsid w:val="00255941"/>
    <w:rsid w:val="00255972"/>
    <w:rsid w:val="00255ABB"/>
    <w:rsid w:val="00255F07"/>
    <w:rsid w:val="002561EA"/>
    <w:rsid w:val="0025622B"/>
    <w:rsid w:val="00256361"/>
    <w:rsid w:val="00256476"/>
    <w:rsid w:val="0025674A"/>
    <w:rsid w:val="00256825"/>
    <w:rsid w:val="002568AD"/>
    <w:rsid w:val="00256949"/>
    <w:rsid w:val="00256A64"/>
    <w:rsid w:val="00256A7B"/>
    <w:rsid w:val="00256AA3"/>
    <w:rsid w:val="00256AE7"/>
    <w:rsid w:val="00256C9D"/>
    <w:rsid w:val="00256ECC"/>
    <w:rsid w:val="00257238"/>
    <w:rsid w:val="0025735F"/>
    <w:rsid w:val="002603EE"/>
    <w:rsid w:val="002605A7"/>
    <w:rsid w:val="00260678"/>
    <w:rsid w:val="002607F4"/>
    <w:rsid w:val="0026082A"/>
    <w:rsid w:val="0026094F"/>
    <w:rsid w:val="00260C5D"/>
    <w:rsid w:val="00260D60"/>
    <w:rsid w:val="00260DD5"/>
    <w:rsid w:val="00261188"/>
    <w:rsid w:val="00261449"/>
    <w:rsid w:val="002615C9"/>
    <w:rsid w:val="002615F5"/>
    <w:rsid w:val="0026168E"/>
    <w:rsid w:val="00261712"/>
    <w:rsid w:val="00261748"/>
    <w:rsid w:val="002617E7"/>
    <w:rsid w:val="002618BA"/>
    <w:rsid w:val="002618E1"/>
    <w:rsid w:val="00261A30"/>
    <w:rsid w:val="00261A85"/>
    <w:rsid w:val="00261CBB"/>
    <w:rsid w:val="00261EC5"/>
    <w:rsid w:val="00261F75"/>
    <w:rsid w:val="00262147"/>
    <w:rsid w:val="00262220"/>
    <w:rsid w:val="002624C3"/>
    <w:rsid w:val="00262549"/>
    <w:rsid w:val="0026291A"/>
    <w:rsid w:val="00262B43"/>
    <w:rsid w:val="00262C02"/>
    <w:rsid w:val="00262D95"/>
    <w:rsid w:val="00262E2F"/>
    <w:rsid w:val="0026317E"/>
    <w:rsid w:val="00263197"/>
    <w:rsid w:val="00263532"/>
    <w:rsid w:val="002636E9"/>
    <w:rsid w:val="0026372B"/>
    <w:rsid w:val="00263948"/>
    <w:rsid w:val="00263BDC"/>
    <w:rsid w:val="00263BDE"/>
    <w:rsid w:val="00263EC1"/>
    <w:rsid w:val="00264011"/>
    <w:rsid w:val="002640A4"/>
    <w:rsid w:val="00264192"/>
    <w:rsid w:val="00264207"/>
    <w:rsid w:val="0026477B"/>
    <w:rsid w:val="00264869"/>
    <w:rsid w:val="00264942"/>
    <w:rsid w:val="002649ED"/>
    <w:rsid w:val="00264AC1"/>
    <w:rsid w:val="00264B00"/>
    <w:rsid w:val="00264F41"/>
    <w:rsid w:val="00264F6C"/>
    <w:rsid w:val="00264FF1"/>
    <w:rsid w:val="00265048"/>
    <w:rsid w:val="00265170"/>
    <w:rsid w:val="0026540C"/>
    <w:rsid w:val="002655B9"/>
    <w:rsid w:val="002657B7"/>
    <w:rsid w:val="00265B75"/>
    <w:rsid w:val="00265C18"/>
    <w:rsid w:val="00265C6F"/>
    <w:rsid w:val="00265EEE"/>
    <w:rsid w:val="002662EB"/>
    <w:rsid w:val="00266357"/>
    <w:rsid w:val="0026644B"/>
    <w:rsid w:val="002664D1"/>
    <w:rsid w:val="0026654A"/>
    <w:rsid w:val="0026680C"/>
    <w:rsid w:val="00266A44"/>
    <w:rsid w:val="00266C66"/>
    <w:rsid w:val="00266F16"/>
    <w:rsid w:val="00266FE7"/>
    <w:rsid w:val="00267020"/>
    <w:rsid w:val="002670E5"/>
    <w:rsid w:val="00267326"/>
    <w:rsid w:val="0026747E"/>
    <w:rsid w:val="002674C1"/>
    <w:rsid w:val="002677D4"/>
    <w:rsid w:val="002679CD"/>
    <w:rsid w:val="00267CAF"/>
    <w:rsid w:val="00267CE1"/>
    <w:rsid w:val="00267E39"/>
    <w:rsid w:val="00267ED9"/>
    <w:rsid w:val="00267F34"/>
    <w:rsid w:val="00270380"/>
    <w:rsid w:val="002704F4"/>
    <w:rsid w:val="0027064C"/>
    <w:rsid w:val="0027078F"/>
    <w:rsid w:val="00270820"/>
    <w:rsid w:val="0027089F"/>
    <w:rsid w:val="00270ACC"/>
    <w:rsid w:val="00270B95"/>
    <w:rsid w:val="00270D5B"/>
    <w:rsid w:val="00270F51"/>
    <w:rsid w:val="00271068"/>
    <w:rsid w:val="00271086"/>
    <w:rsid w:val="002710F0"/>
    <w:rsid w:val="0027132F"/>
    <w:rsid w:val="00271338"/>
    <w:rsid w:val="0027135D"/>
    <w:rsid w:val="002713C7"/>
    <w:rsid w:val="002714CB"/>
    <w:rsid w:val="00271635"/>
    <w:rsid w:val="00271680"/>
    <w:rsid w:val="002718E3"/>
    <w:rsid w:val="00271C82"/>
    <w:rsid w:val="00271DD5"/>
    <w:rsid w:val="00271F2B"/>
    <w:rsid w:val="00271FD3"/>
    <w:rsid w:val="00272006"/>
    <w:rsid w:val="0027208B"/>
    <w:rsid w:val="00272106"/>
    <w:rsid w:val="00272361"/>
    <w:rsid w:val="002725EB"/>
    <w:rsid w:val="0027262D"/>
    <w:rsid w:val="0027276B"/>
    <w:rsid w:val="00272B64"/>
    <w:rsid w:val="00272CF2"/>
    <w:rsid w:val="00272D82"/>
    <w:rsid w:val="00272DD4"/>
    <w:rsid w:val="00272DFA"/>
    <w:rsid w:val="00272FB5"/>
    <w:rsid w:val="0027312A"/>
    <w:rsid w:val="0027326B"/>
    <w:rsid w:val="002733CA"/>
    <w:rsid w:val="00273553"/>
    <w:rsid w:val="00273677"/>
    <w:rsid w:val="002736BF"/>
    <w:rsid w:val="002737EE"/>
    <w:rsid w:val="00273839"/>
    <w:rsid w:val="00273857"/>
    <w:rsid w:val="002739A1"/>
    <w:rsid w:val="00273AD6"/>
    <w:rsid w:val="00273B56"/>
    <w:rsid w:val="00273CC6"/>
    <w:rsid w:val="00273CD7"/>
    <w:rsid w:val="00273F0E"/>
    <w:rsid w:val="0027416F"/>
    <w:rsid w:val="002742CA"/>
    <w:rsid w:val="00274380"/>
    <w:rsid w:val="0027438D"/>
    <w:rsid w:val="0027483F"/>
    <w:rsid w:val="002748D8"/>
    <w:rsid w:val="00274BDB"/>
    <w:rsid w:val="00274F7B"/>
    <w:rsid w:val="0027518C"/>
    <w:rsid w:val="0027538B"/>
    <w:rsid w:val="00275427"/>
    <w:rsid w:val="002755A8"/>
    <w:rsid w:val="002756FB"/>
    <w:rsid w:val="0027579A"/>
    <w:rsid w:val="00275987"/>
    <w:rsid w:val="00275B1D"/>
    <w:rsid w:val="00275BBF"/>
    <w:rsid w:val="00275EC1"/>
    <w:rsid w:val="00276000"/>
    <w:rsid w:val="00276015"/>
    <w:rsid w:val="00276033"/>
    <w:rsid w:val="002760E0"/>
    <w:rsid w:val="00276244"/>
    <w:rsid w:val="0027625C"/>
    <w:rsid w:val="002762FB"/>
    <w:rsid w:val="0027662C"/>
    <w:rsid w:val="002769B4"/>
    <w:rsid w:val="00276C24"/>
    <w:rsid w:val="00276CE1"/>
    <w:rsid w:val="00276E79"/>
    <w:rsid w:val="00276FDB"/>
    <w:rsid w:val="0027705C"/>
    <w:rsid w:val="00277100"/>
    <w:rsid w:val="0027718F"/>
    <w:rsid w:val="0027733A"/>
    <w:rsid w:val="002773D4"/>
    <w:rsid w:val="00277422"/>
    <w:rsid w:val="002774DF"/>
    <w:rsid w:val="0027768F"/>
    <w:rsid w:val="00277780"/>
    <w:rsid w:val="002778CC"/>
    <w:rsid w:val="00277AE0"/>
    <w:rsid w:val="00277BB7"/>
    <w:rsid w:val="00277D2C"/>
    <w:rsid w:val="00277E4E"/>
    <w:rsid w:val="00277E52"/>
    <w:rsid w:val="002800D7"/>
    <w:rsid w:val="002801F4"/>
    <w:rsid w:val="00280333"/>
    <w:rsid w:val="002804D9"/>
    <w:rsid w:val="00280620"/>
    <w:rsid w:val="0028064A"/>
    <w:rsid w:val="00280822"/>
    <w:rsid w:val="002808F8"/>
    <w:rsid w:val="002809C9"/>
    <w:rsid w:val="00280BE5"/>
    <w:rsid w:val="00280CB2"/>
    <w:rsid w:val="00280DA9"/>
    <w:rsid w:val="00280E8D"/>
    <w:rsid w:val="00280F74"/>
    <w:rsid w:val="00280FEF"/>
    <w:rsid w:val="0028108F"/>
    <w:rsid w:val="00281359"/>
    <w:rsid w:val="0028143E"/>
    <w:rsid w:val="00281572"/>
    <w:rsid w:val="00281770"/>
    <w:rsid w:val="00281797"/>
    <w:rsid w:val="002817CC"/>
    <w:rsid w:val="00281B0A"/>
    <w:rsid w:val="00281B19"/>
    <w:rsid w:val="00281BA2"/>
    <w:rsid w:val="00281D31"/>
    <w:rsid w:val="00281D35"/>
    <w:rsid w:val="00281DAD"/>
    <w:rsid w:val="00281F0D"/>
    <w:rsid w:val="00281F1B"/>
    <w:rsid w:val="002823A0"/>
    <w:rsid w:val="002825D8"/>
    <w:rsid w:val="0028261F"/>
    <w:rsid w:val="00282665"/>
    <w:rsid w:val="00282796"/>
    <w:rsid w:val="002827B8"/>
    <w:rsid w:val="002827DD"/>
    <w:rsid w:val="0028289D"/>
    <w:rsid w:val="002828FA"/>
    <w:rsid w:val="00282963"/>
    <w:rsid w:val="002829B7"/>
    <w:rsid w:val="00282D83"/>
    <w:rsid w:val="00282EB4"/>
    <w:rsid w:val="0028326D"/>
    <w:rsid w:val="002832C7"/>
    <w:rsid w:val="002833C4"/>
    <w:rsid w:val="00283444"/>
    <w:rsid w:val="00283544"/>
    <w:rsid w:val="00283599"/>
    <w:rsid w:val="002835D9"/>
    <w:rsid w:val="0028373B"/>
    <w:rsid w:val="002837BF"/>
    <w:rsid w:val="002838E3"/>
    <w:rsid w:val="00283BE2"/>
    <w:rsid w:val="00283D07"/>
    <w:rsid w:val="00283D47"/>
    <w:rsid w:val="00283F33"/>
    <w:rsid w:val="00283F74"/>
    <w:rsid w:val="0028401B"/>
    <w:rsid w:val="00284044"/>
    <w:rsid w:val="002840DD"/>
    <w:rsid w:val="002840FE"/>
    <w:rsid w:val="00284339"/>
    <w:rsid w:val="00284441"/>
    <w:rsid w:val="0028456F"/>
    <w:rsid w:val="00284781"/>
    <w:rsid w:val="00284819"/>
    <w:rsid w:val="0028482C"/>
    <w:rsid w:val="002849A3"/>
    <w:rsid w:val="00284A66"/>
    <w:rsid w:val="00284CEA"/>
    <w:rsid w:val="00284D96"/>
    <w:rsid w:val="00284E6B"/>
    <w:rsid w:val="00285120"/>
    <w:rsid w:val="00285146"/>
    <w:rsid w:val="0028532B"/>
    <w:rsid w:val="002853AB"/>
    <w:rsid w:val="002854A4"/>
    <w:rsid w:val="00285989"/>
    <w:rsid w:val="00285A15"/>
    <w:rsid w:val="00285A9E"/>
    <w:rsid w:val="00285D39"/>
    <w:rsid w:val="00285E5D"/>
    <w:rsid w:val="00285F5A"/>
    <w:rsid w:val="0028602F"/>
    <w:rsid w:val="002860B9"/>
    <w:rsid w:val="002861AE"/>
    <w:rsid w:val="002861BD"/>
    <w:rsid w:val="002862E4"/>
    <w:rsid w:val="00286370"/>
    <w:rsid w:val="0028637E"/>
    <w:rsid w:val="002864AC"/>
    <w:rsid w:val="0028664B"/>
    <w:rsid w:val="002866E2"/>
    <w:rsid w:val="0028689C"/>
    <w:rsid w:val="00286976"/>
    <w:rsid w:val="00286991"/>
    <w:rsid w:val="00286B16"/>
    <w:rsid w:val="00286B42"/>
    <w:rsid w:val="00286D81"/>
    <w:rsid w:val="00286E99"/>
    <w:rsid w:val="00286F77"/>
    <w:rsid w:val="00286FBE"/>
    <w:rsid w:val="00286FE3"/>
    <w:rsid w:val="002871CA"/>
    <w:rsid w:val="00287405"/>
    <w:rsid w:val="00287559"/>
    <w:rsid w:val="002875EC"/>
    <w:rsid w:val="00287723"/>
    <w:rsid w:val="00287854"/>
    <w:rsid w:val="00287ACB"/>
    <w:rsid w:val="00287BE7"/>
    <w:rsid w:val="00287D55"/>
    <w:rsid w:val="002900F3"/>
    <w:rsid w:val="00290141"/>
    <w:rsid w:val="00290246"/>
    <w:rsid w:val="00290272"/>
    <w:rsid w:val="00290317"/>
    <w:rsid w:val="00290380"/>
    <w:rsid w:val="00290381"/>
    <w:rsid w:val="00290526"/>
    <w:rsid w:val="0029078A"/>
    <w:rsid w:val="002907D2"/>
    <w:rsid w:val="00290861"/>
    <w:rsid w:val="00290A34"/>
    <w:rsid w:val="00290AF5"/>
    <w:rsid w:val="00290BA0"/>
    <w:rsid w:val="00290F82"/>
    <w:rsid w:val="00290FAD"/>
    <w:rsid w:val="00290FC8"/>
    <w:rsid w:val="002911BA"/>
    <w:rsid w:val="002912DC"/>
    <w:rsid w:val="00291309"/>
    <w:rsid w:val="002913F4"/>
    <w:rsid w:val="00291725"/>
    <w:rsid w:val="00291924"/>
    <w:rsid w:val="00291946"/>
    <w:rsid w:val="00291EC8"/>
    <w:rsid w:val="002921DA"/>
    <w:rsid w:val="002923B7"/>
    <w:rsid w:val="002924CA"/>
    <w:rsid w:val="0029253F"/>
    <w:rsid w:val="002927D0"/>
    <w:rsid w:val="002927E0"/>
    <w:rsid w:val="00292843"/>
    <w:rsid w:val="00292844"/>
    <w:rsid w:val="00292D29"/>
    <w:rsid w:val="00292E07"/>
    <w:rsid w:val="00292ECD"/>
    <w:rsid w:val="00292F1A"/>
    <w:rsid w:val="0029321C"/>
    <w:rsid w:val="00293259"/>
    <w:rsid w:val="00293387"/>
    <w:rsid w:val="00293568"/>
    <w:rsid w:val="002935F9"/>
    <w:rsid w:val="002936E4"/>
    <w:rsid w:val="002938C3"/>
    <w:rsid w:val="002938D7"/>
    <w:rsid w:val="002939FF"/>
    <w:rsid w:val="00293BA4"/>
    <w:rsid w:val="00293C71"/>
    <w:rsid w:val="00293CB3"/>
    <w:rsid w:val="00293E1F"/>
    <w:rsid w:val="00293E7B"/>
    <w:rsid w:val="00293EF3"/>
    <w:rsid w:val="00294000"/>
    <w:rsid w:val="0029425C"/>
    <w:rsid w:val="002942A0"/>
    <w:rsid w:val="00294426"/>
    <w:rsid w:val="00294684"/>
    <w:rsid w:val="00294767"/>
    <w:rsid w:val="00294A34"/>
    <w:rsid w:val="00294AF3"/>
    <w:rsid w:val="00294B37"/>
    <w:rsid w:val="00294B49"/>
    <w:rsid w:val="00294C2E"/>
    <w:rsid w:val="00294CBA"/>
    <w:rsid w:val="00294E05"/>
    <w:rsid w:val="00294E10"/>
    <w:rsid w:val="00294EA1"/>
    <w:rsid w:val="00294EF4"/>
    <w:rsid w:val="00294F22"/>
    <w:rsid w:val="002950B2"/>
    <w:rsid w:val="002954E9"/>
    <w:rsid w:val="0029559C"/>
    <w:rsid w:val="00295670"/>
    <w:rsid w:val="00295686"/>
    <w:rsid w:val="0029589B"/>
    <w:rsid w:val="002959AC"/>
    <w:rsid w:val="00295DC2"/>
    <w:rsid w:val="00295DC4"/>
    <w:rsid w:val="00295FCA"/>
    <w:rsid w:val="002961BA"/>
    <w:rsid w:val="002961FA"/>
    <w:rsid w:val="0029625C"/>
    <w:rsid w:val="0029643C"/>
    <w:rsid w:val="002964A2"/>
    <w:rsid w:val="0029651B"/>
    <w:rsid w:val="00296756"/>
    <w:rsid w:val="002967A1"/>
    <w:rsid w:val="002967B0"/>
    <w:rsid w:val="0029692A"/>
    <w:rsid w:val="002969F7"/>
    <w:rsid w:val="00296A43"/>
    <w:rsid w:val="00296B37"/>
    <w:rsid w:val="00296C0A"/>
    <w:rsid w:val="0029726A"/>
    <w:rsid w:val="0029731A"/>
    <w:rsid w:val="002973EC"/>
    <w:rsid w:val="002974FC"/>
    <w:rsid w:val="002977E4"/>
    <w:rsid w:val="0029787D"/>
    <w:rsid w:val="0029795F"/>
    <w:rsid w:val="00297B7F"/>
    <w:rsid w:val="00297C34"/>
    <w:rsid w:val="00297C94"/>
    <w:rsid w:val="00297CA7"/>
    <w:rsid w:val="00297D18"/>
    <w:rsid w:val="00297D98"/>
    <w:rsid w:val="00297EAE"/>
    <w:rsid w:val="00297F6C"/>
    <w:rsid w:val="002A0010"/>
    <w:rsid w:val="002A00E4"/>
    <w:rsid w:val="002A00FF"/>
    <w:rsid w:val="002A02F4"/>
    <w:rsid w:val="002A0753"/>
    <w:rsid w:val="002A07C9"/>
    <w:rsid w:val="002A0AC1"/>
    <w:rsid w:val="002A0AF1"/>
    <w:rsid w:val="002A0D8D"/>
    <w:rsid w:val="002A0DE7"/>
    <w:rsid w:val="002A0F16"/>
    <w:rsid w:val="002A119F"/>
    <w:rsid w:val="002A1381"/>
    <w:rsid w:val="002A14C9"/>
    <w:rsid w:val="002A1516"/>
    <w:rsid w:val="002A1572"/>
    <w:rsid w:val="002A1577"/>
    <w:rsid w:val="002A161E"/>
    <w:rsid w:val="002A1858"/>
    <w:rsid w:val="002A195B"/>
    <w:rsid w:val="002A1A24"/>
    <w:rsid w:val="002A1B67"/>
    <w:rsid w:val="002A1DA5"/>
    <w:rsid w:val="002A1DF1"/>
    <w:rsid w:val="002A1E69"/>
    <w:rsid w:val="002A1F7C"/>
    <w:rsid w:val="002A2103"/>
    <w:rsid w:val="002A2176"/>
    <w:rsid w:val="002A21AD"/>
    <w:rsid w:val="002A2284"/>
    <w:rsid w:val="002A2308"/>
    <w:rsid w:val="002A2385"/>
    <w:rsid w:val="002A252E"/>
    <w:rsid w:val="002A263E"/>
    <w:rsid w:val="002A2678"/>
    <w:rsid w:val="002A26EF"/>
    <w:rsid w:val="002A273F"/>
    <w:rsid w:val="002A2B6E"/>
    <w:rsid w:val="002A2D2D"/>
    <w:rsid w:val="002A2D51"/>
    <w:rsid w:val="002A2D9D"/>
    <w:rsid w:val="002A2F2C"/>
    <w:rsid w:val="002A339D"/>
    <w:rsid w:val="002A3590"/>
    <w:rsid w:val="002A3609"/>
    <w:rsid w:val="002A38E9"/>
    <w:rsid w:val="002A3A0E"/>
    <w:rsid w:val="002A3A82"/>
    <w:rsid w:val="002A3B17"/>
    <w:rsid w:val="002A3DB5"/>
    <w:rsid w:val="002A3DC7"/>
    <w:rsid w:val="002A3F2B"/>
    <w:rsid w:val="002A4024"/>
    <w:rsid w:val="002A40C1"/>
    <w:rsid w:val="002A4153"/>
    <w:rsid w:val="002A417F"/>
    <w:rsid w:val="002A4584"/>
    <w:rsid w:val="002A467D"/>
    <w:rsid w:val="002A4689"/>
    <w:rsid w:val="002A48A1"/>
    <w:rsid w:val="002A49D6"/>
    <w:rsid w:val="002A4B7B"/>
    <w:rsid w:val="002A4E69"/>
    <w:rsid w:val="002A4E83"/>
    <w:rsid w:val="002A4F77"/>
    <w:rsid w:val="002A4FE6"/>
    <w:rsid w:val="002A5078"/>
    <w:rsid w:val="002A52A7"/>
    <w:rsid w:val="002A52B8"/>
    <w:rsid w:val="002A5418"/>
    <w:rsid w:val="002A5528"/>
    <w:rsid w:val="002A562B"/>
    <w:rsid w:val="002A566A"/>
    <w:rsid w:val="002A5738"/>
    <w:rsid w:val="002A5996"/>
    <w:rsid w:val="002A5B46"/>
    <w:rsid w:val="002A5C50"/>
    <w:rsid w:val="002A5CEA"/>
    <w:rsid w:val="002A5D84"/>
    <w:rsid w:val="002A5DC0"/>
    <w:rsid w:val="002A6065"/>
    <w:rsid w:val="002A6105"/>
    <w:rsid w:val="002A66CA"/>
    <w:rsid w:val="002A6710"/>
    <w:rsid w:val="002A6DD4"/>
    <w:rsid w:val="002A6E67"/>
    <w:rsid w:val="002A70B1"/>
    <w:rsid w:val="002A719C"/>
    <w:rsid w:val="002A71B0"/>
    <w:rsid w:val="002A720F"/>
    <w:rsid w:val="002A724A"/>
    <w:rsid w:val="002A7828"/>
    <w:rsid w:val="002A78FC"/>
    <w:rsid w:val="002A7A04"/>
    <w:rsid w:val="002A7A2A"/>
    <w:rsid w:val="002A7AD6"/>
    <w:rsid w:val="002A7BD8"/>
    <w:rsid w:val="002A7D65"/>
    <w:rsid w:val="002A7EC1"/>
    <w:rsid w:val="002B0151"/>
    <w:rsid w:val="002B06E7"/>
    <w:rsid w:val="002B07C2"/>
    <w:rsid w:val="002B07F5"/>
    <w:rsid w:val="002B08D5"/>
    <w:rsid w:val="002B08E9"/>
    <w:rsid w:val="002B0ADD"/>
    <w:rsid w:val="002B0C81"/>
    <w:rsid w:val="002B0E8A"/>
    <w:rsid w:val="002B0FBE"/>
    <w:rsid w:val="002B1089"/>
    <w:rsid w:val="002B10E4"/>
    <w:rsid w:val="002B12AB"/>
    <w:rsid w:val="002B139D"/>
    <w:rsid w:val="002B145A"/>
    <w:rsid w:val="002B1462"/>
    <w:rsid w:val="002B1986"/>
    <w:rsid w:val="002B1C01"/>
    <w:rsid w:val="002B1FB9"/>
    <w:rsid w:val="002B1FFE"/>
    <w:rsid w:val="002B2056"/>
    <w:rsid w:val="002B20F2"/>
    <w:rsid w:val="002B2286"/>
    <w:rsid w:val="002B22A9"/>
    <w:rsid w:val="002B238E"/>
    <w:rsid w:val="002B23B9"/>
    <w:rsid w:val="002B23DA"/>
    <w:rsid w:val="002B2623"/>
    <w:rsid w:val="002B2723"/>
    <w:rsid w:val="002B2776"/>
    <w:rsid w:val="002B27AC"/>
    <w:rsid w:val="002B27B7"/>
    <w:rsid w:val="002B27B9"/>
    <w:rsid w:val="002B2842"/>
    <w:rsid w:val="002B2A70"/>
    <w:rsid w:val="002B2AE0"/>
    <w:rsid w:val="002B2CAB"/>
    <w:rsid w:val="002B2F93"/>
    <w:rsid w:val="002B2FB3"/>
    <w:rsid w:val="002B304E"/>
    <w:rsid w:val="002B3477"/>
    <w:rsid w:val="002B34D5"/>
    <w:rsid w:val="002B3748"/>
    <w:rsid w:val="002B3857"/>
    <w:rsid w:val="002B3A65"/>
    <w:rsid w:val="002B3AC3"/>
    <w:rsid w:val="002B3BAD"/>
    <w:rsid w:val="002B3BF7"/>
    <w:rsid w:val="002B3D4A"/>
    <w:rsid w:val="002B3D5B"/>
    <w:rsid w:val="002B3D63"/>
    <w:rsid w:val="002B3D7C"/>
    <w:rsid w:val="002B3F51"/>
    <w:rsid w:val="002B40E6"/>
    <w:rsid w:val="002B4149"/>
    <w:rsid w:val="002B4398"/>
    <w:rsid w:val="002B43B0"/>
    <w:rsid w:val="002B43D8"/>
    <w:rsid w:val="002B4410"/>
    <w:rsid w:val="002B448C"/>
    <w:rsid w:val="002B44A3"/>
    <w:rsid w:val="002B452A"/>
    <w:rsid w:val="002B4671"/>
    <w:rsid w:val="002B481F"/>
    <w:rsid w:val="002B4AE1"/>
    <w:rsid w:val="002B4B40"/>
    <w:rsid w:val="002B4BC2"/>
    <w:rsid w:val="002B4BC6"/>
    <w:rsid w:val="002B4BE4"/>
    <w:rsid w:val="002B4C19"/>
    <w:rsid w:val="002B5096"/>
    <w:rsid w:val="002B50B9"/>
    <w:rsid w:val="002B5128"/>
    <w:rsid w:val="002B518C"/>
    <w:rsid w:val="002B51C3"/>
    <w:rsid w:val="002B5252"/>
    <w:rsid w:val="002B5301"/>
    <w:rsid w:val="002B5593"/>
    <w:rsid w:val="002B5645"/>
    <w:rsid w:val="002B5652"/>
    <w:rsid w:val="002B5741"/>
    <w:rsid w:val="002B5913"/>
    <w:rsid w:val="002B59A5"/>
    <w:rsid w:val="002B5BB6"/>
    <w:rsid w:val="002B5BE5"/>
    <w:rsid w:val="002B5E39"/>
    <w:rsid w:val="002B5F55"/>
    <w:rsid w:val="002B5F5B"/>
    <w:rsid w:val="002B616A"/>
    <w:rsid w:val="002B6283"/>
    <w:rsid w:val="002B6346"/>
    <w:rsid w:val="002B636A"/>
    <w:rsid w:val="002B63FD"/>
    <w:rsid w:val="002B64F8"/>
    <w:rsid w:val="002B653A"/>
    <w:rsid w:val="002B6697"/>
    <w:rsid w:val="002B6B84"/>
    <w:rsid w:val="002B6B88"/>
    <w:rsid w:val="002B6D41"/>
    <w:rsid w:val="002B6DC7"/>
    <w:rsid w:val="002B6E28"/>
    <w:rsid w:val="002B7014"/>
    <w:rsid w:val="002B7172"/>
    <w:rsid w:val="002B75F9"/>
    <w:rsid w:val="002B769A"/>
    <w:rsid w:val="002B7796"/>
    <w:rsid w:val="002B78D9"/>
    <w:rsid w:val="002B7AB4"/>
    <w:rsid w:val="002B7BA2"/>
    <w:rsid w:val="002C007F"/>
    <w:rsid w:val="002C010C"/>
    <w:rsid w:val="002C01D0"/>
    <w:rsid w:val="002C01F8"/>
    <w:rsid w:val="002C0254"/>
    <w:rsid w:val="002C0382"/>
    <w:rsid w:val="002C0386"/>
    <w:rsid w:val="002C0413"/>
    <w:rsid w:val="002C06AD"/>
    <w:rsid w:val="002C074B"/>
    <w:rsid w:val="002C07C7"/>
    <w:rsid w:val="002C0828"/>
    <w:rsid w:val="002C084D"/>
    <w:rsid w:val="002C099A"/>
    <w:rsid w:val="002C0ABC"/>
    <w:rsid w:val="002C0C59"/>
    <w:rsid w:val="002C0D27"/>
    <w:rsid w:val="002C0EB9"/>
    <w:rsid w:val="002C0F1E"/>
    <w:rsid w:val="002C0F8C"/>
    <w:rsid w:val="002C1010"/>
    <w:rsid w:val="002C10BF"/>
    <w:rsid w:val="002C10F2"/>
    <w:rsid w:val="002C1128"/>
    <w:rsid w:val="002C11B4"/>
    <w:rsid w:val="002C1249"/>
    <w:rsid w:val="002C148A"/>
    <w:rsid w:val="002C15E0"/>
    <w:rsid w:val="002C1658"/>
    <w:rsid w:val="002C16A3"/>
    <w:rsid w:val="002C16EF"/>
    <w:rsid w:val="002C1866"/>
    <w:rsid w:val="002C19CE"/>
    <w:rsid w:val="002C1A11"/>
    <w:rsid w:val="002C1A27"/>
    <w:rsid w:val="002C1BB5"/>
    <w:rsid w:val="002C1C88"/>
    <w:rsid w:val="002C1D9C"/>
    <w:rsid w:val="002C1DB0"/>
    <w:rsid w:val="002C1EB9"/>
    <w:rsid w:val="002C1F59"/>
    <w:rsid w:val="002C1F8A"/>
    <w:rsid w:val="002C205B"/>
    <w:rsid w:val="002C2280"/>
    <w:rsid w:val="002C2386"/>
    <w:rsid w:val="002C23EC"/>
    <w:rsid w:val="002C2493"/>
    <w:rsid w:val="002C2573"/>
    <w:rsid w:val="002C2714"/>
    <w:rsid w:val="002C2790"/>
    <w:rsid w:val="002C27A2"/>
    <w:rsid w:val="002C2849"/>
    <w:rsid w:val="002C29EC"/>
    <w:rsid w:val="002C2A69"/>
    <w:rsid w:val="002C2A8F"/>
    <w:rsid w:val="002C2E3C"/>
    <w:rsid w:val="002C2E5B"/>
    <w:rsid w:val="002C30D6"/>
    <w:rsid w:val="002C3137"/>
    <w:rsid w:val="002C315D"/>
    <w:rsid w:val="002C3294"/>
    <w:rsid w:val="002C331A"/>
    <w:rsid w:val="002C36BB"/>
    <w:rsid w:val="002C3764"/>
    <w:rsid w:val="002C3787"/>
    <w:rsid w:val="002C3830"/>
    <w:rsid w:val="002C3971"/>
    <w:rsid w:val="002C3C19"/>
    <w:rsid w:val="002C3D21"/>
    <w:rsid w:val="002C40C2"/>
    <w:rsid w:val="002C40CE"/>
    <w:rsid w:val="002C4202"/>
    <w:rsid w:val="002C4522"/>
    <w:rsid w:val="002C4732"/>
    <w:rsid w:val="002C47C8"/>
    <w:rsid w:val="002C4B62"/>
    <w:rsid w:val="002C4C6B"/>
    <w:rsid w:val="002C4C9D"/>
    <w:rsid w:val="002C4DC3"/>
    <w:rsid w:val="002C518C"/>
    <w:rsid w:val="002C5323"/>
    <w:rsid w:val="002C542A"/>
    <w:rsid w:val="002C54D2"/>
    <w:rsid w:val="002C5654"/>
    <w:rsid w:val="002C56BE"/>
    <w:rsid w:val="002C5815"/>
    <w:rsid w:val="002C5AB4"/>
    <w:rsid w:val="002C5BC0"/>
    <w:rsid w:val="002C5E05"/>
    <w:rsid w:val="002C5EB1"/>
    <w:rsid w:val="002C5FC4"/>
    <w:rsid w:val="002C6696"/>
    <w:rsid w:val="002C674D"/>
    <w:rsid w:val="002C68CA"/>
    <w:rsid w:val="002C6984"/>
    <w:rsid w:val="002C6C84"/>
    <w:rsid w:val="002C700C"/>
    <w:rsid w:val="002C705C"/>
    <w:rsid w:val="002C711F"/>
    <w:rsid w:val="002C7337"/>
    <w:rsid w:val="002C73B2"/>
    <w:rsid w:val="002C7470"/>
    <w:rsid w:val="002C75E3"/>
    <w:rsid w:val="002C7684"/>
    <w:rsid w:val="002C7942"/>
    <w:rsid w:val="002C7B97"/>
    <w:rsid w:val="002C7CD8"/>
    <w:rsid w:val="002C7EE9"/>
    <w:rsid w:val="002C7FAB"/>
    <w:rsid w:val="002D0046"/>
    <w:rsid w:val="002D007A"/>
    <w:rsid w:val="002D0106"/>
    <w:rsid w:val="002D013E"/>
    <w:rsid w:val="002D025D"/>
    <w:rsid w:val="002D0393"/>
    <w:rsid w:val="002D0452"/>
    <w:rsid w:val="002D0456"/>
    <w:rsid w:val="002D091D"/>
    <w:rsid w:val="002D0921"/>
    <w:rsid w:val="002D0942"/>
    <w:rsid w:val="002D0A65"/>
    <w:rsid w:val="002D0C23"/>
    <w:rsid w:val="002D0C9C"/>
    <w:rsid w:val="002D0DC8"/>
    <w:rsid w:val="002D0F63"/>
    <w:rsid w:val="002D1090"/>
    <w:rsid w:val="002D131C"/>
    <w:rsid w:val="002D1473"/>
    <w:rsid w:val="002D16D9"/>
    <w:rsid w:val="002D16DF"/>
    <w:rsid w:val="002D1789"/>
    <w:rsid w:val="002D1AAE"/>
    <w:rsid w:val="002D1ACE"/>
    <w:rsid w:val="002D1AEA"/>
    <w:rsid w:val="002D1F06"/>
    <w:rsid w:val="002D1FA4"/>
    <w:rsid w:val="002D1FF6"/>
    <w:rsid w:val="002D20FF"/>
    <w:rsid w:val="002D2144"/>
    <w:rsid w:val="002D2229"/>
    <w:rsid w:val="002D2258"/>
    <w:rsid w:val="002D24A8"/>
    <w:rsid w:val="002D2554"/>
    <w:rsid w:val="002D25A1"/>
    <w:rsid w:val="002D27CE"/>
    <w:rsid w:val="002D296C"/>
    <w:rsid w:val="002D29BA"/>
    <w:rsid w:val="002D2C1B"/>
    <w:rsid w:val="002D2DBB"/>
    <w:rsid w:val="002D2DE2"/>
    <w:rsid w:val="002D2E34"/>
    <w:rsid w:val="002D2F19"/>
    <w:rsid w:val="002D2FFB"/>
    <w:rsid w:val="002D304E"/>
    <w:rsid w:val="002D31FF"/>
    <w:rsid w:val="002D3211"/>
    <w:rsid w:val="002D344B"/>
    <w:rsid w:val="002D34C4"/>
    <w:rsid w:val="002D352B"/>
    <w:rsid w:val="002D354E"/>
    <w:rsid w:val="002D356C"/>
    <w:rsid w:val="002D3673"/>
    <w:rsid w:val="002D3A0C"/>
    <w:rsid w:val="002D3A86"/>
    <w:rsid w:val="002D3FBD"/>
    <w:rsid w:val="002D4048"/>
    <w:rsid w:val="002D407B"/>
    <w:rsid w:val="002D4311"/>
    <w:rsid w:val="002D463F"/>
    <w:rsid w:val="002D486D"/>
    <w:rsid w:val="002D48E0"/>
    <w:rsid w:val="002D492B"/>
    <w:rsid w:val="002D4A5F"/>
    <w:rsid w:val="002D4BE8"/>
    <w:rsid w:val="002D4DAE"/>
    <w:rsid w:val="002D4FA5"/>
    <w:rsid w:val="002D512A"/>
    <w:rsid w:val="002D5228"/>
    <w:rsid w:val="002D5341"/>
    <w:rsid w:val="002D53B1"/>
    <w:rsid w:val="002D5492"/>
    <w:rsid w:val="002D553C"/>
    <w:rsid w:val="002D5740"/>
    <w:rsid w:val="002D594E"/>
    <w:rsid w:val="002D5C30"/>
    <w:rsid w:val="002D5CF9"/>
    <w:rsid w:val="002D5D8D"/>
    <w:rsid w:val="002D5E50"/>
    <w:rsid w:val="002D6034"/>
    <w:rsid w:val="002D60A5"/>
    <w:rsid w:val="002D618B"/>
    <w:rsid w:val="002D64AE"/>
    <w:rsid w:val="002D6546"/>
    <w:rsid w:val="002D6595"/>
    <w:rsid w:val="002D679B"/>
    <w:rsid w:val="002D6868"/>
    <w:rsid w:val="002D689E"/>
    <w:rsid w:val="002D6A11"/>
    <w:rsid w:val="002D6B2F"/>
    <w:rsid w:val="002D6D8D"/>
    <w:rsid w:val="002D6E18"/>
    <w:rsid w:val="002D6FA1"/>
    <w:rsid w:val="002D712E"/>
    <w:rsid w:val="002D77BD"/>
    <w:rsid w:val="002D7917"/>
    <w:rsid w:val="002D7A0B"/>
    <w:rsid w:val="002D7A69"/>
    <w:rsid w:val="002D7ADF"/>
    <w:rsid w:val="002D7BD2"/>
    <w:rsid w:val="002D7C15"/>
    <w:rsid w:val="002D7D57"/>
    <w:rsid w:val="002D7E7F"/>
    <w:rsid w:val="002E035C"/>
    <w:rsid w:val="002E0585"/>
    <w:rsid w:val="002E0697"/>
    <w:rsid w:val="002E0865"/>
    <w:rsid w:val="002E09D9"/>
    <w:rsid w:val="002E09FE"/>
    <w:rsid w:val="002E0A4C"/>
    <w:rsid w:val="002E0A9B"/>
    <w:rsid w:val="002E0EC6"/>
    <w:rsid w:val="002E107B"/>
    <w:rsid w:val="002E107C"/>
    <w:rsid w:val="002E10F3"/>
    <w:rsid w:val="002E1288"/>
    <w:rsid w:val="002E12B8"/>
    <w:rsid w:val="002E1434"/>
    <w:rsid w:val="002E14C3"/>
    <w:rsid w:val="002E1585"/>
    <w:rsid w:val="002E164D"/>
    <w:rsid w:val="002E1AD3"/>
    <w:rsid w:val="002E1B5B"/>
    <w:rsid w:val="002E1C40"/>
    <w:rsid w:val="002E1C7F"/>
    <w:rsid w:val="002E1C81"/>
    <w:rsid w:val="002E1D22"/>
    <w:rsid w:val="002E1D92"/>
    <w:rsid w:val="002E1E94"/>
    <w:rsid w:val="002E2036"/>
    <w:rsid w:val="002E2046"/>
    <w:rsid w:val="002E2646"/>
    <w:rsid w:val="002E27F8"/>
    <w:rsid w:val="002E2995"/>
    <w:rsid w:val="002E29BD"/>
    <w:rsid w:val="002E2A8E"/>
    <w:rsid w:val="002E2B2F"/>
    <w:rsid w:val="002E2D5C"/>
    <w:rsid w:val="002E2DB0"/>
    <w:rsid w:val="002E3049"/>
    <w:rsid w:val="002E320B"/>
    <w:rsid w:val="002E3388"/>
    <w:rsid w:val="002E33B4"/>
    <w:rsid w:val="002E33C5"/>
    <w:rsid w:val="002E34C1"/>
    <w:rsid w:val="002E3671"/>
    <w:rsid w:val="002E36AF"/>
    <w:rsid w:val="002E389F"/>
    <w:rsid w:val="002E3B4B"/>
    <w:rsid w:val="002E3C99"/>
    <w:rsid w:val="002E4048"/>
    <w:rsid w:val="002E4336"/>
    <w:rsid w:val="002E442C"/>
    <w:rsid w:val="002E4579"/>
    <w:rsid w:val="002E4711"/>
    <w:rsid w:val="002E4BE2"/>
    <w:rsid w:val="002E4C1E"/>
    <w:rsid w:val="002E4D14"/>
    <w:rsid w:val="002E4D88"/>
    <w:rsid w:val="002E4EEE"/>
    <w:rsid w:val="002E5004"/>
    <w:rsid w:val="002E502E"/>
    <w:rsid w:val="002E536A"/>
    <w:rsid w:val="002E53D1"/>
    <w:rsid w:val="002E54B9"/>
    <w:rsid w:val="002E54F4"/>
    <w:rsid w:val="002E555F"/>
    <w:rsid w:val="002E5584"/>
    <w:rsid w:val="002E581F"/>
    <w:rsid w:val="002E5A3C"/>
    <w:rsid w:val="002E5A4D"/>
    <w:rsid w:val="002E5BED"/>
    <w:rsid w:val="002E5F9E"/>
    <w:rsid w:val="002E61C7"/>
    <w:rsid w:val="002E63D0"/>
    <w:rsid w:val="002E6487"/>
    <w:rsid w:val="002E6546"/>
    <w:rsid w:val="002E6571"/>
    <w:rsid w:val="002E65D3"/>
    <w:rsid w:val="002E6645"/>
    <w:rsid w:val="002E6657"/>
    <w:rsid w:val="002E66AA"/>
    <w:rsid w:val="002E6742"/>
    <w:rsid w:val="002E685F"/>
    <w:rsid w:val="002E68EA"/>
    <w:rsid w:val="002E6A61"/>
    <w:rsid w:val="002E6B50"/>
    <w:rsid w:val="002E6CAA"/>
    <w:rsid w:val="002E6DA9"/>
    <w:rsid w:val="002E6DDE"/>
    <w:rsid w:val="002E7023"/>
    <w:rsid w:val="002E709F"/>
    <w:rsid w:val="002E7118"/>
    <w:rsid w:val="002E72EF"/>
    <w:rsid w:val="002E730E"/>
    <w:rsid w:val="002E7357"/>
    <w:rsid w:val="002E74F2"/>
    <w:rsid w:val="002E752A"/>
    <w:rsid w:val="002E7992"/>
    <w:rsid w:val="002E7AAD"/>
    <w:rsid w:val="002E7E08"/>
    <w:rsid w:val="002E7E87"/>
    <w:rsid w:val="002F013A"/>
    <w:rsid w:val="002F0291"/>
    <w:rsid w:val="002F03D7"/>
    <w:rsid w:val="002F0480"/>
    <w:rsid w:val="002F0A74"/>
    <w:rsid w:val="002F0B0A"/>
    <w:rsid w:val="002F0B3A"/>
    <w:rsid w:val="002F0B44"/>
    <w:rsid w:val="002F0B73"/>
    <w:rsid w:val="002F0DDD"/>
    <w:rsid w:val="002F0E22"/>
    <w:rsid w:val="002F0E7E"/>
    <w:rsid w:val="002F10E8"/>
    <w:rsid w:val="002F119F"/>
    <w:rsid w:val="002F1367"/>
    <w:rsid w:val="002F13D8"/>
    <w:rsid w:val="002F1445"/>
    <w:rsid w:val="002F14F7"/>
    <w:rsid w:val="002F1649"/>
    <w:rsid w:val="002F16A5"/>
    <w:rsid w:val="002F16FB"/>
    <w:rsid w:val="002F1734"/>
    <w:rsid w:val="002F1812"/>
    <w:rsid w:val="002F1ADE"/>
    <w:rsid w:val="002F1B56"/>
    <w:rsid w:val="002F216D"/>
    <w:rsid w:val="002F21CD"/>
    <w:rsid w:val="002F22C1"/>
    <w:rsid w:val="002F22F5"/>
    <w:rsid w:val="002F24C4"/>
    <w:rsid w:val="002F2541"/>
    <w:rsid w:val="002F2573"/>
    <w:rsid w:val="002F264E"/>
    <w:rsid w:val="002F2709"/>
    <w:rsid w:val="002F27AB"/>
    <w:rsid w:val="002F27AD"/>
    <w:rsid w:val="002F2B59"/>
    <w:rsid w:val="002F2CE2"/>
    <w:rsid w:val="002F2E11"/>
    <w:rsid w:val="002F2EBE"/>
    <w:rsid w:val="002F3011"/>
    <w:rsid w:val="002F3057"/>
    <w:rsid w:val="002F3355"/>
    <w:rsid w:val="002F34FC"/>
    <w:rsid w:val="002F3564"/>
    <w:rsid w:val="002F35D0"/>
    <w:rsid w:val="002F3630"/>
    <w:rsid w:val="002F382E"/>
    <w:rsid w:val="002F3893"/>
    <w:rsid w:val="002F3A69"/>
    <w:rsid w:val="002F3A82"/>
    <w:rsid w:val="002F3C92"/>
    <w:rsid w:val="002F3D38"/>
    <w:rsid w:val="002F3D54"/>
    <w:rsid w:val="002F3D56"/>
    <w:rsid w:val="002F3E08"/>
    <w:rsid w:val="002F3E8D"/>
    <w:rsid w:val="002F403B"/>
    <w:rsid w:val="002F4089"/>
    <w:rsid w:val="002F4136"/>
    <w:rsid w:val="002F4206"/>
    <w:rsid w:val="002F43C5"/>
    <w:rsid w:val="002F4598"/>
    <w:rsid w:val="002F46C8"/>
    <w:rsid w:val="002F4873"/>
    <w:rsid w:val="002F4B04"/>
    <w:rsid w:val="002F4B7D"/>
    <w:rsid w:val="002F4CFB"/>
    <w:rsid w:val="002F4E0C"/>
    <w:rsid w:val="002F4E2A"/>
    <w:rsid w:val="002F50A6"/>
    <w:rsid w:val="002F51F3"/>
    <w:rsid w:val="002F52A9"/>
    <w:rsid w:val="002F52ED"/>
    <w:rsid w:val="002F5485"/>
    <w:rsid w:val="002F55C2"/>
    <w:rsid w:val="002F5738"/>
    <w:rsid w:val="002F59CC"/>
    <w:rsid w:val="002F5A73"/>
    <w:rsid w:val="002F5AFC"/>
    <w:rsid w:val="002F5B3F"/>
    <w:rsid w:val="002F5E47"/>
    <w:rsid w:val="002F5FBD"/>
    <w:rsid w:val="002F5FC6"/>
    <w:rsid w:val="002F614C"/>
    <w:rsid w:val="002F61F4"/>
    <w:rsid w:val="002F626B"/>
    <w:rsid w:val="002F6560"/>
    <w:rsid w:val="002F65DC"/>
    <w:rsid w:val="002F65F7"/>
    <w:rsid w:val="002F66D0"/>
    <w:rsid w:val="002F670D"/>
    <w:rsid w:val="002F67A1"/>
    <w:rsid w:val="002F6959"/>
    <w:rsid w:val="002F6B1F"/>
    <w:rsid w:val="002F6D32"/>
    <w:rsid w:val="002F6DC8"/>
    <w:rsid w:val="002F6E07"/>
    <w:rsid w:val="002F6E5F"/>
    <w:rsid w:val="002F6ECE"/>
    <w:rsid w:val="002F6FE6"/>
    <w:rsid w:val="002F70C2"/>
    <w:rsid w:val="002F70D2"/>
    <w:rsid w:val="002F70E9"/>
    <w:rsid w:val="002F748E"/>
    <w:rsid w:val="002F774F"/>
    <w:rsid w:val="002F7852"/>
    <w:rsid w:val="002F79F6"/>
    <w:rsid w:val="002F7A17"/>
    <w:rsid w:val="002F7AD7"/>
    <w:rsid w:val="002F7CDE"/>
    <w:rsid w:val="003000D7"/>
    <w:rsid w:val="0030036C"/>
    <w:rsid w:val="0030060D"/>
    <w:rsid w:val="00300803"/>
    <w:rsid w:val="00300842"/>
    <w:rsid w:val="0030084F"/>
    <w:rsid w:val="0030086F"/>
    <w:rsid w:val="003008ED"/>
    <w:rsid w:val="003008FF"/>
    <w:rsid w:val="00300B16"/>
    <w:rsid w:val="00300E45"/>
    <w:rsid w:val="00300EC5"/>
    <w:rsid w:val="00300FA8"/>
    <w:rsid w:val="00300FEC"/>
    <w:rsid w:val="00301178"/>
    <w:rsid w:val="00301295"/>
    <w:rsid w:val="0030146D"/>
    <w:rsid w:val="00301587"/>
    <w:rsid w:val="003016FE"/>
    <w:rsid w:val="00301751"/>
    <w:rsid w:val="0030176C"/>
    <w:rsid w:val="003017BD"/>
    <w:rsid w:val="00301904"/>
    <w:rsid w:val="0030193C"/>
    <w:rsid w:val="00301CA5"/>
    <w:rsid w:val="00301CAE"/>
    <w:rsid w:val="00301DBA"/>
    <w:rsid w:val="00301DC1"/>
    <w:rsid w:val="00301F30"/>
    <w:rsid w:val="0030204F"/>
    <w:rsid w:val="00302077"/>
    <w:rsid w:val="0030207C"/>
    <w:rsid w:val="003023D5"/>
    <w:rsid w:val="00302657"/>
    <w:rsid w:val="0030267E"/>
    <w:rsid w:val="003028CF"/>
    <w:rsid w:val="0030300E"/>
    <w:rsid w:val="00303176"/>
    <w:rsid w:val="00303332"/>
    <w:rsid w:val="00303468"/>
    <w:rsid w:val="00303534"/>
    <w:rsid w:val="003035B9"/>
    <w:rsid w:val="0030364C"/>
    <w:rsid w:val="003037A6"/>
    <w:rsid w:val="00303806"/>
    <w:rsid w:val="00303852"/>
    <w:rsid w:val="00303859"/>
    <w:rsid w:val="0030398A"/>
    <w:rsid w:val="00304125"/>
    <w:rsid w:val="0030434A"/>
    <w:rsid w:val="00304667"/>
    <w:rsid w:val="00304759"/>
    <w:rsid w:val="003047B7"/>
    <w:rsid w:val="00304A65"/>
    <w:rsid w:val="00304AAE"/>
    <w:rsid w:val="00304B33"/>
    <w:rsid w:val="00304D0A"/>
    <w:rsid w:val="00304E69"/>
    <w:rsid w:val="00305097"/>
    <w:rsid w:val="003050AF"/>
    <w:rsid w:val="0030523E"/>
    <w:rsid w:val="00305415"/>
    <w:rsid w:val="003054D7"/>
    <w:rsid w:val="003055CD"/>
    <w:rsid w:val="003055FF"/>
    <w:rsid w:val="003056D5"/>
    <w:rsid w:val="003057EF"/>
    <w:rsid w:val="00305887"/>
    <w:rsid w:val="00305C4A"/>
    <w:rsid w:val="00305C59"/>
    <w:rsid w:val="00305CE4"/>
    <w:rsid w:val="00305DCD"/>
    <w:rsid w:val="0030603A"/>
    <w:rsid w:val="003062B0"/>
    <w:rsid w:val="00306336"/>
    <w:rsid w:val="00306417"/>
    <w:rsid w:val="003064BE"/>
    <w:rsid w:val="00306668"/>
    <w:rsid w:val="003067D4"/>
    <w:rsid w:val="0030689B"/>
    <w:rsid w:val="003069D9"/>
    <w:rsid w:val="00306B66"/>
    <w:rsid w:val="00306DE7"/>
    <w:rsid w:val="00306FA9"/>
    <w:rsid w:val="00307044"/>
    <w:rsid w:val="00307182"/>
    <w:rsid w:val="003072C4"/>
    <w:rsid w:val="003072CC"/>
    <w:rsid w:val="00307457"/>
    <w:rsid w:val="003078D8"/>
    <w:rsid w:val="00307AD0"/>
    <w:rsid w:val="00307B12"/>
    <w:rsid w:val="00310099"/>
    <w:rsid w:val="003101B5"/>
    <w:rsid w:val="003101F1"/>
    <w:rsid w:val="003105D3"/>
    <w:rsid w:val="003107F5"/>
    <w:rsid w:val="0031084E"/>
    <w:rsid w:val="00310AEC"/>
    <w:rsid w:val="00310B34"/>
    <w:rsid w:val="00310D82"/>
    <w:rsid w:val="00310DAC"/>
    <w:rsid w:val="00310F17"/>
    <w:rsid w:val="00310F55"/>
    <w:rsid w:val="00310F76"/>
    <w:rsid w:val="00310FFA"/>
    <w:rsid w:val="00311077"/>
    <w:rsid w:val="003111B5"/>
    <w:rsid w:val="00311527"/>
    <w:rsid w:val="003115B0"/>
    <w:rsid w:val="003116CD"/>
    <w:rsid w:val="0031172D"/>
    <w:rsid w:val="00311C35"/>
    <w:rsid w:val="00312034"/>
    <w:rsid w:val="00312051"/>
    <w:rsid w:val="003120B4"/>
    <w:rsid w:val="00312263"/>
    <w:rsid w:val="00312537"/>
    <w:rsid w:val="0031258A"/>
    <w:rsid w:val="003127AA"/>
    <w:rsid w:val="00312852"/>
    <w:rsid w:val="003129F8"/>
    <w:rsid w:val="00312A55"/>
    <w:rsid w:val="00312D47"/>
    <w:rsid w:val="00312DD7"/>
    <w:rsid w:val="00312FE3"/>
    <w:rsid w:val="003130C2"/>
    <w:rsid w:val="00313271"/>
    <w:rsid w:val="00313286"/>
    <w:rsid w:val="003132CD"/>
    <w:rsid w:val="00313331"/>
    <w:rsid w:val="003133FF"/>
    <w:rsid w:val="003134E9"/>
    <w:rsid w:val="003134FA"/>
    <w:rsid w:val="00313823"/>
    <w:rsid w:val="00313A0D"/>
    <w:rsid w:val="00313B4F"/>
    <w:rsid w:val="00313B70"/>
    <w:rsid w:val="00313C9E"/>
    <w:rsid w:val="00313D69"/>
    <w:rsid w:val="00313EB4"/>
    <w:rsid w:val="00313FC2"/>
    <w:rsid w:val="00314018"/>
    <w:rsid w:val="0031404C"/>
    <w:rsid w:val="003141A0"/>
    <w:rsid w:val="003141B4"/>
    <w:rsid w:val="0031428B"/>
    <w:rsid w:val="003142EE"/>
    <w:rsid w:val="003144BC"/>
    <w:rsid w:val="0031486E"/>
    <w:rsid w:val="003148D1"/>
    <w:rsid w:val="003149BD"/>
    <w:rsid w:val="00314A2F"/>
    <w:rsid w:val="00314A9C"/>
    <w:rsid w:val="00314BDD"/>
    <w:rsid w:val="00314CA2"/>
    <w:rsid w:val="00314D7E"/>
    <w:rsid w:val="00314DC9"/>
    <w:rsid w:val="00314DE8"/>
    <w:rsid w:val="00314F18"/>
    <w:rsid w:val="003151CC"/>
    <w:rsid w:val="0031532C"/>
    <w:rsid w:val="003153C9"/>
    <w:rsid w:val="0031540C"/>
    <w:rsid w:val="00315671"/>
    <w:rsid w:val="00315869"/>
    <w:rsid w:val="0031587B"/>
    <w:rsid w:val="003158D2"/>
    <w:rsid w:val="00315C16"/>
    <w:rsid w:val="00315CD2"/>
    <w:rsid w:val="00315E1C"/>
    <w:rsid w:val="00315E60"/>
    <w:rsid w:val="00315F40"/>
    <w:rsid w:val="00315F65"/>
    <w:rsid w:val="0031600E"/>
    <w:rsid w:val="0031611E"/>
    <w:rsid w:val="00316313"/>
    <w:rsid w:val="00316516"/>
    <w:rsid w:val="00316592"/>
    <w:rsid w:val="00316911"/>
    <w:rsid w:val="00316A91"/>
    <w:rsid w:val="00316AC9"/>
    <w:rsid w:val="00316B94"/>
    <w:rsid w:val="00316C53"/>
    <w:rsid w:val="00316C87"/>
    <w:rsid w:val="00316CDA"/>
    <w:rsid w:val="00316EA7"/>
    <w:rsid w:val="00316FCE"/>
    <w:rsid w:val="0031703E"/>
    <w:rsid w:val="0031733F"/>
    <w:rsid w:val="0031765D"/>
    <w:rsid w:val="003177D1"/>
    <w:rsid w:val="003177DF"/>
    <w:rsid w:val="003178BE"/>
    <w:rsid w:val="00317AD6"/>
    <w:rsid w:val="00317C6B"/>
    <w:rsid w:val="00317DBA"/>
    <w:rsid w:val="00317F1B"/>
    <w:rsid w:val="00317F3A"/>
    <w:rsid w:val="00320313"/>
    <w:rsid w:val="00320403"/>
    <w:rsid w:val="0032045D"/>
    <w:rsid w:val="00320484"/>
    <w:rsid w:val="003207E6"/>
    <w:rsid w:val="00320855"/>
    <w:rsid w:val="0032087E"/>
    <w:rsid w:val="00320B23"/>
    <w:rsid w:val="00320C86"/>
    <w:rsid w:val="00320E0D"/>
    <w:rsid w:val="00320FDB"/>
    <w:rsid w:val="0032101D"/>
    <w:rsid w:val="0032103F"/>
    <w:rsid w:val="003210EF"/>
    <w:rsid w:val="003212EE"/>
    <w:rsid w:val="003212F2"/>
    <w:rsid w:val="00321A5D"/>
    <w:rsid w:val="00321A7B"/>
    <w:rsid w:val="00321B44"/>
    <w:rsid w:val="00321B78"/>
    <w:rsid w:val="00321BC2"/>
    <w:rsid w:val="00321D72"/>
    <w:rsid w:val="00321DED"/>
    <w:rsid w:val="00321FDE"/>
    <w:rsid w:val="003220D8"/>
    <w:rsid w:val="003220F1"/>
    <w:rsid w:val="00322147"/>
    <w:rsid w:val="00322559"/>
    <w:rsid w:val="0032255E"/>
    <w:rsid w:val="003225D5"/>
    <w:rsid w:val="003226D3"/>
    <w:rsid w:val="0032279E"/>
    <w:rsid w:val="003228C4"/>
    <w:rsid w:val="00322CE4"/>
    <w:rsid w:val="00322CED"/>
    <w:rsid w:val="00322D18"/>
    <w:rsid w:val="00322FED"/>
    <w:rsid w:val="00323076"/>
    <w:rsid w:val="0032311F"/>
    <w:rsid w:val="00323167"/>
    <w:rsid w:val="003231B3"/>
    <w:rsid w:val="0032321E"/>
    <w:rsid w:val="00323264"/>
    <w:rsid w:val="003233C3"/>
    <w:rsid w:val="003234E4"/>
    <w:rsid w:val="003235AD"/>
    <w:rsid w:val="00323669"/>
    <w:rsid w:val="003236C5"/>
    <w:rsid w:val="0032373B"/>
    <w:rsid w:val="003237BD"/>
    <w:rsid w:val="00323A79"/>
    <w:rsid w:val="00323B85"/>
    <w:rsid w:val="00323CEA"/>
    <w:rsid w:val="00323F38"/>
    <w:rsid w:val="00324061"/>
    <w:rsid w:val="003240FE"/>
    <w:rsid w:val="00324187"/>
    <w:rsid w:val="003243CA"/>
    <w:rsid w:val="00324647"/>
    <w:rsid w:val="003247CF"/>
    <w:rsid w:val="00324840"/>
    <w:rsid w:val="003249D5"/>
    <w:rsid w:val="00324E0F"/>
    <w:rsid w:val="00324E68"/>
    <w:rsid w:val="003252B5"/>
    <w:rsid w:val="0032547D"/>
    <w:rsid w:val="003255EF"/>
    <w:rsid w:val="003256D8"/>
    <w:rsid w:val="003256DB"/>
    <w:rsid w:val="00325772"/>
    <w:rsid w:val="003257E7"/>
    <w:rsid w:val="00325D07"/>
    <w:rsid w:val="00325DBA"/>
    <w:rsid w:val="00325DE7"/>
    <w:rsid w:val="00325E6C"/>
    <w:rsid w:val="00326125"/>
    <w:rsid w:val="0032629D"/>
    <w:rsid w:val="003264B0"/>
    <w:rsid w:val="0032653E"/>
    <w:rsid w:val="0032667C"/>
    <w:rsid w:val="003266AE"/>
    <w:rsid w:val="00326735"/>
    <w:rsid w:val="00326739"/>
    <w:rsid w:val="0032694E"/>
    <w:rsid w:val="003269CC"/>
    <w:rsid w:val="00326C85"/>
    <w:rsid w:val="00326D59"/>
    <w:rsid w:val="00326DA9"/>
    <w:rsid w:val="00327010"/>
    <w:rsid w:val="00327079"/>
    <w:rsid w:val="00327141"/>
    <w:rsid w:val="00327421"/>
    <w:rsid w:val="00327452"/>
    <w:rsid w:val="00327464"/>
    <w:rsid w:val="003278C5"/>
    <w:rsid w:val="0032799B"/>
    <w:rsid w:val="003279EA"/>
    <w:rsid w:val="00327BDB"/>
    <w:rsid w:val="00327D79"/>
    <w:rsid w:val="00327E25"/>
    <w:rsid w:val="003301C5"/>
    <w:rsid w:val="00330664"/>
    <w:rsid w:val="0033066C"/>
    <w:rsid w:val="003306B3"/>
    <w:rsid w:val="003307DA"/>
    <w:rsid w:val="00330890"/>
    <w:rsid w:val="003308DC"/>
    <w:rsid w:val="0033098E"/>
    <w:rsid w:val="003309E5"/>
    <w:rsid w:val="00330FE1"/>
    <w:rsid w:val="00331460"/>
    <w:rsid w:val="003314DC"/>
    <w:rsid w:val="00331515"/>
    <w:rsid w:val="00331647"/>
    <w:rsid w:val="00331714"/>
    <w:rsid w:val="00331887"/>
    <w:rsid w:val="003318AD"/>
    <w:rsid w:val="00331B72"/>
    <w:rsid w:val="00332064"/>
    <w:rsid w:val="003320E0"/>
    <w:rsid w:val="0033262E"/>
    <w:rsid w:val="00332672"/>
    <w:rsid w:val="00332778"/>
    <w:rsid w:val="00332B59"/>
    <w:rsid w:val="00332C56"/>
    <w:rsid w:val="00332C6B"/>
    <w:rsid w:val="00332DE3"/>
    <w:rsid w:val="00332F91"/>
    <w:rsid w:val="00332F92"/>
    <w:rsid w:val="00332FB3"/>
    <w:rsid w:val="003330D6"/>
    <w:rsid w:val="00333216"/>
    <w:rsid w:val="0033340E"/>
    <w:rsid w:val="00333479"/>
    <w:rsid w:val="003334F3"/>
    <w:rsid w:val="00333550"/>
    <w:rsid w:val="00333651"/>
    <w:rsid w:val="00333686"/>
    <w:rsid w:val="00333719"/>
    <w:rsid w:val="003337DD"/>
    <w:rsid w:val="00333818"/>
    <w:rsid w:val="003338EB"/>
    <w:rsid w:val="00333BB1"/>
    <w:rsid w:val="00333BC6"/>
    <w:rsid w:val="00333C47"/>
    <w:rsid w:val="00333DC0"/>
    <w:rsid w:val="00333F00"/>
    <w:rsid w:val="0033424F"/>
    <w:rsid w:val="00334255"/>
    <w:rsid w:val="003343A4"/>
    <w:rsid w:val="003344E9"/>
    <w:rsid w:val="003346A3"/>
    <w:rsid w:val="0033491F"/>
    <w:rsid w:val="00334A8D"/>
    <w:rsid w:val="00334AAF"/>
    <w:rsid w:val="00334B17"/>
    <w:rsid w:val="00334C58"/>
    <w:rsid w:val="00334C61"/>
    <w:rsid w:val="00334C9B"/>
    <w:rsid w:val="00334F4C"/>
    <w:rsid w:val="00334F58"/>
    <w:rsid w:val="00335064"/>
    <w:rsid w:val="003353C9"/>
    <w:rsid w:val="00335539"/>
    <w:rsid w:val="003359A0"/>
    <w:rsid w:val="00335A24"/>
    <w:rsid w:val="00335B38"/>
    <w:rsid w:val="00335C0B"/>
    <w:rsid w:val="00335C0D"/>
    <w:rsid w:val="00335EBF"/>
    <w:rsid w:val="00335FC5"/>
    <w:rsid w:val="003360B1"/>
    <w:rsid w:val="003365A0"/>
    <w:rsid w:val="00336791"/>
    <w:rsid w:val="003367EE"/>
    <w:rsid w:val="00336877"/>
    <w:rsid w:val="0033697E"/>
    <w:rsid w:val="003369D3"/>
    <w:rsid w:val="00336A5E"/>
    <w:rsid w:val="00336B40"/>
    <w:rsid w:val="00336BC7"/>
    <w:rsid w:val="00336D62"/>
    <w:rsid w:val="00336E0E"/>
    <w:rsid w:val="00336FB9"/>
    <w:rsid w:val="0033730C"/>
    <w:rsid w:val="00337417"/>
    <w:rsid w:val="003376F3"/>
    <w:rsid w:val="003379E4"/>
    <w:rsid w:val="00337A01"/>
    <w:rsid w:val="00337BB3"/>
    <w:rsid w:val="00337BC0"/>
    <w:rsid w:val="00337DA8"/>
    <w:rsid w:val="00337F65"/>
    <w:rsid w:val="00337F72"/>
    <w:rsid w:val="00340042"/>
    <w:rsid w:val="003401D2"/>
    <w:rsid w:val="00340561"/>
    <w:rsid w:val="003407CD"/>
    <w:rsid w:val="00340A10"/>
    <w:rsid w:val="00340C95"/>
    <w:rsid w:val="00340CFC"/>
    <w:rsid w:val="00340DB9"/>
    <w:rsid w:val="00340E79"/>
    <w:rsid w:val="00340E90"/>
    <w:rsid w:val="003410C7"/>
    <w:rsid w:val="0034120A"/>
    <w:rsid w:val="00341260"/>
    <w:rsid w:val="00341391"/>
    <w:rsid w:val="00341412"/>
    <w:rsid w:val="003414C7"/>
    <w:rsid w:val="0034158C"/>
    <w:rsid w:val="003416D0"/>
    <w:rsid w:val="00341769"/>
    <w:rsid w:val="00341968"/>
    <w:rsid w:val="00341AD8"/>
    <w:rsid w:val="00341B03"/>
    <w:rsid w:val="00341C32"/>
    <w:rsid w:val="00341C3A"/>
    <w:rsid w:val="00341C5F"/>
    <w:rsid w:val="00341E3E"/>
    <w:rsid w:val="0034200F"/>
    <w:rsid w:val="0034214D"/>
    <w:rsid w:val="003425AD"/>
    <w:rsid w:val="0034274B"/>
    <w:rsid w:val="00342793"/>
    <w:rsid w:val="0034284B"/>
    <w:rsid w:val="0034292F"/>
    <w:rsid w:val="003429E6"/>
    <w:rsid w:val="00342C54"/>
    <w:rsid w:val="00342D4F"/>
    <w:rsid w:val="00342DD6"/>
    <w:rsid w:val="00342EA5"/>
    <w:rsid w:val="00342FCE"/>
    <w:rsid w:val="0034332D"/>
    <w:rsid w:val="0034374B"/>
    <w:rsid w:val="003438EF"/>
    <w:rsid w:val="0034395E"/>
    <w:rsid w:val="00343B4A"/>
    <w:rsid w:val="00343B51"/>
    <w:rsid w:val="00343BFF"/>
    <w:rsid w:val="00343D59"/>
    <w:rsid w:val="00343E2A"/>
    <w:rsid w:val="00343E42"/>
    <w:rsid w:val="00343F09"/>
    <w:rsid w:val="0034417A"/>
    <w:rsid w:val="00344199"/>
    <w:rsid w:val="00344304"/>
    <w:rsid w:val="003444B6"/>
    <w:rsid w:val="003447DB"/>
    <w:rsid w:val="0034481B"/>
    <w:rsid w:val="00344DB5"/>
    <w:rsid w:val="00344F2E"/>
    <w:rsid w:val="00344F84"/>
    <w:rsid w:val="00344F8B"/>
    <w:rsid w:val="0034502E"/>
    <w:rsid w:val="003452A3"/>
    <w:rsid w:val="003452B1"/>
    <w:rsid w:val="003452E1"/>
    <w:rsid w:val="003453EF"/>
    <w:rsid w:val="0034552B"/>
    <w:rsid w:val="003456AF"/>
    <w:rsid w:val="00345720"/>
    <w:rsid w:val="00345864"/>
    <w:rsid w:val="00345ACD"/>
    <w:rsid w:val="00345D33"/>
    <w:rsid w:val="00345D5B"/>
    <w:rsid w:val="00345D73"/>
    <w:rsid w:val="00345F78"/>
    <w:rsid w:val="00346035"/>
    <w:rsid w:val="00346180"/>
    <w:rsid w:val="0034641B"/>
    <w:rsid w:val="0034647E"/>
    <w:rsid w:val="00346517"/>
    <w:rsid w:val="0034659B"/>
    <w:rsid w:val="003467F0"/>
    <w:rsid w:val="003468EE"/>
    <w:rsid w:val="003468F8"/>
    <w:rsid w:val="00346967"/>
    <w:rsid w:val="00346A52"/>
    <w:rsid w:val="00346B20"/>
    <w:rsid w:val="00346C40"/>
    <w:rsid w:val="00346DC6"/>
    <w:rsid w:val="00346EE3"/>
    <w:rsid w:val="00346F53"/>
    <w:rsid w:val="00346FFD"/>
    <w:rsid w:val="00347007"/>
    <w:rsid w:val="003473A0"/>
    <w:rsid w:val="003474D9"/>
    <w:rsid w:val="00347843"/>
    <w:rsid w:val="0034791A"/>
    <w:rsid w:val="00347958"/>
    <w:rsid w:val="00347D3B"/>
    <w:rsid w:val="00347E07"/>
    <w:rsid w:val="00347FB8"/>
    <w:rsid w:val="003502DF"/>
    <w:rsid w:val="003502E5"/>
    <w:rsid w:val="003503B8"/>
    <w:rsid w:val="00350479"/>
    <w:rsid w:val="00350647"/>
    <w:rsid w:val="00350696"/>
    <w:rsid w:val="003506A7"/>
    <w:rsid w:val="00350863"/>
    <w:rsid w:val="00350A64"/>
    <w:rsid w:val="00350A9A"/>
    <w:rsid w:val="00350CB4"/>
    <w:rsid w:val="00350D7F"/>
    <w:rsid w:val="00350F45"/>
    <w:rsid w:val="00351134"/>
    <w:rsid w:val="003511E5"/>
    <w:rsid w:val="0035131E"/>
    <w:rsid w:val="00351339"/>
    <w:rsid w:val="00351374"/>
    <w:rsid w:val="0035137B"/>
    <w:rsid w:val="00351408"/>
    <w:rsid w:val="0035156F"/>
    <w:rsid w:val="00351664"/>
    <w:rsid w:val="00351A2E"/>
    <w:rsid w:val="00351A62"/>
    <w:rsid w:val="0035218F"/>
    <w:rsid w:val="00352293"/>
    <w:rsid w:val="003524D0"/>
    <w:rsid w:val="003527BD"/>
    <w:rsid w:val="003527EA"/>
    <w:rsid w:val="0035287F"/>
    <w:rsid w:val="00352928"/>
    <w:rsid w:val="00352ADD"/>
    <w:rsid w:val="00352AF4"/>
    <w:rsid w:val="00352B72"/>
    <w:rsid w:val="00352C3D"/>
    <w:rsid w:val="00352D52"/>
    <w:rsid w:val="00352FE3"/>
    <w:rsid w:val="00353034"/>
    <w:rsid w:val="0035307B"/>
    <w:rsid w:val="00353269"/>
    <w:rsid w:val="003534FA"/>
    <w:rsid w:val="00353562"/>
    <w:rsid w:val="00353732"/>
    <w:rsid w:val="00353A1A"/>
    <w:rsid w:val="00353DB4"/>
    <w:rsid w:val="00353E49"/>
    <w:rsid w:val="00353F71"/>
    <w:rsid w:val="00353FB5"/>
    <w:rsid w:val="0035409B"/>
    <w:rsid w:val="00354112"/>
    <w:rsid w:val="003541DC"/>
    <w:rsid w:val="00354474"/>
    <w:rsid w:val="00354476"/>
    <w:rsid w:val="003547B8"/>
    <w:rsid w:val="00354A67"/>
    <w:rsid w:val="00354A8E"/>
    <w:rsid w:val="00354B1D"/>
    <w:rsid w:val="00354B5C"/>
    <w:rsid w:val="00354BA1"/>
    <w:rsid w:val="00354BA6"/>
    <w:rsid w:val="00354ED0"/>
    <w:rsid w:val="00354F32"/>
    <w:rsid w:val="00354FB3"/>
    <w:rsid w:val="003550D1"/>
    <w:rsid w:val="003550F7"/>
    <w:rsid w:val="0035520D"/>
    <w:rsid w:val="003553A9"/>
    <w:rsid w:val="00355428"/>
    <w:rsid w:val="00355670"/>
    <w:rsid w:val="003556F2"/>
    <w:rsid w:val="00355793"/>
    <w:rsid w:val="0035579B"/>
    <w:rsid w:val="00355873"/>
    <w:rsid w:val="00355981"/>
    <w:rsid w:val="00355C13"/>
    <w:rsid w:val="00355D50"/>
    <w:rsid w:val="00355DD5"/>
    <w:rsid w:val="00355E33"/>
    <w:rsid w:val="00355E77"/>
    <w:rsid w:val="00356006"/>
    <w:rsid w:val="003560F4"/>
    <w:rsid w:val="00356398"/>
    <w:rsid w:val="00356598"/>
    <w:rsid w:val="003565C4"/>
    <w:rsid w:val="003565E6"/>
    <w:rsid w:val="00356678"/>
    <w:rsid w:val="00356694"/>
    <w:rsid w:val="003566CB"/>
    <w:rsid w:val="003566DD"/>
    <w:rsid w:val="00356871"/>
    <w:rsid w:val="00356956"/>
    <w:rsid w:val="00356B5E"/>
    <w:rsid w:val="00356BBC"/>
    <w:rsid w:val="00356C7B"/>
    <w:rsid w:val="00356CBA"/>
    <w:rsid w:val="00356D0F"/>
    <w:rsid w:val="00356D7B"/>
    <w:rsid w:val="00356D9D"/>
    <w:rsid w:val="00356E30"/>
    <w:rsid w:val="00356F7A"/>
    <w:rsid w:val="00357423"/>
    <w:rsid w:val="00357506"/>
    <w:rsid w:val="00357658"/>
    <w:rsid w:val="0035779C"/>
    <w:rsid w:val="003577B2"/>
    <w:rsid w:val="0035781B"/>
    <w:rsid w:val="0035786D"/>
    <w:rsid w:val="0035788A"/>
    <w:rsid w:val="00357A25"/>
    <w:rsid w:val="00357A9C"/>
    <w:rsid w:val="00357AED"/>
    <w:rsid w:val="00357DD4"/>
    <w:rsid w:val="00357E13"/>
    <w:rsid w:val="00360035"/>
    <w:rsid w:val="00360053"/>
    <w:rsid w:val="00360218"/>
    <w:rsid w:val="00360240"/>
    <w:rsid w:val="003602D4"/>
    <w:rsid w:val="00360327"/>
    <w:rsid w:val="00360336"/>
    <w:rsid w:val="003603F4"/>
    <w:rsid w:val="0036062C"/>
    <w:rsid w:val="00360690"/>
    <w:rsid w:val="00360791"/>
    <w:rsid w:val="003607EF"/>
    <w:rsid w:val="00360961"/>
    <w:rsid w:val="00360BD5"/>
    <w:rsid w:val="00360D38"/>
    <w:rsid w:val="00360D8D"/>
    <w:rsid w:val="0036116D"/>
    <w:rsid w:val="00361206"/>
    <w:rsid w:val="003612CC"/>
    <w:rsid w:val="003614A8"/>
    <w:rsid w:val="0036160C"/>
    <w:rsid w:val="00361A66"/>
    <w:rsid w:val="00361A69"/>
    <w:rsid w:val="00361C69"/>
    <w:rsid w:val="00361C87"/>
    <w:rsid w:val="00361E41"/>
    <w:rsid w:val="00361FAB"/>
    <w:rsid w:val="00361FDB"/>
    <w:rsid w:val="0036206F"/>
    <w:rsid w:val="00362309"/>
    <w:rsid w:val="0036233A"/>
    <w:rsid w:val="0036235F"/>
    <w:rsid w:val="00362460"/>
    <w:rsid w:val="00362748"/>
    <w:rsid w:val="003629F5"/>
    <w:rsid w:val="00362A12"/>
    <w:rsid w:val="00362B7D"/>
    <w:rsid w:val="00362E50"/>
    <w:rsid w:val="0036309D"/>
    <w:rsid w:val="00363385"/>
    <w:rsid w:val="00363665"/>
    <w:rsid w:val="00363716"/>
    <w:rsid w:val="00363750"/>
    <w:rsid w:val="003637CF"/>
    <w:rsid w:val="00363830"/>
    <w:rsid w:val="003638B6"/>
    <w:rsid w:val="0036396D"/>
    <w:rsid w:val="00363B81"/>
    <w:rsid w:val="00363CD7"/>
    <w:rsid w:val="00363F01"/>
    <w:rsid w:val="00363F07"/>
    <w:rsid w:val="00363F8A"/>
    <w:rsid w:val="00364032"/>
    <w:rsid w:val="0036404C"/>
    <w:rsid w:val="00364197"/>
    <w:rsid w:val="00364295"/>
    <w:rsid w:val="003642A1"/>
    <w:rsid w:val="0036439D"/>
    <w:rsid w:val="00364756"/>
    <w:rsid w:val="0036479A"/>
    <w:rsid w:val="0036492E"/>
    <w:rsid w:val="003649DF"/>
    <w:rsid w:val="00364ADC"/>
    <w:rsid w:val="00364C22"/>
    <w:rsid w:val="00364C98"/>
    <w:rsid w:val="00364D44"/>
    <w:rsid w:val="00364DE3"/>
    <w:rsid w:val="00364F23"/>
    <w:rsid w:val="00364FEB"/>
    <w:rsid w:val="003650DC"/>
    <w:rsid w:val="0036550B"/>
    <w:rsid w:val="00365580"/>
    <w:rsid w:val="0036561A"/>
    <w:rsid w:val="00365826"/>
    <w:rsid w:val="0036590D"/>
    <w:rsid w:val="00365C58"/>
    <w:rsid w:val="00365CB7"/>
    <w:rsid w:val="00365DC3"/>
    <w:rsid w:val="00365EDF"/>
    <w:rsid w:val="00365FC6"/>
    <w:rsid w:val="00366084"/>
    <w:rsid w:val="003660D4"/>
    <w:rsid w:val="0036645A"/>
    <w:rsid w:val="00366674"/>
    <w:rsid w:val="003666AD"/>
    <w:rsid w:val="0036675C"/>
    <w:rsid w:val="00366C29"/>
    <w:rsid w:val="00366C7F"/>
    <w:rsid w:val="00366DA6"/>
    <w:rsid w:val="00366E2B"/>
    <w:rsid w:val="00366F62"/>
    <w:rsid w:val="00367014"/>
    <w:rsid w:val="00367139"/>
    <w:rsid w:val="0036732B"/>
    <w:rsid w:val="003674C6"/>
    <w:rsid w:val="0036762F"/>
    <w:rsid w:val="00367960"/>
    <w:rsid w:val="003679FD"/>
    <w:rsid w:val="0037025F"/>
    <w:rsid w:val="00370282"/>
    <w:rsid w:val="003705EA"/>
    <w:rsid w:val="00370608"/>
    <w:rsid w:val="0037096A"/>
    <w:rsid w:val="00370A0E"/>
    <w:rsid w:val="00370ACD"/>
    <w:rsid w:val="00370D16"/>
    <w:rsid w:val="00370DCD"/>
    <w:rsid w:val="00370DEE"/>
    <w:rsid w:val="00370DFF"/>
    <w:rsid w:val="003710F3"/>
    <w:rsid w:val="00371134"/>
    <w:rsid w:val="003711AF"/>
    <w:rsid w:val="00371395"/>
    <w:rsid w:val="00371402"/>
    <w:rsid w:val="0037152A"/>
    <w:rsid w:val="00371625"/>
    <w:rsid w:val="0037183F"/>
    <w:rsid w:val="00371928"/>
    <w:rsid w:val="00371AC2"/>
    <w:rsid w:val="00371B6F"/>
    <w:rsid w:val="00371DC7"/>
    <w:rsid w:val="00371EAA"/>
    <w:rsid w:val="00371FAA"/>
    <w:rsid w:val="003720A9"/>
    <w:rsid w:val="00372317"/>
    <w:rsid w:val="003723DE"/>
    <w:rsid w:val="0037266B"/>
    <w:rsid w:val="00372747"/>
    <w:rsid w:val="0037284E"/>
    <w:rsid w:val="00372A27"/>
    <w:rsid w:val="00372C72"/>
    <w:rsid w:val="00372C90"/>
    <w:rsid w:val="00372DF2"/>
    <w:rsid w:val="00373049"/>
    <w:rsid w:val="00373055"/>
    <w:rsid w:val="00373073"/>
    <w:rsid w:val="00373083"/>
    <w:rsid w:val="00373090"/>
    <w:rsid w:val="003731B0"/>
    <w:rsid w:val="003731E1"/>
    <w:rsid w:val="00373381"/>
    <w:rsid w:val="003733F0"/>
    <w:rsid w:val="003739CB"/>
    <w:rsid w:val="00373A25"/>
    <w:rsid w:val="00373A31"/>
    <w:rsid w:val="00373C99"/>
    <w:rsid w:val="00373D10"/>
    <w:rsid w:val="00373FED"/>
    <w:rsid w:val="003743F5"/>
    <w:rsid w:val="003745CF"/>
    <w:rsid w:val="003745F2"/>
    <w:rsid w:val="003746F3"/>
    <w:rsid w:val="003747BD"/>
    <w:rsid w:val="00374847"/>
    <w:rsid w:val="003748FF"/>
    <w:rsid w:val="00374A08"/>
    <w:rsid w:val="00374B9C"/>
    <w:rsid w:val="00374D61"/>
    <w:rsid w:val="00374D94"/>
    <w:rsid w:val="00374F84"/>
    <w:rsid w:val="00374FC7"/>
    <w:rsid w:val="0037504F"/>
    <w:rsid w:val="00375076"/>
    <w:rsid w:val="003750B0"/>
    <w:rsid w:val="00375252"/>
    <w:rsid w:val="0037532B"/>
    <w:rsid w:val="00375615"/>
    <w:rsid w:val="00375650"/>
    <w:rsid w:val="0037588C"/>
    <w:rsid w:val="00375E59"/>
    <w:rsid w:val="00375F50"/>
    <w:rsid w:val="00376247"/>
    <w:rsid w:val="00376301"/>
    <w:rsid w:val="00376465"/>
    <w:rsid w:val="003766B6"/>
    <w:rsid w:val="0037689A"/>
    <w:rsid w:val="0037693D"/>
    <w:rsid w:val="00376D1A"/>
    <w:rsid w:val="00376E41"/>
    <w:rsid w:val="00376E73"/>
    <w:rsid w:val="00376F2D"/>
    <w:rsid w:val="00376F69"/>
    <w:rsid w:val="0037733F"/>
    <w:rsid w:val="003773D1"/>
    <w:rsid w:val="00377425"/>
    <w:rsid w:val="00377633"/>
    <w:rsid w:val="00377676"/>
    <w:rsid w:val="003777C7"/>
    <w:rsid w:val="00377C2F"/>
    <w:rsid w:val="00377C3E"/>
    <w:rsid w:val="00377D26"/>
    <w:rsid w:val="00377D50"/>
    <w:rsid w:val="00377F3E"/>
    <w:rsid w:val="0038009C"/>
    <w:rsid w:val="00380112"/>
    <w:rsid w:val="00380230"/>
    <w:rsid w:val="00380434"/>
    <w:rsid w:val="00380474"/>
    <w:rsid w:val="00380611"/>
    <w:rsid w:val="0038073C"/>
    <w:rsid w:val="00380970"/>
    <w:rsid w:val="00380B6A"/>
    <w:rsid w:val="00380C6D"/>
    <w:rsid w:val="00380CF8"/>
    <w:rsid w:val="00380D07"/>
    <w:rsid w:val="00381012"/>
    <w:rsid w:val="00381051"/>
    <w:rsid w:val="00381153"/>
    <w:rsid w:val="0038126F"/>
    <w:rsid w:val="00381688"/>
    <w:rsid w:val="00381853"/>
    <w:rsid w:val="00381935"/>
    <w:rsid w:val="00381951"/>
    <w:rsid w:val="00381981"/>
    <w:rsid w:val="003819B9"/>
    <w:rsid w:val="00381B49"/>
    <w:rsid w:val="00381BFB"/>
    <w:rsid w:val="00381C7B"/>
    <w:rsid w:val="00381E6F"/>
    <w:rsid w:val="00381E81"/>
    <w:rsid w:val="00381F5F"/>
    <w:rsid w:val="00382063"/>
    <w:rsid w:val="00382254"/>
    <w:rsid w:val="00382310"/>
    <w:rsid w:val="003825DC"/>
    <w:rsid w:val="003825F6"/>
    <w:rsid w:val="00382818"/>
    <w:rsid w:val="00382B4B"/>
    <w:rsid w:val="00382BDC"/>
    <w:rsid w:val="00382F5B"/>
    <w:rsid w:val="00382F8D"/>
    <w:rsid w:val="003833BF"/>
    <w:rsid w:val="003834DA"/>
    <w:rsid w:val="00383673"/>
    <w:rsid w:val="003836EC"/>
    <w:rsid w:val="003838CE"/>
    <w:rsid w:val="00383C2E"/>
    <w:rsid w:val="00383DDE"/>
    <w:rsid w:val="00383EA1"/>
    <w:rsid w:val="00383F1A"/>
    <w:rsid w:val="00383FEB"/>
    <w:rsid w:val="00384004"/>
    <w:rsid w:val="00384147"/>
    <w:rsid w:val="00384384"/>
    <w:rsid w:val="003845D5"/>
    <w:rsid w:val="003845E5"/>
    <w:rsid w:val="003846A3"/>
    <w:rsid w:val="00384750"/>
    <w:rsid w:val="00384BEE"/>
    <w:rsid w:val="00384D20"/>
    <w:rsid w:val="00384F14"/>
    <w:rsid w:val="00384FEC"/>
    <w:rsid w:val="00385016"/>
    <w:rsid w:val="0038519C"/>
    <w:rsid w:val="00385231"/>
    <w:rsid w:val="00385294"/>
    <w:rsid w:val="00385362"/>
    <w:rsid w:val="00385432"/>
    <w:rsid w:val="003856A2"/>
    <w:rsid w:val="003858FE"/>
    <w:rsid w:val="00385953"/>
    <w:rsid w:val="00385BCB"/>
    <w:rsid w:val="00385BD3"/>
    <w:rsid w:val="00385EFE"/>
    <w:rsid w:val="003861BE"/>
    <w:rsid w:val="003867DE"/>
    <w:rsid w:val="00386B45"/>
    <w:rsid w:val="00386DBF"/>
    <w:rsid w:val="00386DDE"/>
    <w:rsid w:val="00387058"/>
    <w:rsid w:val="00387188"/>
    <w:rsid w:val="003872D9"/>
    <w:rsid w:val="0038748A"/>
    <w:rsid w:val="003875E8"/>
    <w:rsid w:val="00387678"/>
    <w:rsid w:val="00387752"/>
    <w:rsid w:val="00387902"/>
    <w:rsid w:val="00387AC4"/>
    <w:rsid w:val="00387B8C"/>
    <w:rsid w:val="00387BFB"/>
    <w:rsid w:val="00387C21"/>
    <w:rsid w:val="00387DEE"/>
    <w:rsid w:val="003900A2"/>
    <w:rsid w:val="0039033C"/>
    <w:rsid w:val="0039046E"/>
    <w:rsid w:val="0039048D"/>
    <w:rsid w:val="00390511"/>
    <w:rsid w:val="003905C8"/>
    <w:rsid w:val="00390767"/>
    <w:rsid w:val="0039094A"/>
    <w:rsid w:val="00390996"/>
    <w:rsid w:val="00390C1A"/>
    <w:rsid w:val="00390C3A"/>
    <w:rsid w:val="00390C9D"/>
    <w:rsid w:val="00390EBB"/>
    <w:rsid w:val="00390F4C"/>
    <w:rsid w:val="0039102E"/>
    <w:rsid w:val="003912DF"/>
    <w:rsid w:val="0039132F"/>
    <w:rsid w:val="0039170F"/>
    <w:rsid w:val="00391869"/>
    <w:rsid w:val="0039199B"/>
    <w:rsid w:val="00391A46"/>
    <w:rsid w:val="00391C65"/>
    <w:rsid w:val="00391F55"/>
    <w:rsid w:val="0039210B"/>
    <w:rsid w:val="00392398"/>
    <w:rsid w:val="00392584"/>
    <w:rsid w:val="00392741"/>
    <w:rsid w:val="0039294C"/>
    <w:rsid w:val="00392A77"/>
    <w:rsid w:val="00392AAF"/>
    <w:rsid w:val="00392C87"/>
    <w:rsid w:val="00392C9F"/>
    <w:rsid w:val="00392CA9"/>
    <w:rsid w:val="00392CE7"/>
    <w:rsid w:val="00392D48"/>
    <w:rsid w:val="00393010"/>
    <w:rsid w:val="003931A2"/>
    <w:rsid w:val="00393236"/>
    <w:rsid w:val="0039335C"/>
    <w:rsid w:val="003933DA"/>
    <w:rsid w:val="003933EC"/>
    <w:rsid w:val="0039346D"/>
    <w:rsid w:val="003936B2"/>
    <w:rsid w:val="003936F7"/>
    <w:rsid w:val="00393C9E"/>
    <w:rsid w:val="00393CD6"/>
    <w:rsid w:val="00393D50"/>
    <w:rsid w:val="00393E1D"/>
    <w:rsid w:val="00393FF3"/>
    <w:rsid w:val="00394033"/>
    <w:rsid w:val="0039409D"/>
    <w:rsid w:val="003940F1"/>
    <w:rsid w:val="003941A0"/>
    <w:rsid w:val="003943C3"/>
    <w:rsid w:val="00394532"/>
    <w:rsid w:val="00394575"/>
    <w:rsid w:val="00394628"/>
    <w:rsid w:val="003946EA"/>
    <w:rsid w:val="0039474C"/>
    <w:rsid w:val="00394A7C"/>
    <w:rsid w:val="00394B23"/>
    <w:rsid w:val="00394BD0"/>
    <w:rsid w:val="00394C30"/>
    <w:rsid w:val="00394F15"/>
    <w:rsid w:val="00394FE9"/>
    <w:rsid w:val="00395001"/>
    <w:rsid w:val="003952EC"/>
    <w:rsid w:val="00395525"/>
    <w:rsid w:val="0039555C"/>
    <w:rsid w:val="00395669"/>
    <w:rsid w:val="00395678"/>
    <w:rsid w:val="00395748"/>
    <w:rsid w:val="00395767"/>
    <w:rsid w:val="00395B9D"/>
    <w:rsid w:val="00395E54"/>
    <w:rsid w:val="00396145"/>
    <w:rsid w:val="003961A4"/>
    <w:rsid w:val="0039632D"/>
    <w:rsid w:val="00396445"/>
    <w:rsid w:val="003964E8"/>
    <w:rsid w:val="00396553"/>
    <w:rsid w:val="0039691C"/>
    <w:rsid w:val="00396A55"/>
    <w:rsid w:val="00396B68"/>
    <w:rsid w:val="00396CD5"/>
    <w:rsid w:val="00396D5F"/>
    <w:rsid w:val="00396DA6"/>
    <w:rsid w:val="00396DB4"/>
    <w:rsid w:val="00396EAD"/>
    <w:rsid w:val="00396F70"/>
    <w:rsid w:val="003970F2"/>
    <w:rsid w:val="0039718F"/>
    <w:rsid w:val="00397259"/>
    <w:rsid w:val="003973D3"/>
    <w:rsid w:val="00397612"/>
    <w:rsid w:val="003976C9"/>
    <w:rsid w:val="00397A57"/>
    <w:rsid w:val="00397AE0"/>
    <w:rsid w:val="00397E13"/>
    <w:rsid w:val="00397FEE"/>
    <w:rsid w:val="003A0175"/>
    <w:rsid w:val="003A024D"/>
    <w:rsid w:val="003A0376"/>
    <w:rsid w:val="003A0381"/>
    <w:rsid w:val="003A061F"/>
    <w:rsid w:val="003A071A"/>
    <w:rsid w:val="003A0792"/>
    <w:rsid w:val="003A0C8E"/>
    <w:rsid w:val="003A0F4B"/>
    <w:rsid w:val="003A0FBD"/>
    <w:rsid w:val="003A0FC7"/>
    <w:rsid w:val="003A0FF3"/>
    <w:rsid w:val="003A1306"/>
    <w:rsid w:val="003A1334"/>
    <w:rsid w:val="003A143C"/>
    <w:rsid w:val="003A1456"/>
    <w:rsid w:val="003A14A0"/>
    <w:rsid w:val="003A14D9"/>
    <w:rsid w:val="003A1821"/>
    <w:rsid w:val="003A1879"/>
    <w:rsid w:val="003A1957"/>
    <w:rsid w:val="003A196B"/>
    <w:rsid w:val="003A19B9"/>
    <w:rsid w:val="003A19BD"/>
    <w:rsid w:val="003A1A75"/>
    <w:rsid w:val="003A1BFB"/>
    <w:rsid w:val="003A1C75"/>
    <w:rsid w:val="003A1D1A"/>
    <w:rsid w:val="003A1F55"/>
    <w:rsid w:val="003A2158"/>
    <w:rsid w:val="003A22E1"/>
    <w:rsid w:val="003A2638"/>
    <w:rsid w:val="003A2669"/>
    <w:rsid w:val="003A27AF"/>
    <w:rsid w:val="003A29C4"/>
    <w:rsid w:val="003A2A8A"/>
    <w:rsid w:val="003A30E2"/>
    <w:rsid w:val="003A3420"/>
    <w:rsid w:val="003A34DE"/>
    <w:rsid w:val="003A36CD"/>
    <w:rsid w:val="003A3704"/>
    <w:rsid w:val="003A3962"/>
    <w:rsid w:val="003A3A62"/>
    <w:rsid w:val="003A3B80"/>
    <w:rsid w:val="003A3C79"/>
    <w:rsid w:val="003A3CF6"/>
    <w:rsid w:val="003A3D5D"/>
    <w:rsid w:val="003A3D6B"/>
    <w:rsid w:val="003A3D71"/>
    <w:rsid w:val="003A3DEC"/>
    <w:rsid w:val="003A4037"/>
    <w:rsid w:val="003A448D"/>
    <w:rsid w:val="003A45E7"/>
    <w:rsid w:val="003A4827"/>
    <w:rsid w:val="003A4872"/>
    <w:rsid w:val="003A4913"/>
    <w:rsid w:val="003A4C7B"/>
    <w:rsid w:val="003A4D2A"/>
    <w:rsid w:val="003A50A0"/>
    <w:rsid w:val="003A5341"/>
    <w:rsid w:val="003A558C"/>
    <w:rsid w:val="003A563D"/>
    <w:rsid w:val="003A57BF"/>
    <w:rsid w:val="003A5A34"/>
    <w:rsid w:val="003A5AA9"/>
    <w:rsid w:val="003A5E06"/>
    <w:rsid w:val="003A6242"/>
    <w:rsid w:val="003A6504"/>
    <w:rsid w:val="003A652A"/>
    <w:rsid w:val="003A669A"/>
    <w:rsid w:val="003A69A3"/>
    <w:rsid w:val="003A69A4"/>
    <w:rsid w:val="003A6A77"/>
    <w:rsid w:val="003A6FFB"/>
    <w:rsid w:val="003A7031"/>
    <w:rsid w:val="003A706F"/>
    <w:rsid w:val="003A71AA"/>
    <w:rsid w:val="003A7225"/>
    <w:rsid w:val="003A7297"/>
    <w:rsid w:val="003A729F"/>
    <w:rsid w:val="003A753A"/>
    <w:rsid w:val="003A758C"/>
    <w:rsid w:val="003A75FF"/>
    <w:rsid w:val="003A7610"/>
    <w:rsid w:val="003A7730"/>
    <w:rsid w:val="003A779F"/>
    <w:rsid w:val="003A790C"/>
    <w:rsid w:val="003A7977"/>
    <w:rsid w:val="003A7DDB"/>
    <w:rsid w:val="003A7EC3"/>
    <w:rsid w:val="003B04CC"/>
    <w:rsid w:val="003B04DD"/>
    <w:rsid w:val="003B06C6"/>
    <w:rsid w:val="003B079B"/>
    <w:rsid w:val="003B0895"/>
    <w:rsid w:val="003B092B"/>
    <w:rsid w:val="003B0C5B"/>
    <w:rsid w:val="003B0E7F"/>
    <w:rsid w:val="003B0E8F"/>
    <w:rsid w:val="003B0F51"/>
    <w:rsid w:val="003B1007"/>
    <w:rsid w:val="003B1039"/>
    <w:rsid w:val="003B1310"/>
    <w:rsid w:val="003B17F8"/>
    <w:rsid w:val="003B1884"/>
    <w:rsid w:val="003B1AD5"/>
    <w:rsid w:val="003B1ED2"/>
    <w:rsid w:val="003B2275"/>
    <w:rsid w:val="003B2385"/>
    <w:rsid w:val="003B24F2"/>
    <w:rsid w:val="003B25CE"/>
    <w:rsid w:val="003B25DB"/>
    <w:rsid w:val="003B2768"/>
    <w:rsid w:val="003B2909"/>
    <w:rsid w:val="003B293A"/>
    <w:rsid w:val="003B295E"/>
    <w:rsid w:val="003B2B91"/>
    <w:rsid w:val="003B2DC9"/>
    <w:rsid w:val="003B2FBD"/>
    <w:rsid w:val="003B2FDF"/>
    <w:rsid w:val="003B3068"/>
    <w:rsid w:val="003B312A"/>
    <w:rsid w:val="003B31F6"/>
    <w:rsid w:val="003B33D1"/>
    <w:rsid w:val="003B378B"/>
    <w:rsid w:val="003B37CF"/>
    <w:rsid w:val="003B37F8"/>
    <w:rsid w:val="003B385E"/>
    <w:rsid w:val="003B3D12"/>
    <w:rsid w:val="003B3D71"/>
    <w:rsid w:val="003B3D77"/>
    <w:rsid w:val="003B3E8F"/>
    <w:rsid w:val="003B3F47"/>
    <w:rsid w:val="003B3F7F"/>
    <w:rsid w:val="003B4067"/>
    <w:rsid w:val="003B4424"/>
    <w:rsid w:val="003B44D9"/>
    <w:rsid w:val="003B4515"/>
    <w:rsid w:val="003B4555"/>
    <w:rsid w:val="003B45A2"/>
    <w:rsid w:val="003B47A2"/>
    <w:rsid w:val="003B496B"/>
    <w:rsid w:val="003B49F0"/>
    <w:rsid w:val="003B4B46"/>
    <w:rsid w:val="003B4D96"/>
    <w:rsid w:val="003B4E98"/>
    <w:rsid w:val="003B4EC2"/>
    <w:rsid w:val="003B4F05"/>
    <w:rsid w:val="003B521D"/>
    <w:rsid w:val="003B54D5"/>
    <w:rsid w:val="003B560C"/>
    <w:rsid w:val="003B5AA7"/>
    <w:rsid w:val="003B5CCB"/>
    <w:rsid w:val="003B5CD5"/>
    <w:rsid w:val="003B5E99"/>
    <w:rsid w:val="003B5EC5"/>
    <w:rsid w:val="003B6152"/>
    <w:rsid w:val="003B61B6"/>
    <w:rsid w:val="003B628D"/>
    <w:rsid w:val="003B64CF"/>
    <w:rsid w:val="003B6561"/>
    <w:rsid w:val="003B6739"/>
    <w:rsid w:val="003B6981"/>
    <w:rsid w:val="003B6B8A"/>
    <w:rsid w:val="003B6BC2"/>
    <w:rsid w:val="003B6C1E"/>
    <w:rsid w:val="003B6F78"/>
    <w:rsid w:val="003B6F88"/>
    <w:rsid w:val="003B6FD2"/>
    <w:rsid w:val="003B701F"/>
    <w:rsid w:val="003B70CF"/>
    <w:rsid w:val="003B7133"/>
    <w:rsid w:val="003B7156"/>
    <w:rsid w:val="003B71A9"/>
    <w:rsid w:val="003B727B"/>
    <w:rsid w:val="003B737F"/>
    <w:rsid w:val="003B7408"/>
    <w:rsid w:val="003B7445"/>
    <w:rsid w:val="003B7456"/>
    <w:rsid w:val="003B7483"/>
    <w:rsid w:val="003B76C8"/>
    <w:rsid w:val="003B76DB"/>
    <w:rsid w:val="003B78AD"/>
    <w:rsid w:val="003B7935"/>
    <w:rsid w:val="003B7950"/>
    <w:rsid w:val="003B79BA"/>
    <w:rsid w:val="003B7A7A"/>
    <w:rsid w:val="003B7AF5"/>
    <w:rsid w:val="003B7C83"/>
    <w:rsid w:val="003B7D31"/>
    <w:rsid w:val="003B7F1C"/>
    <w:rsid w:val="003C0146"/>
    <w:rsid w:val="003C02C6"/>
    <w:rsid w:val="003C0301"/>
    <w:rsid w:val="003C0347"/>
    <w:rsid w:val="003C0433"/>
    <w:rsid w:val="003C045A"/>
    <w:rsid w:val="003C0606"/>
    <w:rsid w:val="003C06D9"/>
    <w:rsid w:val="003C06EF"/>
    <w:rsid w:val="003C06F5"/>
    <w:rsid w:val="003C07F0"/>
    <w:rsid w:val="003C09D0"/>
    <w:rsid w:val="003C0A70"/>
    <w:rsid w:val="003C0B20"/>
    <w:rsid w:val="003C0B47"/>
    <w:rsid w:val="003C0C4C"/>
    <w:rsid w:val="003C0DE9"/>
    <w:rsid w:val="003C0E49"/>
    <w:rsid w:val="003C0FF4"/>
    <w:rsid w:val="003C1202"/>
    <w:rsid w:val="003C1208"/>
    <w:rsid w:val="003C1234"/>
    <w:rsid w:val="003C14EF"/>
    <w:rsid w:val="003C1527"/>
    <w:rsid w:val="003C15A5"/>
    <w:rsid w:val="003C1749"/>
    <w:rsid w:val="003C1B7D"/>
    <w:rsid w:val="003C1D70"/>
    <w:rsid w:val="003C1DC4"/>
    <w:rsid w:val="003C20CF"/>
    <w:rsid w:val="003C20EB"/>
    <w:rsid w:val="003C20FC"/>
    <w:rsid w:val="003C232D"/>
    <w:rsid w:val="003C23C8"/>
    <w:rsid w:val="003C241C"/>
    <w:rsid w:val="003C273F"/>
    <w:rsid w:val="003C27A2"/>
    <w:rsid w:val="003C2885"/>
    <w:rsid w:val="003C297A"/>
    <w:rsid w:val="003C2AE8"/>
    <w:rsid w:val="003C2D3F"/>
    <w:rsid w:val="003C2E90"/>
    <w:rsid w:val="003C2EE2"/>
    <w:rsid w:val="003C2EFF"/>
    <w:rsid w:val="003C2F69"/>
    <w:rsid w:val="003C2FCC"/>
    <w:rsid w:val="003C30C5"/>
    <w:rsid w:val="003C32B8"/>
    <w:rsid w:val="003C32BC"/>
    <w:rsid w:val="003C3580"/>
    <w:rsid w:val="003C36B4"/>
    <w:rsid w:val="003C3819"/>
    <w:rsid w:val="003C3821"/>
    <w:rsid w:val="003C38D5"/>
    <w:rsid w:val="003C38F8"/>
    <w:rsid w:val="003C3920"/>
    <w:rsid w:val="003C3961"/>
    <w:rsid w:val="003C3B3B"/>
    <w:rsid w:val="003C3C9E"/>
    <w:rsid w:val="003C3D35"/>
    <w:rsid w:val="003C3E55"/>
    <w:rsid w:val="003C3EBB"/>
    <w:rsid w:val="003C3ED1"/>
    <w:rsid w:val="003C3FD0"/>
    <w:rsid w:val="003C3FEA"/>
    <w:rsid w:val="003C4911"/>
    <w:rsid w:val="003C4DF0"/>
    <w:rsid w:val="003C5086"/>
    <w:rsid w:val="003C508D"/>
    <w:rsid w:val="003C50B4"/>
    <w:rsid w:val="003C5197"/>
    <w:rsid w:val="003C5544"/>
    <w:rsid w:val="003C5649"/>
    <w:rsid w:val="003C5755"/>
    <w:rsid w:val="003C58F6"/>
    <w:rsid w:val="003C5955"/>
    <w:rsid w:val="003C5CCA"/>
    <w:rsid w:val="003C5FB4"/>
    <w:rsid w:val="003C6062"/>
    <w:rsid w:val="003C63DA"/>
    <w:rsid w:val="003C6580"/>
    <w:rsid w:val="003C661B"/>
    <w:rsid w:val="003C6BE8"/>
    <w:rsid w:val="003C6C22"/>
    <w:rsid w:val="003C6D47"/>
    <w:rsid w:val="003C6DC1"/>
    <w:rsid w:val="003C6E35"/>
    <w:rsid w:val="003C6E93"/>
    <w:rsid w:val="003C6F3D"/>
    <w:rsid w:val="003C710F"/>
    <w:rsid w:val="003C71A1"/>
    <w:rsid w:val="003C741A"/>
    <w:rsid w:val="003C749D"/>
    <w:rsid w:val="003C753A"/>
    <w:rsid w:val="003C774D"/>
    <w:rsid w:val="003C775C"/>
    <w:rsid w:val="003C7827"/>
    <w:rsid w:val="003C7898"/>
    <w:rsid w:val="003C78AF"/>
    <w:rsid w:val="003C7AA9"/>
    <w:rsid w:val="003C7B28"/>
    <w:rsid w:val="003C7C2A"/>
    <w:rsid w:val="003C7D2A"/>
    <w:rsid w:val="003C7D70"/>
    <w:rsid w:val="003C7D94"/>
    <w:rsid w:val="003C7DF0"/>
    <w:rsid w:val="003C7F0D"/>
    <w:rsid w:val="003C7FD5"/>
    <w:rsid w:val="003D008F"/>
    <w:rsid w:val="003D01F5"/>
    <w:rsid w:val="003D055D"/>
    <w:rsid w:val="003D05F6"/>
    <w:rsid w:val="003D0607"/>
    <w:rsid w:val="003D0BD9"/>
    <w:rsid w:val="003D0C27"/>
    <w:rsid w:val="003D0CD2"/>
    <w:rsid w:val="003D0D36"/>
    <w:rsid w:val="003D0D6B"/>
    <w:rsid w:val="003D105E"/>
    <w:rsid w:val="003D119C"/>
    <w:rsid w:val="003D1417"/>
    <w:rsid w:val="003D1495"/>
    <w:rsid w:val="003D14E6"/>
    <w:rsid w:val="003D14F0"/>
    <w:rsid w:val="003D171B"/>
    <w:rsid w:val="003D178B"/>
    <w:rsid w:val="003D1A6A"/>
    <w:rsid w:val="003D1C40"/>
    <w:rsid w:val="003D1EC7"/>
    <w:rsid w:val="003D1F56"/>
    <w:rsid w:val="003D1F84"/>
    <w:rsid w:val="003D1F8F"/>
    <w:rsid w:val="003D2061"/>
    <w:rsid w:val="003D2069"/>
    <w:rsid w:val="003D24AE"/>
    <w:rsid w:val="003D2702"/>
    <w:rsid w:val="003D272C"/>
    <w:rsid w:val="003D282A"/>
    <w:rsid w:val="003D292C"/>
    <w:rsid w:val="003D298D"/>
    <w:rsid w:val="003D2A12"/>
    <w:rsid w:val="003D2AD6"/>
    <w:rsid w:val="003D2BC8"/>
    <w:rsid w:val="003D2DA0"/>
    <w:rsid w:val="003D2DDD"/>
    <w:rsid w:val="003D3049"/>
    <w:rsid w:val="003D3115"/>
    <w:rsid w:val="003D326F"/>
    <w:rsid w:val="003D327D"/>
    <w:rsid w:val="003D329C"/>
    <w:rsid w:val="003D3447"/>
    <w:rsid w:val="003D34A9"/>
    <w:rsid w:val="003D3A07"/>
    <w:rsid w:val="003D3B11"/>
    <w:rsid w:val="003D3B77"/>
    <w:rsid w:val="003D3BEA"/>
    <w:rsid w:val="003D3E5C"/>
    <w:rsid w:val="003D4370"/>
    <w:rsid w:val="003D459F"/>
    <w:rsid w:val="003D4729"/>
    <w:rsid w:val="003D4900"/>
    <w:rsid w:val="003D4DD8"/>
    <w:rsid w:val="003D4E85"/>
    <w:rsid w:val="003D5059"/>
    <w:rsid w:val="003D50AF"/>
    <w:rsid w:val="003D50D7"/>
    <w:rsid w:val="003D512E"/>
    <w:rsid w:val="003D57FD"/>
    <w:rsid w:val="003D5838"/>
    <w:rsid w:val="003D59BD"/>
    <w:rsid w:val="003D5A4B"/>
    <w:rsid w:val="003D5B27"/>
    <w:rsid w:val="003D5F08"/>
    <w:rsid w:val="003D5F3D"/>
    <w:rsid w:val="003D6065"/>
    <w:rsid w:val="003D6213"/>
    <w:rsid w:val="003D630F"/>
    <w:rsid w:val="003D64A0"/>
    <w:rsid w:val="003D64F3"/>
    <w:rsid w:val="003D6664"/>
    <w:rsid w:val="003D69A0"/>
    <w:rsid w:val="003D69BF"/>
    <w:rsid w:val="003D6A41"/>
    <w:rsid w:val="003D6C1C"/>
    <w:rsid w:val="003D6CD6"/>
    <w:rsid w:val="003D6FDA"/>
    <w:rsid w:val="003D71AE"/>
    <w:rsid w:val="003D72B1"/>
    <w:rsid w:val="003D73E1"/>
    <w:rsid w:val="003D7538"/>
    <w:rsid w:val="003D7CB7"/>
    <w:rsid w:val="003D7E69"/>
    <w:rsid w:val="003D7ED6"/>
    <w:rsid w:val="003E00EB"/>
    <w:rsid w:val="003E0121"/>
    <w:rsid w:val="003E01EF"/>
    <w:rsid w:val="003E02EA"/>
    <w:rsid w:val="003E0340"/>
    <w:rsid w:val="003E03BF"/>
    <w:rsid w:val="003E0459"/>
    <w:rsid w:val="003E045B"/>
    <w:rsid w:val="003E05BB"/>
    <w:rsid w:val="003E06FE"/>
    <w:rsid w:val="003E085C"/>
    <w:rsid w:val="003E0A06"/>
    <w:rsid w:val="003E0DA3"/>
    <w:rsid w:val="003E0EEB"/>
    <w:rsid w:val="003E0EF4"/>
    <w:rsid w:val="003E0EF7"/>
    <w:rsid w:val="003E0F5F"/>
    <w:rsid w:val="003E0F95"/>
    <w:rsid w:val="003E0FF0"/>
    <w:rsid w:val="003E1000"/>
    <w:rsid w:val="003E118B"/>
    <w:rsid w:val="003E11BE"/>
    <w:rsid w:val="003E162C"/>
    <w:rsid w:val="003E1635"/>
    <w:rsid w:val="003E17A1"/>
    <w:rsid w:val="003E17BC"/>
    <w:rsid w:val="003E1930"/>
    <w:rsid w:val="003E1E84"/>
    <w:rsid w:val="003E1EEB"/>
    <w:rsid w:val="003E1F5F"/>
    <w:rsid w:val="003E204F"/>
    <w:rsid w:val="003E2090"/>
    <w:rsid w:val="003E21DF"/>
    <w:rsid w:val="003E232C"/>
    <w:rsid w:val="003E241E"/>
    <w:rsid w:val="003E2611"/>
    <w:rsid w:val="003E2714"/>
    <w:rsid w:val="003E2A3E"/>
    <w:rsid w:val="003E2A69"/>
    <w:rsid w:val="003E2C50"/>
    <w:rsid w:val="003E2D86"/>
    <w:rsid w:val="003E2DF8"/>
    <w:rsid w:val="003E30BA"/>
    <w:rsid w:val="003E3165"/>
    <w:rsid w:val="003E3212"/>
    <w:rsid w:val="003E3563"/>
    <w:rsid w:val="003E3734"/>
    <w:rsid w:val="003E37C9"/>
    <w:rsid w:val="003E38DB"/>
    <w:rsid w:val="003E3A76"/>
    <w:rsid w:val="003E3AD2"/>
    <w:rsid w:val="003E4066"/>
    <w:rsid w:val="003E4202"/>
    <w:rsid w:val="003E4442"/>
    <w:rsid w:val="003E478E"/>
    <w:rsid w:val="003E479C"/>
    <w:rsid w:val="003E47EF"/>
    <w:rsid w:val="003E4851"/>
    <w:rsid w:val="003E486E"/>
    <w:rsid w:val="003E4968"/>
    <w:rsid w:val="003E4A2A"/>
    <w:rsid w:val="003E4A41"/>
    <w:rsid w:val="003E4AEC"/>
    <w:rsid w:val="003E4BA2"/>
    <w:rsid w:val="003E4CE7"/>
    <w:rsid w:val="003E4D01"/>
    <w:rsid w:val="003E54BD"/>
    <w:rsid w:val="003E5548"/>
    <w:rsid w:val="003E556D"/>
    <w:rsid w:val="003E57BB"/>
    <w:rsid w:val="003E583E"/>
    <w:rsid w:val="003E597A"/>
    <w:rsid w:val="003E5AD0"/>
    <w:rsid w:val="003E5BB5"/>
    <w:rsid w:val="003E5DA2"/>
    <w:rsid w:val="003E5E62"/>
    <w:rsid w:val="003E5EB5"/>
    <w:rsid w:val="003E5F17"/>
    <w:rsid w:val="003E5F52"/>
    <w:rsid w:val="003E5FD1"/>
    <w:rsid w:val="003E611E"/>
    <w:rsid w:val="003E61B9"/>
    <w:rsid w:val="003E6288"/>
    <w:rsid w:val="003E62D8"/>
    <w:rsid w:val="003E635B"/>
    <w:rsid w:val="003E6528"/>
    <w:rsid w:val="003E67EE"/>
    <w:rsid w:val="003E6A9B"/>
    <w:rsid w:val="003E6B4E"/>
    <w:rsid w:val="003E6E57"/>
    <w:rsid w:val="003E70CA"/>
    <w:rsid w:val="003E71B5"/>
    <w:rsid w:val="003E723B"/>
    <w:rsid w:val="003E7267"/>
    <w:rsid w:val="003E72F6"/>
    <w:rsid w:val="003E7430"/>
    <w:rsid w:val="003E771F"/>
    <w:rsid w:val="003E78E5"/>
    <w:rsid w:val="003E7944"/>
    <w:rsid w:val="003E7B33"/>
    <w:rsid w:val="003E7C47"/>
    <w:rsid w:val="003E7EEA"/>
    <w:rsid w:val="003F01A1"/>
    <w:rsid w:val="003F01CF"/>
    <w:rsid w:val="003F01E7"/>
    <w:rsid w:val="003F028D"/>
    <w:rsid w:val="003F02FB"/>
    <w:rsid w:val="003F02FE"/>
    <w:rsid w:val="003F0313"/>
    <w:rsid w:val="003F04EB"/>
    <w:rsid w:val="003F0502"/>
    <w:rsid w:val="003F0540"/>
    <w:rsid w:val="003F0681"/>
    <w:rsid w:val="003F086C"/>
    <w:rsid w:val="003F08A1"/>
    <w:rsid w:val="003F092B"/>
    <w:rsid w:val="003F09C4"/>
    <w:rsid w:val="003F0E0F"/>
    <w:rsid w:val="003F1274"/>
    <w:rsid w:val="003F1288"/>
    <w:rsid w:val="003F1318"/>
    <w:rsid w:val="003F13F9"/>
    <w:rsid w:val="003F18DD"/>
    <w:rsid w:val="003F1A89"/>
    <w:rsid w:val="003F1AB7"/>
    <w:rsid w:val="003F1CC7"/>
    <w:rsid w:val="003F1EFF"/>
    <w:rsid w:val="003F20A5"/>
    <w:rsid w:val="003F22A3"/>
    <w:rsid w:val="003F25D4"/>
    <w:rsid w:val="003F265F"/>
    <w:rsid w:val="003F2725"/>
    <w:rsid w:val="003F27F5"/>
    <w:rsid w:val="003F285A"/>
    <w:rsid w:val="003F28BB"/>
    <w:rsid w:val="003F2995"/>
    <w:rsid w:val="003F2AE5"/>
    <w:rsid w:val="003F2B04"/>
    <w:rsid w:val="003F2BD9"/>
    <w:rsid w:val="003F2C23"/>
    <w:rsid w:val="003F2EEF"/>
    <w:rsid w:val="003F2F75"/>
    <w:rsid w:val="003F2F7D"/>
    <w:rsid w:val="003F30B8"/>
    <w:rsid w:val="003F3690"/>
    <w:rsid w:val="003F3693"/>
    <w:rsid w:val="003F36E6"/>
    <w:rsid w:val="003F383D"/>
    <w:rsid w:val="003F3B2B"/>
    <w:rsid w:val="003F402F"/>
    <w:rsid w:val="003F4288"/>
    <w:rsid w:val="003F460A"/>
    <w:rsid w:val="003F471B"/>
    <w:rsid w:val="003F47DC"/>
    <w:rsid w:val="003F483F"/>
    <w:rsid w:val="003F498E"/>
    <w:rsid w:val="003F4A29"/>
    <w:rsid w:val="003F4B65"/>
    <w:rsid w:val="003F4BB1"/>
    <w:rsid w:val="003F4E02"/>
    <w:rsid w:val="003F4E12"/>
    <w:rsid w:val="003F4EF2"/>
    <w:rsid w:val="003F4F94"/>
    <w:rsid w:val="003F5003"/>
    <w:rsid w:val="003F5097"/>
    <w:rsid w:val="003F5116"/>
    <w:rsid w:val="003F5183"/>
    <w:rsid w:val="003F522F"/>
    <w:rsid w:val="003F5367"/>
    <w:rsid w:val="003F5878"/>
    <w:rsid w:val="003F598F"/>
    <w:rsid w:val="003F5E73"/>
    <w:rsid w:val="003F5F2F"/>
    <w:rsid w:val="003F5F5A"/>
    <w:rsid w:val="003F6013"/>
    <w:rsid w:val="003F636F"/>
    <w:rsid w:val="003F639D"/>
    <w:rsid w:val="003F6406"/>
    <w:rsid w:val="003F643D"/>
    <w:rsid w:val="003F6557"/>
    <w:rsid w:val="003F67CC"/>
    <w:rsid w:val="003F67F3"/>
    <w:rsid w:val="003F6813"/>
    <w:rsid w:val="003F6BE0"/>
    <w:rsid w:val="003F6E0B"/>
    <w:rsid w:val="003F6E16"/>
    <w:rsid w:val="003F6FE6"/>
    <w:rsid w:val="003F7383"/>
    <w:rsid w:val="003F7389"/>
    <w:rsid w:val="003F74EA"/>
    <w:rsid w:val="003F7538"/>
    <w:rsid w:val="003F7646"/>
    <w:rsid w:val="003F7666"/>
    <w:rsid w:val="003F773D"/>
    <w:rsid w:val="003F7893"/>
    <w:rsid w:val="003F7AAE"/>
    <w:rsid w:val="003F7B4A"/>
    <w:rsid w:val="003F7EF2"/>
    <w:rsid w:val="00400408"/>
    <w:rsid w:val="00400688"/>
    <w:rsid w:val="00400858"/>
    <w:rsid w:val="00400AC6"/>
    <w:rsid w:val="00400BD5"/>
    <w:rsid w:val="00400C82"/>
    <w:rsid w:val="00400CFC"/>
    <w:rsid w:val="00400DDE"/>
    <w:rsid w:val="00400DEF"/>
    <w:rsid w:val="00400F49"/>
    <w:rsid w:val="00400F9E"/>
    <w:rsid w:val="0040112E"/>
    <w:rsid w:val="0040121F"/>
    <w:rsid w:val="0040130E"/>
    <w:rsid w:val="0040153D"/>
    <w:rsid w:val="004016B6"/>
    <w:rsid w:val="004018DF"/>
    <w:rsid w:val="004019B8"/>
    <w:rsid w:val="00401A27"/>
    <w:rsid w:val="00401A60"/>
    <w:rsid w:val="00401ECE"/>
    <w:rsid w:val="0040205B"/>
    <w:rsid w:val="00402214"/>
    <w:rsid w:val="0040242A"/>
    <w:rsid w:val="0040246D"/>
    <w:rsid w:val="004024EA"/>
    <w:rsid w:val="00402560"/>
    <w:rsid w:val="00402661"/>
    <w:rsid w:val="0040269E"/>
    <w:rsid w:val="004027DC"/>
    <w:rsid w:val="0040288E"/>
    <w:rsid w:val="00402954"/>
    <w:rsid w:val="0040298C"/>
    <w:rsid w:val="004029D5"/>
    <w:rsid w:val="004029FF"/>
    <w:rsid w:val="00402B1D"/>
    <w:rsid w:val="00402B66"/>
    <w:rsid w:val="00402C67"/>
    <w:rsid w:val="00402D13"/>
    <w:rsid w:val="0040300C"/>
    <w:rsid w:val="0040304C"/>
    <w:rsid w:val="004030E9"/>
    <w:rsid w:val="0040329A"/>
    <w:rsid w:val="004032E9"/>
    <w:rsid w:val="004033A7"/>
    <w:rsid w:val="00403467"/>
    <w:rsid w:val="004034E1"/>
    <w:rsid w:val="004034F1"/>
    <w:rsid w:val="00403611"/>
    <w:rsid w:val="0040366A"/>
    <w:rsid w:val="0040374F"/>
    <w:rsid w:val="004037C3"/>
    <w:rsid w:val="00403A67"/>
    <w:rsid w:val="00403C7F"/>
    <w:rsid w:val="00403CA0"/>
    <w:rsid w:val="00403D20"/>
    <w:rsid w:val="00403DE9"/>
    <w:rsid w:val="00403EB6"/>
    <w:rsid w:val="00403FB2"/>
    <w:rsid w:val="0040412F"/>
    <w:rsid w:val="004049C5"/>
    <w:rsid w:val="00404A7B"/>
    <w:rsid w:val="00404D16"/>
    <w:rsid w:val="004051BD"/>
    <w:rsid w:val="00405555"/>
    <w:rsid w:val="0040557A"/>
    <w:rsid w:val="00405654"/>
    <w:rsid w:val="00405692"/>
    <w:rsid w:val="00405930"/>
    <w:rsid w:val="00405995"/>
    <w:rsid w:val="00405AD0"/>
    <w:rsid w:val="00405BDF"/>
    <w:rsid w:val="00405D1D"/>
    <w:rsid w:val="0040609E"/>
    <w:rsid w:val="00406118"/>
    <w:rsid w:val="0040653C"/>
    <w:rsid w:val="004065C0"/>
    <w:rsid w:val="00406707"/>
    <w:rsid w:val="004067C5"/>
    <w:rsid w:val="00406C99"/>
    <w:rsid w:val="00406DCA"/>
    <w:rsid w:val="00406E88"/>
    <w:rsid w:val="00406E95"/>
    <w:rsid w:val="00406F63"/>
    <w:rsid w:val="00406FFB"/>
    <w:rsid w:val="00407526"/>
    <w:rsid w:val="0040771A"/>
    <w:rsid w:val="004078F7"/>
    <w:rsid w:val="004079AE"/>
    <w:rsid w:val="004079C9"/>
    <w:rsid w:val="004079F6"/>
    <w:rsid w:val="00407C53"/>
    <w:rsid w:val="00407C64"/>
    <w:rsid w:val="00407D00"/>
    <w:rsid w:val="00407DF2"/>
    <w:rsid w:val="00407E5A"/>
    <w:rsid w:val="00407F76"/>
    <w:rsid w:val="00410065"/>
    <w:rsid w:val="0041038D"/>
    <w:rsid w:val="004103D1"/>
    <w:rsid w:val="00410451"/>
    <w:rsid w:val="00410681"/>
    <w:rsid w:val="0041097B"/>
    <w:rsid w:val="004109A2"/>
    <w:rsid w:val="00410AE7"/>
    <w:rsid w:val="00410E3B"/>
    <w:rsid w:val="0041106E"/>
    <w:rsid w:val="004111D6"/>
    <w:rsid w:val="004111E1"/>
    <w:rsid w:val="00411601"/>
    <w:rsid w:val="0041174E"/>
    <w:rsid w:val="0041184F"/>
    <w:rsid w:val="0041191E"/>
    <w:rsid w:val="00411A5D"/>
    <w:rsid w:val="00411AEE"/>
    <w:rsid w:val="00411C4B"/>
    <w:rsid w:val="00411CA9"/>
    <w:rsid w:val="0041209B"/>
    <w:rsid w:val="00412197"/>
    <w:rsid w:val="004121D7"/>
    <w:rsid w:val="00412243"/>
    <w:rsid w:val="00412335"/>
    <w:rsid w:val="004124ED"/>
    <w:rsid w:val="00412663"/>
    <w:rsid w:val="00412691"/>
    <w:rsid w:val="0041274D"/>
    <w:rsid w:val="004127FF"/>
    <w:rsid w:val="00412874"/>
    <w:rsid w:val="0041290B"/>
    <w:rsid w:val="004129C3"/>
    <w:rsid w:val="004129FF"/>
    <w:rsid w:val="00412BA0"/>
    <w:rsid w:val="00412DEA"/>
    <w:rsid w:val="0041319E"/>
    <w:rsid w:val="00413216"/>
    <w:rsid w:val="00413277"/>
    <w:rsid w:val="00413288"/>
    <w:rsid w:val="004132BF"/>
    <w:rsid w:val="004132FA"/>
    <w:rsid w:val="00413338"/>
    <w:rsid w:val="00413723"/>
    <w:rsid w:val="004138AD"/>
    <w:rsid w:val="00413954"/>
    <w:rsid w:val="004139A2"/>
    <w:rsid w:val="00413A5E"/>
    <w:rsid w:val="00413E5F"/>
    <w:rsid w:val="00413F87"/>
    <w:rsid w:val="00414119"/>
    <w:rsid w:val="004141DB"/>
    <w:rsid w:val="004142B3"/>
    <w:rsid w:val="004142E1"/>
    <w:rsid w:val="00414301"/>
    <w:rsid w:val="00414763"/>
    <w:rsid w:val="004147A6"/>
    <w:rsid w:val="004148E6"/>
    <w:rsid w:val="0041495A"/>
    <w:rsid w:val="00414A32"/>
    <w:rsid w:val="00414AF6"/>
    <w:rsid w:val="00414D68"/>
    <w:rsid w:val="00414DA7"/>
    <w:rsid w:val="00414DF9"/>
    <w:rsid w:val="00414E79"/>
    <w:rsid w:val="004151DB"/>
    <w:rsid w:val="00415307"/>
    <w:rsid w:val="004154F7"/>
    <w:rsid w:val="0041566F"/>
    <w:rsid w:val="00415B76"/>
    <w:rsid w:val="00415F0A"/>
    <w:rsid w:val="00415F11"/>
    <w:rsid w:val="00415F44"/>
    <w:rsid w:val="00416013"/>
    <w:rsid w:val="00416750"/>
    <w:rsid w:val="004168C5"/>
    <w:rsid w:val="00416A34"/>
    <w:rsid w:val="00416B05"/>
    <w:rsid w:val="00416B87"/>
    <w:rsid w:val="00416BF1"/>
    <w:rsid w:val="00416CAF"/>
    <w:rsid w:val="00416DAC"/>
    <w:rsid w:val="00417030"/>
    <w:rsid w:val="004170B3"/>
    <w:rsid w:val="004172F0"/>
    <w:rsid w:val="0041733D"/>
    <w:rsid w:val="0041738C"/>
    <w:rsid w:val="004173C9"/>
    <w:rsid w:val="004173EF"/>
    <w:rsid w:val="00417415"/>
    <w:rsid w:val="00417522"/>
    <w:rsid w:val="0041756A"/>
    <w:rsid w:val="00417585"/>
    <w:rsid w:val="00417676"/>
    <w:rsid w:val="0041773F"/>
    <w:rsid w:val="004177F0"/>
    <w:rsid w:val="00417A90"/>
    <w:rsid w:val="00417BB8"/>
    <w:rsid w:val="00417CCB"/>
    <w:rsid w:val="00420355"/>
    <w:rsid w:val="004206ED"/>
    <w:rsid w:val="00420837"/>
    <w:rsid w:val="0042093D"/>
    <w:rsid w:val="00420AE5"/>
    <w:rsid w:val="00420B46"/>
    <w:rsid w:val="00420B7E"/>
    <w:rsid w:val="00420B91"/>
    <w:rsid w:val="00420B9E"/>
    <w:rsid w:val="00420C6A"/>
    <w:rsid w:val="00420D0F"/>
    <w:rsid w:val="00421196"/>
    <w:rsid w:val="00421421"/>
    <w:rsid w:val="00421742"/>
    <w:rsid w:val="00421B01"/>
    <w:rsid w:val="00421B96"/>
    <w:rsid w:val="00421C0A"/>
    <w:rsid w:val="00421CD3"/>
    <w:rsid w:val="00421E37"/>
    <w:rsid w:val="0042210D"/>
    <w:rsid w:val="004221B4"/>
    <w:rsid w:val="004222A7"/>
    <w:rsid w:val="00422336"/>
    <w:rsid w:val="0042255B"/>
    <w:rsid w:val="00422584"/>
    <w:rsid w:val="004227F5"/>
    <w:rsid w:val="00422832"/>
    <w:rsid w:val="00422888"/>
    <w:rsid w:val="0042298A"/>
    <w:rsid w:val="00422A63"/>
    <w:rsid w:val="00422D84"/>
    <w:rsid w:val="00422DA7"/>
    <w:rsid w:val="00422DC1"/>
    <w:rsid w:val="00422E92"/>
    <w:rsid w:val="00422F49"/>
    <w:rsid w:val="00422F98"/>
    <w:rsid w:val="004233EF"/>
    <w:rsid w:val="004234B9"/>
    <w:rsid w:val="00423517"/>
    <w:rsid w:val="004235EE"/>
    <w:rsid w:val="0042368B"/>
    <w:rsid w:val="004237A8"/>
    <w:rsid w:val="00423838"/>
    <w:rsid w:val="00423870"/>
    <w:rsid w:val="004239BC"/>
    <w:rsid w:val="00423B2C"/>
    <w:rsid w:val="00423D79"/>
    <w:rsid w:val="00423DC0"/>
    <w:rsid w:val="00423E1C"/>
    <w:rsid w:val="004240C9"/>
    <w:rsid w:val="0042438B"/>
    <w:rsid w:val="004244C0"/>
    <w:rsid w:val="00424623"/>
    <w:rsid w:val="004246EE"/>
    <w:rsid w:val="004247ED"/>
    <w:rsid w:val="004248CC"/>
    <w:rsid w:val="0042496F"/>
    <w:rsid w:val="00424ACD"/>
    <w:rsid w:val="00424BC2"/>
    <w:rsid w:val="00424C20"/>
    <w:rsid w:val="00424DCB"/>
    <w:rsid w:val="00424DD4"/>
    <w:rsid w:val="00424F29"/>
    <w:rsid w:val="00425034"/>
    <w:rsid w:val="00425081"/>
    <w:rsid w:val="00425090"/>
    <w:rsid w:val="00425155"/>
    <w:rsid w:val="004257F3"/>
    <w:rsid w:val="00425972"/>
    <w:rsid w:val="004259B6"/>
    <w:rsid w:val="004259F2"/>
    <w:rsid w:val="00425AE0"/>
    <w:rsid w:val="00425B00"/>
    <w:rsid w:val="00425DA1"/>
    <w:rsid w:val="00425DB1"/>
    <w:rsid w:val="00425DF4"/>
    <w:rsid w:val="00425EA4"/>
    <w:rsid w:val="00425EC4"/>
    <w:rsid w:val="00425EFB"/>
    <w:rsid w:val="00425F03"/>
    <w:rsid w:val="00426098"/>
    <w:rsid w:val="004264BE"/>
    <w:rsid w:val="004265FE"/>
    <w:rsid w:val="0042673A"/>
    <w:rsid w:val="004267E6"/>
    <w:rsid w:val="00426816"/>
    <w:rsid w:val="004268EC"/>
    <w:rsid w:val="00426AD6"/>
    <w:rsid w:val="00426CE8"/>
    <w:rsid w:val="00426D14"/>
    <w:rsid w:val="00426D3D"/>
    <w:rsid w:val="00426F81"/>
    <w:rsid w:val="004270AD"/>
    <w:rsid w:val="00427124"/>
    <w:rsid w:val="004274BB"/>
    <w:rsid w:val="004274D6"/>
    <w:rsid w:val="00427558"/>
    <w:rsid w:val="0042756F"/>
    <w:rsid w:val="00427588"/>
    <w:rsid w:val="004276B7"/>
    <w:rsid w:val="00427730"/>
    <w:rsid w:val="00427B94"/>
    <w:rsid w:val="00427C19"/>
    <w:rsid w:val="00427C5D"/>
    <w:rsid w:val="00427D01"/>
    <w:rsid w:val="00427E01"/>
    <w:rsid w:val="00430083"/>
    <w:rsid w:val="00430110"/>
    <w:rsid w:val="0043016C"/>
    <w:rsid w:val="004302CA"/>
    <w:rsid w:val="004302FD"/>
    <w:rsid w:val="00430399"/>
    <w:rsid w:val="00430544"/>
    <w:rsid w:val="00430668"/>
    <w:rsid w:val="0043079A"/>
    <w:rsid w:val="00430817"/>
    <w:rsid w:val="004308C8"/>
    <w:rsid w:val="00430910"/>
    <w:rsid w:val="00430C4A"/>
    <w:rsid w:val="00430F6D"/>
    <w:rsid w:val="00430F70"/>
    <w:rsid w:val="00431046"/>
    <w:rsid w:val="0043108B"/>
    <w:rsid w:val="00431140"/>
    <w:rsid w:val="0043121E"/>
    <w:rsid w:val="004313B7"/>
    <w:rsid w:val="004313E8"/>
    <w:rsid w:val="0043140C"/>
    <w:rsid w:val="004314FB"/>
    <w:rsid w:val="00431595"/>
    <w:rsid w:val="00431830"/>
    <w:rsid w:val="004318DF"/>
    <w:rsid w:val="0043198B"/>
    <w:rsid w:val="00431A21"/>
    <w:rsid w:val="00431A95"/>
    <w:rsid w:val="00431C89"/>
    <w:rsid w:val="00431D9A"/>
    <w:rsid w:val="00431E6E"/>
    <w:rsid w:val="00431E9B"/>
    <w:rsid w:val="00431F1D"/>
    <w:rsid w:val="00431F5B"/>
    <w:rsid w:val="00432055"/>
    <w:rsid w:val="0043236F"/>
    <w:rsid w:val="00432697"/>
    <w:rsid w:val="004327D0"/>
    <w:rsid w:val="004328BF"/>
    <w:rsid w:val="004329CC"/>
    <w:rsid w:val="00432A71"/>
    <w:rsid w:val="00432B21"/>
    <w:rsid w:val="00432D7E"/>
    <w:rsid w:val="00432DB4"/>
    <w:rsid w:val="00432DCD"/>
    <w:rsid w:val="00432F14"/>
    <w:rsid w:val="00433077"/>
    <w:rsid w:val="00433130"/>
    <w:rsid w:val="0043327E"/>
    <w:rsid w:val="00433333"/>
    <w:rsid w:val="00433461"/>
    <w:rsid w:val="004334EB"/>
    <w:rsid w:val="00433623"/>
    <w:rsid w:val="0043374C"/>
    <w:rsid w:val="00433750"/>
    <w:rsid w:val="004339AC"/>
    <w:rsid w:val="00433ACB"/>
    <w:rsid w:val="00433D5E"/>
    <w:rsid w:val="00433F43"/>
    <w:rsid w:val="004340D1"/>
    <w:rsid w:val="0043441D"/>
    <w:rsid w:val="0043460E"/>
    <w:rsid w:val="0043474A"/>
    <w:rsid w:val="0043490D"/>
    <w:rsid w:val="00434AE0"/>
    <w:rsid w:val="00434EC2"/>
    <w:rsid w:val="00435188"/>
    <w:rsid w:val="004357BC"/>
    <w:rsid w:val="00435851"/>
    <w:rsid w:val="004358B1"/>
    <w:rsid w:val="0043598B"/>
    <w:rsid w:val="004359D9"/>
    <w:rsid w:val="00435A38"/>
    <w:rsid w:val="00435B64"/>
    <w:rsid w:val="00435D3E"/>
    <w:rsid w:val="00435E4A"/>
    <w:rsid w:val="00435EA0"/>
    <w:rsid w:val="0043647F"/>
    <w:rsid w:val="00436520"/>
    <w:rsid w:val="0043674D"/>
    <w:rsid w:val="00436814"/>
    <w:rsid w:val="0043682A"/>
    <w:rsid w:val="004368FF"/>
    <w:rsid w:val="00436A76"/>
    <w:rsid w:val="00436A84"/>
    <w:rsid w:val="00436AF2"/>
    <w:rsid w:val="00436B86"/>
    <w:rsid w:val="00436CFD"/>
    <w:rsid w:val="00436D0D"/>
    <w:rsid w:val="004373DD"/>
    <w:rsid w:val="0043751E"/>
    <w:rsid w:val="00437537"/>
    <w:rsid w:val="00437599"/>
    <w:rsid w:val="00437678"/>
    <w:rsid w:val="0043775F"/>
    <w:rsid w:val="0043782A"/>
    <w:rsid w:val="0043785B"/>
    <w:rsid w:val="00437A5D"/>
    <w:rsid w:val="00437A92"/>
    <w:rsid w:val="00437D2A"/>
    <w:rsid w:val="00437DBB"/>
    <w:rsid w:val="00437E6C"/>
    <w:rsid w:val="0044014D"/>
    <w:rsid w:val="00440304"/>
    <w:rsid w:val="00440378"/>
    <w:rsid w:val="004404B0"/>
    <w:rsid w:val="004405CC"/>
    <w:rsid w:val="00440658"/>
    <w:rsid w:val="004407DB"/>
    <w:rsid w:val="004408C1"/>
    <w:rsid w:val="0044098E"/>
    <w:rsid w:val="00440B2A"/>
    <w:rsid w:val="00440EBF"/>
    <w:rsid w:val="004410EA"/>
    <w:rsid w:val="004411FD"/>
    <w:rsid w:val="004414E6"/>
    <w:rsid w:val="00441650"/>
    <w:rsid w:val="00441781"/>
    <w:rsid w:val="004417D0"/>
    <w:rsid w:val="0044196E"/>
    <w:rsid w:val="00441976"/>
    <w:rsid w:val="00441A84"/>
    <w:rsid w:val="00441AF9"/>
    <w:rsid w:val="00441B12"/>
    <w:rsid w:val="00441B34"/>
    <w:rsid w:val="00441DC4"/>
    <w:rsid w:val="00441E1F"/>
    <w:rsid w:val="004420FF"/>
    <w:rsid w:val="0044214E"/>
    <w:rsid w:val="004421E4"/>
    <w:rsid w:val="00442246"/>
    <w:rsid w:val="004423BC"/>
    <w:rsid w:val="004423C9"/>
    <w:rsid w:val="00442473"/>
    <w:rsid w:val="004429E9"/>
    <w:rsid w:val="00442C08"/>
    <w:rsid w:val="0044303E"/>
    <w:rsid w:val="004430A6"/>
    <w:rsid w:val="0044332D"/>
    <w:rsid w:val="00443348"/>
    <w:rsid w:val="004433D7"/>
    <w:rsid w:val="00443469"/>
    <w:rsid w:val="004434CF"/>
    <w:rsid w:val="00443596"/>
    <w:rsid w:val="0044376A"/>
    <w:rsid w:val="0044381E"/>
    <w:rsid w:val="00443A92"/>
    <w:rsid w:val="00443C14"/>
    <w:rsid w:val="00443EA1"/>
    <w:rsid w:val="00443EEC"/>
    <w:rsid w:val="0044405F"/>
    <w:rsid w:val="00444151"/>
    <w:rsid w:val="004442CE"/>
    <w:rsid w:val="0044434C"/>
    <w:rsid w:val="00444431"/>
    <w:rsid w:val="004445F9"/>
    <w:rsid w:val="004447E2"/>
    <w:rsid w:val="00444801"/>
    <w:rsid w:val="00444943"/>
    <w:rsid w:val="00444B7D"/>
    <w:rsid w:val="00444C1B"/>
    <w:rsid w:val="00444C5B"/>
    <w:rsid w:val="00444C6E"/>
    <w:rsid w:val="00444E46"/>
    <w:rsid w:val="00444E73"/>
    <w:rsid w:val="00445063"/>
    <w:rsid w:val="00445117"/>
    <w:rsid w:val="004451EB"/>
    <w:rsid w:val="004452C2"/>
    <w:rsid w:val="004453C3"/>
    <w:rsid w:val="0044541E"/>
    <w:rsid w:val="004454E5"/>
    <w:rsid w:val="0044555D"/>
    <w:rsid w:val="0044574D"/>
    <w:rsid w:val="0044595F"/>
    <w:rsid w:val="00445A7F"/>
    <w:rsid w:val="00445C0A"/>
    <w:rsid w:val="00445CD0"/>
    <w:rsid w:val="00445D55"/>
    <w:rsid w:val="00445F64"/>
    <w:rsid w:val="00446364"/>
    <w:rsid w:val="00446575"/>
    <w:rsid w:val="0044660A"/>
    <w:rsid w:val="0044666C"/>
    <w:rsid w:val="00446C0F"/>
    <w:rsid w:val="00446FB8"/>
    <w:rsid w:val="0044716F"/>
    <w:rsid w:val="00447180"/>
    <w:rsid w:val="004472D0"/>
    <w:rsid w:val="00447779"/>
    <w:rsid w:val="0044789A"/>
    <w:rsid w:val="00447A5E"/>
    <w:rsid w:val="00447A68"/>
    <w:rsid w:val="00447B89"/>
    <w:rsid w:val="00447BFE"/>
    <w:rsid w:val="00447DB5"/>
    <w:rsid w:val="00447E40"/>
    <w:rsid w:val="00447F3A"/>
    <w:rsid w:val="00450171"/>
    <w:rsid w:val="004501EE"/>
    <w:rsid w:val="004502F2"/>
    <w:rsid w:val="0045032C"/>
    <w:rsid w:val="004503A9"/>
    <w:rsid w:val="0045053D"/>
    <w:rsid w:val="00450615"/>
    <w:rsid w:val="004507BC"/>
    <w:rsid w:val="004508C5"/>
    <w:rsid w:val="00450975"/>
    <w:rsid w:val="00450B1B"/>
    <w:rsid w:val="00450C47"/>
    <w:rsid w:val="00450D0D"/>
    <w:rsid w:val="00450D63"/>
    <w:rsid w:val="00450DD4"/>
    <w:rsid w:val="00450E4F"/>
    <w:rsid w:val="00451095"/>
    <w:rsid w:val="00451116"/>
    <w:rsid w:val="004512A7"/>
    <w:rsid w:val="00451604"/>
    <w:rsid w:val="0045164C"/>
    <w:rsid w:val="004517EF"/>
    <w:rsid w:val="00451C3A"/>
    <w:rsid w:val="00451CE8"/>
    <w:rsid w:val="0045210A"/>
    <w:rsid w:val="00452423"/>
    <w:rsid w:val="0045251E"/>
    <w:rsid w:val="00452540"/>
    <w:rsid w:val="004525EF"/>
    <w:rsid w:val="004525F4"/>
    <w:rsid w:val="00452646"/>
    <w:rsid w:val="0045264F"/>
    <w:rsid w:val="004526F3"/>
    <w:rsid w:val="00452739"/>
    <w:rsid w:val="00452805"/>
    <w:rsid w:val="0045282F"/>
    <w:rsid w:val="0045286C"/>
    <w:rsid w:val="0045291F"/>
    <w:rsid w:val="00452AEF"/>
    <w:rsid w:val="00452B4D"/>
    <w:rsid w:val="00452C19"/>
    <w:rsid w:val="00452CE8"/>
    <w:rsid w:val="00452D15"/>
    <w:rsid w:val="00452E26"/>
    <w:rsid w:val="00452ECC"/>
    <w:rsid w:val="00452FEE"/>
    <w:rsid w:val="00453056"/>
    <w:rsid w:val="0045308F"/>
    <w:rsid w:val="00453236"/>
    <w:rsid w:val="0045333D"/>
    <w:rsid w:val="00453426"/>
    <w:rsid w:val="004534D9"/>
    <w:rsid w:val="0045371D"/>
    <w:rsid w:val="00453A12"/>
    <w:rsid w:val="00453C7B"/>
    <w:rsid w:val="00453F20"/>
    <w:rsid w:val="00453FFF"/>
    <w:rsid w:val="004541E9"/>
    <w:rsid w:val="00454392"/>
    <w:rsid w:val="00454511"/>
    <w:rsid w:val="0045468F"/>
    <w:rsid w:val="0045477F"/>
    <w:rsid w:val="00454806"/>
    <w:rsid w:val="00454875"/>
    <w:rsid w:val="00454A72"/>
    <w:rsid w:val="00454B24"/>
    <w:rsid w:val="00454C1D"/>
    <w:rsid w:val="00454C58"/>
    <w:rsid w:val="00454C75"/>
    <w:rsid w:val="00454CB5"/>
    <w:rsid w:val="00454DB2"/>
    <w:rsid w:val="00454DB8"/>
    <w:rsid w:val="00454F23"/>
    <w:rsid w:val="0045516D"/>
    <w:rsid w:val="004552B6"/>
    <w:rsid w:val="0045530B"/>
    <w:rsid w:val="00455401"/>
    <w:rsid w:val="00455446"/>
    <w:rsid w:val="0045569A"/>
    <w:rsid w:val="00455AB0"/>
    <w:rsid w:val="00455D4F"/>
    <w:rsid w:val="00455D85"/>
    <w:rsid w:val="0045605E"/>
    <w:rsid w:val="0045628C"/>
    <w:rsid w:val="004562A6"/>
    <w:rsid w:val="0045639A"/>
    <w:rsid w:val="0045648D"/>
    <w:rsid w:val="004564CC"/>
    <w:rsid w:val="00456532"/>
    <w:rsid w:val="00456727"/>
    <w:rsid w:val="00456ADF"/>
    <w:rsid w:val="00456E25"/>
    <w:rsid w:val="00456E76"/>
    <w:rsid w:val="004571E4"/>
    <w:rsid w:val="00457303"/>
    <w:rsid w:val="004573A0"/>
    <w:rsid w:val="0045744A"/>
    <w:rsid w:val="0045748A"/>
    <w:rsid w:val="004574A0"/>
    <w:rsid w:val="004577BC"/>
    <w:rsid w:val="00457B67"/>
    <w:rsid w:val="00457BD6"/>
    <w:rsid w:val="00457CAD"/>
    <w:rsid w:val="00457DB4"/>
    <w:rsid w:val="00457EC8"/>
    <w:rsid w:val="00457EE2"/>
    <w:rsid w:val="00460416"/>
    <w:rsid w:val="00460AB4"/>
    <w:rsid w:val="00460AF7"/>
    <w:rsid w:val="00460DEA"/>
    <w:rsid w:val="00460F3A"/>
    <w:rsid w:val="00460F9F"/>
    <w:rsid w:val="00461034"/>
    <w:rsid w:val="0046113B"/>
    <w:rsid w:val="00461293"/>
    <w:rsid w:val="00461310"/>
    <w:rsid w:val="00461387"/>
    <w:rsid w:val="004614AE"/>
    <w:rsid w:val="004614C3"/>
    <w:rsid w:val="00461607"/>
    <w:rsid w:val="004616AC"/>
    <w:rsid w:val="004618F0"/>
    <w:rsid w:val="00461949"/>
    <w:rsid w:val="00461A60"/>
    <w:rsid w:val="00461A68"/>
    <w:rsid w:val="00461BD4"/>
    <w:rsid w:val="00461E6C"/>
    <w:rsid w:val="00461F7B"/>
    <w:rsid w:val="00461FCE"/>
    <w:rsid w:val="00462041"/>
    <w:rsid w:val="00462159"/>
    <w:rsid w:val="004622CD"/>
    <w:rsid w:val="004625ED"/>
    <w:rsid w:val="0046277A"/>
    <w:rsid w:val="004627AE"/>
    <w:rsid w:val="0046281F"/>
    <w:rsid w:val="004628F1"/>
    <w:rsid w:val="00462EE4"/>
    <w:rsid w:val="0046304B"/>
    <w:rsid w:val="00463108"/>
    <w:rsid w:val="004631D6"/>
    <w:rsid w:val="0046339E"/>
    <w:rsid w:val="004634C2"/>
    <w:rsid w:val="00463507"/>
    <w:rsid w:val="004638CF"/>
    <w:rsid w:val="0046390E"/>
    <w:rsid w:val="00463A09"/>
    <w:rsid w:val="00463DED"/>
    <w:rsid w:val="00463E16"/>
    <w:rsid w:val="00463E35"/>
    <w:rsid w:val="0046404E"/>
    <w:rsid w:val="004641A3"/>
    <w:rsid w:val="004644B9"/>
    <w:rsid w:val="00464982"/>
    <w:rsid w:val="00464A14"/>
    <w:rsid w:val="00464A59"/>
    <w:rsid w:val="00464A5F"/>
    <w:rsid w:val="00464C12"/>
    <w:rsid w:val="00464DCA"/>
    <w:rsid w:val="0046531F"/>
    <w:rsid w:val="0046544A"/>
    <w:rsid w:val="0046545E"/>
    <w:rsid w:val="0046555B"/>
    <w:rsid w:val="00465696"/>
    <w:rsid w:val="0046578F"/>
    <w:rsid w:val="00465989"/>
    <w:rsid w:val="00465A7E"/>
    <w:rsid w:val="00465EBA"/>
    <w:rsid w:val="004660D0"/>
    <w:rsid w:val="004661CE"/>
    <w:rsid w:val="00466725"/>
    <w:rsid w:val="00466803"/>
    <w:rsid w:val="004668B8"/>
    <w:rsid w:val="0046690F"/>
    <w:rsid w:val="00466983"/>
    <w:rsid w:val="00466B0C"/>
    <w:rsid w:val="00466B27"/>
    <w:rsid w:val="00466E55"/>
    <w:rsid w:val="00466F11"/>
    <w:rsid w:val="00466F6D"/>
    <w:rsid w:val="004673BD"/>
    <w:rsid w:val="004673E1"/>
    <w:rsid w:val="0046742F"/>
    <w:rsid w:val="0046744F"/>
    <w:rsid w:val="004675D9"/>
    <w:rsid w:val="0046774C"/>
    <w:rsid w:val="0046777C"/>
    <w:rsid w:val="00467845"/>
    <w:rsid w:val="00467ABA"/>
    <w:rsid w:val="00467ABD"/>
    <w:rsid w:val="00467C91"/>
    <w:rsid w:val="00467D4C"/>
    <w:rsid w:val="004702DA"/>
    <w:rsid w:val="00470422"/>
    <w:rsid w:val="004704AA"/>
    <w:rsid w:val="004706C3"/>
    <w:rsid w:val="004707C6"/>
    <w:rsid w:val="004708F1"/>
    <w:rsid w:val="00470961"/>
    <w:rsid w:val="00470B7A"/>
    <w:rsid w:val="00470C10"/>
    <w:rsid w:val="00470C28"/>
    <w:rsid w:val="00470CFF"/>
    <w:rsid w:val="00470ECB"/>
    <w:rsid w:val="004710A5"/>
    <w:rsid w:val="0047120B"/>
    <w:rsid w:val="0047136E"/>
    <w:rsid w:val="004714D5"/>
    <w:rsid w:val="00471516"/>
    <w:rsid w:val="004717D1"/>
    <w:rsid w:val="004717E6"/>
    <w:rsid w:val="004719DF"/>
    <w:rsid w:val="00471E2A"/>
    <w:rsid w:val="00471E5D"/>
    <w:rsid w:val="00471FF5"/>
    <w:rsid w:val="004720C8"/>
    <w:rsid w:val="0047259A"/>
    <w:rsid w:val="004725C5"/>
    <w:rsid w:val="004727B7"/>
    <w:rsid w:val="00472A1C"/>
    <w:rsid w:val="00472B78"/>
    <w:rsid w:val="00472E4E"/>
    <w:rsid w:val="00472EC2"/>
    <w:rsid w:val="004730B8"/>
    <w:rsid w:val="004730E9"/>
    <w:rsid w:val="00473268"/>
    <w:rsid w:val="004733E5"/>
    <w:rsid w:val="00473532"/>
    <w:rsid w:val="004735B6"/>
    <w:rsid w:val="00473728"/>
    <w:rsid w:val="0047373F"/>
    <w:rsid w:val="0047377F"/>
    <w:rsid w:val="004739E9"/>
    <w:rsid w:val="00473A5D"/>
    <w:rsid w:val="00473AE5"/>
    <w:rsid w:val="00473BCE"/>
    <w:rsid w:val="00473C0E"/>
    <w:rsid w:val="00473C45"/>
    <w:rsid w:val="00473C89"/>
    <w:rsid w:val="00473D68"/>
    <w:rsid w:val="00473D90"/>
    <w:rsid w:val="00473DA8"/>
    <w:rsid w:val="004741BE"/>
    <w:rsid w:val="00474259"/>
    <w:rsid w:val="00474663"/>
    <w:rsid w:val="00474717"/>
    <w:rsid w:val="004747C7"/>
    <w:rsid w:val="00474863"/>
    <w:rsid w:val="004749FD"/>
    <w:rsid w:val="00474C5B"/>
    <w:rsid w:val="00474D30"/>
    <w:rsid w:val="00474D55"/>
    <w:rsid w:val="00474DA1"/>
    <w:rsid w:val="00474DAA"/>
    <w:rsid w:val="00474EDB"/>
    <w:rsid w:val="00474F4D"/>
    <w:rsid w:val="00474FD4"/>
    <w:rsid w:val="004751A8"/>
    <w:rsid w:val="00475220"/>
    <w:rsid w:val="00475442"/>
    <w:rsid w:val="00475739"/>
    <w:rsid w:val="0047573D"/>
    <w:rsid w:val="00475987"/>
    <w:rsid w:val="00475E59"/>
    <w:rsid w:val="00475FB6"/>
    <w:rsid w:val="00475FF1"/>
    <w:rsid w:val="004760ED"/>
    <w:rsid w:val="004761D6"/>
    <w:rsid w:val="0047639C"/>
    <w:rsid w:val="00476430"/>
    <w:rsid w:val="0047646C"/>
    <w:rsid w:val="0047656F"/>
    <w:rsid w:val="0047658F"/>
    <w:rsid w:val="00476834"/>
    <w:rsid w:val="004768F0"/>
    <w:rsid w:val="0047690A"/>
    <w:rsid w:val="004769EA"/>
    <w:rsid w:val="00476AA6"/>
    <w:rsid w:val="00476BD7"/>
    <w:rsid w:val="00476C33"/>
    <w:rsid w:val="00476E23"/>
    <w:rsid w:val="00476E72"/>
    <w:rsid w:val="00476ED6"/>
    <w:rsid w:val="00477183"/>
    <w:rsid w:val="00477228"/>
    <w:rsid w:val="0047723C"/>
    <w:rsid w:val="00477252"/>
    <w:rsid w:val="004772E2"/>
    <w:rsid w:val="00477624"/>
    <w:rsid w:val="00477807"/>
    <w:rsid w:val="0047785D"/>
    <w:rsid w:val="004779BD"/>
    <w:rsid w:val="004779D7"/>
    <w:rsid w:val="004779D9"/>
    <w:rsid w:val="004779E6"/>
    <w:rsid w:val="00477B58"/>
    <w:rsid w:val="00477BF9"/>
    <w:rsid w:val="00477DA5"/>
    <w:rsid w:val="00477EAA"/>
    <w:rsid w:val="00477F35"/>
    <w:rsid w:val="00477F86"/>
    <w:rsid w:val="00477FC5"/>
    <w:rsid w:val="0048006C"/>
    <w:rsid w:val="00480301"/>
    <w:rsid w:val="0048049E"/>
    <w:rsid w:val="0048050E"/>
    <w:rsid w:val="00480880"/>
    <w:rsid w:val="00480B8B"/>
    <w:rsid w:val="00480CBC"/>
    <w:rsid w:val="00480DBD"/>
    <w:rsid w:val="00480EC4"/>
    <w:rsid w:val="00480F30"/>
    <w:rsid w:val="00480FA1"/>
    <w:rsid w:val="0048102F"/>
    <w:rsid w:val="0048108D"/>
    <w:rsid w:val="00481418"/>
    <w:rsid w:val="0048151E"/>
    <w:rsid w:val="004815E0"/>
    <w:rsid w:val="00481679"/>
    <w:rsid w:val="004816A7"/>
    <w:rsid w:val="00481777"/>
    <w:rsid w:val="00481851"/>
    <w:rsid w:val="0048197F"/>
    <w:rsid w:val="00481AD0"/>
    <w:rsid w:val="00481C86"/>
    <w:rsid w:val="00481D9B"/>
    <w:rsid w:val="00481E85"/>
    <w:rsid w:val="00481ECC"/>
    <w:rsid w:val="00481EE7"/>
    <w:rsid w:val="00481EF0"/>
    <w:rsid w:val="00481F54"/>
    <w:rsid w:val="00482096"/>
    <w:rsid w:val="0048241A"/>
    <w:rsid w:val="00482438"/>
    <w:rsid w:val="00482754"/>
    <w:rsid w:val="00482860"/>
    <w:rsid w:val="0048292A"/>
    <w:rsid w:val="00482A41"/>
    <w:rsid w:val="00482AE5"/>
    <w:rsid w:val="00482B07"/>
    <w:rsid w:val="00482C0D"/>
    <w:rsid w:val="00482CD4"/>
    <w:rsid w:val="00482CEE"/>
    <w:rsid w:val="00482D28"/>
    <w:rsid w:val="00482E55"/>
    <w:rsid w:val="00483360"/>
    <w:rsid w:val="004838CC"/>
    <w:rsid w:val="00483920"/>
    <w:rsid w:val="00483BF6"/>
    <w:rsid w:val="00483CF6"/>
    <w:rsid w:val="00483D6C"/>
    <w:rsid w:val="00483E2E"/>
    <w:rsid w:val="00483EFB"/>
    <w:rsid w:val="00483F02"/>
    <w:rsid w:val="004841F6"/>
    <w:rsid w:val="0048459D"/>
    <w:rsid w:val="00484608"/>
    <w:rsid w:val="004849AD"/>
    <w:rsid w:val="00484A59"/>
    <w:rsid w:val="00484DBB"/>
    <w:rsid w:val="00484F23"/>
    <w:rsid w:val="00484F55"/>
    <w:rsid w:val="00484FA3"/>
    <w:rsid w:val="00485056"/>
    <w:rsid w:val="0048508B"/>
    <w:rsid w:val="0048513A"/>
    <w:rsid w:val="0048513C"/>
    <w:rsid w:val="004851DE"/>
    <w:rsid w:val="0048544E"/>
    <w:rsid w:val="004854DA"/>
    <w:rsid w:val="0048562F"/>
    <w:rsid w:val="00485722"/>
    <w:rsid w:val="004858F8"/>
    <w:rsid w:val="00485BAD"/>
    <w:rsid w:val="00485D83"/>
    <w:rsid w:val="00485E26"/>
    <w:rsid w:val="0048608E"/>
    <w:rsid w:val="004861B8"/>
    <w:rsid w:val="004862B4"/>
    <w:rsid w:val="0048632E"/>
    <w:rsid w:val="00486401"/>
    <w:rsid w:val="00486430"/>
    <w:rsid w:val="004867A4"/>
    <w:rsid w:val="0048695C"/>
    <w:rsid w:val="00486AC4"/>
    <w:rsid w:val="00486BB1"/>
    <w:rsid w:val="00486DE4"/>
    <w:rsid w:val="00487093"/>
    <w:rsid w:val="00487136"/>
    <w:rsid w:val="0048737E"/>
    <w:rsid w:val="004873A3"/>
    <w:rsid w:val="004873C5"/>
    <w:rsid w:val="00487457"/>
    <w:rsid w:val="00487DB8"/>
    <w:rsid w:val="00487FF5"/>
    <w:rsid w:val="004900E4"/>
    <w:rsid w:val="004903D2"/>
    <w:rsid w:val="00490591"/>
    <w:rsid w:val="00490980"/>
    <w:rsid w:val="00490A8D"/>
    <w:rsid w:val="00490E9C"/>
    <w:rsid w:val="00490F7F"/>
    <w:rsid w:val="0049142B"/>
    <w:rsid w:val="0049146A"/>
    <w:rsid w:val="0049151D"/>
    <w:rsid w:val="004915B5"/>
    <w:rsid w:val="004915BC"/>
    <w:rsid w:val="004915BD"/>
    <w:rsid w:val="00491618"/>
    <w:rsid w:val="00491871"/>
    <w:rsid w:val="004919E4"/>
    <w:rsid w:val="00491BE1"/>
    <w:rsid w:val="00491DD6"/>
    <w:rsid w:val="00491E2A"/>
    <w:rsid w:val="00491F46"/>
    <w:rsid w:val="004920A7"/>
    <w:rsid w:val="00492158"/>
    <w:rsid w:val="004921B0"/>
    <w:rsid w:val="00492373"/>
    <w:rsid w:val="00492378"/>
    <w:rsid w:val="004924D3"/>
    <w:rsid w:val="004925D1"/>
    <w:rsid w:val="00492819"/>
    <w:rsid w:val="00492867"/>
    <w:rsid w:val="00492CEA"/>
    <w:rsid w:val="00492E9F"/>
    <w:rsid w:val="00492EF2"/>
    <w:rsid w:val="0049329D"/>
    <w:rsid w:val="004933BC"/>
    <w:rsid w:val="00493502"/>
    <w:rsid w:val="00493747"/>
    <w:rsid w:val="004937AF"/>
    <w:rsid w:val="00493836"/>
    <w:rsid w:val="0049385E"/>
    <w:rsid w:val="00493A18"/>
    <w:rsid w:val="00493B0A"/>
    <w:rsid w:val="00493E52"/>
    <w:rsid w:val="004941A0"/>
    <w:rsid w:val="004942B6"/>
    <w:rsid w:val="004943FE"/>
    <w:rsid w:val="004944A7"/>
    <w:rsid w:val="0049467C"/>
    <w:rsid w:val="0049479F"/>
    <w:rsid w:val="00494B9E"/>
    <w:rsid w:val="00494DB7"/>
    <w:rsid w:val="00494DC0"/>
    <w:rsid w:val="00494E54"/>
    <w:rsid w:val="00494E58"/>
    <w:rsid w:val="00494F26"/>
    <w:rsid w:val="0049508F"/>
    <w:rsid w:val="0049515D"/>
    <w:rsid w:val="004954E9"/>
    <w:rsid w:val="0049588F"/>
    <w:rsid w:val="004959C0"/>
    <w:rsid w:val="00495A35"/>
    <w:rsid w:val="00495DBF"/>
    <w:rsid w:val="00495DE7"/>
    <w:rsid w:val="00495F4D"/>
    <w:rsid w:val="0049612D"/>
    <w:rsid w:val="00496146"/>
    <w:rsid w:val="00496175"/>
    <w:rsid w:val="00496318"/>
    <w:rsid w:val="0049639C"/>
    <w:rsid w:val="0049640D"/>
    <w:rsid w:val="00496462"/>
    <w:rsid w:val="004964B2"/>
    <w:rsid w:val="00496507"/>
    <w:rsid w:val="004965E2"/>
    <w:rsid w:val="0049662A"/>
    <w:rsid w:val="00496683"/>
    <w:rsid w:val="00496A5A"/>
    <w:rsid w:val="00496A64"/>
    <w:rsid w:val="00496B55"/>
    <w:rsid w:val="00496B78"/>
    <w:rsid w:val="0049704E"/>
    <w:rsid w:val="0049717C"/>
    <w:rsid w:val="004971B6"/>
    <w:rsid w:val="00497269"/>
    <w:rsid w:val="004972AF"/>
    <w:rsid w:val="00497323"/>
    <w:rsid w:val="00497401"/>
    <w:rsid w:val="00497BF8"/>
    <w:rsid w:val="00497DAA"/>
    <w:rsid w:val="00497DE6"/>
    <w:rsid w:val="004A0205"/>
    <w:rsid w:val="004A021B"/>
    <w:rsid w:val="004A03B7"/>
    <w:rsid w:val="004A055D"/>
    <w:rsid w:val="004A05AC"/>
    <w:rsid w:val="004A06D6"/>
    <w:rsid w:val="004A06FB"/>
    <w:rsid w:val="004A0A96"/>
    <w:rsid w:val="004A0D35"/>
    <w:rsid w:val="004A0DD5"/>
    <w:rsid w:val="004A0E21"/>
    <w:rsid w:val="004A0ECC"/>
    <w:rsid w:val="004A0F81"/>
    <w:rsid w:val="004A103E"/>
    <w:rsid w:val="004A112B"/>
    <w:rsid w:val="004A1159"/>
    <w:rsid w:val="004A11D6"/>
    <w:rsid w:val="004A1390"/>
    <w:rsid w:val="004A1394"/>
    <w:rsid w:val="004A139D"/>
    <w:rsid w:val="004A17BF"/>
    <w:rsid w:val="004A185C"/>
    <w:rsid w:val="004A1970"/>
    <w:rsid w:val="004A19E1"/>
    <w:rsid w:val="004A1AAE"/>
    <w:rsid w:val="004A1DDC"/>
    <w:rsid w:val="004A1E0F"/>
    <w:rsid w:val="004A1F25"/>
    <w:rsid w:val="004A1F52"/>
    <w:rsid w:val="004A1FAB"/>
    <w:rsid w:val="004A2077"/>
    <w:rsid w:val="004A24B4"/>
    <w:rsid w:val="004A26F9"/>
    <w:rsid w:val="004A27CD"/>
    <w:rsid w:val="004A2890"/>
    <w:rsid w:val="004A2987"/>
    <w:rsid w:val="004A2B04"/>
    <w:rsid w:val="004A2DB2"/>
    <w:rsid w:val="004A2EC4"/>
    <w:rsid w:val="004A2F7D"/>
    <w:rsid w:val="004A31CF"/>
    <w:rsid w:val="004A3521"/>
    <w:rsid w:val="004A370F"/>
    <w:rsid w:val="004A3881"/>
    <w:rsid w:val="004A39C5"/>
    <w:rsid w:val="004A3A46"/>
    <w:rsid w:val="004A3A85"/>
    <w:rsid w:val="004A3B72"/>
    <w:rsid w:val="004A3C8C"/>
    <w:rsid w:val="004A3D46"/>
    <w:rsid w:val="004A40CF"/>
    <w:rsid w:val="004A40D2"/>
    <w:rsid w:val="004A4103"/>
    <w:rsid w:val="004A4202"/>
    <w:rsid w:val="004A42F9"/>
    <w:rsid w:val="004A43B9"/>
    <w:rsid w:val="004A4713"/>
    <w:rsid w:val="004A4778"/>
    <w:rsid w:val="004A48F2"/>
    <w:rsid w:val="004A499A"/>
    <w:rsid w:val="004A4BBC"/>
    <w:rsid w:val="004A4C19"/>
    <w:rsid w:val="004A5176"/>
    <w:rsid w:val="004A51CD"/>
    <w:rsid w:val="004A532D"/>
    <w:rsid w:val="004A54BF"/>
    <w:rsid w:val="004A557A"/>
    <w:rsid w:val="004A5735"/>
    <w:rsid w:val="004A57CE"/>
    <w:rsid w:val="004A597F"/>
    <w:rsid w:val="004A59FE"/>
    <w:rsid w:val="004A5A8C"/>
    <w:rsid w:val="004A5AD7"/>
    <w:rsid w:val="004A5B3C"/>
    <w:rsid w:val="004A5B6C"/>
    <w:rsid w:val="004A5D4F"/>
    <w:rsid w:val="004A5D5B"/>
    <w:rsid w:val="004A5E08"/>
    <w:rsid w:val="004A6009"/>
    <w:rsid w:val="004A6376"/>
    <w:rsid w:val="004A6933"/>
    <w:rsid w:val="004A6935"/>
    <w:rsid w:val="004A6AE8"/>
    <w:rsid w:val="004A7076"/>
    <w:rsid w:val="004A70D8"/>
    <w:rsid w:val="004A713B"/>
    <w:rsid w:val="004A7271"/>
    <w:rsid w:val="004A7478"/>
    <w:rsid w:val="004A752F"/>
    <w:rsid w:val="004A7563"/>
    <w:rsid w:val="004A76BF"/>
    <w:rsid w:val="004A7A05"/>
    <w:rsid w:val="004A7A09"/>
    <w:rsid w:val="004A7B63"/>
    <w:rsid w:val="004A7CB7"/>
    <w:rsid w:val="004A7D80"/>
    <w:rsid w:val="004A7E18"/>
    <w:rsid w:val="004B027F"/>
    <w:rsid w:val="004B0343"/>
    <w:rsid w:val="004B04A5"/>
    <w:rsid w:val="004B04AD"/>
    <w:rsid w:val="004B04F0"/>
    <w:rsid w:val="004B093A"/>
    <w:rsid w:val="004B0942"/>
    <w:rsid w:val="004B0A1B"/>
    <w:rsid w:val="004B0A72"/>
    <w:rsid w:val="004B0BB6"/>
    <w:rsid w:val="004B0C16"/>
    <w:rsid w:val="004B0CD5"/>
    <w:rsid w:val="004B0CED"/>
    <w:rsid w:val="004B0F2E"/>
    <w:rsid w:val="004B1022"/>
    <w:rsid w:val="004B113F"/>
    <w:rsid w:val="004B12E8"/>
    <w:rsid w:val="004B14EE"/>
    <w:rsid w:val="004B15AB"/>
    <w:rsid w:val="004B177C"/>
    <w:rsid w:val="004B1955"/>
    <w:rsid w:val="004B19A5"/>
    <w:rsid w:val="004B1ABA"/>
    <w:rsid w:val="004B1B75"/>
    <w:rsid w:val="004B1BBB"/>
    <w:rsid w:val="004B1C7D"/>
    <w:rsid w:val="004B1CE9"/>
    <w:rsid w:val="004B1E7E"/>
    <w:rsid w:val="004B1E91"/>
    <w:rsid w:val="004B1FBB"/>
    <w:rsid w:val="004B223C"/>
    <w:rsid w:val="004B240C"/>
    <w:rsid w:val="004B2729"/>
    <w:rsid w:val="004B278A"/>
    <w:rsid w:val="004B29C7"/>
    <w:rsid w:val="004B2A04"/>
    <w:rsid w:val="004B2AB9"/>
    <w:rsid w:val="004B2BF7"/>
    <w:rsid w:val="004B2F9A"/>
    <w:rsid w:val="004B3136"/>
    <w:rsid w:val="004B31EE"/>
    <w:rsid w:val="004B332E"/>
    <w:rsid w:val="004B33C4"/>
    <w:rsid w:val="004B351C"/>
    <w:rsid w:val="004B364C"/>
    <w:rsid w:val="004B3791"/>
    <w:rsid w:val="004B3872"/>
    <w:rsid w:val="004B3942"/>
    <w:rsid w:val="004B3A51"/>
    <w:rsid w:val="004B3A9E"/>
    <w:rsid w:val="004B3DAB"/>
    <w:rsid w:val="004B3FD0"/>
    <w:rsid w:val="004B420F"/>
    <w:rsid w:val="004B4505"/>
    <w:rsid w:val="004B45BE"/>
    <w:rsid w:val="004B4721"/>
    <w:rsid w:val="004B49AF"/>
    <w:rsid w:val="004B4A6A"/>
    <w:rsid w:val="004B4DE4"/>
    <w:rsid w:val="004B4EFA"/>
    <w:rsid w:val="004B506B"/>
    <w:rsid w:val="004B517C"/>
    <w:rsid w:val="004B52EB"/>
    <w:rsid w:val="004B5630"/>
    <w:rsid w:val="004B5A81"/>
    <w:rsid w:val="004B5AE5"/>
    <w:rsid w:val="004B5D36"/>
    <w:rsid w:val="004B5FB2"/>
    <w:rsid w:val="004B5FD5"/>
    <w:rsid w:val="004B607F"/>
    <w:rsid w:val="004B63F1"/>
    <w:rsid w:val="004B63F8"/>
    <w:rsid w:val="004B65EE"/>
    <w:rsid w:val="004B67AA"/>
    <w:rsid w:val="004B69E6"/>
    <w:rsid w:val="004B6A43"/>
    <w:rsid w:val="004B6A95"/>
    <w:rsid w:val="004B6D28"/>
    <w:rsid w:val="004B6D8D"/>
    <w:rsid w:val="004B6E7D"/>
    <w:rsid w:val="004B6E85"/>
    <w:rsid w:val="004B6F78"/>
    <w:rsid w:val="004B708C"/>
    <w:rsid w:val="004B73BB"/>
    <w:rsid w:val="004B73EA"/>
    <w:rsid w:val="004B742B"/>
    <w:rsid w:val="004B79F8"/>
    <w:rsid w:val="004B7B55"/>
    <w:rsid w:val="004B7C28"/>
    <w:rsid w:val="004B7C5B"/>
    <w:rsid w:val="004B7C9E"/>
    <w:rsid w:val="004B7EE1"/>
    <w:rsid w:val="004B7EE6"/>
    <w:rsid w:val="004B7F67"/>
    <w:rsid w:val="004C016E"/>
    <w:rsid w:val="004C0550"/>
    <w:rsid w:val="004C0556"/>
    <w:rsid w:val="004C0630"/>
    <w:rsid w:val="004C0956"/>
    <w:rsid w:val="004C0A5D"/>
    <w:rsid w:val="004C0B6A"/>
    <w:rsid w:val="004C0DEA"/>
    <w:rsid w:val="004C0F67"/>
    <w:rsid w:val="004C1136"/>
    <w:rsid w:val="004C1250"/>
    <w:rsid w:val="004C1411"/>
    <w:rsid w:val="004C172A"/>
    <w:rsid w:val="004C1ECC"/>
    <w:rsid w:val="004C20D8"/>
    <w:rsid w:val="004C2140"/>
    <w:rsid w:val="004C21D1"/>
    <w:rsid w:val="004C24FA"/>
    <w:rsid w:val="004C2572"/>
    <w:rsid w:val="004C25EE"/>
    <w:rsid w:val="004C26CC"/>
    <w:rsid w:val="004C298B"/>
    <w:rsid w:val="004C2990"/>
    <w:rsid w:val="004C2AAC"/>
    <w:rsid w:val="004C2AF8"/>
    <w:rsid w:val="004C2B0D"/>
    <w:rsid w:val="004C2F08"/>
    <w:rsid w:val="004C3101"/>
    <w:rsid w:val="004C3132"/>
    <w:rsid w:val="004C34A0"/>
    <w:rsid w:val="004C34E8"/>
    <w:rsid w:val="004C36F1"/>
    <w:rsid w:val="004C374F"/>
    <w:rsid w:val="004C3AD2"/>
    <w:rsid w:val="004C3BD7"/>
    <w:rsid w:val="004C3FED"/>
    <w:rsid w:val="004C40CE"/>
    <w:rsid w:val="004C4157"/>
    <w:rsid w:val="004C43A1"/>
    <w:rsid w:val="004C44E0"/>
    <w:rsid w:val="004C44F8"/>
    <w:rsid w:val="004C45D1"/>
    <w:rsid w:val="004C462F"/>
    <w:rsid w:val="004C488F"/>
    <w:rsid w:val="004C4A1E"/>
    <w:rsid w:val="004C4A54"/>
    <w:rsid w:val="004C4AAE"/>
    <w:rsid w:val="004C4C29"/>
    <w:rsid w:val="004C4DC4"/>
    <w:rsid w:val="004C4E47"/>
    <w:rsid w:val="004C4E48"/>
    <w:rsid w:val="004C4EAB"/>
    <w:rsid w:val="004C4F65"/>
    <w:rsid w:val="004C4F93"/>
    <w:rsid w:val="004C4FFA"/>
    <w:rsid w:val="004C50C6"/>
    <w:rsid w:val="004C531F"/>
    <w:rsid w:val="004C5438"/>
    <w:rsid w:val="004C55AB"/>
    <w:rsid w:val="004C55F1"/>
    <w:rsid w:val="004C56E4"/>
    <w:rsid w:val="004C58A3"/>
    <w:rsid w:val="004C591C"/>
    <w:rsid w:val="004C5BA5"/>
    <w:rsid w:val="004C5BBB"/>
    <w:rsid w:val="004C5E12"/>
    <w:rsid w:val="004C60B9"/>
    <w:rsid w:val="004C6242"/>
    <w:rsid w:val="004C625A"/>
    <w:rsid w:val="004C6374"/>
    <w:rsid w:val="004C679D"/>
    <w:rsid w:val="004C6A59"/>
    <w:rsid w:val="004C6ACF"/>
    <w:rsid w:val="004C6CC8"/>
    <w:rsid w:val="004C6D99"/>
    <w:rsid w:val="004C6EF6"/>
    <w:rsid w:val="004C6F4F"/>
    <w:rsid w:val="004C73B8"/>
    <w:rsid w:val="004C756C"/>
    <w:rsid w:val="004C769F"/>
    <w:rsid w:val="004C7733"/>
    <w:rsid w:val="004C77FC"/>
    <w:rsid w:val="004C78C7"/>
    <w:rsid w:val="004C791E"/>
    <w:rsid w:val="004C7E06"/>
    <w:rsid w:val="004C7E31"/>
    <w:rsid w:val="004C7E86"/>
    <w:rsid w:val="004D009A"/>
    <w:rsid w:val="004D01B0"/>
    <w:rsid w:val="004D02A4"/>
    <w:rsid w:val="004D0473"/>
    <w:rsid w:val="004D0676"/>
    <w:rsid w:val="004D0784"/>
    <w:rsid w:val="004D08CB"/>
    <w:rsid w:val="004D0A8F"/>
    <w:rsid w:val="004D0A99"/>
    <w:rsid w:val="004D0C74"/>
    <w:rsid w:val="004D103C"/>
    <w:rsid w:val="004D1124"/>
    <w:rsid w:val="004D1312"/>
    <w:rsid w:val="004D14B4"/>
    <w:rsid w:val="004D150A"/>
    <w:rsid w:val="004D1511"/>
    <w:rsid w:val="004D17AA"/>
    <w:rsid w:val="004D18A5"/>
    <w:rsid w:val="004D1941"/>
    <w:rsid w:val="004D1942"/>
    <w:rsid w:val="004D195A"/>
    <w:rsid w:val="004D1A7C"/>
    <w:rsid w:val="004D1AE5"/>
    <w:rsid w:val="004D2065"/>
    <w:rsid w:val="004D213D"/>
    <w:rsid w:val="004D2367"/>
    <w:rsid w:val="004D25DA"/>
    <w:rsid w:val="004D26D7"/>
    <w:rsid w:val="004D2736"/>
    <w:rsid w:val="004D2783"/>
    <w:rsid w:val="004D2831"/>
    <w:rsid w:val="004D2837"/>
    <w:rsid w:val="004D2976"/>
    <w:rsid w:val="004D2C84"/>
    <w:rsid w:val="004D3088"/>
    <w:rsid w:val="004D3169"/>
    <w:rsid w:val="004D31AF"/>
    <w:rsid w:val="004D3359"/>
    <w:rsid w:val="004D335A"/>
    <w:rsid w:val="004D3628"/>
    <w:rsid w:val="004D368B"/>
    <w:rsid w:val="004D3727"/>
    <w:rsid w:val="004D3917"/>
    <w:rsid w:val="004D3A27"/>
    <w:rsid w:val="004D3BF8"/>
    <w:rsid w:val="004D3DB0"/>
    <w:rsid w:val="004D3DC6"/>
    <w:rsid w:val="004D3EEE"/>
    <w:rsid w:val="004D3F47"/>
    <w:rsid w:val="004D4239"/>
    <w:rsid w:val="004D43B0"/>
    <w:rsid w:val="004D447F"/>
    <w:rsid w:val="004D463B"/>
    <w:rsid w:val="004D4810"/>
    <w:rsid w:val="004D4899"/>
    <w:rsid w:val="004D49BC"/>
    <w:rsid w:val="004D4B8E"/>
    <w:rsid w:val="004D4C6C"/>
    <w:rsid w:val="004D4DB1"/>
    <w:rsid w:val="004D4E06"/>
    <w:rsid w:val="004D4FE6"/>
    <w:rsid w:val="004D527D"/>
    <w:rsid w:val="004D5298"/>
    <w:rsid w:val="004D566E"/>
    <w:rsid w:val="004D57E8"/>
    <w:rsid w:val="004D59D2"/>
    <w:rsid w:val="004D5B0A"/>
    <w:rsid w:val="004D5B18"/>
    <w:rsid w:val="004D5B7E"/>
    <w:rsid w:val="004D5E83"/>
    <w:rsid w:val="004D5EEE"/>
    <w:rsid w:val="004D6012"/>
    <w:rsid w:val="004D618B"/>
    <w:rsid w:val="004D630E"/>
    <w:rsid w:val="004D63E8"/>
    <w:rsid w:val="004D640B"/>
    <w:rsid w:val="004D645F"/>
    <w:rsid w:val="004D649B"/>
    <w:rsid w:val="004D6582"/>
    <w:rsid w:val="004D669C"/>
    <w:rsid w:val="004D676E"/>
    <w:rsid w:val="004D6852"/>
    <w:rsid w:val="004D6861"/>
    <w:rsid w:val="004D6A7D"/>
    <w:rsid w:val="004D6BDC"/>
    <w:rsid w:val="004D6BED"/>
    <w:rsid w:val="004D6BF7"/>
    <w:rsid w:val="004D6CF3"/>
    <w:rsid w:val="004D6D43"/>
    <w:rsid w:val="004D6DBF"/>
    <w:rsid w:val="004D72B4"/>
    <w:rsid w:val="004D7593"/>
    <w:rsid w:val="004D7868"/>
    <w:rsid w:val="004D7884"/>
    <w:rsid w:val="004D795D"/>
    <w:rsid w:val="004D7C08"/>
    <w:rsid w:val="004D7CBD"/>
    <w:rsid w:val="004D7F07"/>
    <w:rsid w:val="004D7F0A"/>
    <w:rsid w:val="004D7F65"/>
    <w:rsid w:val="004D7F96"/>
    <w:rsid w:val="004E0007"/>
    <w:rsid w:val="004E001E"/>
    <w:rsid w:val="004E0398"/>
    <w:rsid w:val="004E0495"/>
    <w:rsid w:val="004E052F"/>
    <w:rsid w:val="004E05A7"/>
    <w:rsid w:val="004E0605"/>
    <w:rsid w:val="004E075C"/>
    <w:rsid w:val="004E08B2"/>
    <w:rsid w:val="004E0957"/>
    <w:rsid w:val="004E0987"/>
    <w:rsid w:val="004E0CAC"/>
    <w:rsid w:val="004E0E0A"/>
    <w:rsid w:val="004E0F1F"/>
    <w:rsid w:val="004E0FD5"/>
    <w:rsid w:val="004E10EA"/>
    <w:rsid w:val="004E11CF"/>
    <w:rsid w:val="004E1242"/>
    <w:rsid w:val="004E1294"/>
    <w:rsid w:val="004E12CD"/>
    <w:rsid w:val="004E1513"/>
    <w:rsid w:val="004E18B8"/>
    <w:rsid w:val="004E193B"/>
    <w:rsid w:val="004E1F42"/>
    <w:rsid w:val="004E22D5"/>
    <w:rsid w:val="004E24E0"/>
    <w:rsid w:val="004E2575"/>
    <w:rsid w:val="004E26A5"/>
    <w:rsid w:val="004E273A"/>
    <w:rsid w:val="004E2A69"/>
    <w:rsid w:val="004E2D0C"/>
    <w:rsid w:val="004E2D42"/>
    <w:rsid w:val="004E2D51"/>
    <w:rsid w:val="004E2F2F"/>
    <w:rsid w:val="004E2FDE"/>
    <w:rsid w:val="004E331F"/>
    <w:rsid w:val="004E3515"/>
    <w:rsid w:val="004E356B"/>
    <w:rsid w:val="004E35FF"/>
    <w:rsid w:val="004E3606"/>
    <w:rsid w:val="004E3721"/>
    <w:rsid w:val="004E3751"/>
    <w:rsid w:val="004E37A1"/>
    <w:rsid w:val="004E3973"/>
    <w:rsid w:val="004E39B0"/>
    <w:rsid w:val="004E3BD0"/>
    <w:rsid w:val="004E42C2"/>
    <w:rsid w:val="004E43EE"/>
    <w:rsid w:val="004E443C"/>
    <w:rsid w:val="004E44A4"/>
    <w:rsid w:val="004E451D"/>
    <w:rsid w:val="004E4736"/>
    <w:rsid w:val="004E4993"/>
    <w:rsid w:val="004E4A88"/>
    <w:rsid w:val="004E4C57"/>
    <w:rsid w:val="004E4CBF"/>
    <w:rsid w:val="004E4CD0"/>
    <w:rsid w:val="004E4F50"/>
    <w:rsid w:val="004E51B9"/>
    <w:rsid w:val="004E51CF"/>
    <w:rsid w:val="004E51FD"/>
    <w:rsid w:val="004E53CC"/>
    <w:rsid w:val="004E5428"/>
    <w:rsid w:val="004E54CB"/>
    <w:rsid w:val="004E5527"/>
    <w:rsid w:val="004E55BC"/>
    <w:rsid w:val="004E5663"/>
    <w:rsid w:val="004E5798"/>
    <w:rsid w:val="004E588B"/>
    <w:rsid w:val="004E5A38"/>
    <w:rsid w:val="004E5B60"/>
    <w:rsid w:val="004E5CB7"/>
    <w:rsid w:val="004E5E99"/>
    <w:rsid w:val="004E5FA5"/>
    <w:rsid w:val="004E6032"/>
    <w:rsid w:val="004E62B1"/>
    <w:rsid w:val="004E6501"/>
    <w:rsid w:val="004E66B0"/>
    <w:rsid w:val="004E67C0"/>
    <w:rsid w:val="004E68CC"/>
    <w:rsid w:val="004E699C"/>
    <w:rsid w:val="004E6A58"/>
    <w:rsid w:val="004E6B3C"/>
    <w:rsid w:val="004E6C83"/>
    <w:rsid w:val="004E6D36"/>
    <w:rsid w:val="004E71BD"/>
    <w:rsid w:val="004E72EE"/>
    <w:rsid w:val="004E74AB"/>
    <w:rsid w:val="004E7568"/>
    <w:rsid w:val="004E77C3"/>
    <w:rsid w:val="004E7835"/>
    <w:rsid w:val="004E78F9"/>
    <w:rsid w:val="004E796E"/>
    <w:rsid w:val="004E7988"/>
    <w:rsid w:val="004E7A9F"/>
    <w:rsid w:val="004E7C8C"/>
    <w:rsid w:val="004E7D1A"/>
    <w:rsid w:val="004F0000"/>
    <w:rsid w:val="004F02DB"/>
    <w:rsid w:val="004F0782"/>
    <w:rsid w:val="004F0814"/>
    <w:rsid w:val="004F08CA"/>
    <w:rsid w:val="004F0B70"/>
    <w:rsid w:val="004F0C57"/>
    <w:rsid w:val="004F0C86"/>
    <w:rsid w:val="004F0D22"/>
    <w:rsid w:val="004F0EB7"/>
    <w:rsid w:val="004F1030"/>
    <w:rsid w:val="004F10AE"/>
    <w:rsid w:val="004F1129"/>
    <w:rsid w:val="004F11D0"/>
    <w:rsid w:val="004F12C7"/>
    <w:rsid w:val="004F12D5"/>
    <w:rsid w:val="004F1418"/>
    <w:rsid w:val="004F15EA"/>
    <w:rsid w:val="004F16A3"/>
    <w:rsid w:val="004F16C7"/>
    <w:rsid w:val="004F186F"/>
    <w:rsid w:val="004F1B24"/>
    <w:rsid w:val="004F1E3E"/>
    <w:rsid w:val="004F1EE5"/>
    <w:rsid w:val="004F1F42"/>
    <w:rsid w:val="004F2325"/>
    <w:rsid w:val="004F2940"/>
    <w:rsid w:val="004F2956"/>
    <w:rsid w:val="004F2983"/>
    <w:rsid w:val="004F2D09"/>
    <w:rsid w:val="004F2DE9"/>
    <w:rsid w:val="004F2E41"/>
    <w:rsid w:val="004F3287"/>
    <w:rsid w:val="004F39A1"/>
    <w:rsid w:val="004F3B15"/>
    <w:rsid w:val="004F3BCC"/>
    <w:rsid w:val="004F3E72"/>
    <w:rsid w:val="004F3F60"/>
    <w:rsid w:val="004F3F78"/>
    <w:rsid w:val="004F4075"/>
    <w:rsid w:val="004F40B0"/>
    <w:rsid w:val="004F40E3"/>
    <w:rsid w:val="004F4166"/>
    <w:rsid w:val="004F41E7"/>
    <w:rsid w:val="004F41E9"/>
    <w:rsid w:val="004F42BD"/>
    <w:rsid w:val="004F431D"/>
    <w:rsid w:val="004F43A5"/>
    <w:rsid w:val="004F4803"/>
    <w:rsid w:val="004F49D8"/>
    <w:rsid w:val="004F4A31"/>
    <w:rsid w:val="004F4AC9"/>
    <w:rsid w:val="004F4AF7"/>
    <w:rsid w:val="004F4BF4"/>
    <w:rsid w:val="004F4CC5"/>
    <w:rsid w:val="004F4EBA"/>
    <w:rsid w:val="004F50DD"/>
    <w:rsid w:val="004F5153"/>
    <w:rsid w:val="004F5273"/>
    <w:rsid w:val="004F528B"/>
    <w:rsid w:val="004F5465"/>
    <w:rsid w:val="004F55F5"/>
    <w:rsid w:val="004F5773"/>
    <w:rsid w:val="004F5A2A"/>
    <w:rsid w:val="004F5D9D"/>
    <w:rsid w:val="004F5F83"/>
    <w:rsid w:val="004F5F8C"/>
    <w:rsid w:val="004F5F99"/>
    <w:rsid w:val="004F611A"/>
    <w:rsid w:val="004F6284"/>
    <w:rsid w:val="004F63A3"/>
    <w:rsid w:val="004F64B7"/>
    <w:rsid w:val="004F64E5"/>
    <w:rsid w:val="004F65B8"/>
    <w:rsid w:val="004F6808"/>
    <w:rsid w:val="004F687F"/>
    <w:rsid w:val="004F6921"/>
    <w:rsid w:val="004F6A54"/>
    <w:rsid w:val="004F6B6F"/>
    <w:rsid w:val="004F6BBC"/>
    <w:rsid w:val="004F6E35"/>
    <w:rsid w:val="004F6F35"/>
    <w:rsid w:val="004F7088"/>
    <w:rsid w:val="004F709F"/>
    <w:rsid w:val="004F70A2"/>
    <w:rsid w:val="004F735F"/>
    <w:rsid w:val="004F73C7"/>
    <w:rsid w:val="004F743D"/>
    <w:rsid w:val="004F7442"/>
    <w:rsid w:val="004F768B"/>
    <w:rsid w:val="004F77FA"/>
    <w:rsid w:val="004F78C5"/>
    <w:rsid w:val="004F7ABB"/>
    <w:rsid w:val="004F7CF4"/>
    <w:rsid w:val="004F7E10"/>
    <w:rsid w:val="004F7EC3"/>
    <w:rsid w:val="004F7FA6"/>
    <w:rsid w:val="005003AC"/>
    <w:rsid w:val="00500436"/>
    <w:rsid w:val="005005F9"/>
    <w:rsid w:val="00501007"/>
    <w:rsid w:val="0050108F"/>
    <w:rsid w:val="005011A4"/>
    <w:rsid w:val="00501428"/>
    <w:rsid w:val="00501544"/>
    <w:rsid w:val="005015F3"/>
    <w:rsid w:val="00501790"/>
    <w:rsid w:val="0050179E"/>
    <w:rsid w:val="00501A03"/>
    <w:rsid w:val="00501A5C"/>
    <w:rsid w:val="00501A71"/>
    <w:rsid w:val="00501B95"/>
    <w:rsid w:val="00501C2E"/>
    <w:rsid w:val="00501E2D"/>
    <w:rsid w:val="00501ECC"/>
    <w:rsid w:val="00501EED"/>
    <w:rsid w:val="00501EF1"/>
    <w:rsid w:val="00502304"/>
    <w:rsid w:val="005023D9"/>
    <w:rsid w:val="00502411"/>
    <w:rsid w:val="005024B7"/>
    <w:rsid w:val="005025A5"/>
    <w:rsid w:val="005025A6"/>
    <w:rsid w:val="005025AF"/>
    <w:rsid w:val="005025C1"/>
    <w:rsid w:val="005025F1"/>
    <w:rsid w:val="005025F8"/>
    <w:rsid w:val="0050265B"/>
    <w:rsid w:val="005027E2"/>
    <w:rsid w:val="00502A73"/>
    <w:rsid w:val="00502B00"/>
    <w:rsid w:val="00502B30"/>
    <w:rsid w:val="00502C3E"/>
    <w:rsid w:val="00502C9A"/>
    <w:rsid w:val="00502EB1"/>
    <w:rsid w:val="00502EF0"/>
    <w:rsid w:val="00502FE7"/>
    <w:rsid w:val="00503023"/>
    <w:rsid w:val="0050306F"/>
    <w:rsid w:val="0050321A"/>
    <w:rsid w:val="005032DF"/>
    <w:rsid w:val="0050333D"/>
    <w:rsid w:val="005033BC"/>
    <w:rsid w:val="005035ED"/>
    <w:rsid w:val="00503C98"/>
    <w:rsid w:val="00503EF7"/>
    <w:rsid w:val="00504062"/>
    <w:rsid w:val="005044E5"/>
    <w:rsid w:val="00504AAB"/>
    <w:rsid w:val="00504C86"/>
    <w:rsid w:val="00504FED"/>
    <w:rsid w:val="005050EA"/>
    <w:rsid w:val="00505349"/>
    <w:rsid w:val="005054A1"/>
    <w:rsid w:val="00505CC6"/>
    <w:rsid w:val="00505F24"/>
    <w:rsid w:val="00506295"/>
    <w:rsid w:val="0050629D"/>
    <w:rsid w:val="005066FF"/>
    <w:rsid w:val="00506796"/>
    <w:rsid w:val="005067F7"/>
    <w:rsid w:val="0050687F"/>
    <w:rsid w:val="00506A4C"/>
    <w:rsid w:val="00506BCC"/>
    <w:rsid w:val="00506BD4"/>
    <w:rsid w:val="00506C59"/>
    <w:rsid w:val="00506C8E"/>
    <w:rsid w:val="00506E30"/>
    <w:rsid w:val="00506E5D"/>
    <w:rsid w:val="00506F06"/>
    <w:rsid w:val="00506F84"/>
    <w:rsid w:val="0050709F"/>
    <w:rsid w:val="005072B1"/>
    <w:rsid w:val="00507681"/>
    <w:rsid w:val="005076E4"/>
    <w:rsid w:val="00507754"/>
    <w:rsid w:val="005078AD"/>
    <w:rsid w:val="00507ABE"/>
    <w:rsid w:val="00507B93"/>
    <w:rsid w:val="00507C54"/>
    <w:rsid w:val="00507CC5"/>
    <w:rsid w:val="00507DA1"/>
    <w:rsid w:val="00507E2C"/>
    <w:rsid w:val="00507E84"/>
    <w:rsid w:val="00507FB4"/>
    <w:rsid w:val="0051022C"/>
    <w:rsid w:val="00510575"/>
    <w:rsid w:val="00510850"/>
    <w:rsid w:val="005108B6"/>
    <w:rsid w:val="0051090F"/>
    <w:rsid w:val="005109B0"/>
    <w:rsid w:val="00510D83"/>
    <w:rsid w:val="00510E78"/>
    <w:rsid w:val="005110E0"/>
    <w:rsid w:val="00511513"/>
    <w:rsid w:val="005115F4"/>
    <w:rsid w:val="00511959"/>
    <w:rsid w:val="005119A2"/>
    <w:rsid w:val="00511B78"/>
    <w:rsid w:val="00511C65"/>
    <w:rsid w:val="00511CD6"/>
    <w:rsid w:val="00511D0A"/>
    <w:rsid w:val="00511E10"/>
    <w:rsid w:val="00511E4C"/>
    <w:rsid w:val="005120DB"/>
    <w:rsid w:val="005120FA"/>
    <w:rsid w:val="005122FE"/>
    <w:rsid w:val="0051245A"/>
    <w:rsid w:val="00512472"/>
    <w:rsid w:val="00512742"/>
    <w:rsid w:val="005129D3"/>
    <w:rsid w:val="00512B40"/>
    <w:rsid w:val="00512BAE"/>
    <w:rsid w:val="00512C75"/>
    <w:rsid w:val="00512DB2"/>
    <w:rsid w:val="00512DC5"/>
    <w:rsid w:val="00512EEC"/>
    <w:rsid w:val="0051304E"/>
    <w:rsid w:val="00513126"/>
    <w:rsid w:val="00513257"/>
    <w:rsid w:val="005133F4"/>
    <w:rsid w:val="00513603"/>
    <w:rsid w:val="0051362E"/>
    <w:rsid w:val="00513666"/>
    <w:rsid w:val="00513748"/>
    <w:rsid w:val="005137F9"/>
    <w:rsid w:val="005138F4"/>
    <w:rsid w:val="00513AC6"/>
    <w:rsid w:val="00513F8B"/>
    <w:rsid w:val="00514017"/>
    <w:rsid w:val="005142FB"/>
    <w:rsid w:val="005143C3"/>
    <w:rsid w:val="0051492B"/>
    <w:rsid w:val="00514A01"/>
    <w:rsid w:val="00514B2D"/>
    <w:rsid w:val="00514CC5"/>
    <w:rsid w:val="00514DFF"/>
    <w:rsid w:val="00514E1F"/>
    <w:rsid w:val="00514EEB"/>
    <w:rsid w:val="00514F33"/>
    <w:rsid w:val="00514F8F"/>
    <w:rsid w:val="00514FED"/>
    <w:rsid w:val="0051507B"/>
    <w:rsid w:val="005150A7"/>
    <w:rsid w:val="005150B8"/>
    <w:rsid w:val="005151E7"/>
    <w:rsid w:val="00515895"/>
    <w:rsid w:val="00515954"/>
    <w:rsid w:val="00515B21"/>
    <w:rsid w:val="00515BDC"/>
    <w:rsid w:val="00515C6E"/>
    <w:rsid w:val="00515E20"/>
    <w:rsid w:val="00515EBE"/>
    <w:rsid w:val="00515F70"/>
    <w:rsid w:val="00516044"/>
    <w:rsid w:val="005160A4"/>
    <w:rsid w:val="005161AA"/>
    <w:rsid w:val="00516325"/>
    <w:rsid w:val="0051637A"/>
    <w:rsid w:val="00516642"/>
    <w:rsid w:val="00516841"/>
    <w:rsid w:val="00516916"/>
    <w:rsid w:val="005169EA"/>
    <w:rsid w:val="00516B4B"/>
    <w:rsid w:val="00516CCC"/>
    <w:rsid w:val="00516D10"/>
    <w:rsid w:val="00516F26"/>
    <w:rsid w:val="0051724A"/>
    <w:rsid w:val="00517324"/>
    <w:rsid w:val="00517452"/>
    <w:rsid w:val="00517523"/>
    <w:rsid w:val="005175C6"/>
    <w:rsid w:val="0051762F"/>
    <w:rsid w:val="005176A5"/>
    <w:rsid w:val="0051775C"/>
    <w:rsid w:val="00517854"/>
    <w:rsid w:val="00517949"/>
    <w:rsid w:val="00517B62"/>
    <w:rsid w:val="00517B75"/>
    <w:rsid w:val="00517B7B"/>
    <w:rsid w:val="00517B91"/>
    <w:rsid w:val="00517B93"/>
    <w:rsid w:val="00517DE9"/>
    <w:rsid w:val="0052002B"/>
    <w:rsid w:val="005203FA"/>
    <w:rsid w:val="0052052F"/>
    <w:rsid w:val="005206A3"/>
    <w:rsid w:val="005206A8"/>
    <w:rsid w:val="005206FE"/>
    <w:rsid w:val="0052094E"/>
    <w:rsid w:val="00520B40"/>
    <w:rsid w:val="00520C26"/>
    <w:rsid w:val="00520C7B"/>
    <w:rsid w:val="00520D08"/>
    <w:rsid w:val="00521578"/>
    <w:rsid w:val="00521694"/>
    <w:rsid w:val="0052178E"/>
    <w:rsid w:val="005219A5"/>
    <w:rsid w:val="00521C1B"/>
    <w:rsid w:val="00521D4B"/>
    <w:rsid w:val="00521ECC"/>
    <w:rsid w:val="00521F00"/>
    <w:rsid w:val="0052206C"/>
    <w:rsid w:val="0052209D"/>
    <w:rsid w:val="00522109"/>
    <w:rsid w:val="0052216B"/>
    <w:rsid w:val="0052234B"/>
    <w:rsid w:val="005225BC"/>
    <w:rsid w:val="00522867"/>
    <w:rsid w:val="00522975"/>
    <w:rsid w:val="0052297E"/>
    <w:rsid w:val="00522A54"/>
    <w:rsid w:val="00522C1D"/>
    <w:rsid w:val="00522C4F"/>
    <w:rsid w:val="00522EA5"/>
    <w:rsid w:val="00522EE8"/>
    <w:rsid w:val="00522F02"/>
    <w:rsid w:val="005230A6"/>
    <w:rsid w:val="0052323D"/>
    <w:rsid w:val="0052342C"/>
    <w:rsid w:val="00523468"/>
    <w:rsid w:val="005234E9"/>
    <w:rsid w:val="0052350A"/>
    <w:rsid w:val="0052364E"/>
    <w:rsid w:val="0052370D"/>
    <w:rsid w:val="005237DC"/>
    <w:rsid w:val="00523802"/>
    <w:rsid w:val="00523952"/>
    <w:rsid w:val="005239BB"/>
    <w:rsid w:val="00523BBB"/>
    <w:rsid w:val="00523C76"/>
    <w:rsid w:val="00523CA3"/>
    <w:rsid w:val="00523E81"/>
    <w:rsid w:val="00523ED0"/>
    <w:rsid w:val="005242BF"/>
    <w:rsid w:val="005242F6"/>
    <w:rsid w:val="00524361"/>
    <w:rsid w:val="00524472"/>
    <w:rsid w:val="005246FA"/>
    <w:rsid w:val="005247C7"/>
    <w:rsid w:val="00524E3C"/>
    <w:rsid w:val="00524F9C"/>
    <w:rsid w:val="005251DF"/>
    <w:rsid w:val="0052534A"/>
    <w:rsid w:val="00525709"/>
    <w:rsid w:val="00525761"/>
    <w:rsid w:val="005257C2"/>
    <w:rsid w:val="0052583A"/>
    <w:rsid w:val="005258C4"/>
    <w:rsid w:val="00525B0F"/>
    <w:rsid w:val="00525B9F"/>
    <w:rsid w:val="00525C21"/>
    <w:rsid w:val="00525CEB"/>
    <w:rsid w:val="00525E34"/>
    <w:rsid w:val="00525E95"/>
    <w:rsid w:val="00526104"/>
    <w:rsid w:val="005263FC"/>
    <w:rsid w:val="00526510"/>
    <w:rsid w:val="005268DA"/>
    <w:rsid w:val="005269D0"/>
    <w:rsid w:val="00526AB1"/>
    <w:rsid w:val="00526AEB"/>
    <w:rsid w:val="00526CAC"/>
    <w:rsid w:val="00526E54"/>
    <w:rsid w:val="00526EA0"/>
    <w:rsid w:val="00526EB9"/>
    <w:rsid w:val="00526F36"/>
    <w:rsid w:val="005270FE"/>
    <w:rsid w:val="0052715F"/>
    <w:rsid w:val="0052743C"/>
    <w:rsid w:val="005274CE"/>
    <w:rsid w:val="0052753E"/>
    <w:rsid w:val="005278D7"/>
    <w:rsid w:val="00527948"/>
    <w:rsid w:val="00527DCB"/>
    <w:rsid w:val="00527E72"/>
    <w:rsid w:val="00527F33"/>
    <w:rsid w:val="00527F55"/>
    <w:rsid w:val="0053000E"/>
    <w:rsid w:val="0053005E"/>
    <w:rsid w:val="0053016A"/>
    <w:rsid w:val="005302FF"/>
    <w:rsid w:val="00530419"/>
    <w:rsid w:val="005305F5"/>
    <w:rsid w:val="00530652"/>
    <w:rsid w:val="00530708"/>
    <w:rsid w:val="00530766"/>
    <w:rsid w:val="005307E4"/>
    <w:rsid w:val="0053087C"/>
    <w:rsid w:val="00530891"/>
    <w:rsid w:val="005308E0"/>
    <w:rsid w:val="00530A21"/>
    <w:rsid w:val="00530A60"/>
    <w:rsid w:val="00530A9C"/>
    <w:rsid w:val="00530BB8"/>
    <w:rsid w:val="00530DCC"/>
    <w:rsid w:val="005312CD"/>
    <w:rsid w:val="0053138C"/>
    <w:rsid w:val="005313E1"/>
    <w:rsid w:val="005315BA"/>
    <w:rsid w:val="005317A5"/>
    <w:rsid w:val="005318DE"/>
    <w:rsid w:val="00531EA8"/>
    <w:rsid w:val="00531EAD"/>
    <w:rsid w:val="005320B1"/>
    <w:rsid w:val="005320E9"/>
    <w:rsid w:val="005321F4"/>
    <w:rsid w:val="0053237E"/>
    <w:rsid w:val="00532635"/>
    <w:rsid w:val="005326A4"/>
    <w:rsid w:val="005326BF"/>
    <w:rsid w:val="00532717"/>
    <w:rsid w:val="005327C4"/>
    <w:rsid w:val="00532C1B"/>
    <w:rsid w:val="00532CEA"/>
    <w:rsid w:val="00532CEF"/>
    <w:rsid w:val="00532D95"/>
    <w:rsid w:val="00532DEA"/>
    <w:rsid w:val="00532FD1"/>
    <w:rsid w:val="00533076"/>
    <w:rsid w:val="00533198"/>
    <w:rsid w:val="005331FB"/>
    <w:rsid w:val="00533624"/>
    <w:rsid w:val="005336E4"/>
    <w:rsid w:val="0053374E"/>
    <w:rsid w:val="00533D7F"/>
    <w:rsid w:val="00533E2D"/>
    <w:rsid w:val="00534054"/>
    <w:rsid w:val="005340DC"/>
    <w:rsid w:val="00534468"/>
    <w:rsid w:val="005346C3"/>
    <w:rsid w:val="0053470A"/>
    <w:rsid w:val="00534734"/>
    <w:rsid w:val="005347B1"/>
    <w:rsid w:val="00534830"/>
    <w:rsid w:val="00534B3E"/>
    <w:rsid w:val="00534CAA"/>
    <w:rsid w:val="00534EB0"/>
    <w:rsid w:val="00534FC4"/>
    <w:rsid w:val="0053505C"/>
    <w:rsid w:val="005350BB"/>
    <w:rsid w:val="005351BC"/>
    <w:rsid w:val="00535642"/>
    <w:rsid w:val="00535997"/>
    <w:rsid w:val="00535F3C"/>
    <w:rsid w:val="00536283"/>
    <w:rsid w:val="005362D6"/>
    <w:rsid w:val="00536430"/>
    <w:rsid w:val="005364E0"/>
    <w:rsid w:val="00536641"/>
    <w:rsid w:val="00536852"/>
    <w:rsid w:val="0053689B"/>
    <w:rsid w:val="0053696B"/>
    <w:rsid w:val="005369B1"/>
    <w:rsid w:val="00536A20"/>
    <w:rsid w:val="00536BEB"/>
    <w:rsid w:val="00536FBD"/>
    <w:rsid w:val="00537170"/>
    <w:rsid w:val="00537209"/>
    <w:rsid w:val="00537238"/>
    <w:rsid w:val="005372CD"/>
    <w:rsid w:val="0053741F"/>
    <w:rsid w:val="00537424"/>
    <w:rsid w:val="00537498"/>
    <w:rsid w:val="005374D0"/>
    <w:rsid w:val="005376B0"/>
    <w:rsid w:val="005376DA"/>
    <w:rsid w:val="00537891"/>
    <w:rsid w:val="0053793A"/>
    <w:rsid w:val="00537966"/>
    <w:rsid w:val="00537B86"/>
    <w:rsid w:val="00537C8B"/>
    <w:rsid w:val="00537D48"/>
    <w:rsid w:val="00537F69"/>
    <w:rsid w:val="00537F6B"/>
    <w:rsid w:val="00537FF5"/>
    <w:rsid w:val="00540104"/>
    <w:rsid w:val="005401A4"/>
    <w:rsid w:val="005402BB"/>
    <w:rsid w:val="0054035E"/>
    <w:rsid w:val="0054051B"/>
    <w:rsid w:val="00540592"/>
    <w:rsid w:val="00540665"/>
    <w:rsid w:val="0054075E"/>
    <w:rsid w:val="00540BDA"/>
    <w:rsid w:val="00540CD1"/>
    <w:rsid w:val="00540D88"/>
    <w:rsid w:val="00540E10"/>
    <w:rsid w:val="00540F48"/>
    <w:rsid w:val="0054118B"/>
    <w:rsid w:val="00541375"/>
    <w:rsid w:val="005413DD"/>
    <w:rsid w:val="0054144A"/>
    <w:rsid w:val="00541881"/>
    <w:rsid w:val="00541ACD"/>
    <w:rsid w:val="00541D92"/>
    <w:rsid w:val="00541E8E"/>
    <w:rsid w:val="00541FEA"/>
    <w:rsid w:val="00541FED"/>
    <w:rsid w:val="0054248A"/>
    <w:rsid w:val="005425EE"/>
    <w:rsid w:val="00542950"/>
    <w:rsid w:val="00542AFC"/>
    <w:rsid w:val="00542E83"/>
    <w:rsid w:val="005430D5"/>
    <w:rsid w:val="00543159"/>
    <w:rsid w:val="00543183"/>
    <w:rsid w:val="0054330F"/>
    <w:rsid w:val="00543517"/>
    <w:rsid w:val="0054371F"/>
    <w:rsid w:val="005437CD"/>
    <w:rsid w:val="00543981"/>
    <w:rsid w:val="00543B43"/>
    <w:rsid w:val="00543C11"/>
    <w:rsid w:val="00543C32"/>
    <w:rsid w:val="00543DE2"/>
    <w:rsid w:val="00543DE8"/>
    <w:rsid w:val="00543DF5"/>
    <w:rsid w:val="00543E7F"/>
    <w:rsid w:val="00544078"/>
    <w:rsid w:val="00544138"/>
    <w:rsid w:val="00544693"/>
    <w:rsid w:val="00544789"/>
    <w:rsid w:val="00544B2E"/>
    <w:rsid w:val="00544C25"/>
    <w:rsid w:val="00544C3E"/>
    <w:rsid w:val="00544ED5"/>
    <w:rsid w:val="00544EDC"/>
    <w:rsid w:val="00545112"/>
    <w:rsid w:val="0054519C"/>
    <w:rsid w:val="005451ED"/>
    <w:rsid w:val="00545202"/>
    <w:rsid w:val="00545204"/>
    <w:rsid w:val="00545229"/>
    <w:rsid w:val="005455E3"/>
    <w:rsid w:val="00545774"/>
    <w:rsid w:val="00545791"/>
    <w:rsid w:val="00545964"/>
    <w:rsid w:val="005459BE"/>
    <w:rsid w:val="005459C2"/>
    <w:rsid w:val="00545A99"/>
    <w:rsid w:val="00545B90"/>
    <w:rsid w:val="00545F99"/>
    <w:rsid w:val="005462C7"/>
    <w:rsid w:val="00546348"/>
    <w:rsid w:val="0054651E"/>
    <w:rsid w:val="00546764"/>
    <w:rsid w:val="005469A1"/>
    <w:rsid w:val="00546B76"/>
    <w:rsid w:val="00546B78"/>
    <w:rsid w:val="00546B7A"/>
    <w:rsid w:val="00546C16"/>
    <w:rsid w:val="00546D61"/>
    <w:rsid w:val="00546DA1"/>
    <w:rsid w:val="00546FBA"/>
    <w:rsid w:val="00546FBC"/>
    <w:rsid w:val="00547070"/>
    <w:rsid w:val="005474A5"/>
    <w:rsid w:val="005474D4"/>
    <w:rsid w:val="0054752A"/>
    <w:rsid w:val="005475A6"/>
    <w:rsid w:val="00547675"/>
    <w:rsid w:val="00547AE9"/>
    <w:rsid w:val="00547BDF"/>
    <w:rsid w:val="00547C9F"/>
    <w:rsid w:val="00547D2E"/>
    <w:rsid w:val="00547E94"/>
    <w:rsid w:val="00547F55"/>
    <w:rsid w:val="0055001A"/>
    <w:rsid w:val="00550104"/>
    <w:rsid w:val="005501B5"/>
    <w:rsid w:val="00550584"/>
    <w:rsid w:val="005508A3"/>
    <w:rsid w:val="00550952"/>
    <w:rsid w:val="00550B73"/>
    <w:rsid w:val="00550BC7"/>
    <w:rsid w:val="00550C6E"/>
    <w:rsid w:val="00550CB9"/>
    <w:rsid w:val="00550DD9"/>
    <w:rsid w:val="00550EE2"/>
    <w:rsid w:val="00550F49"/>
    <w:rsid w:val="00550FE1"/>
    <w:rsid w:val="005511A5"/>
    <w:rsid w:val="0055124C"/>
    <w:rsid w:val="00551355"/>
    <w:rsid w:val="00551652"/>
    <w:rsid w:val="00551698"/>
    <w:rsid w:val="00551807"/>
    <w:rsid w:val="005519C2"/>
    <w:rsid w:val="00551A0B"/>
    <w:rsid w:val="00551DB7"/>
    <w:rsid w:val="00551E1D"/>
    <w:rsid w:val="00551E4C"/>
    <w:rsid w:val="00551E89"/>
    <w:rsid w:val="00551E94"/>
    <w:rsid w:val="00551F88"/>
    <w:rsid w:val="00551FFC"/>
    <w:rsid w:val="00552349"/>
    <w:rsid w:val="005524B6"/>
    <w:rsid w:val="00552550"/>
    <w:rsid w:val="00552766"/>
    <w:rsid w:val="005527ED"/>
    <w:rsid w:val="00552841"/>
    <w:rsid w:val="00552933"/>
    <w:rsid w:val="00552A03"/>
    <w:rsid w:val="00552BBF"/>
    <w:rsid w:val="00552BC4"/>
    <w:rsid w:val="00552C47"/>
    <w:rsid w:val="00552D22"/>
    <w:rsid w:val="00552E28"/>
    <w:rsid w:val="00552E34"/>
    <w:rsid w:val="00552E62"/>
    <w:rsid w:val="00553089"/>
    <w:rsid w:val="0055316D"/>
    <w:rsid w:val="0055328F"/>
    <w:rsid w:val="00553370"/>
    <w:rsid w:val="00553738"/>
    <w:rsid w:val="00553756"/>
    <w:rsid w:val="00553837"/>
    <w:rsid w:val="00553B64"/>
    <w:rsid w:val="00553BD6"/>
    <w:rsid w:val="00553DEE"/>
    <w:rsid w:val="00553E38"/>
    <w:rsid w:val="0055411D"/>
    <w:rsid w:val="00554221"/>
    <w:rsid w:val="0055428B"/>
    <w:rsid w:val="005542CC"/>
    <w:rsid w:val="00554461"/>
    <w:rsid w:val="0055458C"/>
    <w:rsid w:val="0055459B"/>
    <w:rsid w:val="005546AF"/>
    <w:rsid w:val="005548BA"/>
    <w:rsid w:val="00554976"/>
    <w:rsid w:val="005549C4"/>
    <w:rsid w:val="00554B2E"/>
    <w:rsid w:val="00554C6C"/>
    <w:rsid w:val="00554CA8"/>
    <w:rsid w:val="00554DF3"/>
    <w:rsid w:val="00554E08"/>
    <w:rsid w:val="00554E65"/>
    <w:rsid w:val="005550FB"/>
    <w:rsid w:val="00555942"/>
    <w:rsid w:val="00555C0C"/>
    <w:rsid w:val="00555C8E"/>
    <w:rsid w:val="00555E2F"/>
    <w:rsid w:val="00555E58"/>
    <w:rsid w:val="00555E88"/>
    <w:rsid w:val="00555FF3"/>
    <w:rsid w:val="00556014"/>
    <w:rsid w:val="005561F7"/>
    <w:rsid w:val="005564B5"/>
    <w:rsid w:val="00556532"/>
    <w:rsid w:val="005565C3"/>
    <w:rsid w:val="005567D7"/>
    <w:rsid w:val="00556A24"/>
    <w:rsid w:val="00556BBD"/>
    <w:rsid w:val="00556C22"/>
    <w:rsid w:val="00556D6E"/>
    <w:rsid w:val="00556E20"/>
    <w:rsid w:val="0055700C"/>
    <w:rsid w:val="005570E7"/>
    <w:rsid w:val="0055722A"/>
    <w:rsid w:val="005573F6"/>
    <w:rsid w:val="005575A2"/>
    <w:rsid w:val="00557609"/>
    <w:rsid w:val="0055783E"/>
    <w:rsid w:val="00557BCA"/>
    <w:rsid w:val="00557DA7"/>
    <w:rsid w:val="00557EAA"/>
    <w:rsid w:val="00557F03"/>
    <w:rsid w:val="00557F7C"/>
    <w:rsid w:val="005601CB"/>
    <w:rsid w:val="0056037E"/>
    <w:rsid w:val="0056044A"/>
    <w:rsid w:val="005605D7"/>
    <w:rsid w:val="005607DE"/>
    <w:rsid w:val="00560BFA"/>
    <w:rsid w:val="00560CD1"/>
    <w:rsid w:val="00560CE0"/>
    <w:rsid w:val="00560D6F"/>
    <w:rsid w:val="00560DC4"/>
    <w:rsid w:val="00560DDF"/>
    <w:rsid w:val="00560DF7"/>
    <w:rsid w:val="00560F2D"/>
    <w:rsid w:val="00561210"/>
    <w:rsid w:val="00561341"/>
    <w:rsid w:val="00561539"/>
    <w:rsid w:val="005617CE"/>
    <w:rsid w:val="005618B3"/>
    <w:rsid w:val="0056191C"/>
    <w:rsid w:val="00561A6E"/>
    <w:rsid w:val="00561CBA"/>
    <w:rsid w:val="00561D2C"/>
    <w:rsid w:val="00561D45"/>
    <w:rsid w:val="00561DF1"/>
    <w:rsid w:val="00562093"/>
    <w:rsid w:val="00562274"/>
    <w:rsid w:val="00562353"/>
    <w:rsid w:val="005626AA"/>
    <w:rsid w:val="00562759"/>
    <w:rsid w:val="0056294A"/>
    <w:rsid w:val="00562B4C"/>
    <w:rsid w:val="00562B5C"/>
    <w:rsid w:val="00562BE7"/>
    <w:rsid w:val="00562EFB"/>
    <w:rsid w:val="00562F40"/>
    <w:rsid w:val="005630F4"/>
    <w:rsid w:val="00563174"/>
    <w:rsid w:val="005631AA"/>
    <w:rsid w:val="00563231"/>
    <w:rsid w:val="005633C9"/>
    <w:rsid w:val="005633E7"/>
    <w:rsid w:val="0056369C"/>
    <w:rsid w:val="005638B7"/>
    <w:rsid w:val="00563A60"/>
    <w:rsid w:val="00563CCE"/>
    <w:rsid w:val="00563CDA"/>
    <w:rsid w:val="00563D8A"/>
    <w:rsid w:val="00563FD2"/>
    <w:rsid w:val="00563FE3"/>
    <w:rsid w:val="00564019"/>
    <w:rsid w:val="0056407F"/>
    <w:rsid w:val="005641DF"/>
    <w:rsid w:val="005643AB"/>
    <w:rsid w:val="005644E3"/>
    <w:rsid w:val="00564874"/>
    <w:rsid w:val="00564A8E"/>
    <w:rsid w:val="00564B82"/>
    <w:rsid w:val="00564C05"/>
    <w:rsid w:val="00564D20"/>
    <w:rsid w:val="005652E6"/>
    <w:rsid w:val="00565495"/>
    <w:rsid w:val="005654A3"/>
    <w:rsid w:val="00565695"/>
    <w:rsid w:val="00565707"/>
    <w:rsid w:val="0056581F"/>
    <w:rsid w:val="0056594F"/>
    <w:rsid w:val="005659B4"/>
    <w:rsid w:val="00565E32"/>
    <w:rsid w:val="00565FC9"/>
    <w:rsid w:val="005660B2"/>
    <w:rsid w:val="005662A2"/>
    <w:rsid w:val="0056663B"/>
    <w:rsid w:val="0056684A"/>
    <w:rsid w:val="00566923"/>
    <w:rsid w:val="00566A0E"/>
    <w:rsid w:val="00566C60"/>
    <w:rsid w:val="00566F5B"/>
    <w:rsid w:val="00566F9B"/>
    <w:rsid w:val="005670C4"/>
    <w:rsid w:val="00567125"/>
    <w:rsid w:val="00567266"/>
    <w:rsid w:val="005674B7"/>
    <w:rsid w:val="005676C4"/>
    <w:rsid w:val="00567781"/>
    <w:rsid w:val="00567800"/>
    <w:rsid w:val="0056790E"/>
    <w:rsid w:val="00567965"/>
    <w:rsid w:val="00567AD7"/>
    <w:rsid w:val="00567C22"/>
    <w:rsid w:val="00567D2A"/>
    <w:rsid w:val="00567E7F"/>
    <w:rsid w:val="005700CC"/>
    <w:rsid w:val="0057010B"/>
    <w:rsid w:val="00570260"/>
    <w:rsid w:val="005702AC"/>
    <w:rsid w:val="00570352"/>
    <w:rsid w:val="005703AC"/>
    <w:rsid w:val="005703FD"/>
    <w:rsid w:val="00570577"/>
    <w:rsid w:val="00570BDF"/>
    <w:rsid w:val="00570DAB"/>
    <w:rsid w:val="00570ED8"/>
    <w:rsid w:val="005712EC"/>
    <w:rsid w:val="0057153C"/>
    <w:rsid w:val="00571680"/>
    <w:rsid w:val="0057172B"/>
    <w:rsid w:val="005717FD"/>
    <w:rsid w:val="00571804"/>
    <w:rsid w:val="00571857"/>
    <w:rsid w:val="00571B7E"/>
    <w:rsid w:val="00571C36"/>
    <w:rsid w:val="00571CCC"/>
    <w:rsid w:val="00571D12"/>
    <w:rsid w:val="00571F5D"/>
    <w:rsid w:val="005720F5"/>
    <w:rsid w:val="005721C1"/>
    <w:rsid w:val="00572284"/>
    <w:rsid w:val="00572404"/>
    <w:rsid w:val="00572447"/>
    <w:rsid w:val="0057268A"/>
    <w:rsid w:val="005726FD"/>
    <w:rsid w:val="005727ED"/>
    <w:rsid w:val="00572822"/>
    <w:rsid w:val="0057286A"/>
    <w:rsid w:val="00572893"/>
    <w:rsid w:val="00572916"/>
    <w:rsid w:val="005729DD"/>
    <w:rsid w:val="005729E5"/>
    <w:rsid w:val="00572A1D"/>
    <w:rsid w:val="00572B6F"/>
    <w:rsid w:val="00572B83"/>
    <w:rsid w:val="00572B94"/>
    <w:rsid w:val="00572CCC"/>
    <w:rsid w:val="00572E50"/>
    <w:rsid w:val="00572F91"/>
    <w:rsid w:val="00573034"/>
    <w:rsid w:val="0057306C"/>
    <w:rsid w:val="0057307B"/>
    <w:rsid w:val="00573096"/>
    <w:rsid w:val="00573347"/>
    <w:rsid w:val="00573355"/>
    <w:rsid w:val="005735EB"/>
    <w:rsid w:val="00573669"/>
    <w:rsid w:val="0057381A"/>
    <w:rsid w:val="00573A3A"/>
    <w:rsid w:val="00573C18"/>
    <w:rsid w:val="00573F1C"/>
    <w:rsid w:val="00574343"/>
    <w:rsid w:val="0057441B"/>
    <w:rsid w:val="0057451D"/>
    <w:rsid w:val="005745CB"/>
    <w:rsid w:val="005745CF"/>
    <w:rsid w:val="00574660"/>
    <w:rsid w:val="00574849"/>
    <w:rsid w:val="0057490B"/>
    <w:rsid w:val="00574B76"/>
    <w:rsid w:val="00574B8B"/>
    <w:rsid w:val="00574CAC"/>
    <w:rsid w:val="00574DD2"/>
    <w:rsid w:val="00574E78"/>
    <w:rsid w:val="00574EB9"/>
    <w:rsid w:val="005750F3"/>
    <w:rsid w:val="005751CA"/>
    <w:rsid w:val="0057520B"/>
    <w:rsid w:val="00575215"/>
    <w:rsid w:val="00575266"/>
    <w:rsid w:val="005752DA"/>
    <w:rsid w:val="00575486"/>
    <w:rsid w:val="00575734"/>
    <w:rsid w:val="005757AA"/>
    <w:rsid w:val="005757BC"/>
    <w:rsid w:val="00575816"/>
    <w:rsid w:val="00575876"/>
    <w:rsid w:val="00575CB2"/>
    <w:rsid w:val="00575DF4"/>
    <w:rsid w:val="00575F7A"/>
    <w:rsid w:val="00575FCE"/>
    <w:rsid w:val="00576085"/>
    <w:rsid w:val="0057641A"/>
    <w:rsid w:val="00576586"/>
    <w:rsid w:val="00576761"/>
    <w:rsid w:val="00576916"/>
    <w:rsid w:val="0057693F"/>
    <w:rsid w:val="0057696D"/>
    <w:rsid w:val="005769B4"/>
    <w:rsid w:val="00576B50"/>
    <w:rsid w:val="00576B65"/>
    <w:rsid w:val="00576B74"/>
    <w:rsid w:val="00576C14"/>
    <w:rsid w:val="00576D30"/>
    <w:rsid w:val="00576DC4"/>
    <w:rsid w:val="00576F9D"/>
    <w:rsid w:val="00577049"/>
    <w:rsid w:val="005770DE"/>
    <w:rsid w:val="0057718E"/>
    <w:rsid w:val="00577291"/>
    <w:rsid w:val="00577314"/>
    <w:rsid w:val="00577348"/>
    <w:rsid w:val="005773BD"/>
    <w:rsid w:val="00577422"/>
    <w:rsid w:val="00577439"/>
    <w:rsid w:val="00577465"/>
    <w:rsid w:val="0057760C"/>
    <w:rsid w:val="005776AC"/>
    <w:rsid w:val="0057790C"/>
    <w:rsid w:val="00577B98"/>
    <w:rsid w:val="00577DFD"/>
    <w:rsid w:val="00577E57"/>
    <w:rsid w:val="00580457"/>
    <w:rsid w:val="0058052A"/>
    <w:rsid w:val="0058055A"/>
    <w:rsid w:val="00580695"/>
    <w:rsid w:val="00580776"/>
    <w:rsid w:val="005808F2"/>
    <w:rsid w:val="00580B7B"/>
    <w:rsid w:val="00580CF0"/>
    <w:rsid w:val="005811B7"/>
    <w:rsid w:val="005812CF"/>
    <w:rsid w:val="005814E4"/>
    <w:rsid w:val="005817DE"/>
    <w:rsid w:val="005817FA"/>
    <w:rsid w:val="005819A0"/>
    <w:rsid w:val="00581BF2"/>
    <w:rsid w:val="00581CAB"/>
    <w:rsid w:val="00581CBC"/>
    <w:rsid w:val="00581D22"/>
    <w:rsid w:val="005820C7"/>
    <w:rsid w:val="005821A8"/>
    <w:rsid w:val="005821C5"/>
    <w:rsid w:val="00582253"/>
    <w:rsid w:val="00582279"/>
    <w:rsid w:val="00582456"/>
    <w:rsid w:val="0058249A"/>
    <w:rsid w:val="0058251E"/>
    <w:rsid w:val="00582660"/>
    <w:rsid w:val="005826E2"/>
    <w:rsid w:val="00582803"/>
    <w:rsid w:val="0058281D"/>
    <w:rsid w:val="00582AFC"/>
    <w:rsid w:val="00583160"/>
    <w:rsid w:val="005835FB"/>
    <w:rsid w:val="00583887"/>
    <w:rsid w:val="005839F0"/>
    <w:rsid w:val="00583AD7"/>
    <w:rsid w:val="00583AFE"/>
    <w:rsid w:val="00583EDE"/>
    <w:rsid w:val="00583FF9"/>
    <w:rsid w:val="0058408E"/>
    <w:rsid w:val="0058415F"/>
    <w:rsid w:val="005841D1"/>
    <w:rsid w:val="00584241"/>
    <w:rsid w:val="005842AE"/>
    <w:rsid w:val="00584532"/>
    <w:rsid w:val="0058472C"/>
    <w:rsid w:val="00584839"/>
    <w:rsid w:val="00584A81"/>
    <w:rsid w:val="00584AFA"/>
    <w:rsid w:val="00584D3E"/>
    <w:rsid w:val="00584E0A"/>
    <w:rsid w:val="005850BF"/>
    <w:rsid w:val="005851EC"/>
    <w:rsid w:val="005854E7"/>
    <w:rsid w:val="00585A29"/>
    <w:rsid w:val="00585D84"/>
    <w:rsid w:val="00585F0D"/>
    <w:rsid w:val="005863D0"/>
    <w:rsid w:val="005863DF"/>
    <w:rsid w:val="0058641F"/>
    <w:rsid w:val="0058679F"/>
    <w:rsid w:val="0058680E"/>
    <w:rsid w:val="00586B7D"/>
    <w:rsid w:val="00586E5B"/>
    <w:rsid w:val="00586F01"/>
    <w:rsid w:val="00586F5C"/>
    <w:rsid w:val="0058708B"/>
    <w:rsid w:val="0058724C"/>
    <w:rsid w:val="00587317"/>
    <w:rsid w:val="00587366"/>
    <w:rsid w:val="00587514"/>
    <w:rsid w:val="00587521"/>
    <w:rsid w:val="0058760A"/>
    <w:rsid w:val="00587635"/>
    <w:rsid w:val="00587ACA"/>
    <w:rsid w:val="00587DD7"/>
    <w:rsid w:val="00590092"/>
    <w:rsid w:val="0059015C"/>
    <w:rsid w:val="0059016A"/>
    <w:rsid w:val="0059028F"/>
    <w:rsid w:val="00590665"/>
    <w:rsid w:val="00590985"/>
    <w:rsid w:val="00590C0E"/>
    <w:rsid w:val="00590DE1"/>
    <w:rsid w:val="005910C5"/>
    <w:rsid w:val="005910CB"/>
    <w:rsid w:val="005911D4"/>
    <w:rsid w:val="005913B3"/>
    <w:rsid w:val="005914C4"/>
    <w:rsid w:val="005915FD"/>
    <w:rsid w:val="00591605"/>
    <w:rsid w:val="0059160F"/>
    <w:rsid w:val="0059161E"/>
    <w:rsid w:val="005917A9"/>
    <w:rsid w:val="005917F7"/>
    <w:rsid w:val="005919E0"/>
    <w:rsid w:val="00591A74"/>
    <w:rsid w:val="00591B1C"/>
    <w:rsid w:val="00591E17"/>
    <w:rsid w:val="00591E31"/>
    <w:rsid w:val="00591E4C"/>
    <w:rsid w:val="00591E7B"/>
    <w:rsid w:val="00591EA3"/>
    <w:rsid w:val="00591F64"/>
    <w:rsid w:val="0059220C"/>
    <w:rsid w:val="00592356"/>
    <w:rsid w:val="0059255F"/>
    <w:rsid w:val="0059269E"/>
    <w:rsid w:val="0059286C"/>
    <w:rsid w:val="00592D30"/>
    <w:rsid w:val="00592D65"/>
    <w:rsid w:val="00592E68"/>
    <w:rsid w:val="00592F7D"/>
    <w:rsid w:val="00592FCB"/>
    <w:rsid w:val="00593035"/>
    <w:rsid w:val="0059304C"/>
    <w:rsid w:val="005931C9"/>
    <w:rsid w:val="00593490"/>
    <w:rsid w:val="005934D6"/>
    <w:rsid w:val="00593501"/>
    <w:rsid w:val="00593936"/>
    <w:rsid w:val="005939E8"/>
    <w:rsid w:val="00593AFF"/>
    <w:rsid w:val="00593B65"/>
    <w:rsid w:val="00593C94"/>
    <w:rsid w:val="00593D0D"/>
    <w:rsid w:val="00593F47"/>
    <w:rsid w:val="0059409F"/>
    <w:rsid w:val="0059415D"/>
    <w:rsid w:val="00594335"/>
    <w:rsid w:val="005944E6"/>
    <w:rsid w:val="00594714"/>
    <w:rsid w:val="00594B55"/>
    <w:rsid w:val="00594DA0"/>
    <w:rsid w:val="00594E15"/>
    <w:rsid w:val="00594ED2"/>
    <w:rsid w:val="00594FCF"/>
    <w:rsid w:val="0059501C"/>
    <w:rsid w:val="005950C1"/>
    <w:rsid w:val="00595544"/>
    <w:rsid w:val="005956D6"/>
    <w:rsid w:val="00595890"/>
    <w:rsid w:val="005958E0"/>
    <w:rsid w:val="005959B4"/>
    <w:rsid w:val="005959C1"/>
    <w:rsid w:val="00595B62"/>
    <w:rsid w:val="00595C92"/>
    <w:rsid w:val="00595D1C"/>
    <w:rsid w:val="00595F42"/>
    <w:rsid w:val="00596154"/>
    <w:rsid w:val="00596156"/>
    <w:rsid w:val="00596213"/>
    <w:rsid w:val="0059643C"/>
    <w:rsid w:val="005964F3"/>
    <w:rsid w:val="00596622"/>
    <w:rsid w:val="005967BB"/>
    <w:rsid w:val="0059689E"/>
    <w:rsid w:val="00596961"/>
    <w:rsid w:val="00596E14"/>
    <w:rsid w:val="00596FFB"/>
    <w:rsid w:val="0059702D"/>
    <w:rsid w:val="00597049"/>
    <w:rsid w:val="00597051"/>
    <w:rsid w:val="00597280"/>
    <w:rsid w:val="00597372"/>
    <w:rsid w:val="00597748"/>
    <w:rsid w:val="00597A73"/>
    <w:rsid w:val="00597C0D"/>
    <w:rsid w:val="00597C9F"/>
    <w:rsid w:val="005A01D3"/>
    <w:rsid w:val="005A03BC"/>
    <w:rsid w:val="005A0431"/>
    <w:rsid w:val="005A0CE0"/>
    <w:rsid w:val="005A0CE1"/>
    <w:rsid w:val="005A0D4A"/>
    <w:rsid w:val="005A0D68"/>
    <w:rsid w:val="005A0D9D"/>
    <w:rsid w:val="005A1332"/>
    <w:rsid w:val="005A13CD"/>
    <w:rsid w:val="005A140B"/>
    <w:rsid w:val="005A1566"/>
    <w:rsid w:val="005A1973"/>
    <w:rsid w:val="005A19B4"/>
    <w:rsid w:val="005A1A6D"/>
    <w:rsid w:val="005A1B8B"/>
    <w:rsid w:val="005A1C85"/>
    <w:rsid w:val="005A1DA7"/>
    <w:rsid w:val="005A2114"/>
    <w:rsid w:val="005A2171"/>
    <w:rsid w:val="005A22BE"/>
    <w:rsid w:val="005A2417"/>
    <w:rsid w:val="005A2463"/>
    <w:rsid w:val="005A2481"/>
    <w:rsid w:val="005A2629"/>
    <w:rsid w:val="005A2B82"/>
    <w:rsid w:val="005A2B9B"/>
    <w:rsid w:val="005A30E1"/>
    <w:rsid w:val="005A31A8"/>
    <w:rsid w:val="005A330C"/>
    <w:rsid w:val="005A34BA"/>
    <w:rsid w:val="005A3509"/>
    <w:rsid w:val="005A3730"/>
    <w:rsid w:val="005A37D2"/>
    <w:rsid w:val="005A39BD"/>
    <w:rsid w:val="005A3A07"/>
    <w:rsid w:val="005A3A47"/>
    <w:rsid w:val="005A3BD6"/>
    <w:rsid w:val="005A3C1C"/>
    <w:rsid w:val="005A3DDC"/>
    <w:rsid w:val="005A3E7C"/>
    <w:rsid w:val="005A3E8D"/>
    <w:rsid w:val="005A3ED8"/>
    <w:rsid w:val="005A4207"/>
    <w:rsid w:val="005A4555"/>
    <w:rsid w:val="005A45F5"/>
    <w:rsid w:val="005A46D1"/>
    <w:rsid w:val="005A4738"/>
    <w:rsid w:val="005A492D"/>
    <w:rsid w:val="005A49F0"/>
    <w:rsid w:val="005A4C2C"/>
    <w:rsid w:val="005A4C93"/>
    <w:rsid w:val="005A4DD0"/>
    <w:rsid w:val="005A4E42"/>
    <w:rsid w:val="005A4EE6"/>
    <w:rsid w:val="005A518C"/>
    <w:rsid w:val="005A521E"/>
    <w:rsid w:val="005A53A6"/>
    <w:rsid w:val="005A53B7"/>
    <w:rsid w:val="005A53DF"/>
    <w:rsid w:val="005A543D"/>
    <w:rsid w:val="005A5502"/>
    <w:rsid w:val="005A5596"/>
    <w:rsid w:val="005A55A1"/>
    <w:rsid w:val="005A564E"/>
    <w:rsid w:val="005A5698"/>
    <w:rsid w:val="005A5884"/>
    <w:rsid w:val="005A5A20"/>
    <w:rsid w:val="005A5A93"/>
    <w:rsid w:val="005A5B10"/>
    <w:rsid w:val="005A5B13"/>
    <w:rsid w:val="005A5D0B"/>
    <w:rsid w:val="005A5E33"/>
    <w:rsid w:val="005A5E9F"/>
    <w:rsid w:val="005A6025"/>
    <w:rsid w:val="005A6322"/>
    <w:rsid w:val="005A63F9"/>
    <w:rsid w:val="005A6547"/>
    <w:rsid w:val="005A6552"/>
    <w:rsid w:val="005A66F4"/>
    <w:rsid w:val="005A68DD"/>
    <w:rsid w:val="005A69B7"/>
    <w:rsid w:val="005A6A70"/>
    <w:rsid w:val="005A6ACE"/>
    <w:rsid w:val="005A6B9A"/>
    <w:rsid w:val="005A6D6B"/>
    <w:rsid w:val="005A6DBE"/>
    <w:rsid w:val="005A6FBC"/>
    <w:rsid w:val="005A7063"/>
    <w:rsid w:val="005A7267"/>
    <w:rsid w:val="005A726E"/>
    <w:rsid w:val="005A7325"/>
    <w:rsid w:val="005A73DC"/>
    <w:rsid w:val="005A74FA"/>
    <w:rsid w:val="005A75C7"/>
    <w:rsid w:val="005A7690"/>
    <w:rsid w:val="005A76CC"/>
    <w:rsid w:val="005A784D"/>
    <w:rsid w:val="005A78AC"/>
    <w:rsid w:val="005A7943"/>
    <w:rsid w:val="005A7B0D"/>
    <w:rsid w:val="005A7C40"/>
    <w:rsid w:val="005A7DBF"/>
    <w:rsid w:val="005A7DED"/>
    <w:rsid w:val="005B0131"/>
    <w:rsid w:val="005B037E"/>
    <w:rsid w:val="005B03C4"/>
    <w:rsid w:val="005B0453"/>
    <w:rsid w:val="005B046F"/>
    <w:rsid w:val="005B04B6"/>
    <w:rsid w:val="005B0543"/>
    <w:rsid w:val="005B0560"/>
    <w:rsid w:val="005B0598"/>
    <w:rsid w:val="005B07BC"/>
    <w:rsid w:val="005B07DC"/>
    <w:rsid w:val="005B0ACA"/>
    <w:rsid w:val="005B0D6F"/>
    <w:rsid w:val="005B0DD1"/>
    <w:rsid w:val="005B0FE1"/>
    <w:rsid w:val="005B110E"/>
    <w:rsid w:val="005B111F"/>
    <w:rsid w:val="005B1435"/>
    <w:rsid w:val="005B14A3"/>
    <w:rsid w:val="005B15D9"/>
    <w:rsid w:val="005B17C6"/>
    <w:rsid w:val="005B181E"/>
    <w:rsid w:val="005B1B16"/>
    <w:rsid w:val="005B1B23"/>
    <w:rsid w:val="005B1B90"/>
    <w:rsid w:val="005B1FE7"/>
    <w:rsid w:val="005B1FEF"/>
    <w:rsid w:val="005B2045"/>
    <w:rsid w:val="005B208D"/>
    <w:rsid w:val="005B20D6"/>
    <w:rsid w:val="005B2195"/>
    <w:rsid w:val="005B2388"/>
    <w:rsid w:val="005B2416"/>
    <w:rsid w:val="005B242F"/>
    <w:rsid w:val="005B2449"/>
    <w:rsid w:val="005B24D4"/>
    <w:rsid w:val="005B2B9E"/>
    <w:rsid w:val="005B2D3B"/>
    <w:rsid w:val="005B2E0E"/>
    <w:rsid w:val="005B2E57"/>
    <w:rsid w:val="005B30A4"/>
    <w:rsid w:val="005B30F2"/>
    <w:rsid w:val="005B3437"/>
    <w:rsid w:val="005B3485"/>
    <w:rsid w:val="005B3637"/>
    <w:rsid w:val="005B3673"/>
    <w:rsid w:val="005B39EF"/>
    <w:rsid w:val="005B3B7C"/>
    <w:rsid w:val="005B3CF7"/>
    <w:rsid w:val="005B3E2E"/>
    <w:rsid w:val="005B3F5E"/>
    <w:rsid w:val="005B4026"/>
    <w:rsid w:val="005B416B"/>
    <w:rsid w:val="005B419E"/>
    <w:rsid w:val="005B41E4"/>
    <w:rsid w:val="005B4277"/>
    <w:rsid w:val="005B439B"/>
    <w:rsid w:val="005B4463"/>
    <w:rsid w:val="005B46BA"/>
    <w:rsid w:val="005B4778"/>
    <w:rsid w:val="005B485E"/>
    <w:rsid w:val="005B4939"/>
    <w:rsid w:val="005B4954"/>
    <w:rsid w:val="005B4A46"/>
    <w:rsid w:val="005B4AFD"/>
    <w:rsid w:val="005B4BDA"/>
    <w:rsid w:val="005B4BF1"/>
    <w:rsid w:val="005B4C0A"/>
    <w:rsid w:val="005B4D49"/>
    <w:rsid w:val="005B4E18"/>
    <w:rsid w:val="005B4F29"/>
    <w:rsid w:val="005B5206"/>
    <w:rsid w:val="005B52AB"/>
    <w:rsid w:val="005B5334"/>
    <w:rsid w:val="005B54F9"/>
    <w:rsid w:val="005B55EA"/>
    <w:rsid w:val="005B569E"/>
    <w:rsid w:val="005B5996"/>
    <w:rsid w:val="005B59FF"/>
    <w:rsid w:val="005B5CD4"/>
    <w:rsid w:val="005B5DDE"/>
    <w:rsid w:val="005B5E9A"/>
    <w:rsid w:val="005B5EC2"/>
    <w:rsid w:val="005B5F2D"/>
    <w:rsid w:val="005B6390"/>
    <w:rsid w:val="005B6432"/>
    <w:rsid w:val="005B6674"/>
    <w:rsid w:val="005B68CA"/>
    <w:rsid w:val="005B6C83"/>
    <w:rsid w:val="005B6F30"/>
    <w:rsid w:val="005B7104"/>
    <w:rsid w:val="005B7108"/>
    <w:rsid w:val="005B713D"/>
    <w:rsid w:val="005B71EF"/>
    <w:rsid w:val="005B7527"/>
    <w:rsid w:val="005B75DD"/>
    <w:rsid w:val="005B76D7"/>
    <w:rsid w:val="005B77B9"/>
    <w:rsid w:val="005B7B94"/>
    <w:rsid w:val="005B7BB7"/>
    <w:rsid w:val="005B7BD4"/>
    <w:rsid w:val="005B7C14"/>
    <w:rsid w:val="005B7C17"/>
    <w:rsid w:val="005B7C54"/>
    <w:rsid w:val="005B7CBF"/>
    <w:rsid w:val="005B7D06"/>
    <w:rsid w:val="005B7DE5"/>
    <w:rsid w:val="005B7E9B"/>
    <w:rsid w:val="005B7EE2"/>
    <w:rsid w:val="005B7F6E"/>
    <w:rsid w:val="005C02CC"/>
    <w:rsid w:val="005C04C4"/>
    <w:rsid w:val="005C0584"/>
    <w:rsid w:val="005C0651"/>
    <w:rsid w:val="005C070B"/>
    <w:rsid w:val="005C071B"/>
    <w:rsid w:val="005C08CB"/>
    <w:rsid w:val="005C0905"/>
    <w:rsid w:val="005C090E"/>
    <w:rsid w:val="005C0A49"/>
    <w:rsid w:val="005C0B36"/>
    <w:rsid w:val="005C0DBA"/>
    <w:rsid w:val="005C0F21"/>
    <w:rsid w:val="005C0FDA"/>
    <w:rsid w:val="005C147B"/>
    <w:rsid w:val="005C1749"/>
    <w:rsid w:val="005C1864"/>
    <w:rsid w:val="005C1B96"/>
    <w:rsid w:val="005C1DD4"/>
    <w:rsid w:val="005C1F17"/>
    <w:rsid w:val="005C225F"/>
    <w:rsid w:val="005C23F6"/>
    <w:rsid w:val="005C24D4"/>
    <w:rsid w:val="005C25B9"/>
    <w:rsid w:val="005C26E5"/>
    <w:rsid w:val="005C2801"/>
    <w:rsid w:val="005C288D"/>
    <w:rsid w:val="005C28D4"/>
    <w:rsid w:val="005C28E2"/>
    <w:rsid w:val="005C2913"/>
    <w:rsid w:val="005C29A5"/>
    <w:rsid w:val="005C2B18"/>
    <w:rsid w:val="005C2D9C"/>
    <w:rsid w:val="005C3049"/>
    <w:rsid w:val="005C30B7"/>
    <w:rsid w:val="005C3329"/>
    <w:rsid w:val="005C33EE"/>
    <w:rsid w:val="005C36C5"/>
    <w:rsid w:val="005C370A"/>
    <w:rsid w:val="005C3780"/>
    <w:rsid w:val="005C3A42"/>
    <w:rsid w:val="005C3ADA"/>
    <w:rsid w:val="005C3C31"/>
    <w:rsid w:val="005C3E61"/>
    <w:rsid w:val="005C4098"/>
    <w:rsid w:val="005C4182"/>
    <w:rsid w:val="005C422E"/>
    <w:rsid w:val="005C42FD"/>
    <w:rsid w:val="005C446F"/>
    <w:rsid w:val="005C44C2"/>
    <w:rsid w:val="005C454C"/>
    <w:rsid w:val="005C45FC"/>
    <w:rsid w:val="005C47FA"/>
    <w:rsid w:val="005C4844"/>
    <w:rsid w:val="005C484A"/>
    <w:rsid w:val="005C4AF0"/>
    <w:rsid w:val="005C4C9B"/>
    <w:rsid w:val="005C4D05"/>
    <w:rsid w:val="005C4D78"/>
    <w:rsid w:val="005C50CD"/>
    <w:rsid w:val="005C5358"/>
    <w:rsid w:val="005C536F"/>
    <w:rsid w:val="005C53E6"/>
    <w:rsid w:val="005C5491"/>
    <w:rsid w:val="005C5979"/>
    <w:rsid w:val="005C5C1C"/>
    <w:rsid w:val="005C5E2C"/>
    <w:rsid w:val="005C5E3A"/>
    <w:rsid w:val="005C5F5A"/>
    <w:rsid w:val="005C5FAC"/>
    <w:rsid w:val="005C5FD9"/>
    <w:rsid w:val="005C6091"/>
    <w:rsid w:val="005C6304"/>
    <w:rsid w:val="005C63F4"/>
    <w:rsid w:val="005C6552"/>
    <w:rsid w:val="005C669B"/>
    <w:rsid w:val="005C66B8"/>
    <w:rsid w:val="005C6731"/>
    <w:rsid w:val="005C697D"/>
    <w:rsid w:val="005C69C3"/>
    <w:rsid w:val="005C6A81"/>
    <w:rsid w:val="005C6BAA"/>
    <w:rsid w:val="005C6C29"/>
    <w:rsid w:val="005C6C63"/>
    <w:rsid w:val="005C6D2C"/>
    <w:rsid w:val="005C6E6B"/>
    <w:rsid w:val="005C70E6"/>
    <w:rsid w:val="005C7103"/>
    <w:rsid w:val="005C71AF"/>
    <w:rsid w:val="005C7477"/>
    <w:rsid w:val="005C74CE"/>
    <w:rsid w:val="005C7572"/>
    <w:rsid w:val="005C76C9"/>
    <w:rsid w:val="005C77D6"/>
    <w:rsid w:val="005C77EE"/>
    <w:rsid w:val="005C7802"/>
    <w:rsid w:val="005C796D"/>
    <w:rsid w:val="005C799E"/>
    <w:rsid w:val="005C7B73"/>
    <w:rsid w:val="005C7BE1"/>
    <w:rsid w:val="005C7CA7"/>
    <w:rsid w:val="005C7E66"/>
    <w:rsid w:val="005C7F09"/>
    <w:rsid w:val="005D032B"/>
    <w:rsid w:val="005D0373"/>
    <w:rsid w:val="005D05FE"/>
    <w:rsid w:val="005D076D"/>
    <w:rsid w:val="005D0819"/>
    <w:rsid w:val="005D0899"/>
    <w:rsid w:val="005D08AD"/>
    <w:rsid w:val="005D0923"/>
    <w:rsid w:val="005D0939"/>
    <w:rsid w:val="005D098F"/>
    <w:rsid w:val="005D0A87"/>
    <w:rsid w:val="005D0A90"/>
    <w:rsid w:val="005D0B06"/>
    <w:rsid w:val="005D0D81"/>
    <w:rsid w:val="005D0DFC"/>
    <w:rsid w:val="005D0E27"/>
    <w:rsid w:val="005D0F7C"/>
    <w:rsid w:val="005D0FF9"/>
    <w:rsid w:val="005D1016"/>
    <w:rsid w:val="005D10BE"/>
    <w:rsid w:val="005D1373"/>
    <w:rsid w:val="005D16F3"/>
    <w:rsid w:val="005D1733"/>
    <w:rsid w:val="005D1802"/>
    <w:rsid w:val="005D19ED"/>
    <w:rsid w:val="005D19FE"/>
    <w:rsid w:val="005D1A4D"/>
    <w:rsid w:val="005D1BB2"/>
    <w:rsid w:val="005D1BFD"/>
    <w:rsid w:val="005D1C0A"/>
    <w:rsid w:val="005D1CB6"/>
    <w:rsid w:val="005D1FF9"/>
    <w:rsid w:val="005D20A6"/>
    <w:rsid w:val="005D20B7"/>
    <w:rsid w:val="005D2215"/>
    <w:rsid w:val="005D22E0"/>
    <w:rsid w:val="005D258E"/>
    <w:rsid w:val="005D25B9"/>
    <w:rsid w:val="005D265F"/>
    <w:rsid w:val="005D2778"/>
    <w:rsid w:val="005D2873"/>
    <w:rsid w:val="005D290C"/>
    <w:rsid w:val="005D2B0A"/>
    <w:rsid w:val="005D2BDE"/>
    <w:rsid w:val="005D2D5B"/>
    <w:rsid w:val="005D2D95"/>
    <w:rsid w:val="005D2E1A"/>
    <w:rsid w:val="005D2EBB"/>
    <w:rsid w:val="005D2EE8"/>
    <w:rsid w:val="005D3088"/>
    <w:rsid w:val="005D30EF"/>
    <w:rsid w:val="005D30FF"/>
    <w:rsid w:val="005D3221"/>
    <w:rsid w:val="005D332B"/>
    <w:rsid w:val="005D35BE"/>
    <w:rsid w:val="005D3813"/>
    <w:rsid w:val="005D393C"/>
    <w:rsid w:val="005D3A1A"/>
    <w:rsid w:val="005D3B2F"/>
    <w:rsid w:val="005D3B87"/>
    <w:rsid w:val="005D3C18"/>
    <w:rsid w:val="005D3D04"/>
    <w:rsid w:val="005D3D7B"/>
    <w:rsid w:val="005D40B8"/>
    <w:rsid w:val="005D42DF"/>
    <w:rsid w:val="005D4493"/>
    <w:rsid w:val="005D4BB3"/>
    <w:rsid w:val="005D4C09"/>
    <w:rsid w:val="005D4DAC"/>
    <w:rsid w:val="005D4F16"/>
    <w:rsid w:val="005D4FB6"/>
    <w:rsid w:val="005D4FD6"/>
    <w:rsid w:val="005D51EA"/>
    <w:rsid w:val="005D5247"/>
    <w:rsid w:val="005D5261"/>
    <w:rsid w:val="005D52D5"/>
    <w:rsid w:val="005D5452"/>
    <w:rsid w:val="005D5751"/>
    <w:rsid w:val="005D58BF"/>
    <w:rsid w:val="005D591F"/>
    <w:rsid w:val="005D5AED"/>
    <w:rsid w:val="005D5B0C"/>
    <w:rsid w:val="005D60FA"/>
    <w:rsid w:val="005D6116"/>
    <w:rsid w:val="005D61C7"/>
    <w:rsid w:val="005D65F3"/>
    <w:rsid w:val="005D686F"/>
    <w:rsid w:val="005D687F"/>
    <w:rsid w:val="005D68F8"/>
    <w:rsid w:val="005D6C6B"/>
    <w:rsid w:val="005D6D61"/>
    <w:rsid w:val="005D6E27"/>
    <w:rsid w:val="005D6EB6"/>
    <w:rsid w:val="005D6EE3"/>
    <w:rsid w:val="005D729E"/>
    <w:rsid w:val="005D730A"/>
    <w:rsid w:val="005D78EA"/>
    <w:rsid w:val="005D793A"/>
    <w:rsid w:val="005D7A6E"/>
    <w:rsid w:val="005D7AC4"/>
    <w:rsid w:val="005D7AFD"/>
    <w:rsid w:val="005D7D7B"/>
    <w:rsid w:val="005D7DF1"/>
    <w:rsid w:val="005E0045"/>
    <w:rsid w:val="005E00CB"/>
    <w:rsid w:val="005E023B"/>
    <w:rsid w:val="005E025A"/>
    <w:rsid w:val="005E0346"/>
    <w:rsid w:val="005E0380"/>
    <w:rsid w:val="005E08A9"/>
    <w:rsid w:val="005E08D9"/>
    <w:rsid w:val="005E0909"/>
    <w:rsid w:val="005E0C08"/>
    <w:rsid w:val="005E0D9A"/>
    <w:rsid w:val="005E102B"/>
    <w:rsid w:val="005E1155"/>
    <w:rsid w:val="005E117F"/>
    <w:rsid w:val="005E1271"/>
    <w:rsid w:val="005E1317"/>
    <w:rsid w:val="005E1408"/>
    <w:rsid w:val="005E147B"/>
    <w:rsid w:val="005E15C3"/>
    <w:rsid w:val="005E1605"/>
    <w:rsid w:val="005E16CD"/>
    <w:rsid w:val="005E1B29"/>
    <w:rsid w:val="005E1D0A"/>
    <w:rsid w:val="005E1DFE"/>
    <w:rsid w:val="005E2148"/>
    <w:rsid w:val="005E21E4"/>
    <w:rsid w:val="005E221F"/>
    <w:rsid w:val="005E22BB"/>
    <w:rsid w:val="005E23B8"/>
    <w:rsid w:val="005E23C5"/>
    <w:rsid w:val="005E23C9"/>
    <w:rsid w:val="005E24BF"/>
    <w:rsid w:val="005E2719"/>
    <w:rsid w:val="005E28A3"/>
    <w:rsid w:val="005E28A6"/>
    <w:rsid w:val="005E293C"/>
    <w:rsid w:val="005E2A4D"/>
    <w:rsid w:val="005E2A8B"/>
    <w:rsid w:val="005E2BBA"/>
    <w:rsid w:val="005E3132"/>
    <w:rsid w:val="005E3156"/>
    <w:rsid w:val="005E315B"/>
    <w:rsid w:val="005E338B"/>
    <w:rsid w:val="005E3484"/>
    <w:rsid w:val="005E3A24"/>
    <w:rsid w:val="005E3A78"/>
    <w:rsid w:val="005E3B60"/>
    <w:rsid w:val="005E3C45"/>
    <w:rsid w:val="005E3CD9"/>
    <w:rsid w:val="005E3E8A"/>
    <w:rsid w:val="005E3EF1"/>
    <w:rsid w:val="005E3F9D"/>
    <w:rsid w:val="005E4042"/>
    <w:rsid w:val="005E4104"/>
    <w:rsid w:val="005E41B6"/>
    <w:rsid w:val="005E463C"/>
    <w:rsid w:val="005E4675"/>
    <w:rsid w:val="005E46B3"/>
    <w:rsid w:val="005E4782"/>
    <w:rsid w:val="005E49BA"/>
    <w:rsid w:val="005E4CCA"/>
    <w:rsid w:val="005E4EAC"/>
    <w:rsid w:val="005E4F98"/>
    <w:rsid w:val="005E51BC"/>
    <w:rsid w:val="005E5294"/>
    <w:rsid w:val="005E5399"/>
    <w:rsid w:val="005E53C1"/>
    <w:rsid w:val="005E543A"/>
    <w:rsid w:val="005E55AF"/>
    <w:rsid w:val="005E579D"/>
    <w:rsid w:val="005E57D7"/>
    <w:rsid w:val="005E57E6"/>
    <w:rsid w:val="005E5AA1"/>
    <w:rsid w:val="005E5B76"/>
    <w:rsid w:val="005E5D08"/>
    <w:rsid w:val="005E6023"/>
    <w:rsid w:val="005E6132"/>
    <w:rsid w:val="005E658E"/>
    <w:rsid w:val="005E66C6"/>
    <w:rsid w:val="005E6728"/>
    <w:rsid w:val="005E6812"/>
    <w:rsid w:val="005E6B5F"/>
    <w:rsid w:val="005E6D1D"/>
    <w:rsid w:val="005E6DE0"/>
    <w:rsid w:val="005E6E38"/>
    <w:rsid w:val="005E6E54"/>
    <w:rsid w:val="005E72B4"/>
    <w:rsid w:val="005E72E9"/>
    <w:rsid w:val="005E739A"/>
    <w:rsid w:val="005E7655"/>
    <w:rsid w:val="005E7B44"/>
    <w:rsid w:val="005E7CA5"/>
    <w:rsid w:val="005E7D26"/>
    <w:rsid w:val="005E7E3A"/>
    <w:rsid w:val="005E7F62"/>
    <w:rsid w:val="005F0007"/>
    <w:rsid w:val="005F00CE"/>
    <w:rsid w:val="005F02E9"/>
    <w:rsid w:val="005F0415"/>
    <w:rsid w:val="005F050F"/>
    <w:rsid w:val="005F06E5"/>
    <w:rsid w:val="005F0B1D"/>
    <w:rsid w:val="005F0CEE"/>
    <w:rsid w:val="005F0EFC"/>
    <w:rsid w:val="005F0F8F"/>
    <w:rsid w:val="005F0FE6"/>
    <w:rsid w:val="005F10F2"/>
    <w:rsid w:val="005F11BE"/>
    <w:rsid w:val="005F14F9"/>
    <w:rsid w:val="005F17B2"/>
    <w:rsid w:val="005F191E"/>
    <w:rsid w:val="005F1A40"/>
    <w:rsid w:val="005F1C2F"/>
    <w:rsid w:val="005F1E1F"/>
    <w:rsid w:val="005F201C"/>
    <w:rsid w:val="005F213A"/>
    <w:rsid w:val="005F21C5"/>
    <w:rsid w:val="005F220A"/>
    <w:rsid w:val="005F24B0"/>
    <w:rsid w:val="005F250E"/>
    <w:rsid w:val="005F27E7"/>
    <w:rsid w:val="005F2923"/>
    <w:rsid w:val="005F2C5B"/>
    <w:rsid w:val="005F2D18"/>
    <w:rsid w:val="005F2D50"/>
    <w:rsid w:val="005F2FC8"/>
    <w:rsid w:val="005F3002"/>
    <w:rsid w:val="005F31FE"/>
    <w:rsid w:val="005F321A"/>
    <w:rsid w:val="005F32E8"/>
    <w:rsid w:val="005F3540"/>
    <w:rsid w:val="005F36C8"/>
    <w:rsid w:val="005F37DF"/>
    <w:rsid w:val="005F381A"/>
    <w:rsid w:val="005F395A"/>
    <w:rsid w:val="005F3A8C"/>
    <w:rsid w:val="005F3AA4"/>
    <w:rsid w:val="005F43BB"/>
    <w:rsid w:val="005F4432"/>
    <w:rsid w:val="005F44C5"/>
    <w:rsid w:val="005F472D"/>
    <w:rsid w:val="005F473D"/>
    <w:rsid w:val="005F475F"/>
    <w:rsid w:val="005F489A"/>
    <w:rsid w:val="005F49F9"/>
    <w:rsid w:val="005F4B19"/>
    <w:rsid w:val="005F4BCC"/>
    <w:rsid w:val="005F4D32"/>
    <w:rsid w:val="005F4DD7"/>
    <w:rsid w:val="005F4DE2"/>
    <w:rsid w:val="005F4EDA"/>
    <w:rsid w:val="005F4FEF"/>
    <w:rsid w:val="005F520C"/>
    <w:rsid w:val="005F52BE"/>
    <w:rsid w:val="005F5342"/>
    <w:rsid w:val="005F5768"/>
    <w:rsid w:val="005F57FE"/>
    <w:rsid w:val="005F58B3"/>
    <w:rsid w:val="005F5AC8"/>
    <w:rsid w:val="005F5B2A"/>
    <w:rsid w:val="005F5B89"/>
    <w:rsid w:val="005F60D0"/>
    <w:rsid w:val="005F610C"/>
    <w:rsid w:val="005F632D"/>
    <w:rsid w:val="005F6351"/>
    <w:rsid w:val="005F6529"/>
    <w:rsid w:val="005F65B8"/>
    <w:rsid w:val="005F6617"/>
    <w:rsid w:val="005F66F8"/>
    <w:rsid w:val="005F6765"/>
    <w:rsid w:val="005F6873"/>
    <w:rsid w:val="005F68E3"/>
    <w:rsid w:val="005F6972"/>
    <w:rsid w:val="005F69C9"/>
    <w:rsid w:val="005F6A7B"/>
    <w:rsid w:val="005F6A8A"/>
    <w:rsid w:val="005F6A9D"/>
    <w:rsid w:val="005F6B04"/>
    <w:rsid w:val="005F6CF7"/>
    <w:rsid w:val="005F6EA9"/>
    <w:rsid w:val="005F70CC"/>
    <w:rsid w:val="005F71DC"/>
    <w:rsid w:val="005F7233"/>
    <w:rsid w:val="005F7340"/>
    <w:rsid w:val="005F7471"/>
    <w:rsid w:val="005F76D2"/>
    <w:rsid w:val="005F76E4"/>
    <w:rsid w:val="005F7718"/>
    <w:rsid w:val="005F7776"/>
    <w:rsid w:val="005F79D3"/>
    <w:rsid w:val="005F7A85"/>
    <w:rsid w:val="005F7B4C"/>
    <w:rsid w:val="005F7C7E"/>
    <w:rsid w:val="005F7DAB"/>
    <w:rsid w:val="005F7DB7"/>
    <w:rsid w:val="005F7E4C"/>
    <w:rsid w:val="005F7FA3"/>
    <w:rsid w:val="0060017E"/>
    <w:rsid w:val="006001D5"/>
    <w:rsid w:val="006001D6"/>
    <w:rsid w:val="0060055C"/>
    <w:rsid w:val="0060067D"/>
    <w:rsid w:val="0060079A"/>
    <w:rsid w:val="006007F1"/>
    <w:rsid w:val="00600840"/>
    <w:rsid w:val="0060089F"/>
    <w:rsid w:val="006008E0"/>
    <w:rsid w:val="00600933"/>
    <w:rsid w:val="0060094D"/>
    <w:rsid w:val="00600BF1"/>
    <w:rsid w:val="006011A9"/>
    <w:rsid w:val="006012AF"/>
    <w:rsid w:val="00601321"/>
    <w:rsid w:val="00601548"/>
    <w:rsid w:val="006015C5"/>
    <w:rsid w:val="00601677"/>
    <w:rsid w:val="00601727"/>
    <w:rsid w:val="0060191B"/>
    <w:rsid w:val="00601966"/>
    <w:rsid w:val="00601C33"/>
    <w:rsid w:val="00601C95"/>
    <w:rsid w:val="00601D79"/>
    <w:rsid w:val="00601DAE"/>
    <w:rsid w:val="00601DE1"/>
    <w:rsid w:val="00601EED"/>
    <w:rsid w:val="00602033"/>
    <w:rsid w:val="00602300"/>
    <w:rsid w:val="00602332"/>
    <w:rsid w:val="00602413"/>
    <w:rsid w:val="0060292C"/>
    <w:rsid w:val="006029D4"/>
    <w:rsid w:val="00602BEA"/>
    <w:rsid w:val="00603085"/>
    <w:rsid w:val="00603167"/>
    <w:rsid w:val="00603446"/>
    <w:rsid w:val="00603550"/>
    <w:rsid w:val="0060369B"/>
    <w:rsid w:val="006038A6"/>
    <w:rsid w:val="006039EB"/>
    <w:rsid w:val="00603DA8"/>
    <w:rsid w:val="00603E61"/>
    <w:rsid w:val="00604087"/>
    <w:rsid w:val="00604277"/>
    <w:rsid w:val="00604306"/>
    <w:rsid w:val="00604351"/>
    <w:rsid w:val="00604446"/>
    <w:rsid w:val="0060476B"/>
    <w:rsid w:val="00604859"/>
    <w:rsid w:val="00604867"/>
    <w:rsid w:val="00604878"/>
    <w:rsid w:val="006048CF"/>
    <w:rsid w:val="0060495F"/>
    <w:rsid w:val="00604AA6"/>
    <w:rsid w:val="00604B1D"/>
    <w:rsid w:val="00604ED2"/>
    <w:rsid w:val="00604F0C"/>
    <w:rsid w:val="00604FEC"/>
    <w:rsid w:val="00605101"/>
    <w:rsid w:val="00605356"/>
    <w:rsid w:val="00605537"/>
    <w:rsid w:val="006055A4"/>
    <w:rsid w:val="006055FE"/>
    <w:rsid w:val="00605B18"/>
    <w:rsid w:val="00605C3B"/>
    <w:rsid w:val="00605EBB"/>
    <w:rsid w:val="00605FA1"/>
    <w:rsid w:val="00605FD5"/>
    <w:rsid w:val="006060F1"/>
    <w:rsid w:val="006061D8"/>
    <w:rsid w:val="00606244"/>
    <w:rsid w:val="006062D8"/>
    <w:rsid w:val="0060656B"/>
    <w:rsid w:val="00606787"/>
    <w:rsid w:val="006068CA"/>
    <w:rsid w:val="006069B0"/>
    <w:rsid w:val="006069B5"/>
    <w:rsid w:val="00606AB2"/>
    <w:rsid w:val="00606AF2"/>
    <w:rsid w:val="00606C1C"/>
    <w:rsid w:val="00606D42"/>
    <w:rsid w:val="00606DB7"/>
    <w:rsid w:val="00606E1A"/>
    <w:rsid w:val="00606F9B"/>
    <w:rsid w:val="00607068"/>
    <w:rsid w:val="0060714A"/>
    <w:rsid w:val="006071CF"/>
    <w:rsid w:val="00607293"/>
    <w:rsid w:val="0060732B"/>
    <w:rsid w:val="006074D6"/>
    <w:rsid w:val="00607600"/>
    <w:rsid w:val="00607648"/>
    <w:rsid w:val="00607737"/>
    <w:rsid w:val="0060773D"/>
    <w:rsid w:val="006077D3"/>
    <w:rsid w:val="00607827"/>
    <w:rsid w:val="00607837"/>
    <w:rsid w:val="00607878"/>
    <w:rsid w:val="00607951"/>
    <w:rsid w:val="00607964"/>
    <w:rsid w:val="00607A8F"/>
    <w:rsid w:val="00607B4E"/>
    <w:rsid w:val="00607B61"/>
    <w:rsid w:val="00607C67"/>
    <w:rsid w:val="00607D8C"/>
    <w:rsid w:val="00607DC0"/>
    <w:rsid w:val="00607E94"/>
    <w:rsid w:val="00610407"/>
    <w:rsid w:val="006105BD"/>
    <w:rsid w:val="00610601"/>
    <w:rsid w:val="00610856"/>
    <w:rsid w:val="00610896"/>
    <w:rsid w:val="00610A34"/>
    <w:rsid w:val="00610B91"/>
    <w:rsid w:val="00610D02"/>
    <w:rsid w:val="006114A2"/>
    <w:rsid w:val="00611557"/>
    <w:rsid w:val="00611589"/>
    <w:rsid w:val="006116B7"/>
    <w:rsid w:val="00611A41"/>
    <w:rsid w:val="00611A47"/>
    <w:rsid w:val="00611A51"/>
    <w:rsid w:val="00611B59"/>
    <w:rsid w:val="00611C57"/>
    <w:rsid w:val="00611DF0"/>
    <w:rsid w:val="00611F2B"/>
    <w:rsid w:val="00612022"/>
    <w:rsid w:val="00612105"/>
    <w:rsid w:val="0061213B"/>
    <w:rsid w:val="00612148"/>
    <w:rsid w:val="0061223F"/>
    <w:rsid w:val="006122FD"/>
    <w:rsid w:val="0061236D"/>
    <w:rsid w:val="0061237C"/>
    <w:rsid w:val="00612476"/>
    <w:rsid w:val="006124E7"/>
    <w:rsid w:val="00612640"/>
    <w:rsid w:val="006126A3"/>
    <w:rsid w:val="00612749"/>
    <w:rsid w:val="00612BC2"/>
    <w:rsid w:val="00612BE2"/>
    <w:rsid w:val="00612C27"/>
    <w:rsid w:val="00612D04"/>
    <w:rsid w:val="00612D4E"/>
    <w:rsid w:val="00612F9F"/>
    <w:rsid w:val="00613018"/>
    <w:rsid w:val="00613240"/>
    <w:rsid w:val="006135DA"/>
    <w:rsid w:val="00613B5E"/>
    <w:rsid w:val="00613CF3"/>
    <w:rsid w:val="00613D93"/>
    <w:rsid w:val="0061417E"/>
    <w:rsid w:val="006142A6"/>
    <w:rsid w:val="00614309"/>
    <w:rsid w:val="0061490A"/>
    <w:rsid w:val="0061492D"/>
    <w:rsid w:val="00614AEA"/>
    <w:rsid w:val="00614B41"/>
    <w:rsid w:val="00614B5E"/>
    <w:rsid w:val="00614BC1"/>
    <w:rsid w:val="00614C8F"/>
    <w:rsid w:val="00615028"/>
    <w:rsid w:val="0061542B"/>
    <w:rsid w:val="00615568"/>
    <w:rsid w:val="006156DF"/>
    <w:rsid w:val="006159F5"/>
    <w:rsid w:val="00615BAD"/>
    <w:rsid w:val="00615BB7"/>
    <w:rsid w:val="00615E4F"/>
    <w:rsid w:val="0061612C"/>
    <w:rsid w:val="00616174"/>
    <w:rsid w:val="006164A4"/>
    <w:rsid w:val="006164AB"/>
    <w:rsid w:val="006165DE"/>
    <w:rsid w:val="00616629"/>
    <w:rsid w:val="00616637"/>
    <w:rsid w:val="00616769"/>
    <w:rsid w:val="006168B6"/>
    <w:rsid w:val="006169A6"/>
    <w:rsid w:val="00616CBE"/>
    <w:rsid w:val="00616D60"/>
    <w:rsid w:val="00616E21"/>
    <w:rsid w:val="006170EE"/>
    <w:rsid w:val="00617507"/>
    <w:rsid w:val="00617591"/>
    <w:rsid w:val="00617621"/>
    <w:rsid w:val="006177D4"/>
    <w:rsid w:val="00617992"/>
    <w:rsid w:val="00617B62"/>
    <w:rsid w:val="00617C8A"/>
    <w:rsid w:val="00617D5D"/>
    <w:rsid w:val="00617DF3"/>
    <w:rsid w:val="0062005B"/>
    <w:rsid w:val="0062011A"/>
    <w:rsid w:val="00620157"/>
    <w:rsid w:val="00620458"/>
    <w:rsid w:val="0062049B"/>
    <w:rsid w:val="0062080C"/>
    <w:rsid w:val="00620810"/>
    <w:rsid w:val="00620A88"/>
    <w:rsid w:val="00620AA8"/>
    <w:rsid w:val="006212C2"/>
    <w:rsid w:val="006214EF"/>
    <w:rsid w:val="0062152D"/>
    <w:rsid w:val="006218E8"/>
    <w:rsid w:val="00621903"/>
    <w:rsid w:val="0062198C"/>
    <w:rsid w:val="00621DEA"/>
    <w:rsid w:val="0062221B"/>
    <w:rsid w:val="00622295"/>
    <w:rsid w:val="0062233F"/>
    <w:rsid w:val="0062246E"/>
    <w:rsid w:val="00622473"/>
    <w:rsid w:val="00622547"/>
    <w:rsid w:val="006225E0"/>
    <w:rsid w:val="0062262B"/>
    <w:rsid w:val="00622692"/>
    <w:rsid w:val="00622915"/>
    <w:rsid w:val="006229A3"/>
    <w:rsid w:val="00622DA3"/>
    <w:rsid w:val="0062309C"/>
    <w:rsid w:val="0062326E"/>
    <w:rsid w:val="006233A6"/>
    <w:rsid w:val="006233AD"/>
    <w:rsid w:val="00623740"/>
    <w:rsid w:val="0062383F"/>
    <w:rsid w:val="00623ABA"/>
    <w:rsid w:val="00623BD3"/>
    <w:rsid w:val="00623C46"/>
    <w:rsid w:val="00623CF7"/>
    <w:rsid w:val="00623EAA"/>
    <w:rsid w:val="0062416A"/>
    <w:rsid w:val="0062422C"/>
    <w:rsid w:val="00624446"/>
    <w:rsid w:val="006245C9"/>
    <w:rsid w:val="006245F5"/>
    <w:rsid w:val="00624746"/>
    <w:rsid w:val="006247C9"/>
    <w:rsid w:val="00624BCB"/>
    <w:rsid w:val="00624D1B"/>
    <w:rsid w:val="00624DF0"/>
    <w:rsid w:val="00624ED7"/>
    <w:rsid w:val="006250BF"/>
    <w:rsid w:val="0062526A"/>
    <w:rsid w:val="00625340"/>
    <w:rsid w:val="0062542A"/>
    <w:rsid w:val="00625565"/>
    <w:rsid w:val="0062566A"/>
    <w:rsid w:val="00625945"/>
    <w:rsid w:val="00625B20"/>
    <w:rsid w:val="00625BAB"/>
    <w:rsid w:val="00625C14"/>
    <w:rsid w:val="00625CFE"/>
    <w:rsid w:val="00625EE9"/>
    <w:rsid w:val="00625F30"/>
    <w:rsid w:val="00626034"/>
    <w:rsid w:val="00626096"/>
    <w:rsid w:val="00626217"/>
    <w:rsid w:val="006262FB"/>
    <w:rsid w:val="006264C5"/>
    <w:rsid w:val="00626571"/>
    <w:rsid w:val="006265CA"/>
    <w:rsid w:val="00626653"/>
    <w:rsid w:val="006266A2"/>
    <w:rsid w:val="006267E5"/>
    <w:rsid w:val="006267F7"/>
    <w:rsid w:val="0062684F"/>
    <w:rsid w:val="0062685C"/>
    <w:rsid w:val="0062687D"/>
    <w:rsid w:val="00626E43"/>
    <w:rsid w:val="00626E7B"/>
    <w:rsid w:val="00627019"/>
    <w:rsid w:val="0062713F"/>
    <w:rsid w:val="00627155"/>
    <w:rsid w:val="0062728C"/>
    <w:rsid w:val="006273C3"/>
    <w:rsid w:val="0062748A"/>
    <w:rsid w:val="0062753A"/>
    <w:rsid w:val="00627573"/>
    <w:rsid w:val="006275EE"/>
    <w:rsid w:val="00627645"/>
    <w:rsid w:val="006277FC"/>
    <w:rsid w:val="00627B4B"/>
    <w:rsid w:val="00627DB3"/>
    <w:rsid w:val="0063010D"/>
    <w:rsid w:val="0063037B"/>
    <w:rsid w:val="00630748"/>
    <w:rsid w:val="00630A6F"/>
    <w:rsid w:val="00630B39"/>
    <w:rsid w:val="00630C10"/>
    <w:rsid w:val="00630CDA"/>
    <w:rsid w:val="00630DFA"/>
    <w:rsid w:val="00630E57"/>
    <w:rsid w:val="00630F8D"/>
    <w:rsid w:val="006311D4"/>
    <w:rsid w:val="00631258"/>
    <w:rsid w:val="006313CD"/>
    <w:rsid w:val="0063159B"/>
    <w:rsid w:val="006315CB"/>
    <w:rsid w:val="00631AA9"/>
    <w:rsid w:val="00631B03"/>
    <w:rsid w:val="00631BBD"/>
    <w:rsid w:val="00631D55"/>
    <w:rsid w:val="00631EA4"/>
    <w:rsid w:val="00631FE9"/>
    <w:rsid w:val="00632231"/>
    <w:rsid w:val="0063225E"/>
    <w:rsid w:val="006323D6"/>
    <w:rsid w:val="0063258E"/>
    <w:rsid w:val="00632C10"/>
    <w:rsid w:val="00632CDE"/>
    <w:rsid w:val="00632E42"/>
    <w:rsid w:val="00632E5C"/>
    <w:rsid w:val="00632E9A"/>
    <w:rsid w:val="00632EAC"/>
    <w:rsid w:val="00632F3A"/>
    <w:rsid w:val="00632F7B"/>
    <w:rsid w:val="00632FA2"/>
    <w:rsid w:val="0063333F"/>
    <w:rsid w:val="006333FA"/>
    <w:rsid w:val="00633D15"/>
    <w:rsid w:val="00633DAA"/>
    <w:rsid w:val="00633EA2"/>
    <w:rsid w:val="00633EC1"/>
    <w:rsid w:val="006340E9"/>
    <w:rsid w:val="006341BE"/>
    <w:rsid w:val="00634477"/>
    <w:rsid w:val="006346BC"/>
    <w:rsid w:val="00634709"/>
    <w:rsid w:val="00634C80"/>
    <w:rsid w:val="00634D17"/>
    <w:rsid w:val="00634D38"/>
    <w:rsid w:val="00634F82"/>
    <w:rsid w:val="0063500B"/>
    <w:rsid w:val="00635024"/>
    <w:rsid w:val="0063503E"/>
    <w:rsid w:val="006350AF"/>
    <w:rsid w:val="00635356"/>
    <w:rsid w:val="006354F5"/>
    <w:rsid w:val="006355B7"/>
    <w:rsid w:val="0063563C"/>
    <w:rsid w:val="00635702"/>
    <w:rsid w:val="00635769"/>
    <w:rsid w:val="006358E8"/>
    <w:rsid w:val="00635927"/>
    <w:rsid w:val="00635945"/>
    <w:rsid w:val="006359E0"/>
    <w:rsid w:val="00635C1B"/>
    <w:rsid w:val="00635CDE"/>
    <w:rsid w:val="00635D97"/>
    <w:rsid w:val="00635E6C"/>
    <w:rsid w:val="00636008"/>
    <w:rsid w:val="00636209"/>
    <w:rsid w:val="0063637C"/>
    <w:rsid w:val="006364F3"/>
    <w:rsid w:val="00636CAF"/>
    <w:rsid w:val="00636CCE"/>
    <w:rsid w:val="00636D5C"/>
    <w:rsid w:val="00636E35"/>
    <w:rsid w:val="00636E68"/>
    <w:rsid w:val="00636EE8"/>
    <w:rsid w:val="006370CE"/>
    <w:rsid w:val="0063714B"/>
    <w:rsid w:val="00637165"/>
    <w:rsid w:val="006372C7"/>
    <w:rsid w:val="0063749B"/>
    <w:rsid w:val="0063749C"/>
    <w:rsid w:val="0063781F"/>
    <w:rsid w:val="0063793C"/>
    <w:rsid w:val="00637972"/>
    <w:rsid w:val="00637991"/>
    <w:rsid w:val="00637A7D"/>
    <w:rsid w:val="00637DBA"/>
    <w:rsid w:val="00637EA7"/>
    <w:rsid w:val="00637EEE"/>
    <w:rsid w:val="00637EF9"/>
    <w:rsid w:val="00637F22"/>
    <w:rsid w:val="00640008"/>
    <w:rsid w:val="006402D6"/>
    <w:rsid w:val="006402E4"/>
    <w:rsid w:val="006402EB"/>
    <w:rsid w:val="00640374"/>
    <w:rsid w:val="00640436"/>
    <w:rsid w:val="00640645"/>
    <w:rsid w:val="00640757"/>
    <w:rsid w:val="006407F3"/>
    <w:rsid w:val="00640830"/>
    <w:rsid w:val="00640901"/>
    <w:rsid w:val="00640982"/>
    <w:rsid w:val="00640A82"/>
    <w:rsid w:val="00640B97"/>
    <w:rsid w:val="00640C5B"/>
    <w:rsid w:val="00640D96"/>
    <w:rsid w:val="00640E21"/>
    <w:rsid w:val="00640E66"/>
    <w:rsid w:val="00640F14"/>
    <w:rsid w:val="00640F17"/>
    <w:rsid w:val="00640F68"/>
    <w:rsid w:val="006411D4"/>
    <w:rsid w:val="0064136C"/>
    <w:rsid w:val="00641554"/>
    <w:rsid w:val="00641577"/>
    <w:rsid w:val="006416D1"/>
    <w:rsid w:val="0064173C"/>
    <w:rsid w:val="00641934"/>
    <w:rsid w:val="00641AF5"/>
    <w:rsid w:val="00641C0A"/>
    <w:rsid w:val="00641C24"/>
    <w:rsid w:val="0064202C"/>
    <w:rsid w:val="006420B4"/>
    <w:rsid w:val="00642184"/>
    <w:rsid w:val="006426D3"/>
    <w:rsid w:val="00642710"/>
    <w:rsid w:val="0064277F"/>
    <w:rsid w:val="0064282A"/>
    <w:rsid w:val="00642991"/>
    <w:rsid w:val="00642CB4"/>
    <w:rsid w:val="00642D8F"/>
    <w:rsid w:val="0064318A"/>
    <w:rsid w:val="00643190"/>
    <w:rsid w:val="006431E9"/>
    <w:rsid w:val="0064329F"/>
    <w:rsid w:val="006432F6"/>
    <w:rsid w:val="006433BE"/>
    <w:rsid w:val="00643490"/>
    <w:rsid w:val="006434EE"/>
    <w:rsid w:val="00643750"/>
    <w:rsid w:val="006438F2"/>
    <w:rsid w:val="00643946"/>
    <w:rsid w:val="00643975"/>
    <w:rsid w:val="00643A7E"/>
    <w:rsid w:val="00643B99"/>
    <w:rsid w:val="00643B9D"/>
    <w:rsid w:val="00643C3D"/>
    <w:rsid w:val="00643D59"/>
    <w:rsid w:val="00643FEF"/>
    <w:rsid w:val="00644059"/>
    <w:rsid w:val="00644075"/>
    <w:rsid w:val="00644338"/>
    <w:rsid w:val="00644629"/>
    <w:rsid w:val="0064464F"/>
    <w:rsid w:val="006449BE"/>
    <w:rsid w:val="00644B76"/>
    <w:rsid w:val="00644BFB"/>
    <w:rsid w:val="00644EA2"/>
    <w:rsid w:val="00644F46"/>
    <w:rsid w:val="00644FC8"/>
    <w:rsid w:val="00645090"/>
    <w:rsid w:val="006450BF"/>
    <w:rsid w:val="006450CF"/>
    <w:rsid w:val="0064514A"/>
    <w:rsid w:val="0064525D"/>
    <w:rsid w:val="0064556A"/>
    <w:rsid w:val="006457F7"/>
    <w:rsid w:val="00645874"/>
    <w:rsid w:val="00645883"/>
    <w:rsid w:val="006458F3"/>
    <w:rsid w:val="006458F7"/>
    <w:rsid w:val="00645ACE"/>
    <w:rsid w:val="00645B57"/>
    <w:rsid w:val="00645E71"/>
    <w:rsid w:val="00645F74"/>
    <w:rsid w:val="00645FE9"/>
    <w:rsid w:val="00645FEA"/>
    <w:rsid w:val="00646099"/>
    <w:rsid w:val="006460AD"/>
    <w:rsid w:val="006464C1"/>
    <w:rsid w:val="006465EA"/>
    <w:rsid w:val="00646921"/>
    <w:rsid w:val="00646AD1"/>
    <w:rsid w:val="00646AF3"/>
    <w:rsid w:val="00646BAB"/>
    <w:rsid w:val="00646C8E"/>
    <w:rsid w:val="00646D00"/>
    <w:rsid w:val="00646D1B"/>
    <w:rsid w:val="00646ECE"/>
    <w:rsid w:val="00647324"/>
    <w:rsid w:val="006474CF"/>
    <w:rsid w:val="006478FB"/>
    <w:rsid w:val="00647B60"/>
    <w:rsid w:val="00647F25"/>
    <w:rsid w:val="00647F84"/>
    <w:rsid w:val="00650001"/>
    <w:rsid w:val="006503F4"/>
    <w:rsid w:val="00650759"/>
    <w:rsid w:val="00650908"/>
    <w:rsid w:val="00650B1B"/>
    <w:rsid w:val="00650CA4"/>
    <w:rsid w:val="00650DE3"/>
    <w:rsid w:val="00651190"/>
    <w:rsid w:val="006513E2"/>
    <w:rsid w:val="00651726"/>
    <w:rsid w:val="00651762"/>
    <w:rsid w:val="006517AD"/>
    <w:rsid w:val="006518C1"/>
    <w:rsid w:val="00651B23"/>
    <w:rsid w:val="00651B6F"/>
    <w:rsid w:val="00651F4E"/>
    <w:rsid w:val="00652522"/>
    <w:rsid w:val="0065255E"/>
    <w:rsid w:val="006525A0"/>
    <w:rsid w:val="006525EF"/>
    <w:rsid w:val="006527C5"/>
    <w:rsid w:val="0065288D"/>
    <w:rsid w:val="006528E6"/>
    <w:rsid w:val="00652972"/>
    <w:rsid w:val="006529D7"/>
    <w:rsid w:val="00652A1C"/>
    <w:rsid w:val="00652AED"/>
    <w:rsid w:val="00652B11"/>
    <w:rsid w:val="00652B6C"/>
    <w:rsid w:val="00652CFC"/>
    <w:rsid w:val="00652D83"/>
    <w:rsid w:val="00652DCE"/>
    <w:rsid w:val="00652ECE"/>
    <w:rsid w:val="00652FFD"/>
    <w:rsid w:val="00653260"/>
    <w:rsid w:val="006535B7"/>
    <w:rsid w:val="00653717"/>
    <w:rsid w:val="00653761"/>
    <w:rsid w:val="00653915"/>
    <w:rsid w:val="00653A96"/>
    <w:rsid w:val="00653C58"/>
    <w:rsid w:val="00653C72"/>
    <w:rsid w:val="00653C9F"/>
    <w:rsid w:val="00653D08"/>
    <w:rsid w:val="00653D68"/>
    <w:rsid w:val="00653DCF"/>
    <w:rsid w:val="00653E6C"/>
    <w:rsid w:val="00653EC8"/>
    <w:rsid w:val="00653F09"/>
    <w:rsid w:val="00653FEE"/>
    <w:rsid w:val="00654099"/>
    <w:rsid w:val="006541EB"/>
    <w:rsid w:val="0065428C"/>
    <w:rsid w:val="00654567"/>
    <w:rsid w:val="0065468F"/>
    <w:rsid w:val="006546E1"/>
    <w:rsid w:val="006547E2"/>
    <w:rsid w:val="0065491B"/>
    <w:rsid w:val="0065494C"/>
    <w:rsid w:val="00654BB7"/>
    <w:rsid w:val="00654D52"/>
    <w:rsid w:val="00654EC9"/>
    <w:rsid w:val="0065502D"/>
    <w:rsid w:val="0065510B"/>
    <w:rsid w:val="00655240"/>
    <w:rsid w:val="00655257"/>
    <w:rsid w:val="0065557A"/>
    <w:rsid w:val="00655601"/>
    <w:rsid w:val="00655630"/>
    <w:rsid w:val="00655745"/>
    <w:rsid w:val="00655AAA"/>
    <w:rsid w:val="00655AC2"/>
    <w:rsid w:val="00655CD9"/>
    <w:rsid w:val="00655D2A"/>
    <w:rsid w:val="00655EF0"/>
    <w:rsid w:val="0065615F"/>
    <w:rsid w:val="00656177"/>
    <w:rsid w:val="006561AC"/>
    <w:rsid w:val="00656253"/>
    <w:rsid w:val="006563DB"/>
    <w:rsid w:val="00656437"/>
    <w:rsid w:val="0065643C"/>
    <w:rsid w:val="0065652E"/>
    <w:rsid w:val="00656571"/>
    <w:rsid w:val="0065658C"/>
    <w:rsid w:val="0065660E"/>
    <w:rsid w:val="00656645"/>
    <w:rsid w:val="00656754"/>
    <w:rsid w:val="00656757"/>
    <w:rsid w:val="006569B6"/>
    <w:rsid w:val="00656BC3"/>
    <w:rsid w:val="00656BDC"/>
    <w:rsid w:val="00656D2D"/>
    <w:rsid w:val="00656E6A"/>
    <w:rsid w:val="00657093"/>
    <w:rsid w:val="00657125"/>
    <w:rsid w:val="0065726F"/>
    <w:rsid w:val="00657499"/>
    <w:rsid w:val="006574D2"/>
    <w:rsid w:val="006575DC"/>
    <w:rsid w:val="00657828"/>
    <w:rsid w:val="006578DE"/>
    <w:rsid w:val="00657975"/>
    <w:rsid w:val="00657A2F"/>
    <w:rsid w:val="00657AD2"/>
    <w:rsid w:val="00657D88"/>
    <w:rsid w:val="0066014B"/>
    <w:rsid w:val="0066025F"/>
    <w:rsid w:val="006603B3"/>
    <w:rsid w:val="0066082B"/>
    <w:rsid w:val="006608C4"/>
    <w:rsid w:val="006609E7"/>
    <w:rsid w:val="00660FCA"/>
    <w:rsid w:val="00661310"/>
    <w:rsid w:val="0066158D"/>
    <w:rsid w:val="006616EF"/>
    <w:rsid w:val="006616F0"/>
    <w:rsid w:val="00661784"/>
    <w:rsid w:val="00661A16"/>
    <w:rsid w:val="00661C44"/>
    <w:rsid w:val="00661C48"/>
    <w:rsid w:val="00661E03"/>
    <w:rsid w:val="00661EA4"/>
    <w:rsid w:val="00661EFC"/>
    <w:rsid w:val="0066243F"/>
    <w:rsid w:val="006624D5"/>
    <w:rsid w:val="006624E0"/>
    <w:rsid w:val="0066255E"/>
    <w:rsid w:val="0066265D"/>
    <w:rsid w:val="00662716"/>
    <w:rsid w:val="0066284F"/>
    <w:rsid w:val="0066294A"/>
    <w:rsid w:val="00662A6F"/>
    <w:rsid w:val="00662BFD"/>
    <w:rsid w:val="00662D1D"/>
    <w:rsid w:val="00662DEC"/>
    <w:rsid w:val="00662FA0"/>
    <w:rsid w:val="006632F3"/>
    <w:rsid w:val="006633F2"/>
    <w:rsid w:val="00663884"/>
    <w:rsid w:val="00663890"/>
    <w:rsid w:val="00663A09"/>
    <w:rsid w:val="00663B28"/>
    <w:rsid w:val="00663E91"/>
    <w:rsid w:val="00663F89"/>
    <w:rsid w:val="006641AB"/>
    <w:rsid w:val="006644CF"/>
    <w:rsid w:val="00664685"/>
    <w:rsid w:val="006647FC"/>
    <w:rsid w:val="00664D37"/>
    <w:rsid w:val="00664DBC"/>
    <w:rsid w:val="00664DD7"/>
    <w:rsid w:val="00664EDD"/>
    <w:rsid w:val="00664F7C"/>
    <w:rsid w:val="00664FAB"/>
    <w:rsid w:val="00664FCF"/>
    <w:rsid w:val="0066508E"/>
    <w:rsid w:val="006651A8"/>
    <w:rsid w:val="006655D8"/>
    <w:rsid w:val="00665611"/>
    <w:rsid w:val="0066567D"/>
    <w:rsid w:val="0066568D"/>
    <w:rsid w:val="006657BD"/>
    <w:rsid w:val="00665807"/>
    <w:rsid w:val="0066590D"/>
    <w:rsid w:val="0066592B"/>
    <w:rsid w:val="00665A14"/>
    <w:rsid w:val="00665BF2"/>
    <w:rsid w:val="00665C6D"/>
    <w:rsid w:val="00665D01"/>
    <w:rsid w:val="00665D59"/>
    <w:rsid w:val="00665F34"/>
    <w:rsid w:val="006662D8"/>
    <w:rsid w:val="006663FF"/>
    <w:rsid w:val="0066644D"/>
    <w:rsid w:val="006664A1"/>
    <w:rsid w:val="00666727"/>
    <w:rsid w:val="006667FA"/>
    <w:rsid w:val="00666A1F"/>
    <w:rsid w:val="00666B99"/>
    <w:rsid w:val="00666D0C"/>
    <w:rsid w:val="00666F3B"/>
    <w:rsid w:val="0066701F"/>
    <w:rsid w:val="00667160"/>
    <w:rsid w:val="00667453"/>
    <w:rsid w:val="00667596"/>
    <w:rsid w:val="00667622"/>
    <w:rsid w:val="00667662"/>
    <w:rsid w:val="00667793"/>
    <w:rsid w:val="006678D5"/>
    <w:rsid w:val="0066793B"/>
    <w:rsid w:val="006679C6"/>
    <w:rsid w:val="00667BD9"/>
    <w:rsid w:val="00667E89"/>
    <w:rsid w:val="006701C3"/>
    <w:rsid w:val="006703CA"/>
    <w:rsid w:val="00670744"/>
    <w:rsid w:val="00670757"/>
    <w:rsid w:val="006708D5"/>
    <w:rsid w:val="00670A50"/>
    <w:rsid w:val="00670A58"/>
    <w:rsid w:val="00670A65"/>
    <w:rsid w:val="00670AFE"/>
    <w:rsid w:val="00670B9C"/>
    <w:rsid w:val="00671112"/>
    <w:rsid w:val="0067113F"/>
    <w:rsid w:val="0067133D"/>
    <w:rsid w:val="0067163A"/>
    <w:rsid w:val="006716F0"/>
    <w:rsid w:val="006716F4"/>
    <w:rsid w:val="006718DB"/>
    <w:rsid w:val="0067194E"/>
    <w:rsid w:val="00671998"/>
    <w:rsid w:val="00671AAB"/>
    <w:rsid w:val="00671BE4"/>
    <w:rsid w:val="00671C16"/>
    <w:rsid w:val="00671CF3"/>
    <w:rsid w:val="00671DCA"/>
    <w:rsid w:val="00671E5C"/>
    <w:rsid w:val="00671F9D"/>
    <w:rsid w:val="00671FB1"/>
    <w:rsid w:val="00672097"/>
    <w:rsid w:val="006722E0"/>
    <w:rsid w:val="00672515"/>
    <w:rsid w:val="00672680"/>
    <w:rsid w:val="00672755"/>
    <w:rsid w:val="006727D7"/>
    <w:rsid w:val="00672818"/>
    <w:rsid w:val="00672BCA"/>
    <w:rsid w:val="00672D81"/>
    <w:rsid w:val="00672E00"/>
    <w:rsid w:val="006733D7"/>
    <w:rsid w:val="0067373B"/>
    <w:rsid w:val="00673780"/>
    <w:rsid w:val="00673A68"/>
    <w:rsid w:val="00673AF5"/>
    <w:rsid w:val="00673C6F"/>
    <w:rsid w:val="00673CC5"/>
    <w:rsid w:val="00673CEC"/>
    <w:rsid w:val="00673D69"/>
    <w:rsid w:val="00673D94"/>
    <w:rsid w:val="00673E2F"/>
    <w:rsid w:val="00673E6B"/>
    <w:rsid w:val="00674232"/>
    <w:rsid w:val="006746AB"/>
    <w:rsid w:val="006750FC"/>
    <w:rsid w:val="006751F2"/>
    <w:rsid w:val="00675231"/>
    <w:rsid w:val="006752BA"/>
    <w:rsid w:val="0067534B"/>
    <w:rsid w:val="006753C4"/>
    <w:rsid w:val="0067541F"/>
    <w:rsid w:val="00675420"/>
    <w:rsid w:val="006754B7"/>
    <w:rsid w:val="006754E8"/>
    <w:rsid w:val="00675BD0"/>
    <w:rsid w:val="00675BE7"/>
    <w:rsid w:val="00675C27"/>
    <w:rsid w:val="00675C34"/>
    <w:rsid w:val="00675E47"/>
    <w:rsid w:val="00675F9D"/>
    <w:rsid w:val="0067610A"/>
    <w:rsid w:val="006761AE"/>
    <w:rsid w:val="006765F6"/>
    <w:rsid w:val="00676818"/>
    <w:rsid w:val="006768EB"/>
    <w:rsid w:val="0067691A"/>
    <w:rsid w:val="0067695D"/>
    <w:rsid w:val="00676DA5"/>
    <w:rsid w:val="00676F24"/>
    <w:rsid w:val="00676FE7"/>
    <w:rsid w:val="0067726A"/>
    <w:rsid w:val="00677311"/>
    <w:rsid w:val="00677447"/>
    <w:rsid w:val="00677499"/>
    <w:rsid w:val="006774D6"/>
    <w:rsid w:val="00677507"/>
    <w:rsid w:val="00677851"/>
    <w:rsid w:val="00677908"/>
    <w:rsid w:val="0067790D"/>
    <w:rsid w:val="00677924"/>
    <w:rsid w:val="0067792A"/>
    <w:rsid w:val="00677A00"/>
    <w:rsid w:val="00677AF6"/>
    <w:rsid w:val="00677BA3"/>
    <w:rsid w:val="00677BBC"/>
    <w:rsid w:val="00677C52"/>
    <w:rsid w:val="00677DD2"/>
    <w:rsid w:val="00677DDF"/>
    <w:rsid w:val="00677E73"/>
    <w:rsid w:val="00677EB5"/>
    <w:rsid w:val="00677FF9"/>
    <w:rsid w:val="006803F9"/>
    <w:rsid w:val="00680541"/>
    <w:rsid w:val="00680730"/>
    <w:rsid w:val="00680792"/>
    <w:rsid w:val="006807E4"/>
    <w:rsid w:val="006807E8"/>
    <w:rsid w:val="006807F8"/>
    <w:rsid w:val="0068093A"/>
    <w:rsid w:val="00680A61"/>
    <w:rsid w:val="00680C78"/>
    <w:rsid w:val="00680EED"/>
    <w:rsid w:val="00681006"/>
    <w:rsid w:val="006810CF"/>
    <w:rsid w:val="00681134"/>
    <w:rsid w:val="0068115D"/>
    <w:rsid w:val="006811E9"/>
    <w:rsid w:val="00681369"/>
    <w:rsid w:val="00681375"/>
    <w:rsid w:val="006815E9"/>
    <w:rsid w:val="006817C3"/>
    <w:rsid w:val="0068183D"/>
    <w:rsid w:val="006819D2"/>
    <w:rsid w:val="00681D28"/>
    <w:rsid w:val="00681E66"/>
    <w:rsid w:val="00681F1B"/>
    <w:rsid w:val="00681F88"/>
    <w:rsid w:val="00682222"/>
    <w:rsid w:val="0068231B"/>
    <w:rsid w:val="006823E1"/>
    <w:rsid w:val="0068262F"/>
    <w:rsid w:val="006827F7"/>
    <w:rsid w:val="006829FA"/>
    <w:rsid w:val="00682CB6"/>
    <w:rsid w:val="00682D11"/>
    <w:rsid w:val="00682D33"/>
    <w:rsid w:val="00682D49"/>
    <w:rsid w:val="00682EC4"/>
    <w:rsid w:val="00682EFA"/>
    <w:rsid w:val="00682FE0"/>
    <w:rsid w:val="00683080"/>
    <w:rsid w:val="006830DE"/>
    <w:rsid w:val="0068325D"/>
    <w:rsid w:val="006832E7"/>
    <w:rsid w:val="00683AEA"/>
    <w:rsid w:val="00683BD4"/>
    <w:rsid w:val="00683C50"/>
    <w:rsid w:val="006840A8"/>
    <w:rsid w:val="00684247"/>
    <w:rsid w:val="0068446B"/>
    <w:rsid w:val="00684715"/>
    <w:rsid w:val="0068491F"/>
    <w:rsid w:val="006849E5"/>
    <w:rsid w:val="006849EA"/>
    <w:rsid w:val="00684A4F"/>
    <w:rsid w:val="00684A79"/>
    <w:rsid w:val="00684AD5"/>
    <w:rsid w:val="00684CD7"/>
    <w:rsid w:val="00684ED0"/>
    <w:rsid w:val="00684F19"/>
    <w:rsid w:val="00684F41"/>
    <w:rsid w:val="00684FD3"/>
    <w:rsid w:val="00685193"/>
    <w:rsid w:val="006852FC"/>
    <w:rsid w:val="00685334"/>
    <w:rsid w:val="00685436"/>
    <w:rsid w:val="006855CA"/>
    <w:rsid w:val="00685741"/>
    <w:rsid w:val="00685841"/>
    <w:rsid w:val="0068596E"/>
    <w:rsid w:val="0068599A"/>
    <w:rsid w:val="00685B88"/>
    <w:rsid w:val="00685D5F"/>
    <w:rsid w:val="00685DED"/>
    <w:rsid w:val="00685E3F"/>
    <w:rsid w:val="00686090"/>
    <w:rsid w:val="00686102"/>
    <w:rsid w:val="00686174"/>
    <w:rsid w:val="00686301"/>
    <w:rsid w:val="00686329"/>
    <w:rsid w:val="00686577"/>
    <w:rsid w:val="00686804"/>
    <w:rsid w:val="0068696F"/>
    <w:rsid w:val="00686A5B"/>
    <w:rsid w:val="00686C55"/>
    <w:rsid w:val="00686F29"/>
    <w:rsid w:val="006872AC"/>
    <w:rsid w:val="006873F3"/>
    <w:rsid w:val="0068744F"/>
    <w:rsid w:val="00687531"/>
    <w:rsid w:val="00687852"/>
    <w:rsid w:val="006879B5"/>
    <w:rsid w:val="006879C2"/>
    <w:rsid w:val="00687A1B"/>
    <w:rsid w:val="00687DFD"/>
    <w:rsid w:val="00687E79"/>
    <w:rsid w:val="00687FC8"/>
    <w:rsid w:val="00690218"/>
    <w:rsid w:val="0069030D"/>
    <w:rsid w:val="006904A3"/>
    <w:rsid w:val="0069061B"/>
    <w:rsid w:val="00690655"/>
    <w:rsid w:val="0069073E"/>
    <w:rsid w:val="0069088B"/>
    <w:rsid w:val="0069095F"/>
    <w:rsid w:val="00690FAA"/>
    <w:rsid w:val="00691087"/>
    <w:rsid w:val="006912DA"/>
    <w:rsid w:val="00691534"/>
    <w:rsid w:val="00691554"/>
    <w:rsid w:val="0069159E"/>
    <w:rsid w:val="0069161A"/>
    <w:rsid w:val="00691718"/>
    <w:rsid w:val="00691753"/>
    <w:rsid w:val="0069177F"/>
    <w:rsid w:val="00691947"/>
    <w:rsid w:val="00691B84"/>
    <w:rsid w:val="00691C9B"/>
    <w:rsid w:val="00691D9E"/>
    <w:rsid w:val="006920CE"/>
    <w:rsid w:val="00692112"/>
    <w:rsid w:val="006926A2"/>
    <w:rsid w:val="00692794"/>
    <w:rsid w:val="00692888"/>
    <w:rsid w:val="00692913"/>
    <w:rsid w:val="00692B16"/>
    <w:rsid w:val="00692D06"/>
    <w:rsid w:val="00692D09"/>
    <w:rsid w:val="00692E11"/>
    <w:rsid w:val="00692EFA"/>
    <w:rsid w:val="00692F1B"/>
    <w:rsid w:val="00692F88"/>
    <w:rsid w:val="00693108"/>
    <w:rsid w:val="00693215"/>
    <w:rsid w:val="00693281"/>
    <w:rsid w:val="00693290"/>
    <w:rsid w:val="00693358"/>
    <w:rsid w:val="00693418"/>
    <w:rsid w:val="006934DC"/>
    <w:rsid w:val="00693573"/>
    <w:rsid w:val="006936A9"/>
    <w:rsid w:val="006936C9"/>
    <w:rsid w:val="0069371B"/>
    <w:rsid w:val="00693758"/>
    <w:rsid w:val="00693798"/>
    <w:rsid w:val="00693B0B"/>
    <w:rsid w:val="00693DA6"/>
    <w:rsid w:val="00693E95"/>
    <w:rsid w:val="00693FAA"/>
    <w:rsid w:val="00694019"/>
    <w:rsid w:val="006940A9"/>
    <w:rsid w:val="006940D0"/>
    <w:rsid w:val="006941C7"/>
    <w:rsid w:val="006944B9"/>
    <w:rsid w:val="006948AF"/>
    <w:rsid w:val="00694979"/>
    <w:rsid w:val="00694ACF"/>
    <w:rsid w:val="00694AD4"/>
    <w:rsid w:val="00694ADC"/>
    <w:rsid w:val="00694C22"/>
    <w:rsid w:val="00694D72"/>
    <w:rsid w:val="00694EA7"/>
    <w:rsid w:val="00694FCB"/>
    <w:rsid w:val="006952D5"/>
    <w:rsid w:val="006953FB"/>
    <w:rsid w:val="00695406"/>
    <w:rsid w:val="00695523"/>
    <w:rsid w:val="006955C0"/>
    <w:rsid w:val="00695841"/>
    <w:rsid w:val="00695899"/>
    <w:rsid w:val="00695CCD"/>
    <w:rsid w:val="00695D5A"/>
    <w:rsid w:val="00695DFD"/>
    <w:rsid w:val="00696197"/>
    <w:rsid w:val="006961AF"/>
    <w:rsid w:val="006962AB"/>
    <w:rsid w:val="00696389"/>
    <w:rsid w:val="006964AA"/>
    <w:rsid w:val="006964E8"/>
    <w:rsid w:val="00696586"/>
    <w:rsid w:val="0069667A"/>
    <w:rsid w:val="006969C7"/>
    <w:rsid w:val="006969FC"/>
    <w:rsid w:val="00696AB2"/>
    <w:rsid w:val="00696B55"/>
    <w:rsid w:val="00696C2C"/>
    <w:rsid w:val="00696C51"/>
    <w:rsid w:val="00696C72"/>
    <w:rsid w:val="00696D1A"/>
    <w:rsid w:val="00696E7C"/>
    <w:rsid w:val="006970CA"/>
    <w:rsid w:val="006970CD"/>
    <w:rsid w:val="006970CE"/>
    <w:rsid w:val="006971DF"/>
    <w:rsid w:val="00697273"/>
    <w:rsid w:val="006975C6"/>
    <w:rsid w:val="0069760A"/>
    <w:rsid w:val="006979CC"/>
    <w:rsid w:val="006979E8"/>
    <w:rsid w:val="00697A48"/>
    <w:rsid w:val="00697D77"/>
    <w:rsid w:val="00697E7A"/>
    <w:rsid w:val="00697FE0"/>
    <w:rsid w:val="006A0027"/>
    <w:rsid w:val="006A0060"/>
    <w:rsid w:val="006A02BF"/>
    <w:rsid w:val="006A0424"/>
    <w:rsid w:val="006A043E"/>
    <w:rsid w:val="006A04B6"/>
    <w:rsid w:val="006A054A"/>
    <w:rsid w:val="006A05F3"/>
    <w:rsid w:val="006A0716"/>
    <w:rsid w:val="006A096B"/>
    <w:rsid w:val="006A0986"/>
    <w:rsid w:val="006A0A1C"/>
    <w:rsid w:val="006A0B83"/>
    <w:rsid w:val="006A0BA0"/>
    <w:rsid w:val="006A0BB0"/>
    <w:rsid w:val="006A0E27"/>
    <w:rsid w:val="006A106D"/>
    <w:rsid w:val="006A10D7"/>
    <w:rsid w:val="006A11E3"/>
    <w:rsid w:val="006A13E5"/>
    <w:rsid w:val="006A1A16"/>
    <w:rsid w:val="006A1A29"/>
    <w:rsid w:val="006A1D9A"/>
    <w:rsid w:val="006A201E"/>
    <w:rsid w:val="006A2736"/>
    <w:rsid w:val="006A2A2F"/>
    <w:rsid w:val="006A2B2C"/>
    <w:rsid w:val="006A2F2C"/>
    <w:rsid w:val="006A303C"/>
    <w:rsid w:val="006A3054"/>
    <w:rsid w:val="006A3091"/>
    <w:rsid w:val="006A319C"/>
    <w:rsid w:val="006A3316"/>
    <w:rsid w:val="006A359D"/>
    <w:rsid w:val="006A3654"/>
    <w:rsid w:val="006A36D8"/>
    <w:rsid w:val="006A38AA"/>
    <w:rsid w:val="006A38D6"/>
    <w:rsid w:val="006A392A"/>
    <w:rsid w:val="006A3B63"/>
    <w:rsid w:val="006A3BB7"/>
    <w:rsid w:val="006A3C22"/>
    <w:rsid w:val="006A3C5D"/>
    <w:rsid w:val="006A3FE9"/>
    <w:rsid w:val="006A4071"/>
    <w:rsid w:val="006A4091"/>
    <w:rsid w:val="006A42BF"/>
    <w:rsid w:val="006A4372"/>
    <w:rsid w:val="006A44C0"/>
    <w:rsid w:val="006A4584"/>
    <w:rsid w:val="006A462E"/>
    <w:rsid w:val="006A4824"/>
    <w:rsid w:val="006A4A09"/>
    <w:rsid w:val="006A4AB6"/>
    <w:rsid w:val="006A4E4E"/>
    <w:rsid w:val="006A4FA8"/>
    <w:rsid w:val="006A512D"/>
    <w:rsid w:val="006A51CA"/>
    <w:rsid w:val="006A5344"/>
    <w:rsid w:val="006A5564"/>
    <w:rsid w:val="006A5642"/>
    <w:rsid w:val="006A574E"/>
    <w:rsid w:val="006A57B5"/>
    <w:rsid w:val="006A580F"/>
    <w:rsid w:val="006A5890"/>
    <w:rsid w:val="006A5AD2"/>
    <w:rsid w:val="006A5AEE"/>
    <w:rsid w:val="006A5AF7"/>
    <w:rsid w:val="006A5B63"/>
    <w:rsid w:val="006A5DD0"/>
    <w:rsid w:val="006A5ECD"/>
    <w:rsid w:val="006A609F"/>
    <w:rsid w:val="006A6164"/>
    <w:rsid w:val="006A6268"/>
    <w:rsid w:val="006A679A"/>
    <w:rsid w:val="006A685C"/>
    <w:rsid w:val="006A69A5"/>
    <w:rsid w:val="006A6DFA"/>
    <w:rsid w:val="006A7113"/>
    <w:rsid w:val="006A77F1"/>
    <w:rsid w:val="006A780E"/>
    <w:rsid w:val="006A799C"/>
    <w:rsid w:val="006A79AD"/>
    <w:rsid w:val="006A7BAE"/>
    <w:rsid w:val="006A7F4C"/>
    <w:rsid w:val="006B0079"/>
    <w:rsid w:val="006B0139"/>
    <w:rsid w:val="006B04C9"/>
    <w:rsid w:val="006B0560"/>
    <w:rsid w:val="006B0598"/>
    <w:rsid w:val="006B075A"/>
    <w:rsid w:val="006B07AB"/>
    <w:rsid w:val="006B07D1"/>
    <w:rsid w:val="006B0801"/>
    <w:rsid w:val="006B0904"/>
    <w:rsid w:val="006B0ADE"/>
    <w:rsid w:val="006B0B4E"/>
    <w:rsid w:val="006B0C12"/>
    <w:rsid w:val="006B0D13"/>
    <w:rsid w:val="006B0EDF"/>
    <w:rsid w:val="006B0F95"/>
    <w:rsid w:val="006B1025"/>
    <w:rsid w:val="006B123A"/>
    <w:rsid w:val="006B1388"/>
    <w:rsid w:val="006B1557"/>
    <w:rsid w:val="006B1691"/>
    <w:rsid w:val="006B17B4"/>
    <w:rsid w:val="006B193A"/>
    <w:rsid w:val="006B19B3"/>
    <w:rsid w:val="006B1A0F"/>
    <w:rsid w:val="006B1A89"/>
    <w:rsid w:val="006B1AD7"/>
    <w:rsid w:val="006B1CF8"/>
    <w:rsid w:val="006B1DAE"/>
    <w:rsid w:val="006B1E96"/>
    <w:rsid w:val="006B2000"/>
    <w:rsid w:val="006B22AD"/>
    <w:rsid w:val="006B22C6"/>
    <w:rsid w:val="006B2320"/>
    <w:rsid w:val="006B2987"/>
    <w:rsid w:val="006B2A11"/>
    <w:rsid w:val="006B2B58"/>
    <w:rsid w:val="006B2BBD"/>
    <w:rsid w:val="006B2D13"/>
    <w:rsid w:val="006B2D9A"/>
    <w:rsid w:val="006B301C"/>
    <w:rsid w:val="006B3234"/>
    <w:rsid w:val="006B3316"/>
    <w:rsid w:val="006B3336"/>
    <w:rsid w:val="006B359B"/>
    <w:rsid w:val="006B37F5"/>
    <w:rsid w:val="006B3842"/>
    <w:rsid w:val="006B3858"/>
    <w:rsid w:val="006B3984"/>
    <w:rsid w:val="006B3A1D"/>
    <w:rsid w:val="006B3A39"/>
    <w:rsid w:val="006B3E07"/>
    <w:rsid w:val="006B3E23"/>
    <w:rsid w:val="006B3E99"/>
    <w:rsid w:val="006B4012"/>
    <w:rsid w:val="006B415C"/>
    <w:rsid w:val="006B4279"/>
    <w:rsid w:val="006B4595"/>
    <w:rsid w:val="006B45E7"/>
    <w:rsid w:val="006B47C5"/>
    <w:rsid w:val="006B4AC6"/>
    <w:rsid w:val="006B4C52"/>
    <w:rsid w:val="006B4D33"/>
    <w:rsid w:val="006B4E00"/>
    <w:rsid w:val="006B4F58"/>
    <w:rsid w:val="006B50BF"/>
    <w:rsid w:val="006B516E"/>
    <w:rsid w:val="006B5201"/>
    <w:rsid w:val="006B5241"/>
    <w:rsid w:val="006B539E"/>
    <w:rsid w:val="006B5470"/>
    <w:rsid w:val="006B556F"/>
    <w:rsid w:val="006B563A"/>
    <w:rsid w:val="006B5866"/>
    <w:rsid w:val="006B5AA5"/>
    <w:rsid w:val="006B5EF1"/>
    <w:rsid w:val="006B5F38"/>
    <w:rsid w:val="006B5FC0"/>
    <w:rsid w:val="006B60EB"/>
    <w:rsid w:val="006B6237"/>
    <w:rsid w:val="006B6287"/>
    <w:rsid w:val="006B6331"/>
    <w:rsid w:val="006B6675"/>
    <w:rsid w:val="006B6864"/>
    <w:rsid w:val="006B6940"/>
    <w:rsid w:val="006B69C3"/>
    <w:rsid w:val="006B6A48"/>
    <w:rsid w:val="006B6A6A"/>
    <w:rsid w:val="006B6B27"/>
    <w:rsid w:val="006B6FFA"/>
    <w:rsid w:val="006B70AA"/>
    <w:rsid w:val="006B773C"/>
    <w:rsid w:val="006B77B4"/>
    <w:rsid w:val="006B77D5"/>
    <w:rsid w:val="006B781D"/>
    <w:rsid w:val="006B784D"/>
    <w:rsid w:val="006B7D97"/>
    <w:rsid w:val="006B7F37"/>
    <w:rsid w:val="006B7F44"/>
    <w:rsid w:val="006B7FCD"/>
    <w:rsid w:val="006C01BF"/>
    <w:rsid w:val="006C04B3"/>
    <w:rsid w:val="006C069E"/>
    <w:rsid w:val="006C06A0"/>
    <w:rsid w:val="006C0783"/>
    <w:rsid w:val="006C094C"/>
    <w:rsid w:val="006C0F04"/>
    <w:rsid w:val="006C100E"/>
    <w:rsid w:val="006C10AB"/>
    <w:rsid w:val="006C1279"/>
    <w:rsid w:val="006C1351"/>
    <w:rsid w:val="006C143D"/>
    <w:rsid w:val="006C1490"/>
    <w:rsid w:val="006C153D"/>
    <w:rsid w:val="006C1545"/>
    <w:rsid w:val="006C159B"/>
    <w:rsid w:val="006C15B8"/>
    <w:rsid w:val="006C1972"/>
    <w:rsid w:val="006C1B3B"/>
    <w:rsid w:val="006C1B89"/>
    <w:rsid w:val="006C1B8B"/>
    <w:rsid w:val="006C1B95"/>
    <w:rsid w:val="006C1C98"/>
    <w:rsid w:val="006C1D03"/>
    <w:rsid w:val="006C1F9C"/>
    <w:rsid w:val="006C1FC5"/>
    <w:rsid w:val="006C221B"/>
    <w:rsid w:val="006C2383"/>
    <w:rsid w:val="006C24F1"/>
    <w:rsid w:val="006C25B9"/>
    <w:rsid w:val="006C25C5"/>
    <w:rsid w:val="006C25D3"/>
    <w:rsid w:val="006C2601"/>
    <w:rsid w:val="006C2614"/>
    <w:rsid w:val="006C2836"/>
    <w:rsid w:val="006C2874"/>
    <w:rsid w:val="006C288A"/>
    <w:rsid w:val="006C298E"/>
    <w:rsid w:val="006C2AA8"/>
    <w:rsid w:val="006C2E6C"/>
    <w:rsid w:val="006C3014"/>
    <w:rsid w:val="006C30F9"/>
    <w:rsid w:val="006C3213"/>
    <w:rsid w:val="006C322F"/>
    <w:rsid w:val="006C34C5"/>
    <w:rsid w:val="006C35D9"/>
    <w:rsid w:val="006C3787"/>
    <w:rsid w:val="006C379E"/>
    <w:rsid w:val="006C37F3"/>
    <w:rsid w:val="006C3ADB"/>
    <w:rsid w:val="006C3EF8"/>
    <w:rsid w:val="006C3FD1"/>
    <w:rsid w:val="006C42F8"/>
    <w:rsid w:val="006C4344"/>
    <w:rsid w:val="006C4414"/>
    <w:rsid w:val="006C4537"/>
    <w:rsid w:val="006C45EF"/>
    <w:rsid w:val="006C461D"/>
    <w:rsid w:val="006C4670"/>
    <w:rsid w:val="006C4740"/>
    <w:rsid w:val="006C47CB"/>
    <w:rsid w:val="006C496C"/>
    <w:rsid w:val="006C499E"/>
    <w:rsid w:val="006C4BA5"/>
    <w:rsid w:val="006C4BC1"/>
    <w:rsid w:val="006C4D6A"/>
    <w:rsid w:val="006C4E04"/>
    <w:rsid w:val="006C5140"/>
    <w:rsid w:val="006C51C2"/>
    <w:rsid w:val="006C54CC"/>
    <w:rsid w:val="006C5651"/>
    <w:rsid w:val="006C5727"/>
    <w:rsid w:val="006C5773"/>
    <w:rsid w:val="006C58A1"/>
    <w:rsid w:val="006C5A55"/>
    <w:rsid w:val="006C5A9E"/>
    <w:rsid w:val="006C5C9B"/>
    <w:rsid w:val="006C5D5D"/>
    <w:rsid w:val="006C5E40"/>
    <w:rsid w:val="006C5EAA"/>
    <w:rsid w:val="006C61D7"/>
    <w:rsid w:val="006C61F4"/>
    <w:rsid w:val="006C625C"/>
    <w:rsid w:val="006C6426"/>
    <w:rsid w:val="006C64E1"/>
    <w:rsid w:val="006C678B"/>
    <w:rsid w:val="006C6868"/>
    <w:rsid w:val="006C687B"/>
    <w:rsid w:val="006C6A4C"/>
    <w:rsid w:val="006C6ABA"/>
    <w:rsid w:val="006C6B92"/>
    <w:rsid w:val="006C6D1D"/>
    <w:rsid w:val="006C6D40"/>
    <w:rsid w:val="006C6D62"/>
    <w:rsid w:val="006C6F5C"/>
    <w:rsid w:val="006C7172"/>
    <w:rsid w:val="006C733F"/>
    <w:rsid w:val="006C7391"/>
    <w:rsid w:val="006C75CE"/>
    <w:rsid w:val="006C76A9"/>
    <w:rsid w:val="006C77C2"/>
    <w:rsid w:val="006C791D"/>
    <w:rsid w:val="006C7AA9"/>
    <w:rsid w:val="006C7B2C"/>
    <w:rsid w:val="006C7D90"/>
    <w:rsid w:val="006C7EC6"/>
    <w:rsid w:val="006D03C3"/>
    <w:rsid w:val="006D049C"/>
    <w:rsid w:val="006D056B"/>
    <w:rsid w:val="006D0735"/>
    <w:rsid w:val="006D08D2"/>
    <w:rsid w:val="006D0AF3"/>
    <w:rsid w:val="006D0D54"/>
    <w:rsid w:val="006D0FAE"/>
    <w:rsid w:val="006D12FF"/>
    <w:rsid w:val="006D131B"/>
    <w:rsid w:val="006D1341"/>
    <w:rsid w:val="006D1360"/>
    <w:rsid w:val="006D144F"/>
    <w:rsid w:val="006D1643"/>
    <w:rsid w:val="006D1646"/>
    <w:rsid w:val="006D1871"/>
    <w:rsid w:val="006D18D9"/>
    <w:rsid w:val="006D19F3"/>
    <w:rsid w:val="006D1A7B"/>
    <w:rsid w:val="006D1A92"/>
    <w:rsid w:val="006D1AB5"/>
    <w:rsid w:val="006D1C1F"/>
    <w:rsid w:val="006D1E30"/>
    <w:rsid w:val="006D1EDE"/>
    <w:rsid w:val="006D204C"/>
    <w:rsid w:val="006D20C8"/>
    <w:rsid w:val="006D20D6"/>
    <w:rsid w:val="006D20DA"/>
    <w:rsid w:val="006D2334"/>
    <w:rsid w:val="006D24CB"/>
    <w:rsid w:val="006D26BB"/>
    <w:rsid w:val="006D282F"/>
    <w:rsid w:val="006D29CA"/>
    <w:rsid w:val="006D2C02"/>
    <w:rsid w:val="006D2C8E"/>
    <w:rsid w:val="006D2C96"/>
    <w:rsid w:val="006D2CEB"/>
    <w:rsid w:val="006D2CFC"/>
    <w:rsid w:val="006D2DE8"/>
    <w:rsid w:val="006D2EB3"/>
    <w:rsid w:val="006D2F2E"/>
    <w:rsid w:val="006D33D5"/>
    <w:rsid w:val="006D33F2"/>
    <w:rsid w:val="006D343B"/>
    <w:rsid w:val="006D34DB"/>
    <w:rsid w:val="006D354E"/>
    <w:rsid w:val="006D35B6"/>
    <w:rsid w:val="006D37EC"/>
    <w:rsid w:val="006D387C"/>
    <w:rsid w:val="006D3C5B"/>
    <w:rsid w:val="006D3C8F"/>
    <w:rsid w:val="006D3DED"/>
    <w:rsid w:val="006D3FC9"/>
    <w:rsid w:val="006D40F4"/>
    <w:rsid w:val="006D43F1"/>
    <w:rsid w:val="006D4472"/>
    <w:rsid w:val="006D453F"/>
    <w:rsid w:val="006D45EE"/>
    <w:rsid w:val="006D4761"/>
    <w:rsid w:val="006D486A"/>
    <w:rsid w:val="006D4930"/>
    <w:rsid w:val="006D4A10"/>
    <w:rsid w:val="006D4AFB"/>
    <w:rsid w:val="006D4D3A"/>
    <w:rsid w:val="006D4E9C"/>
    <w:rsid w:val="006D4EC3"/>
    <w:rsid w:val="006D5038"/>
    <w:rsid w:val="006D50C7"/>
    <w:rsid w:val="006D521D"/>
    <w:rsid w:val="006D525A"/>
    <w:rsid w:val="006D52BB"/>
    <w:rsid w:val="006D52C7"/>
    <w:rsid w:val="006D5393"/>
    <w:rsid w:val="006D5551"/>
    <w:rsid w:val="006D5C55"/>
    <w:rsid w:val="006D5C62"/>
    <w:rsid w:val="006D5D13"/>
    <w:rsid w:val="006D5E38"/>
    <w:rsid w:val="006D5E9F"/>
    <w:rsid w:val="006D5EDE"/>
    <w:rsid w:val="006D5FD8"/>
    <w:rsid w:val="006D6236"/>
    <w:rsid w:val="006D693D"/>
    <w:rsid w:val="006D6C64"/>
    <w:rsid w:val="006D6D56"/>
    <w:rsid w:val="006D6E1A"/>
    <w:rsid w:val="006D6E81"/>
    <w:rsid w:val="006D6F78"/>
    <w:rsid w:val="006D6F86"/>
    <w:rsid w:val="006D6FD4"/>
    <w:rsid w:val="006D705D"/>
    <w:rsid w:val="006D744F"/>
    <w:rsid w:val="006D7482"/>
    <w:rsid w:val="006D74D2"/>
    <w:rsid w:val="006D7602"/>
    <w:rsid w:val="006D7662"/>
    <w:rsid w:val="006D767E"/>
    <w:rsid w:val="006D76C2"/>
    <w:rsid w:val="006D77AF"/>
    <w:rsid w:val="006D784D"/>
    <w:rsid w:val="006D78D3"/>
    <w:rsid w:val="006D798E"/>
    <w:rsid w:val="006D7BAC"/>
    <w:rsid w:val="006D7BE6"/>
    <w:rsid w:val="006D7D70"/>
    <w:rsid w:val="006D7EE4"/>
    <w:rsid w:val="006D7F5D"/>
    <w:rsid w:val="006E0045"/>
    <w:rsid w:val="006E012C"/>
    <w:rsid w:val="006E02CF"/>
    <w:rsid w:val="006E0350"/>
    <w:rsid w:val="006E0371"/>
    <w:rsid w:val="006E041D"/>
    <w:rsid w:val="006E08A0"/>
    <w:rsid w:val="006E0BFE"/>
    <w:rsid w:val="006E0C4E"/>
    <w:rsid w:val="006E0CE2"/>
    <w:rsid w:val="006E0D5A"/>
    <w:rsid w:val="006E10FC"/>
    <w:rsid w:val="006E1269"/>
    <w:rsid w:val="006E1356"/>
    <w:rsid w:val="006E1368"/>
    <w:rsid w:val="006E13E7"/>
    <w:rsid w:val="006E1481"/>
    <w:rsid w:val="006E1716"/>
    <w:rsid w:val="006E174E"/>
    <w:rsid w:val="006E1A74"/>
    <w:rsid w:val="006E1D24"/>
    <w:rsid w:val="006E1E29"/>
    <w:rsid w:val="006E20A5"/>
    <w:rsid w:val="006E21AD"/>
    <w:rsid w:val="006E21DD"/>
    <w:rsid w:val="006E21DE"/>
    <w:rsid w:val="006E2455"/>
    <w:rsid w:val="006E24E2"/>
    <w:rsid w:val="006E260F"/>
    <w:rsid w:val="006E2702"/>
    <w:rsid w:val="006E274A"/>
    <w:rsid w:val="006E29EE"/>
    <w:rsid w:val="006E2B2D"/>
    <w:rsid w:val="006E2B5B"/>
    <w:rsid w:val="006E2BBE"/>
    <w:rsid w:val="006E2CBD"/>
    <w:rsid w:val="006E2D33"/>
    <w:rsid w:val="006E2DE4"/>
    <w:rsid w:val="006E2E9A"/>
    <w:rsid w:val="006E3028"/>
    <w:rsid w:val="006E3307"/>
    <w:rsid w:val="006E331A"/>
    <w:rsid w:val="006E35B1"/>
    <w:rsid w:val="006E35D2"/>
    <w:rsid w:val="006E375A"/>
    <w:rsid w:val="006E3B76"/>
    <w:rsid w:val="006E3C81"/>
    <w:rsid w:val="006E3E02"/>
    <w:rsid w:val="006E4155"/>
    <w:rsid w:val="006E41AC"/>
    <w:rsid w:val="006E4227"/>
    <w:rsid w:val="006E42AD"/>
    <w:rsid w:val="006E4321"/>
    <w:rsid w:val="006E4326"/>
    <w:rsid w:val="006E4392"/>
    <w:rsid w:val="006E43D8"/>
    <w:rsid w:val="006E44D4"/>
    <w:rsid w:val="006E468F"/>
    <w:rsid w:val="006E47AC"/>
    <w:rsid w:val="006E484B"/>
    <w:rsid w:val="006E4A9D"/>
    <w:rsid w:val="006E4CDC"/>
    <w:rsid w:val="006E4E08"/>
    <w:rsid w:val="006E4F78"/>
    <w:rsid w:val="006E5259"/>
    <w:rsid w:val="006E5751"/>
    <w:rsid w:val="006E58D3"/>
    <w:rsid w:val="006E5BC4"/>
    <w:rsid w:val="006E5E2D"/>
    <w:rsid w:val="006E61C8"/>
    <w:rsid w:val="006E63DC"/>
    <w:rsid w:val="006E641C"/>
    <w:rsid w:val="006E6465"/>
    <w:rsid w:val="006E6642"/>
    <w:rsid w:val="006E685D"/>
    <w:rsid w:val="006E689C"/>
    <w:rsid w:val="006E68F5"/>
    <w:rsid w:val="006E6969"/>
    <w:rsid w:val="006E69BD"/>
    <w:rsid w:val="006E6CCD"/>
    <w:rsid w:val="006E6D33"/>
    <w:rsid w:val="006E6E07"/>
    <w:rsid w:val="006E6E3D"/>
    <w:rsid w:val="006E6EAE"/>
    <w:rsid w:val="006E6EBB"/>
    <w:rsid w:val="006E6F6C"/>
    <w:rsid w:val="006E6FA1"/>
    <w:rsid w:val="006E6FC6"/>
    <w:rsid w:val="006E6FF7"/>
    <w:rsid w:val="006E7291"/>
    <w:rsid w:val="006E7404"/>
    <w:rsid w:val="006E745C"/>
    <w:rsid w:val="006E75EF"/>
    <w:rsid w:val="006E7791"/>
    <w:rsid w:val="006E795B"/>
    <w:rsid w:val="006E7AAD"/>
    <w:rsid w:val="006E7B41"/>
    <w:rsid w:val="006E7C92"/>
    <w:rsid w:val="006E7CE6"/>
    <w:rsid w:val="006E7D94"/>
    <w:rsid w:val="006E7DB6"/>
    <w:rsid w:val="006E7E69"/>
    <w:rsid w:val="006F0083"/>
    <w:rsid w:val="006F031C"/>
    <w:rsid w:val="006F037E"/>
    <w:rsid w:val="006F0417"/>
    <w:rsid w:val="006F0432"/>
    <w:rsid w:val="006F0434"/>
    <w:rsid w:val="006F087B"/>
    <w:rsid w:val="006F09AA"/>
    <w:rsid w:val="006F09CE"/>
    <w:rsid w:val="006F1294"/>
    <w:rsid w:val="006F143E"/>
    <w:rsid w:val="006F153E"/>
    <w:rsid w:val="006F1729"/>
    <w:rsid w:val="006F1830"/>
    <w:rsid w:val="006F18FC"/>
    <w:rsid w:val="006F198E"/>
    <w:rsid w:val="006F1BDC"/>
    <w:rsid w:val="006F1D3A"/>
    <w:rsid w:val="006F1EBF"/>
    <w:rsid w:val="006F1F1B"/>
    <w:rsid w:val="006F1F89"/>
    <w:rsid w:val="006F23FC"/>
    <w:rsid w:val="006F253B"/>
    <w:rsid w:val="006F256D"/>
    <w:rsid w:val="006F2771"/>
    <w:rsid w:val="006F27B0"/>
    <w:rsid w:val="006F28C0"/>
    <w:rsid w:val="006F29C9"/>
    <w:rsid w:val="006F2B74"/>
    <w:rsid w:val="006F2C9A"/>
    <w:rsid w:val="006F2CEB"/>
    <w:rsid w:val="006F2DC1"/>
    <w:rsid w:val="006F2F92"/>
    <w:rsid w:val="006F2F96"/>
    <w:rsid w:val="006F3021"/>
    <w:rsid w:val="006F365E"/>
    <w:rsid w:val="006F3929"/>
    <w:rsid w:val="006F3943"/>
    <w:rsid w:val="006F39D0"/>
    <w:rsid w:val="006F3A06"/>
    <w:rsid w:val="006F3A65"/>
    <w:rsid w:val="006F3B50"/>
    <w:rsid w:val="006F3D3B"/>
    <w:rsid w:val="006F3D6F"/>
    <w:rsid w:val="006F3FFC"/>
    <w:rsid w:val="006F4102"/>
    <w:rsid w:val="006F41F5"/>
    <w:rsid w:val="006F4223"/>
    <w:rsid w:val="006F43C6"/>
    <w:rsid w:val="006F445F"/>
    <w:rsid w:val="006F44C1"/>
    <w:rsid w:val="006F44C8"/>
    <w:rsid w:val="006F44D3"/>
    <w:rsid w:val="006F461B"/>
    <w:rsid w:val="006F4715"/>
    <w:rsid w:val="006F47BD"/>
    <w:rsid w:val="006F47E9"/>
    <w:rsid w:val="006F47EA"/>
    <w:rsid w:val="006F495F"/>
    <w:rsid w:val="006F498E"/>
    <w:rsid w:val="006F49B7"/>
    <w:rsid w:val="006F49DF"/>
    <w:rsid w:val="006F4AD0"/>
    <w:rsid w:val="006F4C21"/>
    <w:rsid w:val="006F4C45"/>
    <w:rsid w:val="006F4C4E"/>
    <w:rsid w:val="006F4D98"/>
    <w:rsid w:val="006F4ED4"/>
    <w:rsid w:val="006F4F3F"/>
    <w:rsid w:val="006F523F"/>
    <w:rsid w:val="006F5472"/>
    <w:rsid w:val="006F54B5"/>
    <w:rsid w:val="006F5531"/>
    <w:rsid w:val="006F5850"/>
    <w:rsid w:val="006F58F4"/>
    <w:rsid w:val="006F5946"/>
    <w:rsid w:val="006F599F"/>
    <w:rsid w:val="006F59B0"/>
    <w:rsid w:val="006F5AA5"/>
    <w:rsid w:val="006F5FEB"/>
    <w:rsid w:val="006F6087"/>
    <w:rsid w:val="006F611E"/>
    <w:rsid w:val="006F612A"/>
    <w:rsid w:val="006F63E3"/>
    <w:rsid w:val="006F64CB"/>
    <w:rsid w:val="006F6508"/>
    <w:rsid w:val="006F6588"/>
    <w:rsid w:val="006F65B5"/>
    <w:rsid w:val="006F6756"/>
    <w:rsid w:val="006F6798"/>
    <w:rsid w:val="006F6A53"/>
    <w:rsid w:val="006F700A"/>
    <w:rsid w:val="006F71F8"/>
    <w:rsid w:val="006F739F"/>
    <w:rsid w:val="006F73EB"/>
    <w:rsid w:val="006F7497"/>
    <w:rsid w:val="006F76C4"/>
    <w:rsid w:val="006F778B"/>
    <w:rsid w:val="006F79BE"/>
    <w:rsid w:val="006F7C12"/>
    <w:rsid w:val="006F7D34"/>
    <w:rsid w:val="006F7EEE"/>
    <w:rsid w:val="006F7F34"/>
    <w:rsid w:val="006F7F61"/>
    <w:rsid w:val="0070003D"/>
    <w:rsid w:val="007001DA"/>
    <w:rsid w:val="00700458"/>
    <w:rsid w:val="007005F6"/>
    <w:rsid w:val="0070092E"/>
    <w:rsid w:val="007009C8"/>
    <w:rsid w:val="00700D22"/>
    <w:rsid w:val="00700D24"/>
    <w:rsid w:val="00700D90"/>
    <w:rsid w:val="00700DE0"/>
    <w:rsid w:val="00700E48"/>
    <w:rsid w:val="007013BB"/>
    <w:rsid w:val="007013EA"/>
    <w:rsid w:val="00701455"/>
    <w:rsid w:val="0070162B"/>
    <w:rsid w:val="007017FA"/>
    <w:rsid w:val="00701A06"/>
    <w:rsid w:val="00701CC6"/>
    <w:rsid w:val="00701D27"/>
    <w:rsid w:val="007020DB"/>
    <w:rsid w:val="007021D8"/>
    <w:rsid w:val="0070224C"/>
    <w:rsid w:val="00702385"/>
    <w:rsid w:val="00702479"/>
    <w:rsid w:val="007024A5"/>
    <w:rsid w:val="00702AAD"/>
    <w:rsid w:val="00702DF4"/>
    <w:rsid w:val="00702FDA"/>
    <w:rsid w:val="00702FDC"/>
    <w:rsid w:val="007031D4"/>
    <w:rsid w:val="007032DF"/>
    <w:rsid w:val="00703389"/>
    <w:rsid w:val="0070347B"/>
    <w:rsid w:val="00703576"/>
    <w:rsid w:val="0070359F"/>
    <w:rsid w:val="007036FA"/>
    <w:rsid w:val="00703761"/>
    <w:rsid w:val="0070377A"/>
    <w:rsid w:val="007039D7"/>
    <w:rsid w:val="00703C4D"/>
    <w:rsid w:val="00703D5A"/>
    <w:rsid w:val="00703E88"/>
    <w:rsid w:val="00703EC3"/>
    <w:rsid w:val="00703F67"/>
    <w:rsid w:val="00704179"/>
    <w:rsid w:val="0070449D"/>
    <w:rsid w:val="007044C0"/>
    <w:rsid w:val="0070450C"/>
    <w:rsid w:val="007045AE"/>
    <w:rsid w:val="007045DE"/>
    <w:rsid w:val="00704769"/>
    <w:rsid w:val="0070477E"/>
    <w:rsid w:val="0070482A"/>
    <w:rsid w:val="0070487E"/>
    <w:rsid w:val="0070496C"/>
    <w:rsid w:val="00704975"/>
    <w:rsid w:val="00704984"/>
    <w:rsid w:val="00704CB9"/>
    <w:rsid w:val="00705050"/>
    <w:rsid w:val="00705192"/>
    <w:rsid w:val="00705260"/>
    <w:rsid w:val="00705359"/>
    <w:rsid w:val="00705570"/>
    <w:rsid w:val="00705582"/>
    <w:rsid w:val="007055DE"/>
    <w:rsid w:val="00705723"/>
    <w:rsid w:val="00705761"/>
    <w:rsid w:val="00705906"/>
    <w:rsid w:val="00705A36"/>
    <w:rsid w:val="00705CB8"/>
    <w:rsid w:val="00705DAF"/>
    <w:rsid w:val="00705DC9"/>
    <w:rsid w:val="00705DF8"/>
    <w:rsid w:val="00705E38"/>
    <w:rsid w:val="00705F94"/>
    <w:rsid w:val="007060F0"/>
    <w:rsid w:val="00706228"/>
    <w:rsid w:val="007062A5"/>
    <w:rsid w:val="00706318"/>
    <w:rsid w:val="0070643D"/>
    <w:rsid w:val="007064CE"/>
    <w:rsid w:val="00706782"/>
    <w:rsid w:val="00706974"/>
    <w:rsid w:val="00706C5A"/>
    <w:rsid w:val="00706CD4"/>
    <w:rsid w:val="00706FC7"/>
    <w:rsid w:val="00706FF9"/>
    <w:rsid w:val="0070701E"/>
    <w:rsid w:val="0070708F"/>
    <w:rsid w:val="007072A1"/>
    <w:rsid w:val="007075FD"/>
    <w:rsid w:val="00707858"/>
    <w:rsid w:val="007079A5"/>
    <w:rsid w:val="00707C8B"/>
    <w:rsid w:val="00707CF3"/>
    <w:rsid w:val="00707DAE"/>
    <w:rsid w:val="00707F5D"/>
    <w:rsid w:val="007100ED"/>
    <w:rsid w:val="0071010A"/>
    <w:rsid w:val="0071014F"/>
    <w:rsid w:val="00710211"/>
    <w:rsid w:val="00710314"/>
    <w:rsid w:val="007108F3"/>
    <w:rsid w:val="00710AD0"/>
    <w:rsid w:val="00710C63"/>
    <w:rsid w:val="00710E22"/>
    <w:rsid w:val="00710E83"/>
    <w:rsid w:val="0071104C"/>
    <w:rsid w:val="00711231"/>
    <w:rsid w:val="007116C4"/>
    <w:rsid w:val="007117BB"/>
    <w:rsid w:val="00711837"/>
    <w:rsid w:val="00711B74"/>
    <w:rsid w:val="00711BF2"/>
    <w:rsid w:val="00711CF8"/>
    <w:rsid w:val="00711D66"/>
    <w:rsid w:val="00711DE7"/>
    <w:rsid w:val="00712266"/>
    <w:rsid w:val="00712398"/>
    <w:rsid w:val="00712494"/>
    <w:rsid w:val="007124EE"/>
    <w:rsid w:val="00712573"/>
    <w:rsid w:val="007126D0"/>
    <w:rsid w:val="007127E5"/>
    <w:rsid w:val="007128C5"/>
    <w:rsid w:val="00712900"/>
    <w:rsid w:val="00712B26"/>
    <w:rsid w:val="00712BE1"/>
    <w:rsid w:val="00712C89"/>
    <w:rsid w:val="00712CA7"/>
    <w:rsid w:val="00712CD0"/>
    <w:rsid w:val="00712CE4"/>
    <w:rsid w:val="007130A5"/>
    <w:rsid w:val="00713115"/>
    <w:rsid w:val="00713153"/>
    <w:rsid w:val="00713270"/>
    <w:rsid w:val="007133AE"/>
    <w:rsid w:val="0071341B"/>
    <w:rsid w:val="007134B1"/>
    <w:rsid w:val="007134CE"/>
    <w:rsid w:val="0071352F"/>
    <w:rsid w:val="00713597"/>
    <w:rsid w:val="00713F89"/>
    <w:rsid w:val="00714137"/>
    <w:rsid w:val="00714169"/>
    <w:rsid w:val="00714198"/>
    <w:rsid w:val="00714429"/>
    <w:rsid w:val="00714450"/>
    <w:rsid w:val="0071468F"/>
    <w:rsid w:val="0071484E"/>
    <w:rsid w:val="00714892"/>
    <w:rsid w:val="007148CB"/>
    <w:rsid w:val="00714998"/>
    <w:rsid w:val="00714999"/>
    <w:rsid w:val="00714B13"/>
    <w:rsid w:val="00714C3F"/>
    <w:rsid w:val="00714E33"/>
    <w:rsid w:val="00714F3F"/>
    <w:rsid w:val="00715003"/>
    <w:rsid w:val="0071517A"/>
    <w:rsid w:val="0071535C"/>
    <w:rsid w:val="0071548A"/>
    <w:rsid w:val="007157B1"/>
    <w:rsid w:val="007157BE"/>
    <w:rsid w:val="00715811"/>
    <w:rsid w:val="0071587B"/>
    <w:rsid w:val="007158B9"/>
    <w:rsid w:val="007159A4"/>
    <w:rsid w:val="007159F5"/>
    <w:rsid w:val="00715A13"/>
    <w:rsid w:val="00715A2C"/>
    <w:rsid w:val="00715A39"/>
    <w:rsid w:val="00715CFA"/>
    <w:rsid w:val="0071616B"/>
    <w:rsid w:val="0071639C"/>
    <w:rsid w:val="00716514"/>
    <w:rsid w:val="0071684F"/>
    <w:rsid w:val="0071688F"/>
    <w:rsid w:val="007168A7"/>
    <w:rsid w:val="00716B31"/>
    <w:rsid w:val="00716BD9"/>
    <w:rsid w:val="00716DAE"/>
    <w:rsid w:val="00716DF5"/>
    <w:rsid w:val="00717002"/>
    <w:rsid w:val="00717064"/>
    <w:rsid w:val="007175F0"/>
    <w:rsid w:val="007178AC"/>
    <w:rsid w:val="00717A90"/>
    <w:rsid w:val="00717C6C"/>
    <w:rsid w:val="00717FD2"/>
    <w:rsid w:val="007202D3"/>
    <w:rsid w:val="007203A6"/>
    <w:rsid w:val="0072042A"/>
    <w:rsid w:val="007205A9"/>
    <w:rsid w:val="007205AE"/>
    <w:rsid w:val="0072083E"/>
    <w:rsid w:val="00720AE8"/>
    <w:rsid w:val="00720B4C"/>
    <w:rsid w:val="00720C77"/>
    <w:rsid w:val="00720E42"/>
    <w:rsid w:val="00720EE6"/>
    <w:rsid w:val="00720FA8"/>
    <w:rsid w:val="00720FB1"/>
    <w:rsid w:val="0072103A"/>
    <w:rsid w:val="007210C5"/>
    <w:rsid w:val="007211D2"/>
    <w:rsid w:val="00721587"/>
    <w:rsid w:val="007217C9"/>
    <w:rsid w:val="007218AC"/>
    <w:rsid w:val="00721CCF"/>
    <w:rsid w:val="00721FA0"/>
    <w:rsid w:val="00722103"/>
    <w:rsid w:val="00722163"/>
    <w:rsid w:val="007221DC"/>
    <w:rsid w:val="007222A0"/>
    <w:rsid w:val="00722539"/>
    <w:rsid w:val="00722725"/>
    <w:rsid w:val="007227AC"/>
    <w:rsid w:val="00722823"/>
    <w:rsid w:val="007228AD"/>
    <w:rsid w:val="00722B3C"/>
    <w:rsid w:val="00722BED"/>
    <w:rsid w:val="00722D18"/>
    <w:rsid w:val="00722FAA"/>
    <w:rsid w:val="007231EA"/>
    <w:rsid w:val="00723566"/>
    <w:rsid w:val="007236D9"/>
    <w:rsid w:val="007236DB"/>
    <w:rsid w:val="00723728"/>
    <w:rsid w:val="0072382E"/>
    <w:rsid w:val="00723879"/>
    <w:rsid w:val="00723AC0"/>
    <w:rsid w:val="00723AED"/>
    <w:rsid w:val="00723AF2"/>
    <w:rsid w:val="00723CE6"/>
    <w:rsid w:val="00723FF2"/>
    <w:rsid w:val="0072411E"/>
    <w:rsid w:val="00724183"/>
    <w:rsid w:val="007244B9"/>
    <w:rsid w:val="00724731"/>
    <w:rsid w:val="007247C9"/>
    <w:rsid w:val="007247F0"/>
    <w:rsid w:val="00724810"/>
    <w:rsid w:val="007248A2"/>
    <w:rsid w:val="00724C24"/>
    <w:rsid w:val="00724D37"/>
    <w:rsid w:val="00724DA0"/>
    <w:rsid w:val="00724EFB"/>
    <w:rsid w:val="00724F0A"/>
    <w:rsid w:val="00724F70"/>
    <w:rsid w:val="007251BB"/>
    <w:rsid w:val="0072527A"/>
    <w:rsid w:val="00725368"/>
    <w:rsid w:val="007254A5"/>
    <w:rsid w:val="0072574D"/>
    <w:rsid w:val="007257A1"/>
    <w:rsid w:val="00725AC0"/>
    <w:rsid w:val="00725CAC"/>
    <w:rsid w:val="00725D1F"/>
    <w:rsid w:val="00726053"/>
    <w:rsid w:val="0072605F"/>
    <w:rsid w:val="007260B8"/>
    <w:rsid w:val="007260BE"/>
    <w:rsid w:val="00726752"/>
    <w:rsid w:val="00726A92"/>
    <w:rsid w:val="00726AC0"/>
    <w:rsid w:val="00726D6B"/>
    <w:rsid w:val="00726FB1"/>
    <w:rsid w:val="007270F5"/>
    <w:rsid w:val="00727112"/>
    <w:rsid w:val="0072718A"/>
    <w:rsid w:val="0072725A"/>
    <w:rsid w:val="007272DE"/>
    <w:rsid w:val="007273CF"/>
    <w:rsid w:val="007273F9"/>
    <w:rsid w:val="00727614"/>
    <w:rsid w:val="007277EA"/>
    <w:rsid w:val="0072782F"/>
    <w:rsid w:val="00727A69"/>
    <w:rsid w:val="00727FCD"/>
    <w:rsid w:val="00730070"/>
    <w:rsid w:val="00730072"/>
    <w:rsid w:val="00730095"/>
    <w:rsid w:val="0073056D"/>
    <w:rsid w:val="007309FB"/>
    <w:rsid w:val="00730D52"/>
    <w:rsid w:val="00730DA0"/>
    <w:rsid w:val="00730F2E"/>
    <w:rsid w:val="007310C6"/>
    <w:rsid w:val="00731100"/>
    <w:rsid w:val="00731152"/>
    <w:rsid w:val="00731194"/>
    <w:rsid w:val="00731225"/>
    <w:rsid w:val="00731315"/>
    <w:rsid w:val="00731340"/>
    <w:rsid w:val="007313BD"/>
    <w:rsid w:val="007319B8"/>
    <w:rsid w:val="00731B33"/>
    <w:rsid w:val="00731BD8"/>
    <w:rsid w:val="00732090"/>
    <w:rsid w:val="007320CA"/>
    <w:rsid w:val="007320D0"/>
    <w:rsid w:val="007321B3"/>
    <w:rsid w:val="00732229"/>
    <w:rsid w:val="00732547"/>
    <w:rsid w:val="007325DA"/>
    <w:rsid w:val="00732600"/>
    <w:rsid w:val="007326A9"/>
    <w:rsid w:val="0073271E"/>
    <w:rsid w:val="0073286D"/>
    <w:rsid w:val="007328CA"/>
    <w:rsid w:val="00732F8C"/>
    <w:rsid w:val="007330BF"/>
    <w:rsid w:val="00733146"/>
    <w:rsid w:val="007331F9"/>
    <w:rsid w:val="0073325B"/>
    <w:rsid w:val="0073329D"/>
    <w:rsid w:val="00733354"/>
    <w:rsid w:val="00733598"/>
    <w:rsid w:val="007336CC"/>
    <w:rsid w:val="0073375C"/>
    <w:rsid w:val="00733813"/>
    <w:rsid w:val="00733833"/>
    <w:rsid w:val="0073391E"/>
    <w:rsid w:val="007339C5"/>
    <w:rsid w:val="00733A81"/>
    <w:rsid w:val="00733A8A"/>
    <w:rsid w:val="00733B1D"/>
    <w:rsid w:val="00733CA4"/>
    <w:rsid w:val="00733D3B"/>
    <w:rsid w:val="00733E7B"/>
    <w:rsid w:val="007340BC"/>
    <w:rsid w:val="007340DE"/>
    <w:rsid w:val="00734160"/>
    <w:rsid w:val="007341B4"/>
    <w:rsid w:val="00734240"/>
    <w:rsid w:val="00734248"/>
    <w:rsid w:val="0073457A"/>
    <w:rsid w:val="00734640"/>
    <w:rsid w:val="0073470C"/>
    <w:rsid w:val="00734710"/>
    <w:rsid w:val="007349A7"/>
    <w:rsid w:val="00734A1C"/>
    <w:rsid w:val="00734D5B"/>
    <w:rsid w:val="00734F53"/>
    <w:rsid w:val="00734FDC"/>
    <w:rsid w:val="0073520C"/>
    <w:rsid w:val="0073521C"/>
    <w:rsid w:val="007355C2"/>
    <w:rsid w:val="00735679"/>
    <w:rsid w:val="007357F5"/>
    <w:rsid w:val="007358C4"/>
    <w:rsid w:val="00735958"/>
    <w:rsid w:val="007359BB"/>
    <w:rsid w:val="00735B32"/>
    <w:rsid w:val="00735B3C"/>
    <w:rsid w:val="00735C40"/>
    <w:rsid w:val="00735E0E"/>
    <w:rsid w:val="00735FAA"/>
    <w:rsid w:val="0073616A"/>
    <w:rsid w:val="007361D7"/>
    <w:rsid w:val="007361F5"/>
    <w:rsid w:val="00736402"/>
    <w:rsid w:val="007364FE"/>
    <w:rsid w:val="0073678E"/>
    <w:rsid w:val="007368E3"/>
    <w:rsid w:val="00736A3B"/>
    <w:rsid w:val="00736BAD"/>
    <w:rsid w:val="00736C9A"/>
    <w:rsid w:val="00736DC5"/>
    <w:rsid w:val="00736DE8"/>
    <w:rsid w:val="00736E3E"/>
    <w:rsid w:val="00737089"/>
    <w:rsid w:val="00737127"/>
    <w:rsid w:val="00737139"/>
    <w:rsid w:val="00737176"/>
    <w:rsid w:val="00737233"/>
    <w:rsid w:val="0073730C"/>
    <w:rsid w:val="0073735C"/>
    <w:rsid w:val="00737370"/>
    <w:rsid w:val="007373AE"/>
    <w:rsid w:val="007376F1"/>
    <w:rsid w:val="007378CD"/>
    <w:rsid w:val="00737B52"/>
    <w:rsid w:val="00737B6A"/>
    <w:rsid w:val="00737C0A"/>
    <w:rsid w:val="00737C95"/>
    <w:rsid w:val="00737CE8"/>
    <w:rsid w:val="00737F3F"/>
    <w:rsid w:val="0074027E"/>
    <w:rsid w:val="0074048C"/>
    <w:rsid w:val="0074059C"/>
    <w:rsid w:val="00740602"/>
    <w:rsid w:val="007408B0"/>
    <w:rsid w:val="00740964"/>
    <w:rsid w:val="00740A01"/>
    <w:rsid w:val="00740A23"/>
    <w:rsid w:val="00740A8A"/>
    <w:rsid w:val="00740AE3"/>
    <w:rsid w:val="00740D48"/>
    <w:rsid w:val="00740D4E"/>
    <w:rsid w:val="00740D5A"/>
    <w:rsid w:val="00740D65"/>
    <w:rsid w:val="007411B1"/>
    <w:rsid w:val="0074155F"/>
    <w:rsid w:val="007415E8"/>
    <w:rsid w:val="007416E1"/>
    <w:rsid w:val="00741847"/>
    <w:rsid w:val="00741858"/>
    <w:rsid w:val="007418EA"/>
    <w:rsid w:val="00741D39"/>
    <w:rsid w:val="00741F2A"/>
    <w:rsid w:val="00741F5E"/>
    <w:rsid w:val="00742031"/>
    <w:rsid w:val="007421F3"/>
    <w:rsid w:val="007421FE"/>
    <w:rsid w:val="007423D9"/>
    <w:rsid w:val="00742400"/>
    <w:rsid w:val="0074244A"/>
    <w:rsid w:val="00742476"/>
    <w:rsid w:val="007424CD"/>
    <w:rsid w:val="007426AF"/>
    <w:rsid w:val="00742728"/>
    <w:rsid w:val="00742750"/>
    <w:rsid w:val="00742833"/>
    <w:rsid w:val="0074288A"/>
    <w:rsid w:val="0074295F"/>
    <w:rsid w:val="007429FE"/>
    <w:rsid w:val="00742B70"/>
    <w:rsid w:val="00742E56"/>
    <w:rsid w:val="00742E76"/>
    <w:rsid w:val="00743297"/>
    <w:rsid w:val="007432B6"/>
    <w:rsid w:val="007432EF"/>
    <w:rsid w:val="00743349"/>
    <w:rsid w:val="007434AC"/>
    <w:rsid w:val="00743761"/>
    <w:rsid w:val="007437D5"/>
    <w:rsid w:val="007437DB"/>
    <w:rsid w:val="0074386B"/>
    <w:rsid w:val="00743C31"/>
    <w:rsid w:val="00743D94"/>
    <w:rsid w:val="00744119"/>
    <w:rsid w:val="0074417B"/>
    <w:rsid w:val="00744188"/>
    <w:rsid w:val="007441F2"/>
    <w:rsid w:val="007443C6"/>
    <w:rsid w:val="0074459B"/>
    <w:rsid w:val="00744623"/>
    <w:rsid w:val="0074467F"/>
    <w:rsid w:val="00744A30"/>
    <w:rsid w:val="0074502F"/>
    <w:rsid w:val="00745255"/>
    <w:rsid w:val="00745428"/>
    <w:rsid w:val="00745527"/>
    <w:rsid w:val="00745551"/>
    <w:rsid w:val="00745620"/>
    <w:rsid w:val="007457A6"/>
    <w:rsid w:val="00745FC8"/>
    <w:rsid w:val="0074610E"/>
    <w:rsid w:val="00746136"/>
    <w:rsid w:val="0074632E"/>
    <w:rsid w:val="00746498"/>
    <w:rsid w:val="00746635"/>
    <w:rsid w:val="00746646"/>
    <w:rsid w:val="00746651"/>
    <w:rsid w:val="00746781"/>
    <w:rsid w:val="007469B7"/>
    <w:rsid w:val="00746AC5"/>
    <w:rsid w:val="00746B64"/>
    <w:rsid w:val="00746BF2"/>
    <w:rsid w:val="00746D51"/>
    <w:rsid w:val="00746D83"/>
    <w:rsid w:val="0074712F"/>
    <w:rsid w:val="00747261"/>
    <w:rsid w:val="00747330"/>
    <w:rsid w:val="007473E6"/>
    <w:rsid w:val="007474CF"/>
    <w:rsid w:val="0074762E"/>
    <w:rsid w:val="007476FF"/>
    <w:rsid w:val="0074774D"/>
    <w:rsid w:val="00747921"/>
    <w:rsid w:val="007479A4"/>
    <w:rsid w:val="00747A81"/>
    <w:rsid w:val="00747B56"/>
    <w:rsid w:val="00747CA9"/>
    <w:rsid w:val="00747CBD"/>
    <w:rsid w:val="00747D10"/>
    <w:rsid w:val="00747ED1"/>
    <w:rsid w:val="00747FB0"/>
    <w:rsid w:val="00750267"/>
    <w:rsid w:val="00750435"/>
    <w:rsid w:val="0075061E"/>
    <w:rsid w:val="007506B7"/>
    <w:rsid w:val="0075085E"/>
    <w:rsid w:val="007509E7"/>
    <w:rsid w:val="00750AEF"/>
    <w:rsid w:val="00750CF9"/>
    <w:rsid w:val="00751091"/>
    <w:rsid w:val="00751095"/>
    <w:rsid w:val="00751150"/>
    <w:rsid w:val="0075127C"/>
    <w:rsid w:val="007512DC"/>
    <w:rsid w:val="00751370"/>
    <w:rsid w:val="00751375"/>
    <w:rsid w:val="007513A6"/>
    <w:rsid w:val="007514E6"/>
    <w:rsid w:val="00751973"/>
    <w:rsid w:val="007519EB"/>
    <w:rsid w:val="00751AC9"/>
    <w:rsid w:val="00751C68"/>
    <w:rsid w:val="00751EB7"/>
    <w:rsid w:val="00751F45"/>
    <w:rsid w:val="00752040"/>
    <w:rsid w:val="007520DD"/>
    <w:rsid w:val="00752133"/>
    <w:rsid w:val="00752227"/>
    <w:rsid w:val="00752229"/>
    <w:rsid w:val="00752296"/>
    <w:rsid w:val="00752390"/>
    <w:rsid w:val="007524AB"/>
    <w:rsid w:val="00752570"/>
    <w:rsid w:val="00752593"/>
    <w:rsid w:val="007528F5"/>
    <w:rsid w:val="00752931"/>
    <w:rsid w:val="007529E4"/>
    <w:rsid w:val="00752BC1"/>
    <w:rsid w:val="00752C96"/>
    <w:rsid w:val="00752E90"/>
    <w:rsid w:val="00753028"/>
    <w:rsid w:val="00753050"/>
    <w:rsid w:val="00753102"/>
    <w:rsid w:val="00753141"/>
    <w:rsid w:val="00753203"/>
    <w:rsid w:val="00753302"/>
    <w:rsid w:val="007534FA"/>
    <w:rsid w:val="0075353F"/>
    <w:rsid w:val="00753614"/>
    <w:rsid w:val="00753755"/>
    <w:rsid w:val="0075386E"/>
    <w:rsid w:val="00753D46"/>
    <w:rsid w:val="00753D9B"/>
    <w:rsid w:val="007540CE"/>
    <w:rsid w:val="0075414D"/>
    <w:rsid w:val="00754310"/>
    <w:rsid w:val="0075437E"/>
    <w:rsid w:val="00754539"/>
    <w:rsid w:val="00754773"/>
    <w:rsid w:val="007547F9"/>
    <w:rsid w:val="0075495C"/>
    <w:rsid w:val="00754969"/>
    <w:rsid w:val="00754B40"/>
    <w:rsid w:val="00754B4C"/>
    <w:rsid w:val="00754E47"/>
    <w:rsid w:val="00754E55"/>
    <w:rsid w:val="00754EB2"/>
    <w:rsid w:val="00754F6D"/>
    <w:rsid w:val="007550F0"/>
    <w:rsid w:val="007552E4"/>
    <w:rsid w:val="0075561B"/>
    <w:rsid w:val="00755623"/>
    <w:rsid w:val="007556D0"/>
    <w:rsid w:val="007558D4"/>
    <w:rsid w:val="007559E9"/>
    <w:rsid w:val="00755BE7"/>
    <w:rsid w:val="00755E19"/>
    <w:rsid w:val="00755EED"/>
    <w:rsid w:val="007560B8"/>
    <w:rsid w:val="007561BB"/>
    <w:rsid w:val="007561D0"/>
    <w:rsid w:val="00756369"/>
    <w:rsid w:val="00756435"/>
    <w:rsid w:val="00756699"/>
    <w:rsid w:val="00756913"/>
    <w:rsid w:val="00756B6C"/>
    <w:rsid w:val="00756E3C"/>
    <w:rsid w:val="00757092"/>
    <w:rsid w:val="007574E9"/>
    <w:rsid w:val="0075756F"/>
    <w:rsid w:val="00757575"/>
    <w:rsid w:val="0075761B"/>
    <w:rsid w:val="00757659"/>
    <w:rsid w:val="007576A2"/>
    <w:rsid w:val="0075772B"/>
    <w:rsid w:val="00757ADD"/>
    <w:rsid w:val="00757C5B"/>
    <w:rsid w:val="00757CA3"/>
    <w:rsid w:val="00757D4B"/>
    <w:rsid w:val="00757E0E"/>
    <w:rsid w:val="00757E25"/>
    <w:rsid w:val="007600BE"/>
    <w:rsid w:val="0076010D"/>
    <w:rsid w:val="0076010E"/>
    <w:rsid w:val="0076022C"/>
    <w:rsid w:val="007603E9"/>
    <w:rsid w:val="007604FE"/>
    <w:rsid w:val="00760662"/>
    <w:rsid w:val="0076089F"/>
    <w:rsid w:val="00760905"/>
    <w:rsid w:val="00760DE7"/>
    <w:rsid w:val="00760F0C"/>
    <w:rsid w:val="00760F18"/>
    <w:rsid w:val="007613EC"/>
    <w:rsid w:val="007614E4"/>
    <w:rsid w:val="00761510"/>
    <w:rsid w:val="007615BC"/>
    <w:rsid w:val="007615F7"/>
    <w:rsid w:val="0076163C"/>
    <w:rsid w:val="007616C5"/>
    <w:rsid w:val="00761717"/>
    <w:rsid w:val="00761721"/>
    <w:rsid w:val="0076180E"/>
    <w:rsid w:val="00761A4F"/>
    <w:rsid w:val="00761B37"/>
    <w:rsid w:val="00761B6C"/>
    <w:rsid w:val="00761CF1"/>
    <w:rsid w:val="00761DEA"/>
    <w:rsid w:val="00762017"/>
    <w:rsid w:val="0076205D"/>
    <w:rsid w:val="00762071"/>
    <w:rsid w:val="00762261"/>
    <w:rsid w:val="00762277"/>
    <w:rsid w:val="0076229A"/>
    <w:rsid w:val="007622E1"/>
    <w:rsid w:val="007623E0"/>
    <w:rsid w:val="007624BA"/>
    <w:rsid w:val="007627B7"/>
    <w:rsid w:val="00762AA6"/>
    <w:rsid w:val="00762D3E"/>
    <w:rsid w:val="00762E48"/>
    <w:rsid w:val="00763297"/>
    <w:rsid w:val="0076336D"/>
    <w:rsid w:val="007634A7"/>
    <w:rsid w:val="00763578"/>
    <w:rsid w:val="007636A0"/>
    <w:rsid w:val="007638E8"/>
    <w:rsid w:val="0076397A"/>
    <w:rsid w:val="007640E8"/>
    <w:rsid w:val="007641CD"/>
    <w:rsid w:val="0076420B"/>
    <w:rsid w:val="00764265"/>
    <w:rsid w:val="0076436E"/>
    <w:rsid w:val="007644AE"/>
    <w:rsid w:val="00764632"/>
    <w:rsid w:val="00764727"/>
    <w:rsid w:val="007647A5"/>
    <w:rsid w:val="007649D1"/>
    <w:rsid w:val="00764B32"/>
    <w:rsid w:val="00764B35"/>
    <w:rsid w:val="00764BFE"/>
    <w:rsid w:val="00764CA4"/>
    <w:rsid w:val="00764DD9"/>
    <w:rsid w:val="00764EBA"/>
    <w:rsid w:val="00764FBD"/>
    <w:rsid w:val="0076545C"/>
    <w:rsid w:val="0076574B"/>
    <w:rsid w:val="00765896"/>
    <w:rsid w:val="00765911"/>
    <w:rsid w:val="00765AA7"/>
    <w:rsid w:val="00765BA8"/>
    <w:rsid w:val="00765CA3"/>
    <w:rsid w:val="00765CCE"/>
    <w:rsid w:val="00765DF6"/>
    <w:rsid w:val="00765F5C"/>
    <w:rsid w:val="0076647A"/>
    <w:rsid w:val="007668E7"/>
    <w:rsid w:val="00766903"/>
    <w:rsid w:val="00766AB0"/>
    <w:rsid w:val="00766D9E"/>
    <w:rsid w:val="00766F38"/>
    <w:rsid w:val="00766FC1"/>
    <w:rsid w:val="0076709E"/>
    <w:rsid w:val="00767327"/>
    <w:rsid w:val="00767337"/>
    <w:rsid w:val="007676F9"/>
    <w:rsid w:val="007678A0"/>
    <w:rsid w:val="007679BA"/>
    <w:rsid w:val="00767A88"/>
    <w:rsid w:val="00767AC6"/>
    <w:rsid w:val="00767B63"/>
    <w:rsid w:val="00767E6B"/>
    <w:rsid w:val="00767F03"/>
    <w:rsid w:val="00770017"/>
    <w:rsid w:val="00770149"/>
    <w:rsid w:val="007701B8"/>
    <w:rsid w:val="0077021B"/>
    <w:rsid w:val="0077032D"/>
    <w:rsid w:val="00770338"/>
    <w:rsid w:val="00770829"/>
    <w:rsid w:val="0077082B"/>
    <w:rsid w:val="007708A3"/>
    <w:rsid w:val="00770908"/>
    <w:rsid w:val="0077099C"/>
    <w:rsid w:val="007709BE"/>
    <w:rsid w:val="00770C25"/>
    <w:rsid w:val="00770CAA"/>
    <w:rsid w:val="00770F35"/>
    <w:rsid w:val="00770F83"/>
    <w:rsid w:val="007710BA"/>
    <w:rsid w:val="007710D5"/>
    <w:rsid w:val="0077120B"/>
    <w:rsid w:val="007716C5"/>
    <w:rsid w:val="007716D9"/>
    <w:rsid w:val="007717CD"/>
    <w:rsid w:val="007718D8"/>
    <w:rsid w:val="00771B05"/>
    <w:rsid w:val="00771B11"/>
    <w:rsid w:val="00771C9A"/>
    <w:rsid w:val="00771CBD"/>
    <w:rsid w:val="00771DAB"/>
    <w:rsid w:val="007720A3"/>
    <w:rsid w:val="0077217E"/>
    <w:rsid w:val="00772224"/>
    <w:rsid w:val="0077246A"/>
    <w:rsid w:val="0077263B"/>
    <w:rsid w:val="00772705"/>
    <w:rsid w:val="0077293D"/>
    <w:rsid w:val="00772952"/>
    <w:rsid w:val="00772CF0"/>
    <w:rsid w:val="00772DED"/>
    <w:rsid w:val="00772E86"/>
    <w:rsid w:val="00772F51"/>
    <w:rsid w:val="00772FCA"/>
    <w:rsid w:val="007730E9"/>
    <w:rsid w:val="0077356C"/>
    <w:rsid w:val="007735FB"/>
    <w:rsid w:val="007735FF"/>
    <w:rsid w:val="00773734"/>
    <w:rsid w:val="00773757"/>
    <w:rsid w:val="00773953"/>
    <w:rsid w:val="00773A45"/>
    <w:rsid w:val="00774209"/>
    <w:rsid w:val="00774347"/>
    <w:rsid w:val="00774354"/>
    <w:rsid w:val="0077445E"/>
    <w:rsid w:val="0077455C"/>
    <w:rsid w:val="0077462C"/>
    <w:rsid w:val="00774753"/>
    <w:rsid w:val="00774829"/>
    <w:rsid w:val="00774903"/>
    <w:rsid w:val="00774C36"/>
    <w:rsid w:val="00774CA2"/>
    <w:rsid w:val="00774CAC"/>
    <w:rsid w:val="00774D86"/>
    <w:rsid w:val="007750F8"/>
    <w:rsid w:val="007751E7"/>
    <w:rsid w:val="00775271"/>
    <w:rsid w:val="00775332"/>
    <w:rsid w:val="00775517"/>
    <w:rsid w:val="007756C1"/>
    <w:rsid w:val="007758B2"/>
    <w:rsid w:val="007759D9"/>
    <w:rsid w:val="00775A01"/>
    <w:rsid w:val="00775EFB"/>
    <w:rsid w:val="00775FD3"/>
    <w:rsid w:val="00775FF6"/>
    <w:rsid w:val="00775FFB"/>
    <w:rsid w:val="00776025"/>
    <w:rsid w:val="0077637A"/>
    <w:rsid w:val="00776695"/>
    <w:rsid w:val="00776A3E"/>
    <w:rsid w:val="00776A5C"/>
    <w:rsid w:val="00776B36"/>
    <w:rsid w:val="00776BBD"/>
    <w:rsid w:val="00776CFB"/>
    <w:rsid w:val="00776D7B"/>
    <w:rsid w:val="00776E08"/>
    <w:rsid w:val="007772D1"/>
    <w:rsid w:val="0077745F"/>
    <w:rsid w:val="0077753E"/>
    <w:rsid w:val="0077757C"/>
    <w:rsid w:val="007778BB"/>
    <w:rsid w:val="0077797A"/>
    <w:rsid w:val="00777A87"/>
    <w:rsid w:val="00777ABF"/>
    <w:rsid w:val="00777BB1"/>
    <w:rsid w:val="00777CAE"/>
    <w:rsid w:val="00777FF7"/>
    <w:rsid w:val="00780065"/>
    <w:rsid w:val="00780322"/>
    <w:rsid w:val="00780417"/>
    <w:rsid w:val="007804D6"/>
    <w:rsid w:val="00780618"/>
    <w:rsid w:val="0078064A"/>
    <w:rsid w:val="00780924"/>
    <w:rsid w:val="007809E9"/>
    <w:rsid w:val="00780A55"/>
    <w:rsid w:val="00780AEC"/>
    <w:rsid w:val="00780AF5"/>
    <w:rsid w:val="00780B11"/>
    <w:rsid w:val="00780B63"/>
    <w:rsid w:val="00780CA0"/>
    <w:rsid w:val="00780EF0"/>
    <w:rsid w:val="007810A2"/>
    <w:rsid w:val="007810E4"/>
    <w:rsid w:val="007811A8"/>
    <w:rsid w:val="00781222"/>
    <w:rsid w:val="00781230"/>
    <w:rsid w:val="007812FC"/>
    <w:rsid w:val="00781331"/>
    <w:rsid w:val="00781436"/>
    <w:rsid w:val="007816ED"/>
    <w:rsid w:val="00781712"/>
    <w:rsid w:val="00781875"/>
    <w:rsid w:val="0078195B"/>
    <w:rsid w:val="00781A6C"/>
    <w:rsid w:val="00781C2F"/>
    <w:rsid w:val="00781CBE"/>
    <w:rsid w:val="00781EC8"/>
    <w:rsid w:val="007820AD"/>
    <w:rsid w:val="007820F2"/>
    <w:rsid w:val="00782102"/>
    <w:rsid w:val="00782279"/>
    <w:rsid w:val="0078230C"/>
    <w:rsid w:val="0078241A"/>
    <w:rsid w:val="007825AD"/>
    <w:rsid w:val="007825B0"/>
    <w:rsid w:val="00782955"/>
    <w:rsid w:val="007829F2"/>
    <w:rsid w:val="00782B5D"/>
    <w:rsid w:val="00782BB1"/>
    <w:rsid w:val="00782C6E"/>
    <w:rsid w:val="00782CAC"/>
    <w:rsid w:val="00782CF4"/>
    <w:rsid w:val="00782D5A"/>
    <w:rsid w:val="00782DEE"/>
    <w:rsid w:val="00782F1D"/>
    <w:rsid w:val="00783147"/>
    <w:rsid w:val="007831AE"/>
    <w:rsid w:val="00783254"/>
    <w:rsid w:val="0078328F"/>
    <w:rsid w:val="00783337"/>
    <w:rsid w:val="0078347E"/>
    <w:rsid w:val="007835DE"/>
    <w:rsid w:val="007835FA"/>
    <w:rsid w:val="007836CD"/>
    <w:rsid w:val="0078372A"/>
    <w:rsid w:val="00783878"/>
    <w:rsid w:val="007839B8"/>
    <w:rsid w:val="00783AA9"/>
    <w:rsid w:val="00783B42"/>
    <w:rsid w:val="00783C98"/>
    <w:rsid w:val="00783EC7"/>
    <w:rsid w:val="00783FB8"/>
    <w:rsid w:val="007840AA"/>
    <w:rsid w:val="007842C5"/>
    <w:rsid w:val="00784415"/>
    <w:rsid w:val="00784690"/>
    <w:rsid w:val="007847F1"/>
    <w:rsid w:val="0078485F"/>
    <w:rsid w:val="007848BF"/>
    <w:rsid w:val="00784933"/>
    <w:rsid w:val="0078499F"/>
    <w:rsid w:val="007849BB"/>
    <w:rsid w:val="00784A20"/>
    <w:rsid w:val="00784BB5"/>
    <w:rsid w:val="00784D26"/>
    <w:rsid w:val="00784F4F"/>
    <w:rsid w:val="007850D9"/>
    <w:rsid w:val="00785121"/>
    <w:rsid w:val="00785126"/>
    <w:rsid w:val="007853C1"/>
    <w:rsid w:val="0078550F"/>
    <w:rsid w:val="00785576"/>
    <w:rsid w:val="00785775"/>
    <w:rsid w:val="00785805"/>
    <w:rsid w:val="007858FC"/>
    <w:rsid w:val="00785A80"/>
    <w:rsid w:val="00785AD8"/>
    <w:rsid w:val="00785B16"/>
    <w:rsid w:val="00785B42"/>
    <w:rsid w:val="00785B53"/>
    <w:rsid w:val="00785CE4"/>
    <w:rsid w:val="00785DE9"/>
    <w:rsid w:val="00785E1C"/>
    <w:rsid w:val="00785E47"/>
    <w:rsid w:val="00786103"/>
    <w:rsid w:val="00786266"/>
    <w:rsid w:val="0078631E"/>
    <w:rsid w:val="00786453"/>
    <w:rsid w:val="00786569"/>
    <w:rsid w:val="007865A4"/>
    <w:rsid w:val="007865CD"/>
    <w:rsid w:val="00786693"/>
    <w:rsid w:val="0078672A"/>
    <w:rsid w:val="0078672E"/>
    <w:rsid w:val="007867A5"/>
    <w:rsid w:val="007869B3"/>
    <w:rsid w:val="00786AA6"/>
    <w:rsid w:val="00786C85"/>
    <w:rsid w:val="00786DD3"/>
    <w:rsid w:val="00786E6A"/>
    <w:rsid w:val="0078701B"/>
    <w:rsid w:val="00787104"/>
    <w:rsid w:val="0078742A"/>
    <w:rsid w:val="007876C7"/>
    <w:rsid w:val="0078783C"/>
    <w:rsid w:val="007878B5"/>
    <w:rsid w:val="00787925"/>
    <w:rsid w:val="00787C6A"/>
    <w:rsid w:val="00787DB4"/>
    <w:rsid w:val="00787E47"/>
    <w:rsid w:val="00787F76"/>
    <w:rsid w:val="0079040F"/>
    <w:rsid w:val="00790472"/>
    <w:rsid w:val="007907FF"/>
    <w:rsid w:val="00790811"/>
    <w:rsid w:val="00790936"/>
    <w:rsid w:val="007909A9"/>
    <w:rsid w:val="00790D04"/>
    <w:rsid w:val="00790DE9"/>
    <w:rsid w:val="00790E9E"/>
    <w:rsid w:val="00791021"/>
    <w:rsid w:val="0079104B"/>
    <w:rsid w:val="0079119D"/>
    <w:rsid w:val="007912FF"/>
    <w:rsid w:val="00791597"/>
    <w:rsid w:val="007915BE"/>
    <w:rsid w:val="0079184C"/>
    <w:rsid w:val="00791967"/>
    <w:rsid w:val="00791BCA"/>
    <w:rsid w:val="00791C40"/>
    <w:rsid w:val="00791DE2"/>
    <w:rsid w:val="00792075"/>
    <w:rsid w:val="00792088"/>
    <w:rsid w:val="007920B7"/>
    <w:rsid w:val="0079210D"/>
    <w:rsid w:val="00792144"/>
    <w:rsid w:val="00792186"/>
    <w:rsid w:val="00792356"/>
    <w:rsid w:val="0079244B"/>
    <w:rsid w:val="007924B0"/>
    <w:rsid w:val="007925DF"/>
    <w:rsid w:val="00792641"/>
    <w:rsid w:val="00792649"/>
    <w:rsid w:val="00792662"/>
    <w:rsid w:val="00792689"/>
    <w:rsid w:val="00792737"/>
    <w:rsid w:val="007929FF"/>
    <w:rsid w:val="00792A34"/>
    <w:rsid w:val="00792AB1"/>
    <w:rsid w:val="00792AE6"/>
    <w:rsid w:val="00792AF1"/>
    <w:rsid w:val="00792C73"/>
    <w:rsid w:val="00792CEE"/>
    <w:rsid w:val="00792E15"/>
    <w:rsid w:val="00792EA4"/>
    <w:rsid w:val="00792F7A"/>
    <w:rsid w:val="00793055"/>
    <w:rsid w:val="007934AC"/>
    <w:rsid w:val="0079364E"/>
    <w:rsid w:val="0079388E"/>
    <w:rsid w:val="00793899"/>
    <w:rsid w:val="00793A4D"/>
    <w:rsid w:val="00793EFD"/>
    <w:rsid w:val="0079406E"/>
    <w:rsid w:val="0079413F"/>
    <w:rsid w:val="00794388"/>
    <w:rsid w:val="00794985"/>
    <w:rsid w:val="007949B9"/>
    <w:rsid w:val="00794D6F"/>
    <w:rsid w:val="00794F41"/>
    <w:rsid w:val="00795420"/>
    <w:rsid w:val="00795424"/>
    <w:rsid w:val="0079546E"/>
    <w:rsid w:val="007959A5"/>
    <w:rsid w:val="007959AD"/>
    <w:rsid w:val="00795B6E"/>
    <w:rsid w:val="00795D92"/>
    <w:rsid w:val="00795E0A"/>
    <w:rsid w:val="00795E43"/>
    <w:rsid w:val="00795E99"/>
    <w:rsid w:val="00795EA1"/>
    <w:rsid w:val="00795EC1"/>
    <w:rsid w:val="00795EC9"/>
    <w:rsid w:val="00796128"/>
    <w:rsid w:val="0079617C"/>
    <w:rsid w:val="007965C8"/>
    <w:rsid w:val="00796751"/>
    <w:rsid w:val="00796B6B"/>
    <w:rsid w:val="00796B8A"/>
    <w:rsid w:val="00796CC3"/>
    <w:rsid w:val="00796CF8"/>
    <w:rsid w:val="00796F9E"/>
    <w:rsid w:val="0079710E"/>
    <w:rsid w:val="007972FE"/>
    <w:rsid w:val="0079739B"/>
    <w:rsid w:val="0079739D"/>
    <w:rsid w:val="0079768B"/>
    <w:rsid w:val="007976D9"/>
    <w:rsid w:val="007977D2"/>
    <w:rsid w:val="00797BDA"/>
    <w:rsid w:val="00797BFE"/>
    <w:rsid w:val="00797C14"/>
    <w:rsid w:val="00797C9C"/>
    <w:rsid w:val="00797DFC"/>
    <w:rsid w:val="007A0266"/>
    <w:rsid w:val="007A08C4"/>
    <w:rsid w:val="007A0B9F"/>
    <w:rsid w:val="007A0C9B"/>
    <w:rsid w:val="007A0D4F"/>
    <w:rsid w:val="007A0DF3"/>
    <w:rsid w:val="007A1100"/>
    <w:rsid w:val="007A1201"/>
    <w:rsid w:val="007A1376"/>
    <w:rsid w:val="007A1436"/>
    <w:rsid w:val="007A14E2"/>
    <w:rsid w:val="007A1551"/>
    <w:rsid w:val="007A1704"/>
    <w:rsid w:val="007A17A4"/>
    <w:rsid w:val="007A183B"/>
    <w:rsid w:val="007A1A86"/>
    <w:rsid w:val="007A1B38"/>
    <w:rsid w:val="007A1D24"/>
    <w:rsid w:val="007A1D29"/>
    <w:rsid w:val="007A21F6"/>
    <w:rsid w:val="007A21FF"/>
    <w:rsid w:val="007A2517"/>
    <w:rsid w:val="007A2538"/>
    <w:rsid w:val="007A290F"/>
    <w:rsid w:val="007A2984"/>
    <w:rsid w:val="007A2A6F"/>
    <w:rsid w:val="007A2C43"/>
    <w:rsid w:val="007A2D68"/>
    <w:rsid w:val="007A2E21"/>
    <w:rsid w:val="007A2F43"/>
    <w:rsid w:val="007A3122"/>
    <w:rsid w:val="007A313B"/>
    <w:rsid w:val="007A3192"/>
    <w:rsid w:val="007A3496"/>
    <w:rsid w:val="007A355B"/>
    <w:rsid w:val="007A357C"/>
    <w:rsid w:val="007A3613"/>
    <w:rsid w:val="007A36E8"/>
    <w:rsid w:val="007A36F4"/>
    <w:rsid w:val="007A3838"/>
    <w:rsid w:val="007A3895"/>
    <w:rsid w:val="007A3A4A"/>
    <w:rsid w:val="007A3A8A"/>
    <w:rsid w:val="007A3AC8"/>
    <w:rsid w:val="007A3B6C"/>
    <w:rsid w:val="007A3C1A"/>
    <w:rsid w:val="007A3CA6"/>
    <w:rsid w:val="007A3F8F"/>
    <w:rsid w:val="007A403B"/>
    <w:rsid w:val="007A4131"/>
    <w:rsid w:val="007A4355"/>
    <w:rsid w:val="007A4428"/>
    <w:rsid w:val="007A445C"/>
    <w:rsid w:val="007A44E3"/>
    <w:rsid w:val="007A45E9"/>
    <w:rsid w:val="007A4667"/>
    <w:rsid w:val="007A480D"/>
    <w:rsid w:val="007A485C"/>
    <w:rsid w:val="007A48C6"/>
    <w:rsid w:val="007A493B"/>
    <w:rsid w:val="007A49E6"/>
    <w:rsid w:val="007A49E7"/>
    <w:rsid w:val="007A4B24"/>
    <w:rsid w:val="007A4EAB"/>
    <w:rsid w:val="007A4ED5"/>
    <w:rsid w:val="007A516B"/>
    <w:rsid w:val="007A52B2"/>
    <w:rsid w:val="007A5309"/>
    <w:rsid w:val="007A5519"/>
    <w:rsid w:val="007A556F"/>
    <w:rsid w:val="007A558C"/>
    <w:rsid w:val="007A55CD"/>
    <w:rsid w:val="007A5798"/>
    <w:rsid w:val="007A5851"/>
    <w:rsid w:val="007A5D7C"/>
    <w:rsid w:val="007A60BE"/>
    <w:rsid w:val="007A60CF"/>
    <w:rsid w:val="007A6188"/>
    <w:rsid w:val="007A6213"/>
    <w:rsid w:val="007A632D"/>
    <w:rsid w:val="007A64BD"/>
    <w:rsid w:val="007A6532"/>
    <w:rsid w:val="007A655D"/>
    <w:rsid w:val="007A65FD"/>
    <w:rsid w:val="007A67CF"/>
    <w:rsid w:val="007A6D38"/>
    <w:rsid w:val="007A70E7"/>
    <w:rsid w:val="007A7357"/>
    <w:rsid w:val="007A735F"/>
    <w:rsid w:val="007A7396"/>
    <w:rsid w:val="007A74B9"/>
    <w:rsid w:val="007A7642"/>
    <w:rsid w:val="007A768D"/>
    <w:rsid w:val="007A796B"/>
    <w:rsid w:val="007A7973"/>
    <w:rsid w:val="007A7AF4"/>
    <w:rsid w:val="007A7B58"/>
    <w:rsid w:val="007A7C08"/>
    <w:rsid w:val="007A7C1F"/>
    <w:rsid w:val="007A7CDB"/>
    <w:rsid w:val="007A7E4F"/>
    <w:rsid w:val="007A7F44"/>
    <w:rsid w:val="007B0195"/>
    <w:rsid w:val="007B01B6"/>
    <w:rsid w:val="007B027F"/>
    <w:rsid w:val="007B0382"/>
    <w:rsid w:val="007B0456"/>
    <w:rsid w:val="007B0541"/>
    <w:rsid w:val="007B0771"/>
    <w:rsid w:val="007B0906"/>
    <w:rsid w:val="007B091E"/>
    <w:rsid w:val="007B0B15"/>
    <w:rsid w:val="007B0CCA"/>
    <w:rsid w:val="007B1363"/>
    <w:rsid w:val="007B14C0"/>
    <w:rsid w:val="007B15BF"/>
    <w:rsid w:val="007B16AF"/>
    <w:rsid w:val="007B180D"/>
    <w:rsid w:val="007B1851"/>
    <w:rsid w:val="007B18EC"/>
    <w:rsid w:val="007B1910"/>
    <w:rsid w:val="007B1CBF"/>
    <w:rsid w:val="007B1D73"/>
    <w:rsid w:val="007B1E25"/>
    <w:rsid w:val="007B1E97"/>
    <w:rsid w:val="007B21C1"/>
    <w:rsid w:val="007B2365"/>
    <w:rsid w:val="007B23B4"/>
    <w:rsid w:val="007B247F"/>
    <w:rsid w:val="007B24BF"/>
    <w:rsid w:val="007B24D7"/>
    <w:rsid w:val="007B2631"/>
    <w:rsid w:val="007B2696"/>
    <w:rsid w:val="007B296C"/>
    <w:rsid w:val="007B2D5A"/>
    <w:rsid w:val="007B2DD2"/>
    <w:rsid w:val="007B2E6F"/>
    <w:rsid w:val="007B2FD0"/>
    <w:rsid w:val="007B3122"/>
    <w:rsid w:val="007B31C6"/>
    <w:rsid w:val="007B325B"/>
    <w:rsid w:val="007B3287"/>
    <w:rsid w:val="007B363F"/>
    <w:rsid w:val="007B3642"/>
    <w:rsid w:val="007B376A"/>
    <w:rsid w:val="007B38E8"/>
    <w:rsid w:val="007B3B3C"/>
    <w:rsid w:val="007B3B6E"/>
    <w:rsid w:val="007B3C84"/>
    <w:rsid w:val="007B3CF9"/>
    <w:rsid w:val="007B3EA1"/>
    <w:rsid w:val="007B4191"/>
    <w:rsid w:val="007B41A8"/>
    <w:rsid w:val="007B4235"/>
    <w:rsid w:val="007B425E"/>
    <w:rsid w:val="007B4301"/>
    <w:rsid w:val="007B4340"/>
    <w:rsid w:val="007B44C7"/>
    <w:rsid w:val="007B452F"/>
    <w:rsid w:val="007B4611"/>
    <w:rsid w:val="007B481F"/>
    <w:rsid w:val="007B4A8F"/>
    <w:rsid w:val="007B4AB1"/>
    <w:rsid w:val="007B4FAA"/>
    <w:rsid w:val="007B50EB"/>
    <w:rsid w:val="007B5120"/>
    <w:rsid w:val="007B5133"/>
    <w:rsid w:val="007B5184"/>
    <w:rsid w:val="007B53F1"/>
    <w:rsid w:val="007B5424"/>
    <w:rsid w:val="007B56C2"/>
    <w:rsid w:val="007B5843"/>
    <w:rsid w:val="007B5869"/>
    <w:rsid w:val="007B5878"/>
    <w:rsid w:val="007B5880"/>
    <w:rsid w:val="007B594D"/>
    <w:rsid w:val="007B5980"/>
    <w:rsid w:val="007B59E2"/>
    <w:rsid w:val="007B5DF6"/>
    <w:rsid w:val="007B5F74"/>
    <w:rsid w:val="007B5FC9"/>
    <w:rsid w:val="007B62AC"/>
    <w:rsid w:val="007B6395"/>
    <w:rsid w:val="007B63AD"/>
    <w:rsid w:val="007B669C"/>
    <w:rsid w:val="007B6B43"/>
    <w:rsid w:val="007B6DBC"/>
    <w:rsid w:val="007B6E63"/>
    <w:rsid w:val="007B70E2"/>
    <w:rsid w:val="007B7188"/>
    <w:rsid w:val="007B73D6"/>
    <w:rsid w:val="007B770E"/>
    <w:rsid w:val="007B777E"/>
    <w:rsid w:val="007B77EE"/>
    <w:rsid w:val="007B7BA5"/>
    <w:rsid w:val="007B7BF0"/>
    <w:rsid w:val="007B7C22"/>
    <w:rsid w:val="007B7CA0"/>
    <w:rsid w:val="007B7CDE"/>
    <w:rsid w:val="007B7EAA"/>
    <w:rsid w:val="007B7EBD"/>
    <w:rsid w:val="007B7F45"/>
    <w:rsid w:val="007C00B3"/>
    <w:rsid w:val="007C01AF"/>
    <w:rsid w:val="007C024E"/>
    <w:rsid w:val="007C0264"/>
    <w:rsid w:val="007C028A"/>
    <w:rsid w:val="007C02EC"/>
    <w:rsid w:val="007C0468"/>
    <w:rsid w:val="007C04D0"/>
    <w:rsid w:val="007C05DB"/>
    <w:rsid w:val="007C0658"/>
    <w:rsid w:val="007C07A9"/>
    <w:rsid w:val="007C0B8B"/>
    <w:rsid w:val="007C0C4F"/>
    <w:rsid w:val="007C0E7F"/>
    <w:rsid w:val="007C0FE9"/>
    <w:rsid w:val="007C1061"/>
    <w:rsid w:val="007C115F"/>
    <w:rsid w:val="007C1344"/>
    <w:rsid w:val="007C14E5"/>
    <w:rsid w:val="007C1616"/>
    <w:rsid w:val="007C167C"/>
    <w:rsid w:val="007C1842"/>
    <w:rsid w:val="007C1A65"/>
    <w:rsid w:val="007C1B0C"/>
    <w:rsid w:val="007C1CE3"/>
    <w:rsid w:val="007C1D78"/>
    <w:rsid w:val="007C1DB3"/>
    <w:rsid w:val="007C1DE6"/>
    <w:rsid w:val="007C209D"/>
    <w:rsid w:val="007C20C3"/>
    <w:rsid w:val="007C2119"/>
    <w:rsid w:val="007C232C"/>
    <w:rsid w:val="007C2507"/>
    <w:rsid w:val="007C2622"/>
    <w:rsid w:val="007C270C"/>
    <w:rsid w:val="007C2889"/>
    <w:rsid w:val="007C28AC"/>
    <w:rsid w:val="007C293F"/>
    <w:rsid w:val="007C2A7A"/>
    <w:rsid w:val="007C2C3B"/>
    <w:rsid w:val="007C2CCD"/>
    <w:rsid w:val="007C2EE6"/>
    <w:rsid w:val="007C2F46"/>
    <w:rsid w:val="007C2F78"/>
    <w:rsid w:val="007C2F87"/>
    <w:rsid w:val="007C3195"/>
    <w:rsid w:val="007C3281"/>
    <w:rsid w:val="007C3428"/>
    <w:rsid w:val="007C34A1"/>
    <w:rsid w:val="007C34E0"/>
    <w:rsid w:val="007C3578"/>
    <w:rsid w:val="007C3597"/>
    <w:rsid w:val="007C374B"/>
    <w:rsid w:val="007C3835"/>
    <w:rsid w:val="007C39B8"/>
    <w:rsid w:val="007C3B35"/>
    <w:rsid w:val="007C3BD7"/>
    <w:rsid w:val="007C3C56"/>
    <w:rsid w:val="007C3C5A"/>
    <w:rsid w:val="007C3D88"/>
    <w:rsid w:val="007C3ECE"/>
    <w:rsid w:val="007C3EFB"/>
    <w:rsid w:val="007C3FAF"/>
    <w:rsid w:val="007C4098"/>
    <w:rsid w:val="007C40E4"/>
    <w:rsid w:val="007C41AF"/>
    <w:rsid w:val="007C4403"/>
    <w:rsid w:val="007C44F7"/>
    <w:rsid w:val="007C45F0"/>
    <w:rsid w:val="007C46E4"/>
    <w:rsid w:val="007C47F0"/>
    <w:rsid w:val="007C4857"/>
    <w:rsid w:val="007C4B6A"/>
    <w:rsid w:val="007C4B84"/>
    <w:rsid w:val="007C4CD4"/>
    <w:rsid w:val="007C4E17"/>
    <w:rsid w:val="007C4F41"/>
    <w:rsid w:val="007C51A1"/>
    <w:rsid w:val="007C52D5"/>
    <w:rsid w:val="007C569C"/>
    <w:rsid w:val="007C5798"/>
    <w:rsid w:val="007C5AF6"/>
    <w:rsid w:val="007C60CE"/>
    <w:rsid w:val="007C60D1"/>
    <w:rsid w:val="007C60E4"/>
    <w:rsid w:val="007C62F9"/>
    <w:rsid w:val="007C638F"/>
    <w:rsid w:val="007C63CB"/>
    <w:rsid w:val="007C64CA"/>
    <w:rsid w:val="007C69D3"/>
    <w:rsid w:val="007C6B1F"/>
    <w:rsid w:val="007C6CB5"/>
    <w:rsid w:val="007C6CDC"/>
    <w:rsid w:val="007C6E42"/>
    <w:rsid w:val="007C6F2F"/>
    <w:rsid w:val="007C6FAF"/>
    <w:rsid w:val="007C7049"/>
    <w:rsid w:val="007C720D"/>
    <w:rsid w:val="007C7226"/>
    <w:rsid w:val="007C725A"/>
    <w:rsid w:val="007C7337"/>
    <w:rsid w:val="007C74CD"/>
    <w:rsid w:val="007C7884"/>
    <w:rsid w:val="007C7891"/>
    <w:rsid w:val="007C7C07"/>
    <w:rsid w:val="007C7E37"/>
    <w:rsid w:val="007C7EA9"/>
    <w:rsid w:val="007C7EBB"/>
    <w:rsid w:val="007C7F44"/>
    <w:rsid w:val="007D0055"/>
    <w:rsid w:val="007D00D2"/>
    <w:rsid w:val="007D01F5"/>
    <w:rsid w:val="007D0250"/>
    <w:rsid w:val="007D0385"/>
    <w:rsid w:val="007D0397"/>
    <w:rsid w:val="007D039B"/>
    <w:rsid w:val="007D0494"/>
    <w:rsid w:val="007D04BA"/>
    <w:rsid w:val="007D0707"/>
    <w:rsid w:val="007D0A24"/>
    <w:rsid w:val="007D0AD3"/>
    <w:rsid w:val="007D0BC2"/>
    <w:rsid w:val="007D0D25"/>
    <w:rsid w:val="007D0DA0"/>
    <w:rsid w:val="007D121F"/>
    <w:rsid w:val="007D138D"/>
    <w:rsid w:val="007D171D"/>
    <w:rsid w:val="007D184B"/>
    <w:rsid w:val="007D1C38"/>
    <w:rsid w:val="007D1DD6"/>
    <w:rsid w:val="007D2018"/>
    <w:rsid w:val="007D2195"/>
    <w:rsid w:val="007D223F"/>
    <w:rsid w:val="007D2369"/>
    <w:rsid w:val="007D2627"/>
    <w:rsid w:val="007D27C2"/>
    <w:rsid w:val="007D2889"/>
    <w:rsid w:val="007D28CE"/>
    <w:rsid w:val="007D28F3"/>
    <w:rsid w:val="007D291B"/>
    <w:rsid w:val="007D299B"/>
    <w:rsid w:val="007D2D7D"/>
    <w:rsid w:val="007D2EFC"/>
    <w:rsid w:val="007D2FD0"/>
    <w:rsid w:val="007D305D"/>
    <w:rsid w:val="007D3464"/>
    <w:rsid w:val="007D365E"/>
    <w:rsid w:val="007D3ADA"/>
    <w:rsid w:val="007D3ADE"/>
    <w:rsid w:val="007D3C00"/>
    <w:rsid w:val="007D3DF0"/>
    <w:rsid w:val="007D40B2"/>
    <w:rsid w:val="007D412F"/>
    <w:rsid w:val="007D427D"/>
    <w:rsid w:val="007D44F4"/>
    <w:rsid w:val="007D454E"/>
    <w:rsid w:val="007D47CB"/>
    <w:rsid w:val="007D47E7"/>
    <w:rsid w:val="007D4857"/>
    <w:rsid w:val="007D48A3"/>
    <w:rsid w:val="007D49B2"/>
    <w:rsid w:val="007D49DC"/>
    <w:rsid w:val="007D4AE6"/>
    <w:rsid w:val="007D4B65"/>
    <w:rsid w:val="007D4B6A"/>
    <w:rsid w:val="007D4E91"/>
    <w:rsid w:val="007D4FDB"/>
    <w:rsid w:val="007D531F"/>
    <w:rsid w:val="007D53B3"/>
    <w:rsid w:val="007D53E8"/>
    <w:rsid w:val="007D5476"/>
    <w:rsid w:val="007D5532"/>
    <w:rsid w:val="007D55F4"/>
    <w:rsid w:val="007D56F6"/>
    <w:rsid w:val="007D570D"/>
    <w:rsid w:val="007D582F"/>
    <w:rsid w:val="007D5965"/>
    <w:rsid w:val="007D5B10"/>
    <w:rsid w:val="007D5B4C"/>
    <w:rsid w:val="007D5DAF"/>
    <w:rsid w:val="007D5EB8"/>
    <w:rsid w:val="007D6162"/>
    <w:rsid w:val="007D622F"/>
    <w:rsid w:val="007D6363"/>
    <w:rsid w:val="007D63C7"/>
    <w:rsid w:val="007D67C3"/>
    <w:rsid w:val="007D6957"/>
    <w:rsid w:val="007D69C3"/>
    <w:rsid w:val="007D6AD8"/>
    <w:rsid w:val="007D6B0D"/>
    <w:rsid w:val="007D6C49"/>
    <w:rsid w:val="007D6F0C"/>
    <w:rsid w:val="007D6F3A"/>
    <w:rsid w:val="007D6F64"/>
    <w:rsid w:val="007D70C1"/>
    <w:rsid w:val="007D7286"/>
    <w:rsid w:val="007D734A"/>
    <w:rsid w:val="007D73A0"/>
    <w:rsid w:val="007D790C"/>
    <w:rsid w:val="007D7980"/>
    <w:rsid w:val="007D7988"/>
    <w:rsid w:val="007D7A43"/>
    <w:rsid w:val="007D7F33"/>
    <w:rsid w:val="007E0023"/>
    <w:rsid w:val="007E00C2"/>
    <w:rsid w:val="007E0162"/>
    <w:rsid w:val="007E044A"/>
    <w:rsid w:val="007E0468"/>
    <w:rsid w:val="007E04B2"/>
    <w:rsid w:val="007E04C3"/>
    <w:rsid w:val="007E063C"/>
    <w:rsid w:val="007E08B2"/>
    <w:rsid w:val="007E09AD"/>
    <w:rsid w:val="007E0AE3"/>
    <w:rsid w:val="007E0AF3"/>
    <w:rsid w:val="007E0C60"/>
    <w:rsid w:val="007E0DC3"/>
    <w:rsid w:val="007E0ECD"/>
    <w:rsid w:val="007E115D"/>
    <w:rsid w:val="007E11CF"/>
    <w:rsid w:val="007E11E9"/>
    <w:rsid w:val="007E125D"/>
    <w:rsid w:val="007E129F"/>
    <w:rsid w:val="007E136C"/>
    <w:rsid w:val="007E148C"/>
    <w:rsid w:val="007E14CC"/>
    <w:rsid w:val="007E14FE"/>
    <w:rsid w:val="007E1611"/>
    <w:rsid w:val="007E1702"/>
    <w:rsid w:val="007E1738"/>
    <w:rsid w:val="007E17B9"/>
    <w:rsid w:val="007E17C4"/>
    <w:rsid w:val="007E1807"/>
    <w:rsid w:val="007E1920"/>
    <w:rsid w:val="007E1A01"/>
    <w:rsid w:val="007E1B91"/>
    <w:rsid w:val="007E1BDC"/>
    <w:rsid w:val="007E1D4C"/>
    <w:rsid w:val="007E1D52"/>
    <w:rsid w:val="007E1ED3"/>
    <w:rsid w:val="007E22FA"/>
    <w:rsid w:val="007E237E"/>
    <w:rsid w:val="007E2436"/>
    <w:rsid w:val="007E2513"/>
    <w:rsid w:val="007E2589"/>
    <w:rsid w:val="007E261C"/>
    <w:rsid w:val="007E27FF"/>
    <w:rsid w:val="007E2907"/>
    <w:rsid w:val="007E29C5"/>
    <w:rsid w:val="007E2D31"/>
    <w:rsid w:val="007E2DF8"/>
    <w:rsid w:val="007E2E63"/>
    <w:rsid w:val="007E2F08"/>
    <w:rsid w:val="007E2FE5"/>
    <w:rsid w:val="007E3204"/>
    <w:rsid w:val="007E3415"/>
    <w:rsid w:val="007E3602"/>
    <w:rsid w:val="007E362D"/>
    <w:rsid w:val="007E37B0"/>
    <w:rsid w:val="007E3974"/>
    <w:rsid w:val="007E39CC"/>
    <w:rsid w:val="007E3BAD"/>
    <w:rsid w:val="007E3CCE"/>
    <w:rsid w:val="007E3D11"/>
    <w:rsid w:val="007E3F73"/>
    <w:rsid w:val="007E4050"/>
    <w:rsid w:val="007E409D"/>
    <w:rsid w:val="007E40D6"/>
    <w:rsid w:val="007E4103"/>
    <w:rsid w:val="007E414D"/>
    <w:rsid w:val="007E42BE"/>
    <w:rsid w:val="007E435E"/>
    <w:rsid w:val="007E46DC"/>
    <w:rsid w:val="007E4710"/>
    <w:rsid w:val="007E478D"/>
    <w:rsid w:val="007E47C2"/>
    <w:rsid w:val="007E481E"/>
    <w:rsid w:val="007E4A77"/>
    <w:rsid w:val="007E4EF1"/>
    <w:rsid w:val="007E5129"/>
    <w:rsid w:val="007E51D9"/>
    <w:rsid w:val="007E51FD"/>
    <w:rsid w:val="007E52A3"/>
    <w:rsid w:val="007E52E2"/>
    <w:rsid w:val="007E532A"/>
    <w:rsid w:val="007E5523"/>
    <w:rsid w:val="007E55FE"/>
    <w:rsid w:val="007E563D"/>
    <w:rsid w:val="007E57C4"/>
    <w:rsid w:val="007E598C"/>
    <w:rsid w:val="007E5ADD"/>
    <w:rsid w:val="007E5B8A"/>
    <w:rsid w:val="007E5C4F"/>
    <w:rsid w:val="007E5E29"/>
    <w:rsid w:val="007E5F40"/>
    <w:rsid w:val="007E607E"/>
    <w:rsid w:val="007E642D"/>
    <w:rsid w:val="007E67E3"/>
    <w:rsid w:val="007E67F1"/>
    <w:rsid w:val="007E681E"/>
    <w:rsid w:val="007E696E"/>
    <w:rsid w:val="007E6C50"/>
    <w:rsid w:val="007E6D9B"/>
    <w:rsid w:val="007E7195"/>
    <w:rsid w:val="007E7236"/>
    <w:rsid w:val="007E743F"/>
    <w:rsid w:val="007E744C"/>
    <w:rsid w:val="007E756C"/>
    <w:rsid w:val="007E7619"/>
    <w:rsid w:val="007E76CA"/>
    <w:rsid w:val="007E78D7"/>
    <w:rsid w:val="007E7963"/>
    <w:rsid w:val="007E7B0D"/>
    <w:rsid w:val="007E7BF5"/>
    <w:rsid w:val="007E7C82"/>
    <w:rsid w:val="007E7D72"/>
    <w:rsid w:val="007E7E6D"/>
    <w:rsid w:val="007E7F13"/>
    <w:rsid w:val="007F04B8"/>
    <w:rsid w:val="007F0768"/>
    <w:rsid w:val="007F079B"/>
    <w:rsid w:val="007F07AF"/>
    <w:rsid w:val="007F084C"/>
    <w:rsid w:val="007F0B81"/>
    <w:rsid w:val="007F0C3E"/>
    <w:rsid w:val="007F0D30"/>
    <w:rsid w:val="007F0FB5"/>
    <w:rsid w:val="007F1120"/>
    <w:rsid w:val="007F11E1"/>
    <w:rsid w:val="007F12E8"/>
    <w:rsid w:val="007F1412"/>
    <w:rsid w:val="007F14C7"/>
    <w:rsid w:val="007F1843"/>
    <w:rsid w:val="007F18C1"/>
    <w:rsid w:val="007F18D5"/>
    <w:rsid w:val="007F1A05"/>
    <w:rsid w:val="007F1BEB"/>
    <w:rsid w:val="007F1C16"/>
    <w:rsid w:val="007F1D45"/>
    <w:rsid w:val="007F215D"/>
    <w:rsid w:val="007F227A"/>
    <w:rsid w:val="007F22DF"/>
    <w:rsid w:val="007F23D9"/>
    <w:rsid w:val="007F24E7"/>
    <w:rsid w:val="007F26EE"/>
    <w:rsid w:val="007F2B11"/>
    <w:rsid w:val="007F2BBB"/>
    <w:rsid w:val="007F2BEA"/>
    <w:rsid w:val="007F2D0E"/>
    <w:rsid w:val="007F2F34"/>
    <w:rsid w:val="007F30B7"/>
    <w:rsid w:val="007F3164"/>
    <w:rsid w:val="007F383B"/>
    <w:rsid w:val="007F386B"/>
    <w:rsid w:val="007F39AA"/>
    <w:rsid w:val="007F3BE8"/>
    <w:rsid w:val="007F3D01"/>
    <w:rsid w:val="007F3DFE"/>
    <w:rsid w:val="007F4122"/>
    <w:rsid w:val="007F4214"/>
    <w:rsid w:val="007F42A2"/>
    <w:rsid w:val="007F43D5"/>
    <w:rsid w:val="007F446B"/>
    <w:rsid w:val="007F46F8"/>
    <w:rsid w:val="007F4997"/>
    <w:rsid w:val="007F4A75"/>
    <w:rsid w:val="007F4A8E"/>
    <w:rsid w:val="007F4B4B"/>
    <w:rsid w:val="007F4C40"/>
    <w:rsid w:val="007F4C7B"/>
    <w:rsid w:val="007F5027"/>
    <w:rsid w:val="007F5141"/>
    <w:rsid w:val="007F52BC"/>
    <w:rsid w:val="007F53D3"/>
    <w:rsid w:val="007F5625"/>
    <w:rsid w:val="007F57CC"/>
    <w:rsid w:val="007F5A2E"/>
    <w:rsid w:val="007F5BE5"/>
    <w:rsid w:val="007F5D01"/>
    <w:rsid w:val="007F5DD7"/>
    <w:rsid w:val="007F5E24"/>
    <w:rsid w:val="007F5F58"/>
    <w:rsid w:val="007F6145"/>
    <w:rsid w:val="007F65DA"/>
    <w:rsid w:val="007F67BD"/>
    <w:rsid w:val="007F6872"/>
    <w:rsid w:val="007F6895"/>
    <w:rsid w:val="007F69EF"/>
    <w:rsid w:val="007F6B23"/>
    <w:rsid w:val="007F6C4B"/>
    <w:rsid w:val="007F7382"/>
    <w:rsid w:val="007F749C"/>
    <w:rsid w:val="007F74B8"/>
    <w:rsid w:val="007F7564"/>
    <w:rsid w:val="007F76C2"/>
    <w:rsid w:val="007F76F0"/>
    <w:rsid w:val="007F7BC0"/>
    <w:rsid w:val="007F7D3C"/>
    <w:rsid w:val="007F7DBD"/>
    <w:rsid w:val="007F7E0C"/>
    <w:rsid w:val="007F7E19"/>
    <w:rsid w:val="0080014E"/>
    <w:rsid w:val="00800210"/>
    <w:rsid w:val="00800384"/>
    <w:rsid w:val="00800459"/>
    <w:rsid w:val="008004CF"/>
    <w:rsid w:val="0080073A"/>
    <w:rsid w:val="00800940"/>
    <w:rsid w:val="008009EF"/>
    <w:rsid w:val="00800BFE"/>
    <w:rsid w:val="00800EB4"/>
    <w:rsid w:val="00800F4E"/>
    <w:rsid w:val="008010CA"/>
    <w:rsid w:val="008011D2"/>
    <w:rsid w:val="0080126F"/>
    <w:rsid w:val="0080127E"/>
    <w:rsid w:val="0080134C"/>
    <w:rsid w:val="0080158F"/>
    <w:rsid w:val="008016CD"/>
    <w:rsid w:val="008017F2"/>
    <w:rsid w:val="008018AA"/>
    <w:rsid w:val="00801987"/>
    <w:rsid w:val="00801B0C"/>
    <w:rsid w:val="00801CCB"/>
    <w:rsid w:val="00801EFB"/>
    <w:rsid w:val="00802084"/>
    <w:rsid w:val="00802358"/>
    <w:rsid w:val="00802371"/>
    <w:rsid w:val="008023F7"/>
    <w:rsid w:val="0080243D"/>
    <w:rsid w:val="0080272B"/>
    <w:rsid w:val="008027F0"/>
    <w:rsid w:val="00802AB9"/>
    <w:rsid w:val="00802AC1"/>
    <w:rsid w:val="00802DD5"/>
    <w:rsid w:val="00802DFB"/>
    <w:rsid w:val="0080311D"/>
    <w:rsid w:val="00803490"/>
    <w:rsid w:val="00803586"/>
    <w:rsid w:val="008035F9"/>
    <w:rsid w:val="00803787"/>
    <w:rsid w:val="00803949"/>
    <w:rsid w:val="00803A39"/>
    <w:rsid w:val="00803A6A"/>
    <w:rsid w:val="00803C00"/>
    <w:rsid w:val="00803D44"/>
    <w:rsid w:val="00803E4B"/>
    <w:rsid w:val="00803F32"/>
    <w:rsid w:val="00803F95"/>
    <w:rsid w:val="00803FFB"/>
    <w:rsid w:val="00804457"/>
    <w:rsid w:val="00804462"/>
    <w:rsid w:val="008044D3"/>
    <w:rsid w:val="00804601"/>
    <w:rsid w:val="00804814"/>
    <w:rsid w:val="0080482B"/>
    <w:rsid w:val="00804960"/>
    <w:rsid w:val="00804988"/>
    <w:rsid w:val="00804997"/>
    <w:rsid w:val="00804B81"/>
    <w:rsid w:val="00804B87"/>
    <w:rsid w:val="00804C13"/>
    <w:rsid w:val="00804E24"/>
    <w:rsid w:val="00804E7E"/>
    <w:rsid w:val="00804F0A"/>
    <w:rsid w:val="008051FC"/>
    <w:rsid w:val="00805204"/>
    <w:rsid w:val="008053B0"/>
    <w:rsid w:val="00805A77"/>
    <w:rsid w:val="00805DFD"/>
    <w:rsid w:val="0080612E"/>
    <w:rsid w:val="0080613F"/>
    <w:rsid w:val="00806163"/>
    <w:rsid w:val="00806199"/>
    <w:rsid w:val="008062CA"/>
    <w:rsid w:val="00806338"/>
    <w:rsid w:val="008064BD"/>
    <w:rsid w:val="00806509"/>
    <w:rsid w:val="008065F5"/>
    <w:rsid w:val="008066FA"/>
    <w:rsid w:val="008068B8"/>
    <w:rsid w:val="00806C6E"/>
    <w:rsid w:val="00806E51"/>
    <w:rsid w:val="0080701D"/>
    <w:rsid w:val="0080707C"/>
    <w:rsid w:val="008070F1"/>
    <w:rsid w:val="008074C7"/>
    <w:rsid w:val="00807715"/>
    <w:rsid w:val="0080777B"/>
    <w:rsid w:val="00807BAC"/>
    <w:rsid w:val="00807D2D"/>
    <w:rsid w:val="00807F38"/>
    <w:rsid w:val="00810242"/>
    <w:rsid w:val="0081037E"/>
    <w:rsid w:val="0081064C"/>
    <w:rsid w:val="0081066F"/>
    <w:rsid w:val="008106E4"/>
    <w:rsid w:val="00810995"/>
    <w:rsid w:val="00810A8E"/>
    <w:rsid w:val="00810CA4"/>
    <w:rsid w:val="00810D06"/>
    <w:rsid w:val="00810E60"/>
    <w:rsid w:val="00810F22"/>
    <w:rsid w:val="008111A1"/>
    <w:rsid w:val="008111EF"/>
    <w:rsid w:val="00811475"/>
    <w:rsid w:val="008115FF"/>
    <w:rsid w:val="0081161E"/>
    <w:rsid w:val="00811769"/>
    <w:rsid w:val="00811873"/>
    <w:rsid w:val="008118D7"/>
    <w:rsid w:val="008118F2"/>
    <w:rsid w:val="00811BA2"/>
    <w:rsid w:val="00811C27"/>
    <w:rsid w:val="00811D25"/>
    <w:rsid w:val="00811D33"/>
    <w:rsid w:val="00811E26"/>
    <w:rsid w:val="00811FC5"/>
    <w:rsid w:val="008121D7"/>
    <w:rsid w:val="00812380"/>
    <w:rsid w:val="008124E0"/>
    <w:rsid w:val="008128B1"/>
    <w:rsid w:val="008128D9"/>
    <w:rsid w:val="00812BDC"/>
    <w:rsid w:val="00812C0F"/>
    <w:rsid w:val="00812E49"/>
    <w:rsid w:val="0081310D"/>
    <w:rsid w:val="00813288"/>
    <w:rsid w:val="00813335"/>
    <w:rsid w:val="008133AA"/>
    <w:rsid w:val="008134BC"/>
    <w:rsid w:val="008134DB"/>
    <w:rsid w:val="00813542"/>
    <w:rsid w:val="008137DA"/>
    <w:rsid w:val="00813894"/>
    <w:rsid w:val="008138CC"/>
    <w:rsid w:val="00813C83"/>
    <w:rsid w:val="00814055"/>
    <w:rsid w:val="008142CF"/>
    <w:rsid w:val="00814343"/>
    <w:rsid w:val="008143F1"/>
    <w:rsid w:val="00814DB3"/>
    <w:rsid w:val="00814F1C"/>
    <w:rsid w:val="00814F80"/>
    <w:rsid w:val="00814FBC"/>
    <w:rsid w:val="008150DB"/>
    <w:rsid w:val="00815192"/>
    <w:rsid w:val="0081530C"/>
    <w:rsid w:val="0081536D"/>
    <w:rsid w:val="008154E0"/>
    <w:rsid w:val="00815648"/>
    <w:rsid w:val="008156C2"/>
    <w:rsid w:val="008158FD"/>
    <w:rsid w:val="00815A96"/>
    <w:rsid w:val="00815D70"/>
    <w:rsid w:val="0081624B"/>
    <w:rsid w:val="008162C9"/>
    <w:rsid w:val="00816567"/>
    <w:rsid w:val="008165CC"/>
    <w:rsid w:val="00816621"/>
    <w:rsid w:val="008166CC"/>
    <w:rsid w:val="008167AF"/>
    <w:rsid w:val="0081699C"/>
    <w:rsid w:val="00816CFD"/>
    <w:rsid w:val="00816D23"/>
    <w:rsid w:val="00816E7A"/>
    <w:rsid w:val="00816FAE"/>
    <w:rsid w:val="008170D3"/>
    <w:rsid w:val="00817176"/>
    <w:rsid w:val="0081727F"/>
    <w:rsid w:val="008172C0"/>
    <w:rsid w:val="00817352"/>
    <w:rsid w:val="00817358"/>
    <w:rsid w:val="00817670"/>
    <w:rsid w:val="008177CD"/>
    <w:rsid w:val="00817BA3"/>
    <w:rsid w:val="00817BC0"/>
    <w:rsid w:val="00817C35"/>
    <w:rsid w:val="00817C83"/>
    <w:rsid w:val="00817DD3"/>
    <w:rsid w:val="00817EA7"/>
    <w:rsid w:val="00817F56"/>
    <w:rsid w:val="00817F9A"/>
    <w:rsid w:val="00817F9E"/>
    <w:rsid w:val="00820006"/>
    <w:rsid w:val="00820025"/>
    <w:rsid w:val="008202C1"/>
    <w:rsid w:val="008203A7"/>
    <w:rsid w:val="008207FC"/>
    <w:rsid w:val="0082093C"/>
    <w:rsid w:val="00820BBD"/>
    <w:rsid w:val="00820F7A"/>
    <w:rsid w:val="00821306"/>
    <w:rsid w:val="008213C3"/>
    <w:rsid w:val="008213F0"/>
    <w:rsid w:val="008215EA"/>
    <w:rsid w:val="008216B1"/>
    <w:rsid w:val="008217F8"/>
    <w:rsid w:val="008219F5"/>
    <w:rsid w:val="00821CAA"/>
    <w:rsid w:val="00821F0A"/>
    <w:rsid w:val="00821F22"/>
    <w:rsid w:val="00822136"/>
    <w:rsid w:val="008223A3"/>
    <w:rsid w:val="008224EA"/>
    <w:rsid w:val="008224ED"/>
    <w:rsid w:val="00822805"/>
    <w:rsid w:val="0082290A"/>
    <w:rsid w:val="0082296A"/>
    <w:rsid w:val="008229E0"/>
    <w:rsid w:val="00822A9B"/>
    <w:rsid w:val="00822C4C"/>
    <w:rsid w:val="00822E6A"/>
    <w:rsid w:val="00822E8C"/>
    <w:rsid w:val="00822F30"/>
    <w:rsid w:val="00822FDB"/>
    <w:rsid w:val="00823377"/>
    <w:rsid w:val="008233AF"/>
    <w:rsid w:val="0082346B"/>
    <w:rsid w:val="00823495"/>
    <w:rsid w:val="008234C6"/>
    <w:rsid w:val="00823516"/>
    <w:rsid w:val="0082361C"/>
    <w:rsid w:val="008236DE"/>
    <w:rsid w:val="00823B60"/>
    <w:rsid w:val="00823BA2"/>
    <w:rsid w:val="00823D2D"/>
    <w:rsid w:val="00823DA0"/>
    <w:rsid w:val="00824159"/>
    <w:rsid w:val="0082428C"/>
    <w:rsid w:val="0082434C"/>
    <w:rsid w:val="008243FF"/>
    <w:rsid w:val="008245F3"/>
    <w:rsid w:val="0082487C"/>
    <w:rsid w:val="0082494F"/>
    <w:rsid w:val="00824978"/>
    <w:rsid w:val="00824B14"/>
    <w:rsid w:val="00824B7B"/>
    <w:rsid w:val="00824D3E"/>
    <w:rsid w:val="00824DB6"/>
    <w:rsid w:val="00824F1D"/>
    <w:rsid w:val="00824FCB"/>
    <w:rsid w:val="00825311"/>
    <w:rsid w:val="00825396"/>
    <w:rsid w:val="0082544A"/>
    <w:rsid w:val="00825538"/>
    <w:rsid w:val="00825598"/>
    <w:rsid w:val="008255FC"/>
    <w:rsid w:val="00825855"/>
    <w:rsid w:val="008258B4"/>
    <w:rsid w:val="00825908"/>
    <w:rsid w:val="00825A7A"/>
    <w:rsid w:val="00825B06"/>
    <w:rsid w:val="00825B20"/>
    <w:rsid w:val="00825D05"/>
    <w:rsid w:val="00825ED4"/>
    <w:rsid w:val="00825F45"/>
    <w:rsid w:val="00826030"/>
    <w:rsid w:val="008262F8"/>
    <w:rsid w:val="00826A0C"/>
    <w:rsid w:val="00826CB5"/>
    <w:rsid w:val="00826D46"/>
    <w:rsid w:val="00826DDF"/>
    <w:rsid w:val="00827004"/>
    <w:rsid w:val="008270B5"/>
    <w:rsid w:val="008274C3"/>
    <w:rsid w:val="0082750F"/>
    <w:rsid w:val="008275B8"/>
    <w:rsid w:val="00827617"/>
    <w:rsid w:val="008277A9"/>
    <w:rsid w:val="00827912"/>
    <w:rsid w:val="00827BC8"/>
    <w:rsid w:val="00827D8E"/>
    <w:rsid w:val="00827DA5"/>
    <w:rsid w:val="008300CE"/>
    <w:rsid w:val="0083022E"/>
    <w:rsid w:val="008302C6"/>
    <w:rsid w:val="00830751"/>
    <w:rsid w:val="00830846"/>
    <w:rsid w:val="00830857"/>
    <w:rsid w:val="00830910"/>
    <w:rsid w:val="00830B60"/>
    <w:rsid w:val="00830B6B"/>
    <w:rsid w:val="00830C39"/>
    <w:rsid w:val="00830EB0"/>
    <w:rsid w:val="00831105"/>
    <w:rsid w:val="00831165"/>
    <w:rsid w:val="00831431"/>
    <w:rsid w:val="0083144C"/>
    <w:rsid w:val="00831687"/>
    <w:rsid w:val="0083173B"/>
    <w:rsid w:val="00831797"/>
    <w:rsid w:val="00831C7F"/>
    <w:rsid w:val="00831DA9"/>
    <w:rsid w:val="00831EE0"/>
    <w:rsid w:val="008320C8"/>
    <w:rsid w:val="0083214C"/>
    <w:rsid w:val="008321A3"/>
    <w:rsid w:val="008322E1"/>
    <w:rsid w:val="00832342"/>
    <w:rsid w:val="008323D6"/>
    <w:rsid w:val="008324CA"/>
    <w:rsid w:val="0083252E"/>
    <w:rsid w:val="008325F0"/>
    <w:rsid w:val="00832833"/>
    <w:rsid w:val="008328C7"/>
    <w:rsid w:val="00832A67"/>
    <w:rsid w:val="00832AD3"/>
    <w:rsid w:val="00832B77"/>
    <w:rsid w:val="00832B8D"/>
    <w:rsid w:val="00832BEE"/>
    <w:rsid w:val="00833024"/>
    <w:rsid w:val="0083313C"/>
    <w:rsid w:val="00833174"/>
    <w:rsid w:val="00833235"/>
    <w:rsid w:val="008337E9"/>
    <w:rsid w:val="00833952"/>
    <w:rsid w:val="00833E9D"/>
    <w:rsid w:val="00833EA8"/>
    <w:rsid w:val="00834076"/>
    <w:rsid w:val="008341BF"/>
    <w:rsid w:val="008342BE"/>
    <w:rsid w:val="0083446B"/>
    <w:rsid w:val="008344A6"/>
    <w:rsid w:val="008344DA"/>
    <w:rsid w:val="008344EC"/>
    <w:rsid w:val="00834581"/>
    <w:rsid w:val="0083472E"/>
    <w:rsid w:val="00834DC8"/>
    <w:rsid w:val="00834DF4"/>
    <w:rsid w:val="008351E4"/>
    <w:rsid w:val="0083539A"/>
    <w:rsid w:val="00835534"/>
    <w:rsid w:val="008355D2"/>
    <w:rsid w:val="008356C9"/>
    <w:rsid w:val="00835786"/>
    <w:rsid w:val="00835825"/>
    <w:rsid w:val="0083593B"/>
    <w:rsid w:val="00835A89"/>
    <w:rsid w:val="00835BA3"/>
    <w:rsid w:val="00835D37"/>
    <w:rsid w:val="00835DBB"/>
    <w:rsid w:val="00836078"/>
    <w:rsid w:val="00836138"/>
    <w:rsid w:val="0083637B"/>
    <w:rsid w:val="00836560"/>
    <w:rsid w:val="0083669B"/>
    <w:rsid w:val="00836700"/>
    <w:rsid w:val="00836760"/>
    <w:rsid w:val="008368F6"/>
    <w:rsid w:val="00836D5A"/>
    <w:rsid w:val="00837747"/>
    <w:rsid w:val="0083795F"/>
    <w:rsid w:val="00837AA2"/>
    <w:rsid w:val="00837D05"/>
    <w:rsid w:val="00837D0C"/>
    <w:rsid w:val="00837D90"/>
    <w:rsid w:val="00837F2F"/>
    <w:rsid w:val="00837F62"/>
    <w:rsid w:val="00840106"/>
    <w:rsid w:val="0084017D"/>
    <w:rsid w:val="00840193"/>
    <w:rsid w:val="008402FE"/>
    <w:rsid w:val="00840339"/>
    <w:rsid w:val="008403DD"/>
    <w:rsid w:val="00840470"/>
    <w:rsid w:val="0084047A"/>
    <w:rsid w:val="0084051B"/>
    <w:rsid w:val="0084062F"/>
    <w:rsid w:val="008407B8"/>
    <w:rsid w:val="008408F6"/>
    <w:rsid w:val="00840B23"/>
    <w:rsid w:val="00840BA7"/>
    <w:rsid w:val="00840C21"/>
    <w:rsid w:val="00840E7B"/>
    <w:rsid w:val="00840F08"/>
    <w:rsid w:val="0084102C"/>
    <w:rsid w:val="00841469"/>
    <w:rsid w:val="008415C9"/>
    <w:rsid w:val="00841803"/>
    <w:rsid w:val="00841942"/>
    <w:rsid w:val="00841976"/>
    <w:rsid w:val="00841CE3"/>
    <w:rsid w:val="00841EB2"/>
    <w:rsid w:val="00841F4E"/>
    <w:rsid w:val="008420E6"/>
    <w:rsid w:val="00842104"/>
    <w:rsid w:val="00842375"/>
    <w:rsid w:val="00842396"/>
    <w:rsid w:val="008425A3"/>
    <w:rsid w:val="008426AF"/>
    <w:rsid w:val="00842968"/>
    <w:rsid w:val="008429D6"/>
    <w:rsid w:val="00842EBA"/>
    <w:rsid w:val="008430C2"/>
    <w:rsid w:val="0084317F"/>
    <w:rsid w:val="00843468"/>
    <w:rsid w:val="008435EA"/>
    <w:rsid w:val="0084364F"/>
    <w:rsid w:val="008436E3"/>
    <w:rsid w:val="008437C9"/>
    <w:rsid w:val="0084386B"/>
    <w:rsid w:val="008438D2"/>
    <w:rsid w:val="008438D3"/>
    <w:rsid w:val="00843921"/>
    <w:rsid w:val="00843BDA"/>
    <w:rsid w:val="00843C03"/>
    <w:rsid w:val="00843CF8"/>
    <w:rsid w:val="00844043"/>
    <w:rsid w:val="00844137"/>
    <w:rsid w:val="00844344"/>
    <w:rsid w:val="008443B4"/>
    <w:rsid w:val="00844553"/>
    <w:rsid w:val="00844608"/>
    <w:rsid w:val="008448FE"/>
    <w:rsid w:val="0084491B"/>
    <w:rsid w:val="008449A5"/>
    <w:rsid w:val="00844AF8"/>
    <w:rsid w:val="00844CF6"/>
    <w:rsid w:val="008450A4"/>
    <w:rsid w:val="008450F7"/>
    <w:rsid w:val="0084520B"/>
    <w:rsid w:val="00845276"/>
    <w:rsid w:val="00845498"/>
    <w:rsid w:val="00845680"/>
    <w:rsid w:val="00845681"/>
    <w:rsid w:val="0084569A"/>
    <w:rsid w:val="008456C1"/>
    <w:rsid w:val="008456DF"/>
    <w:rsid w:val="008456F1"/>
    <w:rsid w:val="00845A13"/>
    <w:rsid w:val="00845AF5"/>
    <w:rsid w:val="00845AFF"/>
    <w:rsid w:val="00845BD0"/>
    <w:rsid w:val="00845C70"/>
    <w:rsid w:val="00845DB6"/>
    <w:rsid w:val="00845FEB"/>
    <w:rsid w:val="008462E5"/>
    <w:rsid w:val="00846372"/>
    <w:rsid w:val="00846429"/>
    <w:rsid w:val="00846565"/>
    <w:rsid w:val="008465B5"/>
    <w:rsid w:val="00846642"/>
    <w:rsid w:val="00846793"/>
    <w:rsid w:val="00846921"/>
    <w:rsid w:val="008469D5"/>
    <w:rsid w:val="00846A49"/>
    <w:rsid w:val="00846B8B"/>
    <w:rsid w:val="00846BED"/>
    <w:rsid w:val="00846D62"/>
    <w:rsid w:val="00847084"/>
    <w:rsid w:val="008471A3"/>
    <w:rsid w:val="008473D7"/>
    <w:rsid w:val="008476E0"/>
    <w:rsid w:val="00847753"/>
    <w:rsid w:val="00847ABB"/>
    <w:rsid w:val="00847C0A"/>
    <w:rsid w:val="00847CDA"/>
    <w:rsid w:val="00850053"/>
    <w:rsid w:val="00850154"/>
    <w:rsid w:val="00850337"/>
    <w:rsid w:val="00850404"/>
    <w:rsid w:val="008504D2"/>
    <w:rsid w:val="008506ED"/>
    <w:rsid w:val="00850875"/>
    <w:rsid w:val="00850892"/>
    <w:rsid w:val="0085089C"/>
    <w:rsid w:val="00850910"/>
    <w:rsid w:val="00850985"/>
    <w:rsid w:val="00850A1A"/>
    <w:rsid w:val="00850A97"/>
    <w:rsid w:val="00850A9A"/>
    <w:rsid w:val="00850C08"/>
    <w:rsid w:val="00850E05"/>
    <w:rsid w:val="00850EE5"/>
    <w:rsid w:val="008510B2"/>
    <w:rsid w:val="00851527"/>
    <w:rsid w:val="008515EB"/>
    <w:rsid w:val="008515F7"/>
    <w:rsid w:val="00851626"/>
    <w:rsid w:val="00851838"/>
    <w:rsid w:val="0085185E"/>
    <w:rsid w:val="00851A36"/>
    <w:rsid w:val="00851D6D"/>
    <w:rsid w:val="00852130"/>
    <w:rsid w:val="008522DF"/>
    <w:rsid w:val="008522EA"/>
    <w:rsid w:val="008524ED"/>
    <w:rsid w:val="0085256F"/>
    <w:rsid w:val="008525BD"/>
    <w:rsid w:val="00852699"/>
    <w:rsid w:val="008526DD"/>
    <w:rsid w:val="008526ED"/>
    <w:rsid w:val="008528C8"/>
    <w:rsid w:val="008528E6"/>
    <w:rsid w:val="00852AA2"/>
    <w:rsid w:val="00852B65"/>
    <w:rsid w:val="00852D32"/>
    <w:rsid w:val="00852E37"/>
    <w:rsid w:val="00852EA2"/>
    <w:rsid w:val="00852F6D"/>
    <w:rsid w:val="00852F8D"/>
    <w:rsid w:val="00852FDF"/>
    <w:rsid w:val="00853277"/>
    <w:rsid w:val="008532DA"/>
    <w:rsid w:val="008532E1"/>
    <w:rsid w:val="0085352B"/>
    <w:rsid w:val="00853537"/>
    <w:rsid w:val="00853544"/>
    <w:rsid w:val="008538C1"/>
    <w:rsid w:val="00853DEC"/>
    <w:rsid w:val="00853F48"/>
    <w:rsid w:val="0085403B"/>
    <w:rsid w:val="00854249"/>
    <w:rsid w:val="0085432B"/>
    <w:rsid w:val="0085432D"/>
    <w:rsid w:val="00854389"/>
    <w:rsid w:val="00854502"/>
    <w:rsid w:val="008546B3"/>
    <w:rsid w:val="008548D8"/>
    <w:rsid w:val="00854BE8"/>
    <w:rsid w:val="00854DBE"/>
    <w:rsid w:val="00855011"/>
    <w:rsid w:val="0085545C"/>
    <w:rsid w:val="00855579"/>
    <w:rsid w:val="00855650"/>
    <w:rsid w:val="00855659"/>
    <w:rsid w:val="008556EE"/>
    <w:rsid w:val="008557DB"/>
    <w:rsid w:val="00855949"/>
    <w:rsid w:val="00855956"/>
    <w:rsid w:val="00855A82"/>
    <w:rsid w:val="00855B80"/>
    <w:rsid w:val="00855BFA"/>
    <w:rsid w:val="00855FC9"/>
    <w:rsid w:val="00855FFA"/>
    <w:rsid w:val="0085603B"/>
    <w:rsid w:val="00856081"/>
    <w:rsid w:val="00856176"/>
    <w:rsid w:val="0085629D"/>
    <w:rsid w:val="00856346"/>
    <w:rsid w:val="00856682"/>
    <w:rsid w:val="00856BEC"/>
    <w:rsid w:val="00856D5C"/>
    <w:rsid w:val="00856E3A"/>
    <w:rsid w:val="00856FDE"/>
    <w:rsid w:val="00857213"/>
    <w:rsid w:val="008572E1"/>
    <w:rsid w:val="0085730D"/>
    <w:rsid w:val="00857580"/>
    <w:rsid w:val="00857646"/>
    <w:rsid w:val="00857715"/>
    <w:rsid w:val="008578B1"/>
    <w:rsid w:val="008579DF"/>
    <w:rsid w:val="008579F3"/>
    <w:rsid w:val="00857A22"/>
    <w:rsid w:val="00857AA5"/>
    <w:rsid w:val="00857AAC"/>
    <w:rsid w:val="00857B53"/>
    <w:rsid w:val="00857B65"/>
    <w:rsid w:val="00857E12"/>
    <w:rsid w:val="00857E1A"/>
    <w:rsid w:val="00857E30"/>
    <w:rsid w:val="00857EA3"/>
    <w:rsid w:val="00857F40"/>
    <w:rsid w:val="00857FD0"/>
    <w:rsid w:val="0086003D"/>
    <w:rsid w:val="008601BE"/>
    <w:rsid w:val="00860233"/>
    <w:rsid w:val="00860500"/>
    <w:rsid w:val="00860AE8"/>
    <w:rsid w:val="00860B19"/>
    <w:rsid w:val="00860C57"/>
    <w:rsid w:val="00860D5C"/>
    <w:rsid w:val="00860DC2"/>
    <w:rsid w:val="00860F9D"/>
    <w:rsid w:val="00861220"/>
    <w:rsid w:val="00861287"/>
    <w:rsid w:val="00861418"/>
    <w:rsid w:val="0086144A"/>
    <w:rsid w:val="00861790"/>
    <w:rsid w:val="00861958"/>
    <w:rsid w:val="00861A38"/>
    <w:rsid w:val="00861A9F"/>
    <w:rsid w:val="00861C8C"/>
    <w:rsid w:val="00861DD4"/>
    <w:rsid w:val="00862014"/>
    <w:rsid w:val="0086201C"/>
    <w:rsid w:val="008621A5"/>
    <w:rsid w:val="008621DE"/>
    <w:rsid w:val="00862283"/>
    <w:rsid w:val="00862403"/>
    <w:rsid w:val="00862435"/>
    <w:rsid w:val="00862445"/>
    <w:rsid w:val="008625AE"/>
    <w:rsid w:val="008625B7"/>
    <w:rsid w:val="008625C9"/>
    <w:rsid w:val="008625F0"/>
    <w:rsid w:val="008626C4"/>
    <w:rsid w:val="008626CD"/>
    <w:rsid w:val="008626DF"/>
    <w:rsid w:val="0086296F"/>
    <w:rsid w:val="00862A3E"/>
    <w:rsid w:val="00862B11"/>
    <w:rsid w:val="00862C3E"/>
    <w:rsid w:val="00862D7A"/>
    <w:rsid w:val="00862DE3"/>
    <w:rsid w:val="00862E29"/>
    <w:rsid w:val="00862E47"/>
    <w:rsid w:val="00862F75"/>
    <w:rsid w:val="00863054"/>
    <w:rsid w:val="0086319E"/>
    <w:rsid w:val="008631EC"/>
    <w:rsid w:val="008633FD"/>
    <w:rsid w:val="00863691"/>
    <w:rsid w:val="00863865"/>
    <w:rsid w:val="008638DF"/>
    <w:rsid w:val="008638E3"/>
    <w:rsid w:val="0086397E"/>
    <w:rsid w:val="00863BCA"/>
    <w:rsid w:val="00863E1F"/>
    <w:rsid w:val="00863FC9"/>
    <w:rsid w:val="0086404E"/>
    <w:rsid w:val="00864085"/>
    <w:rsid w:val="00864577"/>
    <w:rsid w:val="008645A1"/>
    <w:rsid w:val="00864694"/>
    <w:rsid w:val="008647D6"/>
    <w:rsid w:val="008647EC"/>
    <w:rsid w:val="00864A5F"/>
    <w:rsid w:val="00864BDF"/>
    <w:rsid w:val="00864F02"/>
    <w:rsid w:val="00864F95"/>
    <w:rsid w:val="00864FC8"/>
    <w:rsid w:val="00865420"/>
    <w:rsid w:val="00865449"/>
    <w:rsid w:val="008656C8"/>
    <w:rsid w:val="00865765"/>
    <w:rsid w:val="00865791"/>
    <w:rsid w:val="00865875"/>
    <w:rsid w:val="00865B4B"/>
    <w:rsid w:val="00865CAB"/>
    <w:rsid w:val="00865FC2"/>
    <w:rsid w:val="008660AB"/>
    <w:rsid w:val="0086610C"/>
    <w:rsid w:val="00866676"/>
    <w:rsid w:val="00866702"/>
    <w:rsid w:val="00866827"/>
    <w:rsid w:val="0086688D"/>
    <w:rsid w:val="008668E1"/>
    <w:rsid w:val="0086691C"/>
    <w:rsid w:val="00866C39"/>
    <w:rsid w:val="00866E1D"/>
    <w:rsid w:val="00866F4E"/>
    <w:rsid w:val="00867275"/>
    <w:rsid w:val="0086729A"/>
    <w:rsid w:val="00867348"/>
    <w:rsid w:val="0086754E"/>
    <w:rsid w:val="008675D2"/>
    <w:rsid w:val="00867908"/>
    <w:rsid w:val="00867B32"/>
    <w:rsid w:val="00867B3C"/>
    <w:rsid w:val="00867D22"/>
    <w:rsid w:val="00867D6F"/>
    <w:rsid w:val="00867FF1"/>
    <w:rsid w:val="008700D2"/>
    <w:rsid w:val="00870713"/>
    <w:rsid w:val="008708A1"/>
    <w:rsid w:val="00870AA0"/>
    <w:rsid w:val="00870C21"/>
    <w:rsid w:val="00870D1E"/>
    <w:rsid w:val="00870E07"/>
    <w:rsid w:val="00870E74"/>
    <w:rsid w:val="00870FDC"/>
    <w:rsid w:val="00871136"/>
    <w:rsid w:val="0087117E"/>
    <w:rsid w:val="00871185"/>
    <w:rsid w:val="00871190"/>
    <w:rsid w:val="008711E2"/>
    <w:rsid w:val="008713A9"/>
    <w:rsid w:val="008713D8"/>
    <w:rsid w:val="00871638"/>
    <w:rsid w:val="0087167B"/>
    <w:rsid w:val="0087169E"/>
    <w:rsid w:val="00871785"/>
    <w:rsid w:val="008718F9"/>
    <w:rsid w:val="00871BCE"/>
    <w:rsid w:val="00871C89"/>
    <w:rsid w:val="00871D5F"/>
    <w:rsid w:val="00871F69"/>
    <w:rsid w:val="0087214B"/>
    <w:rsid w:val="0087217B"/>
    <w:rsid w:val="008721E6"/>
    <w:rsid w:val="00872283"/>
    <w:rsid w:val="0087242B"/>
    <w:rsid w:val="00872727"/>
    <w:rsid w:val="0087287A"/>
    <w:rsid w:val="008729E8"/>
    <w:rsid w:val="00872BEE"/>
    <w:rsid w:val="00872E16"/>
    <w:rsid w:val="00872E2A"/>
    <w:rsid w:val="00872EBA"/>
    <w:rsid w:val="00872EF5"/>
    <w:rsid w:val="00872F5D"/>
    <w:rsid w:val="00872FC6"/>
    <w:rsid w:val="008730B7"/>
    <w:rsid w:val="00873118"/>
    <w:rsid w:val="00873772"/>
    <w:rsid w:val="00873854"/>
    <w:rsid w:val="008739C6"/>
    <w:rsid w:val="00873A0D"/>
    <w:rsid w:val="00873BDA"/>
    <w:rsid w:val="00873D46"/>
    <w:rsid w:val="00873F6B"/>
    <w:rsid w:val="00874047"/>
    <w:rsid w:val="008744D2"/>
    <w:rsid w:val="008746BC"/>
    <w:rsid w:val="008749FB"/>
    <w:rsid w:val="00874AD4"/>
    <w:rsid w:val="00874B3E"/>
    <w:rsid w:val="00874BB7"/>
    <w:rsid w:val="00874C36"/>
    <w:rsid w:val="00874E17"/>
    <w:rsid w:val="00874FC4"/>
    <w:rsid w:val="00875231"/>
    <w:rsid w:val="00875232"/>
    <w:rsid w:val="0087547B"/>
    <w:rsid w:val="00875647"/>
    <w:rsid w:val="00875770"/>
    <w:rsid w:val="008757D6"/>
    <w:rsid w:val="00875880"/>
    <w:rsid w:val="00875942"/>
    <w:rsid w:val="00875AC4"/>
    <w:rsid w:val="00875C55"/>
    <w:rsid w:val="00875C5C"/>
    <w:rsid w:val="00875D24"/>
    <w:rsid w:val="00875E64"/>
    <w:rsid w:val="00875E81"/>
    <w:rsid w:val="00876005"/>
    <w:rsid w:val="00876048"/>
    <w:rsid w:val="0087631F"/>
    <w:rsid w:val="00876352"/>
    <w:rsid w:val="00876374"/>
    <w:rsid w:val="008763BA"/>
    <w:rsid w:val="008764FA"/>
    <w:rsid w:val="008765E5"/>
    <w:rsid w:val="00876697"/>
    <w:rsid w:val="00876776"/>
    <w:rsid w:val="00876A06"/>
    <w:rsid w:val="00876A3B"/>
    <w:rsid w:val="00876A5D"/>
    <w:rsid w:val="00876C7C"/>
    <w:rsid w:val="00876DC2"/>
    <w:rsid w:val="00876DDB"/>
    <w:rsid w:val="00876E00"/>
    <w:rsid w:val="00876FF4"/>
    <w:rsid w:val="0087715E"/>
    <w:rsid w:val="008773C7"/>
    <w:rsid w:val="00877445"/>
    <w:rsid w:val="00877479"/>
    <w:rsid w:val="0087757A"/>
    <w:rsid w:val="0087760D"/>
    <w:rsid w:val="0087782F"/>
    <w:rsid w:val="0087797A"/>
    <w:rsid w:val="00877F8E"/>
    <w:rsid w:val="00877FD4"/>
    <w:rsid w:val="00880175"/>
    <w:rsid w:val="00880394"/>
    <w:rsid w:val="0088039B"/>
    <w:rsid w:val="00880455"/>
    <w:rsid w:val="00880463"/>
    <w:rsid w:val="00880478"/>
    <w:rsid w:val="00880668"/>
    <w:rsid w:val="0088086C"/>
    <w:rsid w:val="00880971"/>
    <w:rsid w:val="008809F0"/>
    <w:rsid w:val="00880D94"/>
    <w:rsid w:val="00880E87"/>
    <w:rsid w:val="00880F0D"/>
    <w:rsid w:val="00880FE2"/>
    <w:rsid w:val="00881003"/>
    <w:rsid w:val="00881022"/>
    <w:rsid w:val="00881124"/>
    <w:rsid w:val="008811AD"/>
    <w:rsid w:val="0088139E"/>
    <w:rsid w:val="0088157F"/>
    <w:rsid w:val="0088158A"/>
    <w:rsid w:val="00881657"/>
    <w:rsid w:val="00881717"/>
    <w:rsid w:val="00881768"/>
    <w:rsid w:val="00881ACD"/>
    <w:rsid w:val="00881C95"/>
    <w:rsid w:val="00881CD6"/>
    <w:rsid w:val="00881CF4"/>
    <w:rsid w:val="008820CB"/>
    <w:rsid w:val="008820E8"/>
    <w:rsid w:val="00882164"/>
    <w:rsid w:val="008821B8"/>
    <w:rsid w:val="008822E4"/>
    <w:rsid w:val="008823B0"/>
    <w:rsid w:val="008823E2"/>
    <w:rsid w:val="0088242D"/>
    <w:rsid w:val="00882654"/>
    <w:rsid w:val="0088276E"/>
    <w:rsid w:val="008828AB"/>
    <w:rsid w:val="00882C71"/>
    <w:rsid w:val="00882DB7"/>
    <w:rsid w:val="00882EFF"/>
    <w:rsid w:val="00882F79"/>
    <w:rsid w:val="00882F7B"/>
    <w:rsid w:val="00883442"/>
    <w:rsid w:val="0088348E"/>
    <w:rsid w:val="0088351B"/>
    <w:rsid w:val="00883544"/>
    <w:rsid w:val="00883617"/>
    <w:rsid w:val="0088380F"/>
    <w:rsid w:val="0088382C"/>
    <w:rsid w:val="00883A9F"/>
    <w:rsid w:val="00883B83"/>
    <w:rsid w:val="00883C94"/>
    <w:rsid w:val="00883F25"/>
    <w:rsid w:val="00883FBF"/>
    <w:rsid w:val="00883FE4"/>
    <w:rsid w:val="0088403E"/>
    <w:rsid w:val="008842E4"/>
    <w:rsid w:val="00884326"/>
    <w:rsid w:val="0088432D"/>
    <w:rsid w:val="0088454F"/>
    <w:rsid w:val="008846A0"/>
    <w:rsid w:val="008848D5"/>
    <w:rsid w:val="00884A07"/>
    <w:rsid w:val="00884C2E"/>
    <w:rsid w:val="00884CD4"/>
    <w:rsid w:val="00884E39"/>
    <w:rsid w:val="00884EDB"/>
    <w:rsid w:val="008850CB"/>
    <w:rsid w:val="00885170"/>
    <w:rsid w:val="008851B7"/>
    <w:rsid w:val="008851C4"/>
    <w:rsid w:val="00885566"/>
    <w:rsid w:val="0088574D"/>
    <w:rsid w:val="0088580A"/>
    <w:rsid w:val="00885929"/>
    <w:rsid w:val="00885A99"/>
    <w:rsid w:val="00885AF1"/>
    <w:rsid w:val="00885CB0"/>
    <w:rsid w:val="00885CCB"/>
    <w:rsid w:val="00885DFE"/>
    <w:rsid w:val="00885F0F"/>
    <w:rsid w:val="00886193"/>
    <w:rsid w:val="008863D0"/>
    <w:rsid w:val="00886710"/>
    <w:rsid w:val="0088675A"/>
    <w:rsid w:val="00886A06"/>
    <w:rsid w:val="00886A88"/>
    <w:rsid w:val="00886B30"/>
    <w:rsid w:val="00886C2F"/>
    <w:rsid w:val="00886CDA"/>
    <w:rsid w:val="00886DF1"/>
    <w:rsid w:val="00886E36"/>
    <w:rsid w:val="0088702D"/>
    <w:rsid w:val="00887032"/>
    <w:rsid w:val="008870D5"/>
    <w:rsid w:val="008870F0"/>
    <w:rsid w:val="00887553"/>
    <w:rsid w:val="008875CE"/>
    <w:rsid w:val="00887740"/>
    <w:rsid w:val="00887918"/>
    <w:rsid w:val="00887ACF"/>
    <w:rsid w:val="00887D58"/>
    <w:rsid w:val="00887F69"/>
    <w:rsid w:val="00887FDC"/>
    <w:rsid w:val="008900EF"/>
    <w:rsid w:val="0089021D"/>
    <w:rsid w:val="008902FB"/>
    <w:rsid w:val="008903C9"/>
    <w:rsid w:val="00890480"/>
    <w:rsid w:val="008906A8"/>
    <w:rsid w:val="00890868"/>
    <w:rsid w:val="008908CC"/>
    <w:rsid w:val="00890B50"/>
    <w:rsid w:val="00890C5C"/>
    <w:rsid w:val="00890FCD"/>
    <w:rsid w:val="008910EA"/>
    <w:rsid w:val="008913CA"/>
    <w:rsid w:val="00891401"/>
    <w:rsid w:val="00891439"/>
    <w:rsid w:val="008914AB"/>
    <w:rsid w:val="0089179D"/>
    <w:rsid w:val="00891816"/>
    <w:rsid w:val="0089187C"/>
    <w:rsid w:val="0089195D"/>
    <w:rsid w:val="008919A1"/>
    <w:rsid w:val="00891AC9"/>
    <w:rsid w:val="00891B95"/>
    <w:rsid w:val="00891FF1"/>
    <w:rsid w:val="00892005"/>
    <w:rsid w:val="0089223F"/>
    <w:rsid w:val="00892361"/>
    <w:rsid w:val="008923CE"/>
    <w:rsid w:val="008926CC"/>
    <w:rsid w:val="008929D0"/>
    <w:rsid w:val="00892A6C"/>
    <w:rsid w:val="00892B81"/>
    <w:rsid w:val="00892F03"/>
    <w:rsid w:val="00892F2F"/>
    <w:rsid w:val="00892F3C"/>
    <w:rsid w:val="00892F64"/>
    <w:rsid w:val="00892F74"/>
    <w:rsid w:val="00892FAD"/>
    <w:rsid w:val="008931E6"/>
    <w:rsid w:val="008934F8"/>
    <w:rsid w:val="008936AC"/>
    <w:rsid w:val="008936DA"/>
    <w:rsid w:val="0089371B"/>
    <w:rsid w:val="0089378B"/>
    <w:rsid w:val="008937A1"/>
    <w:rsid w:val="00893B70"/>
    <w:rsid w:val="00893EB2"/>
    <w:rsid w:val="00893F79"/>
    <w:rsid w:val="0089418C"/>
    <w:rsid w:val="008942CF"/>
    <w:rsid w:val="008942F1"/>
    <w:rsid w:val="0089431A"/>
    <w:rsid w:val="0089435C"/>
    <w:rsid w:val="00894550"/>
    <w:rsid w:val="0089457C"/>
    <w:rsid w:val="008946FF"/>
    <w:rsid w:val="0089489F"/>
    <w:rsid w:val="008948B1"/>
    <w:rsid w:val="008949AC"/>
    <w:rsid w:val="00894A5C"/>
    <w:rsid w:val="00894B28"/>
    <w:rsid w:val="00894B7E"/>
    <w:rsid w:val="00894C96"/>
    <w:rsid w:val="00894DBF"/>
    <w:rsid w:val="00894DC8"/>
    <w:rsid w:val="00894E8C"/>
    <w:rsid w:val="0089513A"/>
    <w:rsid w:val="008952A1"/>
    <w:rsid w:val="008953EC"/>
    <w:rsid w:val="00895524"/>
    <w:rsid w:val="0089552F"/>
    <w:rsid w:val="00895587"/>
    <w:rsid w:val="008955C7"/>
    <w:rsid w:val="00895612"/>
    <w:rsid w:val="008956DC"/>
    <w:rsid w:val="00895782"/>
    <w:rsid w:val="008959F8"/>
    <w:rsid w:val="00895BFD"/>
    <w:rsid w:val="00895E2A"/>
    <w:rsid w:val="00895E60"/>
    <w:rsid w:val="00896057"/>
    <w:rsid w:val="008962EF"/>
    <w:rsid w:val="008963EA"/>
    <w:rsid w:val="008966A8"/>
    <w:rsid w:val="00896AB5"/>
    <w:rsid w:val="00896BAD"/>
    <w:rsid w:val="00896BEF"/>
    <w:rsid w:val="00897028"/>
    <w:rsid w:val="008970BA"/>
    <w:rsid w:val="0089714F"/>
    <w:rsid w:val="008974C8"/>
    <w:rsid w:val="0089765A"/>
    <w:rsid w:val="008976E5"/>
    <w:rsid w:val="00897868"/>
    <w:rsid w:val="0089789A"/>
    <w:rsid w:val="00897DF3"/>
    <w:rsid w:val="00897E79"/>
    <w:rsid w:val="00897EBD"/>
    <w:rsid w:val="008A002B"/>
    <w:rsid w:val="008A066C"/>
    <w:rsid w:val="008A06F7"/>
    <w:rsid w:val="008A0734"/>
    <w:rsid w:val="008A0A10"/>
    <w:rsid w:val="008A0C07"/>
    <w:rsid w:val="008A0C1C"/>
    <w:rsid w:val="008A0D65"/>
    <w:rsid w:val="008A0DDE"/>
    <w:rsid w:val="008A0EEE"/>
    <w:rsid w:val="008A0EEF"/>
    <w:rsid w:val="008A1273"/>
    <w:rsid w:val="008A127B"/>
    <w:rsid w:val="008A1452"/>
    <w:rsid w:val="008A15C8"/>
    <w:rsid w:val="008A17AD"/>
    <w:rsid w:val="008A1AB4"/>
    <w:rsid w:val="008A1C32"/>
    <w:rsid w:val="008A1F01"/>
    <w:rsid w:val="008A1F85"/>
    <w:rsid w:val="008A1FA2"/>
    <w:rsid w:val="008A20D5"/>
    <w:rsid w:val="008A25E2"/>
    <w:rsid w:val="008A27BB"/>
    <w:rsid w:val="008A27CD"/>
    <w:rsid w:val="008A28E2"/>
    <w:rsid w:val="008A2A5C"/>
    <w:rsid w:val="008A2B99"/>
    <w:rsid w:val="008A3171"/>
    <w:rsid w:val="008A32AB"/>
    <w:rsid w:val="008A3429"/>
    <w:rsid w:val="008A34B9"/>
    <w:rsid w:val="008A34F9"/>
    <w:rsid w:val="008A3613"/>
    <w:rsid w:val="008A361B"/>
    <w:rsid w:val="008A3671"/>
    <w:rsid w:val="008A3846"/>
    <w:rsid w:val="008A3A66"/>
    <w:rsid w:val="008A3EF3"/>
    <w:rsid w:val="008A3F5F"/>
    <w:rsid w:val="008A4001"/>
    <w:rsid w:val="008A421F"/>
    <w:rsid w:val="008A4266"/>
    <w:rsid w:val="008A4290"/>
    <w:rsid w:val="008A42A4"/>
    <w:rsid w:val="008A44A3"/>
    <w:rsid w:val="008A452A"/>
    <w:rsid w:val="008A4693"/>
    <w:rsid w:val="008A4723"/>
    <w:rsid w:val="008A479D"/>
    <w:rsid w:val="008A4830"/>
    <w:rsid w:val="008A48ED"/>
    <w:rsid w:val="008A49B8"/>
    <w:rsid w:val="008A4AEE"/>
    <w:rsid w:val="008A4D85"/>
    <w:rsid w:val="008A4E30"/>
    <w:rsid w:val="008A4E3D"/>
    <w:rsid w:val="008A4E8A"/>
    <w:rsid w:val="008A51A4"/>
    <w:rsid w:val="008A5333"/>
    <w:rsid w:val="008A555C"/>
    <w:rsid w:val="008A55ED"/>
    <w:rsid w:val="008A5914"/>
    <w:rsid w:val="008A5CBF"/>
    <w:rsid w:val="008A60B6"/>
    <w:rsid w:val="008A6119"/>
    <w:rsid w:val="008A61FF"/>
    <w:rsid w:val="008A6245"/>
    <w:rsid w:val="008A628A"/>
    <w:rsid w:val="008A63F3"/>
    <w:rsid w:val="008A64EA"/>
    <w:rsid w:val="008A6961"/>
    <w:rsid w:val="008A69AA"/>
    <w:rsid w:val="008A6A26"/>
    <w:rsid w:val="008A6A65"/>
    <w:rsid w:val="008A6AC2"/>
    <w:rsid w:val="008A6C9A"/>
    <w:rsid w:val="008A6F15"/>
    <w:rsid w:val="008A7062"/>
    <w:rsid w:val="008A7147"/>
    <w:rsid w:val="008A71D0"/>
    <w:rsid w:val="008A71DD"/>
    <w:rsid w:val="008A731B"/>
    <w:rsid w:val="008A7386"/>
    <w:rsid w:val="008A73C7"/>
    <w:rsid w:val="008A7433"/>
    <w:rsid w:val="008A745D"/>
    <w:rsid w:val="008A746C"/>
    <w:rsid w:val="008A760C"/>
    <w:rsid w:val="008A7625"/>
    <w:rsid w:val="008A76A9"/>
    <w:rsid w:val="008A76EB"/>
    <w:rsid w:val="008A774B"/>
    <w:rsid w:val="008A7A32"/>
    <w:rsid w:val="008A7ADA"/>
    <w:rsid w:val="008A7C23"/>
    <w:rsid w:val="008A7E4C"/>
    <w:rsid w:val="008A7EB2"/>
    <w:rsid w:val="008A7ED3"/>
    <w:rsid w:val="008B00BC"/>
    <w:rsid w:val="008B02BE"/>
    <w:rsid w:val="008B0566"/>
    <w:rsid w:val="008B06AE"/>
    <w:rsid w:val="008B0726"/>
    <w:rsid w:val="008B0884"/>
    <w:rsid w:val="008B092B"/>
    <w:rsid w:val="008B0969"/>
    <w:rsid w:val="008B0A6E"/>
    <w:rsid w:val="008B0AF2"/>
    <w:rsid w:val="008B0DF7"/>
    <w:rsid w:val="008B0EF9"/>
    <w:rsid w:val="008B0FBD"/>
    <w:rsid w:val="008B10C4"/>
    <w:rsid w:val="008B11B9"/>
    <w:rsid w:val="008B122C"/>
    <w:rsid w:val="008B12E7"/>
    <w:rsid w:val="008B12F8"/>
    <w:rsid w:val="008B145D"/>
    <w:rsid w:val="008B1858"/>
    <w:rsid w:val="008B1C29"/>
    <w:rsid w:val="008B1C2B"/>
    <w:rsid w:val="008B1E2C"/>
    <w:rsid w:val="008B1F1C"/>
    <w:rsid w:val="008B2004"/>
    <w:rsid w:val="008B25C3"/>
    <w:rsid w:val="008B26E6"/>
    <w:rsid w:val="008B2796"/>
    <w:rsid w:val="008B28D1"/>
    <w:rsid w:val="008B297F"/>
    <w:rsid w:val="008B2B1F"/>
    <w:rsid w:val="008B2B43"/>
    <w:rsid w:val="008B2C7B"/>
    <w:rsid w:val="008B2D0F"/>
    <w:rsid w:val="008B2E67"/>
    <w:rsid w:val="008B2E7F"/>
    <w:rsid w:val="008B2F35"/>
    <w:rsid w:val="008B2FB3"/>
    <w:rsid w:val="008B3490"/>
    <w:rsid w:val="008B36A6"/>
    <w:rsid w:val="008B38D2"/>
    <w:rsid w:val="008B3969"/>
    <w:rsid w:val="008B3A19"/>
    <w:rsid w:val="008B3A2F"/>
    <w:rsid w:val="008B3D1C"/>
    <w:rsid w:val="008B3D7C"/>
    <w:rsid w:val="008B3D9B"/>
    <w:rsid w:val="008B3E63"/>
    <w:rsid w:val="008B3E83"/>
    <w:rsid w:val="008B3F9D"/>
    <w:rsid w:val="008B40A9"/>
    <w:rsid w:val="008B42C6"/>
    <w:rsid w:val="008B436E"/>
    <w:rsid w:val="008B445C"/>
    <w:rsid w:val="008B450F"/>
    <w:rsid w:val="008B45D9"/>
    <w:rsid w:val="008B4869"/>
    <w:rsid w:val="008B49EE"/>
    <w:rsid w:val="008B4B97"/>
    <w:rsid w:val="008B4BCE"/>
    <w:rsid w:val="008B4C9C"/>
    <w:rsid w:val="008B5175"/>
    <w:rsid w:val="008B51CB"/>
    <w:rsid w:val="008B52E6"/>
    <w:rsid w:val="008B546A"/>
    <w:rsid w:val="008B5559"/>
    <w:rsid w:val="008B574B"/>
    <w:rsid w:val="008B5A16"/>
    <w:rsid w:val="008B5A44"/>
    <w:rsid w:val="008B5BFD"/>
    <w:rsid w:val="008B5D7C"/>
    <w:rsid w:val="008B611B"/>
    <w:rsid w:val="008B6258"/>
    <w:rsid w:val="008B6310"/>
    <w:rsid w:val="008B63DC"/>
    <w:rsid w:val="008B6437"/>
    <w:rsid w:val="008B6554"/>
    <w:rsid w:val="008B6600"/>
    <w:rsid w:val="008B67A0"/>
    <w:rsid w:val="008B697C"/>
    <w:rsid w:val="008B6DB4"/>
    <w:rsid w:val="008B6E4E"/>
    <w:rsid w:val="008B6F26"/>
    <w:rsid w:val="008B6F33"/>
    <w:rsid w:val="008B6FB0"/>
    <w:rsid w:val="008B767C"/>
    <w:rsid w:val="008B7983"/>
    <w:rsid w:val="008B79E9"/>
    <w:rsid w:val="008B7BEF"/>
    <w:rsid w:val="008B7DDB"/>
    <w:rsid w:val="008B7F63"/>
    <w:rsid w:val="008B7FD5"/>
    <w:rsid w:val="008C001A"/>
    <w:rsid w:val="008C0035"/>
    <w:rsid w:val="008C0119"/>
    <w:rsid w:val="008C019D"/>
    <w:rsid w:val="008C020A"/>
    <w:rsid w:val="008C0305"/>
    <w:rsid w:val="008C0425"/>
    <w:rsid w:val="008C0451"/>
    <w:rsid w:val="008C0501"/>
    <w:rsid w:val="008C06BF"/>
    <w:rsid w:val="008C06EE"/>
    <w:rsid w:val="008C0763"/>
    <w:rsid w:val="008C089D"/>
    <w:rsid w:val="008C08F1"/>
    <w:rsid w:val="008C0B0B"/>
    <w:rsid w:val="008C0EEB"/>
    <w:rsid w:val="008C117E"/>
    <w:rsid w:val="008C1207"/>
    <w:rsid w:val="008C1231"/>
    <w:rsid w:val="008C12A2"/>
    <w:rsid w:val="008C12A3"/>
    <w:rsid w:val="008C12B9"/>
    <w:rsid w:val="008C12EB"/>
    <w:rsid w:val="008C1756"/>
    <w:rsid w:val="008C1B2B"/>
    <w:rsid w:val="008C1DFE"/>
    <w:rsid w:val="008C21FC"/>
    <w:rsid w:val="008C2233"/>
    <w:rsid w:val="008C2272"/>
    <w:rsid w:val="008C22A8"/>
    <w:rsid w:val="008C22DA"/>
    <w:rsid w:val="008C23F6"/>
    <w:rsid w:val="008C2687"/>
    <w:rsid w:val="008C26EC"/>
    <w:rsid w:val="008C2717"/>
    <w:rsid w:val="008C273F"/>
    <w:rsid w:val="008C27DC"/>
    <w:rsid w:val="008C2B6C"/>
    <w:rsid w:val="008C2B89"/>
    <w:rsid w:val="008C2BC9"/>
    <w:rsid w:val="008C2BF6"/>
    <w:rsid w:val="008C2C0D"/>
    <w:rsid w:val="008C2C69"/>
    <w:rsid w:val="008C2D96"/>
    <w:rsid w:val="008C2F85"/>
    <w:rsid w:val="008C30A4"/>
    <w:rsid w:val="008C3386"/>
    <w:rsid w:val="008C3650"/>
    <w:rsid w:val="008C3719"/>
    <w:rsid w:val="008C37F5"/>
    <w:rsid w:val="008C3960"/>
    <w:rsid w:val="008C3A81"/>
    <w:rsid w:val="008C3BB3"/>
    <w:rsid w:val="008C3C70"/>
    <w:rsid w:val="008C3CC6"/>
    <w:rsid w:val="008C3DEB"/>
    <w:rsid w:val="008C3E38"/>
    <w:rsid w:val="008C3F36"/>
    <w:rsid w:val="008C40CB"/>
    <w:rsid w:val="008C41EA"/>
    <w:rsid w:val="008C425E"/>
    <w:rsid w:val="008C42D3"/>
    <w:rsid w:val="008C43FF"/>
    <w:rsid w:val="008C457C"/>
    <w:rsid w:val="008C4764"/>
    <w:rsid w:val="008C48F6"/>
    <w:rsid w:val="008C4991"/>
    <w:rsid w:val="008C4AD4"/>
    <w:rsid w:val="008C4B29"/>
    <w:rsid w:val="008C4B41"/>
    <w:rsid w:val="008C4D1B"/>
    <w:rsid w:val="008C4D25"/>
    <w:rsid w:val="008C4EB8"/>
    <w:rsid w:val="008C4ED0"/>
    <w:rsid w:val="008C4FDC"/>
    <w:rsid w:val="008C50A8"/>
    <w:rsid w:val="008C50EE"/>
    <w:rsid w:val="008C51AA"/>
    <w:rsid w:val="008C521B"/>
    <w:rsid w:val="008C52A8"/>
    <w:rsid w:val="008C54D4"/>
    <w:rsid w:val="008C55E6"/>
    <w:rsid w:val="008C5820"/>
    <w:rsid w:val="008C5834"/>
    <w:rsid w:val="008C5861"/>
    <w:rsid w:val="008C589E"/>
    <w:rsid w:val="008C590E"/>
    <w:rsid w:val="008C5996"/>
    <w:rsid w:val="008C5A3D"/>
    <w:rsid w:val="008C5A82"/>
    <w:rsid w:val="008C5AED"/>
    <w:rsid w:val="008C5BB4"/>
    <w:rsid w:val="008C5D52"/>
    <w:rsid w:val="008C5DF7"/>
    <w:rsid w:val="008C607A"/>
    <w:rsid w:val="008C62B8"/>
    <w:rsid w:val="008C62BA"/>
    <w:rsid w:val="008C64B8"/>
    <w:rsid w:val="008C65F2"/>
    <w:rsid w:val="008C67FA"/>
    <w:rsid w:val="008C6987"/>
    <w:rsid w:val="008C6ABB"/>
    <w:rsid w:val="008C6D63"/>
    <w:rsid w:val="008C7064"/>
    <w:rsid w:val="008C70B5"/>
    <w:rsid w:val="008C7194"/>
    <w:rsid w:val="008C722A"/>
    <w:rsid w:val="008C72FE"/>
    <w:rsid w:val="008C733B"/>
    <w:rsid w:val="008C7439"/>
    <w:rsid w:val="008C7472"/>
    <w:rsid w:val="008C7597"/>
    <w:rsid w:val="008C790C"/>
    <w:rsid w:val="008C793D"/>
    <w:rsid w:val="008C79C1"/>
    <w:rsid w:val="008C7B11"/>
    <w:rsid w:val="008C7E78"/>
    <w:rsid w:val="008D0154"/>
    <w:rsid w:val="008D022A"/>
    <w:rsid w:val="008D03CD"/>
    <w:rsid w:val="008D03E1"/>
    <w:rsid w:val="008D04E5"/>
    <w:rsid w:val="008D04EA"/>
    <w:rsid w:val="008D05D8"/>
    <w:rsid w:val="008D05EC"/>
    <w:rsid w:val="008D0975"/>
    <w:rsid w:val="008D0980"/>
    <w:rsid w:val="008D0B6C"/>
    <w:rsid w:val="008D0CD8"/>
    <w:rsid w:val="008D0DB1"/>
    <w:rsid w:val="008D0E49"/>
    <w:rsid w:val="008D0E6C"/>
    <w:rsid w:val="008D0FBA"/>
    <w:rsid w:val="008D112F"/>
    <w:rsid w:val="008D11ED"/>
    <w:rsid w:val="008D127B"/>
    <w:rsid w:val="008D12D4"/>
    <w:rsid w:val="008D1612"/>
    <w:rsid w:val="008D1765"/>
    <w:rsid w:val="008D1786"/>
    <w:rsid w:val="008D17AA"/>
    <w:rsid w:val="008D17DD"/>
    <w:rsid w:val="008D1A09"/>
    <w:rsid w:val="008D1B55"/>
    <w:rsid w:val="008D1B7E"/>
    <w:rsid w:val="008D1D26"/>
    <w:rsid w:val="008D1F13"/>
    <w:rsid w:val="008D1F69"/>
    <w:rsid w:val="008D2140"/>
    <w:rsid w:val="008D21D3"/>
    <w:rsid w:val="008D2204"/>
    <w:rsid w:val="008D2387"/>
    <w:rsid w:val="008D24D3"/>
    <w:rsid w:val="008D25E4"/>
    <w:rsid w:val="008D26C8"/>
    <w:rsid w:val="008D279C"/>
    <w:rsid w:val="008D2974"/>
    <w:rsid w:val="008D2986"/>
    <w:rsid w:val="008D2A6C"/>
    <w:rsid w:val="008D2AC0"/>
    <w:rsid w:val="008D2B7E"/>
    <w:rsid w:val="008D2BC3"/>
    <w:rsid w:val="008D2EAA"/>
    <w:rsid w:val="008D2F2F"/>
    <w:rsid w:val="008D303F"/>
    <w:rsid w:val="008D30CD"/>
    <w:rsid w:val="008D3299"/>
    <w:rsid w:val="008D352B"/>
    <w:rsid w:val="008D38AF"/>
    <w:rsid w:val="008D3CD9"/>
    <w:rsid w:val="008D4203"/>
    <w:rsid w:val="008D423D"/>
    <w:rsid w:val="008D448C"/>
    <w:rsid w:val="008D4655"/>
    <w:rsid w:val="008D4689"/>
    <w:rsid w:val="008D46A2"/>
    <w:rsid w:val="008D4962"/>
    <w:rsid w:val="008D4AC4"/>
    <w:rsid w:val="008D4B1E"/>
    <w:rsid w:val="008D4C33"/>
    <w:rsid w:val="008D4CB3"/>
    <w:rsid w:val="008D4EF9"/>
    <w:rsid w:val="008D51C8"/>
    <w:rsid w:val="008D51EB"/>
    <w:rsid w:val="008D52D6"/>
    <w:rsid w:val="008D53BC"/>
    <w:rsid w:val="008D5538"/>
    <w:rsid w:val="008D55B5"/>
    <w:rsid w:val="008D56EE"/>
    <w:rsid w:val="008D589A"/>
    <w:rsid w:val="008D5A1A"/>
    <w:rsid w:val="008D5A25"/>
    <w:rsid w:val="008D5A91"/>
    <w:rsid w:val="008D5A92"/>
    <w:rsid w:val="008D5E23"/>
    <w:rsid w:val="008D5E63"/>
    <w:rsid w:val="008D5EF3"/>
    <w:rsid w:val="008D5F28"/>
    <w:rsid w:val="008D608F"/>
    <w:rsid w:val="008D6140"/>
    <w:rsid w:val="008D62F4"/>
    <w:rsid w:val="008D6394"/>
    <w:rsid w:val="008D6804"/>
    <w:rsid w:val="008D68C4"/>
    <w:rsid w:val="008D69F4"/>
    <w:rsid w:val="008D6D41"/>
    <w:rsid w:val="008D6D73"/>
    <w:rsid w:val="008D6F2D"/>
    <w:rsid w:val="008D700A"/>
    <w:rsid w:val="008D7015"/>
    <w:rsid w:val="008D7075"/>
    <w:rsid w:val="008D7134"/>
    <w:rsid w:val="008D7372"/>
    <w:rsid w:val="008D7445"/>
    <w:rsid w:val="008D76D6"/>
    <w:rsid w:val="008D7908"/>
    <w:rsid w:val="008D7C56"/>
    <w:rsid w:val="008D7ED8"/>
    <w:rsid w:val="008E0046"/>
    <w:rsid w:val="008E0114"/>
    <w:rsid w:val="008E01C8"/>
    <w:rsid w:val="008E0486"/>
    <w:rsid w:val="008E04C2"/>
    <w:rsid w:val="008E0502"/>
    <w:rsid w:val="008E0574"/>
    <w:rsid w:val="008E06B2"/>
    <w:rsid w:val="008E0706"/>
    <w:rsid w:val="008E0775"/>
    <w:rsid w:val="008E0796"/>
    <w:rsid w:val="008E07F9"/>
    <w:rsid w:val="008E0A01"/>
    <w:rsid w:val="008E0B61"/>
    <w:rsid w:val="008E0D7D"/>
    <w:rsid w:val="008E0ED4"/>
    <w:rsid w:val="008E0EEC"/>
    <w:rsid w:val="008E0F30"/>
    <w:rsid w:val="008E1111"/>
    <w:rsid w:val="008E1196"/>
    <w:rsid w:val="008E124B"/>
    <w:rsid w:val="008E1250"/>
    <w:rsid w:val="008E12B2"/>
    <w:rsid w:val="008E13D0"/>
    <w:rsid w:val="008E142B"/>
    <w:rsid w:val="008E1528"/>
    <w:rsid w:val="008E1731"/>
    <w:rsid w:val="008E19FC"/>
    <w:rsid w:val="008E1B5F"/>
    <w:rsid w:val="008E1C2C"/>
    <w:rsid w:val="008E1D8B"/>
    <w:rsid w:val="008E1EFE"/>
    <w:rsid w:val="008E1F71"/>
    <w:rsid w:val="008E25CC"/>
    <w:rsid w:val="008E2700"/>
    <w:rsid w:val="008E2804"/>
    <w:rsid w:val="008E2971"/>
    <w:rsid w:val="008E2981"/>
    <w:rsid w:val="008E2AF9"/>
    <w:rsid w:val="008E2EF7"/>
    <w:rsid w:val="008E2F59"/>
    <w:rsid w:val="008E2F90"/>
    <w:rsid w:val="008E318D"/>
    <w:rsid w:val="008E3288"/>
    <w:rsid w:val="008E3307"/>
    <w:rsid w:val="008E354B"/>
    <w:rsid w:val="008E395A"/>
    <w:rsid w:val="008E3D2A"/>
    <w:rsid w:val="008E3E1D"/>
    <w:rsid w:val="008E3E30"/>
    <w:rsid w:val="008E3E96"/>
    <w:rsid w:val="008E3F4B"/>
    <w:rsid w:val="008E41E0"/>
    <w:rsid w:val="008E42A3"/>
    <w:rsid w:val="008E4473"/>
    <w:rsid w:val="008E44ED"/>
    <w:rsid w:val="008E474F"/>
    <w:rsid w:val="008E47B4"/>
    <w:rsid w:val="008E495B"/>
    <w:rsid w:val="008E4985"/>
    <w:rsid w:val="008E4D0D"/>
    <w:rsid w:val="008E4D8A"/>
    <w:rsid w:val="008E4EB2"/>
    <w:rsid w:val="008E4F01"/>
    <w:rsid w:val="008E4F69"/>
    <w:rsid w:val="008E5315"/>
    <w:rsid w:val="008E53AC"/>
    <w:rsid w:val="008E5560"/>
    <w:rsid w:val="008E55AC"/>
    <w:rsid w:val="008E56E2"/>
    <w:rsid w:val="008E5AC7"/>
    <w:rsid w:val="008E5B2A"/>
    <w:rsid w:val="008E5E20"/>
    <w:rsid w:val="008E5E2F"/>
    <w:rsid w:val="008E611A"/>
    <w:rsid w:val="008E6404"/>
    <w:rsid w:val="008E652D"/>
    <w:rsid w:val="008E69E8"/>
    <w:rsid w:val="008E6A87"/>
    <w:rsid w:val="008E6D9D"/>
    <w:rsid w:val="008E6EEC"/>
    <w:rsid w:val="008E708D"/>
    <w:rsid w:val="008E70E8"/>
    <w:rsid w:val="008E7161"/>
    <w:rsid w:val="008E725C"/>
    <w:rsid w:val="008E76BF"/>
    <w:rsid w:val="008E78E2"/>
    <w:rsid w:val="008E7A02"/>
    <w:rsid w:val="008E7A30"/>
    <w:rsid w:val="008E7A38"/>
    <w:rsid w:val="008E7AF2"/>
    <w:rsid w:val="008E7C43"/>
    <w:rsid w:val="008E7EC6"/>
    <w:rsid w:val="008E7F38"/>
    <w:rsid w:val="008E7F8D"/>
    <w:rsid w:val="008E7FB8"/>
    <w:rsid w:val="008F0070"/>
    <w:rsid w:val="008F0128"/>
    <w:rsid w:val="008F013C"/>
    <w:rsid w:val="008F04F7"/>
    <w:rsid w:val="008F05CE"/>
    <w:rsid w:val="008F0610"/>
    <w:rsid w:val="008F07CD"/>
    <w:rsid w:val="008F07D2"/>
    <w:rsid w:val="008F07F1"/>
    <w:rsid w:val="008F097A"/>
    <w:rsid w:val="008F0DB2"/>
    <w:rsid w:val="008F0ED8"/>
    <w:rsid w:val="008F1084"/>
    <w:rsid w:val="008F122C"/>
    <w:rsid w:val="008F131E"/>
    <w:rsid w:val="008F1873"/>
    <w:rsid w:val="008F18AE"/>
    <w:rsid w:val="008F18E8"/>
    <w:rsid w:val="008F19FF"/>
    <w:rsid w:val="008F1AF6"/>
    <w:rsid w:val="008F1B6E"/>
    <w:rsid w:val="008F1BA3"/>
    <w:rsid w:val="008F1C43"/>
    <w:rsid w:val="008F1C5D"/>
    <w:rsid w:val="008F1F77"/>
    <w:rsid w:val="008F2358"/>
    <w:rsid w:val="008F23BA"/>
    <w:rsid w:val="008F23F8"/>
    <w:rsid w:val="008F2601"/>
    <w:rsid w:val="008F26F7"/>
    <w:rsid w:val="008F2872"/>
    <w:rsid w:val="008F29A1"/>
    <w:rsid w:val="008F2C1A"/>
    <w:rsid w:val="008F2C1C"/>
    <w:rsid w:val="008F2D1A"/>
    <w:rsid w:val="008F2D9B"/>
    <w:rsid w:val="008F2E20"/>
    <w:rsid w:val="008F2E68"/>
    <w:rsid w:val="008F2E9A"/>
    <w:rsid w:val="008F330C"/>
    <w:rsid w:val="008F34AF"/>
    <w:rsid w:val="008F35E5"/>
    <w:rsid w:val="008F3682"/>
    <w:rsid w:val="008F388C"/>
    <w:rsid w:val="008F38C8"/>
    <w:rsid w:val="008F3923"/>
    <w:rsid w:val="008F3CF3"/>
    <w:rsid w:val="008F3D24"/>
    <w:rsid w:val="008F3F3F"/>
    <w:rsid w:val="008F402A"/>
    <w:rsid w:val="008F4191"/>
    <w:rsid w:val="008F4273"/>
    <w:rsid w:val="008F4277"/>
    <w:rsid w:val="008F4292"/>
    <w:rsid w:val="008F46D4"/>
    <w:rsid w:val="008F4731"/>
    <w:rsid w:val="008F47C1"/>
    <w:rsid w:val="008F4B70"/>
    <w:rsid w:val="008F4CF0"/>
    <w:rsid w:val="008F4DE0"/>
    <w:rsid w:val="008F4DEC"/>
    <w:rsid w:val="008F4E35"/>
    <w:rsid w:val="008F4FDD"/>
    <w:rsid w:val="008F52DE"/>
    <w:rsid w:val="008F54F4"/>
    <w:rsid w:val="008F5523"/>
    <w:rsid w:val="008F554B"/>
    <w:rsid w:val="008F567F"/>
    <w:rsid w:val="008F5862"/>
    <w:rsid w:val="008F5A03"/>
    <w:rsid w:val="008F5A30"/>
    <w:rsid w:val="008F6032"/>
    <w:rsid w:val="008F6154"/>
    <w:rsid w:val="008F62DF"/>
    <w:rsid w:val="008F6772"/>
    <w:rsid w:val="008F68DC"/>
    <w:rsid w:val="008F68DF"/>
    <w:rsid w:val="008F6914"/>
    <w:rsid w:val="008F6958"/>
    <w:rsid w:val="008F6AA0"/>
    <w:rsid w:val="008F6ADC"/>
    <w:rsid w:val="008F6E32"/>
    <w:rsid w:val="008F726D"/>
    <w:rsid w:val="008F72AF"/>
    <w:rsid w:val="008F736A"/>
    <w:rsid w:val="008F7435"/>
    <w:rsid w:val="008F7468"/>
    <w:rsid w:val="008F7486"/>
    <w:rsid w:val="008F748F"/>
    <w:rsid w:val="008F7548"/>
    <w:rsid w:val="008F7831"/>
    <w:rsid w:val="008F78F1"/>
    <w:rsid w:val="008F7D88"/>
    <w:rsid w:val="008F7D95"/>
    <w:rsid w:val="008F7F02"/>
    <w:rsid w:val="008F7F3E"/>
    <w:rsid w:val="008F7F5B"/>
    <w:rsid w:val="008F7F7F"/>
    <w:rsid w:val="008F7FA3"/>
    <w:rsid w:val="00900036"/>
    <w:rsid w:val="009000D6"/>
    <w:rsid w:val="009003C1"/>
    <w:rsid w:val="009004CA"/>
    <w:rsid w:val="009004E0"/>
    <w:rsid w:val="0090052D"/>
    <w:rsid w:val="00900907"/>
    <w:rsid w:val="0090099B"/>
    <w:rsid w:val="00900B50"/>
    <w:rsid w:val="00900DE8"/>
    <w:rsid w:val="00900EBF"/>
    <w:rsid w:val="00900F1C"/>
    <w:rsid w:val="00900F69"/>
    <w:rsid w:val="00901049"/>
    <w:rsid w:val="0090112C"/>
    <w:rsid w:val="009013F5"/>
    <w:rsid w:val="00901519"/>
    <w:rsid w:val="00901748"/>
    <w:rsid w:val="009017D4"/>
    <w:rsid w:val="00901811"/>
    <w:rsid w:val="0090188A"/>
    <w:rsid w:val="00901938"/>
    <w:rsid w:val="00901B3F"/>
    <w:rsid w:val="00901E34"/>
    <w:rsid w:val="00901F45"/>
    <w:rsid w:val="0090206A"/>
    <w:rsid w:val="009022A8"/>
    <w:rsid w:val="0090234A"/>
    <w:rsid w:val="009027A5"/>
    <w:rsid w:val="0090286A"/>
    <w:rsid w:val="00902875"/>
    <w:rsid w:val="009028BF"/>
    <w:rsid w:val="00902AB4"/>
    <w:rsid w:val="00902B08"/>
    <w:rsid w:val="00902BCE"/>
    <w:rsid w:val="00902C78"/>
    <w:rsid w:val="00902D5A"/>
    <w:rsid w:val="00902DE0"/>
    <w:rsid w:val="00902E1A"/>
    <w:rsid w:val="00902E71"/>
    <w:rsid w:val="00902E98"/>
    <w:rsid w:val="00902ECA"/>
    <w:rsid w:val="00902F16"/>
    <w:rsid w:val="00902FD6"/>
    <w:rsid w:val="00903029"/>
    <w:rsid w:val="009031D2"/>
    <w:rsid w:val="00903317"/>
    <w:rsid w:val="00903377"/>
    <w:rsid w:val="0090349F"/>
    <w:rsid w:val="009034A9"/>
    <w:rsid w:val="009037AD"/>
    <w:rsid w:val="009037DA"/>
    <w:rsid w:val="009037DF"/>
    <w:rsid w:val="00903848"/>
    <w:rsid w:val="009038DC"/>
    <w:rsid w:val="0090398A"/>
    <w:rsid w:val="00903F93"/>
    <w:rsid w:val="00904198"/>
    <w:rsid w:val="009042EA"/>
    <w:rsid w:val="00904323"/>
    <w:rsid w:val="0090435F"/>
    <w:rsid w:val="00904748"/>
    <w:rsid w:val="009048DE"/>
    <w:rsid w:val="009048ED"/>
    <w:rsid w:val="009049CE"/>
    <w:rsid w:val="00904A3F"/>
    <w:rsid w:val="00904D10"/>
    <w:rsid w:val="00904EF5"/>
    <w:rsid w:val="00904F41"/>
    <w:rsid w:val="00904FE8"/>
    <w:rsid w:val="0090512C"/>
    <w:rsid w:val="0090515E"/>
    <w:rsid w:val="009053D2"/>
    <w:rsid w:val="00905439"/>
    <w:rsid w:val="009055BC"/>
    <w:rsid w:val="00905738"/>
    <w:rsid w:val="00905A45"/>
    <w:rsid w:val="00905D47"/>
    <w:rsid w:val="00905D95"/>
    <w:rsid w:val="00905ED0"/>
    <w:rsid w:val="00905F3F"/>
    <w:rsid w:val="009062F1"/>
    <w:rsid w:val="00906313"/>
    <w:rsid w:val="0090641D"/>
    <w:rsid w:val="00906449"/>
    <w:rsid w:val="00906462"/>
    <w:rsid w:val="0090653C"/>
    <w:rsid w:val="009065E6"/>
    <w:rsid w:val="0090669E"/>
    <w:rsid w:val="009066F9"/>
    <w:rsid w:val="009067B8"/>
    <w:rsid w:val="00906843"/>
    <w:rsid w:val="00906A0B"/>
    <w:rsid w:val="00906B36"/>
    <w:rsid w:val="00906CC8"/>
    <w:rsid w:val="009070DD"/>
    <w:rsid w:val="0090724F"/>
    <w:rsid w:val="009072D4"/>
    <w:rsid w:val="0090763E"/>
    <w:rsid w:val="00907772"/>
    <w:rsid w:val="009078C9"/>
    <w:rsid w:val="0090790C"/>
    <w:rsid w:val="00907AA7"/>
    <w:rsid w:val="00907AFA"/>
    <w:rsid w:val="00907D70"/>
    <w:rsid w:val="00907EBF"/>
    <w:rsid w:val="00907EC7"/>
    <w:rsid w:val="00907FB3"/>
    <w:rsid w:val="009104F8"/>
    <w:rsid w:val="009105E5"/>
    <w:rsid w:val="009107B9"/>
    <w:rsid w:val="009108DD"/>
    <w:rsid w:val="00910968"/>
    <w:rsid w:val="00910993"/>
    <w:rsid w:val="00910DD4"/>
    <w:rsid w:val="00910DED"/>
    <w:rsid w:val="009111AB"/>
    <w:rsid w:val="009112BD"/>
    <w:rsid w:val="00911523"/>
    <w:rsid w:val="0091152D"/>
    <w:rsid w:val="0091165A"/>
    <w:rsid w:val="0091165E"/>
    <w:rsid w:val="0091192C"/>
    <w:rsid w:val="00911B79"/>
    <w:rsid w:val="00911CD7"/>
    <w:rsid w:val="00911CD8"/>
    <w:rsid w:val="00911DBC"/>
    <w:rsid w:val="00911EE3"/>
    <w:rsid w:val="00911F2B"/>
    <w:rsid w:val="009122F5"/>
    <w:rsid w:val="00912414"/>
    <w:rsid w:val="00912723"/>
    <w:rsid w:val="00912732"/>
    <w:rsid w:val="00912764"/>
    <w:rsid w:val="00912B78"/>
    <w:rsid w:val="00912C26"/>
    <w:rsid w:val="00912C40"/>
    <w:rsid w:val="0091305C"/>
    <w:rsid w:val="009130C4"/>
    <w:rsid w:val="00913245"/>
    <w:rsid w:val="009133F0"/>
    <w:rsid w:val="00913429"/>
    <w:rsid w:val="009134F5"/>
    <w:rsid w:val="00913509"/>
    <w:rsid w:val="0091355C"/>
    <w:rsid w:val="00913715"/>
    <w:rsid w:val="0091371A"/>
    <w:rsid w:val="009137A6"/>
    <w:rsid w:val="009137E5"/>
    <w:rsid w:val="00913942"/>
    <w:rsid w:val="00913BC5"/>
    <w:rsid w:val="00913CDB"/>
    <w:rsid w:val="00913E52"/>
    <w:rsid w:val="00913F03"/>
    <w:rsid w:val="00914004"/>
    <w:rsid w:val="0091428D"/>
    <w:rsid w:val="00914372"/>
    <w:rsid w:val="00914408"/>
    <w:rsid w:val="00914628"/>
    <w:rsid w:val="00914740"/>
    <w:rsid w:val="00914762"/>
    <w:rsid w:val="00914848"/>
    <w:rsid w:val="009148CB"/>
    <w:rsid w:val="0091498F"/>
    <w:rsid w:val="00914C2C"/>
    <w:rsid w:val="00914D80"/>
    <w:rsid w:val="0091500B"/>
    <w:rsid w:val="00915040"/>
    <w:rsid w:val="00915229"/>
    <w:rsid w:val="0091523F"/>
    <w:rsid w:val="009154A5"/>
    <w:rsid w:val="009154F6"/>
    <w:rsid w:val="009155D1"/>
    <w:rsid w:val="00915833"/>
    <w:rsid w:val="00915962"/>
    <w:rsid w:val="009159A7"/>
    <w:rsid w:val="00915B28"/>
    <w:rsid w:val="00915C92"/>
    <w:rsid w:val="00915D15"/>
    <w:rsid w:val="00915D43"/>
    <w:rsid w:val="00915F8E"/>
    <w:rsid w:val="009160A2"/>
    <w:rsid w:val="009163EA"/>
    <w:rsid w:val="0091641D"/>
    <w:rsid w:val="00916678"/>
    <w:rsid w:val="0091667F"/>
    <w:rsid w:val="0091675E"/>
    <w:rsid w:val="009168DD"/>
    <w:rsid w:val="00916AD8"/>
    <w:rsid w:val="00916D5C"/>
    <w:rsid w:val="00916F31"/>
    <w:rsid w:val="00916F82"/>
    <w:rsid w:val="0091715A"/>
    <w:rsid w:val="0091724E"/>
    <w:rsid w:val="0091761F"/>
    <w:rsid w:val="0091768A"/>
    <w:rsid w:val="0091772D"/>
    <w:rsid w:val="00917A02"/>
    <w:rsid w:val="00917ABD"/>
    <w:rsid w:val="00917E56"/>
    <w:rsid w:val="009200A6"/>
    <w:rsid w:val="0092024C"/>
    <w:rsid w:val="0092059B"/>
    <w:rsid w:val="009206F4"/>
    <w:rsid w:val="009209B1"/>
    <w:rsid w:val="00920A25"/>
    <w:rsid w:val="00920A2D"/>
    <w:rsid w:val="00920AAD"/>
    <w:rsid w:val="00920B7A"/>
    <w:rsid w:val="00920BC1"/>
    <w:rsid w:val="00920D04"/>
    <w:rsid w:val="00920D0C"/>
    <w:rsid w:val="00920D23"/>
    <w:rsid w:val="00920D7A"/>
    <w:rsid w:val="00920E66"/>
    <w:rsid w:val="00921128"/>
    <w:rsid w:val="009215FF"/>
    <w:rsid w:val="009216A4"/>
    <w:rsid w:val="0092174B"/>
    <w:rsid w:val="00921805"/>
    <w:rsid w:val="00921BF5"/>
    <w:rsid w:val="00921D0F"/>
    <w:rsid w:val="00921D2E"/>
    <w:rsid w:val="00921DE1"/>
    <w:rsid w:val="00921E66"/>
    <w:rsid w:val="00921E9A"/>
    <w:rsid w:val="009221CF"/>
    <w:rsid w:val="00922847"/>
    <w:rsid w:val="0092284B"/>
    <w:rsid w:val="0092287E"/>
    <w:rsid w:val="00922DCB"/>
    <w:rsid w:val="00922F28"/>
    <w:rsid w:val="00922FAD"/>
    <w:rsid w:val="00922FF4"/>
    <w:rsid w:val="00923163"/>
    <w:rsid w:val="009231E0"/>
    <w:rsid w:val="0092334B"/>
    <w:rsid w:val="009234F4"/>
    <w:rsid w:val="00923614"/>
    <w:rsid w:val="00923979"/>
    <w:rsid w:val="00923A80"/>
    <w:rsid w:val="00923C04"/>
    <w:rsid w:val="00923EA3"/>
    <w:rsid w:val="00923F2F"/>
    <w:rsid w:val="00924122"/>
    <w:rsid w:val="0092412F"/>
    <w:rsid w:val="009243F9"/>
    <w:rsid w:val="00924706"/>
    <w:rsid w:val="0092471E"/>
    <w:rsid w:val="0092474F"/>
    <w:rsid w:val="009247C9"/>
    <w:rsid w:val="00924A84"/>
    <w:rsid w:val="00924D01"/>
    <w:rsid w:val="00924D44"/>
    <w:rsid w:val="00924F1A"/>
    <w:rsid w:val="00924FAE"/>
    <w:rsid w:val="00925016"/>
    <w:rsid w:val="009250F7"/>
    <w:rsid w:val="0092539E"/>
    <w:rsid w:val="009253D1"/>
    <w:rsid w:val="009257B4"/>
    <w:rsid w:val="00925B0E"/>
    <w:rsid w:val="00925D41"/>
    <w:rsid w:val="00925E60"/>
    <w:rsid w:val="00926207"/>
    <w:rsid w:val="00926634"/>
    <w:rsid w:val="0092692B"/>
    <w:rsid w:val="00926999"/>
    <w:rsid w:val="00926A27"/>
    <w:rsid w:val="00926AAA"/>
    <w:rsid w:val="00926B5F"/>
    <w:rsid w:val="00926BEC"/>
    <w:rsid w:val="00926BED"/>
    <w:rsid w:val="00926C92"/>
    <w:rsid w:val="00926D78"/>
    <w:rsid w:val="00926D96"/>
    <w:rsid w:val="00926E93"/>
    <w:rsid w:val="00926F0A"/>
    <w:rsid w:val="00926F1D"/>
    <w:rsid w:val="0092709A"/>
    <w:rsid w:val="009270B0"/>
    <w:rsid w:val="00927160"/>
    <w:rsid w:val="009272A1"/>
    <w:rsid w:val="009272E9"/>
    <w:rsid w:val="009273DB"/>
    <w:rsid w:val="009276E7"/>
    <w:rsid w:val="0092787A"/>
    <w:rsid w:val="009279A5"/>
    <w:rsid w:val="009279F3"/>
    <w:rsid w:val="00927AFF"/>
    <w:rsid w:val="00927BBE"/>
    <w:rsid w:val="00927CA5"/>
    <w:rsid w:val="00927D54"/>
    <w:rsid w:val="00927EE2"/>
    <w:rsid w:val="00930025"/>
    <w:rsid w:val="009301BB"/>
    <w:rsid w:val="009302EC"/>
    <w:rsid w:val="00930393"/>
    <w:rsid w:val="0093042E"/>
    <w:rsid w:val="009305CA"/>
    <w:rsid w:val="00930794"/>
    <w:rsid w:val="009307A3"/>
    <w:rsid w:val="00930889"/>
    <w:rsid w:val="00930A80"/>
    <w:rsid w:val="00930A8A"/>
    <w:rsid w:val="00930CC6"/>
    <w:rsid w:val="00930ED9"/>
    <w:rsid w:val="00930F14"/>
    <w:rsid w:val="009311A0"/>
    <w:rsid w:val="009313E0"/>
    <w:rsid w:val="0093169E"/>
    <w:rsid w:val="0093176F"/>
    <w:rsid w:val="0093188C"/>
    <w:rsid w:val="009318D4"/>
    <w:rsid w:val="00931AF5"/>
    <w:rsid w:val="00931C26"/>
    <w:rsid w:val="00931C97"/>
    <w:rsid w:val="00931F73"/>
    <w:rsid w:val="00931FBA"/>
    <w:rsid w:val="00932139"/>
    <w:rsid w:val="009322CE"/>
    <w:rsid w:val="00932333"/>
    <w:rsid w:val="00932345"/>
    <w:rsid w:val="00932358"/>
    <w:rsid w:val="009324FD"/>
    <w:rsid w:val="00932505"/>
    <w:rsid w:val="00932737"/>
    <w:rsid w:val="00932B52"/>
    <w:rsid w:val="00932C14"/>
    <w:rsid w:val="00932EBC"/>
    <w:rsid w:val="00933283"/>
    <w:rsid w:val="009332C8"/>
    <w:rsid w:val="00933432"/>
    <w:rsid w:val="009334B6"/>
    <w:rsid w:val="00933583"/>
    <w:rsid w:val="009337F2"/>
    <w:rsid w:val="009339C4"/>
    <w:rsid w:val="009339F7"/>
    <w:rsid w:val="00933A58"/>
    <w:rsid w:val="00933B0C"/>
    <w:rsid w:val="00933C14"/>
    <w:rsid w:val="00934343"/>
    <w:rsid w:val="009343B8"/>
    <w:rsid w:val="009343ED"/>
    <w:rsid w:val="00934574"/>
    <w:rsid w:val="009345DF"/>
    <w:rsid w:val="00934613"/>
    <w:rsid w:val="009347D3"/>
    <w:rsid w:val="0093483F"/>
    <w:rsid w:val="0093496B"/>
    <w:rsid w:val="00934ABE"/>
    <w:rsid w:val="00934B3D"/>
    <w:rsid w:val="00934BB5"/>
    <w:rsid w:val="00934D46"/>
    <w:rsid w:val="00934D5D"/>
    <w:rsid w:val="00934E8F"/>
    <w:rsid w:val="00934F19"/>
    <w:rsid w:val="00934F32"/>
    <w:rsid w:val="0093526C"/>
    <w:rsid w:val="00935295"/>
    <w:rsid w:val="009352C0"/>
    <w:rsid w:val="00935362"/>
    <w:rsid w:val="009353CC"/>
    <w:rsid w:val="00935432"/>
    <w:rsid w:val="00935743"/>
    <w:rsid w:val="009357B6"/>
    <w:rsid w:val="009358F8"/>
    <w:rsid w:val="00935938"/>
    <w:rsid w:val="00935A08"/>
    <w:rsid w:val="00935E21"/>
    <w:rsid w:val="00935E46"/>
    <w:rsid w:val="00935E66"/>
    <w:rsid w:val="00935FC4"/>
    <w:rsid w:val="0093607C"/>
    <w:rsid w:val="0093620F"/>
    <w:rsid w:val="00936297"/>
    <w:rsid w:val="00936387"/>
    <w:rsid w:val="00936406"/>
    <w:rsid w:val="0093654C"/>
    <w:rsid w:val="00936971"/>
    <w:rsid w:val="00936B5C"/>
    <w:rsid w:val="00936BF6"/>
    <w:rsid w:val="00936DD1"/>
    <w:rsid w:val="00936E6D"/>
    <w:rsid w:val="00936F97"/>
    <w:rsid w:val="00937073"/>
    <w:rsid w:val="0093752F"/>
    <w:rsid w:val="0093756A"/>
    <w:rsid w:val="0093768A"/>
    <w:rsid w:val="00937861"/>
    <w:rsid w:val="009379EF"/>
    <w:rsid w:val="00937DE3"/>
    <w:rsid w:val="00937E2D"/>
    <w:rsid w:val="00937F05"/>
    <w:rsid w:val="00937FFC"/>
    <w:rsid w:val="0094013C"/>
    <w:rsid w:val="009401E4"/>
    <w:rsid w:val="00940381"/>
    <w:rsid w:val="00940756"/>
    <w:rsid w:val="0094077F"/>
    <w:rsid w:val="00940900"/>
    <w:rsid w:val="009409E9"/>
    <w:rsid w:val="00940A00"/>
    <w:rsid w:val="00940B56"/>
    <w:rsid w:val="00940B72"/>
    <w:rsid w:val="00940EC9"/>
    <w:rsid w:val="00941031"/>
    <w:rsid w:val="0094144B"/>
    <w:rsid w:val="0094155E"/>
    <w:rsid w:val="0094163A"/>
    <w:rsid w:val="00941849"/>
    <w:rsid w:val="00941B48"/>
    <w:rsid w:val="00941C71"/>
    <w:rsid w:val="00941C91"/>
    <w:rsid w:val="00941CB2"/>
    <w:rsid w:val="00941D75"/>
    <w:rsid w:val="00941E57"/>
    <w:rsid w:val="00941E83"/>
    <w:rsid w:val="00941F42"/>
    <w:rsid w:val="0094234B"/>
    <w:rsid w:val="009425D6"/>
    <w:rsid w:val="0094265B"/>
    <w:rsid w:val="0094285F"/>
    <w:rsid w:val="009428A5"/>
    <w:rsid w:val="00942972"/>
    <w:rsid w:val="00942B4C"/>
    <w:rsid w:val="00942CAF"/>
    <w:rsid w:val="00942DD1"/>
    <w:rsid w:val="00942E00"/>
    <w:rsid w:val="00942E2A"/>
    <w:rsid w:val="00942EE1"/>
    <w:rsid w:val="00943001"/>
    <w:rsid w:val="00943039"/>
    <w:rsid w:val="009430BE"/>
    <w:rsid w:val="009430FC"/>
    <w:rsid w:val="0094353F"/>
    <w:rsid w:val="009437F7"/>
    <w:rsid w:val="00944155"/>
    <w:rsid w:val="009441D7"/>
    <w:rsid w:val="009442D5"/>
    <w:rsid w:val="009442F0"/>
    <w:rsid w:val="0094440E"/>
    <w:rsid w:val="009445D9"/>
    <w:rsid w:val="00944701"/>
    <w:rsid w:val="0094470C"/>
    <w:rsid w:val="00944BA6"/>
    <w:rsid w:val="00944C43"/>
    <w:rsid w:val="00944D9F"/>
    <w:rsid w:val="00944DFD"/>
    <w:rsid w:val="00944E10"/>
    <w:rsid w:val="00944F58"/>
    <w:rsid w:val="00945089"/>
    <w:rsid w:val="009451A8"/>
    <w:rsid w:val="009451BA"/>
    <w:rsid w:val="0094529E"/>
    <w:rsid w:val="009452F3"/>
    <w:rsid w:val="00945311"/>
    <w:rsid w:val="009453B4"/>
    <w:rsid w:val="00945421"/>
    <w:rsid w:val="00945490"/>
    <w:rsid w:val="00945565"/>
    <w:rsid w:val="009455A1"/>
    <w:rsid w:val="00945811"/>
    <w:rsid w:val="00945A0D"/>
    <w:rsid w:val="00945AE5"/>
    <w:rsid w:val="00945C0E"/>
    <w:rsid w:val="009461A8"/>
    <w:rsid w:val="0094626A"/>
    <w:rsid w:val="0094644A"/>
    <w:rsid w:val="009464D3"/>
    <w:rsid w:val="009465FC"/>
    <w:rsid w:val="00946721"/>
    <w:rsid w:val="0094678F"/>
    <w:rsid w:val="009467C9"/>
    <w:rsid w:val="00946848"/>
    <w:rsid w:val="00946A8D"/>
    <w:rsid w:val="00946A98"/>
    <w:rsid w:val="00946B8A"/>
    <w:rsid w:val="00946C02"/>
    <w:rsid w:val="00946C2D"/>
    <w:rsid w:val="00946CB6"/>
    <w:rsid w:val="00946DF2"/>
    <w:rsid w:val="00946E4A"/>
    <w:rsid w:val="00947095"/>
    <w:rsid w:val="009470B0"/>
    <w:rsid w:val="009470E6"/>
    <w:rsid w:val="009471CB"/>
    <w:rsid w:val="00947299"/>
    <w:rsid w:val="009472B9"/>
    <w:rsid w:val="00947364"/>
    <w:rsid w:val="00947404"/>
    <w:rsid w:val="009475E4"/>
    <w:rsid w:val="009476FD"/>
    <w:rsid w:val="009477B4"/>
    <w:rsid w:val="0094786E"/>
    <w:rsid w:val="0094788C"/>
    <w:rsid w:val="00947AD7"/>
    <w:rsid w:val="00947BC0"/>
    <w:rsid w:val="00947C16"/>
    <w:rsid w:val="00947FA5"/>
    <w:rsid w:val="0095006F"/>
    <w:rsid w:val="009501D3"/>
    <w:rsid w:val="009501D4"/>
    <w:rsid w:val="00950365"/>
    <w:rsid w:val="0095037F"/>
    <w:rsid w:val="0095041D"/>
    <w:rsid w:val="009504A4"/>
    <w:rsid w:val="009504A7"/>
    <w:rsid w:val="009505C2"/>
    <w:rsid w:val="009505CC"/>
    <w:rsid w:val="0095073B"/>
    <w:rsid w:val="00950785"/>
    <w:rsid w:val="00950942"/>
    <w:rsid w:val="009509C6"/>
    <w:rsid w:val="009509CF"/>
    <w:rsid w:val="00950B76"/>
    <w:rsid w:val="00950DBE"/>
    <w:rsid w:val="00950E50"/>
    <w:rsid w:val="00950E77"/>
    <w:rsid w:val="00950F4B"/>
    <w:rsid w:val="009512DF"/>
    <w:rsid w:val="009512FA"/>
    <w:rsid w:val="00951662"/>
    <w:rsid w:val="00951932"/>
    <w:rsid w:val="00951A78"/>
    <w:rsid w:val="00951B33"/>
    <w:rsid w:val="00951CAC"/>
    <w:rsid w:val="00951CCD"/>
    <w:rsid w:val="00951D18"/>
    <w:rsid w:val="00951D22"/>
    <w:rsid w:val="00951D41"/>
    <w:rsid w:val="00952193"/>
    <w:rsid w:val="009521E8"/>
    <w:rsid w:val="009525CC"/>
    <w:rsid w:val="009526FA"/>
    <w:rsid w:val="00952733"/>
    <w:rsid w:val="00952785"/>
    <w:rsid w:val="00952836"/>
    <w:rsid w:val="00952921"/>
    <w:rsid w:val="00952B4D"/>
    <w:rsid w:val="00952E88"/>
    <w:rsid w:val="00952F7C"/>
    <w:rsid w:val="009531F8"/>
    <w:rsid w:val="0095341E"/>
    <w:rsid w:val="0095359B"/>
    <w:rsid w:val="009535D2"/>
    <w:rsid w:val="009535F5"/>
    <w:rsid w:val="00953726"/>
    <w:rsid w:val="0095381C"/>
    <w:rsid w:val="00953934"/>
    <w:rsid w:val="00953938"/>
    <w:rsid w:val="00953965"/>
    <w:rsid w:val="0095397A"/>
    <w:rsid w:val="00953A09"/>
    <w:rsid w:val="00953E87"/>
    <w:rsid w:val="00954053"/>
    <w:rsid w:val="009542DD"/>
    <w:rsid w:val="009543F7"/>
    <w:rsid w:val="0095462A"/>
    <w:rsid w:val="00954739"/>
    <w:rsid w:val="009549A9"/>
    <w:rsid w:val="00954F0B"/>
    <w:rsid w:val="00954F6F"/>
    <w:rsid w:val="009550A1"/>
    <w:rsid w:val="0095510F"/>
    <w:rsid w:val="0095571F"/>
    <w:rsid w:val="0095575B"/>
    <w:rsid w:val="0095581C"/>
    <w:rsid w:val="0095581D"/>
    <w:rsid w:val="0095594A"/>
    <w:rsid w:val="00955A02"/>
    <w:rsid w:val="00955A34"/>
    <w:rsid w:val="00955AD6"/>
    <w:rsid w:val="00955B0C"/>
    <w:rsid w:val="00955B30"/>
    <w:rsid w:val="00955E8C"/>
    <w:rsid w:val="00955EE7"/>
    <w:rsid w:val="00956074"/>
    <w:rsid w:val="009562CF"/>
    <w:rsid w:val="00956619"/>
    <w:rsid w:val="00956746"/>
    <w:rsid w:val="00956767"/>
    <w:rsid w:val="00956933"/>
    <w:rsid w:val="00956967"/>
    <w:rsid w:val="00956990"/>
    <w:rsid w:val="00956B05"/>
    <w:rsid w:val="00956DE7"/>
    <w:rsid w:val="00956ECF"/>
    <w:rsid w:val="00956F03"/>
    <w:rsid w:val="009570CE"/>
    <w:rsid w:val="0095719E"/>
    <w:rsid w:val="0095724C"/>
    <w:rsid w:val="00957259"/>
    <w:rsid w:val="009572AA"/>
    <w:rsid w:val="009574F1"/>
    <w:rsid w:val="0095758D"/>
    <w:rsid w:val="009578A6"/>
    <w:rsid w:val="009578F6"/>
    <w:rsid w:val="009578FB"/>
    <w:rsid w:val="00957A11"/>
    <w:rsid w:val="00957B82"/>
    <w:rsid w:val="00957C2B"/>
    <w:rsid w:val="00957C76"/>
    <w:rsid w:val="00957EE9"/>
    <w:rsid w:val="00960063"/>
    <w:rsid w:val="009602EF"/>
    <w:rsid w:val="009603BA"/>
    <w:rsid w:val="00960878"/>
    <w:rsid w:val="009608D8"/>
    <w:rsid w:val="009608EF"/>
    <w:rsid w:val="00960918"/>
    <w:rsid w:val="00960A38"/>
    <w:rsid w:val="00960DF0"/>
    <w:rsid w:val="00960E6E"/>
    <w:rsid w:val="00960E75"/>
    <w:rsid w:val="00960F94"/>
    <w:rsid w:val="009612DA"/>
    <w:rsid w:val="009613A5"/>
    <w:rsid w:val="009613FB"/>
    <w:rsid w:val="0096146A"/>
    <w:rsid w:val="009614A6"/>
    <w:rsid w:val="0096150F"/>
    <w:rsid w:val="009617D7"/>
    <w:rsid w:val="009618E3"/>
    <w:rsid w:val="00961928"/>
    <w:rsid w:val="00961A2E"/>
    <w:rsid w:val="00961DC5"/>
    <w:rsid w:val="00961FBD"/>
    <w:rsid w:val="00961FC3"/>
    <w:rsid w:val="009620CB"/>
    <w:rsid w:val="009621BA"/>
    <w:rsid w:val="00962252"/>
    <w:rsid w:val="00962651"/>
    <w:rsid w:val="009626A1"/>
    <w:rsid w:val="00962732"/>
    <w:rsid w:val="00962740"/>
    <w:rsid w:val="00962767"/>
    <w:rsid w:val="009627CD"/>
    <w:rsid w:val="0096282A"/>
    <w:rsid w:val="00962854"/>
    <w:rsid w:val="00962A52"/>
    <w:rsid w:val="00962A69"/>
    <w:rsid w:val="00962A8D"/>
    <w:rsid w:val="00962C3B"/>
    <w:rsid w:val="00962C78"/>
    <w:rsid w:val="00962DD2"/>
    <w:rsid w:val="00962E42"/>
    <w:rsid w:val="00962F60"/>
    <w:rsid w:val="00963027"/>
    <w:rsid w:val="00963030"/>
    <w:rsid w:val="0096307A"/>
    <w:rsid w:val="009630AD"/>
    <w:rsid w:val="0096314A"/>
    <w:rsid w:val="0096314B"/>
    <w:rsid w:val="00963468"/>
    <w:rsid w:val="0096360F"/>
    <w:rsid w:val="0096390A"/>
    <w:rsid w:val="00963B07"/>
    <w:rsid w:val="00964029"/>
    <w:rsid w:val="009641CB"/>
    <w:rsid w:val="00964217"/>
    <w:rsid w:val="00964290"/>
    <w:rsid w:val="00964371"/>
    <w:rsid w:val="009643ED"/>
    <w:rsid w:val="0096446D"/>
    <w:rsid w:val="00964609"/>
    <w:rsid w:val="00964A0B"/>
    <w:rsid w:val="00964B8C"/>
    <w:rsid w:val="00964FCA"/>
    <w:rsid w:val="0096501D"/>
    <w:rsid w:val="00965024"/>
    <w:rsid w:val="009652A0"/>
    <w:rsid w:val="00965510"/>
    <w:rsid w:val="00965684"/>
    <w:rsid w:val="0096569B"/>
    <w:rsid w:val="009658E5"/>
    <w:rsid w:val="00965A3B"/>
    <w:rsid w:val="00965B30"/>
    <w:rsid w:val="00965DD4"/>
    <w:rsid w:val="00965F63"/>
    <w:rsid w:val="00965F67"/>
    <w:rsid w:val="00965F93"/>
    <w:rsid w:val="00965FF0"/>
    <w:rsid w:val="0096603A"/>
    <w:rsid w:val="009660A9"/>
    <w:rsid w:val="009660AC"/>
    <w:rsid w:val="009661EF"/>
    <w:rsid w:val="00966414"/>
    <w:rsid w:val="00966472"/>
    <w:rsid w:val="009667E4"/>
    <w:rsid w:val="009669A6"/>
    <w:rsid w:val="00966A69"/>
    <w:rsid w:val="00966B05"/>
    <w:rsid w:val="00966BD2"/>
    <w:rsid w:val="009670A7"/>
    <w:rsid w:val="00967142"/>
    <w:rsid w:val="009671B7"/>
    <w:rsid w:val="00967233"/>
    <w:rsid w:val="009672E0"/>
    <w:rsid w:val="0096739F"/>
    <w:rsid w:val="0096761C"/>
    <w:rsid w:val="0096775B"/>
    <w:rsid w:val="00967766"/>
    <w:rsid w:val="009678D7"/>
    <w:rsid w:val="009679E6"/>
    <w:rsid w:val="00967A53"/>
    <w:rsid w:val="00967BDF"/>
    <w:rsid w:val="00967C57"/>
    <w:rsid w:val="00967E78"/>
    <w:rsid w:val="00967E99"/>
    <w:rsid w:val="009700D9"/>
    <w:rsid w:val="009701FB"/>
    <w:rsid w:val="0097029D"/>
    <w:rsid w:val="009702AF"/>
    <w:rsid w:val="009704C7"/>
    <w:rsid w:val="009704E7"/>
    <w:rsid w:val="00970873"/>
    <w:rsid w:val="00970B27"/>
    <w:rsid w:val="00970D5C"/>
    <w:rsid w:val="0097118F"/>
    <w:rsid w:val="00971274"/>
    <w:rsid w:val="009712A6"/>
    <w:rsid w:val="009712B3"/>
    <w:rsid w:val="0097131E"/>
    <w:rsid w:val="009714AD"/>
    <w:rsid w:val="00971534"/>
    <w:rsid w:val="00971626"/>
    <w:rsid w:val="00971699"/>
    <w:rsid w:val="009716BB"/>
    <w:rsid w:val="00971729"/>
    <w:rsid w:val="0097189E"/>
    <w:rsid w:val="00971A96"/>
    <w:rsid w:val="00971BF7"/>
    <w:rsid w:val="00971C34"/>
    <w:rsid w:val="00971C48"/>
    <w:rsid w:val="00971E42"/>
    <w:rsid w:val="00971E63"/>
    <w:rsid w:val="00972229"/>
    <w:rsid w:val="00972338"/>
    <w:rsid w:val="00972569"/>
    <w:rsid w:val="009726A6"/>
    <w:rsid w:val="009728C5"/>
    <w:rsid w:val="009728E6"/>
    <w:rsid w:val="00972B75"/>
    <w:rsid w:val="00972FBA"/>
    <w:rsid w:val="009730D9"/>
    <w:rsid w:val="0097311F"/>
    <w:rsid w:val="009731FD"/>
    <w:rsid w:val="00973238"/>
    <w:rsid w:val="00973336"/>
    <w:rsid w:val="0097339B"/>
    <w:rsid w:val="00973515"/>
    <w:rsid w:val="009736B9"/>
    <w:rsid w:val="009739AD"/>
    <w:rsid w:val="00973C6F"/>
    <w:rsid w:val="00973CA4"/>
    <w:rsid w:val="00973DA8"/>
    <w:rsid w:val="0097429E"/>
    <w:rsid w:val="00974375"/>
    <w:rsid w:val="009743E3"/>
    <w:rsid w:val="0097442D"/>
    <w:rsid w:val="00974662"/>
    <w:rsid w:val="00974803"/>
    <w:rsid w:val="009749F5"/>
    <w:rsid w:val="00974AE4"/>
    <w:rsid w:val="00974B28"/>
    <w:rsid w:val="00974C73"/>
    <w:rsid w:val="00974D5C"/>
    <w:rsid w:val="00974DF0"/>
    <w:rsid w:val="00974ED5"/>
    <w:rsid w:val="00975086"/>
    <w:rsid w:val="009750D5"/>
    <w:rsid w:val="009750FC"/>
    <w:rsid w:val="0097512E"/>
    <w:rsid w:val="00975228"/>
    <w:rsid w:val="0097594C"/>
    <w:rsid w:val="00975B41"/>
    <w:rsid w:val="00975B57"/>
    <w:rsid w:val="00975B84"/>
    <w:rsid w:val="00975BDC"/>
    <w:rsid w:val="00975CB1"/>
    <w:rsid w:val="00975E28"/>
    <w:rsid w:val="00975ED9"/>
    <w:rsid w:val="00975FBE"/>
    <w:rsid w:val="00976155"/>
    <w:rsid w:val="00976384"/>
    <w:rsid w:val="00976520"/>
    <w:rsid w:val="00976564"/>
    <w:rsid w:val="009766F8"/>
    <w:rsid w:val="00976C9B"/>
    <w:rsid w:val="00976D9C"/>
    <w:rsid w:val="00976F62"/>
    <w:rsid w:val="00976FB5"/>
    <w:rsid w:val="0097708C"/>
    <w:rsid w:val="00977380"/>
    <w:rsid w:val="0097738E"/>
    <w:rsid w:val="009773F7"/>
    <w:rsid w:val="009773F8"/>
    <w:rsid w:val="00977447"/>
    <w:rsid w:val="009775C7"/>
    <w:rsid w:val="009778DA"/>
    <w:rsid w:val="00977963"/>
    <w:rsid w:val="00977B17"/>
    <w:rsid w:val="00977C84"/>
    <w:rsid w:val="00977EBE"/>
    <w:rsid w:val="00977F83"/>
    <w:rsid w:val="00977F89"/>
    <w:rsid w:val="009803B9"/>
    <w:rsid w:val="00980503"/>
    <w:rsid w:val="00980707"/>
    <w:rsid w:val="0098077C"/>
    <w:rsid w:val="0098077D"/>
    <w:rsid w:val="0098083C"/>
    <w:rsid w:val="009808B8"/>
    <w:rsid w:val="00980A16"/>
    <w:rsid w:val="00980B09"/>
    <w:rsid w:val="00980D88"/>
    <w:rsid w:val="00980E8F"/>
    <w:rsid w:val="00980F3C"/>
    <w:rsid w:val="0098101F"/>
    <w:rsid w:val="00981165"/>
    <w:rsid w:val="009812B2"/>
    <w:rsid w:val="00981327"/>
    <w:rsid w:val="00981422"/>
    <w:rsid w:val="00981513"/>
    <w:rsid w:val="009815AC"/>
    <w:rsid w:val="0098190B"/>
    <w:rsid w:val="00981ABC"/>
    <w:rsid w:val="00981B7E"/>
    <w:rsid w:val="00981BCE"/>
    <w:rsid w:val="00981C43"/>
    <w:rsid w:val="00981F04"/>
    <w:rsid w:val="00982090"/>
    <w:rsid w:val="009820EA"/>
    <w:rsid w:val="009827A4"/>
    <w:rsid w:val="009828DF"/>
    <w:rsid w:val="00982910"/>
    <w:rsid w:val="00982A95"/>
    <w:rsid w:val="00982AA2"/>
    <w:rsid w:val="00982B23"/>
    <w:rsid w:val="00983032"/>
    <w:rsid w:val="00983100"/>
    <w:rsid w:val="00983153"/>
    <w:rsid w:val="00983175"/>
    <w:rsid w:val="009832FE"/>
    <w:rsid w:val="0098333F"/>
    <w:rsid w:val="009835AB"/>
    <w:rsid w:val="0098368F"/>
    <w:rsid w:val="0098378D"/>
    <w:rsid w:val="009837DC"/>
    <w:rsid w:val="009839A3"/>
    <w:rsid w:val="00983A5E"/>
    <w:rsid w:val="00983B6D"/>
    <w:rsid w:val="00983B71"/>
    <w:rsid w:val="00984012"/>
    <w:rsid w:val="009840CD"/>
    <w:rsid w:val="009845D6"/>
    <w:rsid w:val="00984644"/>
    <w:rsid w:val="009849A1"/>
    <w:rsid w:val="00984AB5"/>
    <w:rsid w:val="00984B22"/>
    <w:rsid w:val="00984F82"/>
    <w:rsid w:val="00985097"/>
    <w:rsid w:val="00985104"/>
    <w:rsid w:val="009855BC"/>
    <w:rsid w:val="0098561A"/>
    <w:rsid w:val="00985761"/>
    <w:rsid w:val="00985779"/>
    <w:rsid w:val="00985850"/>
    <w:rsid w:val="00985872"/>
    <w:rsid w:val="009858C3"/>
    <w:rsid w:val="00985AC4"/>
    <w:rsid w:val="00985B3B"/>
    <w:rsid w:val="00985CD4"/>
    <w:rsid w:val="00985CF3"/>
    <w:rsid w:val="00985D75"/>
    <w:rsid w:val="00985FBE"/>
    <w:rsid w:val="00985FDC"/>
    <w:rsid w:val="0098620A"/>
    <w:rsid w:val="009863C7"/>
    <w:rsid w:val="0098666D"/>
    <w:rsid w:val="009866F2"/>
    <w:rsid w:val="00986794"/>
    <w:rsid w:val="00986947"/>
    <w:rsid w:val="00986AFD"/>
    <w:rsid w:val="00986E10"/>
    <w:rsid w:val="00987175"/>
    <w:rsid w:val="0098718C"/>
    <w:rsid w:val="009871A8"/>
    <w:rsid w:val="00987303"/>
    <w:rsid w:val="00987349"/>
    <w:rsid w:val="00987400"/>
    <w:rsid w:val="00987666"/>
    <w:rsid w:val="009876B7"/>
    <w:rsid w:val="009877B4"/>
    <w:rsid w:val="00987840"/>
    <w:rsid w:val="00987946"/>
    <w:rsid w:val="00987A81"/>
    <w:rsid w:val="00987ADB"/>
    <w:rsid w:val="00987B10"/>
    <w:rsid w:val="00987C80"/>
    <w:rsid w:val="00987DFA"/>
    <w:rsid w:val="00987E82"/>
    <w:rsid w:val="00987F27"/>
    <w:rsid w:val="009900B4"/>
    <w:rsid w:val="009900E6"/>
    <w:rsid w:val="0099043F"/>
    <w:rsid w:val="00990480"/>
    <w:rsid w:val="00990496"/>
    <w:rsid w:val="009904D2"/>
    <w:rsid w:val="00990772"/>
    <w:rsid w:val="009907C9"/>
    <w:rsid w:val="009909D8"/>
    <w:rsid w:val="00990AB5"/>
    <w:rsid w:val="00990BDF"/>
    <w:rsid w:val="00990C8C"/>
    <w:rsid w:val="00990E9D"/>
    <w:rsid w:val="00990EAA"/>
    <w:rsid w:val="00990F78"/>
    <w:rsid w:val="00990F81"/>
    <w:rsid w:val="0099117F"/>
    <w:rsid w:val="00991238"/>
    <w:rsid w:val="00991310"/>
    <w:rsid w:val="0099147F"/>
    <w:rsid w:val="009914E4"/>
    <w:rsid w:val="00991501"/>
    <w:rsid w:val="00991620"/>
    <w:rsid w:val="009916E6"/>
    <w:rsid w:val="0099174D"/>
    <w:rsid w:val="009918A6"/>
    <w:rsid w:val="0099190F"/>
    <w:rsid w:val="00991A00"/>
    <w:rsid w:val="00991A21"/>
    <w:rsid w:val="00991C26"/>
    <w:rsid w:val="00991C29"/>
    <w:rsid w:val="00991E42"/>
    <w:rsid w:val="00991EA8"/>
    <w:rsid w:val="00991FEC"/>
    <w:rsid w:val="009921D2"/>
    <w:rsid w:val="00992246"/>
    <w:rsid w:val="00992324"/>
    <w:rsid w:val="00992600"/>
    <w:rsid w:val="00992651"/>
    <w:rsid w:val="009927F7"/>
    <w:rsid w:val="009929A5"/>
    <w:rsid w:val="00992B08"/>
    <w:rsid w:val="00992C81"/>
    <w:rsid w:val="00992C8D"/>
    <w:rsid w:val="00992E3A"/>
    <w:rsid w:val="00992E47"/>
    <w:rsid w:val="00992E51"/>
    <w:rsid w:val="00992EEF"/>
    <w:rsid w:val="00993268"/>
    <w:rsid w:val="0099331D"/>
    <w:rsid w:val="00993327"/>
    <w:rsid w:val="0099342B"/>
    <w:rsid w:val="00993493"/>
    <w:rsid w:val="009934F5"/>
    <w:rsid w:val="009934FB"/>
    <w:rsid w:val="0099350B"/>
    <w:rsid w:val="009935C1"/>
    <w:rsid w:val="009936DF"/>
    <w:rsid w:val="00993A9B"/>
    <w:rsid w:val="00993B86"/>
    <w:rsid w:val="00993C2C"/>
    <w:rsid w:val="00993C90"/>
    <w:rsid w:val="00993EB6"/>
    <w:rsid w:val="009940D6"/>
    <w:rsid w:val="0099425C"/>
    <w:rsid w:val="009943C6"/>
    <w:rsid w:val="00994413"/>
    <w:rsid w:val="0099443F"/>
    <w:rsid w:val="0099455C"/>
    <w:rsid w:val="00994751"/>
    <w:rsid w:val="0099478E"/>
    <w:rsid w:val="00994836"/>
    <w:rsid w:val="00994846"/>
    <w:rsid w:val="00994A61"/>
    <w:rsid w:val="00994B36"/>
    <w:rsid w:val="00994C22"/>
    <w:rsid w:val="00995437"/>
    <w:rsid w:val="00995439"/>
    <w:rsid w:val="009954BA"/>
    <w:rsid w:val="00995598"/>
    <w:rsid w:val="009955D5"/>
    <w:rsid w:val="0099562D"/>
    <w:rsid w:val="0099566F"/>
    <w:rsid w:val="00995779"/>
    <w:rsid w:val="009957B2"/>
    <w:rsid w:val="00995895"/>
    <w:rsid w:val="0099594F"/>
    <w:rsid w:val="00995A03"/>
    <w:rsid w:val="00995D85"/>
    <w:rsid w:val="00995DE6"/>
    <w:rsid w:val="00995DFA"/>
    <w:rsid w:val="00995E91"/>
    <w:rsid w:val="00995FDC"/>
    <w:rsid w:val="00996083"/>
    <w:rsid w:val="00996096"/>
    <w:rsid w:val="009963A2"/>
    <w:rsid w:val="00996551"/>
    <w:rsid w:val="00996677"/>
    <w:rsid w:val="009966B4"/>
    <w:rsid w:val="00996878"/>
    <w:rsid w:val="00996ACC"/>
    <w:rsid w:val="00996BA9"/>
    <w:rsid w:val="00996C26"/>
    <w:rsid w:val="00996CA6"/>
    <w:rsid w:val="00996E03"/>
    <w:rsid w:val="00996F77"/>
    <w:rsid w:val="00996FA3"/>
    <w:rsid w:val="00996FA6"/>
    <w:rsid w:val="00996FC7"/>
    <w:rsid w:val="0099715E"/>
    <w:rsid w:val="0099723A"/>
    <w:rsid w:val="00997733"/>
    <w:rsid w:val="0099773A"/>
    <w:rsid w:val="00997801"/>
    <w:rsid w:val="00997E6C"/>
    <w:rsid w:val="00997F3C"/>
    <w:rsid w:val="009A003D"/>
    <w:rsid w:val="009A0062"/>
    <w:rsid w:val="009A00BB"/>
    <w:rsid w:val="009A013C"/>
    <w:rsid w:val="009A01D7"/>
    <w:rsid w:val="009A03B6"/>
    <w:rsid w:val="009A03EA"/>
    <w:rsid w:val="009A050E"/>
    <w:rsid w:val="009A0792"/>
    <w:rsid w:val="009A0872"/>
    <w:rsid w:val="009A094D"/>
    <w:rsid w:val="009A0963"/>
    <w:rsid w:val="009A0B63"/>
    <w:rsid w:val="009A0C4B"/>
    <w:rsid w:val="009A0CEE"/>
    <w:rsid w:val="009A0F23"/>
    <w:rsid w:val="009A1011"/>
    <w:rsid w:val="009A123B"/>
    <w:rsid w:val="009A131F"/>
    <w:rsid w:val="009A13FD"/>
    <w:rsid w:val="009A150A"/>
    <w:rsid w:val="009A165E"/>
    <w:rsid w:val="009A1758"/>
    <w:rsid w:val="009A17E6"/>
    <w:rsid w:val="009A197A"/>
    <w:rsid w:val="009A19F4"/>
    <w:rsid w:val="009A1A3C"/>
    <w:rsid w:val="009A1A4C"/>
    <w:rsid w:val="009A1AAB"/>
    <w:rsid w:val="009A1BF9"/>
    <w:rsid w:val="009A1E2D"/>
    <w:rsid w:val="009A1E68"/>
    <w:rsid w:val="009A2121"/>
    <w:rsid w:val="009A23AD"/>
    <w:rsid w:val="009A25C0"/>
    <w:rsid w:val="009A2893"/>
    <w:rsid w:val="009A2BBC"/>
    <w:rsid w:val="009A2CBD"/>
    <w:rsid w:val="009A2E35"/>
    <w:rsid w:val="009A302A"/>
    <w:rsid w:val="009A3035"/>
    <w:rsid w:val="009A30EC"/>
    <w:rsid w:val="009A3316"/>
    <w:rsid w:val="009A33A1"/>
    <w:rsid w:val="009A353A"/>
    <w:rsid w:val="009A3573"/>
    <w:rsid w:val="009A37E7"/>
    <w:rsid w:val="009A383A"/>
    <w:rsid w:val="009A3864"/>
    <w:rsid w:val="009A395B"/>
    <w:rsid w:val="009A39B2"/>
    <w:rsid w:val="009A3A22"/>
    <w:rsid w:val="009A3AD2"/>
    <w:rsid w:val="009A3C2E"/>
    <w:rsid w:val="009A3EE0"/>
    <w:rsid w:val="009A3FA6"/>
    <w:rsid w:val="009A3FE7"/>
    <w:rsid w:val="009A4003"/>
    <w:rsid w:val="009A4203"/>
    <w:rsid w:val="009A42CA"/>
    <w:rsid w:val="009A4398"/>
    <w:rsid w:val="009A4567"/>
    <w:rsid w:val="009A4730"/>
    <w:rsid w:val="009A4B39"/>
    <w:rsid w:val="009A4B69"/>
    <w:rsid w:val="009A4B9C"/>
    <w:rsid w:val="009A4BF6"/>
    <w:rsid w:val="009A4C12"/>
    <w:rsid w:val="009A4CAD"/>
    <w:rsid w:val="009A4FAE"/>
    <w:rsid w:val="009A5024"/>
    <w:rsid w:val="009A5095"/>
    <w:rsid w:val="009A50A0"/>
    <w:rsid w:val="009A5330"/>
    <w:rsid w:val="009A5392"/>
    <w:rsid w:val="009A5457"/>
    <w:rsid w:val="009A556F"/>
    <w:rsid w:val="009A55FB"/>
    <w:rsid w:val="009A59C6"/>
    <w:rsid w:val="009A5A88"/>
    <w:rsid w:val="009A5C9F"/>
    <w:rsid w:val="009A5CDB"/>
    <w:rsid w:val="009A5CE2"/>
    <w:rsid w:val="009A5EDD"/>
    <w:rsid w:val="009A5F05"/>
    <w:rsid w:val="009A5F73"/>
    <w:rsid w:val="009A6005"/>
    <w:rsid w:val="009A6073"/>
    <w:rsid w:val="009A6251"/>
    <w:rsid w:val="009A6322"/>
    <w:rsid w:val="009A6386"/>
    <w:rsid w:val="009A6739"/>
    <w:rsid w:val="009A689C"/>
    <w:rsid w:val="009A6BA9"/>
    <w:rsid w:val="009A6D44"/>
    <w:rsid w:val="009A6E0F"/>
    <w:rsid w:val="009A6E82"/>
    <w:rsid w:val="009A7088"/>
    <w:rsid w:val="009A70DB"/>
    <w:rsid w:val="009A717B"/>
    <w:rsid w:val="009A72AB"/>
    <w:rsid w:val="009A72CC"/>
    <w:rsid w:val="009A72F9"/>
    <w:rsid w:val="009A7521"/>
    <w:rsid w:val="009A75A3"/>
    <w:rsid w:val="009A76CD"/>
    <w:rsid w:val="009A7B91"/>
    <w:rsid w:val="009A7BFD"/>
    <w:rsid w:val="009A7C8C"/>
    <w:rsid w:val="009A7CBC"/>
    <w:rsid w:val="009A7D7D"/>
    <w:rsid w:val="009A7D8F"/>
    <w:rsid w:val="009A7EAD"/>
    <w:rsid w:val="009A7EB5"/>
    <w:rsid w:val="009B0158"/>
    <w:rsid w:val="009B0191"/>
    <w:rsid w:val="009B02A2"/>
    <w:rsid w:val="009B0635"/>
    <w:rsid w:val="009B0641"/>
    <w:rsid w:val="009B0960"/>
    <w:rsid w:val="009B0A4E"/>
    <w:rsid w:val="009B0CA1"/>
    <w:rsid w:val="009B110E"/>
    <w:rsid w:val="009B12DE"/>
    <w:rsid w:val="009B1306"/>
    <w:rsid w:val="009B13AF"/>
    <w:rsid w:val="009B14E7"/>
    <w:rsid w:val="009B187C"/>
    <w:rsid w:val="009B18C4"/>
    <w:rsid w:val="009B1C40"/>
    <w:rsid w:val="009B1D9D"/>
    <w:rsid w:val="009B1E95"/>
    <w:rsid w:val="009B1F41"/>
    <w:rsid w:val="009B1FD6"/>
    <w:rsid w:val="009B1FFA"/>
    <w:rsid w:val="009B2050"/>
    <w:rsid w:val="009B2074"/>
    <w:rsid w:val="009B22AF"/>
    <w:rsid w:val="009B2469"/>
    <w:rsid w:val="009B24CB"/>
    <w:rsid w:val="009B2AC6"/>
    <w:rsid w:val="009B2DBB"/>
    <w:rsid w:val="009B2DEA"/>
    <w:rsid w:val="009B2F96"/>
    <w:rsid w:val="009B30FC"/>
    <w:rsid w:val="009B310F"/>
    <w:rsid w:val="009B31CF"/>
    <w:rsid w:val="009B32CC"/>
    <w:rsid w:val="009B346E"/>
    <w:rsid w:val="009B3654"/>
    <w:rsid w:val="009B36EB"/>
    <w:rsid w:val="009B3727"/>
    <w:rsid w:val="009B37C3"/>
    <w:rsid w:val="009B3812"/>
    <w:rsid w:val="009B3991"/>
    <w:rsid w:val="009B3B7F"/>
    <w:rsid w:val="009B3BD6"/>
    <w:rsid w:val="009B3C7D"/>
    <w:rsid w:val="009B3D02"/>
    <w:rsid w:val="009B3D9F"/>
    <w:rsid w:val="009B3E91"/>
    <w:rsid w:val="009B3F41"/>
    <w:rsid w:val="009B4434"/>
    <w:rsid w:val="009B4449"/>
    <w:rsid w:val="009B487C"/>
    <w:rsid w:val="009B4B13"/>
    <w:rsid w:val="009B4B90"/>
    <w:rsid w:val="009B4C44"/>
    <w:rsid w:val="009B4EC5"/>
    <w:rsid w:val="009B4F49"/>
    <w:rsid w:val="009B514D"/>
    <w:rsid w:val="009B5271"/>
    <w:rsid w:val="009B52F3"/>
    <w:rsid w:val="009B5346"/>
    <w:rsid w:val="009B53D7"/>
    <w:rsid w:val="009B557D"/>
    <w:rsid w:val="009B56B3"/>
    <w:rsid w:val="009B5729"/>
    <w:rsid w:val="009B576B"/>
    <w:rsid w:val="009B58F8"/>
    <w:rsid w:val="009B5AA2"/>
    <w:rsid w:val="009B5B2E"/>
    <w:rsid w:val="009B5CC6"/>
    <w:rsid w:val="009B5D44"/>
    <w:rsid w:val="009B5DF1"/>
    <w:rsid w:val="009B5EB2"/>
    <w:rsid w:val="009B5ECD"/>
    <w:rsid w:val="009B5F6C"/>
    <w:rsid w:val="009B60AD"/>
    <w:rsid w:val="009B6286"/>
    <w:rsid w:val="009B66F7"/>
    <w:rsid w:val="009B678B"/>
    <w:rsid w:val="009B696E"/>
    <w:rsid w:val="009B6A3C"/>
    <w:rsid w:val="009B6C2F"/>
    <w:rsid w:val="009B6DBA"/>
    <w:rsid w:val="009B6DBD"/>
    <w:rsid w:val="009B6DED"/>
    <w:rsid w:val="009B6F29"/>
    <w:rsid w:val="009B6FE3"/>
    <w:rsid w:val="009B7064"/>
    <w:rsid w:val="009B714C"/>
    <w:rsid w:val="009B71E5"/>
    <w:rsid w:val="009B73F8"/>
    <w:rsid w:val="009B7661"/>
    <w:rsid w:val="009B79A6"/>
    <w:rsid w:val="009B7DB5"/>
    <w:rsid w:val="009C039D"/>
    <w:rsid w:val="009C0502"/>
    <w:rsid w:val="009C0724"/>
    <w:rsid w:val="009C07B3"/>
    <w:rsid w:val="009C0917"/>
    <w:rsid w:val="009C092E"/>
    <w:rsid w:val="009C095D"/>
    <w:rsid w:val="009C0B30"/>
    <w:rsid w:val="009C0C99"/>
    <w:rsid w:val="009C0E13"/>
    <w:rsid w:val="009C0E61"/>
    <w:rsid w:val="009C0EB2"/>
    <w:rsid w:val="009C0FDF"/>
    <w:rsid w:val="009C10E3"/>
    <w:rsid w:val="009C1427"/>
    <w:rsid w:val="009C1731"/>
    <w:rsid w:val="009C17F8"/>
    <w:rsid w:val="009C1986"/>
    <w:rsid w:val="009C19F1"/>
    <w:rsid w:val="009C1ADE"/>
    <w:rsid w:val="009C1B09"/>
    <w:rsid w:val="009C1BF3"/>
    <w:rsid w:val="009C1E0D"/>
    <w:rsid w:val="009C1F42"/>
    <w:rsid w:val="009C2002"/>
    <w:rsid w:val="009C207E"/>
    <w:rsid w:val="009C216C"/>
    <w:rsid w:val="009C2210"/>
    <w:rsid w:val="009C2532"/>
    <w:rsid w:val="009C259B"/>
    <w:rsid w:val="009C26ED"/>
    <w:rsid w:val="009C2859"/>
    <w:rsid w:val="009C288F"/>
    <w:rsid w:val="009C2987"/>
    <w:rsid w:val="009C2988"/>
    <w:rsid w:val="009C29FD"/>
    <w:rsid w:val="009C2C2A"/>
    <w:rsid w:val="009C2CC0"/>
    <w:rsid w:val="009C2D06"/>
    <w:rsid w:val="009C2D3E"/>
    <w:rsid w:val="009C3117"/>
    <w:rsid w:val="009C3119"/>
    <w:rsid w:val="009C323D"/>
    <w:rsid w:val="009C341E"/>
    <w:rsid w:val="009C377D"/>
    <w:rsid w:val="009C378A"/>
    <w:rsid w:val="009C39B9"/>
    <w:rsid w:val="009C3BED"/>
    <w:rsid w:val="009C3C3A"/>
    <w:rsid w:val="009C3F57"/>
    <w:rsid w:val="009C4068"/>
    <w:rsid w:val="009C4370"/>
    <w:rsid w:val="009C44C9"/>
    <w:rsid w:val="009C4764"/>
    <w:rsid w:val="009C47AD"/>
    <w:rsid w:val="009C493F"/>
    <w:rsid w:val="009C4BEC"/>
    <w:rsid w:val="009C4C48"/>
    <w:rsid w:val="009C4CB0"/>
    <w:rsid w:val="009C513C"/>
    <w:rsid w:val="009C5159"/>
    <w:rsid w:val="009C51CD"/>
    <w:rsid w:val="009C53B3"/>
    <w:rsid w:val="009C541A"/>
    <w:rsid w:val="009C56FC"/>
    <w:rsid w:val="009C57D3"/>
    <w:rsid w:val="009C595D"/>
    <w:rsid w:val="009C59C7"/>
    <w:rsid w:val="009C5A08"/>
    <w:rsid w:val="009C5A0F"/>
    <w:rsid w:val="009C5A74"/>
    <w:rsid w:val="009C5B89"/>
    <w:rsid w:val="009C5B99"/>
    <w:rsid w:val="009C5D79"/>
    <w:rsid w:val="009C5DDA"/>
    <w:rsid w:val="009C5DFA"/>
    <w:rsid w:val="009C5E8F"/>
    <w:rsid w:val="009C5EC0"/>
    <w:rsid w:val="009C5EDD"/>
    <w:rsid w:val="009C5F12"/>
    <w:rsid w:val="009C60D4"/>
    <w:rsid w:val="009C6125"/>
    <w:rsid w:val="009C61D7"/>
    <w:rsid w:val="009C63FD"/>
    <w:rsid w:val="009C6488"/>
    <w:rsid w:val="009C6503"/>
    <w:rsid w:val="009C67A5"/>
    <w:rsid w:val="009C67F4"/>
    <w:rsid w:val="009C6980"/>
    <w:rsid w:val="009C6A86"/>
    <w:rsid w:val="009C6C3F"/>
    <w:rsid w:val="009C6EEB"/>
    <w:rsid w:val="009C6F04"/>
    <w:rsid w:val="009C7072"/>
    <w:rsid w:val="009C71B9"/>
    <w:rsid w:val="009C726C"/>
    <w:rsid w:val="009C72E0"/>
    <w:rsid w:val="009C73A1"/>
    <w:rsid w:val="009C74EB"/>
    <w:rsid w:val="009C75CC"/>
    <w:rsid w:val="009C76C8"/>
    <w:rsid w:val="009C78AE"/>
    <w:rsid w:val="009C79F3"/>
    <w:rsid w:val="009C7B49"/>
    <w:rsid w:val="009C7BAC"/>
    <w:rsid w:val="009C7C5B"/>
    <w:rsid w:val="009C7F00"/>
    <w:rsid w:val="009D02C6"/>
    <w:rsid w:val="009D0441"/>
    <w:rsid w:val="009D056E"/>
    <w:rsid w:val="009D056F"/>
    <w:rsid w:val="009D0614"/>
    <w:rsid w:val="009D0897"/>
    <w:rsid w:val="009D09C3"/>
    <w:rsid w:val="009D0A57"/>
    <w:rsid w:val="009D0B76"/>
    <w:rsid w:val="009D0EE1"/>
    <w:rsid w:val="009D10BA"/>
    <w:rsid w:val="009D12E1"/>
    <w:rsid w:val="009D14D3"/>
    <w:rsid w:val="009D1814"/>
    <w:rsid w:val="009D196F"/>
    <w:rsid w:val="009D19D8"/>
    <w:rsid w:val="009D1E91"/>
    <w:rsid w:val="009D22CD"/>
    <w:rsid w:val="009D2300"/>
    <w:rsid w:val="009D241B"/>
    <w:rsid w:val="009D2706"/>
    <w:rsid w:val="009D2939"/>
    <w:rsid w:val="009D2E93"/>
    <w:rsid w:val="009D316A"/>
    <w:rsid w:val="009D3197"/>
    <w:rsid w:val="009D31AF"/>
    <w:rsid w:val="009D324D"/>
    <w:rsid w:val="009D3378"/>
    <w:rsid w:val="009D33D9"/>
    <w:rsid w:val="009D341E"/>
    <w:rsid w:val="009D36CA"/>
    <w:rsid w:val="009D382D"/>
    <w:rsid w:val="009D3982"/>
    <w:rsid w:val="009D3998"/>
    <w:rsid w:val="009D3A03"/>
    <w:rsid w:val="009D3B30"/>
    <w:rsid w:val="009D3BAA"/>
    <w:rsid w:val="009D3CA5"/>
    <w:rsid w:val="009D3CCA"/>
    <w:rsid w:val="009D3DDD"/>
    <w:rsid w:val="009D3EB8"/>
    <w:rsid w:val="009D40FD"/>
    <w:rsid w:val="009D4203"/>
    <w:rsid w:val="009D4495"/>
    <w:rsid w:val="009D472E"/>
    <w:rsid w:val="009D47B8"/>
    <w:rsid w:val="009D47E4"/>
    <w:rsid w:val="009D4817"/>
    <w:rsid w:val="009D4A63"/>
    <w:rsid w:val="009D4B07"/>
    <w:rsid w:val="009D4D00"/>
    <w:rsid w:val="009D4DFA"/>
    <w:rsid w:val="009D4E13"/>
    <w:rsid w:val="009D4FD2"/>
    <w:rsid w:val="009D5049"/>
    <w:rsid w:val="009D5155"/>
    <w:rsid w:val="009D51BC"/>
    <w:rsid w:val="009D51FC"/>
    <w:rsid w:val="009D541C"/>
    <w:rsid w:val="009D5552"/>
    <w:rsid w:val="009D5580"/>
    <w:rsid w:val="009D56D1"/>
    <w:rsid w:val="009D5AAB"/>
    <w:rsid w:val="009D5D2A"/>
    <w:rsid w:val="009D5DA2"/>
    <w:rsid w:val="009D5E80"/>
    <w:rsid w:val="009D5ECF"/>
    <w:rsid w:val="009D5F85"/>
    <w:rsid w:val="009D605C"/>
    <w:rsid w:val="009D60F0"/>
    <w:rsid w:val="009D620F"/>
    <w:rsid w:val="009D62A6"/>
    <w:rsid w:val="009D633C"/>
    <w:rsid w:val="009D64DE"/>
    <w:rsid w:val="009D657B"/>
    <w:rsid w:val="009D68B3"/>
    <w:rsid w:val="009D69E4"/>
    <w:rsid w:val="009D6E3B"/>
    <w:rsid w:val="009D6E3E"/>
    <w:rsid w:val="009D6FDD"/>
    <w:rsid w:val="009D703D"/>
    <w:rsid w:val="009D71A2"/>
    <w:rsid w:val="009D7237"/>
    <w:rsid w:val="009D7257"/>
    <w:rsid w:val="009D72B6"/>
    <w:rsid w:val="009D759B"/>
    <w:rsid w:val="009D7625"/>
    <w:rsid w:val="009D77C8"/>
    <w:rsid w:val="009D7889"/>
    <w:rsid w:val="009D79F5"/>
    <w:rsid w:val="009D7A61"/>
    <w:rsid w:val="009D7CD7"/>
    <w:rsid w:val="009D7E16"/>
    <w:rsid w:val="009D7E5B"/>
    <w:rsid w:val="009D7EDB"/>
    <w:rsid w:val="009D7EF9"/>
    <w:rsid w:val="009E0507"/>
    <w:rsid w:val="009E0609"/>
    <w:rsid w:val="009E077B"/>
    <w:rsid w:val="009E09F5"/>
    <w:rsid w:val="009E0DE9"/>
    <w:rsid w:val="009E103E"/>
    <w:rsid w:val="009E11C3"/>
    <w:rsid w:val="009E11ED"/>
    <w:rsid w:val="009E147A"/>
    <w:rsid w:val="009E152B"/>
    <w:rsid w:val="009E158D"/>
    <w:rsid w:val="009E171A"/>
    <w:rsid w:val="009E1765"/>
    <w:rsid w:val="009E1783"/>
    <w:rsid w:val="009E17E5"/>
    <w:rsid w:val="009E18FF"/>
    <w:rsid w:val="009E1963"/>
    <w:rsid w:val="009E1987"/>
    <w:rsid w:val="009E1A22"/>
    <w:rsid w:val="009E1AA7"/>
    <w:rsid w:val="009E1BE4"/>
    <w:rsid w:val="009E1FB8"/>
    <w:rsid w:val="009E201C"/>
    <w:rsid w:val="009E2150"/>
    <w:rsid w:val="009E2172"/>
    <w:rsid w:val="009E21F1"/>
    <w:rsid w:val="009E2220"/>
    <w:rsid w:val="009E233F"/>
    <w:rsid w:val="009E23D4"/>
    <w:rsid w:val="009E272D"/>
    <w:rsid w:val="009E28E1"/>
    <w:rsid w:val="009E2B93"/>
    <w:rsid w:val="009E2C27"/>
    <w:rsid w:val="009E2C52"/>
    <w:rsid w:val="009E2CB3"/>
    <w:rsid w:val="009E2DB8"/>
    <w:rsid w:val="009E2F83"/>
    <w:rsid w:val="009E307B"/>
    <w:rsid w:val="009E30C5"/>
    <w:rsid w:val="009E319B"/>
    <w:rsid w:val="009E3352"/>
    <w:rsid w:val="009E33F9"/>
    <w:rsid w:val="009E34DA"/>
    <w:rsid w:val="009E3BE4"/>
    <w:rsid w:val="009E3EAB"/>
    <w:rsid w:val="009E416B"/>
    <w:rsid w:val="009E4229"/>
    <w:rsid w:val="009E42FE"/>
    <w:rsid w:val="009E4380"/>
    <w:rsid w:val="009E46A8"/>
    <w:rsid w:val="009E477C"/>
    <w:rsid w:val="009E47E6"/>
    <w:rsid w:val="009E47FC"/>
    <w:rsid w:val="009E4913"/>
    <w:rsid w:val="009E5028"/>
    <w:rsid w:val="009E50E8"/>
    <w:rsid w:val="009E5150"/>
    <w:rsid w:val="009E5187"/>
    <w:rsid w:val="009E5323"/>
    <w:rsid w:val="009E5344"/>
    <w:rsid w:val="009E5419"/>
    <w:rsid w:val="009E54A2"/>
    <w:rsid w:val="009E552F"/>
    <w:rsid w:val="009E5543"/>
    <w:rsid w:val="009E55D9"/>
    <w:rsid w:val="009E57C2"/>
    <w:rsid w:val="009E5999"/>
    <w:rsid w:val="009E5CA4"/>
    <w:rsid w:val="009E5CB3"/>
    <w:rsid w:val="009E5CDA"/>
    <w:rsid w:val="009E5E68"/>
    <w:rsid w:val="009E5FDC"/>
    <w:rsid w:val="009E607F"/>
    <w:rsid w:val="009E6279"/>
    <w:rsid w:val="009E63F4"/>
    <w:rsid w:val="009E646D"/>
    <w:rsid w:val="009E64CD"/>
    <w:rsid w:val="009E656F"/>
    <w:rsid w:val="009E669B"/>
    <w:rsid w:val="009E69CD"/>
    <w:rsid w:val="009E6C18"/>
    <w:rsid w:val="009E6DFD"/>
    <w:rsid w:val="009E6F13"/>
    <w:rsid w:val="009E6FE6"/>
    <w:rsid w:val="009E7633"/>
    <w:rsid w:val="009E764A"/>
    <w:rsid w:val="009E78B5"/>
    <w:rsid w:val="009E791C"/>
    <w:rsid w:val="009E7AA0"/>
    <w:rsid w:val="009E7D7F"/>
    <w:rsid w:val="009E7D9F"/>
    <w:rsid w:val="009F004D"/>
    <w:rsid w:val="009F0282"/>
    <w:rsid w:val="009F0335"/>
    <w:rsid w:val="009F03A5"/>
    <w:rsid w:val="009F03CA"/>
    <w:rsid w:val="009F061B"/>
    <w:rsid w:val="009F074C"/>
    <w:rsid w:val="009F0A99"/>
    <w:rsid w:val="009F0B12"/>
    <w:rsid w:val="009F0D16"/>
    <w:rsid w:val="009F0ED0"/>
    <w:rsid w:val="009F0F23"/>
    <w:rsid w:val="009F138B"/>
    <w:rsid w:val="009F14FC"/>
    <w:rsid w:val="009F1508"/>
    <w:rsid w:val="009F1565"/>
    <w:rsid w:val="009F1580"/>
    <w:rsid w:val="009F17B6"/>
    <w:rsid w:val="009F1869"/>
    <w:rsid w:val="009F1968"/>
    <w:rsid w:val="009F19CF"/>
    <w:rsid w:val="009F1B8B"/>
    <w:rsid w:val="009F1C98"/>
    <w:rsid w:val="009F1D39"/>
    <w:rsid w:val="009F1DE1"/>
    <w:rsid w:val="009F1F86"/>
    <w:rsid w:val="009F1FB4"/>
    <w:rsid w:val="009F20A0"/>
    <w:rsid w:val="009F21CA"/>
    <w:rsid w:val="009F22AD"/>
    <w:rsid w:val="009F22E3"/>
    <w:rsid w:val="009F2570"/>
    <w:rsid w:val="009F25EA"/>
    <w:rsid w:val="009F2736"/>
    <w:rsid w:val="009F2B00"/>
    <w:rsid w:val="009F2B57"/>
    <w:rsid w:val="009F2FD9"/>
    <w:rsid w:val="009F300B"/>
    <w:rsid w:val="009F30D1"/>
    <w:rsid w:val="009F30E7"/>
    <w:rsid w:val="009F311D"/>
    <w:rsid w:val="009F3340"/>
    <w:rsid w:val="009F3445"/>
    <w:rsid w:val="009F3468"/>
    <w:rsid w:val="009F34D2"/>
    <w:rsid w:val="009F353D"/>
    <w:rsid w:val="009F36F3"/>
    <w:rsid w:val="009F38AA"/>
    <w:rsid w:val="009F39A1"/>
    <w:rsid w:val="009F3A18"/>
    <w:rsid w:val="009F3AD3"/>
    <w:rsid w:val="009F3C42"/>
    <w:rsid w:val="009F3C47"/>
    <w:rsid w:val="009F3D63"/>
    <w:rsid w:val="009F3E1B"/>
    <w:rsid w:val="009F3FF0"/>
    <w:rsid w:val="009F3FF8"/>
    <w:rsid w:val="009F40F1"/>
    <w:rsid w:val="009F411C"/>
    <w:rsid w:val="009F4135"/>
    <w:rsid w:val="009F4162"/>
    <w:rsid w:val="009F42AD"/>
    <w:rsid w:val="009F42C9"/>
    <w:rsid w:val="009F430F"/>
    <w:rsid w:val="009F434D"/>
    <w:rsid w:val="009F45A8"/>
    <w:rsid w:val="009F47B9"/>
    <w:rsid w:val="009F486C"/>
    <w:rsid w:val="009F4B41"/>
    <w:rsid w:val="009F4F52"/>
    <w:rsid w:val="009F50ED"/>
    <w:rsid w:val="009F5229"/>
    <w:rsid w:val="009F5322"/>
    <w:rsid w:val="009F5426"/>
    <w:rsid w:val="009F5634"/>
    <w:rsid w:val="009F56A3"/>
    <w:rsid w:val="009F576E"/>
    <w:rsid w:val="009F5919"/>
    <w:rsid w:val="009F5998"/>
    <w:rsid w:val="009F5A67"/>
    <w:rsid w:val="009F5B22"/>
    <w:rsid w:val="009F5C50"/>
    <w:rsid w:val="009F60C9"/>
    <w:rsid w:val="009F60FA"/>
    <w:rsid w:val="009F6190"/>
    <w:rsid w:val="009F62CD"/>
    <w:rsid w:val="009F6384"/>
    <w:rsid w:val="009F6498"/>
    <w:rsid w:val="009F651F"/>
    <w:rsid w:val="009F6578"/>
    <w:rsid w:val="009F661B"/>
    <w:rsid w:val="009F6835"/>
    <w:rsid w:val="009F685A"/>
    <w:rsid w:val="009F689C"/>
    <w:rsid w:val="009F68E2"/>
    <w:rsid w:val="009F6CC5"/>
    <w:rsid w:val="009F70AC"/>
    <w:rsid w:val="009F70BA"/>
    <w:rsid w:val="009F70F5"/>
    <w:rsid w:val="009F7250"/>
    <w:rsid w:val="009F72FE"/>
    <w:rsid w:val="009F73DC"/>
    <w:rsid w:val="009F7435"/>
    <w:rsid w:val="009F74D6"/>
    <w:rsid w:val="009F771C"/>
    <w:rsid w:val="009F77C6"/>
    <w:rsid w:val="009F77F1"/>
    <w:rsid w:val="009F7918"/>
    <w:rsid w:val="009F794D"/>
    <w:rsid w:val="009F7CA0"/>
    <w:rsid w:val="009F7EC4"/>
    <w:rsid w:val="009F7F85"/>
    <w:rsid w:val="00A000C3"/>
    <w:rsid w:val="00A00126"/>
    <w:rsid w:val="00A0026D"/>
    <w:rsid w:val="00A00357"/>
    <w:rsid w:val="00A00483"/>
    <w:rsid w:val="00A004FB"/>
    <w:rsid w:val="00A005D4"/>
    <w:rsid w:val="00A00671"/>
    <w:rsid w:val="00A00688"/>
    <w:rsid w:val="00A006DE"/>
    <w:rsid w:val="00A00706"/>
    <w:rsid w:val="00A0076D"/>
    <w:rsid w:val="00A007E4"/>
    <w:rsid w:val="00A007F0"/>
    <w:rsid w:val="00A008A7"/>
    <w:rsid w:val="00A008DC"/>
    <w:rsid w:val="00A009E5"/>
    <w:rsid w:val="00A009EB"/>
    <w:rsid w:val="00A00AC8"/>
    <w:rsid w:val="00A00C1D"/>
    <w:rsid w:val="00A00CEF"/>
    <w:rsid w:val="00A00D5A"/>
    <w:rsid w:val="00A00E89"/>
    <w:rsid w:val="00A01102"/>
    <w:rsid w:val="00A0139B"/>
    <w:rsid w:val="00A0164C"/>
    <w:rsid w:val="00A01657"/>
    <w:rsid w:val="00A01659"/>
    <w:rsid w:val="00A0165F"/>
    <w:rsid w:val="00A019D6"/>
    <w:rsid w:val="00A019EC"/>
    <w:rsid w:val="00A01B11"/>
    <w:rsid w:val="00A01E08"/>
    <w:rsid w:val="00A01E88"/>
    <w:rsid w:val="00A01F12"/>
    <w:rsid w:val="00A023D8"/>
    <w:rsid w:val="00A023EE"/>
    <w:rsid w:val="00A02456"/>
    <w:rsid w:val="00A024C3"/>
    <w:rsid w:val="00A024D5"/>
    <w:rsid w:val="00A02540"/>
    <w:rsid w:val="00A0266E"/>
    <w:rsid w:val="00A027A8"/>
    <w:rsid w:val="00A02C11"/>
    <w:rsid w:val="00A02D40"/>
    <w:rsid w:val="00A02D8B"/>
    <w:rsid w:val="00A02ED1"/>
    <w:rsid w:val="00A02FD8"/>
    <w:rsid w:val="00A0303C"/>
    <w:rsid w:val="00A03042"/>
    <w:rsid w:val="00A030D4"/>
    <w:rsid w:val="00A033D5"/>
    <w:rsid w:val="00A0354A"/>
    <w:rsid w:val="00A035C7"/>
    <w:rsid w:val="00A03790"/>
    <w:rsid w:val="00A037B1"/>
    <w:rsid w:val="00A037E7"/>
    <w:rsid w:val="00A039D7"/>
    <w:rsid w:val="00A03B25"/>
    <w:rsid w:val="00A03BA9"/>
    <w:rsid w:val="00A03BE9"/>
    <w:rsid w:val="00A03FF2"/>
    <w:rsid w:val="00A0420F"/>
    <w:rsid w:val="00A04302"/>
    <w:rsid w:val="00A0430A"/>
    <w:rsid w:val="00A04572"/>
    <w:rsid w:val="00A04590"/>
    <w:rsid w:val="00A047A9"/>
    <w:rsid w:val="00A049CB"/>
    <w:rsid w:val="00A04D65"/>
    <w:rsid w:val="00A0500A"/>
    <w:rsid w:val="00A0502D"/>
    <w:rsid w:val="00A050BF"/>
    <w:rsid w:val="00A052E9"/>
    <w:rsid w:val="00A05773"/>
    <w:rsid w:val="00A057B3"/>
    <w:rsid w:val="00A05AA3"/>
    <w:rsid w:val="00A05B88"/>
    <w:rsid w:val="00A05BBF"/>
    <w:rsid w:val="00A05D70"/>
    <w:rsid w:val="00A05E81"/>
    <w:rsid w:val="00A05F21"/>
    <w:rsid w:val="00A05F50"/>
    <w:rsid w:val="00A05F85"/>
    <w:rsid w:val="00A0601C"/>
    <w:rsid w:val="00A062D2"/>
    <w:rsid w:val="00A062F9"/>
    <w:rsid w:val="00A064BB"/>
    <w:rsid w:val="00A065B9"/>
    <w:rsid w:val="00A06747"/>
    <w:rsid w:val="00A067AA"/>
    <w:rsid w:val="00A067CC"/>
    <w:rsid w:val="00A0683E"/>
    <w:rsid w:val="00A06B03"/>
    <w:rsid w:val="00A06B48"/>
    <w:rsid w:val="00A06BAF"/>
    <w:rsid w:val="00A06BB8"/>
    <w:rsid w:val="00A06D82"/>
    <w:rsid w:val="00A06F4D"/>
    <w:rsid w:val="00A07056"/>
    <w:rsid w:val="00A07059"/>
    <w:rsid w:val="00A0749E"/>
    <w:rsid w:val="00A075FA"/>
    <w:rsid w:val="00A076E9"/>
    <w:rsid w:val="00A076FF"/>
    <w:rsid w:val="00A07917"/>
    <w:rsid w:val="00A07A55"/>
    <w:rsid w:val="00A07A75"/>
    <w:rsid w:val="00A07B01"/>
    <w:rsid w:val="00A07B8C"/>
    <w:rsid w:val="00A07CFB"/>
    <w:rsid w:val="00A07D86"/>
    <w:rsid w:val="00A07EB5"/>
    <w:rsid w:val="00A10023"/>
    <w:rsid w:val="00A1018A"/>
    <w:rsid w:val="00A10195"/>
    <w:rsid w:val="00A102BF"/>
    <w:rsid w:val="00A1032D"/>
    <w:rsid w:val="00A10620"/>
    <w:rsid w:val="00A1069E"/>
    <w:rsid w:val="00A10AEC"/>
    <w:rsid w:val="00A10B0C"/>
    <w:rsid w:val="00A10B2A"/>
    <w:rsid w:val="00A10B5E"/>
    <w:rsid w:val="00A10CEA"/>
    <w:rsid w:val="00A10E00"/>
    <w:rsid w:val="00A10F83"/>
    <w:rsid w:val="00A11031"/>
    <w:rsid w:val="00A111CB"/>
    <w:rsid w:val="00A11200"/>
    <w:rsid w:val="00A113B6"/>
    <w:rsid w:val="00A113E2"/>
    <w:rsid w:val="00A11443"/>
    <w:rsid w:val="00A114E4"/>
    <w:rsid w:val="00A118FF"/>
    <w:rsid w:val="00A119B6"/>
    <w:rsid w:val="00A11A19"/>
    <w:rsid w:val="00A11C5B"/>
    <w:rsid w:val="00A11D2E"/>
    <w:rsid w:val="00A11DD6"/>
    <w:rsid w:val="00A11E5D"/>
    <w:rsid w:val="00A11F6D"/>
    <w:rsid w:val="00A1201A"/>
    <w:rsid w:val="00A121B3"/>
    <w:rsid w:val="00A12245"/>
    <w:rsid w:val="00A12275"/>
    <w:rsid w:val="00A123DF"/>
    <w:rsid w:val="00A123E8"/>
    <w:rsid w:val="00A12469"/>
    <w:rsid w:val="00A1251E"/>
    <w:rsid w:val="00A125F2"/>
    <w:rsid w:val="00A12639"/>
    <w:rsid w:val="00A126DC"/>
    <w:rsid w:val="00A1279D"/>
    <w:rsid w:val="00A12825"/>
    <w:rsid w:val="00A1292D"/>
    <w:rsid w:val="00A12D7F"/>
    <w:rsid w:val="00A12DDD"/>
    <w:rsid w:val="00A13093"/>
    <w:rsid w:val="00A1315A"/>
    <w:rsid w:val="00A1322D"/>
    <w:rsid w:val="00A132F9"/>
    <w:rsid w:val="00A132FD"/>
    <w:rsid w:val="00A1333C"/>
    <w:rsid w:val="00A1399D"/>
    <w:rsid w:val="00A13BAD"/>
    <w:rsid w:val="00A13C3C"/>
    <w:rsid w:val="00A13CBC"/>
    <w:rsid w:val="00A13D7F"/>
    <w:rsid w:val="00A13DF4"/>
    <w:rsid w:val="00A13E14"/>
    <w:rsid w:val="00A13E63"/>
    <w:rsid w:val="00A140E8"/>
    <w:rsid w:val="00A1423A"/>
    <w:rsid w:val="00A1427C"/>
    <w:rsid w:val="00A14539"/>
    <w:rsid w:val="00A14586"/>
    <w:rsid w:val="00A147E7"/>
    <w:rsid w:val="00A14C7D"/>
    <w:rsid w:val="00A14F00"/>
    <w:rsid w:val="00A14F63"/>
    <w:rsid w:val="00A1530D"/>
    <w:rsid w:val="00A15617"/>
    <w:rsid w:val="00A15889"/>
    <w:rsid w:val="00A15A03"/>
    <w:rsid w:val="00A15D9A"/>
    <w:rsid w:val="00A15E8D"/>
    <w:rsid w:val="00A15E97"/>
    <w:rsid w:val="00A16167"/>
    <w:rsid w:val="00A161F3"/>
    <w:rsid w:val="00A163DE"/>
    <w:rsid w:val="00A1642D"/>
    <w:rsid w:val="00A164A6"/>
    <w:rsid w:val="00A164FB"/>
    <w:rsid w:val="00A16567"/>
    <w:rsid w:val="00A165FF"/>
    <w:rsid w:val="00A168F4"/>
    <w:rsid w:val="00A16932"/>
    <w:rsid w:val="00A16947"/>
    <w:rsid w:val="00A16A83"/>
    <w:rsid w:val="00A16B92"/>
    <w:rsid w:val="00A16BE7"/>
    <w:rsid w:val="00A16C33"/>
    <w:rsid w:val="00A16CFD"/>
    <w:rsid w:val="00A16DD3"/>
    <w:rsid w:val="00A16DDE"/>
    <w:rsid w:val="00A1715E"/>
    <w:rsid w:val="00A1751E"/>
    <w:rsid w:val="00A1757B"/>
    <w:rsid w:val="00A175C3"/>
    <w:rsid w:val="00A17842"/>
    <w:rsid w:val="00A17898"/>
    <w:rsid w:val="00A179FF"/>
    <w:rsid w:val="00A17C6F"/>
    <w:rsid w:val="00A17CA8"/>
    <w:rsid w:val="00A17E6D"/>
    <w:rsid w:val="00A20059"/>
    <w:rsid w:val="00A20357"/>
    <w:rsid w:val="00A20373"/>
    <w:rsid w:val="00A2051F"/>
    <w:rsid w:val="00A206B9"/>
    <w:rsid w:val="00A20801"/>
    <w:rsid w:val="00A2091F"/>
    <w:rsid w:val="00A20C7B"/>
    <w:rsid w:val="00A20F03"/>
    <w:rsid w:val="00A20FDE"/>
    <w:rsid w:val="00A211CE"/>
    <w:rsid w:val="00A211E0"/>
    <w:rsid w:val="00A213A4"/>
    <w:rsid w:val="00A21546"/>
    <w:rsid w:val="00A215E8"/>
    <w:rsid w:val="00A21614"/>
    <w:rsid w:val="00A2175B"/>
    <w:rsid w:val="00A2197C"/>
    <w:rsid w:val="00A2197E"/>
    <w:rsid w:val="00A21D63"/>
    <w:rsid w:val="00A21E34"/>
    <w:rsid w:val="00A220FA"/>
    <w:rsid w:val="00A22219"/>
    <w:rsid w:val="00A22292"/>
    <w:rsid w:val="00A22441"/>
    <w:rsid w:val="00A22472"/>
    <w:rsid w:val="00A224EA"/>
    <w:rsid w:val="00A22623"/>
    <w:rsid w:val="00A227A8"/>
    <w:rsid w:val="00A229E7"/>
    <w:rsid w:val="00A22B3E"/>
    <w:rsid w:val="00A22D3C"/>
    <w:rsid w:val="00A22EE2"/>
    <w:rsid w:val="00A22F72"/>
    <w:rsid w:val="00A22FB8"/>
    <w:rsid w:val="00A23157"/>
    <w:rsid w:val="00A231F2"/>
    <w:rsid w:val="00A235AF"/>
    <w:rsid w:val="00A2372E"/>
    <w:rsid w:val="00A2382A"/>
    <w:rsid w:val="00A23833"/>
    <w:rsid w:val="00A23937"/>
    <w:rsid w:val="00A2395B"/>
    <w:rsid w:val="00A23A1E"/>
    <w:rsid w:val="00A23B9E"/>
    <w:rsid w:val="00A23D24"/>
    <w:rsid w:val="00A23ED9"/>
    <w:rsid w:val="00A23F27"/>
    <w:rsid w:val="00A23F42"/>
    <w:rsid w:val="00A23F83"/>
    <w:rsid w:val="00A23F97"/>
    <w:rsid w:val="00A2405D"/>
    <w:rsid w:val="00A240DA"/>
    <w:rsid w:val="00A24187"/>
    <w:rsid w:val="00A242A5"/>
    <w:rsid w:val="00A2450F"/>
    <w:rsid w:val="00A24A2A"/>
    <w:rsid w:val="00A24A2B"/>
    <w:rsid w:val="00A24B5A"/>
    <w:rsid w:val="00A24C4E"/>
    <w:rsid w:val="00A24CB2"/>
    <w:rsid w:val="00A24CF9"/>
    <w:rsid w:val="00A24F19"/>
    <w:rsid w:val="00A24FF7"/>
    <w:rsid w:val="00A25070"/>
    <w:rsid w:val="00A25399"/>
    <w:rsid w:val="00A25532"/>
    <w:rsid w:val="00A25880"/>
    <w:rsid w:val="00A258D7"/>
    <w:rsid w:val="00A25B82"/>
    <w:rsid w:val="00A25BF1"/>
    <w:rsid w:val="00A25D19"/>
    <w:rsid w:val="00A25D3E"/>
    <w:rsid w:val="00A26288"/>
    <w:rsid w:val="00A2648A"/>
    <w:rsid w:val="00A267FA"/>
    <w:rsid w:val="00A269AA"/>
    <w:rsid w:val="00A26C11"/>
    <w:rsid w:val="00A26DFC"/>
    <w:rsid w:val="00A27234"/>
    <w:rsid w:val="00A272DF"/>
    <w:rsid w:val="00A2734F"/>
    <w:rsid w:val="00A27651"/>
    <w:rsid w:val="00A27666"/>
    <w:rsid w:val="00A2766A"/>
    <w:rsid w:val="00A27688"/>
    <w:rsid w:val="00A278A7"/>
    <w:rsid w:val="00A27B20"/>
    <w:rsid w:val="00A27BCC"/>
    <w:rsid w:val="00A27DAB"/>
    <w:rsid w:val="00A27EEA"/>
    <w:rsid w:val="00A27FE8"/>
    <w:rsid w:val="00A301F1"/>
    <w:rsid w:val="00A30298"/>
    <w:rsid w:val="00A30521"/>
    <w:rsid w:val="00A307B6"/>
    <w:rsid w:val="00A307F7"/>
    <w:rsid w:val="00A3099D"/>
    <w:rsid w:val="00A309CD"/>
    <w:rsid w:val="00A30AD1"/>
    <w:rsid w:val="00A30BA7"/>
    <w:rsid w:val="00A30BBB"/>
    <w:rsid w:val="00A30BDD"/>
    <w:rsid w:val="00A30D43"/>
    <w:rsid w:val="00A30D4A"/>
    <w:rsid w:val="00A30DC7"/>
    <w:rsid w:val="00A30EB5"/>
    <w:rsid w:val="00A30F57"/>
    <w:rsid w:val="00A30F7A"/>
    <w:rsid w:val="00A31155"/>
    <w:rsid w:val="00A31173"/>
    <w:rsid w:val="00A3125B"/>
    <w:rsid w:val="00A31265"/>
    <w:rsid w:val="00A3147F"/>
    <w:rsid w:val="00A31766"/>
    <w:rsid w:val="00A317A0"/>
    <w:rsid w:val="00A31932"/>
    <w:rsid w:val="00A31B21"/>
    <w:rsid w:val="00A31B72"/>
    <w:rsid w:val="00A31BB1"/>
    <w:rsid w:val="00A31BD9"/>
    <w:rsid w:val="00A31E11"/>
    <w:rsid w:val="00A31EAA"/>
    <w:rsid w:val="00A3228F"/>
    <w:rsid w:val="00A3233B"/>
    <w:rsid w:val="00A3234F"/>
    <w:rsid w:val="00A326D5"/>
    <w:rsid w:val="00A32703"/>
    <w:rsid w:val="00A328EC"/>
    <w:rsid w:val="00A3296C"/>
    <w:rsid w:val="00A329AD"/>
    <w:rsid w:val="00A32A1F"/>
    <w:rsid w:val="00A32A8D"/>
    <w:rsid w:val="00A32C5B"/>
    <w:rsid w:val="00A32CCB"/>
    <w:rsid w:val="00A32F36"/>
    <w:rsid w:val="00A32F72"/>
    <w:rsid w:val="00A3303E"/>
    <w:rsid w:val="00A33B5F"/>
    <w:rsid w:val="00A33C5D"/>
    <w:rsid w:val="00A33E00"/>
    <w:rsid w:val="00A33F53"/>
    <w:rsid w:val="00A34676"/>
    <w:rsid w:val="00A34778"/>
    <w:rsid w:val="00A3487B"/>
    <w:rsid w:val="00A349C1"/>
    <w:rsid w:val="00A34BE4"/>
    <w:rsid w:val="00A34F96"/>
    <w:rsid w:val="00A35050"/>
    <w:rsid w:val="00A3505A"/>
    <w:rsid w:val="00A3512E"/>
    <w:rsid w:val="00A352B4"/>
    <w:rsid w:val="00A355FE"/>
    <w:rsid w:val="00A35616"/>
    <w:rsid w:val="00A35702"/>
    <w:rsid w:val="00A3578C"/>
    <w:rsid w:val="00A3579D"/>
    <w:rsid w:val="00A35970"/>
    <w:rsid w:val="00A359B3"/>
    <w:rsid w:val="00A35AAC"/>
    <w:rsid w:val="00A35BDA"/>
    <w:rsid w:val="00A35DCA"/>
    <w:rsid w:val="00A35F15"/>
    <w:rsid w:val="00A35F58"/>
    <w:rsid w:val="00A361EB"/>
    <w:rsid w:val="00A362BE"/>
    <w:rsid w:val="00A362DC"/>
    <w:rsid w:val="00A363DA"/>
    <w:rsid w:val="00A36402"/>
    <w:rsid w:val="00A366A0"/>
    <w:rsid w:val="00A366BF"/>
    <w:rsid w:val="00A36C40"/>
    <w:rsid w:val="00A36EAD"/>
    <w:rsid w:val="00A37031"/>
    <w:rsid w:val="00A372F3"/>
    <w:rsid w:val="00A3757D"/>
    <w:rsid w:val="00A37AA2"/>
    <w:rsid w:val="00A37CD1"/>
    <w:rsid w:val="00A37F1E"/>
    <w:rsid w:val="00A40315"/>
    <w:rsid w:val="00A40458"/>
    <w:rsid w:val="00A40616"/>
    <w:rsid w:val="00A408F4"/>
    <w:rsid w:val="00A40906"/>
    <w:rsid w:val="00A40BB7"/>
    <w:rsid w:val="00A40D45"/>
    <w:rsid w:val="00A40DCD"/>
    <w:rsid w:val="00A40FEA"/>
    <w:rsid w:val="00A4104A"/>
    <w:rsid w:val="00A41064"/>
    <w:rsid w:val="00A41130"/>
    <w:rsid w:val="00A4121E"/>
    <w:rsid w:val="00A41313"/>
    <w:rsid w:val="00A413CB"/>
    <w:rsid w:val="00A415D0"/>
    <w:rsid w:val="00A41604"/>
    <w:rsid w:val="00A4189D"/>
    <w:rsid w:val="00A41936"/>
    <w:rsid w:val="00A41964"/>
    <w:rsid w:val="00A41B0D"/>
    <w:rsid w:val="00A41B47"/>
    <w:rsid w:val="00A41BA6"/>
    <w:rsid w:val="00A41C8E"/>
    <w:rsid w:val="00A41EAB"/>
    <w:rsid w:val="00A41EC0"/>
    <w:rsid w:val="00A41FC5"/>
    <w:rsid w:val="00A41FF8"/>
    <w:rsid w:val="00A4242E"/>
    <w:rsid w:val="00A424D9"/>
    <w:rsid w:val="00A4254D"/>
    <w:rsid w:val="00A425CF"/>
    <w:rsid w:val="00A42699"/>
    <w:rsid w:val="00A426BF"/>
    <w:rsid w:val="00A42724"/>
    <w:rsid w:val="00A4297C"/>
    <w:rsid w:val="00A42AB4"/>
    <w:rsid w:val="00A42B4E"/>
    <w:rsid w:val="00A42C64"/>
    <w:rsid w:val="00A42EC2"/>
    <w:rsid w:val="00A42EF2"/>
    <w:rsid w:val="00A42F86"/>
    <w:rsid w:val="00A430F0"/>
    <w:rsid w:val="00A4319C"/>
    <w:rsid w:val="00A43383"/>
    <w:rsid w:val="00A435A0"/>
    <w:rsid w:val="00A43D0E"/>
    <w:rsid w:val="00A43E68"/>
    <w:rsid w:val="00A43EC1"/>
    <w:rsid w:val="00A43FE8"/>
    <w:rsid w:val="00A44135"/>
    <w:rsid w:val="00A4415C"/>
    <w:rsid w:val="00A443D7"/>
    <w:rsid w:val="00A447C4"/>
    <w:rsid w:val="00A447E6"/>
    <w:rsid w:val="00A4485E"/>
    <w:rsid w:val="00A44913"/>
    <w:rsid w:val="00A44BC0"/>
    <w:rsid w:val="00A44E48"/>
    <w:rsid w:val="00A44F3D"/>
    <w:rsid w:val="00A44FE8"/>
    <w:rsid w:val="00A45100"/>
    <w:rsid w:val="00A4515A"/>
    <w:rsid w:val="00A451D1"/>
    <w:rsid w:val="00A4531B"/>
    <w:rsid w:val="00A4574F"/>
    <w:rsid w:val="00A45B0E"/>
    <w:rsid w:val="00A45F50"/>
    <w:rsid w:val="00A460F0"/>
    <w:rsid w:val="00A46225"/>
    <w:rsid w:val="00A463D8"/>
    <w:rsid w:val="00A46405"/>
    <w:rsid w:val="00A4651F"/>
    <w:rsid w:val="00A4654A"/>
    <w:rsid w:val="00A46654"/>
    <w:rsid w:val="00A46669"/>
    <w:rsid w:val="00A467FA"/>
    <w:rsid w:val="00A46A6C"/>
    <w:rsid w:val="00A46ACB"/>
    <w:rsid w:val="00A46D12"/>
    <w:rsid w:val="00A46EB2"/>
    <w:rsid w:val="00A46ECF"/>
    <w:rsid w:val="00A46F4C"/>
    <w:rsid w:val="00A470D1"/>
    <w:rsid w:val="00A471F9"/>
    <w:rsid w:val="00A472A8"/>
    <w:rsid w:val="00A4732C"/>
    <w:rsid w:val="00A473EA"/>
    <w:rsid w:val="00A477BA"/>
    <w:rsid w:val="00A477E1"/>
    <w:rsid w:val="00A478B9"/>
    <w:rsid w:val="00A47959"/>
    <w:rsid w:val="00A47AA9"/>
    <w:rsid w:val="00A47D04"/>
    <w:rsid w:val="00A47D5C"/>
    <w:rsid w:val="00A47EFC"/>
    <w:rsid w:val="00A50003"/>
    <w:rsid w:val="00A500ED"/>
    <w:rsid w:val="00A50150"/>
    <w:rsid w:val="00A503C2"/>
    <w:rsid w:val="00A5046F"/>
    <w:rsid w:val="00A50507"/>
    <w:rsid w:val="00A5055C"/>
    <w:rsid w:val="00A50595"/>
    <w:rsid w:val="00A50826"/>
    <w:rsid w:val="00A50979"/>
    <w:rsid w:val="00A50C01"/>
    <w:rsid w:val="00A50C78"/>
    <w:rsid w:val="00A50EB5"/>
    <w:rsid w:val="00A5114C"/>
    <w:rsid w:val="00A514FE"/>
    <w:rsid w:val="00A5171B"/>
    <w:rsid w:val="00A51919"/>
    <w:rsid w:val="00A51B70"/>
    <w:rsid w:val="00A51D66"/>
    <w:rsid w:val="00A51DD1"/>
    <w:rsid w:val="00A51DF7"/>
    <w:rsid w:val="00A51E68"/>
    <w:rsid w:val="00A52045"/>
    <w:rsid w:val="00A52244"/>
    <w:rsid w:val="00A52296"/>
    <w:rsid w:val="00A522AA"/>
    <w:rsid w:val="00A522C2"/>
    <w:rsid w:val="00A52436"/>
    <w:rsid w:val="00A5257F"/>
    <w:rsid w:val="00A525FC"/>
    <w:rsid w:val="00A52623"/>
    <w:rsid w:val="00A52768"/>
    <w:rsid w:val="00A52B2F"/>
    <w:rsid w:val="00A52D7C"/>
    <w:rsid w:val="00A52D8A"/>
    <w:rsid w:val="00A52E10"/>
    <w:rsid w:val="00A53073"/>
    <w:rsid w:val="00A530E0"/>
    <w:rsid w:val="00A531AF"/>
    <w:rsid w:val="00A531BD"/>
    <w:rsid w:val="00A532A1"/>
    <w:rsid w:val="00A53316"/>
    <w:rsid w:val="00A53363"/>
    <w:rsid w:val="00A533FA"/>
    <w:rsid w:val="00A53557"/>
    <w:rsid w:val="00A53613"/>
    <w:rsid w:val="00A5371F"/>
    <w:rsid w:val="00A5387E"/>
    <w:rsid w:val="00A5389C"/>
    <w:rsid w:val="00A5396E"/>
    <w:rsid w:val="00A53B53"/>
    <w:rsid w:val="00A53BDC"/>
    <w:rsid w:val="00A53C60"/>
    <w:rsid w:val="00A53D1B"/>
    <w:rsid w:val="00A53D8E"/>
    <w:rsid w:val="00A53DB3"/>
    <w:rsid w:val="00A5400A"/>
    <w:rsid w:val="00A54331"/>
    <w:rsid w:val="00A5433B"/>
    <w:rsid w:val="00A54496"/>
    <w:rsid w:val="00A54583"/>
    <w:rsid w:val="00A5460D"/>
    <w:rsid w:val="00A546C2"/>
    <w:rsid w:val="00A54777"/>
    <w:rsid w:val="00A54780"/>
    <w:rsid w:val="00A548A4"/>
    <w:rsid w:val="00A549E4"/>
    <w:rsid w:val="00A54AA1"/>
    <w:rsid w:val="00A54C1E"/>
    <w:rsid w:val="00A54CC6"/>
    <w:rsid w:val="00A55068"/>
    <w:rsid w:val="00A551E5"/>
    <w:rsid w:val="00A55454"/>
    <w:rsid w:val="00A55490"/>
    <w:rsid w:val="00A557B6"/>
    <w:rsid w:val="00A55819"/>
    <w:rsid w:val="00A55AAC"/>
    <w:rsid w:val="00A55B44"/>
    <w:rsid w:val="00A55F68"/>
    <w:rsid w:val="00A5624E"/>
    <w:rsid w:val="00A56670"/>
    <w:rsid w:val="00A5671A"/>
    <w:rsid w:val="00A56835"/>
    <w:rsid w:val="00A5683C"/>
    <w:rsid w:val="00A568F5"/>
    <w:rsid w:val="00A56AE2"/>
    <w:rsid w:val="00A56B49"/>
    <w:rsid w:val="00A56E46"/>
    <w:rsid w:val="00A56F87"/>
    <w:rsid w:val="00A57008"/>
    <w:rsid w:val="00A5700B"/>
    <w:rsid w:val="00A571FD"/>
    <w:rsid w:val="00A573FA"/>
    <w:rsid w:val="00A573FF"/>
    <w:rsid w:val="00A57563"/>
    <w:rsid w:val="00A5768E"/>
    <w:rsid w:val="00A57690"/>
    <w:rsid w:val="00A57787"/>
    <w:rsid w:val="00A578B0"/>
    <w:rsid w:val="00A57C1C"/>
    <w:rsid w:val="00A57C2B"/>
    <w:rsid w:val="00A57DE4"/>
    <w:rsid w:val="00A57E1A"/>
    <w:rsid w:val="00A57EDD"/>
    <w:rsid w:val="00A60235"/>
    <w:rsid w:val="00A6036A"/>
    <w:rsid w:val="00A60741"/>
    <w:rsid w:val="00A60A5F"/>
    <w:rsid w:val="00A60B5E"/>
    <w:rsid w:val="00A61050"/>
    <w:rsid w:val="00A610A5"/>
    <w:rsid w:val="00A610DE"/>
    <w:rsid w:val="00A61212"/>
    <w:rsid w:val="00A6123F"/>
    <w:rsid w:val="00A612F0"/>
    <w:rsid w:val="00A612F3"/>
    <w:rsid w:val="00A61643"/>
    <w:rsid w:val="00A616AB"/>
    <w:rsid w:val="00A6179E"/>
    <w:rsid w:val="00A61881"/>
    <w:rsid w:val="00A618C7"/>
    <w:rsid w:val="00A61BBE"/>
    <w:rsid w:val="00A61C9D"/>
    <w:rsid w:val="00A61D93"/>
    <w:rsid w:val="00A61E5A"/>
    <w:rsid w:val="00A61E86"/>
    <w:rsid w:val="00A61F81"/>
    <w:rsid w:val="00A62043"/>
    <w:rsid w:val="00A62151"/>
    <w:rsid w:val="00A6220B"/>
    <w:rsid w:val="00A6227B"/>
    <w:rsid w:val="00A622E7"/>
    <w:rsid w:val="00A6241A"/>
    <w:rsid w:val="00A6250C"/>
    <w:rsid w:val="00A6253E"/>
    <w:rsid w:val="00A62A22"/>
    <w:rsid w:val="00A62B91"/>
    <w:rsid w:val="00A62BCC"/>
    <w:rsid w:val="00A62EF0"/>
    <w:rsid w:val="00A62FCA"/>
    <w:rsid w:val="00A633C5"/>
    <w:rsid w:val="00A633D3"/>
    <w:rsid w:val="00A63489"/>
    <w:rsid w:val="00A63560"/>
    <w:rsid w:val="00A63605"/>
    <w:rsid w:val="00A63940"/>
    <w:rsid w:val="00A6394B"/>
    <w:rsid w:val="00A63B3E"/>
    <w:rsid w:val="00A63BAC"/>
    <w:rsid w:val="00A63BFE"/>
    <w:rsid w:val="00A64251"/>
    <w:rsid w:val="00A6457B"/>
    <w:rsid w:val="00A646BD"/>
    <w:rsid w:val="00A648EE"/>
    <w:rsid w:val="00A649C3"/>
    <w:rsid w:val="00A64A29"/>
    <w:rsid w:val="00A64C23"/>
    <w:rsid w:val="00A64CEC"/>
    <w:rsid w:val="00A64DC8"/>
    <w:rsid w:val="00A64E44"/>
    <w:rsid w:val="00A64E67"/>
    <w:rsid w:val="00A651B8"/>
    <w:rsid w:val="00A651E2"/>
    <w:rsid w:val="00A6542C"/>
    <w:rsid w:val="00A6547F"/>
    <w:rsid w:val="00A65A1F"/>
    <w:rsid w:val="00A65BBA"/>
    <w:rsid w:val="00A66132"/>
    <w:rsid w:val="00A662DD"/>
    <w:rsid w:val="00A66336"/>
    <w:rsid w:val="00A66347"/>
    <w:rsid w:val="00A66398"/>
    <w:rsid w:val="00A664BD"/>
    <w:rsid w:val="00A6650E"/>
    <w:rsid w:val="00A66513"/>
    <w:rsid w:val="00A6659A"/>
    <w:rsid w:val="00A665AD"/>
    <w:rsid w:val="00A66668"/>
    <w:rsid w:val="00A666A2"/>
    <w:rsid w:val="00A666A8"/>
    <w:rsid w:val="00A666E0"/>
    <w:rsid w:val="00A6695B"/>
    <w:rsid w:val="00A66C4F"/>
    <w:rsid w:val="00A66CA2"/>
    <w:rsid w:val="00A670BD"/>
    <w:rsid w:val="00A6713A"/>
    <w:rsid w:val="00A67196"/>
    <w:rsid w:val="00A67557"/>
    <w:rsid w:val="00A675BF"/>
    <w:rsid w:val="00A6761C"/>
    <w:rsid w:val="00A677C1"/>
    <w:rsid w:val="00A679CB"/>
    <w:rsid w:val="00A679E7"/>
    <w:rsid w:val="00A67A37"/>
    <w:rsid w:val="00A67A6E"/>
    <w:rsid w:val="00A67AE1"/>
    <w:rsid w:val="00A70166"/>
    <w:rsid w:val="00A7035B"/>
    <w:rsid w:val="00A7036F"/>
    <w:rsid w:val="00A7037A"/>
    <w:rsid w:val="00A70459"/>
    <w:rsid w:val="00A704E1"/>
    <w:rsid w:val="00A7059F"/>
    <w:rsid w:val="00A70AAD"/>
    <w:rsid w:val="00A70C0E"/>
    <w:rsid w:val="00A70DBC"/>
    <w:rsid w:val="00A70E60"/>
    <w:rsid w:val="00A70EC3"/>
    <w:rsid w:val="00A710FE"/>
    <w:rsid w:val="00A71159"/>
    <w:rsid w:val="00A71173"/>
    <w:rsid w:val="00A7117D"/>
    <w:rsid w:val="00A71196"/>
    <w:rsid w:val="00A7135F"/>
    <w:rsid w:val="00A7148F"/>
    <w:rsid w:val="00A7150A"/>
    <w:rsid w:val="00A71883"/>
    <w:rsid w:val="00A718A2"/>
    <w:rsid w:val="00A71935"/>
    <w:rsid w:val="00A71B8A"/>
    <w:rsid w:val="00A71EA4"/>
    <w:rsid w:val="00A71EA9"/>
    <w:rsid w:val="00A71FCE"/>
    <w:rsid w:val="00A72079"/>
    <w:rsid w:val="00A7255F"/>
    <w:rsid w:val="00A72708"/>
    <w:rsid w:val="00A72781"/>
    <w:rsid w:val="00A72905"/>
    <w:rsid w:val="00A729AA"/>
    <w:rsid w:val="00A72AD9"/>
    <w:rsid w:val="00A73193"/>
    <w:rsid w:val="00A7345C"/>
    <w:rsid w:val="00A7356A"/>
    <w:rsid w:val="00A736AE"/>
    <w:rsid w:val="00A73C57"/>
    <w:rsid w:val="00A742A1"/>
    <w:rsid w:val="00A7438F"/>
    <w:rsid w:val="00A743F9"/>
    <w:rsid w:val="00A748D2"/>
    <w:rsid w:val="00A7494F"/>
    <w:rsid w:val="00A74B8B"/>
    <w:rsid w:val="00A74C55"/>
    <w:rsid w:val="00A74CD4"/>
    <w:rsid w:val="00A74F64"/>
    <w:rsid w:val="00A75019"/>
    <w:rsid w:val="00A750D1"/>
    <w:rsid w:val="00A75199"/>
    <w:rsid w:val="00A751B9"/>
    <w:rsid w:val="00A75519"/>
    <w:rsid w:val="00A755FF"/>
    <w:rsid w:val="00A7561B"/>
    <w:rsid w:val="00A75629"/>
    <w:rsid w:val="00A759B8"/>
    <w:rsid w:val="00A75B86"/>
    <w:rsid w:val="00A76123"/>
    <w:rsid w:val="00A7624E"/>
    <w:rsid w:val="00A763AF"/>
    <w:rsid w:val="00A76815"/>
    <w:rsid w:val="00A7683F"/>
    <w:rsid w:val="00A76B44"/>
    <w:rsid w:val="00A76DC0"/>
    <w:rsid w:val="00A77105"/>
    <w:rsid w:val="00A771BD"/>
    <w:rsid w:val="00A77434"/>
    <w:rsid w:val="00A777DA"/>
    <w:rsid w:val="00A778EE"/>
    <w:rsid w:val="00A77949"/>
    <w:rsid w:val="00A77DB8"/>
    <w:rsid w:val="00A77E9A"/>
    <w:rsid w:val="00A800B4"/>
    <w:rsid w:val="00A800ED"/>
    <w:rsid w:val="00A801E8"/>
    <w:rsid w:val="00A804B2"/>
    <w:rsid w:val="00A805B1"/>
    <w:rsid w:val="00A806EF"/>
    <w:rsid w:val="00A807A8"/>
    <w:rsid w:val="00A8080C"/>
    <w:rsid w:val="00A8082C"/>
    <w:rsid w:val="00A80AA2"/>
    <w:rsid w:val="00A80BE3"/>
    <w:rsid w:val="00A80D0D"/>
    <w:rsid w:val="00A80EF7"/>
    <w:rsid w:val="00A81033"/>
    <w:rsid w:val="00A81036"/>
    <w:rsid w:val="00A8115C"/>
    <w:rsid w:val="00A81177"/>
    <w:rsid w:val="00A81212"/>
    <w:rsid w:val="00A81342"/>
    <w:rsid w:val="00A81670"/>
    <w:rsid w:val="00A8167F"/>
    <w:rsid w:val="00A8175F"/>
    <w:rsid w:val="00A817A9"/>
    <w:rsid w:val="00A81908"/>
    <w:rsid w:val="00A81948"/>
    <w:rsid w:val="00A81AD0"/>
    <w:rsid w:val="00A81AE9"/>
    <w:rsid w:val="00A81C5B"/>
    <w:rsid w:val="00A81F4E"/>
    <w:rsid w:val="00A8200F"/>
    <w:rsid w:val="00A820DB"/>
    <w:rsid w:val="00A8223C"/>
    <w:rsid w:val="00A82509"/>
    <w:rsid w:val="00A82515"/>
    <w:rsid w:val="00A827CC"/>
    <w:rsid w:val="00A827E1"/>
    <w:rsid w:val="00A82832"/>
    <w:rsid w:val="00A828E7"/>
    <w:rsid w:val="00A8294B"/>
    <w:rsid w:val="00A82A68"/>
    <w:rsid w:val="00A82AAB"/>
    <w:rsid w:val="00A82B5D"/>
    <w:rsid w:val="00A82C8C"/>
    <w:rsid w:val="00A82F93"/>
    <w:rsid w:val="00A83507"/>
    <w:rsid w:val="00A835BA"/>
    <w:rsid w:val="00A83652"/>
    <w:rsid w:val="00A83671"/>
    <w:rsid w:val="00A83776"/>
    <w:rsid w:val="00A83D00"/>
    <w:rsid w:val="00A83E6C"/>
    <w:rsid w:val="00A84030"/>
    <w:rsid w:val="00A840C5"/>
    <w:rsid w:val="00A840CB"/>
    <w:rsid w:val="00A8412C"/>
    <w:rsid w:val="00A84167"/>
    <w:rsid w:val="00A84257"/>
    <w:rsid w:val="00A84457"/>
    <w:rsid w:val="00A84566"/>
    <w:rsid w:val="00A84625"/>
    <w:rsid w:val="00A84783"/>
    <w:rsid w:val="00A84A79"/>
    <w:rsid w:val="00A84A7A"/>
    <w:rsid w:val="00A84CBE"/>
    <w:rsid w:val="00A84DED"/>
    <w:rsid w:val="00A84EA6"/>
    <w:rsid w:val="00A84F01"/>
    <w:rsid w:val="00A850F5"/>
    <w:rsid w:val="00A8518B"/>
    <w:rsid w:val="00A85227"/>
    <w:rsid w:val="00A85234"/>
    <w:rsid w:val="00A85284"/>
    <w:rsid w:val="00A85617"/>
    <w:rsid w:val="00A856A1"/>
    <w:rsid w:val="00A856B3"/>
    <w:rsid w:val="00A85A50"/>
    <w:rsid w:val="00A85B14"/>
    <w:rsid w:val="00A8613B"/>
    <w:rsid w:val="00A8619D"/>
    <w:rsid w:val="00A862AB"/>
    <w:rsid w:val="00A862E6"/>
    <w:rsid w:val="00A863F4"/>
    <w:rsid w:val="00A86464"/>
    <w:rsid w:val="00A864D0"/>
    <w:rsid w:val="00A865CE"/>
    <w:rsid w:val="00A86601"/>
    <w:rsid w:val="00A866B6"/>
    <w:rsid w:val="00A867A4"/>
    <w:rsid w:val="00A867A9"/>
    <w:rsid w:val="00A86914"/>
    <w:rsid w:val="00A86A83"/>
    <w:rsid w:val="00A86B44"/>
    <w:rsid w:val="00A86B7F"/>
    <w:rsid w:val="00A86EC7"/>
    <w:rsid w:val="00A86F92"/>
    <w:rsid w:val="00A86FA2"/>
    <w:rsid w:val="00A87401"/>
    <w:rsid w:val="00A875B4"/>
    <w:rsid w:val="00A875B6"/>
    <w:rsid w:val="00A87689"/>
    <w:rsid w:val="00A8773A"/>
    <w:rsid w:val="00A87847"/>
    <w:rsid w:val="00A87997"/>
    <w:rsid w:val="00A87A32"/>
    <w:rsid w:val="00A87B60"/>
    <w:rsid w:val="00A87D69"/>
    <w:rsid w:val="00A87F72"/>
    <w:rsid w:val="00A90025"/>
    <w:rsid w:val="00A9012D"/>
    <w:rsid w:val="00A9022E"/>
    <w:rsid w:val="00A90360"/>
    <w:rsid w:val="00A90693"/>
    <w:rsid w:val="00A90758"/>
    <w:rsid w:val="00A9076D"/>
    <w:rsid w:val="00A907C6"/>
    <w:rsid w:val="00A90A6A"/>
    <w:rsid w:val="00A90AFE"/>
    <w:rsid w:val="00A90B83"/>
    <w:rsid w:val="00A90D04"/>
    <w:rsid w:val="00A90E19"/>
    <w:rsid w:val="00A90E42"/>
    <w:rsid w:val="00A90E9C"/>
    <w:rsid w:val="00A9147A"/>
    <w:rsid w:val="00A91684"/>
    <w:rsid w:val="00A9172D"/>
    <w:rsid w:val="00A91744"/>
    <w:rsid w:val="00A917D2"/>
    <w:rsid w:val="00A918B5"/>
    <w:rsid w:val="00A919F2"/>
    <w:rsid w:val="00A91E3E"/>
    <w:rsid w:val="00A91F45"/>
    <w:rsid w:val="00A920A4"/>
    <w:rsid w:val="00A922D0"/>
    <w:rsid w:val="00A923D0"/>
    <w:rsid w:val="00A9241D"/>
    <w:rsid w:val="00A9244F"/>
    <w:rsid w:val="00A92606"/>
    <w:rsid w:val="00A926D7"/>
    <w:rsid w:val="00A9288F"/>
    <w:rsid w:val="00A92935"/>
    <w:rsid w:val="00A92A5A"/>
    <w:rsid w:val="00A92BB5"/>
    <w:rsid w:val="00A92CBC"/>
    <w:rsid w:val="00A92D18"/>
    <w:rsid w:val="00A93221"/>
    <w:rsid w:val="00A9363D"/>
    <w:rsid w:val="00A93757"/>
    <w:rsid w:val="00A9390F"/>
    <w:rsid w:val="00A9393C"/>
    <w:rsid w:val="00A93A39"/>
    <w:rsid w:val="00A93F16"/>
    <w:rsid w:val="00A940A6"/>
    <w:rsid w:val="00A943D4"/>
    <w:rsid w:val="00A948AE"/>
    <w:rsid w:val="00A948C8"/>
    <w:rsid w:val="00A94AE0"/>
    <w:rsid w:val="00A94C63"/>
    <w:rsid w:val="00A94ED4"/>
    <w:rsid w:val="00A94EE8"/>
    <w:rsid w:val="00A94F9F"/>
    <w:rsid w:val="00A9503B"/>
    <w:rsid w:val="00A95161"/>
    <w:rsid w:val="00A952A0"/>
    <w:rsid w:val="00A952B2"/>
    <w:rsid w:val="00A955C4"/>
    <w:rsid w:val="00A9564E"/>
    <w:rsid w:val="00A957FA"/>
    <w:rsid w:val="00A95812"/>
    <w:rsid w:val="00A95AA6"/>
    <w:rsid w:val="00A95CFF"/>
    <w:rsid w:val="00A96094"/>
    <w:rsid w:val="00A961A2"/>
    <w:rsid w:val="00A961AF"/>
    <w:rsid w:val="00A961D2"/>
    <w:rsid w:val="00A961D8"/>
    <w:rsid w:val="00A9638D"/>
    <w:rsid w:val="00A96648"/>
    <w:rsid w:val="00A96743"/>
    <w:rsid w:val="00A96921"/>
    <w:rsid w:val="00A9692D"/>
    <w:rsid w:val="00A96D02"/>
    <w:rsid w:val="00A96F84"/>
    <w:rsid w:val="00A9719B"/>
    <w:rsid w:val="00A971F8"/>
    <w:rsid w:val="00A97250"/>
    <w:rsid w:val="00A9728D"/>
    <w:rsid w:val="00A97455"/>
    <w:rsid w:val="00A97635"/>
    <w:rsid w:val="00A9769F"/>
    <w:rsid w:val="00A97851"/>
    <w:rsid w:val="00A9795D"/>
    <w:rsid w:val="00A979FF"/>
    <w:rsid w:val="00A97B58"/>
    <w:rsid w:val="00A97B89"/>
    <w:rsid w:val="00AA01A1"/>
    <w:rsid w:val="00AA01E9"/>
    <w:rsid w:val="00AA020D"/>
    <w:rsid w:val="00AA0216"/>
    <w:rsid w:val="00AA062E"/>
    <w:rsid w:val="00AA067A"/>
    <w:rsid w:val="00AA0780"/>
    <w:rsid w:val="00AA07E1"/>
    <w:rsid w:val="00AA0B5F"/>
    <w:rsid w:val="00AA0B84"/>
    <w:rsid w:val="00AA0B8B"/>
    <w:rsid w:val="00AA0F7E"/>
    <w:rsid w:val="00AA10F2"/>
    <w:rsid w:val="00AA114D"/>
    <w:rsid w:val="00AA11C2"/>
    <w:rsid w:val="00AA12C6"/>
    <w:rsid w:val="00AA1355"/>
    <w:rsid w:val="00AA14CA"/>
    <w:rsid w:val="00AA1EF3"/>
    <w:rsid w:val="00AA1FFA"/>
    <w:rsid w:val="00AA200F"/>
    <w:rsid w:val="00AA2026"/>
    <w:rsid w:val="00AA20B2"/>
    <w:rsid w:val="00AA20CE"/>
    <w:rsid w:val="00AA20E4"/>
    <w:rsid w:val="00AA219B"/>
    <w:rsid w:val="00AA27E2"/>
    <w:rsid w:val="00AA286A"/>
    <w:rsid w:val="00AA293C"/>
    <w:rsid w:val="00AA29FC"/>
    <w:rsid w:val="00AA2A76"/>
    <w:rsid w:val="00AA2F89"/>
    <w:rsid w:val="00AA2F9B"/>
    <w:rsid w:val="00AA3485"/>
    <w:rsid w:val="00AA388D"/>
    <w:rsid w:val="00AA390E"/>
    <w:rsid w:val="00AA39CD"/>
    <w:rsid w:val="00AA3A12"/>
    <w:rsid w:val="00AA3AA9"/>
    <w:rsid w:val="00AA3ABB"/>
    <w:rsid w:val="00AA3E21"/>
    <w:rsid w:val="00AA43E3"/>
    <w:rsid w:val="00AA43F1"/>
    <w:rsid w:val="00AA453F"/>
    <w:rsid w:val="00AA46FE"/>
    <w:rsid w:val="00AA4841"/>
    <w:rsid w:val="00AA48CD"/>
    <w:rsid w:val="00AA49D5"/>
    <w:rsid w:val="00AA4DB0"/>
    <w:rsid w:val="00AA4EE5"/>
    <w:rsid w:val="00AA50EC"/>
    <w:rsid w:val="00AA525A"/>
    <w:rsid w:val="00AA5265"/>
    <w:rsid w:val="00AA52D7"/>
    <w:rsid w:val="00AA532D"/>
    <w:rsid w:val="00AA5568"/>
    <w:rsid w:val="00AA55DA"/>
    <w:rsid w:val="00AA57BB"/>
    <w:rsid w:val="00AA5864"/>
    <w:rsid w:val="00AA5983"/>
    <w:rsid w:val="00AA599C"/>
    <w:rsid w:val="00AA5BB3"/>
    <w:rsid w:val="00AA5C28"/>
    <w:rsid w:val="00AA5C8D"/>
    <w:rsid w:val="00AA5CD7"/>
    <w:rsid w:val="00AA5DEB"/>
    <w:rsid w:val="00AA5FCB"/>
    <w:rsid w:val="00AA61EA"/>
    <w:rsid w:val="00AA620E"/>
    <w:rsid w:val="00AA64DE"/>
    <w:rsid w:val="00AA64F2"/>
    <w:rsid w:val="00AA673F"/>
    <w:rsid w:val="00AA6906"/>
    <w:rsid w:val="00AA69E8"/>
    <w:rsid w:val="00AA6ADF"/>
    <w:rsid w:val="00AA6E96"/>
    <w:rsid w:val="00AA6F71"/>
    <w:rsid w:val="00AA70D9"/>
    <w:rsid w:val="00AA713E"/>
    <w:rsid w:val="00AA72E9"/>
    <w:rsid w:val="00AA7303"/>
    <w:rsid w:val="00AA7379"/>
    <w:rsid w:val="00AA7493"/>
    <w:rsid w:val="00AA76C1"/>
    <w:rsid w:val="00AA779E"/>
    <w:rsid w:val="00AA78DB"/>
    <w:rsid w:val="00AA78EA"/>
    <w:rsid w:val="00AA79C7"/>
    <w:rsid w:val="00AA7D70"/>
    <w:rsid w:val="00AA7D76"/>
    <w:rsid w:val="00AB05A8"/>
    <w:rsid w:val="00AB0A71"/>
    <w:rsid w:val="00AB0B02"/>
    <w:rsid w:val="00AB0C8B"/>
    <w:rsid w:val="00AB0EA0"/>
    <w:rsid w:val="00AB1040"/>
    <w:rsid w:val="00AB10B3"/>
    <w:rsid w:val="00AB11ED"/>
    <w:rsid w:val="00AB147F"/>
    <w:rsid w:val="00AB1482"/>
    <w:rsid w:val="00AB161D"/>
    <w:rsid w:val="00AB1720"/>
    <w:rsid w:val="00AB1969"/>
    <w:rsid w:val="00AB1996"/>
    <w:rsid w:val="00AB19BA"/>
    <w:rsid w:val="00AB1A02"/>
    <w:rsid w:val="00AB1C2D"/>
    <w:rsid w:val="00AB1D1D"/>
    <w:rsid w:val="00AB1DE6"/>
    <w:rsid w:val="00AB1F30"/>
    <w:rsid w:val="00AB1FF1"/>
    <w:rsid w:val="00AB2091"/>
    <w:rsid w:val="00AB23B5"/>
    <w:rsid w:val="00AB26EA"/>
    <w:rsid w:val="00AB2814"/>
    <w:rsid w:val="00AB2977"/>
    <w:rsid w:val="00AB29C2"/>
    <w:rsid w:val="00AB29F0"/>
    <w:rsid w:val="00AB2C1A"/>
    <w:rsid w:val="00AB2C6E"/>
    <w:rsid w:val="00AB2F12"/>
    <w:rsid w:val="00AB3061"/>
    <w:rsid w:val="00AB30C3"/>
    <w:rsid w:val="00AB31A7"/>
    <w:rsid w:val="00AB3224"/>
    <w:rsid w:val="00AB3335"/>
    <w:rsid w:val="00AB3624"/>
    <w:rsid w:val="00AB36CA"/>
    <w:rsid w:val="00AB3771"/>
    <w:rsid w:val="00AB3944"/>
    <w:rsid w:val="00AB39EC"/>
    <w:rsid w:val="00AB3B04"/>
    <w:rsid w:val="00AB3CD3"/>
    <w:rsid w:val="00AB3E3B"/>
    <w:rsid w:val="00AB3FA8"/>
    <w:rsid w:val="00AB40A9"/>
    <w:rsid w:val="00AB4199"/>
    <w:rsid w:val="00AB4219"/>
    <w:rsid w:val="00AB44D4"/>
    <w:rsid w:val="00AB45DA"/>
    <w:rsid w:val="00AB4758"/>
    <w:rsid w:val="00AB48E5"/>
    <w:rsid w:val="00AB49DB"/>
    <w:rsid w:val="00AB4A4C"/>
    <w:rsid w:val="00AB4BC2"/>
    <w:rsid w:val="00AB4E28"/>
    <w:rsid w:val="00AB4E8D"/>
    <w:rsid w:val="00AB4F9D"/>
    <w:rsid w:val="00AB50AD"/>
    <w:rsid w:val="00AB50B2"/>
    <w:rsid w:val="00AB5100"/>
    <w:rsid w:val="00AB521B"/>
    <w:rsid w:val="00AB5281"/>
    <w:rsid w:val="00AB54F7"/>
    <w:rsid w:val="00AB5560"/>
    <w:rsid w:val="00AB5602"/>
    <w:rsid w:val="00AB5856"/>
    <w:rsid w:val="00AB5859"/>
    <w:rsid w:val="00AB5B0F"/>
    <w:rsid w:val="00AB5B21"/>
    <w:rsid w:val="00AB5B9A"/>
    <w:rsid w:val="00AB5CCB"/>
    <w:rsid w:val="00AB5ED2"/>
    <w:rsid w:val="00AB60C7"/>
    <w:rsid w:val="00AB6135"/>
    <w:rsid w:val="00AB61D3"/>
    <w:rsid w:val="00AB62A1"/>
    <w:rsid w:val="00AB63B2"/>
    <w:rsid w:val="00AB645C"/>
    <w:rsid w:val="00AB654A"/>
    <w:rsid w:val="00AB6598"/>
    <w:rsid w:val="00AB65C7"/>
    <w:rsid w:val="00AB66E2"/>
    <w:rsid w:val="00AB67F7"/>
    <w:rsid w:val="00AB6850"/>
    <w:rsid w:val="00AB6979"/>
    <w:rsid w:val="00AB6AD6"/>
    <w:rsid w:val="00AB6CEF"/>
    <w:rsid w:val="00AB6DC4"/>
    <w:rsid w:val="00AB6E0F"/>
    <w:rsid w:val="00AB6F01"/>
    <w:rsid w:val="00AB7051"/>
    <w:rsid w:val="00AB7321"/>
    <w:rsid w:val="00AB73CD"/>
    <w:rsid w:val="00AB74BE"/>
    <w:rsid w:val="00AB767B"/>
    <w:rsid w:val="00AB7794"/>
    <w:rsid w:val="00AB7965"/>
    <w:rsid w:val="00AB79E2"/>
    <w:rsid w:val="00AB7BE8"/>
    <w:rsid w:val="00AB7DE9"/>
    <w:rsid w:val="00AB7E8A"/>
    <w:rsid w:val="00AB7FD8"/>
    <w:rsid w:val="00AB7FEA"/>
    <w:rsid w:val="00AB7FFC"/>
    <w:rsid w:val="00AC0140"/>
    <w:rsid w:val="00AC01E0"/>
    <w:rsid w:val="00AC020C"/>
    <w:rsid w:val="00AC022E"/>
    <w:rsid w:val="00AC038E"/>
    <w:rsid w:val="00AC045F"/>
    <w:rsid w:val="00AC0498"/>
    <w:rsid w:val="00AC0601"/>
    <w:rsid w:val="00AC0674"/>
    <w:rsid w:val="00AC0804"/>
    <w:rsid w:val="00AC081B"/>
    <w:rsid w:val="00AC0858"/>
    <w:rsid w:val="00AC085D"/>
    <w:rsid w:val="00AC088D"/>
    <w:rsid w:val="00AC092D"/>
    <w:rsid w:val="00AC0A62"/>
    <w:rsid w:val="00AC0AC0"/>
    <w:rsid w:val="00AC0CB7"/>
    <w:rsid w:val="00AC0CC4"/>
    <w:rsid w:val="00AC0F25"/>
    <w:rsid w:val="00AC1066"/>
    <w:rsid w:val="00AC10D1"/>
    <w:rsid w:val="00AC11B8"/>
    <w:rsid w:val="00AC11CC"/>
    <w:rsid w:val="00AC141D"/>
    <w:rsid w:val="00AC1517"/>
    <w:rsid w:val="00AC1570"/>
    <w:rsid w:val="00AC1621"/>
    <w:rsid w:val="00AC16FD"/>
    <w:rsid w:val="00AC171E"/>
    <w:rsid w:val="00AC1830"/>
    <w:rsid w:val="00AC18A8"/>
    <w:rsid w:val="00AC1B5F"/>
    <w:rsid w:val="00AC1C06"/>
    <w:rsid w:val="00AC1D12"/>
    <w:rsid w:val="00AC1E5D"/>
    <w:rsid w:val="00AC1F03"/>
    <w:rsid w:val="00AC1F18"/>
    <w:rsid w:val="00AC230B"/>
    <w:rsid w:val="00AC232D"/>
    <w:rsid w:val="00AC2384"/>
    <w:rsid w:val="00AC26F2"/>
    <w:rsid w:val="00AC26F8"/>
    <w:rsid w:val="00AC281D"/>
    <w:rsid w:val="00AC2A1E"/>
    <w:rsid w:val="00AC2A76"/>
    <w:rsid w:val="00AC2ABC"/>
    <w:rsid w:val="00AC2D2A"/>
    <w:rsid w:val="00AC2E39"/>
    <w:rsid w:val="00AC301D"/>
    <w:rsid w:val="00AC3482"/>
    <w:rsid w:val="00AC34F5"/>
    <w:rsid w:val="00AC3658"/>
    <w:rsid w:val="00AC3666"/>
    <w:rsid w:val="00AC3740"/>
    <w:rsid w:val="00AC37D4"/>
    <w:rsid w:val="00AC383C"/>
    <w:rsid w:val="00AC386D"/>
    <w:rsid w:val="00AC3935"/>
    <w:rsid w:val="00AC39AB"/>
    <w:rsid w:val="00AC39F7"/>
    <w:rsid w:val="00AC3A2C"/>
    <w:rsid w:val="00AC3A3D"/>
    <w:rsid w:val="00AC3CA9"/>
    <w:rsid w:val="00AC3EF2"/>
    <w:rsid w:val="00AC3EF4"/>
    <w:rsid w:val="00AC408A"/>
    <w:rsid w:val="00AC4124"/>
    <w:rsid w:val="00AC41D2"/>
    <w:rsid w:val="00AC425D"/>
    <w:rsid w:val="00AC42E0"/>
    <w:rsid w:val="00AC4425"/>
    <w:rsid w:val="00AC44FB"/>
    <w:rsid w:val="00AC4614"/>
    <w:rsid w:val="00AC46C7"/>
    <w:rsid w:val="00AC47C0"/>
    <w:rsid w:val="00AC48DA"/>
    <w:rsid w:val="00AC490B"/>
    <w:rsid w:val="00AC4C0C"/>
    <w:rsid w:val="00AC4CD3"/>
    <w:rsid w:val="00AC4DC4"/>
    <w:rsid w:val="00AC4E43"/>
    <w:rsid w:val="00AC4F78"/>
    <w:rsid w:val="00AC4FAC"/>
    <w:rsid w:val="00AC50C5"/>
    <w:rsid w:val="00AC5201"/>
    <w:rsid w:val="00AC53E5"/>
    <w:rsid w:val="00AC574A"/>
    <w:rsid w:val="00AC5846"/>
    <w:rsid w:val="00AC58D5"/>
    <w:rsid w:val="00AC5AC1"/>
    <w:rsid w:val="00AC5D27"/>
    <w:rsid w:val="00AC5DEF"/>
    <w:rsid w:val="00AC5E1E"/>
    <w:rsid w:val="00AC6010"/>
    <w:rsid w:val="00AC6028"/>
    <w:rsid w:val="00AC6049"/>
    <w:rsid w:val="00AC619A"/>
    <w:rsid w:val="00AC6557"/>
    <w:rsid w:val="00AC65B6"/>
    <w:rsid w:val="00AC6911"/>
    <w:rsid w:val="00AC6E4D"/>
    <w:rsid w:val="00AC6E4E"/>
    <w:rsid w:val="00AC6E58"/>
    <w:rsid w:val="00AC6E85"/>
    <w:rsid w:val="00AC6F71"/>
    <w:rsid w:val="00AC6FD5"/>
    <w:rsid w:val="00AC715F"/>
    <w:rsid w:val="00AC71DB"/>
    <w:rsid w:val="00AC7311"/>
    <w:rsid w:val="00AC74E6"/>
    <w:rsid w:val="00AC7833"/>
    <w:rsid w:val="00AC7936"/>
    <w:rsid w:val="00AC79FE"/>
    <w:rsid w:val="00AC7AAD"/>
    <w:rsid w:val="00AC7B09"/>
    <w:rsid w:val="00AC7B13"/>
    <w:rsid w:val="00AC7B92"/>
    <w:rsid w:val="00AC7BC9"/>
    <w:rsid w:val="00AC7BFE"/>
    <w:rsid w:val="00AC7C2E"/>
    <w:rsid w:val="00AC7C5C"/>
    <w:rsid w:val="00AC7D2D"/>
    <w:rsid w:val="00AC7E5B"/>
    <w:rsid w:val="00AD0092"/>
    <w:rsid w:val="00AD0127"/>
    <w:rsid w:val="00AD016E"/>
    <w:rsid w:val="00AD02C0"/>
    <w:rsid w:val="00AD02CC"/>
    <w:rsid w:val="00AD04BC"/>
    <w:rsid w:val="00AD05D3"/>
    <w:rsid w:val="00AD0860"/>
    <w:rsid w:val="00AD0AFE"/>
    <w:rsid w:val="00AD0B32"/>
    <w:rsid w:val="00AD0C7A"/>
    <w:rsid w:val="00AD0F0E"/>
    <w:rsid w:val="00AD1293"/>
    <w:rsid w:val="00AD132A"/>
    <w:rsid w:val="00AD13CD"/>
    <w:rsid w:val="00AD1402"/>
    <w:rsid w:val="00AD1476"/>
    <w:rsid w:val="00AD1574"/>
    <w:rsid w:val="00AD1699"/>
    <w:rsid w:val="00AD16D1"/>
    <w:rsid w:val="00AD170F"/>
    <w:rsid w:val="00AD185D"/>
    <w:rsid w:val="00AD1A79"/>
    <w:rsid w:val="00AD1C22"/>
    <w:rsid w:val="00AD1F6B"/>
    <w:rsid w:val="00AD1F83"/>
    <w:rsid w:val="00AD1FAE"/>
    <w:rsid w:val="00AD1FBD"/>
    <w:rsid w:val="00AD1FEE"/>
    <w:rsid w:val="00AD232E"/>
    <w:rsid w:val="00AD2472"/>
    <w:rsid w:val="00AD266E"/>
    <w:rsid w:val="00AD27D7"/>
    <w:rsid w:val="00AD282F"/>
    <w:rsid w:val="00AD2839"/>
    <w:rsid w:val="00AD297C"/>
    <w:rsid w:val="00AD29D1"/>
    <w:rsid w:val="00AD2A10"/>
    <w:rsid w:val="00AD2C36"/>
    <w:rsid w:val="00AD2ED4"/>
    <w:rsid w:val="00AD2EFA"/>
    <w:rsid w:val="00AD2F7D"/>
    <w:rsid w:val="00AD30AA"/>
    <w:rsid w:val="00AD34A9"/>
    <w:rsid w:val="00AD37DA"/>
    <w:rsid w:val="00AD38A8"/>
    <w:rsid w:val="00AD3963"/>
    <w:rsid w:val="00AD3981"/>
    <w:rsid w:val="00AD3AB5"/>
    <w:rsid w:val="00AD3F32"/>
    <w:rsid w:val="00AD413E"/>
    <w:rsid w:val="00AD41D8"/>
    <w:rsid w:val="00AD447D"/>
    <w:rsid w:val="00AD46CC"/>
    <w:rsid w:val="00AD483C"/>
    <w:rsid w:val="00AD48C4"/>
    <w:rsid w:val="00AD493D"/>
    <w:rsid w:val="00AD4A4D"/>
    <w:rsid w:val="00AD4C78"/>
    <w:rsid w:val="00AD4C9F"/>
    <w:rsid w:val="00AD4E93"/>
    <w:rsid w:val="00AD4EFC"/>
    <w:rsid w:val="00AD4F21"/>
    <w:rsid w:val="00AD5158"/>
    <w:rsid w:val="00AD51A5"/>
    <w:rsid w:val="00AD524D"/>
    <w:rsid w:val="00AD52B1"/>
    <w:rsid w:val="00AD53E1"/>
    <w:rsid w:val="00AD5544"/>
    <w:rsid w:val="00AD5656"/>
    <w:rsid w:val="00AD56E6"/>
    <w:rsid w:val="00AD5C11"/>
    <w:rsid w:val="00AD634E"/>
    <w:rsid w:val="00AD63BF"/>
    <w:rsid w:val="00AD65A1"/>
    <w:rsid w:val="00AD65BB"/>
    <w:rsid w:val="00AD6682"/>
    <w:rsid w:val="00AD67C2"/>
    <w:rsid w:val="00AD685C"/>
    <w:rsid w:val="00AD68EE"/>
    <w:rsid w:val="00AD6919"/>
    <w:rsid w:val="00AD6A64"/>
    <w:rsid w:val="00AD6B88"/>
    <w:rsid w:val="00AD6BDA"/>
    <w:rsid w:val="00AD6BFF"/>
    <w:rsid w:val="00AD6EF2"/>
    <w:rsid w:val="00AD6F89"/>
    <w:rsid w:val="00AD712A"/>
    <w:rsid w:val="00AD7183"/>
    <w:rsid w:val="00AD719D"/>
    <w:rsid w:val="00AD7233"/>
    <w:rsid w:val="00AD729D"/>
    <w:rsid w:val="00AD741B"/>
    <w:rsid w:val="00AD7420"/>
    <w:rsid w:val="00AD746E"/>
    <w:rsid w:val="00AD760D"/>
    <w:rsid w:val="00AD7751"/>
    <w:rsid w:val="00AD7795"/>
    <w:rsid w:val="00AD78FF"/>
    <w:rsid w:val="00AD7A1B"/>
    <w:rsid w:val="00AD7B5A"/>
    <w:rsid w:val="00AD7D95"/>
    <w:rsid w:val="00AD7DC2"/>
    <w:rsid w:val="00AE00EE"/>
    <w:rsid w:val="00AE02BB"/>
    <w:rsid w:val="00AE03F8"/>
    <w:rsid w:val="00AE0461"/>
    <w:rsid w:val="00AE067A"/>
    <w:rsid w:val="00AE06B8"/>
    <w:rsid w:val="00AE06E2"/>
    <w:rsid w:val="00AE0C18"/>
    <w:rsid w:val="00AE0C48"/>
    <w:rsid w:val="00AE0C71"/>
    <w:rsid w:val="00AE10C0"/>
    <w:rsid w:val="00AE117F"/>
    <w:rsid w:val="00AE11E4"/>
    <w:rsid w:val="00AE12EE"/>
    <w:rsid w:val="00AE169F"/>
    <w:rsid w:val="00AE17FE"/>
    <w:rsid w:val="00AE18D1"/>
    <w:rsid w:val="00AE18D3"/>
    <w:rsid w:val="00AE18D4"/>
    <w:rsid w:val="00AE19BC"/>
    <w:rsid w:val="00AE19C3"/>
    <w:rsid w:val="00AE19CA"/>
    <w:rsid w:val="00AE19FC"/>
    <w:rsid w:val="00AE1A9A"/>
    <w:rsid w:val="00AE1AE0"/>
    <w:rsid w:val="00AE1B4E"/>
    <w:rsid w:val="00AE1E6B"/>
    <w:rsid w:val="00AE20B1"/>
    <w:rsid w:val="00AE2197"/>
    <w:rsid w:val="00AE222E"/>
    <w:rsid w:val="00AE22A5"/>
    <w:rsid w:val="00AE2529"/>
    <w:rsid w:val="00AE258E"/>
    <w:rsid w:val="00AE26A4"/>
    <w:rsid w:val="00AE26A7"/>
    <w:rsid w:val="00AE27F6"/>
    <w:rsid w:val="00AE28FF"/>
    <w:rsid w:val="00AE29F3"/>
    <w:rsid w:val="00AE2A95"/>
    <w:rsid w:val="00AE2ABF"/>
    <w:rsid w:val="00AE2BB5"/>
    <w:rsid w:val="00AE2C71"/>
    <w:rsid w:val="00AE2DC5"/>
    <w:rsid w:val="00AE2F06"/>
    <w:rsid w:val="00AE2F58"/>
    <w:rsid w:val="00AE2F78"/>
    <w:rsid w:val="00AE33AF"/>
    <w:rsid w:val="00AE354A"/>
    <w:rsid w:val="00AE37BB"/>
    <w:rsid w:val="00AE37DE"/>
    <w:rsid w:val="00AE392A"/>
    <w:rsid w:val="00AE39B0"/>
    <w:rsid w:val="00AE39E9"/>
    <w:rsid w:val="00AE3B88"/>
    <w:rsid w:val="00AE3BD5"/>
    <w:rsid w:val="00AE3CA7"/>
    <w:rsid w:val="00AE3D52"/>
    <w:rsid w:val="00AE3DC4"/>
    <w:rsid w:val="00AE3F13"/>
    <w:rsid w:val="00AE3F92"/>
    <w:rsid w:val="00AE41DF"/>
    <w:rsid w:val="00AE4240"/>
    <w:rsid w:val="00AE4246"/>
    <w:rsid w:val="00AE4338"/>
    <w:rsid w:val="00AE43CD"/>
    <w:rsid w:val="00AE45DE"/>
    <w:rsid w:val="00AE479C"/>
    <w:rsid w:val="00AE4A4E"/>
    <w:rsid w:val="00AE4C01"/>
    <w:rsid w:val="00AE4C15"/>
    <w:rsid w:val="00AE4D5C"/>
    <w:rsid w:val="00AE4D82"/>
    <w:rsid w:val="00AE5027"/>
    <w:rsid w:val="00AE51C2"/>
    <w:rsid w:val="00AE535E"/>
    <w:rsid w:val="00AE5724"/>
    <w:rsid w:val="00AE5871"/>
    <w:rsid w:val="00AE5F5B"/>
    <w:rsid w:val="00AE6047"/>
    <w:rsid w:val="00AE6064"/>
    <w:rsid w:val="00AE60B1"/>
    <w:rsid w:val="00AE618F"/>
    <w:rsid w:val="00AE6301"/>
    <w:rsid w:val="00AE634E"/>
    <w:rsid w:val="00AE65B5"/>
    <w:rsid w:val="00AE65C9"/>
    <w:rsid w:val="00AE6A74"/>
    <w:rsid w:val="00AE6C79"/>
    <w:rsid w:val="00AE6CE8"/>
    <w:rsid w:val="00AE6D02"/>
    <w:rsid w:val="00AE6DB0"/>
    <w:rsid w:val="00AE6FA9"/>
    <w:rsid w:val="00AE706F"/>
    <w:rsid w:val="00AE7231"/>
    <w:rsid w:val="00AE741D"/>
    <w:rsid w:val="00AE7625"/>
    <w:rsid w:val="00AE77F8"/>
    <w:rsid w:val="00AE7944"/>
    <w:rsid w:val="00AE7973"/>
    <w:rsid w:val="00AE7A60"/>
    <w:rsid w:val="00AE7AB9"/>
    <w:rsid w:val="00AE7DF0"/>
    <w:rsid w:val="00AE7E30"/>
    <w:rsid w:val="00AE7FDF"/>
    <w:rsid w:val="00AF00F7"/>
    <w:rsid w:val="00AF029F"/>
    <w:rsid w:val="00AF0350"/>
    <w:rsid w:val="00AF036D"/>
    <w:rsid w:val="00AF0421"/>
    <w:rsid w:val="00AF0446"/>
    <w:rsid w:val="00AF05FC"/>
    <w:rsid w:val="00AF0610"/>
    <w:rsid w:val="00AF07C0"/>
    <w:rsid w:val="00AF0835"/>
    <w:rsid w:val="00AF09E4"/>
    <w:rsid w:val="00AF0D31"/>
    <w:rsid w:val="00AF0EF5"/>
    <w:rsid w:val="00AF0F2A"/>
    <w:rsid w:val="00AF1023"/>
    <w:rsid w:val="00AF11C8"/>
    <w:rsid w:val="00AF11E2"/>
    <w:rsid w:val="00AF11E3"/>
    <w:rsid w:val="00AF134C"/>
    <w:rsid w:val="00AF140A"/>
    <w:rsid w:val="00AF14D8"/>
    <w:rsid w:val="00AF1593"/>
    <w:rsid w:val="00AF17DF"/>
    <w:rsid w:val="00AF18B8"/>
    <w:rsid w:val="00AF18E5"/>
    <w:rsid w:val="00AF19AE"/>
    <w:rsid w:val="00AF1C81"/>
    <w:rsid w:val="00AF1E20"/>
    <w:rsid w:val="00AF1E6D"/>
    <w:rsid w:val="00AF1EBB"/>
    <w:rsid w:val="00AF1F17"/>
    <w:rsid w:val="00AF1FC9"/>
    <w:rsid w:val="00AF2185"/>
    <w:rsid w:val="00AF2449"/>
    <w:rsid w:val="00AF2464"/>
    <w:rsid w:val="00AF2585"/>
    <w:rsid w:val="00AF27BA"/>
    <w:rsid w:val="00AF2844"/>
    <w:rsid w:val="00AF297C"/>
    <w:rsid w:val="00AF2A0F"/>
    <w:rsid w:val="00AF2A1B"/>
    <w:rsid w:val="00AF2BE4"/>
    <w:rsid w:val="00AF2CC7"/>
    <w:rsid w:val="00AF2F64"/>
    <w:rsid w:val="00AF30F5"/>
    <w:rsid w:val="00AF31F8"/>
    <w:rsid w:val="00AF32E0"/>
    <w:rsid w:val="00AF334C"/>
    <w:rsid w:val="00AF3449"/>
    <w:rsid w:val="00AF3570"/>
    <w:rsid w:val="00AF35FA"/>
    <w:rsid w:val="00AF369F"/>
    <w:rsid w:val="00AF3B63"/>
    <w:rsid w:val="00AF3C46"/>
    <w:rsid w:val="00AF3D69"/>
    <w:rsid w:val="00AF3D9F"/>
    <w:rsid w:val="00AF3EE8"/>
    <w:rsid w:val="00AF3F7B"/>
    <w:rsid w:val="00AF42A5"/>
    <w:rsid w:val="00AF439F"/>
    <w:rsid w:val="00AF43D2"/>
    <w:rsid w:val="00AF442F"/>
    <w:rsid w:val="00AF455E"/>
    <w:rsid w:val="00AF4687"/>
    <w:rsid w:val="00AF485A"/>
    <w:rsid w:val="00AF4923"/>
    <w:rsid w:val="00AF4B0C"/>
    <w:rsid w:val="00AF4B12"/>
    <w:rsid w:val="00AF4BEB"/>
    <w:rsid w:val="00AF4F0D"/>
    <w:rsid w:val="00AF4F14"/>
    <w:rsid w:val="00AF4FBE"/>
    <w:rsid w:val="00AF508F"/>
    <w:rsid w:val="00AF5127"/>
    <w:rsid w:val="00AF5139"/>
    <w:rsid w:val="00AF53E9"/>
    <w:rsid w:val="00AF577C"/>
    <w:rsid w:val="00AF5CB7"/>
    <w:rsid w:val="00AF6005"/>
    <w:rsid w:val="00AF6340"/>
    <w:rsid w:val="00AF6367"/>
    <w:rsid w:val="00AF654C"/>
    <w:rsid w:val="00AF6625"/>
    <w:rsid w:val="00AF667E"/>
    <w:rsid w:val="00AF6B9E"/>
    <w:rsid w:val="00AF6BE0"/>
    <w:rsid w:val="00AF6CA7"/>
    <w:rsid w:val="00AF6DFA"/>
    <w:rsid w:val="00AF6ECA"/>
    <w:rsid w:val="00AF6F42"/>
    <w:rsid w:val="00AF6FDA"/>
    <w:rsid w:val="00AF70F4"/>
    <w:rsid w:val="00AF718E"/>
    <w:rsid w:val="00AF7203"/>
    <w:rsid w:val="00AF72BA"/>
    <w:rsid w:val="00AF7470"/>
    <w:rsid w:val="00AF75BB"/>
    <w:rsid w:val="00AF782F"/>
    <w:rsid w:val="00AF7A65"/>
    <w:rsid w:val="00AF7BB2"/>
    <w:rsid w:val="00AF7C10"/>
    <w:rsid w:val="00AF7D2F"/>
    <w:rsid w:val="00AF7F14"/>
    <w:rsid w:val="00AF7F84"/>
    <w:rsid w:val="00B000C9"/>
    <w:rsid w:val="00B002DC"/>
    <w:rsid w:val="00B00562"/>
    <w:rsid w:val="00B00680"/>
    <w:rsid w:val="00B006CB"/>
    <w:rsid w:val="00B00721"/>
    <w:rsid w:val="00B00854"/>
    <w:rsid w:val="00B0095F"/>
    <w:rsid w:val="00B00998"/>
    <w:rsid w:val="00B00F87"/>
    <w:rsid w:val="00B014E2"/>
    <w:rsid w:val="00B0156D"/>
    <w:rsid w:val="00B01578"/>
    <w:rsid w:val="00B015C2"/>
    <w:rsid w:val="00B016CF"/>
    <w:rsid w:val="00B017CF"/>
    <w:rsid w:val="00B0189D"/>
    <w:rsid w:val="00B01A47"/>
    <w:rsid w:val="00B01B20"/>
    <w:rsid w:val="00B01C3F"/>
    <w:rsid w:val="00B01C84"/>
    <w:rsid w:val="00B01E26"/>
    <w:rsid w:val="00B01E4F"/>
    <w:rsid w:val="00B02043"/>
    <w:rsid w:val="00B0212D"/>
    <w:rsid w:val="00B02148"/>
    <w:rsid w:val="00B021E2"/>
    <w:rsid w:val="00B02247"/>
    <w:rsid w:val="00B02300"/>
    <w:rsid w:val="00B026BF"/>
    <w:rsid w:val="00B02754"/>
    <w:rsid w:val="00B029DE"/>
    <w:rsid w:val="00B02A87"/>
    <w:rsid w:val="00B02AA4"/>
    <w:rsid w:val="00B02ACB"/>
    <w:rsid w:val="00B02BEA"/>
    <w:rsid w:val="00B02C37"/>
    <w:rsid w:val="00B02CAE"/>
    <w:rsid w:val="00B02DD1"/>
    <w:rsid w:val="00B03013"/>
    <w:rsid w:val="00B03120"/>
    <w:rsid w:val="00B03197"/>
    <w:rsid w:val="00B0324A"/>
    <w:rsid w:val="00B03396"/>
    <w:rsid w:val="00B03608"/>
    <w:rsid w:val="00B03697"/>
    <w:rsid w:val="00B036D0"/>
    <w:rsid w:val="00B0371A"/>
    <w:rsid w:val="00B0373B"/>
    <w:rsid w:val="00B037B6"/>
    <w:rsid w:val="00B037F7"/>
    <w:rsid w:val="00B03898"/>
    <w:rsid w:val="00B03BED"/>
    <w:rsid w:val="00B03DCB"/>
    <w:rsid w:val="00B03E77"/>
    <w:rsid w:val="00B03F28"/>
    <w:rsid w:val="00B0403A"/>
    <w:rsid w:val="00B0421E"/>
    <w:rsid w:val="00B04382"/>
    <w:rsid w:val="00B0440A"/>
    <w:rsid w:val="00B04645"/>
    <w:rsid w:val="00B046F9"/>
    <w:rsid w:val="00B049C1"/>
    <w:rsid w:val="00B04A38"/>
    <w:rsid w:val="00B04ADC"/>
    <w:rsid w:val="00B04AE3"/>
    <w:rsid w:val="00B04B91"/>
    <w:rsid w:val="00B04BD9"/>
    <w:rsid w:val="00B04D70"/>
    <w:rsid w:val="00B04E19"/>
    <w:rsid w:val="00B04E52"/>
    <w:rsid w:val="00B05024"/>
    <w:rsid w:val="00B0529C"/>
    <w:rsid w:val="00B0532D"/>
    <w:rsid w:val="00B05395"/>
    <w:rsid w:val="00B053E5"/>
    <w:rsid w:val="00B05538"/>
    <w:rsid w:val="00B055BC"/>
    <w:rsid w:val="00B05AC0"/>
    <w:rsid w:val="00B05B6C"/>
    <w:rsid w:val="00B05C2B"/>
    <w:rsid w:val="00B05C90"/>
    <w:rsid w:val="00B05CB0"/>
    <w:rsid w:val="00B05D4C"/>
    <w:rsid w:val="00B05EA3"/>
    <w:rsid w:val="00B05F5F"/>
    <w:rsid w:val="00B05FB7"/>
    <w:rsid w:val="00B05FFD"/>
    <w:rsid w:val="00B06034"/>
    <w:rsid w:val="00B06083"/>
    <w:rsid w:val="00B061CD"/>
    <w:rsid w:val="00B0624D"/>
    <w:rsid w:val="00B0633B"/>
    <w:rsid w:val="00B06362"/>
    <w:rsid w:val="00B0641C"/>
    <w:rsid w:val="00B064A6"/>
    <w:rsid w:val="00B06693"/>
    <w:rsid w:val="00B069C1"/>
    <w:rsid w:val="00B06A77"/>
    <w:rsid w:val="00B06C5C"/>
    <w:rsid w:val="00B06D44"/>
    <w:rsid w:val="00B06EE6"/>
    <w:rsid w:val="00B07043"/>
    <w:rsid w:val="00B0704B"/>
    <w:rsid w:val="00B0706E"/>
    <w:rsid w:val="00B0737D"/>
    <w:rsid w:val="00B074EF"/>
    <w:rsid w:val="00B075D4"/>
    <w:rsid w:val="00B076B6"/>
    <w:rsid w:val="00B076F8"/>
    <w:rsid w:val="00B07722"/>
    <w:rsid w:val="00B07800"/>
    <w:rsid w:val="00B07B02"/>
    <w:rsid w:val="00B07C65"/>
    <w:rsid w:val="00B07D2B"/>
    <w:rsid w:val="00B07F48"/>
    <w:rsid w:val="00B07FA7"/>
    <w:rsid w:val="00B10106"/>
    <w:rsid w:val="00B10277"/>
    <w:rsid w:val="00B10379"/>
    <w:rsid w:val="00B105E3"/>
    <w:rsid w:val="00B10732"/>
    <w:rsid w:val="00B109B8"/>
    <w:rsid w:val="00B10B03"/>
    <w:rsid w:val="00B10BAD"/>
    <w:rsid w:val="00B10C7A"/>
    <w:rsid w:val="00B10CEF"/>
    <w:rsid w:val="00B10D10"/>
    <w:rsid w:val="00B10D17"/>
    <w:rsid w:val="00B10EA4"/>
    <w:rsid w:val="00B10EF9"/>
    <w:rsid w:val="00B10FA1"/>
    <w:rsid w:val="00B11057"/>
    <w:rsid w:val="00B112DD"/>
    <w:rsid w:val="00B1153A"/>
    <w:rsid w:val="00B11748"/>
    <w:rsid w:val="00B11754"/>
    <w:rsid w:val="00B11882"/>
    <w:rsid w:val="00B1193D"/>
    <w:rsid w:val="00B11AAC"/>
    <w:rsid w:val="00B11DEF"/>
    <w:rsid w:val="00B11F5C"/>
    <w:rsid w:val="00B11FCE"/>
    <w:rsid w:val="00B12021"/>
    <w:rsid w:val="00B12553"/>
    <w:rsid w:val="00B126BC"/>
    <w:rsid w:val="00B12720"/>
    <w:rsid w:val="00B12798"/>
    <w:rsid w:val="00B128D9"/>
    <w:rsid w:val="00B1296E"/>
    <w:rsid w:val="00B12B32"/>
    <w:rsid w:val="00B130C9"/>
    <w:rsid w:val="00B13139"/>
    <w:rsid w:val="00B1326D"/>
    <w:rsid w:val="00B132C9"/>
    <w:rsid w:val="00B132EA"/>
    <w:rsid w:val="00B13535"/>
    <w:rsid w:val="00B135EE"/>
    <w:rsid w:val="00B13716"/>
    <w:rsid w:val="00B13AE8"/>
    <w:rsid w:val="00B13B99"/>
    <w:rsid w:val="00B13BB5"/>
    <w:rsid w:val="00B13CCC"/>
    <w:rsid w:val="00B13E7E"/>
    <w:rsid w:val="00B13F68"/>
    <w:rsid w:val="00B13FDD"/>
    <w:rsid w:val="00B1406E"/>
    <w:rsid w:val="00B140A1"/>
    <w:rsid w:val="00B140B4"/>
    <w:rsid w:val="00B142E8"/>
    <w:rsid w:val="00B14385"/>
    <w:rsid w:val="00B14542"/>
    <w:rsid w:val="00B145C4"/>
    <w:rsid w:val="00B1462B"/>
    <w:rsid w:val="00B14C00"/>
    <w:rsid w:val="00B14C6D"/>
    <w:rsid w:val="00B14D52"/>
    <w:rsid w:val="00B14DB6"/>
    <w:rsid w:val="00B14EBD"/>
    <w:rsid w:val="00B14F39"/>
    <w:rsid w:val="00B154E8"/>
    <w:rsid w:val="00B15511"/>
    <w:rsid w:val="00B15564"/>
    <w:rsid w:val="00B15781"/>
    <w:rsid w:val="00B15835"/>
    <w:rsid w:val="00B15955"/>
    <w:rsid w:val="00B15B19"/>
    <w:rsid w:val="00B15B6D"/>
    <w:rsid w:val="00B161B6"/>
    <w:rsid w:val="00B1627C"/>
    <w:rsid w:val="00B163B4"/>
    <w:rsid w:val="00B16684"/>
    <w:rsid w:val="00B16837"/>
    <w:rsid w:val="00B16862"/>
    <w:rsid w:val="00B1687E"/>
    <w:rsid w:val="00B16910"/>
    <w:rsid w:val="00B16AD5"/>
    <w:rsid w:val="00B16D39"/>
    <w:rsid w:val="00B16E90"/>
    <w:rsid w:val="00B16F3C"/>
    <w:rsid w:val="00B16FE7"/>
    <w:rsid w:val="00B1712A"/>
    <w:rsid w:val="00B1728B"/>
    <w:rsid w:val="00B17348"/>
    <w:rsid w:val="00B17368"/>
    <w:rsid w:val="00B1738F"/>
    <w:rsid w:val="00B1739D"/>
    <w:rsid w:val="00B175BA"/>
    <w:rsid w:val="00B175FD"/>
    <w:rsid w:val="00B17733"/>
    <w:rsid w:val="00B17EE4"/>
    <w:rsid w:val="00B17F5D"/>
    <w:rsid w:val="00B17F88"/>
    <w:rsid w:val="00B200CE"/>
    <w:rsid w:val="00B2055C"/>
    <w:rsid w:val="00B20665"/>
    <w:rsid w:val="00B206D1"/>
    <w:rsid w:val="00B207AB"/>
    <w:rsid w:val="00B20A6C"/>
    <w:rsid w:val="00B20BE1"/>
    <w:rsid w:val="00B20E64"/>
    <w:rsid w:val="00B20F45"/>
    <w:rsid w:val="00B20F83"/>
    <w:rsid w:val="00B21548"/>
    <w:rsid w:val="00B2161D"/>
    <w:rsid w:val="00B2164E"/>
    <w:rsid w:val="00B216BB"/>
    <w:rsid w:val="00B2175A"/>
    <w:rsid w:val="00B218FB"/>
    <w:rsid w:val="00B219FC"/>
    <w:rsid w:val="00B21A06"/>
    <w:rsid w:val="00B21B19"/>
    <w:rsid w:val="00B21C84"/>
    <w:rsid w:val="00B21D6E"/>
    <w:rsid w:val="00B22047"/>
    <w:rsid w:val="00B2226B"/>
    <w:rsid w:val="00B2248F"/>
    <w:rsid w:val="00B2251E"/>
    <w:rsid w:val="00B22651"/>
    <w:rsid w:val="00B2289B"/>
    <w:rsid w:val="00B22978"/>
    <w:rsid w:val="00B229A8"/>
    <w:rsid w:val="00B22A40"/>
    <w:rsid w:val="00B22BF0"/>
    <w:rsid w:val="00B22C70"/>
    <w:rsid w:val="00B22CAF"/>
    <w:rsid w:val="00B2302B"/>
    <w:rsid w:val="00B231FF"/>
    <w:rsid w:val="00B23411"/>
    <w:rsid w:val="00B23423"/>
    <w:rsid w:val="00B23561"/>
    <w:rsid w:val="00B235C9"/>
    <w:rsid w:val="00B237F5"/>
    <w:rsid w:val="00B2388E"/>
    <w:rsid w:val="00B23904"/>
    <w:rsid w:val="00B239A1"/>
    <w:rsid w:val="00B23B6C"/>
    <w:rsid w:val="00B23BCA"/>
    <w:rsid w:val="00B23BED"/>
    <w:rsid w:val="00B2401A"/>
    <w:rsid w:val="00B241CD"/>
    <w:rsid w:val="00B241EB"/>
    <w:rsid w:val="00B248CD"/>
    <w:rsid w:val="00B24970"/>
    <w:rsid w:val="00B24A27"/>
    <w:rsid w:val="00B24B0D"/>
    <w:rsid w:val="00B24B7A"/>
    <w:rsid w:val="00B24C63"/>
    <w:rsid w:val="00B24D5A"/>
    <w:rsid w:val="00B24F1C"/>
    <w:rsid w:val="00B24F51"/>
    <w:rsid w:val="00B24F74"/>
    <w:rsid w:val="00B250CF"/>
    <w:rsid w:val="00B25325"/>
    <w:rsid w:val="00B255F6"/>
    <w:rsid w:val="00B25874"/>
    <w:rsid w:val="00B259CB"/>
    <w:rsid w:val="00B25BC6"/>
    <w:rsid w:val="00B25EFC"/>
    <w:rsid w:val="00B25F61"/>
    <w:rsid w:val="00B260D5"/>
    <w:rsid w:val="00B261C9"/>
    <w:rsid w:val="00B26322"/>
    <w:rsid w:val="00B264F6"/>
    <w:rsid w:val="00B266B9"/>
    <w:rsid w:val="00B268F4"/>
    <w:rsid w:val="00B26C59"/>
    <w:rsid w:val="00B26DF2"/>
    <w:rsid w:val="00B26E0F"/>
    <w:rsid w:val="00B2704A"/>
    <w:rsid w:val="00B27344"/>
    <w:rsid w:val="00B274C2"/>
    <w:rsid w:val="00B27519"/>
    <w:rsid w:val="00B27532"/>
    <w:rsid w:val="00B275A4"/>
    <w:rsid w:val="00B275C5"/>
    <w:rsid w:val="00B27619"/>
    <w:rsid w:val="00B27724"/>
    <w:rsid w:val="00B278C2"/>
    <w:rsid w:val="00B27B22"/>
    <w:rsid w:val="00B27DE8"/>
    <w:rsid w:val="00B27F4A"/>
    <w:rsid w:val="00B27FB8"/>
    <w:rsid w:val="00B300C6"/>
    <w:rsid w:val="00B30128"/>
    <w:rsid w:val="00B302B3"/>
    <w:rsid w:val="00B3039B"/>
    <w:rsid w:val="00B3046D"/>
    <w:rsid w:val="00B30761"/>
    <w:rsid w:val="00B307C5"/>
    <w:rsid w:val="00B3094B"/>
    <w:rsid w:val="00B30A78"/>
    <w:rsid w:val="00B30E05"/>
    <w:rsid w:val="00B30F1C"/>
    <w:rsid w:val="00B30F33"/>
    <w:rsid w:val="00B31170"/>
    <w:rsid w:val="00B311BB"/>
    <w:rsid w:val="00B313D4"/>
    <w:rsid w:val="00B313D5"/>
    <w:rsid w:val="00B31514"/>
    <w:rsid w:val="00B31570"/>
    <w:rsid w:val="00B3159F"/>
    <w:rsid w:val="00B31947"/>
    <w:rsid w:val="00B31A1A"/>
    <w:rsid w:val="00B31C3B"/>
    <w:rsid w:val="00B31E39"/>
    <w:rsid w:val="00B3202C"/>
    <w:rsid w:val="00B322E9"/>
    <w:rsid w:val="00B32458"/>
    <w:rsid w:val="00B32463"/>
    <w:rsid w:val="00B32565"/>
    <w:rsid w:val="00B32616"/>
    <w:rsid w:val="00B326D6"/>
    <w:rsid w:val="00B32775"/>
    <w:rsid w:val="00B32ED1"/>
    <w:rsid w:val="00B32FDB"/>
    <w:rsid w:val="00B3308C"/>
    <w:rsid w:val="00B330E8"/>
    <w:rsid w:val="00B331E5"/>
    <w:rsid w:val="00B332B7"/>
    <w:rsid w:val="00B333D5"/>
    <w:rsid w:val="00B3368F"/>
    <w:rsid w:val="00B33744"/>
    <w:rsid w:val="00B3396E"/>
    <w:rsid w:val="00B339DA"/>
    <w:rsid w:val="00B33C82"/>
    <w:rsid w:val="00B33D95"/>
    <w:rsid w:val="00B33F0A"/>
    <w:rsid w:val="00B33F80"/>
    <w:rsid w:val="00B3415D"/>
    <w:rsid w:val="00B34389"/>
    <w:rsid w:val="00B34432"/>
    <w:rsid w:val="00B3447E"/>
    <w:rsid w:val="00B34482"/>
    <w:rsid w:val="00B34564"/>
    <w:rsid w:val="00B346C3"/>
    <w:rsid w:val="00B347FD"/>
    <w:rsid w:val="00B34937"/>
    <w:rsid w:val="00B349E7"/>
    <w:rsid w:val="00B34B75"/>
    <w:rsid w:val="00B34D85"/>
    <w:rsid w:val="00B34D9F"/>
    <w:rsid w:val="00B34ED0"/>
    <w:rsid w:val="00B350D8"/>
    <w:rsid w:val="00B3515C"/>
    <w:rsid w:val="00B353E3"/>
    <w:rsid w:val="00B3540C"/>
    <w:rsid w:val="00B354AF"/>
    <w:rsid w:val="00B35523"/>
    <w:rsid w:val="00B3579D"/>
    <w:rsid w:val="00B3581A"/>
    <w:rsid w:val="00B35884"/>
    <w:rsid w:val="00B3589C"/>
    <w:rsid w:val="00B35B17"/>
    <w:rsid w:val="00B35C3F"/>
    <w:rsid w:val="00B35CD8"/>
    <w:rsid w:val="00B35E36"/>
    <w:rsid w:val="00B35FE5"/>
    <w:rsid w:val="00B3628F"/>
    <w:rsid w:val="00B36329"/>
    <w:rsid w:val="00B3632E"/>
    <w:rsid w:val="00B36539"/>
    <w:rsid w:val="00B3657C"/>
    <w:rsid w:val="00B36691"/>
    <w:rsid w:val="00B36892"/>
    <w:rsid w:val="00B369EA"/>
    <w:rsid w:val="00B36AFC"/>
    <w:rsid w:val="00B36B20"/>
    <w:rsid w:val="00B36D11"/>
    <w:rsid w:val="00B36FA1"/>
    <w:rsid w:val="00B370B6"/>
    <w:rsid w:val="00B37135"/>
    <w:rsid w:val="00B371E5"/>
    <w:rsid w:val="00B37266"/>
    <w:rsid w:val="00B3745E"/>
    <w:rsid w:val="00B3746D"/>
    <w:rsid w:val="00B3747D"/>
    <w:rsid w:val="00B37494"/>
    <w:rsid w:val="00B3753B"/>
    <w:rsid w:val="00B3775E"/>
    <w:rsid w:val="00B37797"/>
    <w:rsid w:val="00B379D0"/>
    <w:rsid w:val="00B37A13"/>
    <w:rsid w:val="00B37C7E"/>
    <w:rsid w:val="00B37D6B"/>
    <w:rsid w:val="00B37E3F"/>
    <w:rsid w:val="00B4002F"/>
    <w:rsid w:val="00B400AD"/>
    <w:rsid w:val="00B4010E"/>
    <w:rsid w:val="00B40144"/>
    <w:rsid w:val="00B401FF"/>
    <w:rsid w:val="00B40281"/>
    <w:rsid w:val="00B402EF"/>
    <w:rsid w:val="00B403C7"/>
    <w:rsid w:val="00B40406"/>
    <w:rsid w:val="00B404A7"/>
    <w:rsid w:val="00B404CD"/>
    <w:rsid w:val="00B406B3"/>
    <w:rsid w:val="00B40A42"/>
    <w:rsid w:val="00B40BB5"/>
    <w:rsid w:val="00B40C57"/>
    <w:rsid w:val="00B40E11"/>
    <w:rsid w:val="00B40F4A"/>
    <w:rsid w:val="00B41021"/>
    <w:rsid w:val="00B41245"/>
    <w:rsid w:val="00B41259"/>
    <w:rsid w:val="00B412FE"/>
    <w:rsid w:val="00B4149B"/>
    <w:rsid w:val="00B41670"/>
    <w:rsid w:val="00B41686"/>
    <w:rsid w:val="00B417D3"/>
    <w:rsid w:val="00B41813"/>
    <w:rsid w:val="00B419BE"/>
    <w:rsid w:val="00B41E49"/>
    <w:rsid w:val="00B41F83"/>
    <w:rsid w:val="00B41F9D"/>
    <w:rsid w:val="00B42029"/>
    <w:rsid w:val="00B42150"/>
    <w:rsid w:val="00B422C1"/>
    <w:rsid w:val="00B42380"/>
    <w:rsid w:val="00B425FE"/>
    <w:rsid w:val="00B42689"/>
    <w:rsid w:val="00B427D5"/>
    <w:rsid w:val="00B42BF5"/>
    <w:rsid w:val="00B42CC8"/>
    <w:rsid w:val="00B42E1E"/>
    <w:rsid w:val="00B42E44"/>
    <w:rsid w:val="00B430A7"/>
    <w:rsid w:val="00B431C2"/>
    <w:rsid w:val="00B4345C"/>
    <w:rsid w:val="00B4346A"/>
    <w:rsid w:val="00B434A4"/>
    <w:rsid w:val="00B43669"/>
    <w:rsid w:val="00B43712"/>
    <w:rsid w:val="00B4389B"/>
    <w:rsid w:val="00B43A1F"/>
    <w:rsid w:val="00B43AF7"/>
    <w:rsid w:val="00B43BF8"/>
    <w:rsid w:val="00B43E2B"/>
    <w:rsid w:val="00B44023"/>
    <w:rsid w:val="00B44253"/>
    <w:rsid w:val="00B4425C"/>
    <w:rsid w:val="00B44279"/>
    <w:rsid w:val="00B442CE"/>
    <w:rsid w:val="00B444D1"/>
    <w:rsid w:val="00B44A05"/>
    <w:rsid w:val="00B44B1F"/>
    <w:rsid w:val="00B44F24"/>
    <w:rsid w:val="00B44F43"/>
    <w:rsid w:val="00B44F82"/>
    <w:rsid w:val="00B45095"/>
    <w:rsid w:val="00B4509D"/>
    <w:rsid w:val="00B451A2"/>
    <w:rsid w:val="00B4521E"/>
    <w:rsid w:val="00B4536E"/>
    <w:rsid w:val="00B45474"/>
    <w:rsid w:val="00B4570F"/>
    <w:rsid w:val="00B45724"/>
    <w:rsid w:val="00B45B5D"/>
    <w:rsid w:val="00B45C2D"/>
    <w:rsid w:val="00B45CF3"/>
    <w:rsid w:val="00B45DD0"/>
    <w:rsid w:val="00B45F58"/>
    <w:rsid w:val="00B45FDE"/>
    <w:rsid w:val="00B45FE4"/>
    <w:rsid w:val="00B4603A"/>
    <w:rsid w:val="00B4612F"/>
    <w:rsid w:val="00B4616A"/>
    <w:rsid w:val="00B462DE"/>
    <w:rsid w:val="00B46546"/>
    <w:rsid w:val="00B46673"/>
    <w:rsid w:val="00B4670C"/>
    <w:rsid w:val="00B46758"/>
    <w:rsid w:val="00B467DE"/>
    <w:rsid w:val="00B4698B"/>
    <w:rsid w:val="00B46A48"/>
    <w:rsid w:val="00B46ADF"/>
    <w:rsid w:val="00B46B30"/>
    <w:rsid w:val="00B46B94"/>
    <w:rsid w:val="00B46DA7"/>
    <w:rsid w:val="00B46EA2"/>
    <w:rsid w:val="00B4758F"/>
    <w:rsid w:val="00B4761C"/>
    <w:rsid w:val="00B4770C"/>
    <w:rsid w:val="00B47816"/>
    <w:rsid w:val="00B47829"/>
    <w:rsid w:val="00B47912"/>
    <w:rsid w:val="00B47CB5"/>
    <w:rsid w:val="00B47D64"/>
    <w:rsid w:val="00B47D6A"/>
    <w:rsid w:val="00B47DBF"/>
    <w:rsid w:val="00B47E05"/>
    <w:rsid w:val="00B500A2"/>
    <w:rsid w:val="00B50198"/>
    <w:rsid w:val="00B501B0"/>
    <w:rsid w:val="00B50412"/>
    <w:rsid w:val="00B50638"/>
    <w:rsid w:val="00B5063A"/>
    <w:rsid w:val="00B50769"/>
    <w:rsid w:val="00B507A7"/>
    <w:rsid w:val="00B50991"/>
    <w:rsid w:val="00B50A72"/>
    <w:rsid w:val="00B50C99"/>
    <w:rsid w:val="00B50CD0"/>
    <w:rsid w:val="00B50D6C"/>
    <w:rsid w:val="00B50F84"/>
    <w:rsid w:val="00B511AE"/>
    <w:rsid w:val="00B5126F"/>
    <w:rsid w:val="00B516BF"/>
    <w:rsid w:val="00B51700"/>
    <w:rsid w:val="00B519AC"/>
    <w:rsid w:val="00B51A36"/>
    <w:rsid w:val="00B51AB8"/>
    <w:rsid w:val="00B51ABE"/>
    <w:rsid w:val="00B51ADE"/>
    <w:rsid w:val="00B51B77"/>
    <w:rsid w:val="00B51F13"/>
    <w:rsid w:val="00B5217C"/>
    <w:rsid w:val="00B523AE"/>
    <w:rsid w:val="00B52610"/>
    <w:rsid w:val="00B5274C"/>
    <w:rsid w:val="00B527AE"/>
    <w:rsid w:val="00B527F5"/>
    <w:rsid w:val="00B5284A"/>
    <w:rsid w:val="00B5299C"/>
    <w:rsid w:val="00B52A97"/>
    <w:rsid w:val="00B52B16"/>
    <w:rsid w:val="00B52C1A"/>
    <w:rsid w:val="00B52C47"/>
    <w:rsid w:val="00B52D66"/>
    <w:rsid w:val="00B52F51"/>
    <w:rsid w:val="00B52F89"/>
    <w:rsid w:val="00B5315A"/>
    <w:rsid w:val="00B53171"/>
    <w:rsid w:val="00B53278"/>
    <w:rsid w:val="00B5327A"/>
    <w:rsid w:val="00B5357A"/>
    <w:rsid w:val="00B53676"/>
    <w:rsid w:val="00B536D9"/>
    <w:rsid w:val="00B537ED"/>
    <w:rsid w:val="00B53811"/>
    <w:rsid w:val="00B538E2"/>
    <w:rsid w:val="00B53B30"/>
    <w:rsid w:val="00B53CF5"/>
    <w:rsid w:val="00B53DC2"/>
    <w:rsid w:val="00B53E05"/>
    <w:rsid w:val="00B53E39"/>
    <w:rsid w:val="00B53E9F"/>
    <w:rsid w:val="00B54162"/>
    <w:rsid w:val="00B54354"/>
    <w:rsid w:val="00B54446"/>
    <w:rsid w:val="00B54488"/>
    <w:rsid w:val="00B54559"/>
    <w:rsid w:val="00B54709"/>
    <w:rsid w:val="00B5491D"/>
    <w:rsid w:val="00B54B42"/>
    <w:rsid w:val="00B54B9D"/>
    <w:rsid w:val="00B54BE6"/>
    <w:rsid w:val="00B54D30"/>
    <w:rsid w:val="00B54E62"/>
    <w:rsid w:val="00B550C4"/>
    <w:rsid w:val="00B5527A"/>
    <w:rsid w:val="00B554FF"/>
    <w:rsid w:val="00B555D2"/>
    <w:rsid w:val="00B559E3"/>
    <w:rsid w:val="00B55A7E"/>
    <w:rsid w:val="00B55A9A"/>
    <w:rsid w:val="00B55E04"/>
    <w:rsid w:val="00B55F1A"/>
    <w:rsid w:val="00B55F2F"/>
    <w:rsid w:val="00B55F62"/>
    <w:rsid w:val="00B56135"/>
    <w:rsid w:val="00B561CF"/>
    <w:rsid w:val="00B5632C"/>
    <w:rsid w:val="00B564AD"/>
    <w:rsid w:val="00B56578"/>
    <w:rsid w:val="00B5659F"/>
    <w:rsid w:val="00B56839"/>
    <w:rsid w:val="00B568E8"/>
    <w:rsid w:val="00B56933"/>
    <w:rsid w:val="00B56A3A"/>
    <w:rsid w:val="00B56CF1"/>
    <w:rsid w:val="00B56E8F"/>
    <w:rsid w:val="00B57077"/>
    <w:rsid w:val="00B571E2"/>
    <w:rsid w:val="00B57214"/>
    <w:rsid w:val="00B5726E"/>
    <w:rsid w:val="00B573B0"/>
    <w:rsid w:val="00B57417"/>
    <w:rsid w:val="00B57539"/>
    <w:rsid w:val="00B5755C"/>
    <w:rsid w:val="00B5761C"/>
    <w:rsid w:val="00B57761"/>
    <w:rsid w:val="00B577AD"/>
    <w:rsid w:val="00B577D0"/>
    <w:rsid w:val="00B5786F"/>
    <w:rsid w:val="00B579C6"/>
    <w:rsid w:val="00B57AF4"/>
    <w:rsid w:val="00B57B7C"/>
    <w:rsid w:val="00B57BE5"/>
    <w:rsid w:val="00B57EA4"/>
    <w:rsid w:val="00B57F6B"/>
    <w:rsid w:val="00B60224"/>
    <w:rsid w:val="00B60401"/>
    <w:rsid w:val="00B60632"/>
    <w:rsid w:val="00B607AF"/>
    <w:rsid w:val="00B6088C"/>
    <w:rsid w:val="00B60DFA"/>
    <w:rsid w:val="00B60E3D"/>
    <w:rsid w:val="00B60E53"/>
    <w:rsid w:val="00B60EBE"/>
    <w:rsid w:val="00B60FA4"/>
    <w:rsid w:val="00B61035"/>
    <w:rsid w:val="00B612C7"/>
    <w:rsid w:val="00B61337"/>
    <w:rsid w:val="00B61493"/>
    <w:rsid w:val="00B61559"/>
    <w:rsid w:val="00B615AA"/>
    <w:rsid w:val="00B615FF"/>
    <w:rsid w:val="00B616B3"/>
    <w:rsid w:val="00B616CC"/>
    <w:rsid w:val="00B6181F"/>
    <w:rsid w:val="00B61D09"/>
    <w:rsid w:val="00B61D59"/>
    <w:rsid w:val="00B61DC0"/>
    <w:rsid w:val="00B61DD7"/>
    <w:rsid w:val="00B61E99"/>
    <w:rsid w:val="00B61ECD"/>
    <w:rsid w:val="00B61FB8"/>
    <w:rsid w:val="00B620E7"/>
    <w:rsid w:val="00B6213A"/>
    <w:rsid w:val="00B62149"/>
    <w:rsid w:val="00B621A0"/>
    <w:rsid w:val="00B621F9"/>
    <w:rsid w:val="00B6238E"/>
    <w:rsid w:val="00B62599"/>
    <w:rsid w:val="00B625EB"/>
    <w:rsid w:val="00B6262D"/>
    <w:rsid w:val="00B62679"/>
    <w:rsid w:val="00B628B7"/>
    <w:rsid w:val="00B62A6B"/>
    <w:rsid w:val="00B62B36"/>
    <w:rsid w:val="00B62DD8"/>
    <w:rsid w:val="00B62E68"/>
    <w:rsid w:val="00B63203"/>
    <w:rsid w:val="00B633D9"/>
    <w:rsid w:val="00B63973"/>
    <w:rsid w:val="00B63A9B"/>
    <w:rsid w:val="00B63D36"/>
    <w:rsid w:val="00B63E05"/>
    <w:rsid w:val="00B63F0D"/>
    <w:rsid w:val="00B63FC3"/>
    <w:rsid w:val="00B64130"/>
    <w:rsid w:val="00B6428D"/>
    <w:rsid w:val="00B642CF"/>
    <w:rsid w:val="00B6462C"/>
    <w:rsid w:val="00B64DA8"/>
    <w:rsid w:val="00B64F58"/>
    <w:rsid w:val="00B64FBF"/>
    <w:rsid w:val="00B65102"/>
    <w:rsid w:val="00B651AE"/>
    <w:rsid w:val="00B65585"/>
    <w:rsid w:val="00B65768"/>
    <w:rsid w:val="00B65927"/>
    <w:rsid w:val="00B65969"/>
    <w:rsid w:val="00B65AFC"/>
    <w:rsid w:val="00B65B17"/>
    <w:rsid w:val="00B65CA0"/>
    <w:rsid w:val="00B65DD9"/>
    <w:rsid w:val="00B65E12"/>
    <w:rsid w:val="00B65E6B"/>
    <w:rsid w:val="00B65F2F"/>
    <w:rsid w:val="00B65F7C"/>
    <w:rsid w:val="00B65F9C"/>
    <w:rsid w:val="00B66303"/>
    <w:rsid w:val="00B6641C"/>
    <w:rsid w:val="00B6652B"/>
    <w:rsid w:val="00B666E4"/>
    <w:rsid w:val="00B667CC"/>
    <w:rsid w:val="00B6690D"/>
    <w:rsid w:val="00B66AFE"/>
    <w:rsid w:val="00B66B9D"/>
    <w:rsid w:val="00B66E60"/>
    <w:rsid w:val="00B66ED5"/>
    <w:rsid w:val="00B66FD5"/>
    <w:rsid w:val="00B67024"/>
    <w:rsid w:val="00B67103"/>
    <w:rsid w:val="00B671DC"/>
    <w:rsid w:val="00B672EC"/>
    <w:rsid w:val="00B67355"/>
    <w:rsid w:val="00B674F5"/>
    <w:rsid w:val="00B6758B"/>
    <w:rsid w:val="00B67699"/>
    <w:rsid w:val="00B6785B"/>
    <w:rsid w:val="00B678D5"/>
    <w:rsid w:val="00B6792F"/>
    <w:rsid w:val="00B67C14"/>
    <w:rsid w:val="00B67DC8"/>
    <w:rsid w:val="00B67FC7"/>
    <w:rsid w:val="00B67FE2"/>
    <w:rsid w:val="00B70212"/>
    <w:rsid w:val="00B703A9"/>
    <w:rsid w:val="00B7045E"/>
    <w:rsid w:val="00B70477"/>
    <w:rsid w:val="00B705C8"/>
    <w:rsid w:val="00B7088A"/>
    <w:rsid w:val="00B709BE"/>
    <w:rsid w:val="00B70AB4"/>
    <w:rsid w:val="00B70B21"/>
    <w:rsid w:val="00B70BBC"/>
    <w:rsid w:val="00B70BE6"/>
    <w:rsid w:val="00B70C1D"/>
    <w:rsid w:val="00B70CC3"/>
    <w:rsid w:val="00B70D9A"/>
    <w:rsid w:val="00B70DC9"/>
    <w:rsid w:val="00B70F87"/>
    <w:rsid w:val="00B714B8"/>
    <w:rsid w:val="00B7166C"/>
    <w:rsid w:val="00B7166F"/>
    <w:rsid w:val="00B71754"/>
    <w:rsid w:val="00B71845"/>
    <w:rsid w:val="00B718F0"/>
    <w:rsid w:val="00B719AC"/>
    <w:rsid w:val="00B71A17"/>
    <w:rsid w:val="00B71BF1"/>
    <w:rsid w:val="00B71CEF"/>
    <w:rsid w:val="00B71D5E"/>
    <w:rsid w:val="00B71DCF"/>
    <w:rsid w:val="00B71E3C"/>
    <w:rsid w:val="00B72075"/>
    <w:rsid w:val="00B72085"/>
    <w:rsid w:val="00B7233F"/>
    <w:rsid w:val="00B727DD"/>
    <w:rsid w:val="00B72B06"/>
    <w:rsid w:val="00B72C08"/>
    <w:rsid w:val="00B72DA2"/>
    <w:rsid w:val="00B72E46"/>
    <w:rsid w:val="00B72F40"/>
    <w:rsid w:val="00B73059"/>
    <w:rsid w:val="00B731F2"/>
    <w:rsid w:val="00B732AA"/>
    <w:rsid w:val="00B732BC"/>
    <w:rsid w:val="00B732DA"/>
    <w:rsid w:val="00B7338A"/>
    <w:rsid w:val="00B73867"/>
    <w:rsid w:val="00B73916"/>
    <w:rsid w:val="00B73E76"/>
    <w:rsid w:val="00B74082"/>
    <w:rsid w:val="00B7425C"/>
    <w:rsid w:val="00B7454A"/>
    <w:rsid w:val="00B74611"/>
    <w:rsid w:val="00B747EE"/>
    <w:rsid w:val="00B749D5"/>
    <w:rsid w:val="00B74B3E"/>
    <w:rsid w:val="00B74CF5"/>
    <w:rsid w:val="00B74D34"/>
    <w:rsid w:val="00B74DAD"/>
    <w:rsid w:val="00B74EE8"/>
    <w:rsid w:val="00B74FA9"/>
    <w:rsid w:val="00B750C6"/>
    <w:rsid w:val="00B75130"/>
    <w:rsid w:val="00B7514A"/>
    <w:rsid w:val="00B75234"/>
    <w:rsid w:val="00B752A2"/>
    <w:rsid w:val="00B75552"/>
    <w:rsid w:val="00B7570D"/>
    <w:rsid w:val="00B75C06"/>
    <w:rsid w:val="00B75CB2"/>
    <w:rsid w:val="00B75E50"/>
    <w:rsid w:val="00B75FA1"/>
    <w:rsid w:val="00B761B2"/>
    <w:rsid w:val="00B7622B"/>
    <w:rsid w:val="00B76248"/>
    <w:rsid w:val="00B76476"/>
    <w:rsid w:val="00B765B4"/>
    <w:rsid w:val="00B76604"/>
    <w:rsid w:val="00B767BB"/>
    <w:rsid w:val="00B768C8"/>
    <w:rsid w:val="00B7694B"/>
    <w:rsid w:val="00B76B1B"/>
    <w:rsid w:val="00B76B1F"/>
    <w:rsid w:val="00B76BB1"/>
    <w:rsid w:val="00B76BF4"/>
    <w:rsid w:val="00B76C56"/>
    <w:rsid w:val="00B76D88"/>
    <w:rsid w:val="00B76E4A"/>
    <w:rsid w:val="00B76E5C"/>
    <w:rsid w:val="00B7713D"/>
    <w:rsid w:val="00B772E6"/>
    <w:rsid w:val="00B77458"/>
    <w:rsid w:val="00B77720"/>
    <w:rsid w:val="00B7776C"/>
    <w:rsid w:val="00B77799"/>
    <w:rsid w:val="00B7784D"/>
    <w:rsid w:val="00B779BA"/>
    <w:rsid w:val="00B77C3D"/>
    <w:rsid w:val="00B77D24"/>
    <w:rsid w:val="00B77E40"/>
    <w:rsid w:val="00B77E49"/>
    <w:rsid w:val="00B8014F"/>
    <w:rsid w:val="00B803BF"/>
    <w:rsid w:val="00B8042E"/>
    <w:rsid w:val="00B8060D"/>
    <w:rsid w:val="00B806A6"/>
    <w:rsid w:val="00B80896"/>
    <w:rsid w:val="00B808D7"/>
    <w:rsid w:val="00B809BE"/>
    <w:rsid w:val="00B80B92"/>
    <w:rsid w:val="00B80D27"/>
    <w:rsid w:val="00B80D92"/>
    <w:rsid w:val="00B80F6B"/>
    <w:rsid w:val="00B8100C"/>
    <w:rsid w:val="00B81090"/>
    <w:rsid w:val="00B81306"/>
    <w:rsid w:val="00B81307"/>
    <w:rsid w:val="00B817B0"/>
    <w:rsid w:val="00B81988"/>
    <w:rsid w:val="00B81B41"/>
    <w:rsid w:val="00B81B8F"/>
    <w:rsid w:val="00B81BA3"/>
    <w:rsid w:val="00B81C4D"/>
    <w:rsid w:val="00B81D0A"/>
    <w:rsid w:val="00B81DFE"/>
    <w:rsid w:val="00B820DB"/>
    <w:rsid w:val="00B821A5"/>
    <w:rsid w:val="00B821DE"/>
    <w:rsid w:val="00B8225A"/>
    <w:rsid w:val="00B8228C"/>
    <w:rsid w:val="00B824C0"/>
    <w:rsid w:val="00B825F6"/>
    <w:rsid w:val="00B8268E"/>
    <w:rsid w:val="00B826D4"/>
    <w:rsid w:val="00B8283F"/>
    <w:rsid w:val="00B82874"/>
    <w:rsid w:val="00B82980"/>
    <w:rsid w:val="00B82B2E"/>
    <w:rsid w:val="00B82B2F"/>
    <w:rsid w:val="00B82C29"/>
    <w:rsid w:val="00B82CF6"/>
    <w:rsid w:val="00B82F1F"/>
    <w:rsid w:val="00B831B7"/>
    <w:rsid w:val="00B83291"/>
    <w:rsid w:val="00B83441"/>
    <w:rsid w:val="00B8347D"/>
    <w:rsid w:val="00B836BB"/>
    <w:rsid w:val="00B83794"/>
    <w:rsid w:val="00B838FF"/>
    <w:rsid w:val="00B83935"/>
    <w:rsid w:val="00B8395C"/>
    <w:rsid w:val="00B83B1A"/>
    <w:rsid w:val="00B83BFA"/>
    <w:rsid w:val="00B83DC3"/>
    <w:rsid w:val="00B83E6F"/>
    <w:rsid w:val="00B84251"/>
    <w:rsid w:val="00B84373"/>
    <w:rsid w:val="00B84493"/>
    <w:rsid w:val="00B84505"/>
    <w:rsid w:val="00B84507"/>
    <w:rsid w:val="00B846C7"/>
    <w:rsid w:val="00B8482C"/>
    <w:rsid w:val="00B8484D"/>
    <w:rsid w:val="00B8487F"/>
    <w:rsid w:val="00B84900"/>
    <w:rsid w:val="00B849CA"/>
    <w:rsid w:val="00B84BA4"/>
    <w:rsid w:val="00B84BCA"/>
    <w:rsid w:val="00B84BE5"/>
    <w:rsid w:val="00B84D01"/>
    <w:rsid w:val="00B84D84"/>
    <w:rsid w:val="00B84F00"/>
    <w:rsid w:val="00B85062"/>
    <w:rsid w:val="00B850D6"/>
    <w:rsid w:val="00B851D1"/>
    <w:rsid w:val="00B85227"/>
    <w:rsid w:val="00B852C9"/>
    <w:rsid w:val="00B8533F"/>
    <w:rsid w:val="00B855FD"/>
    <w:rsid w:val="00B85664"/>
    <w:rsid w:val="00B8576F"/>
    <w:rsid w:val="00B85B51"/>
    <w:rsid w:val="00B85B6D"/>
    <w:rsid w:val="00B85B7F"/>
    <w:rsid w:val="00B85C67"/>
    <w:rsid w:val="00B85CB4"/>
    <w:rsid w:val="00B85D1F"/>
    <w:rsid w:val="00B85D52"/>
    <w:rsid w:val="00B85EA5"/>
    <w:rsid w:val="00B85FE3"/>
    <w:rsid w:val="00B86088"/>
    <w:rsid w:val="00B86320"/>
    <w:rsid w:val="00B8646C"/>
    <w:rsid w:val="00B864C6"/>
    <w:rsid w:val="00B865B3"/>
    <w:rsid w:val="00B86907"/>
    <w:rsid w:val="00B86A16"/>
    <w:rsid w:val="00B86D8A"/>
    <w:rsid w:val="00B870D8"/>
    <w:rsid w:val="00B87128"/>
    <w:rsid w:val="00B87193"/>
    <w:rsid w:val="00B871E7"/>
    <w:rsid w:val="00B87201"/>
    <w:rsid w:val="00B87363"/>
    <w:rsid w:val="00B875CA"/>
    <w:rsid w:val="00B8774B"/>
    <w:rsid w:val="00B879FA"/>
    <w:rsid w:val="00B87C61"/>
    <w:rsid w:val="00B87C8E"/>
    <w:rsid w:val="00B87D2D"/>
    <w:rsid w:val="00B90082"/>
    <w:rsid w:val="00B901CB"/>
    <w:rsid w:val="00B90569"/>
    <w:rsid w:val="00B9070E"/>
    <w:rsid w:val="00B909DB"/>
    <w:rsid w:val="00B90BF3"/>
    <w:rsid w:val="00B90C6B"/>
    <w:rsid w:val="00B90CD0"/>
    <w:rsid w:val="00B90E64"/>
    <w:rsid w:val="00B90EA1"/>
    <w:rsid w:val="00B90FA4"/>
    <w:rsid w:val="00B91168"/>
    <w:rsid w:val="00B911D9"/>
    <w:rsid w:val="00B911DF"/>
    <w:rsid w:val="00B912DF"/>
    <w:rsid w:val="00B913CF"/>
    <w:rsid w:val="00B91606"/>
    <w:rsid w:val="00B916BC"/>
    <w:rsid w:val="00B916C2"/>
    <w:rsid w:val="00B91795"/>
    <w:rsid w:val="00B917D7"/>
    <w:rsid w:val="00B919EB"/>
    <w:rsid w:val="00B91DD1"/>
    <w:rsid w:val="00B91E5E"/>
    <w:rsid w:val="00B91F82"/>
    <w:rsid w:val="00B9205E"/>
    <w:rsid w:val="00B920B3"/>
    <w:rsid w:val="00B922CD"/>
    <w:rsid w:val="00B9234A"/>
    <w:rsid w:val="00B925D8"/>
    <w:rsid w:val="00B928B3"/>
    <w:rsid w:val="00B929B3"/>
    <w:rsid w:val="00B929E2"/>
    <w:rsid w:val="00B92A1B"/>
    <w:rsid w:val="00B92AAD"/>
    <w:rsid w:val="00B92B9E"/>
    <w:rsid w:val="00B92CB9"/>
    <w:rsid w:val="00B92E81"/>
    <w:rsid w:val="00B92E8C"/>
    <w:rsid w:val="00B92EDD"/>
    <w:rsid w:val="00B93039"/>
    <w:rsid w:val="00B93102"/>
    <w:rsid w:val="00B93208"/>
    <w:rsid w:val="00B93531"/>
    <w:rsid w:val="00B9353A"/>
    <w:rsid w:val="00B9355C"/>
    <w:rsid w:val="00B935AA"/>
    <w:rsid w:val="00B935E5"/>
    <w:rsid w:val="00B935F6"/>
    <w:rsid w:val="00B9362B"/>
    <w:rsid w:val="00B9369C"/>
    <w:rsid w:val="00B93846"/>
    <w:rsid w:val="00B938DC"/>
    <w:rsid w:val="00B93A0B"/>
    <w:rsid w:val="00B93A43"/>
    <w:rsid w:val="00B93B0D"/>
    <w:rsid w:val="00B93C46"/>
    <w:rsid w:val="00B93EEA"/>
    <w:rsid w:val="00B93EF5"/>
    <w:rsid w:val="00B93F3E"/>
    <w:rsid w:val="00B93F4A"/>
    <w:rsid w:val="00B941A4"/>
    <w:rsid w:val="00B942D2"/>
    <w:rsid w:val="00B945B6"/>
    <w:rsid w:val="00B94977"/>
    <w:rsid w:val="00B949ED"/>
    <w:rsid w:val="00B94B5E"/>
    <w:rsid w:val="00B94B87"/>
    <w:rsid w:val="00B94D31"/>
    <w:rsid w:val="00B94EF8"/>
    <w:rsid w:val="00B951F6"/>
    <w:rsid w:val="00B9530F"/>
    <w:rsid w:val="00B9539E"/>
    <w:rsid w:val="00B9546D"/>
    <w:rsid w:val="00B9554D"/>
    <w:rsid w:val="00B955BB"/>
    <w:rsid w:val="00B959CB"/>
    <w:rsid w:val="00B959E2"/>
    <w:rsid w:val="00B95A0F"/>
    <w:rsid w:val="00B95AA4"/>
    <w:rsid w:val="00B95EEE"/>
    <w:rsid w:val="00B96077"/>
    <w:rsid w:val="00B961F1"/>
    <w:rsid w:val="00B9623F"/>
    <w:rsid w:val="00B9625F"/>
    <w:rsid w:val="00B9644D"/>
    <w:rsid w:val="00B964CF"/>
    <w:rsid w:val="00B966B5"/>
    <w:rsid w:val="00B96D41"/>
    <w:rsid w:val="00B96EED"/>
    <w:rsid w:val="00B96FF3"/>
    <w:rsid w:val="00B9700F"/>
    <w:rsid w:val="00B97271"/>
    <w:rsid w:val="00B97479"/>
    <w:rsid w:val="00B975CB"/>
    <w:rsid w:val="00B976B3"/>
    <w:rsid w:val="00B97C43"/>
    <w:rsid w:val="00B97DE9"/>
    <w:rsid w:val="00B97F0D"/>
    <w:rsid w:val="00BA01AB"/>
    <w:rsid w:val="00BA0278"/>
    <w:rsid w:val="00BA065F"/>
    <w:rsid w:val="00BA07E7"/>
    <w:rsid w:val="00BA07F9"/>
    <w:rsid w:val="00BA0957"/>
    <w:rsid w:val="00BA09F1"/>
    <w:rsid w:val="00BA0A1E"/>
    <w:rsid w:val="00BA0DB2"/>
    <w:rsid w:val="00BA0DD5"/>
    <w:rsid w:val="00BA0E00"/>
    <w:rsid w:val="00BA0E23"/>
    <w:rsid w:val="00BA0EF0"/>
    <w:rsid w:val="00BA0EF6"/>
    <w:rsid w:val="00BA14DD"/>
    <w:rsid w:val="00BA158B"/>
    <w:rsid w:val="00BA1751"/>
    <w:rsid w:val="00BA181A"/>
    <w:rsid w:val="00BA1855"/>
    <w:rsid w:val="00BA1996"/>
    <w:rsid w:val="00BA19C7"/>
    <w:rsid w:val="00BA1A0C"/>
    <w:rsid w:val="00BA1AF2"/>
    <w:rsid w:val="00BA1D58"/>
    <w:rsid w:val="00BA1DE4"/>
    <w:rsid w:val="00BA1EA5"/>
    <w:rsid w:val="00BA2031"/>
    <w:rsid w:val="00BA2040"/>
    <w:rsid w:val="00BA2099"/>
    <w:rsid w:val="00BA2293"/>
    <w:rsid w:val="00BA260D"/>
    <w:rsid w:val="00BA2612"/>
    <w:rsid w:val="00BA26BC"/>
    <w:rsid w:val="00BA2805"/>
    <w:rsid w:val="00BA2A16"/>
    <w:rsid w:val="00BA2A29"/>
    <w:rsid w:val="00BA2AE0"/>
    <w:rsid w:val="00BA2BED"/>
    <w:rsid w:val="00BA2C9D"/>
    <w:rsid w:val="00BA2DDF"/>
    <w:rsid w:val="00BA2F5F"/>
    <w:rsid w:val="00BA32E7"/>
    <w:rsid w:val="00BA34F6"/>
    <w:rsid w:val="00BA3523"/>
    <w:rsid w:val="00BA3798"/>
    <w:rsid w:val="00BA37D1"/>
    <w:rsid w:val="00BA3858"/>
    <w:rsid w:val="00BA38C4"/>
    <w:rsid w:val="00BA39D7"/>
    <w:rsid w:val="00BA39DD"/>
    <w:rsid w:val="00BA3AA0"/>
    <w:rsid w:val="00BA3B1D"/>
    <w:rsid w:val="00BA3C8E"/>
    <w:rsid w:val="00BA3C95"/>
    <w:rsid w:val="00BA3D1F"/>
    <w:rsid w:val="00BA3DAC"/>
    <w:rsid w:val="00BA3E55"/>
    <w:rsid w:val="00BA4078"/>
    <w:rsid w:val="00BA417E"/>
    <w:rsid w:val="00BA453E"/>
    <w:rsid w:val="00BA463A"/>
    <w:rsid w:val="00BA4734"/>
    <w:rsid w:val="00BA4773"/>
    <w:rsid w:val="00BA4873"/>
    <w:rsid w:val="00BA488E"/>
    <w:rsid w:val="00BA4CA6"/>
    <w:rsid w:val="00BA4CB9"/>
    <w:rsid w:val="00BA50BB"/>
    <w:rsid w:val="00BA5477"/>
    <w:rsid w:val="00BA55F7"/>
    <w:rsid w:val="00BA56DA"/>
    <w:rsid w:val="00BA56F7"/>
    <w:rsid w:val="00BA57DF"/>
    <w:rsid w:val="00BA57EE"/>
    <w:rsid w:val="00BA593B"/>
    <w:rsid w:val="00BA59B7"/>
    <w:rsid w:val="00BA5A6B"/>
    <w:rsid w:val="00BA5AC2"/>
    <w:rsid w:val="00BA5B00"/>
    <w:rsid w:val="00BA5B74"/>
    <w:rsid w:val="00BA5BD0"/>
    <w:rsid w:val="00BA5D76"/>
    <w:rsid w:val="00BA5E91"/>
    <w:rsid w:val="00BA5EDE"/>
    <w:rsid w:val="00BA601F"/>
    <w:rsid w:val="00BA6029"/>
    <w:rsid w:val="00BA6032"/>
    <w:rsid w:val="00BA60F7"/>
    <w:rsid w:val="00BA6153"/>
    <w:rsid w:val="00BA6156"/>
    <w:rsid w:val="00BA621B"/>
    <w:rsid w:val="00BA628B"/>
    <w:rsid w:val="00BA6455"/>
    <w:rsid w:val="00BA657D"/>
    <w:rsid w:val="00BA67FB"/>
    <w:rsid w:val="00BA6816"/>
    <w:rsid w:val="00BA69FB"/>
    <w:rsid w:val="00BA6F36"/>
    <w:rsid w:val="00BA7174"/>
    <w:rsid w:val="00BA72A0"/>
    <w:rsid w:val="00BA75D6"/>
    <w:rsid w:val="00BA77E6"/>
    <w:rsid w:val="00BA789C"/>
    <w:rsid w:val="00BA7955"/>
    <w:rsid w:val="00BA7A8F"/>
    <w:rsid w:val="00BA7C91"/>
    <w:rsid w:val="00BA7E71"/>
    <w:rsid w:val="00BB0023"/>
    <w:rsid w:val="00BB01BA"/>
    <w:rsid w:val="00BB01C0"/>
    <w:rsid w:val="00BB02A3"/>
    <w:rsid w:val="00BB041D"/>
    <w:rsid w:val="00BB0794"/>
    <w:rsid w:val="00BB0CF2"/>
    <w:rsid w:val="00BB0D7F"/>
    <w:rsid w:val="00BB1056"/>
    <w:rsid w:val="00BB131E"/>
    <w:rsid w:val="00BB13AB"/>
    <w:rsid w:val="00BB1499"/>
    <w:rsid w:val="00BB1826"/>
    <w:rsid w:val="00BB1895"/>
    <w:rsid w:val="00BB194F"/>
    <w:rsid w:val="00BB1A67"/>
    <w:rsid w:val="00BB1BA7"/>
    <w:rsid w:val="00BB1C01"/>
    <w:rsid w:val="00BB1DDF"/>
    <w:rsid w:val="00BB1EC4"/>
    <w:rsid w:val="00BB20C4"/>
    <w:rsid w:val="00BB2181"/>
    <w:rsid w:val="00BB21E2"/>
    <w:rsid w:val="00BB255D"/>
    <w:rsid w:val="00BB2565"/>
    <w:rsid w:val="00BB271A"/>
    <w:rsid w:val="00BB2784"/>
    <w:rsid w:val="00BB2B7E"/>
    <w:rsid w:val="00BB2BE9"/>
    <w:rsid w:val="00BB2C92"/>
    <w:rsid w:val="00BB2C9D"/>
    <w:rsid w:val="00BB2D6D"/>
    <w:rsid w:val="00BB2DD6"/>
    <w:rsid w:val="00BB2DEA"/>
    <w:rsid w:val="00BB305C"/>
    <w:rsid w:val="00BB3092"/>
    <w:rsid w:val="00BB3259"/>
    <w:rsid w:val="00BB3385"/>
    <w:rsid w:val="00BB338C"/>
    <w:rsid w:val="00BB33BB"/>
    <w:rsid w:val="00BB33CB"/>
    <w:rsid w:val="00BB3478"/>
    <w:rsid w:val="00BB3479"/>
    <w:rsid w:val="00BB3822"/>
    <w:rsid w:val="00BB393C"/>
    <w:rsid w:val="00BB399D"/>
    <w:rsid w:val="00BB3ABE"/>
    <w:rsid w:val="00BB3AF0"/>
    <w:rsid w:val="00BB3CDA"/>
    <w:rsid w:val="00BB3DB2"/>
    <w:rsid w:val="00BB3DD3"/>
    <w:rsid w:val="00BB3FF4"/>
    <w:rsid w:val="00BB4218"/>
    <w:rsid w:val="00BB4336"/>
    <w:rsid w:val="00BB43B8"/>
    <w:rsid w:val="00BB465B"/>
    <w:rsid w:val="00BB4897"/>
    <w:rsid w:val="00BB48BE"/>
    <w:rsid w:val="00BB499E"/>
    <w:rsid w:val="00BB4B5D"/>
    <w:rsid w:val="00BB4B6D"/>
    <w:rsid w:val="00BB4D8A"/>
    <w:rsid w:val="00BB4E48"/>
    <w:rsid w:val="00BB4F36"/>
    <w:rsid w:val="00BB4F52"/>
    <w:rsid w:val="00BB5006"/>
    <w:rsid w:val="00BB507F"/>
    <w:rsid w:val="00BB509A"/>
    <w:rsid w:val="00BB51DE"/>
    <w:rsid w:val="00BB5220"/>
    <w:rsid w:val="00BB53A5"/>
    <w:rsid w:val="00BB5514"/>
    <w:rsid w:val="00BB57C6"/>
    <w:rsid w:val="00BB57EA"/>
    <w:rsid w:val="00BB57FB"/>
    <w:rsid w:val="00BB59A2"/>
    <w:rsid w:val="00BB59F2"/>
    <w:rsid w:val="00BB5A36"/>
    <w:rsid w:val="00BB5A77"/>
    <w:rsid w:val="00BB5B4A"/>
    <w:rsid w:val="00BB5C4C"/>
    <w:rsid w:val="00BB60A5"/>
    <w:rsid w:val="00BB62F7"/>
    <w:rsid w:val="00BB6514"/>
    <w:rsid w:val="00BB66CE"/>
    <w:rsid w:val="00BB6701"/>
    <w:rsid w:val="00BB68B4"/>
    <w:rsid w:val="00BB68BE"/>
    <w:rsid w:val="00BB68F3"/>
    <w:rsid w:val="00BB69A4"/>
    <w:rsid w:val="00BB69EC"/>
    <w:rsid w:val="00BB6A16"/>
    <w:rsid w:val="00BB6A4A"/>
    <w:rsid w:val="00BB6C19"/>
    <w:rsid w:val="00BB6C47"/>
    <w:rsid w:val="00BB6C70"/>
    <w:rsid w:val="00BB6F04"/>
    <w:rsid w:val="00BB70CE"/>
    <w:rsid w:val="00BB70F5"/>
    <w:rsid w:val="00BB7107"/>
    <w:rsid w:val="00BB7125"/>
    <w:rsid w:val="00BB71B1"/>
    <w:rsid w:val="00BB7411"/>
    <w:rsid w:val="00BB7560"/>
    <w:rsid w:val="00BB771E"/>
    <w:rsid w:val="00BB784B"/>
    <w:rsid w:val="00BB7B7D"/>
    <w:rsid w:val="00BB7BC1"/>
    <w:rsid w:val="00BB7EA1"/>
    <w:rsid w:val="00BB7EA4"/>
    <w:rsid w:val="00BB7F25"/>
    <w:rsid w:val="00BC0324"/>
    <w:rsid w:val="00BC055D"/>
    <w:rsid w:val="00BC08E3"/>
    <w:rsid w:val="00BC0937"/>
    <w:rsid w:val="00BC093B"/>
    <w:rsid w:val="00BC0AB5"/>
    <w:rsid w:val="00BC0C8E"/>
    <w:rsid w:val="00BC107C"/>
    <w:rsid w:val="00BC1495"/>
    <w:rsid w:val="00BC15CA"/>
    <w:rsid w:val="00BC1727"/>
    <w:rsid w:val="00BC18DD"/>
    <w:rsid w:val="00BC18E4"/>
    <w:rsid w:val="00BC1AF4"/>
    <w:rsid w:val="00BC1BFC"/>
    <w:rsid w:val="00BC1CA9"/>
    <w:rsid w:val="00BC1DC0"/>
    <w:rsid w:val="00BC20FF"/>
    <w:rsid w:val="00BC2339"/>
    <w:rsid w:val="00BC23CB"/>
    <w:rsid w:val="00BC2488"/>
    <w:rsid w:val="00BC2526"/>
    <w:rsid w:val="00BC2688"/>
    <w:rsid w:val="00BC2B0F"/>
    <w:rsid w:val="00BC2BBD"/>
    <w:rsid w:val="00BC2C49"/>
    <w:rsid w:val="00BC2D22"/>
    <w:rsid w:val="00BC32D4"/>
    <w:rsid w:val="00BC334A"/>
    <w:rsid w:val="00BC36E1"/>
    <w:rsid w:val="00BC37F2"/>
    <w:rsid w:val="00BC3948"/>
    <w:rsid w:val="00BC3AC0"/>
    <w:rsid w:val="00BC3E29"/>
    <w:rsid w:val="00BC3F5F"/>
    <w:rsid w:val="00BC418E"/>
    <w:rsid w:val="00BC433C"/>
    <w:rsid w:val="00BC4472"/>
    <w:rsid w:val="00BC4528"/>
    <w:rsid w:val="00BC458B"/>
    <w:rsid w:val="00BC4786"/>
    <w:rsid w:val="00BC4831"/>
    <w:rsid w:val="00BC48B3"/>
    <w:rsid w:val="00BC4DF1"/>
    <w:rsid w:val="00BC4EE2"/>
    <w:rsid w:val="00BC53D5"/>
    <w:rsid w:val="00BC5433"/>
    <w:rsid w:val="00BC555C"/>
    <w:rsid w:val="00BC55E1"/>
    <w:rsid w:val="00BC5899"/>
    <w:rsid w:val="00BC58B6"/>
    <w:rsid w:val="00BC58DE"/>
    <w:rsid w:val="00BC593A"/>
    <w:rsid w:val="00BC5B5F"/>
    <w:rsid w:val="00BC5C13"/>
    <w:rsid w:val="00BC5DB4"/>
    <w:rsid w:val="00BC5DE9"/>
    <w:rsid w:val="00BC5DEE"/>
    <w:rsid w:val="00BC5FA4"/>
    <w:rsid w:val="00BC60F4"/>
    <w:rsid w:val="00BC616F"/>
    <w:rsid w:val="00BC620C"/>
    <w:rsid w:val="00BC6541"/>
    <w:rsid w:val="00BC67F0"/>
    <w:rsid w:val="00BC683A"/>
    <w:rsid w:val="00BC6922"/>
    <w:rsid w:val="00BC6B24"/>
    <w:rsid w:val="00BC6CF7"/>
    <w:rsid w:val="00BC7063"/>
    <w:rsid w:val="00BC707C"/>
    <w:rsid w:val="00BC70F9"/>
    <w:rsid w:val="00BC716B"/>
    <w:rsid w:val="00BC71EE"/>
    <w:rsid w:val="00BC7274"/>
    <w:rsid w:val="00BC72CA"/>
    <w:rsid w:val="00BC7358"/>
    <w:rsid w:val="00BC79D4"/>
    <w:rsid w:val="00BC7A34"/>
    <w:rsid w:val="00BC7BA5"/>
    <w:rsid w:val="00BC7CBC"/>
    <w:rsid w:val="00BC7DAD"/>
    <w:rsid w:val="00BC7DB1"/>
    <w:rsid w:val="00BD00BA"/>
    <w:rsid w:val="00BD0657"/>
    <w:rsid w:val="00BD0874"/>
    <w:rsid w:val="00BD0BAA"/>
    <w:rsid w:val="00BD0C7C"/>
    <w:rsid w:val="00BD0E46"/>
    <w:rsid w:val="00BD1018"/>
    <w:rsid w:val="00BD1063"/>
    <w:rsid w:val="00BD1079"/>
    <w:rsid w:val="00BD10C3"/>
    <w:rsid w:val="00BD1111"/>
    <w:rsid w:val="00BD1132"/>
    <w:rsid w:val="00BD1158"/>
    <w:rsid w:val="00BD11EB"/>
    <w:rsid w:val="00BD13A5"/>
    <w:rsid w:val="00BD1520"/>
    <w:rsid w:val="00BD167E"/>
    <w:rsid w:val="00BD17B4"/>
    <w:rsid w:val="00BD1807"/>
    <w:rsid w:val="00BD1B21"/>
    <w:rsid w:val="00BD1CBB"/>
    <w:rsid w:val="00BD1F28"/>
    <w:rsid w:val="00BD1F54"/>
    <w:rsid w:val="00BD2024"/>
    <w:rsid w:val="00BD2265"/>
    <w:rsid w:val="00BD22CC"/>
    <w:rsid w:val="00BD2637"/>
    <w:rsid w:val="00BD2672"/>
    <w:rsid w:val="00BD2677"/>
    <w:rsid w:val="00BD26E9"/>
    <w:rsid w:val="00BD27B3"/>
    <w:rsid w:val="00BD28B6"/>
    <w:rsid w:val="00BD2999"/>
    <w:rsid w:val="00BD29A0"/>
    <w:rsid w:val="00BD2D9B"/>
    <w:rsid w:val="00BD2E02"/>
    <w:rsid w:val="00BD2EE3"/>
    <w:rsid w:val="00BD2FB7"/>
    <w:rsid w:val="00BD306E"/>
    <w:rsid w:val="00BD309B"/>
    <w:rsid w:val="00BD30A8"/>
    <w:rsid w:val="00BD3117"/>
    <w:rsid w:val="00BD3201"/>
    <w:rsid w:val="00BD337D"/>
    <w:rsid w:val="00BD3489"/>
    <w:rsid w:val="00BD349A"/>
    <w:rsid w:val="00BD360C"/>
    <w:rsid w:val="00BD36D8"/>
    <w:rsid w:val="00BD376B"/>
    <w:rsid w:val="00BD3795"/>
    <w:rsid w:val="00BD3936"/>
    <w:rsid w:val="00BD3943"/>
    <w:rsid w:val="00BD3D3E"/>
    <w:rsid w:val="00BD3E21"/>
    <w:rsid w:val="00BD3E7D"/>
    <w:rsid w:val="00BD3ECE"/>
    <w:rsid w:val="00BD426A"/>
    <w:rsid w:val="00BD44E6"/>
    <w:rsid w:val="00BD45BD"/>
    <w:rsid w:val="00BD45C4"/>
    <w:rsid w:val="00BD45E1"/>
    <w:rsid w:val="00BD47E5"/>
    <w:rsid w:val="00BD490D"/>
    <w:rsid w:val="00BD4B3A"/>
    <w:rsid w:val="00BD4BD5"/>
    <w:rsid w:val="00BD4D65"/>
    <w:rsid w:val="00BD4D68"/>
    <w:rsid w:val="00BD4DEF"/>
    <w:rsid w:val="00BD4DFA"/>
    <w:rsid w:val="00BD5129"/>
    <w:rsid w:val="00BD51B2"/>
    <w:rsid w:val="00BD51FE"/>
    <w:rsid w:val="00BD52B0"/>
    <w:rsid w:val="00BD547B"/>
    <w:rsid w:val="00BD5826"/>
    <w:rsid w:val="00BD5940"/>
    <w:rsid w:val="00BD5A5E"/>
    <w:rsid w:val="00BD5CFF"/>
    <w:rsid w:val="00BD5DA7"/>
    <w:rsid w:val="00BD5FB3"/>
    <w:rsid w:val="00BD62B9"/>
    <w:rsid w:val="00BD643D"/>
    <w:rsid w:val="00BD660C"/>
    <w:rsid w:val="00BD66ED"/>
    <w:rsid w:val="00BD67B8"/>
    <w:rsid w:val="00BD67BF"/>
    <w:rsid w:val="00BD6A91"/>
    <w:rsid w:val="00BD6AEA"/>
    <w:rsid w:val="00BD6BCC"/>
    <w:rsid w:val="00BD6E73"/>
    <w:rsid w:val="00BD6F63"/>
    <w:rsid w:val="00BD7043"/>
    <w:rsid w:val="00BD7510"/>
    <w:rsid w:val="00BD759A"/>
    <w:rsid w:val="00BD791C"/>
    <w:rsid w:val="00BD7940"/>
    <w:rsid w:val="00BD79B4"/>
    <w:rsid w:val="00BD7A6C"/>
    <w:rsid w:val="00BD7B6C"/>
    <w:rsid w:val="00BD7C83"/>
    <w:rsid w:val="00BD7C8F"/>
    <w:rsid w:val="00BD7DB0"/>
    <w:rsid w:val="00BD7E57"/>
    <w:rsid w:val="00BD7F9F"/>
    <w:rsid w:val="00BE00A3"/>
    <w:rsid w:val="00BE00AA"/>
    <w:rsid w:val="00BE02DC"/>
    <w:rsid w:val="00BE03E1"/>
    <w:rsid w:val="00BE05FC"/>
    <w:rsid w:val="00BE065C"/>
    <w:rsid w:val="00BE07A1"/>
    <w:rsid w:val="00BE08A0"/>
    <w:rsid w:val="00BE0A25"/>
    <w:rsid w:val="00BE0E7F"/>
    <w:rsid w:val="00BE0F32"/>
    <w:rsid w:val="00BE0FA1"/>
    <w:rsid w:val="00BE0FC2"/>
    <w:rsid w:val="00BE1196"/>
    <w:rsid w:val="00BE1426"/>
    <w:rsid w:val="00BE14A0"/>
    <w:rsid w:val="00BE15C2"/>
    <w:rsid w:val="00BE18B7"/>
    <w:rsid w:val="00BE195B"/>
    <w:rsid w:val="00BE1A7E"/>
    <w:rsid w:val="00BE1B33"/>
    <w:rsid w:val="00BE1BF9"/>
    <w:rsid w:val="00BE1CF1"/>
    <w:rsid w:val="00BE1D6E"/>
    <w:rsid w:val="00BE1DD9"/>
    <w:rsid w:val="00BE1EA6"/>
    <w:rsid w:val="00BE20F3"/>
    <w:rsid w:val="00BE228B"/>
    <w:rsid w:val="00BE2301"/>
    <w:rsid w:val="00BE235A"/>
    <w:rsid w:val="00BE237D"/>
    <w:rsid w:val="00BE2487"/>
    <w:rsid w:val="00BE2566"/>
    <w:rsid w:val="00BE26B6"/>
    <w:rsid w:val="00BE2CEB"/>
    <w:rsid w:val="00BE2D11"/>
    <w:rsid w:val="00BE2F63"/>
    <w:rsid w:val="00BE2FD7"/>
    <w:rsid w:val="00BE2FF7"/>
    <w:rsid w:val="00BE301B"/>
    <w:rsid w:val="00BE35FD"/>
    <w:rsid w:val="00BE3797"/>
    <w:rsid w:val="00BE37E2"/>
    <w:rsid w:val="00BE38A6"/>
    <w:rsid w:val="00BE38E7"/>
    <w:rsid w:val="00BE38EA"/>
    <w:rsid w:val="00BE3BE9"/>
    <w:rsid w:val="00BE3E60"/>
    <w:rsid w:val="00BE3E85"/>
    <w:rsid w:val="00BE3EA4"/>
    <w:rsid w:val="00BE3EF6"/>
    <w:rsid w:val="00BE3F7F"/>
    <w:rsid w:val="00BE3FE9"/>
    <w:rsid w:val="00BE4182"/>
    <w:rsid w:val="00BE41B3"/>
    <w:rsid w:val="00BE427E"/>
    <w:rsid w:val="00BE42AF"/>
    <w:rsid w:val="00BE4307"/>
    <w:rsid w:val="00BE44C6"/>
    <w:rsid w:val="00BE451E"/>
    <w:rsid w:val="00BE4759"/>
    <w:rsid w:val="00BE47A4"/>
    <w:rsid w:val="00BE4C29"/>
    <w:rsid w:val="00BE4DDA"/>
    <w:rsid w:val="00BE4DF6"/>
    <w:rsid w:val="00BE4F3B"/>
    <w:rsid w:val="00BE4FEF"/>
    <w:rsid w:val="00BE5097"/>
    <w:rsid w:val="00BE517E"/>
    <w:rsid w:val="00BE51D1"/>
    <w:rsid w:val="00BE51E3"/>
    <w:rsid w:val="00BE528B"/>
    <w:rsid w:val="00BE52EF"/>
    <w:rsid w:val="00BE53D8"/>
    <w:rsid w:val="00BE5555"/>
    <w:rsid w:val="00BE5704"/>
    <w:rsid w:val="00BE57A5"/>
    <w:rsid w:val="00BE5899"/>
    <w:rsid w:val="00BE58DB"/>
    <w:rsid w:val="00BE59AB"/>
    <w:rsid w:val="00BE5CDC"/>
    <w:rsid w:val="00BE5DC1"/>
    <w:rsid w:val="00BE600A"/>
    <w:rsid w:val="00BE6318"/>
    <w:rsid w:val="00BE6357"/>
    <w:rsid w:val="00BE6407"/>
    <w:rsid w:val="00BE6415"/>
    <w:rsid w:val="00BE6958"/>
    <w:rsid w:val="00BE69FB"/>
    <w:rsid w:val="00BE6BA5"/>
    <w:rsid w:val="00BE6CBA"/>
    <w:rsid w:val="00BE6EEE"/>
    <w:rsid w:val="00BE6FCD"/>
    <w:rsid w:val="00BE6FF5"/>
    <w:rsid w:val="00BE722D"/>
    <w:rsid w:val="00BE72F9"/>
    <w:rsid w:val="00BE7389"/>
    <w:rsid w:val="00BE7425"/>
    <w:rsid w:val="00BE7558"/>
    <w:rsid w:val="00BE7620"/>
    <w:rsid w:val="00BE7742"/>
    <w:rsid w:val="00BE7752"/>
    <w:rsid w:val="00BE7A04"/>
    <w:rsid w:val="00BE7C66"/>
    <w:rsid w:val="00BE7F49"/>
    <w:rsid w:val="00BE7FF5"/>
    <w:rsid w:val="00BF01BF"/>
    <w:rsid w:val="00BF02A6"/>
    <w:rsid w:val="00BF03D7"/>
    <w:rsid w:val="00BF046B"/>
    <w:rsid w:val="00BF06B3"/>
    <w:rsid w:val="00BF06CD"/>
    <w:rsid w:val="00BF0922"/>
    <w:rsid w:val="00BF0BDF"/>
    <w:rsid w:val="00BF0ED6"/>
    <w:rsid w:val="00BF0F58"/>
    <w:rsid w:val="00BF116B"/>
    <w:rsid w:val="00BF1171"/>
    <w:rsid w:val="00BF11BE"/>
    <w:rsid w:val="00BF11C9"/>
    <w:rsid w:val="00BF14A6"/>
    <w:rsid w:val="00BF1617"/>
    <w:rsid w:val="00BF16C4"/>
    <w:rsid w:val="00BF1705"/>
    <w:rsid w:val="00BF1786"/>
    <w:rsid w:val="00BF1B13"/>
    <w:rsid w:val="00BF1B64"/>
    <w:rsid w:val="00BF1CA1"/>
    <w:rsid w:val="00BF22F1"/>
    <w:rsid w:val="00BF246A"/>
    <w:rsid w:val="00BF28BB"/>
    <w:rsid w:val="00BF2C19"/>
    <w:rsid w:val="00BF2E79"/>
    <w:rsid w:val="00BF2F2B"/>
    <w:rsid w:val="00BF32BF"/>
    <w:rsid w:val="00BF33D7"/>
    <w:rsid w:val="00BF34B7"/>
    <w:rsid w:val="00BF3554"/>
    <w:rsid w:val="00BF3741"/>
    <w:rsid w:val="00BF379B"/>
    <w:rsid w:val="00BF37CD"/>
    <w:rsid w:val="00BF37E4"/>
    <w:rsid w:val="00BF386D"/>
    <w:rsid w:val="00BF38B6"/>
    <w:rsid w:val="00BF3A21"/>
    <w:rsid w:val="00BF3AAC"/>
    <w:rsid w:val="00BF3AFA"/>
    <w:rsid w:val="00BF3CA5"/>
    <w:rsid w:val="00BF3CDE"/>
    <w:rsid w:val="00BF3DEB"/>
    <w:rsid w:val="00BF3F41"/>
    <w:rsid w:val="00BF3F81"/>
    <w:rsid w:val="00BF3FF9"/>
    <w:rsid w:val="00BF4012"/>
    <w:rsid w:val="00BF40AF"/>
    <w:rsid w:val="00BF40DC"/>
    <w:rsid w:val="00BF41EE"/>
    <w:rsid w:val="00BF41F2"/>
    <w:rsid w:val="00BF422F"/>
    <w:rsid w:val="00BF443F"/>
    <w:rsid w:val="00BF44E8"/>
    <w:rsid w:val="00BF46E5"/>
    <w:rsid w:val="00BF4D6F"/>
    <w:rsid w:val="00BF4E65"/>
    <w:rsid w:val="00BF4EBB"/>
    <w:rsid w:val="00BF5038"/>
    <w:rsid w:val="00BF5054"/>
    <w:rsid w:val="00BF527D"/>
    <w:rsid w:val="00BF53DE"/>
    <w:rsid w:val="00BF54CC"/>
    <w:rsid w:val="00BF572A"/>
    <w:rsid w:val="00BF5734"/>
    <w:rsid w:val="00BF5801"/>
    <w:rsid w:val="00BF5809"/>
    <w:rsid w:val="00BF5A10"/>
    <w:rsid w:val="00BF5A13"/>
    <w:rsid w:val="00BF5BCB"/>
    <w:rsid w:val="00BF5C99"/>
    <w:rsid w:val="00BF5DB7"/>
    <w:rsid w:val="00BF5E66"/>
    <w:rsid w:val="00BF5E7A"/>
    <w:rsid w:val="00BF6137"/>
    <w:rsid w:val="00BF6374"/>
    <w:rsid w:val="00BF64C1"/>
    <w:rsid w:val="00BF6682"/>
    <w:rsid w:val="00BF668E"/>
    <w:rsid w:val="00BF66C8"/>
    <w:rsid w:val="00BF6850"/>
    <w:rsid w:val="00BF6B0E"/>
    <w:rsid w:val="00BF6BC4"/>
    <w:rsid w:val="00BF6F6D"/>
    <w:rsid w:val="00BF6FBE"/>
    <w:rsid w:val="00BF706B"/>
    <w:rsid w:val="00BF7144"/>
    <w:rsid w:val="00BF7343"/>
    <w:rsid w:val="00BF7484"/>
    <w:rsid w:val="00BF749B"/>
    <w:rsid w:val="00BF75E8"/>
    <w:rsid w:val="00BF762B"/>
    <w:rsid w:val="00BF7892"/>
    <w:rsid w:val="00BF7917"/>
    <w:rsid w:val="00BF7979"/>
    <w:rsid w:val="00BF79AE"/>
    <w:rsid w:val="00BF7B0B"/>
    <w:rsid w:val="00BF7E60"/>
    <w:rsid w:val="00BF7E9F"/>
    <w:rsid w:val="00BF7F3D"/>
    <w:rsid w:val="00C00095"/>
    <w:rsid w:val="00C001D3"/>
    <w:rsid w:val="00C002A7"/>
    <w:rsid w:val="00C004B6"/>
    <w:rsid w:val="00C004DF"/>
    <w:rsid w:val="00C0053E"/>
    <w:rsid w:val="00C0055E"/>
    <w:rsid w:val="00C005EF"/>
    <w:rsid w:val="00C0073C"/>
    <w:rsid w:val="00C0084A"/>
    <w:rsid w:val="00C00D75"/>
    <w:rsid w:val="00C00E94"/>
    <w:rsid w:val="00C011FB"/>
    <w:rsid w:val="00C01468"/>
    <w:rsid w:val="00C01661"/>
    <w:rsid w:val="00C0166F"/>
    <w:rsid w:val="00C016AB"/>
    <w:rsid w:val="00C017EB"/>
    <w:rsid w:val="00C017F4"/>
    <w:rsid w:val="00C018B5"/>
    <w:rsid w:val="00C01A51"/>
    <w:rsid w:val="00C01ADA"/>
    <w:rsid w:val="00C01B98"/>
    <w:rsid w:val="00C01C15"/>
    <w:rsid w:val="00C01DE7"/>
    <w:rsid w:val="00C01E6F"/>
    <w:rsid w:val="00C01FF6"/>
    <w:rsid w:val="00C020C9"/>
    <w:rsid w:val="00C0218B"/>
    <w:rsid w:val="00C02337"/>
    <w:rsid w:val="00C0241C"/>
    <w:rsid w:val="00C0276B"/>
    <w:rsid w:val="00C02868"/>
    <w:rsid w:val="00C0293B"/>
    <w:rsid w:val="00C02B9A"/>
    <w:rsid w:val="00C02E68"/>
    <w:rsid w:val="00C02EB7"/>
    <w:rsid w:val="00C02F5C"/>
    <w:rsid w:val="00C02F6C"/>
    <w:rsid w:val="00C02FAA"/>
    <w:rsid w:val="00C03237"/>
    <w:rsid w:val="00C03277"/>
    <w:rsid w:val="00C0327D"/>
    <w:rsid w:val="00C032FA"/>
    <w:rsid w:val="00C03320"/>
    <w:rsid w:val="00C0375D"/>
    <w:rsid w:val="00C037D6"/>
    <w:rsid w:val="00C03955"/>
    <w:rsid w:val="00C03A30"/>
    <w:rsid w:val="00C03A79"/>
    <w:rsid w:val="00C03A89"/>
    <w:rsid w:val="00C03B2F"/>
    <w:rsid w:val="00C03B3B"/>
    <w:rsid w:val="00C03B50"/>
    <w:rsid w:val="00C03C04"/>
    <w:rsid w:val="00C03C31"/>
    <w:rsid w:val="00C03D5A"/>
    <w:rsid w:val="00C03F01"/>
    <w:rsid w:val="00C03F11"/>
    <w:rsid w:val="00C04130"/>
    <w:rsid w:val="00C04228"/>
    <w:rsid w:val="00C04389"/>
    <w:rsid w:val="00C043E1"/>
    <w:rsid w:val="00C0440A"/>
    <w:rsid w:val="00C04416"/>
    <w:rsid w:val="00C044B2"/>
    <w:rsid w:val="00C045B4"/>
    <w:rsid w:val="00C046B5"/>
    <w:rsid w:val="00C04830"/>
    <w:rsid w:val="00C048E5"/>
    <w:rsid w:val="00C0499A"/>
    <w:rsid w:val="00C049B9"/>
    <w:rsid w:val="00C04B6B"/>
    <w:rsid w:val="00C04CC7"/>
    <w:rsid w:val="00C04F0B"/>
    <w:rsid w:val="00C04F1D"/>
    <w:rsid w:val="00C05063"/>
    <w:rsid w:val="00C05102"/>
    <w:rsid w:val="00C05198"/>
    <w:rsid w:val="00C05212"/>
    <w:rsid w:val="00C0539B"/>
    <w:rsid w:val="00C0544A"/>
    <w:rsid w:val="00C0544D"/>
    <w:rsid w:val="00C054D3"/>
    <w:rsid w:val="00C05561"/>
    <w:rsid w:val="00C05654"/>
    <w:rsid w:val="00C056E6"/>
    <w:rsid w:val="00C05853"/>
    <w:rsid w:val="00C0588E"/>
    <w:rsid w:val="00C058FD"/>
    <w:rsid w:val="00C05B34"/>
    <w:rsid w:val="00C05E7F"/>
    <w:rsid w:val="00C05FAB"/>
    <w:rsid w:val="00C06038"/>
    <w:rsid w:val="00C061BE"/>
    <w:rsid w:val="00C062F4"/>
    <w:rsid w:val="00C0649B"/>
    <w:rsid w:val="00C0662A"/>
    <w:rsid w:val="00C0663E"/>
    <w:rsid w:val="00C0668E"/>
    <w:rsid w:val="00C066EC"/>
    <w:rsid w:val="00C06814"/>
    <w:rsid w:val="00C069C0"/>
    <w:rsid w:val="00C06E6F"/>
    <w:rsid w:val="00C06F87"/>
    <w:rsid w:val="00C07A3A"/>
    <w:rsid w:val="00C07ADD"/>
    <w:rsid w:val="00C07CEC"/>
    <w:rsid w:val="00C07D97"/>
    <w:rsid w:val="00C07E39"/>
    <w:rsid w:val="00C07EFC"/>
    <w:rsid w:val="00C07FAB"/>
    <w:rsid w:val="00C10183"/>
    <w:rsid w:val="00C101BC"/>
    <w:rsid w:val="00C101EF"/>
    <w:rsid w:val="00C1029A"/>
    <w:rsid w:val="00C10338"/>
    <w:rsid w:val="00C1053E"/>
    <w:rsid w:val="00C10941"/>
    <w:rsid w:val="00C1098F"/>
    <w:rsid w:val="00C10999"/>
    <w:rsid w:val="00C10BB5"/>
    <w:rsid w:val="00C10C12"/>
    <w:rsid w:val="00C10CAA"/>
    <w:rsid w:val="00C10D80"/>
    <w:rsid w:val="00C10DBB"/>
    <w:rsid w:val="00C10EEF"/>
    <w:rsid w:val="00C10FD9"/>
    <w:rsid w:val="00C112F1"/>
    <w:rsid w:val="00C11466"/>
    <w:rsid w:val="00C114BA"/>
    <w:rsid w:val="00C114E7"/>
    <w:rsid w:val="00C115D4"/>
    <w:rsid w:val="00C116C3"/>
    <w:rsid w:val="00C116F6"/>
    <w:rsid w:val="00C119AF"/>
    <w:rsid w:val="00C119BC"/>
    <w:rsid w:val="00C11A75"/>
    <w:rsid w:val="00C11AAB"/>
    <w:rsid w:val="00C11AC9"/>
    <w:rsid w:val="00C11DB3"/>
    <w:rsid w:val="00C11F55"/>
    <w:rsid w:val="00C12219"/>
    <w:rsid w:val="00C122C1"/>
    <w:rsid w:val="00C1234E"/>
    <w:rsid w:val="00C1238A"/>
    <w:rsid w:val="00C126D0"/>
    <w:rsid w:val="00C126DA"/>
    <w:rsid w:val="00C1280F"/>
    <w:rsid w:val="00C12949"/>
    <w:rsid w:val="00C12F63"/>
    <w:rsid w:val="00C12F96"/>
    <w:rsid w:val="00C13455"/>
    <w:rsid w:val="00C134B2"/>
    <w:rsid w:val="00C1357A"/>
    <w:rsid w:val="00C136E5"/>
    <w:rsid w:val="00C136EF"/>
    <w:rsid w:val="00C13778"/>
    <w:rsid w:val="00C138C0"/>
    <w:rsid w:val="00C138CA"/>
    <w:rsid w:val="00C13A49"/>
    <w:rsid w:val="00C13D09"/>
    <w:rsid w:val="00C13EE5"/>
    <w:rsid w:val="00C13F1E"/>
    <w:rsid w:val="00C13F85"/>
    <w:rsid w:val="00C1439A"/>
    <w:rsid w:val="00C1466E"/>
    <w:rsid w:val="00C146F6"/>
    <w:rsid w:val="00C1499B"/>
    <w:rsid w:val="00C14D0C"/>
    <w:rsid w:val="00C14E44"/>
    <w:rsid w:val="00C14EA9"/>
    <w:rsid w:val="00C14F7F"/>
    <w:rsid w:val="00C1507F"/>
    <w:rsid w:val="00C151B5"/>
    <w:rsid w:val="00C151BE"/>
    <w:rsid w:val="00C152A4"/>
    <w:rsid w:val="00C152FD"/>
    <w:rsid w:val="00C15566"/>
    <w:rsid w:val="00C15594"/>
    <w:rsid w:val="00C159D3"/>
    <w:rsid w:val="00C159ED"/>
    <w:rsid w:val="00C15A0B"/>
    <w:rsid w:val="00C15A22"/>
    <w:rsid w:val="00C15DB1"/>
    <w:rsid w:val="00C160D4"/>
    <w:rsid w:val="00C16297"/>
    <w:rsid w:val="00C162D2"/>
    <w:rsid w:val="00C162FE"/>
    <w:rsid w:val="00C16861"/>
    <w:rsid w:val="00C16884"/>
    <w:rsid w:val="00C168B3"/>
    <w:rsid w:val="00C1696D"/>
    <w:rsid w:val="00C16995"/>
    <w:rsid w:val="00C16EED"/>
    <w:rsid w:val="00C16F58"/>
    <w:rsid w:val="00C170B9"/>
    <w:rsid w:val="00C171A4"/>
    <w:rsid w:val="00C173FD"/>
    <w:rsid w:val="00C17538"/>
    <w:rsid w:val="00C1765E"/>
    <w:rsid w:val="00C178D9"/>
    <w:rsid w:val="00C17908"/>
    <w:rsid w:val="00C17A8B"/>
    <w:rsid w:val="00C17C44"/>
    <w:rsid w:val="00C17E05"/>
    <w:rsid w:val="00C17F24"/>
    <w:rsid w:val="00C2018D"/>
    <w:rsid w:val="00C20194"/>
    <w:rsid w:val="00C202FE"/>
    <w:rsid w:val="00C20516"/>
    <w:rsid w:val="00C206A4"/>
    <w:rsid w:val="00C206F0"/>
    <w:rsid w:val="00C20907"/>
    <w:rsid w:val="00C20F69"/>
    <w:rsid w:val="00C2105C"/>
    <w:rsid w:val="00C210E3"/>
    <w:rsid w:val="00C21134"/>
    <w:rsid w:val="00C211B2"/>
    <w:rsid w:val="00C2124B"/>
    <w:rsid w:val="00C213BF"/>
    <w:rsid w:val="00C2141A"/>
    <w:rsid w:val="00C21561"/>
    <w:rsid w:val="00C21767"/>
    <w:rsid w:val="00C21B8D"/>
    <w:rsid w:val="00C21BD5"/>
    <w:rsid w:val="00C21C4E"/>
    <w:rsid w:val="00C21DB1"/>
    <w:rsid w:val="00C21F95"/>
    <w:rsid w:val="00C2204E"/>
    <w:rsid w:val="00C22079"/>
    <w:rsid w:val="00C2213E"/>
    <w:rsid w:val="00C22231"/>
    <w:rsid w:val="00C2226E"/>
    <w:rsid w:val="00C2281C"/>
    <w:rsid w:val="00C22928"/>
    <w:rsid w:val="00C229E0"/>
    <w:rsid w:val="00C22A2B"/>
    <w:rsid w:val="00C22C79"/>
    <w:rsid w:val="00C22CA5"/>
    <w:rsid w:val="00C22D6B"/>
    <w:rsid w:val="00C22E1C"/>
    <w:rsid w:val="00C22E21"/>
    <w:rsid w:val="00C22E59"/>
    <w:rsid w:val="00C22EF0"/>
    <w:rsid w:val="00C22F81"/>
    <w:rsid w:val="00C22F9B"/>
    <w:rsid w:val="00C23067"/>
    <w:rsid w:val="00C230E0"/>
    <w:rsid w:val="00C230E4"/>
    <w:rsid w:val="00C23176"/>
    <w:rsid w:val="00C23249"/>
    <w:rsid w:val="00C233A0"/>
    <w:rsid w:val="00C2340A"/>
    <w:rsid w:val="00C2345D"/>
    <w:rsid w:val="00C234D2"/>
    <w:rsid w:val="00C2359D"/>
    <w:rsid w:val="00C23762"/>
    <w:rsid w:val="00C23772"/>
    <w:rsid w:val="00C237C6"/>
    <w:rsid w:val="00C23A8B"/>
    <w:rsid w:val="00C23AB2"/>
    <w:rsid w:val="00C23B6C"/>
    <w:rsid w:val="00C23B87"/>
    <w:rsid w:val="00C23FD3"/>
    <w:rsid w:val="00C2405C"/>
    <w:rsid w:val="00C242F4"/>
    <w:rsid w:val="00C2430C"/>
    <w:rsid w:val="00C2450E"/>
    <w:rsid w:val="00C24587"/>
    <w:rsid w:val="00C245D0"/>
    <w:rsid w:val="00C246B7"/>
    <w:rsid w:val="00C25197"/>
    <w:rsid w:val="00C252AB"/>
    <w:rsid w:val="00C256BE"/>
    <w:rsid w:val="00C25768"/>
    <w:rsid w:val="00C25795"/>
    <w:rsid w:val="00C258A3"/>
    <w:rsid w:val="00C25B22"/>
    <w:rsid w:val="00C25B2B"/>
    <w:rsid w:val="00C25B3B"/>
    <w:rsid w:val="00C25C41"/>
    <w:rsid w:val="00C25CD3"/>
    <w:rsid w:val="00C25D68"/>
    <w:rsid w:val="00C25FA8"/>
    <w:rsid w:val="00C26003"/>
    <w:rsid w:val="00C262CE"/>
    <w:rsid w:val="00C26425"/>
    <w:rsid w:val="00C264A1"/>
    <w:rsid w:val="00C2662E"/>
    <w:rsid w:val="00C26675"/>
    <w:rsid w:val="00C266F5"/>
    <w:rsid w:val="00C26713"/>
    <w:rsid w:val="00C267FA"/>
    <w:rsid w:val="00C26AC9"/>
    <w:rsid w:val="00C26AEA"/>
    <w:rsid w:val="00C26BBA"/>
    <w:rsid w:val="00C26E2A"/>
    <w:rsid w:val="00C26E4D"/>
    <w:rsid w:val="00C26F14"/>
    <w:rsid w:val="00C26F84"/>
    <w:rsid w:val="00C27408"/>
    <w:rsid w:val="00C27592"/>
    <w:rsid w:val="00C277F9"/>
    <w:rsid w:val="00C278CF"/>
    <w:rsid w:val="00C27A2F"/>
    <w:rsid w:val="00C27B29"/>
    <w:rsid w:val="00C27D52"/>
    <w:rsid w:val="00C27DBB"/>
    <w:rsid w:val="00C27DF9"/>
    <w:rsid w:val="00C27FC7"/>
    <w:rsid w:val="00C30023"/>
    <w:rsid w:val="00C30041"/>
    <w:rsid w:val="00C300E9"/>
    <w:rsid w:val="00C3067E"/>
    <w:rsid w:val="00C306E5"/>
    <w:rsid w:val="00C30725"/>
    <w:rsid w:val="00C3088F"/>
    <w:rsid w:val="00C30938"/>
    <w:rsid w:val="00C3099A"/>
    <w:rsid w:val="00C309F2"/>
    <w:rsid w:val="00C30A83"/>
    <w:rsid w:val="00C30B4E"/>
    <w:rsid w:val="00C30C63"/>
    <w:rsid w:val="00C30CB8"/>
    <w:rsid w:val="00C30D01"/>
    <w:rsid w:val="00C30D7B"/>
    <w:rsid w:val="00C31038"/>
    <w:rsid w:val="00C311E1"/>
    <w:rsid w:val="00C312A7"/>
    <w:rsid w:val="00C3144E"/>
    <w:rsid w:val="00C314AF"/>
    <w:rsid w:val="00C317F1"/>
    <w:rsid w:val="00C3190C"/>
    <w:rsid w:val="00C31BA3"/>
    <w:rsid w:val="00C31D85"/>
    <w:rsid w:val="00C322DE"/>
    <w:rsid w:val="00C32352"/>
    <w:rsid w:val="00C323F4"/>
    <w:rsid w:val="00C32548"/>
    <w:rsid w:val="00C3279F"/>
    <w:rsid w:val="00C3294B"/>
    <w:rsid w:val="00C32B35"/>
    <w:rsid w:val="00C32BCF"/>
    <w:rsid w:val="00C32BFA"/>
    <w:rsid w:val="00C32D6A"/>
    <w:rsid w:val="00C32DA8"/>
    <w:rsid w:val="00C32EC9"/>
    <w:rsid w:val="00C33060"/>
    <w:rsid w:val="00C330D9"/>
    <w:rsid w:val="00C3317E"/>
    <w:rsid w:val="00C333E0"/>
    <w:rsid w:val="00C3380F"/>
    <w:rsid w:val="00C33890"/>
    <w:rsid w:val="00C339D3"/>
    <w:rsid w:val="00C33A15"/>
    <w:rsid w:val="00C33AC9"/>
    <w:rsid w:val="00C33C5A"/>
    <w:rsid w:val="00C33CDB"/>
    <w:rsid w:val="00C33D56"/>
    <w:rsid w:val="00C33E27"/>
    <w:rsid w:val="00C33E3C"/>
    <w:rsid w:val="00C33E49"/>
    <w:rsid w:val="00C33E70"/>
    <w:rsid w:val="00C34036"/>
    <w:rsid w:val="00C3417C"/>
    <w:rsid w:val="00C342F9"/>
    <w:rsid w:val="00C34302"/>
    <w:rsid w:val="00C343E7"/>
    <w:rsid w:val="00C34408"/>
    <w:rsid w:val="00C34797"/>
    <w:rsid w:val="00C34968"/>
    <w:rsid w:val="00C34CD3"/>
    <w:rsid w:val="00C350D0"/>
    <w:rsid w:val="00C3558A"/>
    <w:rsid w:val="00C355BD"/>
    <w:rsid w:val="00C3560C"/>
    <w:rsid w:val="00C356C0"/>
    <w:rsid w:val="00C356DA"/>
    <w:rsid w:val="00C3579C"/>
    <w:rsid w:val="00C357DC"/>
    <w:rsid w:val="00C3594B"/>
    <w:rsid w:val="00C35AF3"/>
    <w:rsid w:val="00C35B4F"/>
    <w:rsid w:val="00C35B56"/>
    <w:rsid w:val="00C35C6D"/>
    <w:rsid w:val="00C35D79"/>
    <w:rsid w:val="00C35F1E"/>
    <w:rsid w:val="00C35F3B"/>
    <w:rsid w:val="00C35F7E"/>
    <w:rsid w:val="00C361BE"/>
    <w:rsid w:val="00C36CC8"/>
    <w:rsid w:val="00C36CF3"/>
    <w:rsid w:val="00C36CFF"/>
    <w:rsid w:val="00C36D41"/>
    <w:rsid w:val="00C36EB9"/>
    <w:rsid w:val="00C36ED9"/>
    <w:rsid w:val="00C36F7B"/>
    <w:rsid w:val="00C3708A"/>
    <w:rsid w:val="00C370C6"/>
    <w:rsid w:val="00C37139"/>
    <w:rsid w:val="00C37162"/>
    <w:rsid w:val="00C37217"/>
    <w:rsid w:val="00C37325"/>
    <w:rsid w:val="00C37373"/>
    <w:rsid w:val="00C37470"/>
    <w:rsid w:val="00C375D9"/>
    <w:rsid w:val="00C37742"/>
    <w:rsid w:val="00C37946"/>
    <w:rsid w:val="00C37956"/>
    <w:rsid w:val="00C37AE2"/>
    <w:rsid w:val="00C37BB9"/>
    <w:rsid w:val="00C37E48"/>
    <w:rsid w:val="00C37E5B"/>
    <w:rsid w:val="00C37E9D"/>
    <w:rsid w:val="00C37EC4"/>
    <w:rsid w:val="00C37FFE"/>
    <w:rsid w:val="00C4015B"/>
    <w:rsid w:val="00C4017A"/>
    <w:rsid w:val="00C402EB"/>
    <w:rsid w:val="00C4078A"/>
    <w:rsid w:val="00C40879"/>
    <w:rsid w:val="00C408B2"/>
    <w:rsid w:val="00C40C75"/>
    <w:rsid w:val="00C40C7F"/>
    <w:rsid w:val="00C40C83"/>
    <w:rsid w:val="00C40D34"/>
    <w:rsid w:val="00C40EF9"/>
    <w:rsid w:val="00C40F4F"/>
    <w:rsid w:val="00C410C6"/>
    <w:rsid w:val="00C411EB"/>
    <w:rsid w:val="00C41238"/>
    <w:rsid w:val="00C412D0"/>
    <w:rsid w:val="00C41403"/>
    <w:rsid w:val="00C417C3"/>
    <w:rsid w:val="00C4184A"/>
    <w:rsid w:val="00C41B53"/>
    <w:rsid w:val="00C41DCD"/>
    <w:rsid w:val="00C41E7C"/>
    <w:rsid w:val="00C42020"/>
    <w:rsid w:val="00C42063"/>
    <w:rsid w:val="00C4227D"/>
    <w:rsid w:val="00C4254A"/>
    <w:rsid w:val="00C42662"/>
    <w:rsid w:val="00C42715"/>
    <w:rsid w:val="00C42778"/>
    <w:rsid w:val="00C42823"/>
    <w:rsid w:val="00C42989"/>
    <w:rsid w:val="00C429F8"/>
    <w:rsid w:val="00C42AA4"/>
    <w:rsid w:val="00C42B2F"/>
    <w:rsid w:val="00C42B53"/>
    <w:rsid w:val="00C42C9E"/>
    <w:rsid w:val="00C42CA1"/>
    <w:rsid w:val="00C42D10"/>
    <w:rsid w:val="00C43013"/>
    <w:rsid w:val="00C4319D"/>
    <w:rsid w:val="00C432A6"/>
    <w:rsid w:val="00C4331A"/>
    <w:rsid w:val="00C4338E"/>
    <w:rsid w:val="00C435FE"/>
    <w:rsid w:val="00C43678"/>
    <w:rsid w:val="00C43687"/>
    <w:rsid w:val="00C436FC"/>
    <w:rsid w:val="00C43947"/>
    <w:rsid w:val="00C43A98"/>
    <w:rsid w:val="00C43D15"/>
    <w:rsid w:val="00C43D7D"/>
    <w:rsid w:val="00C43FD5"/>
    <w:rsid w:val="00C44016"/>
    <w:rsid w:val="00C44136"/>
    <w:rsid w:val="00C441E7"/>
    <w:rsid w:val="00C44277"/>
    <w:rsid w:val="00C44496"/>
    <w:rsid w:val="00C445FB"/>
    <w:rsid w:val="00C44641"/>
    <w:rsid w:val="00C447FC"/>
    <w:rsid w:val="00C44A92"/>
    <w:rsid w:val="00C44BE8"/>
    <w:rsid w:val="00C44CB7"/>
    <w:rsid w:val="00C44D19"/>
    <w:rsid w:val="00C44FBE"/>
    <w:rsid w:val="00C44FCE"/>
    <w:rsid w:val="00C450FC"/>
    <w:rsid w:val="00C45195"/>
    <w:rsid w:val="00C4525A"/>
    <w:rsid w:val="00C4528E"/>
    <w:rsid w:val="00C453B7"/>
    <w:rsid w:val="00C454CB"/>
    <w:rsid w:val="00C454D0"/>
    <w:rsid w:val="00C456A2"/>
    <w:rsid w:val="00C45B5F"/>
    <w:rsid w:val="00C45EFE"/>
    <w:rsid w:val="00C45FE7"/>
    <w:rsid w:val="00C46004"/>
    <w:rsid w:val="00C460B5"/>
    <w:rsid w:val="00C460B7"/>
    <w:rsid w:val="00C46214"/>
    <w:rsid w:val="00C463F5"/>
    <w:rsid w:val="00C4650F"/>
    <w:rsid w:val="00C46568"/>
    <w:rsid w:val="00C46A81"/>
    <w:rsid w:val="00C46BE1"/>
    <w:rsid w:val="00C46C82"/>
    <w:rsid w:val="00C46D6A"/>
    <w:rsid w:val="00C46E18"/>
    <w:rsid w:val="00C46ED1"/>
    <w:rsid w:val="00C46ED2"/>
    <w:rsid w:val="00C46ED4"/>
    <w:rsid w:val="00C47008"/>
    <w:rsid w:val="00C470EF"/>
    <w:rsid w:val="00C47178"/>
    <w:rsid w:val="00C472DE"/>
    <w:rsid w:val="00C473B7"/>
    <w:rsid w:val="00C474F1"/>
    <w:rsid w:val="00C47901"/>
    <w:rsid w:val="00C47971"/>
    <w:rsid w:val="00C47C28"/>
    <w:rsid w:val="00C47C77"/>
    <w:rsid w:val="00C47D0E"/>
    <w:rsid w:val="00C47D98"/>
    <w:rsid w:val="00C47F3E"/>
    <w:rsid w:val="00C47F48"/>
    <w:rsid w:val="00C501C9"/>
    <w:rsid w:val="00C502F1"/>
    <w:rsid w:val="00C503B4"/>
    <w:rsid w:val="00C504FD"/>
    <w:rsid w:val="00C506CD"/>
    <w:rsid w:val="00C50C72"/>
    <w:rsid w:val="00C50DC9"/>
    <w:rsid w:val="00C5105F"/>
    <w:rsid w:val="00C51076"/>
    <w:rsid w:val="00C510E0"/>
    <w:rsid w:val="00C5111B"/>
    <w:rsid w:val="00C5138C"/>
    <w:rsid w:val="00C51505"/>
    <w:rsid w:val="00C51615"/>
    <w:rsid w:val="00C51784"/>
    <w:rsid w:val="00C517C6"/>
    <w:rsid w:val="00C517DF"/>
    <w:rsid w:val="00C51A3B"/>
    <w:rsid w:val="00C51A9D"/>
    <w:rsid w:val="00C51B3F"/>
    <w:rsid w:val="00C51B4B"/>
    <w:rsid w:val="00C51CBC"/>
    <w:rsid w:val="00C51CBD"/>
    <w:rsid w:val="00C51EFD"/>
    <w:rsid w:val="00C51FF9"/>
    <w:rsid w:val="00C520C4"/>
    <w:rsid w:val="00C520D3"/>
    <w:rsid w:val="00C52146"/>
    <w:rsid w:val="00C521D5"/>
    <w:rsid w:val="00C52747"/>
    <w:rsid w:val="00C527B6"/>
    <w:rsid w:val="00C52AE5"/>
    <w:rsid w:val="00C52B30"/>
    <w:rsid w:val="00C52B70"/>
    <w:rsid w:val="00C52B9C"/>
    <w:rsid w:val="00C52DB5"/>
    <w:rsid w:val="00C52EFD"/>
    <w:rsid w:val="00C53020"/>
    <w:rsid w:val="00C530C4"/>
    <w:rsid w:val="00C530F5"/>
    <w:rsid w:val="00C53131"/>
    <w:rsid w:val="00C53501"/>
    <w:rsid w:val="00C537C2"/>
    <w:rsid w:val="00C53850"/>
    <w:rsid w:val="00C538EC"/>
    <w:rsid w:val="00C53D04"/>
    <w:rsid w:val="00C53D1C"/>
    <w:rsid w:val="00C53E59"/>
    <w:rsid w:val="00C54070"/>
    <w:rsid w:val="00C545D3"/>
    <w:rsid w:val="00C5477A"/>
    <w:rsid w:val="00C54C50"/>
    <w:rsid w:val="00C54ECD"/>
    <w:rsid w:val="00C54EEC"/>
    <w:rsid w:val="00C55545"/>
    <w:rsid w:val="00C5578C"/>
    <w:rsid w:val="00C557F4"/>
    <w:rsid w:val="00C558FC"/>
    <w:rsid w:val="00C55984"/>
    <w:rsid w:val="00C55EC7"/>
    <w:rsid w:val="00C561C8"/>
    <w:rsid w:val="00C5653C"/>
    <w:rsid w:val="00C5678B"/>
    <w:rsid w:val="00C5685B"/>
    <w:rsid w:val="00C568FA"/>
    <w:rsid w:val="00C56A12"/>
    <w:rsid w:val="00C56C64"/>
    <w:rsid w:val="00C56C6C"/>
    <w:rsid w:val="00C56D10"/>
    <w:rsid w:val="00C56DA6"/>
    <w:rsid w:val="00C56EAF"/>
    <w:rsid w:val="00C571FC"/>
    <w:rsid w:val="00C572EF"/>
    <w:rsid w:val="00C57537"/>
    <w:rsid w:val="00C576DC"/>
    <w:rsid w:val="00C57BCD"/>
    <w:rsid w:val="00C57C90"/>
    <w:rsid w:val="00C6008E"/>
    <w:rsid w:val="00C60146"/>
    <w:rsid w:val="00C6048A"/>
    <w:rsid w:val="00C60613"/>
    <w:rsid w:val="00C606C4"/>
    <w:rsid w:val="00C6070B"/>
    <w:rsid w:val="00C60857"/>
    <w:rsid w:val="00C6092E"/>
    <w:rsid w:val="00C60B0D"/>
    <w:rsid w:val="00C60D43"/>
    <w:rsid w:val="00C60DB9"/>
    <w:rsid w:val="00C61192"/>
    <w:rsid w:val="00C611BE"/>
    <w:rsid w:val="00C61235"/>
    <w:rsid w:val="00C614C8"/>
    <w:rsid w:val="00C615E8"/>
    <w:rsid w:val="00C6161C"/>
    <w:rsid w:val="00C61978"/>
    <w:rsid w:val="00C61BB0"/>
    <w:rsid w:val="00C61E17"/>
    <w:rsid w:val="00C6201F"/>
    <w:rsid w:val="00C62237"/>
    <w:rsid w:val="00C62370"/>
    <w:rsid w:val="00C623AE"/>
    <w:rsid w:val="00C62578"/>
    <w:rsid w:val="00C625CF"/>
    <w:rsid w:val="00C62734"/>
    <w:rsid w:val="00C62822"/>
    <w:rsid w:val="00C62BA6"/>
    <w:rsid w:val="00C62F21"/>
    <w:rsid w:val="00C62F71"/>
    <w:rsid w:val="00C62FC7"/>
    <w:rsid w:val="00C6322D"/>
    <w:rsid w:val="00C6326F"/>
    <w:rsid w:val="00C63525"/>
    <w:rsid w:val="00C636B7"/>
    <w:rsid w:val="00C63852"/>
    <w:rsid w:val="00C63888"/>
    <w:rsid w:val="00C638AF"/>
    <w:rsid w:val="00C63900"/>
    <w:rsid w:val="00C63995"/>
    <w:rsid w:val="00C63D35"/>
    <w:rsid w:val="00C64083"/>
    <w:rsid w:val="00C642B0"/>
    <w:rsid w:val="00C643DC"/>
    <w:rsid w:val="00C64586"/>
    <w:rsid w:val="00C64689"/>
    <w:rsid w:val="00C646FA"/>
    <w:rsid w:val="00C647CF"/>
    <w:rsid w:val="00C64826"/>
    <w:rsid w:val="00C648A4"/>
    <w:rsid w:val="00C6494D"/>
    <w:rsid w:val="00C6496B"/>
    <w:rsid w:val="00C64AFE"/>
    <w:rsid w:val="00C64B47"/>
    <w:rsid w:val="00C64BCA"/>
    <w:rsid w:val="00C64C4E"/>
    <w:rsid w:val="00C64CB2"/>
    <w:rsid w:val="00C64E46"/>
    <w:rsid w:val="00C64E7E"/>
    <w:rsid w:val="00C64FB3"/>
    <w:rsid w:val="00C651F0"/>
    <w:rsid w:val="00C6559E"/>
    <w:rsid w:val="00C656D6"/>
    <w:rsid w:val="00C656F0"/>
    <w:rsid w:val="00C65834"/>
    <w:rsid w:val="00C65935"/>
    <w:rsid w:val="00C65B6A"/>
    <w:rsid w:val="00C65BEE"/>
    <w:rsid w:val="00C65D46"/>
    <w:rsid w:val="00C65FA1"/>
    <w:rsid w:val="00C6611C"/>
    <w:rsid w:val="00C662C9"/>
    <w:rsid w:val="00C662F7"/>
    <w:rsid w:val="00C66325"/>
    <w:rsid w:val="00C6646A"/>
    <w:rsid w:val="00C664B6"/>
    <w:rsid w:val="00C6668B"/>
    <w:rsid w:val="00C66910"/>
    <w:rsid w:val="00C66B88"/>
    <w:rsid w:val="00C66C79"/>
    <w:rsid w:val="00C66D0B"/>
    <w:rsid w:val="00C66D59"/>
    <w:rsid w:val="00C66F04"/>
    <w:rsid w:val="00C66F39"/>
    <w:rsid w:val="00C67016"/>
    <w:rsid w:val="00C670AA"/>
    <w:rsid w:val="00C670B0"/>
    <w:rsid w:val="00C674F4"/>
    <w:rsid w:val="00C675D9"/>
    <w:rsid w:val="00C6763A"/>
    <w:rsid w:val="00C677FD"/>
    <w:rsid w:val="00C67A6C"/>
    <w:rsid w:val="00C67F0D"/>
    <w:rsid w:val="00C7018C"/>
    <w:rsid w:val="00C70259"/>
    <w:rsid w:val="00C7025A"/>
    <w:rsid w:val="00C7039F"/>
    <w:rsid w:val="00C706FB"/>
    <w:rsid w:val="00C708DB"/>
    <w:rsid w:val="00C708F8"/>
    <w:rsid w:val="00C709DC"/>
    <w:rsid w:val="00C70C4B"/>
    <w:rsid w:val="00C70EE6"/>
    <w:rsid w:val="00C70F65"/>
    <w:rsid w:val="00C71007"/>
    <w:rsid w:val="00C712F2"/>
    <w:rsid w:val="00C7145B"/>
    <w:rsid w:val="00C71465"/>
    <w:rsid w:val="00C71544"/>
    <w:rsid w:val="00C715E2"/>
    <w:rsid w:val="00C71758"/>
    <w:rsid w:val="00C71877"/>
    <w:rsid w:val="00C71B53"/>
    <w:rsid w:val="00C71C3B"/>
    <w:rsid w:val="00C71CF3"/>
    <w:rsid w:val="00C71D0A"/>
    <w:rsid w:val="00C71DCD"/>
    <w:rsid w:val="00C71DF1"/>
    <w:rsid w:val="00C71E48"/>
    <w:rsid w:val="00C71ECB"/>
    <w:rsid w:val="00C71F96"/>
    <w:rsid w:val="00C72079"/>
    <w:rsid w:val="00C72118"/>
    <w:rsid w:val="00C7222A"/>
    <w:rsid w:val="00C72320"/>
    <w:rsid w:val="00C72411"/>
    <w:rsid w:val="00C726E9"/>
    <w:rsid w:val="00C72C27"/>
    <w:rsid w:val="00C72D7F"/>
    <w:rsid w:val="00C72F72"/>
    <w:rsid w:val="00C73053"/>
    <w:rsid w:val="00C730A8"/>
    <w:rsid w:val="00C730F8"/>
    <w:rsid w:val="00C7339E"/>
    <w:rsid w:val="00C733EF"/>
    <w:rsid w:val="00C73463"/>
    <w:rsid w:val="00C7350A"/>
    <w:rsid w:val="00C73730"/>
    <w:rsid w:val="00C73739"/>
    <w:rsid w:val="00C73752"/>
    <w:rsid w:val="00C73A8A"/>
    <w:rsid w:val="00C73B1E"/>
    <w:rsid w:val="00C73B33"/>
    <w:rsid w:val="00C73B4F"/>
    <w:rsid w:val="00C73BF3"/>
    <w:rsid w:val="00C73C3D"/>
    <w:rsid w:val="00C73C43"/>
    <w:rsid w:val="00C73CA8"/>
    <w:rsid w:val="00C73D36"/>
    <w:rsid w:val="00C73D7C"/>
    <w:rsid w:val="00C73EFA"/>
    <w:rsid w:val="00C74043"/>
    <w:rsid w:val="00C74076"/>
    <w:rsid w:val="00C7410F"/>
    <w:rsid w:val="00C7428E"/>
    <w:rsid w:val="00C7439D"/>
    <w:rsid w:val="00C7445F"/>
    <w:rsid w:val="00C74A8B"/>
    <w:rsid w:val="00C74A91"/>
    <w:rsid w:val="00C74CA9"/>
    <w:rsid w:val="00C74D2A"/>
    <w:rsid w:val="00C74D8C"/>
    <w:rsid w:val="00C74EF4"/>
    <w:rsid w:val="00C74F55"/>
    <w:rsid w:val="00C74FAC"/>
    <w:rsid w:val="00C74FD5"/>
    <w:rsid w:val="00C74FEB"/>
    <w:rsid w:val="00C75041"/>
    <w:rsid w:val="00C751F5"/>
    <w:rsid w:val="00C753FB"/>
    <w:rsid w:val="00C757D6"/>
    <w:rsid w:val="00C757EA"/>
    <w:rsid w:val="00C75960"/>
    <w:rsid w:val="00C75AA0"/>
    <w:rsid w:val="00C75D5E"/>
    <w:rsid w:val="00C75ECE"/>
    <w:rsid w:val="00C75F79"/>
    <w:rsid w:val="00C76005"/>
    <w:rsid w:val="00C76075"/>
    <w:rsid w:val="00C76104"/>
    <w:rsid w:val="00C76375"/>
    <w:rsid w:val="00C765EA"/>
    <w:rsid w:val="00C7683E"/>
    <w:rsid w:val="00C7688F"/>
    <w:rsid w:val="00C76AFC"/>
    <w:rsid w:val="00C76C09"/>
    <w:rsid w:val="00C76CC0"/>
    <w:rsid w:val="00C76E40"/>
    <w:rsid w:val="00C76F3D"/>
    <w:rsid w:val="00C76FC0"/>
    <w:rsid w:val="00C77015"/>
    <w:rsid w:val="00C77283"/>
    <w:rsid w:val="00C77596"/>
    <w:rsid w:val="00C77760"/>
    <w:rsid w:val="00C777F7"/>
    <w:rsid w:val="00C77A59"/>
    <w:rsid w:val="00C77B86"/>
    <w:rsid w:val="00C77D24"/>
    <w:rsid w:val="00C77DAC"/>
    <w:rsid w:val="00C77E6E"/>
    <w:rsid w:val="00C80199"/>
    <w:rsid w:val="00C802BB"/>
    <w:rsid w:val="00C80416"/>
    <w:rsid w:val="00C804AE"/>
    <w:rsid w:val="00C804D1"/>
    <w:rsid w:val="00C80547"/>
    <w:rsid w:val="00C805D6"/>
    <w:rsid w:val="00C806C2"/>
    <w:rsid w:val="00C807DA"/>
    <w:rsid w:val="00C80A57"/>
    <w:rsid w:val="00C80A9A"/>
    <w:rsid w:val="00C80AAE"/>
    <w:rsid w:val="00C80B9F"/>
    <w:rsid w:val="00C80BDD"/>
    <w:rsid w:val="00C80CA0"/>
    <w:rsid w:val="00C80D13"/>
    <w:rsid w:val="00C80E72"/>
    <w:rsid w:val="00C81098"/>
    <w:rsid w:val="00C8124E"/>
    <w:rsid w:val="00C81469"/>
    <w:rsid w:val="00C81507"/>
    <w:rsid w:val="00C81637"/>
    <w:rsid w:val="00C8170D"/>
    <w:rsid w:val="00C818CE"/>
    <w:rsid w:val="00C818D1"/>
    <w:rsid w:val="00C8193C"/>
    <w:rsid w:val="00C819BE"/>
    <w:rsid w:val="00C81A30"/>
    <w:rsid w:val="00C81ADA"/>
    <w:rsid w:val="00C81B73"/>
    <w:rsid w:val="00C81DDC"/>
    <w:rsid w:val="00C81F3E"/>
    <w:rsid w:val="00C821AF"/>
    <w:rsid w:val="00C823AB"/>
    <w:rsid w:val="00C8247D"/>
    <w:rsid w:val="00C8288B"/>
    <w:rsid w:val="00C82A68"/>
    <w:rsid w:val="00C82C86"/>
    <w:rsid w:val="00C82E2D"/>
    <w:rsid w:val="00C82F8D"/>
    <w:rsid w:val="00C83150"/>
    <w:rsid w:val="00C8323A"/>
    <w:rsid w:val="00C83326"/>
    <w:rsid w:val="00C8350C"/>
    <w:rsid w:val="00C83555"/>
    <w:rsid w:val="00C8360E"/>
    <w:rsid w:val="00C8367C"/>
    <w:rsid w:val="00C83716"/>
    <w:rsid w:val="00C83728"/>
    <w:rsid w:val="00C837A9"/>
    <w:rsid w:val="00C837C6"/>
    <w:rsid w:val="00C838DE"/>
    <w:rsid w:val="00C83A0F"/>
    <w:rsid w:val="00C83A5A"/>
    <w:rsid w:val="00C83BEA"/>
    <w:rsid w:val="00C83C90"/>
    <w:rsid w:val="00C83E7F"/>
    <w:rsid w:val="00C84557"/>
    <w:rsid w:val="00C845D1"/>
    <w:rsid w:val="00C84839"/>
    <w:rsid w:val="00C84921"/>
    <w:rsid w:val="00C84978"/>
    <w:rsid w:val="00C84A13"/>
    <w:rsid w:val="00C84BE3"/>
    <w:rsid w:val="00C84C55"/>
    <w:rsid w:val="00C84C6F"/>
    <w:rsid w:val="00C84D14"/>
    <w:rsid w:val="00C84D32"/>
    <w:rsid w:val="00C84FA6"/>
    <w:rsid w:val="00C85024"/>
    <w:rsid w:val="00C850FF"/>
    <w:rsid w:val="00C8513B"/>
    <w:rsid w:val="00C8521B"/>
    <w:rsid w:val="00C8521D"/>
    <w:rsid w:val="00C853BB"/>
    <w:rsid w:val="00C853E0"/>
    <w:rsid w:val="00C85472"/>
    <w:rsid w:val="00C85713"/>
    <w:rsid w:val="00C858A4"/>
    <w:rsid w:val="00C85962"/>
    <w:rsid w:val="00C85975"/>
    <w:rsid w:val="00C85996"/>
    <w:rsid w:val="00C859D6"/>
    <w:rsid w:val="00C85B78"/>
    <w:rsid w:val="00C85C55"/>
    <w:rsid w:val="00C85FDE"/>
    <w:rsid w:val="00C86300"/>
    <w:rsid w:val="00C86387"/>
    <w:rsid w:val="00C86440"/>
    <w:rsid w:val="00C8663C"/>
    <w:rsid w:val="00C86646"/>
    <w:rsid w:val="00C8690A"/>
    <w:rsid w:val="00C86992"/>
    <w:rsid w:val="00C86A3A"/>
    <w:rsid w:val="00C86B09"/>
    <w:rsid w:val="00C86C5A"/>
    <w:rsid w:val="00C86C75"/>
    <w:rsid w:val="00C86D42"/>
    <w:rsid w:val="00C86D56"/>
    <w:rsid w:val="00C86F66"/>
    <w:rsid w:val="00C8714D"/>
    <w:rsid w:val="00C8726B"/>
    <w:rsid w:val="00C872BB"/>
    <w:rsid w:val="00C872E1"/>
    <w:rsid w:val="00C87389"/>
    <w:rsid w:val="00C874A6"/>
    <w:rsid w:val="00C87566"/>
    <w:rsid w:val="00C87716"/>
    <w:rsid w:val="00C8796C"/>
    <w:rsid w:val="00C87AAD"/>
    <w:rsid w:val="00C87B0A"/>
    <w:rsid w:val="00C87C32"/>
    <w:rsid w:val="00C87D84"/>
    <w:rsid w:val="00C90266"/>
    <w:rsid w:val="00C90403"/>
    <w:rsid w:val="00C90435"/>
    <w:rsid w:val="00C9068D"/>
    <w:rsid w:val="00C9069B"/>
    <w:rsid w:val="00C909DB"/>
    <w:rsid w:val="00C90A01"/>
    <w:rsid w:val="00C90E3A"/>
    <w:rsid w:val="00C91027"/>
    <w:rsid w:val="00C9108D"/>
    <w:rsid w:val="00C91227"/>
    <w:rsid w:val="00C91365"/>
    <w:rsid w:val="00C91522"/>
    <w:rsid w:val="00C9158E"/>
    <w:rsid w:val="00C916AA"/>
    <w:rsid w:val="00C9191B"/>
    <w:rsid w:val="00C91CA5"/>
    <w:rsid w:val="00C91F85"/>
    <w:rsid w:val="00C920E3"/>
    <w:rsid w:val="00C921A0"/>
    <w:rsid w:val="00C92405"/>
    <w:rsid w:val="00C92593"/>
    <w:rsid w:val="00C9267B"/>
    <w:rsid w:val="00C927F4"/>
    <w:rsid w:val="00C929C8"/>
    <w:rsid w:val="00C92B1D"/>
    <w:rsid w:val="00C92B24"/>
    <w:rsid w:val="00C92C88"/>
    <w:rsid w:val="00C92F4B"/>
    <w:rsid w:val="00C93147"/>
    <w:rsid w:val="00C931E2"/>
    <w:rsid w:val="00C933AF"/>
    <w:rsid w:val="00C935D7"/>
    <w:rsid w:val="00C93726"/>
    <w:rsid w:val="00C937C8"/>
    <w:rsid w:val="00C9389B"/>
    <w:rsid w:val="00C938D3"/>
    <w:rsid w:val="00C9397B"/>
    <w:rsid w:val="00C93A1D"/>
    <w:rsid w:val="00C940C4"/>
    <w:rsid w:val="00C940EA"/>
    <w:rsid w:val="00C94498"/>
    <w:rsid w:val="00C944E3"/>
    <w:rsid w:val="00C9459D"/>
    <w:rsid w:val="00C946D3"/>
    <w:rsid w:val="00C946DA"/>
    <w:rsid w:val="00C94A9B"/>
    <w:rsid w:val="00C94B70"/>
    <w:rsid w:val="00C94BC4"/>
    <w:rsid w:val="00C94C6A"/>
    <w:rsid w:val="00C94D7E"/>
    <w:rsid w:val="00C9511B"/>
    <w:rsid w:val="00C9518E"/>
    <w:rsid w:val="00C951D9"/>
    <w:rsid w:val="00C95270"/>
    <w:rsid w:val="00C9554F"/>
    <w:rsid w:val="00C955B0"/>
    <w:rsid w:val="00C956FF"/>
    <w:rsid w:val="00C9578B"/>
    <w:rsid w:val="00C957FA"/>
    <w:rsid w:val="00C9581B"/>
    <w:rsid w:val="00C95BA0"/>
    <w:rsid w:val="00C95D18"/>
    <w:rsid w:val="00C95E88"/>
    <w:rsid w:val="00C95FC0"/>
    <w:rsid w:val="00C96013"/>
    <w:rsid w:val="00C9618F"/>
    <w:rsid w:val="00C96209"/>
    <w:rsid w:val="00C962A9"/>
    <w:rsid w:val="00C964CF"/>
    <w:rsid w:val="00C96587"/>
    <w:rsid w:val="00C967A6"/>
    <w:rsid w:val="00C96876"/>
    <w:rsid w:val="00C9691C"/>
    <w:rsid w:val="00C96A36"/>
    <w:rsid w:val="00C96A67"/>
    <w:rsid w:val="00C96C0F"/>
    <w:rsid w:val="00C96C2D"/>
    <w:rsid w:val="00C96C96"/>
    <w:rsid w:val="00C96D5E"/>
    <w:rsid w:val="00C96E9A"/>
    <w:rsid w:val="00C96F2D"/>
    <w:rsid w:val="00C971FF"/>
    <w:rsid w:val="00C97326"/>
    <w:rsid w:val="00C973D6"/>
    <w:rsid w:val="00C973FE"/>
    <w:rsid w:val="00C97581"/>
    <w:rsid w:val="00C975F1"/>
    <w:rsid w:val="00C976DB"/>
    <w:rsid w:val="00C977CA"/>
    <w:rsid w:val="00C9786C"/>
    <w:rsid w:val="00C97937"/>
    <w:rsid w:val="00C97950"/>
    <w:rsid w:val="00C97AA2"/>
    <w:rsid w:val="00C97C7E"/>
    <w:rsid w:val="00C97E55"/>
    <w:rsid w:val="00C97FB1"/>
    <w:rsid w:val="00CA032C"/>
    <w:rsid w:val="00CA044B"/>
    <w:rsid w:val="00CA04BD"/>
    <w:rsid w:val="00CA07AC"/>
    <w:rsid w:val="00CA096F"/>
    <w:rsid w:val="00CA0DBA"/>
    <w:rsid w:val="00CA17EA"/>
    <w:rsid w:val="00CA18CC"/>
    <w:rsid w:val="00CA1A47"/>
    <w:rsid w:val="00CA1B3D"/>
    <w:rsid w:val="00CA1C93"/>
    <w:rsid w:val="00CA1CA9"/>
    <w:rsid w:val="00CA1D2B"/>
    <w:rsid w:val="00CA1D8F"/>
    <w:rsid w:val="00CA1FAF"/>
    <w:rsid w:val="00CA2193"/>
    <w:rsid w:val="00CA2282"/>
    <w:rsid w:val="00CA22C7"/>
    <w:rsid w:val="00CA2470"/>
    <w:rsid w:val="00CA285C"/>
    <w:rsid w:val="00CA288B"/>
    <w:rsid w:val="00CA29F7"/>
    <w:rsid w:val="00CA2B1D"/>
    <w:rsid w:val="00CA2C47"/>
    <w:rsid w:val="00CA2D51"/>
    <w:rsid w:val="00CA2E4B"/>
    <w:rsid w:val="00CA2F66"/>
    <w:rsid w:val="00CA341A"/>
    <w:rsid w:val="00CA341F"/>
    <w:rsid w:val="00CA342C"/>
    <w:rsid w:val="00CA3664"/>
    <w:rsid w:val="00CA37D9"/>
    <w:rsid w:val="00CA388B"/>
    <w:rsid w:val="00CA38EC"/>
    <w:rsid w:val="00CA392A"/>
    <w:rsid w:val="00CA397C"/>
    <w:rsid w:val="00CA3FBE"/>
    <w:rsid w:val="00CA4001"/>
    <w:rsid w:val="00CA407B"/>
    <w:rsid w:val="00CA4140"/>
    <w:rsid w:val="00CA424A"/>
    <w:rsid w:val="00CA4406"/>
    <w:rsid w:val="00CA45BF"/>
    <w:rsid w:val="00CA4621"/>
    <w:rsid w:val="00CA4789"/>
    <w:rsid w:val="00CA4BFB"/>
    <w:rsid w:val="00CA4C00"/>
    <w:rsid w:val="00CA4CA3"/>
    <w:rsid w:val="00CA4E75"/>
    <w:rsid w:val="00CA4F6E"/>
    <w:rsid w:val="00CA4F7E"/>
    <w:rsid w:val="00CA4FB9"/>
    <w:rsid w:val="00CA508C"/>
    <w:rsid w:val="00CA51AC"/>
    <w:rsid w:val="00CA5315"/>
    <w:rsid w:val="00CA5381"/>
    <w:rsid w:val="00CA54DA"/>
    <w:rsid w:val="00CA56F9"/>
    <w:rsid w:val="00CA57F5"/>
    <w:rsid w:val="00CA5A7F"/>
    <w:rsid w:val="00CA5BD2"/>
    <w:rsid w:val="00CA5DBD"/>
    <w:rsid w:val="00CA5ECA"/>
    <w:rsid w:val="00CA6024"/>
    <w:rsid w:val="00CA63F1"/>
    <w:rsid w:val="00CA6415"/>
    <w:rsid w:val="00CA65B0"/>
    <w:rsid w:val="00CA65D2"/>
    <w:rsid w:val="00CA67EF"/>
    <w:rsid w:val="00CA689D"/>
    <w:rsid w:val="00CA68E0"/>
    <w:rsid w:val="00CA69D5"/>
    <w:rsid w:val="00CA6A13"/>
    <w:rsid w:val="00CA6A4C"/>
    <w:rsid w:val="00CA6C9C"/>
    <w:rsid w:val="00CA6CD6"/>
    <w:rsid w:val="00CA6D56"/>
    <w:rsid w:val="00CA6DC2"/>
    <w:rsid w:val="00CA6E81"/>
    <w:rsid w:val="00CA6EDF"/>
    <w:rsid w:val="00CA6F9A"/>
    <w:rsid w:val="00CA6FA3"/>
    <w:rsid w:val="00CA7002"/>
    <w:rsid w:val="00CA70C3"/>
    <w:rsid w:val="00CA7109"/>
    <w:rsid w:val="00CA71C6"/>
    <w:rsid w:val="00CA72BE"/>
    <w:rsid w:val="00CA7366"/>
    <w:rsid w:val="00CA766B"/>
    <w:rsid w:val="00CA76A4"/>
    <w:rsid w:val="00CA7723"/>
    <w:rsid w:val="00CA7947"/>
    <w:rsid w:val="00CA7983"/>
    <w:rsid w:val="00CA7D8A"/>
    <w:rsid w:val="00CB01C3"/>
    <w:rsid w:val="00CB0346"/>
    <w:rsid w:val="00CB0403"/>
    <w:rsid w:val="00CB04C2"/>
    <w:rsid w:val="00CB0526"/>
    <w:rsid w:val="00CB05DD"/>
    <w:rsid w:val="00CB0902"/>
    <w:rsid w:val="00CB0934"/>
    <w:rsid w:val="00CB0A7E"/>
    <w:rsid w:val="00CB0A9F"/>
    <w:rsid w:val="00CB0AD2"/>
    <w:rsid w:val="00CB0BC6"/>
    <w:rsid w:val="00CB0C2E"/>
    <w:rsid w:val="00CB1168"/>
    <w:rsid w:val="00CB14D4"/>
    <w:rsid w:val="00CB1590"/>
    <w:rsid w:val="00CB15D4"/>
    <w:rsid w:val="00CB17C0"/>
    <w:rsid w:val="00CB1A97"/>
    <w:rsid w:val="00CB1B69"/>
    <w:rsid w:val="00CB1C33"/>
    <w:rsid w:val="00CB2220"/>
    <w:rsid w:val="00CB2224"/>
    <w:rsid w:val="00CB230A"/>
    <w:rsid w:val="00CB23DB"/>
    <w:rsid w:val="00CB26B2"/>
    <w:rsid w:val="00CB26E0"/>
    <w:rsid w:val="00CB27CB"/>
    <w:rsid w:val="00CB2A06"/>
    <w:rsid w:val="00CB2AEB"/>
    <w:rsid w:val="00CB2B23"/>
    <w:rsid w:val="00CB2B62"/>
    <w:rsid w:val="00CB2EAD"/>
    <w:rsid w:val="00CB2EF4"/>
    <w:rsid w:val="00CB2F31"/>
    <w:rsid w:val="00CB2FDF"/>
    <w:rsid w:val="00CB34A2"/>
    <w:rsid w:val="00CB367E"/>
    <w:rsid w:val="00CB3776"/>
    <w:rsid w:val="00CB3BFA"/>
    <w:rsid w:val="00CB3CDB"/>
    <w:rsid w:val="00CB3EBA"/>
    <w:rsid w:val="00CB3F56"/>
    <w:rsid w:val="00CB4084"/>
    <w:rsid w:val="00CB40CB"/>
    <w:rsid w:val="00CB415D"/>
    <w:rsid w:val="00CB4493"/>
    <w:rsid w:val="00CB4655"/>
    <w:rsid w:val="00CB46A5"/>
    <w:rsid w:val="00CB47CE"/>
    <w:rsid w:val="00CB486C"/>
    <w:rsid w:val="00CB48C6"/>
    <w:rsid w:val="00CB49DB"/>
    <w:rsid w:val="00CB4AC4"/>
    <w:rsid w:val="00CB4B20"/>
    <w:rsid w:val="00CB4B3C"/>
    <w:rsid w:val="00CB4C7A"/>
    <w:rsid w:val="00CB4CFA"/>
    <w:rsid w:val="00CB4CFE"/>
    <w:rsid w:val="00CB4FB6"/>
    <w:rsid w:val="00CB52CF"/>
    <w:rsid w:val="00CB5322"/>
    <w:rsid w:val="00CB599C"/>
    <w:rsid w:val="00CB5A5A"/>
    <w:rsid w:val="00CB5B1F"/>
    <w:rsid w:val="00CB5CE3"/>
    <w:rsid w:val="00CB5E06"/>
    <w:rsid w:val="00CB5F6E"/>
    <w:rsid w:val="00CB6001"/>
    <w:rsid w:val="00CB60D9"/>
    <w:rsid w:val="00CB62BF"/>
    <w:rsid w:val="00CB636E"/>
    <w:rsid w:val="00CB6784"/>
    <w:rsid w:val="00CB67F4"/>
    <w:rsid w:val="00CB6842"/>
    <w:rsid w:val="00CB6A92"/>
    <w:rsid w:val="00CB6AB2"/>
    <w:rsid w:val="00CB6B1B"/>
    <w:rsid w:val="00CB6BBE"/>
    <w:rsid w:val="00CB70F7"/>
    <w:rsid w:val="00CB7114"/>
    <w:rsid w:val="00CB711F"/>
    <w:rsid w:val="00CB72B8"/>
    <w:rsid w:val="00CB7565"/>
    <w:rsid w:val="00CB7594"/>
    <w:rsid w:val="00CB76DE"/>
    <w:rsid w:val="00CB79D5"/>
    <w:rsid w:val="00CB7D37"/>
    <w:rsid w:val="00CB7D7D"/>
    <w:rsid w:val="00CB7DAB"/>
    <w:rsid w:val="00CB7DC3"/>
    <w:rsid w:val="00CB7EC8"/>
    <w:rsid w:val="00CB7FFD"/>
    <w:rsid w:val="00CC002F"/>
    <w:rsid w:val="00CC0126"/>
    <w:rsid w:val="00CC014E"/>
    <w:rsid w:val="00CC017B"/>
    <w:rsid w:val="00CC0262"/>
    <w:rsid w:val="00CC033B"/>
    <w:rsid w:val="00CC0E4F"/>
    <w:rsid w:val="00CC11AD"/>
    <w:rsid w:val="00CC14C7"/>
    <w:rsid w:val="00CC15B3"/>
    <w:rsid w:val="00CC16B7"/>
    <w:rsid w:val="00CC16C2"/>
    <w:rsid w:val="00CC171C"/>
    <w:rsid w:val="00CC17F9"/>
    <w:rsid w:val="00CC1A30"/>
    <w:rsid w:val="00CC1AAD"/>
    <w:rsid w:val="00CC1DA6"/>
    <w:rsid w:val="00CC2133"/>
    <w:rsid w:val="00CC21B1"/>
    <w:rsid w:val="00CC240F"/>
    <w:rsid w:val="00CC245D"/>
    <w:rsid w:val="00CC2544"/>
    <w:rsid w:val="00CC2655"/>
    <w:rsid w:val="00CC2760"/>
    <w:rsid w:val="00CC2C9F"/>
    <w:rsid w:val="00CC2FE0"/>
    <w:rsid w:val="00CC30EF"/>
    <w:rsid w:val="00CC318D"/>
    <w:rsid w:val="00CC31B7"/>
    <w:rsid w:val="00CC3441"/>
    <w:rsid w:val="00CC345A"/>
    <w:rsid w:val="00CC34AB"/>
    <w:rsid w:val="00CC34CF"/>
    <w:rsid w:val="00CC3929"/>
    <w:rsid w:val="00CC3958"/>
    <w:rsid w:val="00CC39EA"/>
    <w:rsid w:val="00CC3A25"/>
    <w:rsid w:val="00CC3AD5"/>
    <w:rsid w:val="00CC3CAF"/>
    <w:rsid w:val="00CC3DE6"/>
    <w:rsid w:val="00CC3E07"/>
    <w:rsid w:val="00CC3F68"/>
    <w:rsid w:val="00CC4116"/>
    <w:rsid w:val="00CC4254"/>
    <w:rsid w:val="00CC4337"/>
    <w:rsid w:val="00CC4421"/>
    <w:rsid w:val="00CC4905"/>
    <w:rsid w:val="00CC4938"/>
    <w:rsid w:val="00CC49EF"/>
    <w:rsid w:val="00CC4A45"/>
    <w:rsid w:val="00CC4BCD"/>
    <w:rsid w:val="00CC4BD4"/>
    <w:rsid w:val="00CC4C01"/>
    <w:rsid w:val="00CC4C1C"/>
    <w:rsid w:val="00CC4C62"/>
    <w:rsid w:val="00CC4ECC"/>
    <w:rsid w:val="00CC4FD9"/>
    <w:rsid w:val="00CC509C"/>
    <w:rsid w:val="00CC50A2"/>
    <w:rsid w:val="00CC51FF"/>
    <w:rsid w:val="00CC53F4"/>
    <w:rsid w:val="00CC549C"/>
    <w:rsid w:val="00CC56BF"/>
    <w:rsid w:val="00CC574E"/>
    <w:rsid w:val="00CC574F"/>
    <w:rsid w:val="00CC589B"/>
    <w:rsid w:val="00CC59EA"/>
    <w:rsid w:val="00CC5B52"/>
    <w:rsid w:val="00CC5D53"/>
    <w:rsid w:val="00CC5D7B"/>
    <w:rsid w:val="00CC5DDF"/>
    <w:rsid w:val="00CC60F4"/>
    <w:rsid w:val="00CC62E6"/>
    <w:rsid w:val="00CC63B9"/>
    <w:rsid w:val="00CC646E"/>
    <w:rsid w:val="00CC64D0"/>
    <w:rsid w:val="00CC663B"/>
    <w:rsid w:val="00CC66B6"/>
    <w:rsid w:val="00CC66CF"/>
    <w:rsid w:val="00CC671D"/>
    <w:rsid w:val="00CC674D"/>
    <w:rsid w:val="00CC68DC"/>
    <w:rsid w:val="00CC68E4"/>
    <w:rsid w:val="00CC697B"/>
    <w:rsid w:val="00CC6B35"/>
    <w:rsid w:val="00CC6B91"/>
    <w:rsid w:val="00CC7008"/>
    <w:rsid w:val="00CC712F"/>
    <w:rsid w:val="00CC7307"/>
    <w:rsid w:val="00CC73D7"/>
    <w:rsid w:val="00CC7691"/>
    <w:rsid w:val="00CC76F1"/>
    <w:rsid w:val="00CC78F6"/>
    <w:rsid w:val="00CC792F"/>
    <w:rsid w:val="00CC7992"/>
    <w:rsid w:val="00CC7A4B"/>
    <w:rsid w:val="00CC7C56"/>
    <w:rsid w:val="00CC7DD2"/>
    <w:rsid w:val="00CC7E03"/>
    <w:rsid w:val="00CD00E9"/>
    <w:rsid w:val="00CD031C"/>
    <w:rsid w:val="00CD03A6"/>
    <w:rsid w:val="00CD047D"/>
    <w:rsid w:val="00CD0526"/>
    <w:rsid w:val="00CD054B"/>
    <w:rsid w:val="00CD05CA"/>
    <w:rsid w:val="00CD0654"/>
    <w:rsid w:val="00CD0967"/>
    <w:rsid w:val="00CD0AD3"/>
    <w:rsid w:val="00CD0BEA"/>
    <w:rsid w:val="00CD0D1B"/>
    <w:rsid w:val="00CD0D33"/>
    <w:rsid w:val="00CD0ED3"/>
    <w:rsid w:val="00CD0FEC"/>
    <w:rsid w:val="00CD1188"/>
    <w:rsid w:val="00CD1200"/>
    <w:rsid w:val="00CD123B"/>
    <w:rsid w:val="00CD1477"/>
    <w:rsid w:val="00CD180E"/>
    <w:rsid w:val="00CD1812"/>
    <w:rsid w:val="00CD1A21"/>
    <w:rsid w:val="00CD1A43"/>
    <w:rsid w:val="00CD1A88"/>
    <w:rsid w:val="00CD1AD5"/>
    <w:rsid w:val="00CD1AF9"/>
    <w:rsid w:val="00CD1BF9"/>
    <w:rsid w:val="00CD1D0F"/>
    <w:rsid w:val="00CD1D65"/>
    <w:rsid w:val="00CD1DAD"/>
    <w:rsid w:val="00CD1DE3"/>
    <w:rsid w:val="00CD1E54"/>
    <w:rsid w:val="00CD1EEB"/>
    <w:rsid w:val="00CD1F98"/>
    <w:rsid w:val="00CD1FD4"/>
    <w:rsid w:val="00CD200B"/>
    <w:rsid w:val="00CD204B"/>
    <w:rsid w:val="00CD2272"/>
    <w:rsid w:val="00CD2317"/>
    <w:rsid w:val="00CD2320"/>
    <w:rsid w:val="00CD235A"/>
    <w:rsid w:val="00CD249B"/>
    <w:rsid w:val="00CD24D8"/>
    <w:rsid w:val="00CD2819"/>
    <w:rsid w:val="00CD291C"/>
    <w:rsid w:val="00CD2AF2"/>
    <w:rsid w:val="00CD2EB9"/>
    <w:rsid w:val="00CD3060"/>
    <w:rsid w:val="00CD31F2"/>
    <w:rsid w:val="00CD3525"/>
    <w:rsid w:val="00CD352A"/>
    <w:rsid w:val="00CD36CB"/>
    <w:rsid w:val="00CD3EF2"/>
    <w:rsid w:val="00CD3FD2"/>
    <w:rsid w:val="00CD4070"/>
    <w:rsid w:val="00CD41BA"/>
    <w:rsid w:val="00CD43E1"/>
    <w:rsid w:val="00CD474A"/>
    <w:rsid w:val="00CD47A4"/>
    <w:rsid w:val="00CD49AC"/>
    <w:rsid w:val="00CD4AE6"/>
    <w:rsid w:val="00CD4BDA"/>
    <w:rsid w:val="00CD4D77"/>
    <w:rsid w:val="00CD4E90"/>
    <w:rsid w:val="00CD4EDA"/>
    <w:rsid w:val="00CD5041"/>
    <w:rsid w:val="00CD50BE"/>
    <w:rsid w:val="00CD5155"/>
    <w:rsid w:val="00CD5178"/>
    <w:rsid w:val="00CD54E6"/>
    <w:rsid w:val="00CD586D"/>
    <w:rsid w:val="00CD598D"/>
    <w:rsid w:val="00CD59F0"/>
    <w:rsid w:val="00CD5A04"/>
    <w:rsid w:val="00CD5A85"/>
    <w:rsid w:val="00CD5ACA"/>
    <w:rsid w:val="00CD5AD5"/>
    <w:rsid w:val="00CD5BC1"/>
    <w:rsid w:val="00CD5CDE"/>
    <w:rsid w:val="00CD5D4C"/>
    <w:rsid w:val="00CD5EAF"/>
    <w:rsid w:val="00CD60B4"/>
    <w:rsid w:val="00CD611A"/>
    <w:rsid w:val="00CD6160"/>
    <w:rsid w:val="00CD617A"/>
    <w:rsid w:val="00CD639D"/>
    <w:rsid w:val="00CD63F3"/>
    <w:rsid w:val="00CD65B0"/>
    <w:rsid w:val="00CD65BB"/>
    <w:rsid w:val="00CD6886"/>
    <w:rsid w:val="00CD68C9"/>
    <w:rsid w:val="00CD68F9"/>
    <w:rsid w:val="00CD693D"/>
    <w:rsid w:val="00CD6A0C"/>
    <w:rsid w:val="00CD6A8B"/>
    <w:rsid w:val="00CD6B6F"/>
    <w:rsid w:val="00CD6BE1"/>
    <w:rsid w:val="00CD6C4D"/>
    <w:rsid w:val="00CD6C8B"/>
    <w:rsid w:val="00CD6CCC"/>
    <w:rsid w:val="00CD6CD1"/>
    <w:rsid w:val="00CD6DA3"/>
    <w:rsid w:val="00CD6DE4"/>
    <w:rsid w:val="00CD6EFB"/>
    <w:rsid w:val="00CD6F09"/>
    <w:rsid w:val="00CD71D4"/>
    <w:rsid w:val="00CD7254"/>
    <w:rsid w:val="00CD7370"/>
    <w:rsid w:val="00CD73EC"/>
    <w:rsid w:val="00CD7530"/>
    <w:rsid w:val="00CD75BD"/>
    <w:rsid w:val="00CD7764"/>
    <w:rsid w:val="00CD7865"/>
    <w:rsid w:val="00CD7BC3"/>
    <w:rsid w:val="00CD7C63"/>
    <w:rsid w:val="00CD7CFD"/>
    <w:rsid w:val="00CD7EFD"/>
    <w:rsid w:val="00CD7F0A"/>
    <w:rsid w:val="00CD7F19"/>
    <w:rsid w:val="00CE005C"/>
    <w:rsid w:val="00CE0109"/>
    <w:rsid w:val="00CE01E8"/>
    <w:rsid w:val="00CE025B"/>
    <w:rsid w:val="00CE02F4"/>
    <w:rsid w:val="00CE0578"/>
    <w:rsid w:val="00CE0716"/>
    <w:rsid w:val="00CE07D3"/>
    <w:rsid w:val="00CE0877"/>
    <w:rsid w:val="00CE08FF"/>
    <w:rsid w:val="00CE0B73"/>
    <w:rsid w:val="00CE0F63"/>
    <w:rsid w:val="00CE1002"/>
    <w:rsid w:val="00CE1169"/>
    <w:rsid w:val="00CE1349"/>
    <w:rsid w:val="00CE1403"/>
    <w:rsid w:val="00CE149A"/>
    <w:rsid w:val="00CE1642"/>
    <w:rsid w:val="00CE18C0"/>
    <w:rsid w:val="00CE18EB"/>
    <w:rsid w:val="00CE1951"/>
    <w:rsid w:val="00CE1BEB"/>
    <w:rsid w:val="00CE1BEF"/>
    <w:rsid w:val="00CE1CDE"/>
    <w:rsid w:val="00CE1E96"/>
    <w:rsid w:val="00CE1EF9"/>
    <w:rsid w:val="00CE1F2D"/>
    <w:rsid w:val="00CE2006"/>
    <w:rsid w:val="00CE205D"/>
    <w:rsid w:val="00CE2205"/>
    <w:rsid w:val="00CE230E"/>
    <w:rsid w:val="00CE2581"/>
    <w:rsid w:val="00CE2779"/>
    <w:rsid w:val="00CE2A48"/>
    <w:rsid w:val="00CE2AAF"/>
    <w:rsid w:val="00CE2ABE"/>
    <w:rsid w:val="00CE3034"/>
    <w:rsid w:val="00CE31F1"/>
    <w:rsid w:val="00CE332C"/>
    <w:rsid w:val="00CE332D"/>
    <w:rsid w:val="00CE3515"/>
    <w:rsid w:val="00CE35B2"/>
    <w:rsid w:val="00CE3936"/>
    <w:rsid w:val="00CE3A55"/>
    <w:rsid w:val="00CE3A8A"/>
    <w:rsid w:val="00CE3B7C"/>
    <w:rsid w:val="00CE3B8F"/>
    <w:rsid w:val="00CE3B94"/>
    <w:rsid w:val="00CE3DD2"/>
    <w:rsid w:val="00CE3E08"/>
    <w:rsid w:val="00CE3FF9"/>
    <w:rsid w:val="00CE4099"/>
    <w:rsid w:val="00CE40FA"/>
    <w:rsid w:val="00CE41AC"/>
    <w:rsid w:val="00CE4343"/>
    <w:rsid w:val="00CE4501"/>
    <w:rsid w:val="00CE474B"/>
    <w:rsid w:val="00CE4776"/>
    <w:rsid w:val="00CE481E"/>
    <w:rsid w:val="00CE4867"/>
    <w:rsid w:val="00CE48AB"/>
    <w:rsid w:val="00CE4A51"/>
    <w:rsid w:val="00CE4A5E"/>
    <w:rsid w:val="00CE4CE2"/>
    <w:rsid w:val="00CE4EB3"/>
    <w:rsid w:val="00CE5169"/>
    <w:rsid w:val="00CE5247"/>
    <w:rsid w:val="00CE55BD"/>
    <w:rsid w:val="00CE56C7"/>
    <w:rsid w:val="00CE582D"/>
    <w:rsid w:val="00CE5841"/>
    <w:rsid w:val="00CE5A1A"/>
    <w:rsid w:val="00CE5B17"/>
    <w:rsid w:val="00CE5CB6"/>
    <w:rsid w:val="00CE5D21"/>
    <w:rsid w:val="00CE5DD8"/>
    <w:rsid w:val="00CE5F83"/>
    <w:rsid w:val="00CE60DB"/>
    <w:rsid w:val="00CE6387"/>
    <w:rsid w:val="00CE641C"/>
    <w:rsid w:val="00CE6489"/>
    <w:rsid w:val="00CE64FE"/>
    <w:rsid w:val="00CE65E8"/>
    <w:rsid w:val="00CE66A0"/>
    <w:rsid w:val="00CE673F"/>
    <w:rsid w:val="00CE683D"/>
    <w:rsid w:val="00CE684E"/>
    <w:rsid w:val="00CE6863"/>
    <w:rsid w:val="00CE6AFD"/>
    <w:rsid w:val="00CE6ED3"/>
    <w:rsid w:val="00CE6F06"/>
    <w:rsid w:val="00CE6F7F"/>
    <w:rsid w:val="00CE6FD2"/>
    <w:rsid w:val="00CE72DD"/>
    <w:rsid w:val="00CE74E3"/>
    <w:rsid w:val="00CE755C"/>
    <w:rsid w:val="00CE7773"/>
    <w:rsid w:val="00CE7A04"/>
    <w:rsid w:val="00CE7A60"/>
    <w:rsid w:val="00CE7A72"/>
    <w:rsid w:val="00CE7B57"/>
    <w:rsid w:val="00CE7BC8"/>
    <w:rsid w:val="00CE7C04"/>
    <w:rsid w:val="00CE7C94"/>
    <w:rsid w:val="00CE7CF0"/>
    <w:rsid w:val="00CE7D92"/>
    <w:rsid w:val="00CE7D9F"/>
    <w:rsid w:val="00CF0003"/>
    <w:rsid w:val="00CF0225"/>
    <w:rsid w:val="00CF0358"/>
    <w:rsid w:val="00CF060D"/>
    <w:rsid w:val="00CF0737"/>
    <w:rsid w:val="00CF075E"/>
    <w:rsid w:val="00CF0842"/>
    <w:rsid w:val="00CF0872"/>
    <w:rsid w:val="00CF08B1"/>
    <w:rsid w:val="00CF0A41"/>
    <w:rsid w:val="00CF0ADA"/>
    <w:rsid w:val="00CF0AE4"/>
    <w:rsid w:val="00CF0BE8"/>
    <w:rsid w:val="00CF0CD7"/>
    <w:rsid w:val="00CF0CD8"/>
    <w:rsid w:val="00CF0D20"/>
    <w:rsid w:val="00CF0DDE"/>
    <w:rsid w:val="00CF0E26"/>
    <w:rsid w:val="00CF0F0D"/>
    <w:rsid w:val="00CF1010"/>
    <w:rsid w:val="00CF1269"/>
    <w:rsid w:val="00CF12DD"/>
    <w:rsid w:val="00CF12E7"/>
    <w:rsid w:val="00CF1516"/>
    <w:rsid w:val="00CF165B"/>
    <w:rsid w:val="00CF178C"/>
    <w:rsid w:val="00CF189D"/>
    <w:rsid w:val="00CF190B"/>
    <w:rsid w:val="00CF1B03"/>
    <w:rsid w:val="00CF1C18"/>
    <w:rsid w:val="00CF1DE6"/>
    <w:rsid w:val="00CF20DB"/>
    <w:rsid w:val="00CF2188"/>
    <w:rsid w:val="00CF2342"/>
    <w:rsid w:val="00CF23AC"/>
    <w:rsid w:val="00CF271C"/>
    <w:rsid w:val="00CF2B81"/>
    <w:rsid w:val="00CF2C69"/>
    <w:rsid w:val="00CF2CFC"/>
    <w:rsid w:val="00CF2EF0"/>
    <w:rsid w:val="00CF2F6F"/>
    <w:rsid w:val="00CF3035"/>
    <w:rsid w:val="00CF30DB"/>
    <w:rsid w:val="00CF30F8"/>
    <w:rsid w:val="00CF31DC"/>
    <w:rsid w:val="00CF338D"/>
    <w:rsid w:val="00CF33A9"/>
    <w:rsid w:val="00CF33B4"/>
    <w:rsid w:val="00CF353A"/>
    <w:rsid w:val="00CF3718"/>
    <w:rsid w:val="00CF3871"/>
    <w:rsid w:val="00CF38E8"/>
    <w:rsid w:val="00CF3946"/>
    <w:rsid w:val="00CF3A01"/>
    <w:rsid w:val="00CF3A7C"/>
    <w:rsid w:val="00CF3B78"/>
    <w:rsid w:val="00CF3BAC"/>
    <w:rsid w:val="00CF3BDE"/>
    <w:rsid w:val="00CF3CA6"/>
    <w:rsid w:val="00CF3D4C"/>
    <w:rsid w:val="00CF3D50"/>
    <w:rsid w:val="00CF3F22"/>
    <w:rsid w:val="00CF3F61"/>
    <w:rsid w:val="00CF3F73"/>
    <w:rsid w:val="00CF3F75"/>
    <w:rsid w:val="00CF42D6"/>
    <w:rsid w:val="00CF4366"/>
    <w:rsid w:val="00CF43D1"/>
    <w:rsid w:val="00CF4473"/>
    <w:rsid w:val="00CF493D"/>
    <w:rsid w:val="00CF49D9"/>
    <w:rsid w:val="00CF4A20"/>
    <w:rsid w:val="00CF4E39"/>
    <w:rsid w:val="00CF5123"/>
    <w:rsid w:val="00CF51EB"/>
    <w:rsid w:val="00CF5207"/>
    <w:rsid w:val="00CF54C0"/>
    <w:rsid w:val="00CF54CA"/>
    <w:rsid w:val="00CF55E3"/>
    <w:rsid w:val="00CF58D4"/>
    <w:rsid w:val="00CF5A95"/>
    <w:rsid w:val="00CF5C5D"/>
    <w:rsid w:val="00CF60B4"/>
    <w:rsid w:val="00CF6158"/>
    <w:rsid w:val="00CF61B9"/>
    <w:rsid w:val="00CF61BF"/>
    <w:rsid w:val="00CF62AA"/>
    <w:rsid w:val="00CF63C1"/>
    <w:rsid w:val="00CF63DF"/>
    <w:rsid w:val="00CF63EE"/>
    <w:rsid w:val="00CF669E"/>
    <w:rsid w:val="00CF66D5"/>
    <w:rsid w:val="00CF66FC"/>
    <w:rsid w:val="00CF67CB"/>
    <w:rsid w:val="00CF6B15"/>
    <w:rsid w:val="00CF6F3D"/>
    <w:rsid w:val="00CF6FFD"/>
    <w:rsid w:val="00CF7459"/>
    <w:rsid w:val="00CF759C"/>
    <w:rsid w:val="00CF760C"/>
    <w:rsid w:val="00CF7699"/>
    <w:rsid w:val="00CF76A7"/>
    <w:rsid w:val="00CF77C0"/>
    <w:rsid w:val="00CF7A4A"/>
    <w:rsid w:val="00CF7B9F"/>
    <w:rsid w:val="00CF7C1E"/>
    <w:rsid w:val="00CF7E67"/>
    <w:rsid w:val="00CF7E88"/>
    <w:rsid w:val="00CF7FB5"/>
    <w:rsid w:val="00D0009C"/>
    <w:rsid w:val="00D001C0"/>
    <w:rsid w:val="00D00283"/>
    <w:rsid w:val="00D00361"/>
    <w:rsid w:val="00D003A4"/>
    <w:rsid w:val="00D00472"/>
    <w:rsid w:val="00D006E9"/>
    <w:rsid w:val="00D00708"/>
    <w:rsid w:val="00D00B1B"/>
    <w:rsid w:val="00D00C8F"/>
    <w:rsid w:val="00D00CEE"/>
    <w:rsid w:val="00D00D0D"/>
    <w:rsid w:val="00D0136C"/>
    <w:rsid w:val="00D01551"/>
    <w:rsid w:val="00D015BB"/>
    <w:rsid w:val="00D015D0"/>
    <w:rsid w:val="00D016FD"/>
    <w:rsid w:val="00D0182B"/>
    <w:rsid w:val="00D01A85"/>
    <w:rsid w:val="00D01AA7"/>
    <w:rsid w:val="00D01C83"/>
    <w:rsid w:val="00D01D75"/>
    <w:rsid w:val="00D01E5A"/>
    <w:rsid w:val="00D01F87"/>
    <w:rsid w:val="00D02074"/>
    <w:rsid w:val="00D0237B"/>
    <w:rsid w:val="00D02777"/>
    <w:rsid w:val="00D027F8"/>
    <w:rsid w:val="00D02911"/>
    <w:rsid w:val="00D02A15"/>
    <w:rsid w:val="00D02A38"/>
    <w:rsid w:val="00D02ADA"/>
    <w:rsid w:val="00D02B3B"/>
    <w:rsid w:val="00D02F10"/>
    <w:rsid w:val="00D02F2E"/>
    <w:rsid w:val="00D03096"/>
    <w:rsid w:val="00D03313"/>
    <w:rsid w:val="00D03340"/>
    <w:rsid w:val="00D0334A"/>
    <w:rsid w:val="00D0338C"/>
    <w:rsid w:val="00D034BC"/>
    <w:rsid w:val="00D03619"/>
    <w:rsid w:val="00D03895"/>
    <w:rsid w:val="00D03C0E"/>
    <w:rsid w:val="00D03DE9"/>
    <w:rsid w:val="00D03ED0"/>
    <w:rsid w:val="00D03F03"/>
    <w:rsid w:val="00D03FC2"/>
    <w:rsid w:val="00D03FD8"/>
    <w:rsid w:val="00D0414D"/>
    <w:rsid w:val="00D04189"/>
    <w:rsid w:val="00D0434B"/>
    <w:rsid w:val="00D0437A"/>
    <w:rsid w:val="00D0462D"/>
    <w:rsid w:val="00D04800"/>
    <w:rsid w:val="00D04961"/>
    <w:rsid w:val="00D04963"/>
    <w:rsid w:val="00D04970"/>
    <w:rsid w:val="00D04A4A"/>
    <w:rsid w:val="00D04B07"/>
    <w:rsid w:val="00D04BE3"/>
    <w:rsid w:val="00D04C35"/>
    <w:rsid w:val="00D04D2C"/>
    <w:rsid w:val="00D0508D"/>
    <w:rsid w:val="00D05098"/>
    <w:rsid w:val="00D05151"/>
    <w:rsid w:val="00D05216"/>
    <w:rsid w:val="00D05295"/>
    <w:rsid w:val="00D055D1"/>
    <w:rsid w:val="00D056DC"/>
    <w:rsid w:val="00D057F3"/>
    <w:rsid w:val="00D058B9"/>
    <w:rsid w:val="00D0595F"/>
    <w:rsid w:val="00D059EB"/>
    <w:rsid w:val="00D05A22"/>
    <w:rsid w:val="00D05DF9"/>
    <w:rsid w:val="00D05E00"/>
    <w:rsid w:val="00D05F2F"/>
    <w:rsid w:val="00D06018"/>
    <w:rsid w:val="00D060E4"/>
    <w:rsid w:val="00D061A1"/>
    <w:rsid w:val="00D06451"/>
    <w:rsid w:val="00D06485"/>
    <w:rsid w:val="00D066B1"/>
    <w:rsid w:val="00D06844"/>
    <w:rsid w:val="00D06A7F"/>
    <w:rsid w:val="00D06CBF"/>
    <w:rsid w:val="00D06D77"/>
    <w:rsid w:val="00D07062"/>
    <w:rsid w:val="00D0709C"/>
    <w:rsid w:val="00D07391"/>
    <w:rsid w:val="00D0749D"/>
    <w:rsid w:val="00D0753D"/>
    <w:rsid w:val="00D07801"/>
    <w:rsid w:val="00D07AFF"/>
    <w:rsid w:val="00D07C78"/>
    <w:rsid w:val="00D07CEC"/>
    <w:rsid w:val="00D100B2"/>
    <w:rsid w:val="00D1017B"/>
    <w:rsid w:val="00D10343"/>
    <w:rsid w:val="00D104B5"/>
    <w:rsid w:val="00D104DC"/>
    <w:rsid w:val="00D104EB"/>
    <w:rsid w:val="00D105AE"/>
    <w:rsid w:val="00D106E7"/>
    <w:rsid w:val="00D10700"/>
    <w:rsid w:val="00D107B2"/>
    <w:rsid w:val="00D10891"/>
    <w:rsid w:val="00D108A3"/>
    <w:rsid w:val="00D109D9"/>
    <w:rsid w:val="00D10B0E"/>
    <w:rsid w:val="00D10B20"/>
    <w:rsid w:val="00D10B35"/>
    <w:rsid w:val="00D10C52"/>
    <w:rsid w:val="00D10D29"/>
    <w:rsid w:val="00D10E40"/>
    <w:rsid w:val="00D10EFA"/>
    <w:rsid w:val="00D10F38"/>
    <w:rsid w:val="00D11287"/>
    <w:rsid w:val="00D1147E"/>
    <w:rsid w:val="00D114A0"/>
    <w:rsid w:val="00D11548"/>
    <w:rsid w:val="00D11755"/>
    <w:rsid w:val="00D11818"/>
    <w:rsid w:val="00D11A1C"/>
    <w:rsid w:val="00D11A51"/>
    <w:rsid w:val="00D11AF3"/>
    <w:rsid w:val="00D11D8A"/>
    <w:rsid w:val="00D11FB5"/>
    <w:rsid w:val="00D11FBD"/>
    <w:rsid w:val="00D1234A"/>
    <w:rsid w:val="00D12451"/>
    <w:rsid w:val="00D1253E"/>
    <w:rsid w:val="00D12763"/>
    <w:rsid w:val="00D12895"/>
    <w:rsid w:val="00D12946"/>
    <w:rsid w:val="00D12B24"/>
    <w:rsid w:val="00D12B2D"/>
    <w:rsid w:val="00D12DDF"/>
    <w:rsid w:val="00D12FF3"/>
    <w:rsid w:val="00D1360C"/>
    <w:rsid w:val="00D137A4"/>
    <w:rsid w:val="00D13BA5"/>
    <w:rsid w:val="00D13C8F"/>
    <w:rsid w:val="00D13CAF"/>
    <w:rsid w:val="00D13D1C"/>
    <w:rsid w:val="00D13F4F"/>
    <w:rsid w:val="00D141BB"/>
    <w:rsid w:val="00D145C7"/>
    <w:rsid w:val="00D145FA"/>
    <w:rsid w:val="00D14B3B"/>
    <w:rsid w:val="00D14B7A"/>
    <w:rsid w:val="00D14DFB"/>
    <w:rsid w:val="00D14F17"/>
    <w:rsid w:val="00D15013"/>
    <w:rsid w:val="00D15171"/>
    <w:rsid w:val="00D15375"/>
    <w:rsid w:val="00D154C0"/>
    <w:rsid w:val="00D155B1"/>
    <w:rsid w:val="00D15614"/>
    <w:rsid w:val="00D1567B"/>
    <w:rsid w:val="00D156C8"/>
    <w:rsid w:val="00D156E8"/>
    <w:rsid w:val="00D1572E"/>
    <w:rsid w:val="00D15748"/>
    <w:rsid w:val="00D1582E"/>
    <w:rsid w:val="00D15ABB"/>
    <w:rsid w:val="00D160B5"/>
    <w:rsid w:val="00D160DA"/>
    <w:rsid w:val="00D16134"/>
    <w:rsid w:val="00D16351"/>
    <w:rsid w:val="00D1650E"/>
    <w:rsid w:val="00D16594"/>
    <w:rsid w:val="00D166D6"/>
    <w:rsid w:val="00D1672D"/>
    <w:rsid w:val="00D16795"/>
    <w:rsid w:val="00D16A6C"/>
    <w:rsid w:val="00D16B37"/>
    <w:rsid w:val="00D16C99"/>
    <w:rsid w:val="00D16C9A"/>
    <w:rsid w:val="00D16CD7"/>
    <w:rsid w:val="00D16E3F"/>
    <w:rsid w:val="00D1710E"/>
    <w:rsid w:val="00D17363"/>
    <w:rsid w:val="00D17525"/>
    <w:rsid w:val="00D17643"/>
    <w:rsid w:val="00D176F9"/>
    <w:rsid w:val="00D177C2"/>
    <w:rsid w:val="00D179F0"/>
    <w:rsid w:val="00D17BF1"/>
    <w:rsid w:val="00D17D28"/>
    <w:rsid w:val="00D17D66"/>
    <w:rsid w:val="00D17E40"/>
    <w:rsid w:val="00D17FCC"/>
    <w:rsid w:val="00D17FED"/>
    <w:rsid w:val="00D200FA"/>
    <w:rsid w:val="00D2018B"/>
    <w:rsid w:val="00D2024A"/>
    <w:rsid w:val="00D2039B"/>
    <w:rsid w:val="00D20550"/>
    <w:rsid w:val="00D20647"/>
    <w:rsid w:val="00D20F3E"/>
    <w:rsid w:val="00D2103E"/>
    <w:rsid w:val="00D21179"/>
    <w:rsid w:val="00D21499"/>
    <w:rsid w:val="00D21521"/>
    <w:rsid w:val="00D2152B"/>
    <w:rsid w:val="00D2171A"/>
    <w:rsid w:val="00D219B1"/>
    <w:rsid w:val="00D21AE8"/>
    <w:rsid w:val="00D21C3B"/>
    <w:rsid w:val="00D21C43"/>
    <w:rsid w:val="00D21CC3"/>
    <w:rsid w:val="00D21F8D"/>
    <w:rsid w:val="00D2201D"/>
    <w:rsid w:val="00D22433"/>
    <w:rsid w:val="00D22558"/>
    <w:rsid w:val="00D225B0"/>
    <w:rsid w:val="00D2284F"/>
    <w:rsid w:val="00D22923"/>
    <w:rsid w:val="00D22A9B"/>
    <w:rsid w:val="00D22AE1"/>
    <w:rsid w:val="00D22C03"/>
    <w:rsid w:val="00D22C1F"/>
    <w:rsid w:val="00D22DF4"/>
    <w:rsid w:val="00D22E1E"/>
    <w:rsid w:val="00D22EF4"/>
    <w:rsid w:val="00D22FFC"/>
    <w:rsid w:val="00D232FF"/>
    <w:rsid w:val="00D23444"/>
    <w:rsid w:val="00D23526"/>
    <w:rsid w:val="00D23590"/>
    <w:rsid w:val="00D237C6"/>
    <w:rsid w:val="00D23A19"/>
    <w:rsid w:val="00D23A43"/>
    <w:rsid w:val="00D23BC9"/>
    <w:rsid w:val="00D23D36"/>
    <w:rsid w:val="00D23D65"/>
    <w:rsid w:val="00D23E04"/>
    <w:rsid w:val="00D23E19"/>
    <w:rsid w:val="00D23E3A"/>
    <w:rsid w:val="00D23EEC"/>
    <w:rsid w:val="00D243F2"/>
    <w:rsid w:val="00D2462E"/>
    <w:rsid w:val="00D24745"/>
    <w:rsid w:val="00D2493D"/>
    <w:rsid w:val="00D24979"/>
    <w:rsid w:val="00D24AD1"/>
    <w:rsid w:val="00D24D56"/>
    <w:rsid w:val="00D24F1A"/>
    <w:rsid w:val="00D25123"/>
    <w:rsid w:val="00D25345"/>
    <w:rsid w:val="00D2545C"/>
    <w:rsid w:val="00D25513"/>
    <w:rsid w:val="00D25542"/>
    <w:rsid w:val="00D255F4"/>
    <w:rsid w:val="00D25641"/>
    <w:rsid w:val="00D2570D"/>
    <w:rsid w:val="00D258AB"/>
    <w:rsid w:val="00D25A4C"/>
    <w:rsid w:val="00D25BC3"/>
    <w:rsid w:val="00D25CF4"/>
    <w:rsid w:val="00D25FBE"/>
    <w:rsid w:val="00D260A7"/>
    <w:rsid w:val="00D263B2"/>
    <w:rsid w:val="00D26ABD"/>
    <w:rsid w:val="00D26AC9"/>
    <w:rsid w:val="00D26B55"/>
    <w:rsid w:val="00D26B8D"/>
    <w:rsid w:val="00D26BA9"/>
    <w:rsid w:val="00D26CC3"/>
    <w:rsid w:val="00D26D5C"/>
    <w:rsid w:val="00D26DA8"/>
    <w:rsid w:val="00D27080"/>
    <w:rsid w:val="00D270B7"/>
    <w:rsid w:val="00D2734D"/>
    <w:rsid w:val="00D27480"/>
    <w:rsid w:val="00D27489"/>
    <w:rsid w:val="00D27571"/>
    <w:rsid w:val="00D275F5"/>
    <w:rsid w:val="00D27736"/>
    <w:rsid w:val="00D27813"/>
    <w:rsid w:val="00D278E9"/>
    <w:rsid w:val="00D27955"/>
    <w:rsid w:val="00D2796A"/>
    <w:rsid w:val="00D279E3"/>
    <w:rsid w:val="00D27BE5"/>
    <w:rsid w:val="00D27CD0"/>
    <w:rsid w:val="00D27DCB"/>
    <w:rsid w:val="00D301BB"/>
    <w:rsid w:val="00D302ED"/>
    <w:rsid w:val="00D30310"/>
    <w:rsid w:val="00D3045B"/>
    <w:rsid w:val="00D30548"/>
    <w:rsid w:val="00D305E2"/>
    <w:rsid w:val="00D3066F"/>
    <w:rsid w:val="00D306F7"/>
    <w:rsid w:val="00D3097B"/>
    <w:rsid w:val="00D309C2"/>
    <w:rsid w:val="00D30A40"/>
    <w:rsid w:val="00D30CEF"/>
    <w:rsid w:val="00D30DE5"/>
    <w:rsid w:val="00D30E00"/>
    <w:rsid w:val="00D30E52"/>
    <w:rsid w:val="00D31193"/>
    <w:rsid w:val="00D313FD"/>
    <w:rsid w:val="00D315D1"/>
    <w:rsid w:val="00D31713"/>
    <w:rsid w:val="00D3173F"/>
    <w:rsid w:val="00D3194B"/>
    <w:rsid w:val="00D31A73"/>
    <w:rsid w:val="00D31C49"/>
    <w:rsid w:val="00D31F67"/>
    <w:rsid w:val="00D320D9"/>
    <w:rsid w:val="00D321DC"/>
    <w:rsid w:val="00D32334"/>
    <w:rsid w:val="00D3287C"/>
    <w:rsid w:val="00D329C5"/>
    <w:rsid w:val="00D32AE0"/>
    <w:rsid w:val="00D32E8B"/>
    <w:rsid w:val="00D32F8E"/>
    <w:rsid w:val="00D333F1"/>
    <w:rsid w:val="00D335A5"/>
    <w:rsid w:val="00D33625"/>
    <w:rsid w:val="00D336FF"/>
    <w:rsid w:val="00D3376E"/>
    <w:rsid w:val="00D337A5"/>
    <w:rsid w:val="00D337A9"/>
    <w:rsid w:val="00D3393D"/>
    <w:rsid w:val="00D33A09"/>
    <w:rsid w:val="00D33B1B"/>
    <w:rsid w:val="00D33B3A"/>
    <w:rsid w:val="00D33BF8"/>
    <w:rsid w:val="00D33D29"/>
    <w:rsid w:val="00D33FD2"/>
    <w:rsid w:val="00D34074"/>
    <w:rsid w:val="00D3417E"/>
    <w:rsid w:val="00D3431A"/>
    <w:rsid w:val="00D3483B"/>
    <w:rsid w:val="00D348E6"/>
    <w:rsid w:val="00D34AC9"/>
    <w:rsid w:val="00D34B94"/>
    <w:rsid w:val="00D34CAC"/>
    <w:rsid w:val="00D34E6D"/>
    <w:rsid w:val="00D350E4"/>
    <w:rsid w:val="00D354F3"/>
    <w:rsid w:val="00D35596"/>
    <w:rsid w:val="00D355FA"/>
    <w:rsid w:val="00D35765"/>
    <w:rsid w:val="00D35805"/>
    <w:rsid w:val="00D3585D"/>
    <w:rsid w:val="00D35945"/>
    <w:rsid w:val="00D35946"/>
    <w:rsid w:val="00D3596E"/>
    <w:rsid w:val="00D35A8B"/>
    <w:rsid w:val="00D35B10"/>
    <w:rsid w:val="00D35D5B"/>
    <w:rsid w:val="00D35E43"/>
    <w:rsid w:val="00D35F9A"/>
    <w:rsid w:val="00D35FAA"/>
    <w:rsid w:val="00D36102"/>
    <w:rsid w:val="00D368F7"/>
    <w:rsid w:val="00D36A8A"/>
    <w:rsid w:val="00D36B39"/>
    <w:rsid w:val="00D36D83"/>
    <w:rsid w:val="00D36F8C"/>
    <w:rsid w:val="00D36FCD"/>
    <w:rsid w:val="00D3722E"/>
    <w:rsid w:val="00D372B1"/>
    <w:rsid w:val="00D3733F"/>
    <w:rsid w:val="00D3734B"/>
    <w:rsid w:val="00D37365"/>
    <w:rsid w:val="00D37508"/>
    <w:rsid w:val="00D37576"/>
    <w:rsid w:val="00D375D0"/>
    <w:rsid w:val="00D376B3"/>
    <w:rsid w:val="00D378A3"/>
    <w:rsid w:val="00D379D1"/>
    <w:rsid w:val="00D37A2E"/>
    <w:rsid w:val="00D37C33"/>
    <w:rsid w:val="00D37C63"/>
    <w:rsid w:val="00D37E80"/>
    <w:rsid w:val="00D37F21"/>
    <w:rsid w:val="00D37F24"/>
    <w:rsid w:val="00D40030"/>
    <w:rsid w:val="00D40035"/>
    <w:rsid w:val="00D40175"/>
    <w:rsid w:val="00D402A3"/>
    <w:rsid w:val="00D408CC"/>
    <w:rsid w:val="00D408E0"/>
    <w:rsid w:val="00D40B1D"/>
    <w:rsid w:val="00D40BA6"/>
    <w:rsid w:val="00D40BB1"/>
    <w:rsid w:val="00D40E44"/>
    <w:rsid w:val="00D40F79"/>
    <w:rsid w:val="00D41071"/>
    <w:rsid w:val="00D41141"/>
    <w:rsid w:val="00D411CE"/>
    <w:rsid w:val="00D41213"/>
    <w:rsid w:val="00D41373"/>
    <w:rsid w:val="00D41376"/>
    <w:rsid w:val="00D41422"/>
    <w:rsid w:val="00D41845"/>
    <w:rsid w:val="00D41858"/>
    <w:rsid w:val="00D41865"/>
    <w:rsid w:val="00D4191B"/>
    <w:rsid w:val="00D419CD"/>
    <w:rsid w:val="00D41AE4"/>
    <w:rsid w:val="00D41C96"/>
    <w:rsid w:val="00D41FB3"/>
    <w:rsid w:val="00D4206E"/>
    <w:rsid w:val="00D4209F"/>
    <w:rsid w:val="00D42105"/>
    <w:rsid w:val="00D421EC"/>
    <w:rsid w:val="00D4234B"/>
    <w:rsid w:val="00D4253D"/>
    <w:rsid w:val="00D4288F"/>
    <w:rsid w:val="00D428C4"/>
    <w:rsid w:val="00D4297A"/>
    <w:rsid w:val="00D42983"/>
    <w:rsid w:val="00D429D0"/>
    <w:rsid w:val="00D429DC"/>
    <w:rsid w:val="00D429E6"/>
    <w:rsid w:val="00D42C2C"/>
    <w:rsid w:val="00D42C35"/>
    <w:rsid w:val="00D42D24"/>
    <w:rsid w:val="00D42E3A"/>
    <w:rsid w:val="00D42F63"/>
    <w:rsid w:val="00D42F82"/>
    <w:rsid w:val="00D42F84"/>
    <w:rsid w:val="00D42FAE"/>
    <w:rsid w:val="00D4339D"/>
    <w:rsid w:val="00D43421"/>
    <w:rsid w:val="00D43522"/>
    <w:rsid w:val="00D4357E"/>
    <w:rsid w:val="00D43683"/>
    <w:rsid w:val="00D436D5"/>
    <w:rsid w:val="00D43860"/>
    <w:rsid w:val="00D438AF"/>
    <w:rsid w:val="00D43ACD"/>
    <w:rsid w:val="00D43DD6"/>
    <w:rsid w:val="00D43DEE"/>
    <w:rsid w:val="00D43F28"/>
    <w:rsid w:val="00D43FF9"/>
    <w:rsid w:val="00D4407F"/>
    <w:rsid w:val="00D4417C"/>
    <w:rsid w:val="00D442C4"/>
    <w:rsid w:val="00D44374"/>
    <w:rsid w:val="00D448DC"/>
    <w:rsid w:val="00D44910"/>
    <w:rsid w:val="00D449BB"/>
    <w:rsid w:val="00D449CE"/>
    <w:rsid w:val="00D44B4E"/>
    <w:rsid w:val="00D44C52"/>
    <w:rsid w:val="00D44EA4"/>
    <w:rsid w:val="00D4508C"/>
    <w:rsid w:val="00D451D6"/>
    <w:rsid w:val="00D451FC"/>
    <w:rsid w:val="00D4535B"/>
    <w:rsid w:val="00D45467"/>
    <w:rsid w:val="00D45587"/>
    <w:rsid w:val="00D456EC"/>
    <w:rsid w:val="00D45811"/>
    <w:rsid w:val="00D4588D"/>
    <w:rsid w:val="00D4595A"/>
    <w:rsid w:val="00D45D37"/>
    <w:rsid w:val="00D45F6B"/>
    <w:rsid w:val="00D461D7"/>
    <w:rsid w:val="00D46246"/>
    <w:rsid w:val="00D462BF"/>
    <w:rsid w:val="00D462CA"/>
    <w:rsid w:val="00D4640C"/>
    <w:rsid w:val="00D46483"/>
    <w:rsid w:val="00D465D0"/>
    <w:rsid w:val="00D46627"/>
    <w:rsid w:val="00D466BC"/>
    <w:rsid w:val="00D466F7"/>
    <w:rsid w:val="00D46933"/>
    <w:rsid w:val="00D46A05"/>
    <w:rsid w:val="00D46CB9"/>
    <w:rsid w:val="00D46D6B"/>
    <w:rsid w:val="00D46DDD"/>
    <w:rsid w:val="00D46E3A"/>
    <w:rsid w:val="00D46E5F"/>
    <w:rsid w:val="00D471BA"/>
    <w:rsid w:val="00D4721F"/>
    <w:rsid w:val="00D47548"/>
    <w:rsid w:val="00D4759E"/>
    <w:rsid w:val="00D4775A"/>
    <w:rsid w:val="00D47777"/>
    <w:rsid w:val="00D47A40"/>
    <w:rsid w:val="00D47CC4"/>
    <w:rsid w:val="00D47E49"/>
    <w:rsid w:val="00D47E91"/>
    <w:rsid w:val="00D47EE1"/>
    <w:rsid w:val="00D47F22"/>
    <w:rsid w:val="00D47F99"/>
    <w:rsid w:val="00D5009E"/>
    <w:rsid w:val="00D50293"/>
    <w:rsid w:val="00D50343"/>
    <w:rsid w:val="00D5058A"/>
    <w:rsid w:val="00D5058F"/>
    <w:rsid w:val="00D50902"/>
    <w:rsid w:val="00D50920"/>
    <w:rsid w:val="00D50A8F"/>
    <w:rsid w:val="00D50B6F"/>
    <w:rsid w:val="00D50D51"/>
    <w:rsid w:val="00D50DC5"/>
    <w:rsid w:val="00D50F4D"/>
    <w:rsid w:val="00D510E6"/>
    <w:rsid w:val="00D511EB"/>
    <w:rsid w:val="00D513F4"/>
    <w:rsid w:val="00D51555"/>
    <w:rsid w:val="00D51649"/>
    <w:rsid w:val="00D5165D"/>
    <w:rsid w:val="00D51779"/>
    <w:rsid w:val="00D517A0"/>
    <w:rsid w:val="00D517F3"/>
    <w:rsid w:val="00D51C3A"/>
    <w:rsid w:val="00D51C8E"/>
    <w:rsid w:val="00D51E72"/>
    <w:rsid w:val="00D51F50"/>
    <w:rsid w:val="00D5214A"/>
    <w:rsid w:val="00D5215C"/>
    <w:rsid w:val="00D5219D"/>
    <w:rsid w:val="00D52431"/>
    <w:rsid w:val="00D5253D"/>
    <w:rsid w:val="00D527E8"/>
    <w:rsid w:val="00D528B1"/>
    <w:rsid w:val="00D5294C"/>
    <w:rsid w:val="00D5295D"/>
    <w:rsid w:val="00D52A5D"/>
    <w:rsid w:val="00D52E7D"/>
    <w:rsid w:val="00D52F4C"/>
    <w:rsid w:val="00D530E3"/>
    <w:rsid w:val="00D537D4"/>
    <w:rsid w:val="00D53956"/>
    <w:rsid w:val="00D53A9B"/>
    <w:rsid w:val="00D53D77"/>
    <w:rsid w:val="00D53D95"/>
    <w:rsid w:val="00D53DA4"/>
    <w:rsid w:val="00D53E28"/>
    <w:rsid w:val="00D53F72"/>
    <w:rsid w:val="00D54049"/>
    <w:rsid w:val="00D540CD"/>
    <w:rsid w:val="00D54111"/>
    <w:rsid w:val="00D54138"/>
    <w:rsid w:val="00D54205"/>
    <w:rsid w:val="00D54253"/>
    <w:rsid w:val="00D543F1"/>
    <w:rsid w:val="00D54524"/>
    <w:rsid w:val="00D54882"/>
    <w:rsid w:val="00D54AB1"/>
    <w:rsid w:val="00D54B23"/>
    <w:rsid w:val="00D54B4E"/>
    <w:rsid w:val="00D54BB8"/>
    <w:rsid w:val="00D54BC3"/>
    <w:rsid w:val="00D54CE0"/>
    <w:rsid w:val="00D54D8D"/>
    <w:rsid w:val="00D54F01"/>
    <w:rsid w:val="00D558AC"/>
    <w:rsid w:val="00D559AE"/>
    <w:rsid w:val="00D55BDB"/>
    <w:rsid w:val="00D55DC9"/>
    <w:rsid w:val="00D55E71"/>
    <w:rsid w:val="00D56274"/>
    <w:rsid w:val="00D562C4"/>
    <w:rsid w:val="00D56349"/>
    <w:rsid w:val="00D563A4"/>
    <w:rsid w:val="00D563F1"/>
    <w:rsid w:val="00D566E2"/>
    <w:rsid w:val="00D56823"/>
    <w:rsid w:val="00D56851"/>
    <w:rsid w:val="00D56ACB"/>
    <w:rsid w:val="00D56ADA"/>
    <w:rsid w:val="00D56C16"/>
    <w:rsid w:val="00D56CED"/>
    <w:rsid w:val="00D5708D"/>
    <w:rsid w:val="00D57357"/>
    <w:rsid w:val="00D57552"/>
    <w:rsid w:val="00D576F7"/>
    <w:rsid w:val="00D57711"/>
    <w:rsid w:val="00D5795A"/>
    <w:rsid w:val="00D5796A"/>
    <w:rsid w:val="00D57B8C"/>
    <w:rsid w:val="00D57EB7"/>
    <w:rsid w:val="00D57FE8"/>
    <w:rsid w:val="00D6015A"/>
    <w:rsid w:val="00D60284"/>
    <w:rsid w:val="00D60482"/>
    <w:rsid w:val="00D60693"/>
    <w:rsid w:val="00D60865"/>
    <w:rsid w:val="00D609EC"/>
    <w:rsid w:val="00D60CB9"/>
    <w:rsid w:val="00D60F27"/>
    <w:rsid w:val="00D61061"/>
    <w:rsid w:val="00D6121D"/>
    <w:rsid w:val="00D615E5"/>
    <w:rsid w:val="00D6172A"/>
    <w:rsid w:val="00D61793"/>
    <w:rsid w:val="00D61A73"/>
    <w:rsid w:val="00D61AB3"/>
    <w:rsid w:val="00D61C0D"/>
    <w:rsid w:val="00D61C82"/>
    <w:rsid w:val="00D61CE7"/>
    <w:rsid w:val="00D61DE7"/>
    <w:rsid w:val="00D61DEA"/>
    <w:rsid w:val="00D61EEF"/>
    <w:rsid w:val="00D61F5C"/>
    <w:rsid w:val="00D61F88"/>
    <w:rsid w:val="00D62044"/>
    <w:rsid w:val="00D6204A"/>
    <w:rsid w:val="00D62068"/>
    <w:rsid w:val="00D6217C"/>
    <w:rsid w:val="00D6233E"/>
    <w:rsid w:val="00D62514"/>
    <w:rsid w:val="00D625B3"/>
    <w:rsid w:val="00D6267E"/>
    <w:rsid w:val="00D629EA"/>
    <w:rsid w:val="00D62AA7"/>
    <w:rsid w:val="00D62BC2"/>
    <w:rsid w:val="00D62C27"/>
    <w:rsid w:val="00D62DDF"/>
    <w:rsid w:val="00D62E9F"/>
    <w:rsid w:val="00D63097"/>
    <w:rsid w:val="00D631A6"/>
    <w:rsid w:val="00D633EF"/>
    <w:rsid w:val="00D63606"/>
    <w:rsid w:val="00D6360F"/>
    <w:rsid w:val="00D63717"/>
    <w:rsid w:val="00D63785"/>
    <w:rsid w:val="00D637B8"/>
    <w:rsid w:val="00D6382B"/>
    <w:rsid w:val="00D6392A"/>
    <w:rsid w:val="00D639CC"/>
    <w:rsid w:val="00D63A68"/>
    <w:rsid w:val="00D63BB9"/>
    <w:rsid w:val="00D63BE1"/>
    <w:rsid w:val="00D63E37"/>
    <w:rsid w:val="00D63FAF"/>
    <w:rsid w:val="00D64030"/>
    <w:rsid w:val="00D645D5"/>
    <w:rsid w:val="00D64758"/>
    <w:rsid w:val="00D64762"/>
    <w:rsid w:val="00D64839"/>
    <w:rsid w:val="00D64863"/>
    <w:rsid w:val="00D64879"/>
    <w:rsid w:val="00D6493D"/>
    <w:rsid w:val="00D64AB6"/>
    <w:rsid w:val="00D64B10"/>
    <w:rsid w:val="00D64B3E"/>
    <w:rsid w:val="00D64C9A"/>
    <w:rsid w:val="00D64F8F"/>
    <w:rsid w:val="00D65193"/>
    <w:rsid w:val="00D651FE"/>
    <w:rsid w:val="00D6525E"/>
    <w:rsid w:val="00D65289"/>
    <w:rsid w:val="00D6548D"/>
    <w:rsid w:val="00D656A4"/>
    <w:rsid w:val="00D6570A"/>
    <w:rsid w:val="00D65835"/>
    <w:rsid w:val="00D659A0"/>
    <w:rsid w:val="00D659C0"/>
    <w:rsid w:val="00D659F2"/>
    <w:rsid w:val="00D659F5"/>
    <w:rsid w:val="00D65A80"/>
    <w:rsid w:val="00D65AAE"/>
    <w:rsid w:val="00D65BF4"/>
    <w:rsid w:val="00D65C76"/>
    <w:rsid w:val="00D65EC9"/>
    <w:rsid w:val="00D65F76"/>
    <w:rsid w:val="00D66409"/>
    <w:rsid w:val="00D6662A"/>
    <w:rsid w:val="00D66673"/>
    <w:rsid w:val="00D6679E"/>
    <w:rsid w:val="00D6689A"/>
    <w:rsid w:val="00D66928"/>
    <w:rsid w:val="00D66A98"/>
    <w:rsid w:val="00D66ADF"/>
    <w:rsid w:val="00D66B03"/>
    <w:rsid w:val="00D66BEA"/>
    <w:rsid w:val="00D66DCC"/>
    <w:rsid w:val="00D66E0E"/>
    <w:rsid w:val="00D670D1"/>
    <w:rsid w:val="00D6720D"/>
    <w:rsid w:val="00D67224"/>
    <w:rsid w:val="00D673A4"/>
    <w:rsid w:val="00D673DE"/>
    <w:rsid w:val="00D6763F"/>
    <w:rsid w:val="00D6774A"/>
    <w:rsid w:val="00D677B3"/>
    <w:rsid w:val="00D677E3"/>
    <w:rsid w:val="00D67859"/>
    <w:rsid w:val="00D67CE3"/>
    <w:rsid w:val="00D70004"/>
    <w:rsid w:val="00D701C6"/>
    <w:rsid w:val="00D701F1"/>
    <w:rsid w:val="00D7044C"/>
    <w:rsid w:val="00D705C5"/>
    <w:rsid w:val="00D70758"/>
    <w:rsid w:val="00D708FB"/>
    <w:rsid w:val="00D70B00"/>
    <w:rsid w:val="00D70BD6"/>
    <w:rsid w:val="00D70BDE"/>
    <w:rsid w:val="00D70E1A"/>
    <w:rsid w:val="00D7111E"/>
    <w:rsid w:val="00D711AA"/>
    <w:rsid w:val="00D713BA"/>
    <w:rsid w:val="00D71406"/>
    <w:rsid w:val="00D7148C"/>
    <w:rsid w:val="00D7152E"/>
    <w:rsid w:val="00D71912"/>
    <w:rsid w:val="00D71926"/>
    <w:rsid w:val="00D719A5"/>
    <w:rsid w:val="00D719FE"/>
    <w:rsid w:val="00D71AFF"/>
    <w:rsid w:val="00D71B81"/>
    <w:rsid w:val="00D71D14"/>
    <w:rsid w:val="00D71D48"/>
    <w:rsid w:val="00D71D89"/>
    <w:rsid w:val="00D71DB7"/>
    <w:rsid w:val="00D71EC7"/>
    <w:rsid w:val="00D71EF1"/>
    <w:rsid w:val="00D7204D"/>
    <w:rsid w:val="00D72051"/>
    <w:rsid w:val="00D7206F"/>
    <w:rsid w:val="00D7208F"/>
    <w:rsid w:val="00D72599"/>
    <w:rsid w:val="00D7261C"/>
    <w:rsid w:val="00D726DF"/>
    <w:rsid w:val="00D727D9"/>
    <w:rsid w:val="00D72874"/>
    <w:rsid w:val="00D72969"/>
    <w:rsid w:val="00D72B6E"/>
    <w:rsid w:val="00D72BAD"/>
    <w:rsid w:val="00D72C1A"/>
    <w:rsid w:val="00D72DFF"/>
    <w:rsid w:val="00D72EB0"/>
    <w:rsid w:val="00D73049"/>
    <w:rsid w:val="00D731F5"/>
    <w:rsid w:val="00D73260"/>
    <w:rsid w:val="00D73267"/>
    <w:rsid w:val="00D732F7"/>
    <w:rsid w:val="00D73384"/>
    <w:rsid w:val="00D73504"/>
    <w:rsid w:val="00D73528"/>
    <w:rsid w:val="00D73684"/>
    <w:rsid w:val="00D73764"/>
    <w:rsid w:val="00D7376B"/>
    <w:rsid w:val="00D73AEC"/>
    <w:rsid w:val="00D73BB3"/>
    <w:rsid w:val="00D73C66"/>
    <w:rsid w:val="00D73D0C"/>
    <w:rsid w:val="00D74326"/>
    <w:rsid w:val="00D74368"/>
    <w:rsid w:val="00D7456B"/>
    <w:rsid w:val="00D7459B"/>
    <w:rsid w:val="00D74797"/>
    <w:rsid w:val="00D748EC"/>
    <w:rsid w:val="00D74BAA"/>
    <w:rsid w:val="00D74CC5"/>
    <w:rsid w:val="00D74D68"/>
    <w:rsid w:val="00D7511F"/>
    <w:rsid w:val="00D753E4"/>
    <w:rsid w:val="00D7548A"/>
    <w:rsid w:val="00D7548F"/>
    <w:rsid w:val="00D754E7"/>
    <w:rsid w:val="00D75513"/>
    <w:rsid w:val="00D7558F"/>
    <w:rsid w:val="00D756AE"/>
    <w:rsid w:val="00D7582C"/>
    <w:rsid w:val="00D75B38"/>
    <w:rsid w:val="00D75E67"/>
    <w:rsid w:val="00D75E93"/>
    <w:rsid w:val="00D75EEF"/>
    <w:rsid w:val="00D75F5F"/>
    <w:rsid w:val="00D75F63"/>
    <w:rsid w:val="00D75F81"/>
    <w:rsid w:val="00D760D7"/>
    <w:rsid w:val="00D76219"/>
    <w:rsid w:val="00D76432"/>
    <w:rsid w:val="00D7657B"/>
    <w:rsid w:val="00D765CA"/>
    <w:rsid w:val="00D765EF"/>
    <w:rsid w:val="00D76620"/>
    <w:rsid w:val="00D76688"/>
    <w:rsid w:val="00D76691"/>
    <w:rsid w:val="00D76A9F"/>
    <w:rsid w:val="00D76AE5"/>
    <w:rsid w:val="00D76C27"/>
    <w:rsid w:val="00D76E3A"/>
    <w:rsid w:val="00D76ED4"/>
    <w:rsid w:val="00D76F1E"/>
    <w:rsid w:val="00D76F34"/>
    <w:rsid w:val="00D76F3C"/>
    <w:rsid w:val="00D76F62"/>
    <w:rsid w:val="00D770B2"/>
    <w:rsid w:val="00D77300"/>
    <w:rsid w:val="00D775BE"/>
    <w:rsid w:val="00D77B4A"/>
    <w:rsid w:val="00D77BD7"/>
    <w:rsid w:val="00D8011A"/>
    <w:rsid w:val="00D80170"/>
    <w:rsid w:val="00D801C3"/>
    <w:rsid w:val="00D8027E"/>
    <w:rsid w:val="00D8036A"/>
    <w:rsid w:val="00D803D8"/>
    <w:rsid w:val="00D804A0"/>
    <w:rsid w:val="00D8057F"/>
    <w:rsid w:val="00D80619"/>
    <w:rsid w:val="00D80658"/>
    <w:rsid w:val="00D80809"/>
    <w:rsid w:val="00D808A4"/>
    <w:rsid w:val="00D80A66"/>
    <w:rsid w:val="00D80A8A"/>
    <w:rsid w:val="00D80B62"/>
    <w:rsid w:val="00D80B97"/>
    <w:rsid w:val="00D80FD8"/>
    <w:rsid w:val="00D8105D"/>
    <w:rsid w:val="00D8108C"/>
    <w:rsid w:val="00D81253"/>
    <w:rsid w:val="00D81288"/>
    <w:rsid w:val="00D814B9"/>
    <w:rsid w:val="00D81511"/>
    <w:rsid w:val="00D8152C"/>
    <w:rsid w:val="00D815EE"/>
    <w:rsid w:val="00D81618"/>
    <w:rsid w:val="00D81686"/>
    <w:rsid w:val="00D81A0E"/>
    <w:rsid w:val="00D81A78"/>
    <w:rsid w:val="00D81AA2"/>
    <w:rsid w:val="00D81B35"/>
    <w:rsid w:val="00D81FF3"/>
    <w:rsid w:val="00D8214A"/>
    <w:rsid w:val="00D82745"/>
    <w:rsid w:val="00D82855"/>
    <w:rsid w:val="00D829BB"/>
    <w:rsid w:val="00D82C67"/>
    <w:rsid w:val="00D82D49"/>
    <w:rsid w:val="00D82DF8"/>
    <w:rsid w:val="00D82E43"/>
    <w:rsid w:val="00D82FC8"/>
    <w:rsid w:val="00D82FF4"/>
    <w:rsid w:val="00D83124"/>
    <w:rsid w:val="00D831BB"/>
    <w:rsid w:val="00D831CF"/>
    <w:rsid w:val="00D831DA"/>
    <w:rsid w:val="00D83280"/>
    <w:rsid w:val="00D832AE"/>
    <w:rsid w:val="00D83678"/>
    <w:rsid w:val="00D83728"/>
    <w:rsid w:val="00D837D4"/>
    <w:rsid w:val="00D8384C"/>
    <w:rsid w:val="00D83B53"/>
    <w:rsid w:val="00D83BE2"/>
    <w:rsid w:val="00D83C07"/>
    <w:rsid w:val="00D83FD8"/>
    <w:rsid w:val="00D8403A"/>
    <w:rsid w:val="00D8408C"/>
    <w:rsid w:val="00D8410C"/>
    <w:rsid w:val="00D84113"/>
    <w:rsid w:val="00D84163"/>
    <w:rsid w:val="00D84331"/>
    <w:rsid w:val="00D8438F"/>
    <w:rsid w:val="00D84494"/>
    <w:rsid w:val="00D84627"/>
    <w:rsid w:val="00D847C8"/>
    <w:rsid w:val="00D847D5"/>
    <w:rsid w:val="00D8482D"/>
    <w:rsid w:val="00D84AB7"/>
    <w:rsid w:val="00D84BB1"/>
    <w:rsid w:val="00D84BDB"/>
    <w:rsid w:val="00D84BE5"/>
    <w:rsid w:val="00D84E2F"/>
    <w:rsid w:val="00D84EEE"/>
    <w:rsid w:val="00D85056"/>
    <w:rsid w:val="00D850AF"/>
    <w:rsid w:val="00D8518F"/>
    <w:rsid w:val="00D852BB"/>
    <w:rsid w:val="00D852F2"/>
    <w:rsid w:val="00D85543"/>
    <w:rsid w:val="00D857BE"/>
    <w:rsid w:val="00D85D1D"/>
    <w:rsid w:val="00D85D29"/>
    <w:rsid w:val="00D85D58"/>
    <w:rsid w:val="00D85DE1"/>
    <w:rsid w:val="00D85EA1"/>
    <w:rsid w:val="00D860B8"/>
    <w:rsid w:val="00D86166"/>
    <w:rsid w:val="00D86192"/>
    <w:rsid w:val="00D8621B"/>
    <w:rsid w:val="00D8635C"/>
    <w:rsid w:val="00D864F8"/>
    <w:rsid w:val="00D8669D"/>
    <w:rsid w:val="00D86735"/>
    <w:rsid w:val="00D86851"/>
    <w:rsid w:val="00D86889"/>
    <w:rsid w:val="00D8692E"/>
    <w:rsid w:val="00D869D4"/>
    <w:rsid w:val="00D86AC6"/>
    <w:rsid w:val="00D86CD0"/>
    <w:rsid w:val="00D86FCF"/>
    <w:rsid w:val="00D8700F"/>
    <w:rsid w:val="00D8701E"/>
    <w:rsid w:val="00D87676"/>
    <w:rsid w:val="00D87827"/>
    <w:rsid w:val="00D879A2"/>
    <w:rsid w:val="00D87C62"/>
    <w:rsid w:val="00D87F30"/>
    <w:rsid w:val="00D9004F"/>
    <w:rsid w:val="00D900AA"/>
    <w:rsid w:val="00D901D5"/>
    <w:rsid w:val="00D904C8"/>
    <w:rsid w:val="00D904D1"/>
    <w:rsid w:val="00D90904"/>
    <w:rsid w:val="00D90BBD"/>
    <w:rsid w:val="00D90C5C"/>
    <w:rsid w:val="00D90F00"/>
    <w:rsid w:val="00D91444"/>
    <w:rsid w:val="00D91523"/>
    <w:rsid w:val="00D915DF"/>
    <w:rsid w:val="00D916CB"/>
    <w:rsid w:val="00D9170C"/>
    <w:rsid w:val="00D917AF"/>
    <w:rsid w:val="00D91914"/>
    <w:rsid w:val="00D91A96"/>
    <w:rsid w:val="00D91D77"/>
    <w:rsid w:val="00D91DA1"/>
    <w:rsid w:val="00D9227E"/>
    <w:rsid w:val="00D92371"/>
    <w:rsid w:val="00D923FD"/>
    <w:rsid w:val="00D9243B"/>
    <w:rsid w:val="00D924B2"/>
    <w:rsid w:val="00D924BF"/>
    <w:rsid w:val="00D92585"/>
    <w:rsid w:val="00D92678"/>
    <w:rsid w:val="00D926A0"/>
    <w:rsid w:val="00D92814"/>
    <w:rsid w:val="00D929CC"/>
    <w:rsid w:val="00D92B91"/>
    <w:rsid w:val="00D92EC2"/>
    <w:rsid w:val="00D933ED"/>
    <w:rsid w:val="00D9343A"/>
    <w:rsid w:val="00D934AB"/>
    <w:rsid w:val="00D934CB"/>
    <w:rsid w:val="00D93825"/>
    <w:rsid w:val="00D93AA5"/>
    <w:rsid w:val="00D93B61"/>
    <w:rsid w:val="00D93B6B"/>
    <w:rsid w:val="00D93D82"/>
    <w:rsid w:val="00D93F81"/>
    <w:rsid w:val="00D94083"/>
    <w:rsid w:val="00D94167"/>
    <w:rsid w:val="00D94279"/>
    <w:rsid w:val="00D94526"/>
    <w:rsid w:val="00D94B79"/>
    <w:rsid w:val="00D94CB7"/>
    <w:rsid w:val="00D94DB1"/>
    <w:rsid w:val="00D95166"/>
    <w:rsid w:val="00D9518C"/>
    <w:rsid w:val="00D951BE"/>
    <w:rsid w:val="00D951DB"/>
    <w:rsid w:val="00D9521F"/>
    <w:rsid w:val="00D9560A"/>
    <w:rsid w:val="00D9560E"/>
    <w:rsid w:val="00D95793"/>
    <w:rsid w:val="00D95811"/>
    <w:rsid w:val="00D9582C"/>
    <w:rsid w:val="00D958D0"/>
    <w:rsid w:val="00D95C4B"/>
    <w:rsid w:val="00D95D98"/>
    <w:rsid w:val="00D95F2C"/>
    <w:rsid w:val="00D960BA"/>
    <w:rsid w:val="00D960D0"/>
    <w:rsid w:val="00D961B2"/>
    <w:rsid w:val="00D9657D"/>
    <w:rsid w:val="00D96741"/>
    <w:rsid w:val="00D96764"/>
    <w:rsid w:val="00D96A9F"/>
    <w:rsid w:val="00D96D14"/>
    <w:rsid w:val="00D97198"/>
    <w:rsid w:val="00D97214"/>
    <w:rsid w:val="00D972A2"/>
    <w:rsid w:val="00D972EB"/>
    <w:rsid w:val="00D97419"/>
    <w:rsid w:val="00D97452"/>
    <w:rsid w:val="00D97921"/>
    <w:rsid w:val="00D979EE"/>
    <w:rsid w:val="00D97AAC"/>
    <w:rsid w:val="00D97AC8"/>
    <w:rsid w:val="00D97CA2"/>
    <w:rsid w:val="00D97CA4"/>
    <w:rsid w:val="00D97DB9"/>
    <w:rsid w:val="00D97EAF"/>
    <w:rsid w:val="00DA0050"/>
    <w:rsid w:val="00DA0073"/>
    <w:rsid w:val="00DA0108"/>
    <w:rsid w:val="00DA0181"/>
    <w:rsid w:val="00DA02B0"/>
    <w:rsid w:val="00DA035E"/>
    <w:rsid w:val="00DA0367"/>
    <w:rsid w:val="00DA03DB"/>
    <w:rsid w:val="00DA0501"/>
    <w:rsid w:val="00DA054D"/>
    <w:rsid w:val="00DA069B"/>
    <w:rsid w:val="00DA091C"/>
    <w:rsid w:val="00DA0CE6"/>
    <w:rsid w:val="00DA0F0E"/>
    <w:rsid w:val="00DA10BE"/>
    <w:rsid w:val="00DA1537"/>
    <w:rsid w:val="00DA1621"/>
    <w:rsid w:val="00DA182D"/>
    <w:rsid w:val="00DA1A16"/>
    <w:rsid w:val="00DA1A57"/>
    <w:rsid w:val="00DA1AE0"/>
    <w:rsid w:val="00DA1B5A"/>
    <w:rsid w:val="00DA1E48"/>
    <w:rsid w:val="00DA200D"/>
    <w:rsid w:val="00DA207D"/>
    <w:rsid w:val="00DA238D"/>
    <w:rsid w:val="00DA23D5"/>
    <w:rsid w:val="00DA24C8"/>
    <w:rsid w:val="00DA257D"/>
    <w:rsid w:val="00DA25DC"/>
    <w:rsid w:val="00DA27AD"/>
    <w:rsid w:val="00DA2910"/>
    <w:rsid w:val="00DA29C6"/>
    <w:rsid w:val="00DA2B94"/>
    <w:rsid w:val="00DA2DAA"/>
    <w:rsid w:val="00DA2E83"/>
    <w:rsid w:val="00DA303F"/>
    <w:rsid w:val="00DA32EC"/>
    <w:rsid w:val="00DA372E"/>
    <w:rsid w:val="00DA3835"/>
    <w:rsid w:val="00DA3AB0"/>
    <w:rsid w:val="00DA3B41"/>
    <w:rsid w:val="00DA3EF8"/>
    <w:rsid w:val="00DA3F5D"/>
    <w:rsid w:val="00DA3F9F"/>
    <w:rsid w:val="00DA4097"/>
    <w:rsid w:val="00DA41B5"/>
    <w:rsid w:val="00DA4364"/>
    <w:rsid w:val="00DA43B6"/>
    <w:rsid w:val="00DA4543"/>
    <w:rsid w:val="00DA4722"/>
    <w:rsid w:val="00DA47B6"/>
    <w:rsid w:val="00DA4C47"/>
    <w:rsid w:val="00DA4FB0"/>
    <w:rsid w:val="00DA50C8"/>
    <w:rsid w:val="00DA51E7"/>
    <w:rsid w:val="00DA521F"/>
    <w:rsid w:val="00DA524D"/>
    <w:rsid w:val="00DA52B2"/>
    <w:rsid w:val="00DA53B6"/>
    <w:rsid w:val="00DA54AD"/>
    <w:rsid w:val="00DA558D"/>
    <w:rsid w:val="00DA598E"/>
    <w:rsid w:val="00DA5A06"/>
    <w:rsid w:val="00DA5C24"/>
    <w:rsid w:val="00DA5CCE"/>
    <w:rsid w:val="00DA5D8C"/>
    <w:rsid w:val="00DA5F43"/>
    <w:rsid w:val="00DA612F"/>
    <w:rsid w:val="00DA61BE"/>
    <w:rsid w:val="00DA629D"/>
    <w:rsid w:val="00DA65CD"/>
    <w:rsid w:val="00DA6831"/>
    <w:rsid w:val="00DA68F1"/>
    <w:rsid w:val="00DA6997"/>
    <w:rsid w:val="00DA6A06"/>
    <w:rsid w:val="00DA6C0F"/>
    <w:rsid w:val="00DA6C2C"/>
    <w:rsid w:val="00DA6C3C"/>
    <w:rsid w:val="00DA6D35"/>
    <w:rsid w:val="00DA6F31"/>
    <w:rsid w:val="00DA7307"/>
    <w:rsid w:val="00DA73A4"/>
    <w:rsid w:val="00DA750C"/>
    <w:rsid w:val="00DA7852"/>
    <w:rsid w:val="00DA7863"/>
    <w:rsid w:val="00DA797E"/>
    <w:rsid w:val="00DA7BB1"/>
    <w:rsid w:val="00DA7D2A"/>
    <w:rsid w:val="00DB009E"/>
    <w:rsid w:val="00DB0146"/>
    <w:rsid w:val="00DB042C"/>
    <w:rsid w:val="00DB05D1"/>
    <w:rsid w:val="00DB0741"/>
    <w:rsid w:val="00DB0825"/>
    <w:rsid w:val="00DB08E4"/>
    <w:rsid w:val="00DB0A8D"/>
    <w:rsid w:val="00DB0B7E"/>
    <w:rsid w:val="00DB0B9A"/>
    <w:rsid w:val="00DB0C2F"/>
    <w:rsid w:val="00DB0D9E"/>
    <w:rsid w:val="00DB0E6C"/>
    <w:rsid w:val="00DB0FFF"/>
    <w:rsid w:val="00DB10B5"/>
    <w:rsid w:val="00DB10D3"/>
    <w:rsid w:val="00DB115F"/>
    <w:rsid w:val="00DB11F0"/>
    <w:rsid w:val="00DB134A"/>
    <w:rsid w:val="00DB17D2"/>
    <w:rsid w:val="00DB18E6"/>
    <w:rsid w:val="00DB1928"/>
    <w:rsid w:val="00DB1EF1"/>
    <w:rsid w:val="00DB1F00"/>
    <w:rsid w:val="00DB20BA"/>
    <w:rsid w:val="00DB212F"/>
    <w:rsid w:val="00DB2132"/>
    <w:rsid w:val="00DB21C9"/>
    <w:rsid w:val="00DB228D"/>
    <w:rsid w:val="00DB24D9"/>
    <w:rsid w:val="00DB2584"/>
    <w:rsid w:val="00DB267F"/>
    <w:rsid w:val="00DB26CA"/>
    <w:rsid w:val="00DB2B09"/>
    <w:rsid w:val="00DB2E8A"/>
    <w:rsid w:val="00DB2EAD"/>
    <w:rsid w:val="00DB2F04"/>
    <w:rsid w:val="00DB319F"/>
    <w:rsid w:val="00DB334D"/>
    <w:rsid w:val="00DB3517"/>
    <w:rsid w:val="00DB36DC"/>
    <w:rsid w:val="00DB3816"/>
    <w:rsid w:val="00DB3978"/>
    <w:rsid w:val="00DB3BDE"/>
    <w:rsid w:val="00DB3C31"/>
    <w:rsid w:val="00DB3CC0"/>
    <w:rsid w:val="00DB3D95"/>
    <w:rsid w:val="00DB42A3"/>
    <w:rsid w:val="00DB42F1"/>
    <w:rsid w:val="00DB4316"/>
    <w:rsid w:val="00DB43EB"/>
    <w:rsid w:val="00DB451A"/>
    <w:rsid w:val="00DB45C4"/>
    <w:rsid w:val="00DB4693"/>
    <w:rsid w:val="00DB4845"/>
    <w:rsid w:val="00DB48BE"/>
    <w:rsid w:val="00DB497C"/>
    <w:rsid w:val="00DB4BAD"/>
    <w:rsid w:val="00DB4BED"/>
    <w:rsid w:val="00DB4C9E"/>
    <w:rsid w:val="00DB4E9B"/>
    <w:rsid w:val="00DB51D5"/>
    <w:rsid w:val="00DB5223"/>
    <w:rsid w:val="00DB53AC"/>
    <w:rsid w:val="00DB541D"/>
    <w:rsid w:val="00DB565F"/>
    <w:rsid w:val="00DB59A4"/>
    <w:rsid w:val="00DB5A11"/>
    <w:rsid w:val="00DB5A1A"/>
    <w:rsid w:val="00DB5A3B"/>
    <w:rsid w:val="00DB5BB0"/>
    <w:rsid w:val="00DB5D6A"/>
    <w:rsid w:val="00DB5D9C"/>
    <w:rsid w:val="00DB5F94"/>
    <w:rsid w:val="00DB6118"/>
    <w:rsid w:val="00DB617E"/>
    <w:rsid w:val="00DB636D"/>
    <w:rsid w:val="00DB6422"/>
    <w:rsid w:val="00DB6579"/>
    <w:rsid w:val="00DB68CC"/>
    <w:rsid w:val="00DB6AC4"/>
    <w:rsid w:val="00DB6BA1"/>
    <w:rsid w:val="00DB6BAD"/>
    <w:rsid w:val="00DB6BE2"/>
    <w:rsid w:val="00DB6C8B"/>
    <w:rsid w:val="00DB6D4B"/>
    <w:rsid w:val="00DB6DF3"/>
    <w:rsid w:val="00DB6F4D"/>
    <w:rsid w:val="00DB7320"/>
    <w:rsid w:val="00DB74E6"/>
    <w:rsid w:val="00DB7636"/>
    <w:rsid w:val="00DB78FC"/>
    <w:rsid w:val="00DB79D9"/>
    <w:rsid w:val="00DB7AC4"/>
    <w:rsid w:val="00DB7C21"/>
    <w:rsid w:val="00DB7F9B"/>
    <w:rsid w:val="00DC0043"/>
    <w:rsid w:val="00DC005F"/>
    <w:rsid w:val="00DC016D"/>
    <w:rsid w:val="00DC052D"/>
    <w:rsid w:val="00DC0671"/>
    <w:rsid w:val="00DC07E6"/>
    <w:rsid w:val="00DC0B51"/>
    <w:rsid w:val="00DC0BA4"/>
    <w:rsid w:val="00DC0BBA"/>
    <w:rsid w:val="00DC0C4F"/>
    <w:rsid w:val="00DC0D58"/>
    <w:rsid w:val="00DC0D6A"/>
    <w:rsid w:val="00DC0D9A"/>
    <w:rsid w:val="00DC0F7F"/>
    <w:rsid w:val="00DC1086"/>
    <w:rsid w:val="00DC10E0"/>
    <w:rsid w:val="00DC11A5"/>
    <w:rsid w:val="00DC14AC"/>
    <w:rsid w:val="00DC1600"/>
    <w:rsid w:val="00DC161C"/>
    <w:rsid w:val="00DC16DC"/>
    <w:rsid w:val="00DC17E7"/>
    <w:rsid w:val="00DC17FA"/>
    <w:rsid w:val="00DC1873"/>
    <w:rsid w:val="00DC1B00"/>
    <w:rsid w:val="00DC1CC8"/>
    <w:rsid w:val="00DC1DA3"/>
    <w:rsid w:val="00DC1DEF"/>
    <w:rsid w:val="00DC1E19"/>
    <w:rsid w:val="00DC1FF8"/>
    <w:rsid w:val="00DC2023"/>
    <w:rsid w:val="00DC243A"/>
    <w:rsid w:val="00DC2714"/>
    <w:rsid w:val="00DC273B"/>
    <w:rsid w:val="00DC29DC"/>
    <w:rsid w:val="00DC2A3F"/>
    <w:rsid w:val="00DC2B76"/>
    <w:rsid w:val="00DC2CEA"/>
    <w:rsid w:val="00DC2D48"/>
    <w:rsid w:val="00DC2DC2"/>
    <w:rsid w:val="00DC2E95"/>
    <w:rsid w:val="00DC2F1F"/>
    <w:rsid w:val="00DC2FD1"/>
    <w:rsid w:val="00DC3045"/>
    <w:rsid w:val="00DC317F"/>
    <w:rsid w:val="00DC31CE"/>
    <w:rsid w:val="00DC35DE"/>
    <w:rsid w:val="00DC369E"/>
    <w:rsid w:val="00DC36D9"/>
    <w:rsid w:val="00DC3949"/>
    <w:rsid w:val="00DC3ABC"/>
    <w:rsid w:val="00DC3B27"/>
    <w:rsid w:val="00DC3BC0"/>
    <w:rsid w:val="00DC3C92"/>
    <w:rsid w:val="00DC3D36"/>
    <w:rsid w:val="00DC3DEB"/>
    <w:rsid w:val="00DC40B7"/>
    <w:rsid w:val="00DC4463"/>
    <w:rsid w:val="00DC455F"/>
    <w:rsid w:val="00DC4656"/>
    <w:rsid w:val="00DC46CA"/>
    <w:rsid w:val="00DC486F"/>
    <w:rsid w:val="00DC4B0A"/>
    <w:rsid w:val="00DC4E2A"/>
    <w:rsid w:val="00DC4FB7"/>
    <w:rsid w:val="00DC5227"/>
    <w:rsid w:val="00DC5666"/>
    <w:rsid w:val="00DC56F4"/>
    <w:rsid w:val="00DC57A2"/>
    <w:rsid w:val="00DC58DE"/>
    <w:rsid w:val="00DC5A00"/>
    <w:rsid w:val="00DC5E7B"/>
    <w:rsid w:val="00DC5EB0"/>
    <w:rsid w:val="00DC5ED0"/>
    <w:rsid w:val="00DC5F0E"/>
    <w:rsid w:val="00DC6118"/>
    <w:rsid w:val="00DC622E"/>
    <w:rsid w:val="00DC626C"/>
    <w:rsid w:val="00DC6519"/>
    <w:rsid w:val="00DC673F"/>
    <w:rsid w:val="00DC67C5"/>
    <w:rsid w:val="00DC6957"/>
    <w:rsid w:val="00DC699F"/>
    <w:rsid w:val="00DC6AD4"/>
    <w:rsid w:val="00DC6B8E"/>
    <w:rsid w:val="00DC6C4D"/>
    <w:rsid w:val="00DC6DC7"/>
    <w:rsid w:val="00DC6E14"/>
    <w:rsid w:val="00DC6E35"/>
    <w:rsid w:val="00DC6EA4"/>
    <w:rsid w:val="00DC6F2B"/>
    <w:rsid w:val="00DC7085"/>
    <w:rsid w:val="00DC7172"/>
    <w:rsid w:val="00DC723C"/>
    <w:rsid w:val="00DC72FC"/>
    <w:rsid w:val="00DC7363"/>
    <w:rsid w:val="00DC740F"/>
    <w:rsid w:val="00DC7451"/>
    <w:rsid w:val="00DC74F3"/>
    <w:rsid w:val="00DC74FC"/>
    <w:rsid w:val="00DC75B4"/>
    <w:rsid w:val="00DC799E"/>
    <w:rsid w:val="00DC7AD6"/>
    <w:rsid w:val="00DC7BCC"/>
    <w:rsid w:val="00DC7CDB"/>
    <w:rsid w:val="00DC7D56"/>
    <w:rsid w:val="00DC7DB9"/>
    <w:rsid w:val="00DC7DEA"/>
    <w:rsid w:val="00DC7EDA"/>
    <w:rsid w:val="00DC7F41"/>
    <w:rsid w:val="00DC7FE8"/>
    <w:rsid w:val="00DD0169"/>
    <w:rsid w:val="00DD01DD"/>
    <w:rsid w:val="00DD028C"/>
    <w:rsid w:val="00DD0359"/>
    <w:rsid w:val="00DD03DD"/>
    <w:rsid w:val="00DD05CA"/>
    <w:rsid w:val="00DD0618"/>
    <w:rsid w:val="00DD0705"/>
    <w:rsid w:val="00DD0883"/>
    <w:rsid w:val="00DD0996"/>
    <w:rsid w:val="00DD0B62"/>
    <w:rsid w:val="00DD0B75"/>
    <w:rsid w:val="00DD0BD3"/>
    <w:rsid w:val="00DD0D63"/>
    <w:rsid w:val="00DD1015"/>
    <w:rsid w:val="00DD11C3"/>
    <w:rsid w:val="00DD11FC"/>
    <w:rsid w:val="00DD139A"/>
    <w:rsid w:val="00DD1422"/>
    <w:rsid w:val="00DD143D"/>
    <w:rsid w:val="00DD1526"/>
    <w:rsid w:val="00DD1BC7"/>
    <w:rsid w:val="00DD1CEA"/>
    <w:rsid w:val="00DD1E6D"/>
    <w:rsid w:val="00DD1E70"/>
    <w:rsid w:val="00DD1F5A"/>
    <w:rsid w:val="00DD25D0"/>
    <w:rsid w:val="00DD266C"/>
    <w:rsid w:val="00DD26CC"/>
    <w:rsid w:val="00DD27EF"/>
    <w:rsid w:val="00DD29A3"/>
    <w:rsid w:val="00DD2C73"/>
    <w:rsid w:val="00DD2E0B"/>
    <w:rsid w:val="00DD30AA"/>
    <w:rsid w:val="00DD3349"/>
    <w:rsid w:val="00DD33D8"/>
    <w:rsid w:val="00DD3495"/>
    <w:rsid w:val="00DD372C"/>
    <w:rsid w:val="00DD39C7"/>
    <w:rsid w:val="00DD3A54"/>
    <w:rsid w:val="00DD3C69"/>
    <w:rsid w:val="00DD3DAD"/>
    <w:rsid w:val="00DD3EAA"/>
    <w:rsid w:val="00DD3F69"/>
    <w:rsid w:val="00DD40C7"/>
    <w:rsid w:val="00DD40EF"/>
    <w:rsid w:val="00DD4137"/>
    <w:rsid w:val="00DD421C"/>
    <w:rsid w:val="00DD4443"/>
    <w:rsid w:val="00DD457D"/>
    <w:rsid w:val="00DD4769"/>
    <w:rsid w:val="00DD4A8B"/>
    <w:rsid w:val="00DD4A90"/>
    <w:rsid w:val="00DD4BD0"/>
    <w:rsid w:val="00DD4BFE"/>
    <w:rsid w:val="00DD4CA0"/>
    <w:rsid w:val="00DD4CCA"/>
    <w:rsid w:val="00DD5058"/>
    <w:rsid w:val="00DD5123"/>
    <w:rsid w:val="00DD518B"/>
    <w:rsid w:val="00DD51FE"/>
    <w:rsid w:val="00DD535F"/>
    <w:rsid w:val="00DD536D"/>
    <w:rsid w:val="00DD5448"/>
    <w:rsid w:val="00DD550C"/>
    <w:rsid w:val="00DD58AC"/>
    <w:rsid w:val="00DD5B19"/>
    <w:rsid w:val="00DD5B92"/>
    <w:rsid w:val="00DD5CA3"/>
    <w:rsid w:val="00DD60C6"/>
    <w:rsid w:val="00DD626A"/>
    <w:rsid w:val="00DD6272"/>
    <w:rsid w:val="00DD63B7"/>
    <w:rsid w:val="00DD6588"/>
    <w:rsid w:val="00DD6597"/>
    <w:rsid w:val="00DD673B"/>
    <w:rsid w:val="00DD6A54"/>
    <w:rsid w:val="00DD6AC1"/>
    <w:rsid w:val="00DD6B11"/>
    <w:rsid w:val="00DD6B20"/>
    <w:rsid w:val="00DD6B67"/>
    <w:rsid w:val="00DD6D8C"/>
    <w:rsid w:val="00DD6FB2"/>
    <w:rsid w:val="00DD6FC4"/>
    <w:rsid w:val="00DD6FE2"/>
    <w:rsid w:val="00DD7038"/>
    <w:rsid w:val="00DD725B"/>
    <w:rsid w:val="00DD733D"/>
    <w:rsid w:val="00DD740A"/>
    <w:rsid w:val="00DD7421"/>
    <w:rsid w:val="00DD7568"/>
    <w:rsid w:val="00DD7602"/>
    <w:rsid w:val="00DD7872"/>
    <w:rsid w:val="00DD797B"/>
    <w:rsid w:val="00DD7998"/>
    <w:rsid w:val="00DD7A30"/>
    <w:rsid w:val="00DD7D2A"/>
    <w:rsid w:val="00DD7EC3"/>
    <w:rsid w:val="00DD7F1E"/>
    <w:rsid w:val="00DE0132"/>
    <w:rsid w:val="00DE0232"/>
    <w:rsid w:val="00DE023D"/>
    <w:rsid w:val="00DE023F"/>
    <w:rsid w:val="00DE03B3"/>
    <w:rsid w:val="00DE03B4"/>
    <w:rsid w:val="00DE0A22"/>
    <w:rsid w:val="00DE0A91"/>
    <w:rsid w:val="00DE0AF3"/>
    <w:rsid w:val="00DE0B48"/>
    <w:rsid w:val="00DE0BE8"/>
    <w:rsid w:val="00DE0D1D"/>
    <w:rsid w:val="00DE0D4C"/>
    <w:rsid w:val="00DE0F92"/>
    <w:rsid w:val="00DE0FE1"/>
    <w:rsid w:val="00DE1128"/>
    <w:rsid w:val="00DE118D"/>
    <w:rsid w:val="00DE12E7"/>
    <w:rsid w:val="00DE1305"/>
    <w:rsid w:val="00DE138A"/>
    <w:rsid w:val="00DE1696"/>
    <w:rsid w:val="00DE1706"/>
    <w:rsid w:val="00DE1AF9"/>
    <w:rsid w:val="00DE1C5F"/>
    <w:rsid w:val="00DE1D07"/>
    <w:rsid w:val="00DE1DDE"/>
    <w:rsid w:val="00DE20C8"/>
    <w:rsid w:val="00DE22DF"/>
    <w:rsid w:val="00DE23A1"/>
    <w:rsid w:val="00DE2416"/>
    <w:rsid w:val="00DE2456"/>
    <w:rsid w:val="00DE25BA"/>
    <w:rsid w:val="00DE264C"/>
    <w:rsid w:val="00DE26B3"/>
    <w:rsid w:val="00DE292F"/>
    <w:rsid w:val="00DE297C"/>
    <w:rsid w:val="00DE29BD"/>
    <w:rsid w:val="00DE29F6"/>
    <w:rsid w:val="00DE2A0E"/>
    <w:rsid w:val="00DE2B44"/>
    <w:rsid w:val="00DE2C90"/>
    <w:rsid w:val="00DE2C92"/>
    <w:rsid w:val="00DE2D85"/>
    <w:rsid w:val="00DE2F3C"/>
    <w:rsid w:val="00DE301C"/>
    <w:rsid w:val="00DE324E"/>
    <w:rsid w:val="00DE345A"/>
    <w:rsid w:val="00DE34C8"/>
    <w:rsid w:val="00DE3676"/>
    <w:rsid w:val="00DE372D"/>
    <w:rsid w:val="00DE3939"/>
    <w:rsid w:val="00DE3968"/>
    <w:rsid w:val="00DE3978"/>
    <w:rsid w:val="00DE3A96"/>
    <w:rsid w:val="00DE3CB5"/>
    <w:rsid w:val="00DE3CE1"/>
    <w:rsid w:val="00DE3EB5"/>
    <w:rsid w:val="00DE40A9"/>
    <w:rsid w:val="00DE4262"/>
    <w:rsid w:val="00DE43DF"/>
    <w:rsid w:val="00DE46BF"/>
    <w:rsid w:val="00DE4713"/>
    <w:rsid w:val="00DE4839"/>
    <w:rsid w:val="00DE4A4B"/>
    <w:rsid w:val="00DE4AC0"/>
    <w:rsid w:val="00DE4CCE"/>
    <w:rsid w:val="00DE4DEC"/>
    <w:rsid w:val="00DE50DD"/>
    <w:rsid w:val="00DE5232"/>
    <w:rsid w:val="00DE5309"/>
    <w:rsid w:val="00DE554C"/>
    <w:rsid w:val="00DE5870"/>
    <w:rsid w:val="00DE594C"/>
    <w:rsid w:val="00DE5A9A"/>
    <w:rsid w:val="00DE5C82"/>
    <w:rsid w:val="00DE5D44"/>
    <w:rsid w:val="00DE5E69"/>
    <w:rsid w:val="00DE5F1F"/>
    <w:rsid w:val="00DE608A"/>
    <w:rsid w:val="00DE6161"/>
    <w:rsid w:val="00DE6255"/>
    <w:rsid w:val="00DE631A"/>
    <w:rsid w:val="00DE6349"/>
    <w:rsid w:val="00DE64DF"/>
    <w:rsid w:val="00DE6632"/>
    <w:rsid w:val="00DE668B"/>
    <w:rsid w:val="00DE67AF"/>
    <w:rsid w:val="00DE6817"/>
    <w:rsid w:val="00DE686D"/>
    <w:rsid w:val="00DE6A3B"/>
    <w:rsid w:val="00DE6B10"/>
    <w:rsid w:val="00DE6B5A"/>
    <w:rsid w:val="00DE6E1B"/>
    <w:rsid w:val="00DE6F99"/>
    <w:rsid w:val="00DE7080"/>
    <w:rsid w:val="00DE7325"/>
    <w:rsid w:val="00DE746D"/>
    <w:rsid w:val="00DE769C"/>
    <w:rsid w:val="00DE7A88"/>
    <w:rsid w:val="00DE7B09"/>
    <w:rsid w:val="00DE7CF5"/>
    <w:rsid w:val="00DE7DC2"/>
    <w:rsid w:val="00DE7E8D"/>
    <w:rsid w:val="00DE7E8E"/>
    <w:rsid w:val="00DE7ECB"/>
    <w:rsid w:val="00DE7F3B"/>
    <w:rsid w:val="00DF0075"/>
    <w:rsid w:val="00DF01AD"/>
    <w:rsid w:val="00DF03D1"/>
    <w:rsid w:val="00DF06B3"/>
    <w:rsid w:val="00DF0900"/>
    <w:rsid w:val="00DF0BB8"/>
    <w:rsid w:val="00DF0D25"/>
    <w:rsid w:val="00DF0E45"/>
    <w:rsid w:val="00DF0E95"/>
    <w:rsid w:val="00DF0EAC"/>
    <w:rsid w:val="00DF10B3"/>
    <w:rsid w:val="00DF138D"/>
    <w:rsid w:val="00DF15EA"/>
    <w:rsid w:val="00DF16AC"/>
    <w:rsid w:val="00DF179B"/>
    <w:rsid w:val="00DF1857"/>
    <w:rsid w:val="00DF1A56"/>
    <w:rsid w:val="00DF1D5B"/>
    <w:rsid w:val="00DF1EC0"/>
    <w:rsid w:val="00DF1F42"/>
    <w:rsid w:val="00DF20C2"/>
    <w:rsid w:val="00DF23DB"/>
    <w:rsid w:val="00DF2499"/>
    <w:rsid w:val="00DF2664"/>
    <w:rsid w:val="00DF2846"/>
    <w:rsid w:val="00DF286D"/>
    <w:rsid w:val="00DF289E"/>
    <w:rsid w:val="00DF295A"/>
    <w:rsid w:val="00DF2A49"/>
    <w:rsid w:val="00DF2A9F"/>
    <w:rsid w:val="00DF2B95"/>
    <w:rsid w:val="00DF2D75"/>
    <w:rsid w:val="00DF2E89"/>
    <w:rsid w:val="00DF3405"/>
    <w:rsid w:val="00DF34CD"/>
    <w:rsid w:val="00DF3520"/>
    <w:rsid w:val="00DF36D9"/>
    <w:rsid w:val="00DF372A"/>
    <w:rsid w:val="00DF3837"/>
    <w:rsid w:val="00DF3876"/>
    <w:rsid w:val="00DF3B07"/>
    <w:rsid w:val="00DF3B13"/>
    <w:rsid w:val="00DF3C24"/>
    <w:rsid w:val="00DF3CAF"/>
    <w:rsid w:val="00DF3DC2"/>
    <w:rsid w:val="00DF3E3E"/>
    <w:rsid w:val="00DF4151"/>
    <w:rsid w:val="00DF4159"/>
    <w:rsid w:val="00DF4477"/>
    <w:rsid w:val="00DF44F7"/>
    <w:rsid w:val="00DF45B2"/>
    <w:rsid w:val="00DF474D"/>
    <w:rsid w:val="00DF4782"/>
    <w:rsid w:val="00DF4796"/>
    <w:rsid w:val="00DF47EA"/>
    <w:rsid w:val="00DF482E"/>
    <w:rsid w:val="00DF487C"/>
    <w:rsid w:val="00DF4883"/>
    <w:rsid w:val="00DF5169"/>
    <w:rsid w:val="00DF53D1"/>
    <w:rsid w:val="00DF5911"/>
    <w:rsid w:val="00DF59B1"/>
    <w:rsid w:val="00DF59D1"/>
    <w:rsid w:val="00DF5BBA"/>
    <w:rsid w:val="00DF5C24"/>
    <w:rsid w:val="00DF5C8A"/>
    <w:rsid w:val="00DF5CA3"/>
    <w:rsid w:val="00DF5E96"/>
    <w:rsid w:val="00DF5EF4"/>
    <w:rsid w:val="00DF6079"/>
    <w:rsid w:val="00DF6775"/>
    <w:rsid w:val="00DF67C1"/>
    <w:rsid w:val="00DF67F4"/>
    <w:rsid w:val="00DF6A24"/>
    <w:rsid w:val="00DF6B5B"/>
    <w:rsid w:val="00DF6C3D"/>
    <w:rsid w:val="00DF6CAB"/>
    <w:rsid w:val="00DF6CBA"/>
    <w:rsid w:val="00DF6D6F"/>
    <w:rsid w:val="00DF6D9C"/>
    <w:rsid w:val="00DF7065"/>
    <w:rsid w:val="00DF724F"/>
    <w:rsid w:val="00DF748F"/>
    <w:rsid w:val="00DF750B"/>
    <w:rsid w:val="00DF7771"/>
    <w:rsid w:val="00DF7A31"/>
    <w:rsid w:val="00DF7B33"/>
    <w:rsid w:val="00DF7B3A"/>
    <w:rsid w:val="00DF7DA1"/>
    <w:rsid w:val="00DF7DFA"/>
    <w:rsid w:val="00DF7E1C"/>
    <w:rsid w:val="00DF7E71"/>
    <w:rsid w:val="00DF7ED2"/>
    <w:rsid w:val="00DF7F70"/>
    <w:rsid w:val="00E000FD"/>
    <w:rsid w:val="00E001F1"/>
    <w:rsid w:val="00E002A7"/>
    <w:rsid w:val="00E00405"/>
    <w:rsid w:val="00E0043A"/>
    <w:rsid w:val="00E00491"/>
    <w:rsid w:val="00E004DD"/>
    <w:rsid w:val="00E00842"/>
    <w:rsid w:val="00E00B83"/>
    <w:rsid w:val="00E00FA6"/>
    <w:rsid w:val="00E010C8"/>
    <w:rsid w:val="00E01318"/>
    <w:rsid w:val="00E014D3"/>
    <w:rsid w:val="00E0160F"/>
    <w:rsid w:val="00E0164C"/>
    <w:rsid w:val="00E0165C"/>
    <w:rsid w:val="00E0177B"/>
    <w:rsid w:val="00E01856"/>
    <w:rsid w:val="00E01905"/>
    <w:rsid w:val="00E019A3"/>
    <w:rsid w:val="00E01B57"/>
    <w:rsid w:val="00E01D65"/>
    <w:rsid w:val="00E0207C"/>
    <w:rsid w:val="00E02352"/>
    <w:rsid w:val="00E02398"/>
    <w:rsid w:val="00E023DC"/>
    <w:rsid w:val="00E02405"/>
    <w:rsid w:val="00E024F4"/>
    <w:rsid w:val="00E02778"/>
    <w:rsid w:val="00E02BBF"/>
    <w:rsid w:val="00E02D4A"/>
    <w:rsid w:val="00E02DA0"/>
    <w:rsid w:val="00E02F52"/>
    <w:rsid w:val="00E02F75"/>
    <w:rsid w:val="00E02FB9"/>
    <w:rsid w:val="00E0309C"/>
    <w:rsid w:val="00E030EC"/>
    <w:rsid w:val="00E03136"/>
    <w:rsid w:val="00E03154"/>
    <w:rsid w:val="00E032C6"/>
    <w:rsid w:val="00E032FE"/>
    <w:rsid w:val="00E0340E"/>
    <w:rsid w:val="00E034F9"/>
    <w:rsid w:val="00E03624"/>
    <w:rsid w:val="00E036D0"/>
    <w:rsid w:val="00E036EB"/>
    <w:rsid w:val="00E037DE"/>
    <w:rsid w:val="00E03A6F"/>
    <w:rsid w:val="00E03AF1"/>
    <w:rsid w:val="00E03B31"/>
    <w:rsid w:val="00E03B9D"/>
    <w:rsid w:val="00E03C5F"/>
    <w:rsid w:val="00E03C9F"/>
    <w:rsid w:val="00E03E0C"/>
    <w:rsid w:val="00E03F59"/>
    <w:rsid w:val="00E03FCA"/>
    <w:rsid w:val="00E0436B"/>
    <w:rsid w:val="00E0454F"/>
    <w:rsid w:val="00E04688"/>
    <w:rsid w:val="00E04800"/>
    <w:rsid w:val="00E04993"/>
    <w:rsid w:val="00E04AA0"/>
    <w:rsid w:val="00E04B0D"/>
    <w:rsid w:val="00E04D28"/>
    <w:rsid w:val="00E04DAC"/>
    <w:rsid w:val="00E04DF3"/>
    <w:rsid w:val="00E04FE8"/>
    <w:rsid w:val="00E0501E"/>
    <w:rsid w:val="00E057D7"/>
    <w:rsid w:val="00E05A83"/>
    <w:rsid w:val="00E05B3B"/>
    <w:rsid w:val="00E05CA0"/>
    <w:rsid w:val="00E05CB3"/>
    <w:rsid w:val="00E05CB7"/>
    <w:rsid w:val="00E05CC8"/>
    <w:rsid w:val="00E05E3E"/>
    <w:rsid w:val="00E06089"/>
    <w:rsid w:val="00E06347"/>
    <w:rsid w:val="00E06377"/>
    <w:rsid w:val="00E06706"/>
    <w:rsid w:val="00E06715"/>
    <w:rsid w:val="00E06CD4"/>
    <w:rsid w:val="00E06FD6"/>
    <w:rsid w:val="00E07013"/>
    <w:rsid w:val="00E07052"/>
    <w:rsid w:val="00E070C5"/>
    <w:rsid w:val="00E07141"/>
    <w:rsid w:val="00E0718A"/>
    <w:rsid w:val="00E0724B"/>
    <w:rsid w:val="00E07481"/>
    <w:rsid w:val="00E07647"/>
    <w:rsid w:val="00E0786C"/>
    <w:rsid w:val="00E07A17"/>
    <w:rsid w:val="00E07AA8"/>
    <w:rsid w:val="00E07CB7"/>
    <w:rsid w:val="00E07F52"/>
    <w:rsid w:val="00E07F9B"/>
    <w:rsid w:val="00E1001A"/>
    <w:rsid w:val="00E1015A"/>
    <w:rsid w:val="00E101B3"/>
    <w:rsid w:val="00E1047B"/>
    <w:rsid w:val="00E106D9"/>
    <w:rsid w:val="00E10BD6"/>
    <w:rsid w:val="00E10C97"/>
    <w:rsid w:val="00E10E00"/>
    <w:rsid w:val="00E10E1B"/>
    <w:rsid w:val="00E10EF4"/>
    <w:rsid w:val="00E114F9"/>
    <w:rsid w:val="00E1173F"/>
    <w:rsid w:val="00E117E1"/>
    <w:rsid w:val="00E119DC"/>
    <w:rsid w:val="00E11A9B"/>
    <w:rsid w:val="00E11B88"/>
    <w:rsid w:val="00E11BDC"/>
    <w:rsid w:val="00E11C96"/>
    <w:rsid w:val="00E11E9E"/>
    <w:rsid w:val="00E11EA6"/>
    <w:rsid w:val="00E121F1"/>
    <w:rsid w:val="00E122CB"/>
    <w:rsid w:val="00E124F6"/>
    <w:rsid w:val="00E12546"/>
    <w:rsid w:val="00E12929"/>
    <w:rsid w:val="00E12BD7"/>
    <w:rsid w:val="00E12BDB"/>
    <w:rsid w:val="00E12C6F"/>
    <w:rsid w:val="00E12D22"/>
    <w:rsid w:val="00E12DE1"/>
    <w:rsid w:val="00E12EA8"/>
    <w:rsid w:val="00E130BC"/>
    <w:rsid w:val="00E13136"/>
    <w:rsid w:val="00E13206"/>
    <w:rsid w:val="00E1323F"/>
    <w:rsid w:val="00E13502"/>
    <w:rsid w:val="00E1357A"/>
    <w:rsid w:val="00E1377B"/>
    <w:rsid w:val="00E13A2B"/>
    <w:rsid w:val="00E13A88"/>
    <w:rsid w:val="00E13B1C"/>
    <w:rsid w:val="00E13CC0"/>
    <w:rsid w:val="00E13CF6"/>
    <w:rsid w:val="00E13F7C"/>
    <w:rsid w:val="00E143EC"/>
    <w:rsid w:val="00E145D9"/>
    <w:rsid w:val="00E14794"/>
    <w:rsid w:val="00E147C7"/>
    <w:rsid w:val="00E14898"/>
    <w:rsid w:val="00E148A9"/>
    <w:rsid w:val="00E14957"/>
    <w:rsid w:val="00E14976"/>
    <w:rsid w:val="00E14A2E"/>
    <w:rsid w:val="00E14BCE"/>
    <w:rsid w:val="00E14C53"/>
    <w:rsid w:val="00E14C5C"/>
    <w:rsid w:val="00E150AE"/>
    <w:rsid w:val="00E15352"/>
    <w:rsid w:val="00E15447"/>
    <w:rsid w:val="00E1547F"/>
    <w:rsid w:val="00E154D3"/>
    <w:rsid w:val="00E1557C"/>
    <w:rsid w:val="00E155E0"/>
    <w:rsid w:val="00E1566A"/>
    <w:rsid w:val="00E156C6"/>
    <w:rsid w:val="00E15778"/>
    <w:rsid w:val="00E15B80"/>
    <w:rsid w:val="00E15BE3"/>
    <w:rsid w:val="00E15CC8"/>
    <w:rsid w:val="00E15D1F"/>
    <w:rsid w:val="00E15DCD"/>
    <w:rsid w:val="00E15EB9"/>
    <w:rsid w:val="00E16053"/>
    <w:rsid w:val="00E16095"/>
    <w:rsid w:val="00E163DC"/>
    <w:rsid w:val="00E16634"/>
    <w:rsid w:val="00E166AE"/>
    <w:rsid w:val="00E16849"/>
    <w:rsid w:val="00E169BC"/>
    <w:rsid w:val="00E16A6B"/>
    <w:rsid w:val="00E16C7D"/>
    <w:rsid w:val="00E16C9D"/>
    <w:rsid w:val="00E16D56"/>
    <w:rsid w:val="00E16F66"/>
    <w:rsid w:val="00E171DE"/>
    <w:rsid w:val="00E1734A"/>
    <w:rsid w:val="00E173AE"/>
    <w:rsid w:val="00E17586"/>
    <w:rsid w:val="00E175B8"/>
    <w:rsid w:val="00E175F8"/>
    <w:rsid w:val="00E17685"/>
    <w:rsid w:val="00E177A2"/>
    <w:rsid w:val="00E17878"/>
    <w:rsid w:val="00E1797C"/>
    <w:rsid w:val="00E179F0"/>
    <w:rsid w:val="00E17B2D"/>
    <w:rsid w:val="00E17B47"/>
    <w:rsid w:val="00E17ECF"/>
    <w:rsid w:val="00E20198"/>
    <w:rsid w:val="00E206EC"/>
    <w:rsid w:val="00E20703"/>
    <w:rsid w:val="00E20730"/>
    <w:rsid w:val="00E207D5"/>
    <w:rsid w:val="00E20819"/>
    <w:rsid w:val="00E2092E"/>
    <w:rsid w:val="00E20DBA"/>
    <w:rsid w:val="00E20FC6"/>
    <w:rsid w:val="00E20FD7"/>
    <w:rsid w:val="00E210C5"/>
    <w:rsid w:val="00E212E2"/>
    <w:rsid w:val="00E2138F"/>
    <w:rsid w:val="00E2146A"/>
    <w:rsid w:val="00E21503"/>
    <w:rsid w:val="00E215DC"/>
    <w:rsid w:val="00E21642"/>
    <w:rsid w:val="00E21709"/>
    <w:rsid w:val="00E21746"/>
    <w:rsid w:val="00E21787"/>
    <w:rsid w:val="00E2180A"/>
    <w:rsid w:val="00E2181C"/>
    <w:rsid w:val="00E2187D"/>
    <w:rsid w:val="00E21898"/>
    <w:rsid w:val="00E21A18"/>
    <w:rsid w:val="00E21B40"/>
    <w:rsid w:val="00E21CFC"/>
    <w:rsid w:val="00E21D07"/>
    <w:rsid w:val="00E21D69"/>
    <w:rsid w:val="00E21E7B"/>
    <w:rsid w:val="00E21EF2"/>
    <w:rsid w:val="00E2229A"/>
    <w:rsid w:val="00E22875"/>
    <w:rsid w:val="00E228E6"/>
    <w:rsid w:val="00E229FC"/>
    <w:rsid w:val="00E22A58"/>
    <w:rsid w:val="00E22ACD"/>
    <w:rsid w:val="00E22AD4"/>
    <w:rsid w:val="00E22C76"/>
    <w:rsid w:val="00E22D5C"/>
    <w:rsid w:val="00E22DCA"/>
    <w:rsid w:val="00E22E60"/>
    <w:rsid w:val="00E22F0F"/>
    <w:rsid w:val="00E22F29"/>
    <w:rsid w:val="00E22F9A"/>
    <w:rsid w:val="00E22FFE"/>
    <w:rsid w:val="00E230AC"/>
    <w:rsid w:val="00E232BF"/>
    <w:rsid w:val="00E232FB"/>
    <w:rsid w:val="00E23373"/>
    <w:rsid w:val="00E234AA"/>
    <w:rsid w:val="00E2369A"/>
    <w:rsid w:val="00E23A02"/>
    <w:rsid w:val="00E23A8C"/>
    <w:rsid w:val="00E23C1B"/>
    <w:rsid w:val="00E23CC4"/>
    <w:rsid w:val="00E23D5D"/>
    <w:rsid w:val="00E23DB3"/>
    <w:rsid w:val="00E23FE3"/>
    <w:rsid w:val="00E24246"/>
    <w:rsid w:val="00E243D7"/>
    <w:rsid w:val="00E24470"/>
    <w:rsid w:val="00E244FE"/>
    <w:rsid w:val="00E246BF"/>
    <w:rsid w:val="00E24709"/>
    <w:rsid w:val="00E24829"/>
    <w:rsid w:val="00E2492A"/>
    <w:rsid w:val="00E24944"/>
    <w:rsid w:val="00E249B6"/>
    <w:rsid w:val="00E24A2C"/>
    <w:rsid w:val="00E24A7D"/>
    <w:rsid w:val="00E24B3A"/>
    <w:rsid w:val="00E24E65"/>
    <w:rsid w:val="00E24F83"/>
    <w:rsid w:val="00E25029"/>
    <w:rsid w:val="00E2508B"/>
    <w:rsid w:val="00E251AD"/>
    <w:rsid w:val="00E251E4"/>
    <w:rsid w:val="00E25240"/>
    <w:rsid w:val="00E253BC"/>
    <w:rsid w:val="00E254FE"/>
    <w:rsid w:val="00E2557D"/>
    <w:rsid w:val="00E255BA"/>
    <w:rsid w:val="00E2567C"/>
    <w:rsid w:val="00E258E1"/>
    <w:rsid w:val="00E2593A"/>
    <w:rsid w:val="00E25A0E"/>
    <w:rsid w:val="00E25B07"/>
    <w:rsid w:val="00E25B37"/>
    <w:rsid w:val="00E25D33"/>
    <w:rsid w:val="00E25E6A"/>
    <w:rsid w:val="00E25EBC"/>
    <w:rsid w:val="00E26110"/>
    <w:rsid w:val="00E2614D"/>
    <w:rsid w:val="00E26174"/>
    <w:rsid w:val="00E2632B"/>
    <w:rsid w:val="00E26330"/>
    <w:rsid w:val="00E26354"/>
    <w:rsid w:val="00E26362"/>
    <w:rsid w:val="00E265E7"/>
    <w:rsid w:val="00E2667B"/>
    <w:rsid w:val="00E266F7"/>
    <w:rsid w:val="00E26A0C"/>
    <w:rsid w:val="00E26B1A"/>
    <w:rsid w:val="00E26BAD"/>
    <w:rsid w:val="00E26E74"/>
    <w:rsid w:val="00E26F56"/>
    <w:rsid w:val="00E27033"/>
    <w:rsid w:val="00E2710E"/>
    <w:rsid w:val="00E272FC"/>
    <w:rsid w:val="00E274A2"/>
    <w:rsid w:val="00E275CE"/>
    <w:rsid w:val="00E276EC"/>
    <w:rsid w:val="00E27743"/>
    <w:rsid w:val="00E27913"/>
    <w:rsid w:val="00E27A7A"/>
    <w:rsid w:val="00E27B71"/>
    <w:rsid w:val="00E27E3B"/>
    <w:rsid w:val="00E30120"/>
    <w:rsid w:val="00E303F9"/>
    <w:rsid w:val="00E3044F"/>
    <w:rsid w:val="00E30700"/>
    <w:rsid w:val="00E30AB9"/>
    <w:rsid w:val="00E30B31"/>
    <w:rsid w:val="00E30D75"/>
    <w:rsid w:val="00E30E06"/>
    <w:rsid w:val="00E311BA"/>
    <w:rsid w:val="00E31287"/>
    <w:rsid w:val="00E31351"/>
    <w:rsid w:val="00E31378"/>
    <w:rsid w:val="00E31479"/>
    <w:rsid w:val="00E316CF"/>
    <w:rsid w:val="00E31724"/>
    <w:rsid w:val="00E3187C"/>
    <w:rsid w:val="00E31967"/>
    <w:rsid w:val="00E319A5"/>
    <w:rsid w:val="00E31A2B"/>
    <w:rsid w:val="00E31ABD"/>
    <w:rsid w:val="00E31B41"/>
    <w:rsid w:val="00E31E0B"/>
    <w:rsid w:val="00E31FB6"/>
    <w:rsid w:val="00E3200A"/>
    <w:rsid w:val="00E32012"/>
    <w:rsid w:val="00E328C6"/>
    <w:rsid w:val="00E32974"/>
    <w:rsid w:val="00E32AA9"/>
    <w:rsid w:val="00E32BFA"/>
    <w:rsid w:val="00E32D10"/>
    <w:rsid w:val="00E32D26"/>
    <w:rsid w:val="00E330D0"/>
    <w:rsid w:val="00E331C1"/>
    <w:rsid w:val="00E33230"/>
    <w:rsid w:val="00E33305"/>
    <w:rsid w:val="00E33428"/>
    <w:rsid w:val="00E33622"/>
    <w:rsid w:val="00E33688"/>
    <w:rsid w:val="00E336A7"/>
    <w:rsid w:val="00E337B4"/>
    <w:rsid w:val="00E3381E"/>
    <w:rsid w:val="00E33B7D"/>
    <w:rsid w:val="00E33C44"/>
    <w:rsid w:val="00E33C65"/>
    <w:rsid w:val="00E33F0C"/>
    <w:rsid w:val="00E340B2"/>
    <w:rsid w:val="00E3419E"/>
    <w:rsid w:val="00E3432D"/>
    <w:rsid w:val="00E343F7"/>
    <w:rsid w:val="00E34547"/>
    <w:rsid w:val="00E345FB"/>
    <w:rsid w:val="00E34645"/>
    <w:rsid w:val="00E34668"/>
    <w:rsid w:val="00E346E6"/>
    <w:rsid w:val="00E3480B"/>
    <w:rsid w:val="00E348E1"/>
    <w:rsid w:val="00E348E3"/>
    <w:rsid w:val="00E34B57"/>
    <w:rsid w:val="00E34C27"/>
    <w:rsid w:val="00E34C88"/>
    <w:rsid w:val="00E34CDD"/>
    <w:rsid w:val="00E34EB1"/>
    <w:rsid w:val="00E3517A"/>
    <w:rsid w:val="00E3551F"/>
    <w:rsid w:val="00E35560"/>
    <w:rsid w:val="00E355DA"/>
    <w:rsid w:val="00E355F3"/>
    <w:rsid w:val="00E35671"/>
    <w:rsid w:val="00E35A25"/>
    <w:rsid w:val="00E35AAC"/>
    <w:rsid w:val="00E35ADA"/>
    <w:rsid w:val="00E35BE8"/>
    <w:rsid w:val="00E35C2C"/>
    <w:rsid w:val="00E35C39"/>
    <w:rsid w:val="00E35DA3"/>
    <w:rsid w:val="00E35E10"/>
    <w:rsid w:val="00E35EEF"/>
    <w:rsid w:val="00E35EFF"/>
    <w:rsid w:val="00E35F8E"/>
    <w:rsid w:val="00E36258"/>
    <w:rsid w:val="00E3626D"/>
    <w:rsid w:val="00E36332"/>
    <w:rsid w:val="00E36692"/>
    <w:rsid w:val="00E367A7"/>
    <w:rsid w:val="00E36871"/>
    <w:rsid w:val="00E3687E"/>
    <w:rsid w:val="00E368D3"/>
    <w:rsid w:val="00E36CF4"/>
    <w:rsid w:val="00E36D71"/>
    <w:rsid w:val="00E36F27"/>
    <w:rsid w:val="00E36F94"/>
    <w:rsid w:val="00E373DA"/>
    <w:rsid w:val="00E373F7"/>
    <w:rsid w:val="00E37507"/>
    <w:rsid w:val="00E375C8"/>
    <w:rsid w:val="00E375F7"/>
    <w:rsid w:val="00E3782F"/>
    <w:rsid w:val="00E379AE"/>
    <w:rsid w:val="00E379B8"/>
    <w:rsid w:val="00E37AFA"/>
    <w:rsid w:val="00E37BCD"/>
    <w:rsid w:val="00E37D2F"/>
    <w:rsid w:val="00E40029"/>
    <w:rsid w:val="00E401E8"/>
    <w:rsid w:val="00E40298"/>
    <w:rsid w:val="00E4043E"/>
    <w:rsid w:val="00E4059E"/>
    <w:rsid w:val="00E40610"/>
    <w:rsid w:val="00E40825"/>
    <w:rsid w:val="00E40844"/>
    <w:rsid w:val="00E40966"/>
    <w:rsid w:val="00E40972"/>
    <w:rsid w:val="00E40AAA"/>
    <w:rsid w:val="00E40B98"/>
    <w:rsid w:val="00E40BCB"/>
    <w:rsid w:val="00E40BCE"/>
    <w:rsid w:val="00E40CA4"/>
    <w:rsid w:val="00E40D64"/>
    <w:rsid w:val="00E40EF0"/>
    <w:rsid w:val="00E40FD8"/>
    <w:rsid w:val="00E41091"/>
    <w:rsid w:val="00E4112E"/>
    <w:rsid w:val="00E41199"/>
    <w:rsid w:val="00E4151D"/>
    <w:rsid w:val="00E41747"/>
    <w:rsid w:val="00E41F1C"/>
    <w:rsid w:val="00E41F43"/>
    <w:rsid w:val="00E42080"/>
    <w:rsid w:val="00E42261"/>
    <w:rsid w:val="00E42411"/>
    <w:rsid w:val="00E42737"/>
    <w:rsid w:val="00E429CA"/>
    <w:rsid w:val="00E42A45"/>
    <w:rsid w:val="00E42C9B"/>
    <w:rsid w:val="00E42CD1"/>
    <w:rsid w:val="00E42D77"/>
    <w:rsid w:val="00E42FB4"/>
    <w:rsid w:val="00E42FFD"/>
    <w:rsid w:val="00E4327F"/>
    <w:rsid w:val="00E434B7"/>
    <w:rsid w:val="00E434F3"/>
    <w:rsid w:val="00E43589"/>
    <w:rsid w:val="00E4380F"/>
    <w:rsid w:val="00E4386A"/>
    <w:rsid w:val="00E43925"/>
    <w:rsid w:val="00E43FF8"/>
    <w:rsid w:val="00E44086"/>
    <w:rsid w:val="00E44096"/>
    <w:rsid w:val="00E442B0"/>
    <w:rsid w:val="00E4430E"/>
    <w:rsid w:val="00E4438A"/>
    <w:rsid w:val="00E4466E"/>
    <w:rsid w:val="00E447D9"/>
    <w:rsid w:val="00E44995"/>
    <w:rsid w:val="00E44A6A"/>
    <w:rsid w:val="00E44AD1"/>
    <w:rsid w:val="00E44AF3"/>
    <w:rsid w:val="00E44CC2"/>
    <w:rsid w:val="00E44DC0"/>
    <w:rsid w:val="00E44E10"/>
    <w:rsid w:val="00E44E29"/>
    <w:rsid w:val="00E44F72"/>
    <w:rsid w:val="00E44F8E"/>
    <w:rsid w:val="00E45009"/>
    <w:rsid w:val="00E45330"/>
    <w:rsid w:val="00E453D5"/>
    <w:rsid w:val="00E45C38"/>
    <w:rsid w:val="00E45D7D"/>
    <w:rsid w:val="00E45DD3"/>
    <w:rsid w:val="00E46001"/>
    <w:rsid w:val="00E46007"/>
    <w:rsid w:val="00E461E2"/>
    <w:rsid w:val="00E46482"/>
    <w:rsid w:val="00E4664D"/>
    <w:rsid w:val="00E4671F"/>
    <w:rsid w:val="00E4687A"/>
    <w:rsid w:val="00E469A0"/>
    <w:rsid w:val="00E46AA1"/>
    <w:rsid w:val="00E46BFE"/>
    <w:rsid w:val="00E46D76"/>
    <w:rsid w:val="00E46DBA"/>
    <w:rsid w:val="00E46EB1"/>
    <w:rsid w:val="00E46FE2"/>
    <w:rsid w:val="00E4700C"/>
    <w:rsid w:val="00E470A7"/>
    <w:rsid w:val="00E470B8"/>
    <w:rsid w:val="00E470D7"/>
    <w:rsid w:val="00E470DD"/>
    <w:rsid w:val="00E4726B"/>
    <w:rsid w:val="00E4737F"/>
    <w:rsid w:val="00E47450"/>
    <w:rsid w:val="00E47AAD"/>
    <w:rsid w:val="00E47D57"/>
    <w:rsid w:val="00E50134"/>
    <w:rsid w:val="00E5013A"/>
    <w:rsid w:val="00E50394"/>
    <w:rsid w:val="00E503AF"/>
    <w:rsid w:val="00E50572"/>
    <w:rsid w:val="00E505E2"/>
    <w:rsid w:val="00E507B2"/>
    <w:rsid w:val="00E50822"/>
    <w:rsid w:val="00E50CBB"/>
    <w:rsid w:val="00E50ECA"/>
    <w:rsid w:val="00E51005"/>
    <w:rsid w:val="00E51012"/>
    <w:rsid w:val="00E51147"/>
    <w:rsid w:val="00E51415"/>
    <w:rsid w:val="00E514A7"/>
    <w:rsid w:val="00E516D7"/>
    <w:rsid w:val="00E518B9"/>
    <w:rsid w:val="00E518F0"/>
    <w:rsid w:val="00E519EF"/>
    <w:rsid w:val="00E51AE3"/>
    <w:rsid w:val="00E51AFB"/>
    <w:rsid w:val="00E51E13"/>
    <w:rsid w:val="00E5229F"/>
    <w:rsid w:val="00E522EF"/>
    <w:rsid w:val="00E52337"/>
    <w:rsid w:val="00E52512"/>
    <w:rsid w:val="00E525D7"/>
    <w:rsid w:val="00E5261B"/>
    <w:rsid w:val="00E5263C"/>
    <w:rsid w:val="00E5277F"/>
    <w:rsid w:val="00E5282D"/>
    <w:rsid w:val="00E52A26"/>
    <w:rsid w:val="00E52B5D"/>
    <w:rsid w:val="00E52BCC"/>
    <w:rsid w:val="00E52F9B"/>
    <w:rsid w:val="00E53091"/>
    <w:rsid w:val="00E53133"/>
    <w:rsid w:val="00E531C9"/>
    <w:rsid w:val="00E531D7"/>
    <w:rsid w:val="00E532A2"/>
    <w:rsid w:val="00E53369"/>
    <w:rsid w:val="00E5348F"/>
    <w:rsid w:val="00E5368B"/>
    <w:rsid w:val="00E53C22"/>
    <w:rsid w:val="00E53CAE"/>
    <w:rsid w:val="00E53D3A"/>
    <w:rsid w:val="00E53ED1"/>
    <w:rsid w:val="00E540D7"/>
    <w:rsid w:val="00E5422F"/>
    <w:rsid w:val="00E542C6"/>
    <w:rsid w:val="00E5431B"/>
    <w:rsid w:val="00E5446D"/>
    <w:rsid w:val="00E54648"/>
    <w:rsid w:val="00E54794"/>
    <w:rsid w:val="00E54860"/>
    <w:rsid w:val="00E548D5"/>
    <w:rsid w:val="00E54B6E"/>
    <w:rsid w:val="00E54BF1"/>
    <w:rsid w:val="00E54D2C"/>
    <w:rsid w:val="00E54D65"/>
    <w:rsid w:val="00E54DC6"/>
    <w:rsid w:val="00E54EC6"/>
    <w:rsid w:val="00E54EE2"/>
    <w:rsid w:val="00E54F7F"/>
    <w:rsid w:val="00E55072"/>
    <w:rsid w:val="00E550A6"/>
    <w:rsid w:val="00E551EC"/>
    <w:rsid w:val="00E55239"/>
    <w:rsid w:val="00E55358"/>
    <w:rsid w:val="00E553C6"/>
    <w:rsid w:val="00E554A8"/>
    <w:rsid w:val="00E555B1"/>
    <w:rsid w:val="00E5565A"/>
    <w:rsid w:val="00E55ADA"/>
    <w:rsid w:val="00E55AF6"/>
    <w:rsid w:val="00E55B32"/>
    <w:rsid w:val="00E55B33"/>
    <w:rsid w:val="00E55B54"/>
    <w:rsid w:val="00E55C1C"/>
    <w:rsid w:val="00E55C98"/>
    <w:rsid w:val="00E55CDF"/>
    <w:rsid w:val="00E55D2B"/>
    <w:rsid w:val="00E55F70"/>
    <w:rsid w:val="00E55FF1"/>
    <w:rsid w:val="00E560F4"/>
    <w:rsid w:val="00E5629A"/>
    <w:rsid w:val="00E56470"/>
    <w:rsid w:val="00E565BE"/>
    <w:rsid w:val="00E566E9"/>
    <w:rsid w:val="00E56809"/>
    <w:rsid w:val="00E56881"/>
    <w:rsid w:val="00E56B36"/>
    <w:rsid w:val="00E56C33"/>
    <w:rsid w:val="00E56C3C"/>
    <w:rsid w:val="00E56D19"/>
    <w:rsid w:val="00E56D59"/>
    <w:rsid w:val="00E56ED1"/>
    <w:rsid w:val="00E5717B"/>
    <w:rsid w:val="00E571A1"/>
    <w:rsid w:val="00E57209"/>
    <w:rsid w:val="00E5722C"/>
    <w:rsid w:val="00E572AF"/>
    <w:rsid w:val="00E5735E"/>
    <w:rsid w:val="00E57361"/>
    <w:rsid w:val="00E575D9"/>
    <w:rsid w:val="00E577B4"/>
    <w:rsid w:val="00E577CD"/>
    <w:rsid w:val="00E57839"/>
    <w:rsid w:val="00E57D3C"/>
    <w:rsid w:val="00E57F9E"/>
    <w:rsid w:val="00E60204"/>
    <w:rsid w:val="00E6020A"/>
    <w:rsid w:val="00E602CB"/>
    <w:rsid w:val="00E604D3"/>
    <w:rsid w:val="00E6051A"/>
    <w:rsid w:val="00E6068E"/>
    <w:rsid w:val="00E60819"/>
    <w:rsid w:val="00E60A59"/>
    <w:rsid w:val="00E60ABA"/>
    <w:rsid w:val="00E60AEE"/>
    <w:rsid w:val="00E60BF8"/>
    <w:rsid w:val="00E60E8A"/>
    <w:rsid w:val="00E61038"/>
    <w:rsid w:val="00E61076"/>
    <w:rsid w:val="00E61169"/>
    <w:rsid w:val="00E61302"/>
    <w:rsid w:val="00E6134E"/>
    <w:rsid w:val="00E613E4"/>
    <w:rsid w:val="00E614A8"/>
    <w:rsid w:val="00E61699"/>
    <w:rsid w:val="00E616D0"/>
    <w:rsid w:val="00E616EE"/>
    <w:rsid w:val="00E617CE"/>
    <w:rsid w:val="00E61895"/>
    <w:rsid w:val="00E618F9"/>
    <w:rsid w:val="00E61B05"/>
    <w:rsid w:val="00E61BEF"/>
    <w:rsid w:val="00E61D52"/>
    <w:rsid w:val="00E61EF9"/>
    <w:rsid w:val="00E61F02"/>
    <w:rsid w:val="00E62142"/>
    <w:rsid w:val="00E621DA"/>
    <w:rsid w:val="00E62353"/>
    <w:rsid w:val="00E623F6"/>
    <w:rsid w:val="00E624FC"/>
    <w:rsid w:val="00E62693"/>
    <w:rsid w:val="00E627D3"/>
    <w:rsid w:val="00E629D0"/>
    <w:rsid w:val="00E62A2C"/>
    <w:rsid w:val="00E62B6E"/>
    <w:rsid w:val="00E62BEA"/>
    <w:rsid w:val="00E62C6F"/>
    <w:rsid w:val="00E6311E"/>
    <w:rsid w:val="00E63128"/>
    <w:rsid w:val="00E63149"/>
    <w:rsid w:val="00E63235"/>
    <w:rsid w:val="00E63458"/>
    <w:rsid w:val="00E6346F"/>
    <w:rsid w:val="00E634D0"/>
    <w:rsid w:val="00E63520"/>
    <w:rsid w:val="00E63546"/>
    <w:rsid w:val="00E63601"/>
    <w:rsid w:val="00E63617"/>
    <w:rsid w:val="00E6376F"/>
    <w:rsid w:val="00E63901"/>
    <w:rsid w:val="00E63915"/>
    <w:rsid w:val="00E63D5F"/>
    <w:rsid w:val="00E63F49"/>
    <w:rsid w:val="00E63FF2"/>
    <w:rsid w:val="00E64218"/>
    <w:rsid w:val="00E64219"/>
    <w:rsid w:val="00E64371"/>
    <w:rsid w:val="00E64592"/>
    <w:rsid w:val="00E645D3"/>
    <w:rsid w:val="00E64636"/>
    <w:rsid w:val="00E64748"/>
    <w:rsid w:val="00E6486B"/>
    <w:rsid w:val="00E6495D"/>
    <w:rsid w:val="00E64B28"/>
    <w:rsid w:val="00E64B58"/>
    <w:rsid w:val="00E64BB5"/>
    <w:rsid w:val="00E650EF"/>
    <w:rsid w:val="00E6535C"/>
    <w:rsid w:val="00E65362"/>
    <w:rsid w:val="00E65367"/>
    <w:rsid w:val="00E6537C"/>
    <w:rsid w:val="00E65447"/>
    <w:rsid w:val="00E656FA"/>
    <w:rsid w:val="00E659E9"/>
    <w:rsid w:val="00E65B8A"/>
    <w:rsid w:val="00E65D0A"/>
    <w:rsid w:val="00E65F3A"/>
    <w:rsid w:val="00E661CA"/>
    <w:rsid w:val="00E661CC"/>
    <w:rsid w:val="00E663C4"/>
    <w:rsid w:val="00E663D0"/>
    <w:rsid w:val="00E6652A"/>
    <w:rsid w:val="00E666CD"/>
    <w:rsid w:val="00E668BB"/>
    <w:rsid w:val="00E6697D"/>
    <w:rsid w:val="00E66BA8"/>
    <w:rsid w:val="00E66E56"/>
    <w:rsid w:val="00E66E5C"/>
    <w:rsid w:val="00E66EBE"/>
    <w:rsid w:val="00E6735E"/>
    <w:rsid w:val="00E6738F"/>
    <w:rsid w:val="00E6779A"/>
    <w:rsid w:val="00E67AF8"/>
    <w:rsid w:val="00E67B7C"/>
    <w:rsid w:val="00E67B88"/>
    <w:rsid w:val="00E67C2F"/>
    <w:rsid w:val="00E67C71"/>
    <w:rsid w:val="00E67C90"/>
    <w:rsid w:val="00E67D57"/>
    <w:rsid w:val="00E7002B"/>
    <w:rsid w:val="00E7004A"/>
    <w:rsid w:val="00E702A7"/>
    <w:rsid w:val="00E70392"/>
    <w:rsid w:val="00E704A6"/>
    <w:rsid w:val="00E70532"/>
    <w:rsid w:val="00E70698"/>
    <w:rsid w:val="00E707AB"/>
    <w:rsid w:val="00E70AA9"/>
    <w:rsid w:val="00E70CE7"/>
    <w:rsid w:val="00E70E9A"/>
    <w:rsid w:val="00E70F93"/>
    <w:rsid w:val="00E70FFC"/>
    <w:rsid w:val="00E71001"/>
    <w:rsid w:val="00E71041"/>
    <w:rsid w:val="00E71056"/>
    <w:rsid w:val="00E71299"/>
    <w:rsid w:val="00E71688"/>
    <w:rsid w:val="00E71765"/>
    <w:rsid w:val="00E717E2"/>
    <w:rsid w:val="00E719D5"/>
    <w:rsid w:val="00E71A21"/>
    <w:rsid w:val="00E71B83"/>
    <w:rsid w:val="00E71B87"/>
    <w:rsid w:val="00E71BE4"/>
    <w:rsid w:val="00E71D91"/>
    <w:rsid w:val="00E71DAA"/>
    <w:rsid w:val="00E71E43"/>
    <w:rsid w:val="00E72049"/>
    <w:rsid w:val="00E7209D"/>
    <w:rsid w:val="00E7223D"/>
    <w:rsid w:val="00E72295"/>
    <w:rsid w:val="00E7241F"/>
    <w:rsid w:val="00E726D6"/>
    <w:rsid w:val="00E72AA4"/>
    <w:rsid w:val="00E72BE7"/>
    <w:rsid w:val="00E72C5B"/>
    <w:rsid w:val="00E72CB5"/>
    <w:rsid w:val="00E72D8C"/>
    <w:rsid w:val="00E72E44"/>
    <w:rsid w:val="00E73106"/>
    <w:rsid w:val="00E7322C"/>
    <w:rsid w:val="00E73649"/>
    <w:rsid w:val="00E736C4"/>
    <w:rsid w:val="00E737E2"/>
    <w:rsid w:val="00E73BBF"/>
    <w:rsid w:val="00E73F1B"/>
    <w:rsid w:val="00E73F6D"/>
    <w:rsid w:val="00E74021"/>
    <w:rsid w:val="00E74051"/>
    <w:rsid w:val="00E74210"/>
    <w:rsid w:val="00E74247"/>
    <w:rsid w:val="00E7425F"/>
    <w:rsid w:val="00E74349"/>
    <w:rsid w:val="00E7434D"/>
    <w:rsid w:val="00E74391"/>
    <w:rsid w:val="00E7454C"/>
    <w:rsid w:val="00E74CD7"/>
    <w:rsid w:val="00E74D45"/>
    <w:rsid w:val="00E74DCF"/>
    <w:rsid w:val="00E74FD9"/>
    <w:rsid w:val="00E7503F"/>
    <w:rsid w:val="00E7508D"/>
    <w:rsid w:val="00E7528D"/>
    <w:rsid w:val="00E75349"/>
    <w:rsid w:val="00E753EE"/>
    <w:rsid w:val="00E7546C"/>
    <w:rsid w:val="00E756A7"/>
    <w:rsid w:val="00E756FD"/>
    <w:rsid w:val="00E75933"/>
    <w:rsid w:val="00E75ABD"/>
    <w:rsid w:val="00E7606A"/>
    <w:rsid w:val="00E762E1"/>
    <w:rsid w:val="00E76682"/>
    <w:rsid w:val="00E7670A"/>
    <w:rsid w:val="00E76768"/>
    <w:rsid w:val="00E7676C"/>
    <w:rsid w:val="00E76B29"/>
    <w:rsid w:val="00E76B31"/>
    <w:rsid w:val="00E76CE7"/>
    <w:rsid w:val="00E76ED6"/>
    <w:rsid w:val="00E77110"/>
    <w:rsid w:val="00E771EA"/>
    <w:rsid w:val="00E771FB"/>
    <w:rsid w:val="00E7720D"/>
    <w:rsid w:val="00E772DB"/>
    <w:rsid w:val="00E773A2"/>
    <w:rsid w:val="00E773D0"/>
    <w:rsid w:val="00E77532"/>
    <w:rsid w:val="00E775BE"/>
    <w:rsid w:val="00E7760B"/>
    <w:rsid w:val="00E77690"/>
    <w:rsid w:val="00E7776A"/>
    <w:rsid w:val="00E77882"/>
    <w:rsid w:val="00E77898"/>
    <w:rsid w:val="00E779C2"/>
    <w:rsid w:val="00E779EF"/>
    <w:rsid w:val="00E779FB"/>
    <w:rsid w:val="00E77B6B"/>
    <w:rsid w:val="00E77F6F"/>
    <w:rsid w:val="00E800CF"/>
    <w:rsid w:val="00E8010F"/>
    <w:rsid w:val="00E801BF"/>
    <w:rsid w:val="00E80227"/>
    <w:rsid w:val="00E802E9"/>
    <w:rsid w:val="00E80490"/>
    <w:rsid w:val="00E805D6"/>
    <w:rsid w:val="00E80721"/>
    <w:rsid w:val="00E8075B"/>
    <w:rsid w:val="00E8075D"/>
    <w:rsid w:val="00E807F4"/>
    <w:rsid w:val="00E80896"/>
    <w:rsid w:val="00E8089C"/>
    <w:rsid w:val="00E808E7"/>
    <w:rsid w:val="00E8090F"/>
    <w:rsid w:val="00E809C0"/>
    <w:rsid w:val="00E8108A"/>
    <w:rsid w:val="00E81306"/>
    <w:rsid w:val="00E81407"/>
    <w:rsid w:val="00E814B8"/>
    <w:rsid w:val="00E815B7"/>
    <w:rsid w:val="00E81603"/>
    <w:rsid w:val="00E817C3"/>
    <w:rsid w:val="00E817E5"/>
    <w:rsid w:val="00E8195F"/>
    <w:rsid w:val="00E81AE0"/>
    <w:rsid w:val="00E81BB1"/>
    <w:rsid w:val="00E81D59"/>
    <w:rsid w:val="00E81EC3"/>
    <w:rsid w:val="00E81FA2"/>
    <w:rsid w:val="00E8222D"/>
    <w:rsid w:val="00E8233A"/>
    <w:rsid w:val="00E82499"/>
    <w:rsid w:val="00E82596"/>
    <w:rsid w:val="00E82768"/>
    <w:rsid w:val="00E8279D"/>
    <w:rsid w:val="00E827A3"/>
    <w:rsid w:val="00E82A5C"/>
    <w:rsid w:val="00E82B82"/>
    <w:rsid w:val="00E82BB9"/>
    <w:rsid w:val="00E82C9B"/>
    <w:rsid w:val="00E82CBE"/>
    <w:rsid w:val="00E82EB0"/>
    <w:rsid w:val="00E8314D"/>
    <w:rsid w:val="00E8324C"/>
    <w:rsid w:val="00E83289"/>
    <w:rsid w:val="00E8366D"/>
    <w:rsid w:val="00E836C6"/>
    <w:rsid w:val="00E83731"/>
    <w:rsid w:val="00E8378F"/>
    <w:rsid w:val="00E83E72"/>
    <w:rsid w:val="00E83E77"/>
    <w:rsid w:val="00E83EB9"/>
    <w:rsid w:val="00E83F58"/>
    <w:rsid w:val="00E840E4"/>
    <w:rsid w:val="00E84180"/>
    <w:rsid w:val="00E843EB"/>
    <w:rsid w:val="00E844EA"/>
    <w:rsid w:val="00E84729"/>
    <w:rsid w:val="00E84898"/>
    <w:rsid w:val="00E84910"/>
    <w:rsid w:val="00E84AF1"/>
    <w:rsid w:val="00E84B7B"/>
    <w:rsid w:val="00E84DFE"/>
    <w:rsid w:val="00E84E70"/>
    <w:rsid w:val="00E84EC1"/>
    <w:rsid w:val="00E84F91"/>
    <w:rsid w:val="00E84FAF"/>
    <w:rsid w:val="00E84FBC"/>
    <w:rsid w:val="00E850FB"/>
    <w:rsid w:val="00E85186"/>
    <w:rsid w:val="00E8526A"/>
    <w:rsid w:val="00E8538F"/>
    <w:rsid w:val="00E8541C"/>
    <w:rsid w:val="00E85480"/>
    <w:rsid w:val="00E85504"/>
    <w:rsid w:val="00E85581"/>
    <w:rsid w:val="00E85818"/>
    <w:rsid w:val="00E85897"/>
    <w:rsid w:val="00E85992"/>
    <w:rsid w:val="00E859B2"/>
    <w:rsid w:val="00E85A56"/>
    <w:rsid w:val="00E85AAA"/>
    <w:rsid w:val="00E85B15"/>
    <w:rsid w:val="00E85B4C"/>
    <w:rsid w:val="00E85D57"/>
    <w:rsid w:val="00E85F16"/>
    <w:rsid w:val="00E85F2D"/>
    <w:rsid w:val="00E85F71"/>
    <w:rsid w:val="00E8626C"/>
    <w:rsid w:val="00E862AE"/>
    <w:rsid w:val="00E8636D"/>
    <w:rsid w:val="00E863B4"/>
    <w:rsid w:val="00E86650"/>
    <w:rsid w:val="00E86676"/>
    <w:rsid w:val="00E867F6"/>
    <w:rsid w:val="00E8684F"/>
    <w:rsid w:val="00E868C5"/>
    <w:rsid w:val="00E86963"/>
    <w:rsid w:val="00E869ED"/>
    <w:rsid w:val="00E86AA9"/>
    <w:rsid w:val="00E86B48"/>
    <w:rsid w:val="00E86BF3"/>
    <w:rsid w:val="00E86C68"/>
    <w:rsid w:val="00E86CE8"/>
    <w:rsid w:val="00E86CED"/>
    <w:rsid w:val="00E86D68"/>
    <w:rsid w:val="00E86F0C"/>
    <w:rsid w:val="00E86F7B"/>
    <w:rsid w:val="00E87176"/>
    <w:rsid w:val="00E87196"/>
    <w:rsid w:val="00E87546"/>
    <w:rsid w:val="00E87554"/>
    <w:rsid w:val="00E8789B"/>
    <w:rsid w:val="00E878A6"/>
    <w:rsid w:val="00E87AAD"/>
    <w:rsid w:val="00E87E85"/>
    <w:rsid w:val="00E90090"/>
    <w:rsid w:val="00E900C9"/>
    <w:rsid w:val="00E906E3"/>
    <w:rsid w:val="00E90811"/>
    <w:rsid w:val="00E908A2"/>
    <w:rsid w:val="00E909B8"/>
    <w:rsid w:val="00E909C4"/>
    <w:rsid w:val="00E90B92"/>
    <w:rsid w:val="00E90C48"/>
    <w:rsid w:val="00E90CAB"/>
    <w:rsid w:val="00E90F0F"/>
    <w:rsid w:val="00E91001"/>
    <w:rsid w:val="00E91145"/>
    <w:rsid w:val="00E9125B"/>
    <w:rsid w:val="00E9127F"/>
    <w:rsid w:val="00E91452"/>
    <w:rsid w:val="00E915F4"/>
    <w:rsid w:val="00E9168C"/>
    <w:rsid w:val="00E917B3"/>
    <w:rsid w:val="00E91BDA"/>
    <w:rsid w:val="00E91D98"/>
    <w:rsid w:val="00E91D9F"/>
    <w:rsid w:val="00E91DD9"/>
    <w:rsid w:val="00E91E30"/>
    <w:rsid w:val="00E91E6B"/>
    <w:rsid w:val="00E91E7E"/>
    <w:rsid w:val="00E91EEA"/>
    <w:rsid w:val="00E9217A"/>
    <w:rsid w:val="00E92188"/>
    <w:rsid w:val="00E922A0"/>
    <w:rsid w:val="00E92376"/>
    <w:rsid w:val="00E92397"/>
    <w:rsid w:val="00E9258A"/>
    <w:rsid w:val="00E92711"/>
    <w:rsid w:val="00E927C4"/>
    <w:rsid w:val="00E92869"/>
    <w:rsid w:val="00E928A9"/>
    <w:rsid w:val="00E92B73"/>
    <w:rsid w:val="00E92BC4"/>
    <w:rsid w:val="00E92C04"/>
    <w:rsid w:val="00E92D79"/>
    <w:rsid w:val="00E92E0B"/>
    <w:rsid w:val="00E92EE2"/>
    <w:rsid w:val="00E92EEB"/>
    <w:rsid w:val="00E92F92"/>
    <w:rsid w:val="00E9329D"/>
    <w:rsid w:val="00E9349C"/>
    <w:rsid w:val="00E935A0"/>
    <w:rsid w:val="00E935F0"/>
    <w:rsid w:val="00E93600"/>
    <w:rsid w:val="00E93602"/>
    <w:rsid w:val="00E93638"/>
    <w:rsid w:val="00E938D0"/>
    <w:rsid w:val="00E93A06"/>
    <w:rsid w:val="00E93C13"/>
    <w:rsid w:val="00E93C88"/>
    <w:rsid w:val="00E93D33"/>
    <w:rsid w:val="00E93FD4"/>
    <w:rsid w:val="00E940AE"/>
    <w:rsid w:val="00E94436"/>
    <w:rsid w:val="00E94618"/>
    <w:rsid w:val="00E94624"/>
    <w:rsid w:val="00E947F9"/>
    <w:rsid w:val="00E94810"/>
    <w:rsid w:val="00E94A59"/>
    <w:rsid w:val="00E94E98"/>
    <w:rsid w:val="00E94EA6"/>
    <w:rsid w:val="00E95265"/>
    <w:rsid w:val="00E95437"/>
    <w:rsid w:val="00E9546B"/>
    <w:rsid w:val="00E954BF"/>
    <w:rsid w:val="00E957EC"/>
    <w:rsid w:val="00E958F9"/>
    <w:rsid w:val="00E95A12"/>
    <w:rsid w:val="00E95B09"/>
    <w:rsid w:val="00E95C88"/>
    <w:rsid w:val="00E95CBA"/>
    <w:rsid w:val="00E95E15"/>
    <w:rsid w:val="00E95EBB"/>
    <w:rsid w:val="00E95EEE"/>
    <w:rsid w:val="00E95F1C"/>
    <w:rsid w:val="00E95FDD"/>
    <w:rsid w:val="00E9604A"/>
    <w:rsid w:val="00E961E6"/>
    <w:rsid w:val="00E962A5"/>
    <w:rsid w:val="00E964BC"/>
    <w:rsid w:val="00E965D6"/>
    <w:rsid w:val="00E9662C"/>
    <w:rsid w:val="00E9663B"/>
    <w:rsid w:val="00E9664D"/>
    <w:rsid w:val="00E96848"/>
    <w:rsid w:val="00E96A00"/>
    <w:rsid w:val="00E96AD9"/>
    <w:rsid w:val="00E96E1F"/>
    <w:rsid w:val="00E96F0D"/>
    <w:rsid w:val="00E96F16"/>
    <w:rsid w:val="00E96FF7"/>
    <w:rsid w:val="00E97040"/>
    <w:rsid w:val="00E970F6"/>
    <w:rsid w:val="00E97164"/>
    <w:rsid w:val="00E973EC"/>
    <w:rsid w:val="00E974EB"/>
    <w:rsid w:val="00E974FC"/>
    <w:rsid w:val="00E975B4"/>
    <w:rsid w:val="00E977E8"/>
    <w:rsid w:val="00E9790A"/>
    <w:rsid w:val="00E979F9"/>
    <w:rsid w:val="00E97A4D"/>
    <w:rsid w:val="00E97AC7"/>
    <w:rsid w:val="00E97AEC"/>
    <w:rsid w:val="00E97BBC"/>
    <w:rsid w:val="00E97E14"/>
    <w:rsid w:val="00E97E62"/>
    <w:rsid w:val="00E97E6D"/>
    <w:rsid w:val="00E97E77"/>
    <w:rsid w:val="00E97ED4"/>
    <w:rsid w:val="00E97F9C"/>
    <w:rsid w:val="00EA001D"/>
    <w:rsid w:val="00EA0115"/>
    <w:rsid w:val="00EA01B5"/>
    <w:rsid w:val="00EA04C0"/>
    <w:rsid w:val="00EA051B"/>
    <w:rsid w:val="00EA0798"/>
    <w:rsid w:val="00EA07AA"/>
    <w:rsid w:val="00EA0928"/>
    <w:rsid w:val="00EA0C5B"/>
    <w:rsid w:val="00EA0C8C"/>
    <w:rsid w:val="00EA0F19"/>
    <w:rsid w:val="00EA10E5"/>
    <w:rsid w:val="00EA1111"/>
    <w:rsid w:val="00EA1561"/>
    <w:rsid w:val="00EA164D"/>
    <w:rsid w:val="00EA1671"/>
    <w:rsid w:val="00EA18B7"/>
    <w:rsid w:val="00EA1983"/>
    <w:rsid w:val="00EA19FC"/>
    <w:rsid w:val="00EA1BB9"/>
    <w:rsid w:val="00EA1C81"/>
    <w:rsid w:val="00EA1DAD"/>
    <w:rsid w:val="00EA1F50"/>
    <w:rsid w:val="00EA1F93"/>
    <w:rsid w:val="00EA2012"/>
    <w:rsid w:val="00EA20DC"/>
    <w:rsid w:val="00EA22A9"/>
    <w:rsid w:val="00EA24EE"/>
    <w:rsid w:val="00EA266D"/>
    <w:rsid w:val="00EA2770"/>
    <w:rsid w:val="00EA27A4"/>
    <w:rsid w:val="00EA28BC"/>
    <w:rsid w:val="00EA2E05"/>
    <w:rsid w:val="00EA2F38"/>
    <w:rsid w:val="00EA2FD6"/>
    <w:rsid w:val="00EA3050"/>
    <w:rsid w:val="00EA30BA"/>
    <w:rsid w:val="00EA30C0"/>
    <w:rsid w:val="00EA30F5"/>
    <w:rsid w:val="00EA317C"/>
    <w:rsid w:val="00EA3188"/>
    <w:rsid w:val="00EA3244"/>
    <w:rsid w:val="00EA3278"/>
    <w:rsid w:val="00EA32B7"/>
    <w:rsid w:val="00EA3520"/>
    <w:rsid w:val="00EA3584"/>
    <w:rsid w:val="00EA38F2"/>
    <w:rsid w:val="00EA3B30"/>
    <w:rsid w:val="00EA3B65"/>
    <w:rsid w:val="00EA3BDA"/>
    <w:rsid w:val="00EA3BE4"/>
    <w:rsid w:val="00EA3DCB"/>
    <w:rsid w:val="00EA3F08"/>
    <w:rsid w:val="00EA3FC5"/>
    <w:rsid w:val="00EA4025"/>
    <w:rsid w:val="00EA42C7"/>
    <w:rsid w:val="00EA42ED"/>
    <w:rsid w:val="00EA43C8"/>
    <w:rsid w:val="00EA4416"/>
    <w:rsid w:val="00EA442E"/>
    <w:rsid w:val="00EA449D"/>
    <w:rsid w:val="00EA4700"/>
    <w:rsid w:val="00EA47D0"/>
    <w:rsid w:val="00EA4928"/>
    <w:rsid w:val="00EA4A00"/>
    <w:rsid w:val="00EA4C83"/>
    <w:rsid w:val="00EA4CDB"/>
    <w:rsid w:val="00EA4CED"/>
    <w:rsid w:val="00EA4F13"/>
    <w:rsid w:val="00EA5021"/>
    <w:rsid w:val="00EA5163"/>
    <w:rsid w:val="00EA524F"/>
    <w:rsid w:val="00EA52B8"/>
    <w:rsid w:val="00EA52EE"/>
    <w:rsid w:val="00EA5322"/>
    <w:rsid w:val="00EA537D"/>
    <w:rsid w:val="00EA546D"/>
    <w:rsid w:val="00EA55BC"/>
    <w:rsid w:val="00EA5928"/>
    <w:rsid w:val="00EA59B3"/>
    <w:rsid w:val="00EA59FE"/>
    <w:rsid w:val="00EA5A79"/>
    <w:rsid w:val="00EA5E0A"/>
    <w:rsid w:val="00EA5E7C"/>
    <w:rsid w:val="00EA60CA"/>
    <w:rsid w:val="00EA6161"/>
    <w:rsid w:val="00EA6164"/>
    <w:rsid w:val="00EA619A"/>
    <w:rsid w:val="00EA62D2"/>
    <w:rsid w:val="00EA63CD"/>
    <w:rsid w:val="00EA6576"/>
    <w:rsid w:val="00EA6903"/>
    <w:rsid w:val="00EA69E2"/>
    <w:rsid w:val="00EA6B62"/>
    <w:rsid w:val="00EA6BA4"/>
    <w:rsid w:val="00EA6D3F"/>
    <w:rsid w:val="00EA70FB"/>
    <w:rsid w:val="00EA71D3"/>
    <w:rsid w:val="00EA72D1"/>
    <w:rsid w:val="00EA73B0"/>
    <w:rsid w:val="00EA74FE"/>
    <w:rsid w:val="00EA763C"/>
    <w:rsid w:val="00EA76A9"/>
    <w:rsid w:val="00EA7803"/>
    <w:rsid w:val="00EA7915"/>
    <w:rsid w:val="00EA7A5D"/>
    <w:rsid w:val="00EA7A91"/>
    <w:rsid w:val="00EA7C5D"/>
    <w:rsid w:val="00EA7F7C"/>
    <w:rsid w:val="00EA7FB8"/>
    <w:rsid w:val="00EB02B8"/>
    <w:rsid w:val="00EB0479"/>
    <w:rsid w:val="00EB060C"/>
    <w:rsid w:val="00EB07DF"/>
    <w:rsid w:val="00EB0BBA"/>
    <w:rsid w:val="00EB0BC3"/>
    <w:rsid w:val="00EB0BC9"/>
    <w:rsid w:val="00EB0E70"/>
    <w:rsid w:val="00EB0F43"/>
    <w:rsid w:val="00EB1119"/>
    <w:rsid w:val="00EB1142"/>
    <w:rsid w:val="00EB11AC"/>
    <w:rsid w:val="00EB11D9"/>
    <w:rsid w:val="00EB12F9"/>
    <w:rsid w:val="00EB1555"/>
    <w:rsid w:val="00EB1656"/>
    <w:rsid w:val="00EB167C"/>
    <w:rsid w:val="00EB1784"/>
    <w:rsid w:val="00EB1838"/>
    <w:rsid w:val="00EB1AA5"/>
    <w:rsid w:val="00EB1E0C"/>
    <w:rsid w:val="00EB1E5C"/>
    <w:rsid w:val="00EB1E71"/>
    <w:rsid w:val="00EB1E8D"/>
    <w:rsid w:val="00EB2124"/>
    <w:rsid w:val="00EB2213"/>
    <w:rsid w:val="00EB2215"/>
    <w:rsid w:val="00EB2320"/>
    <w:rsid w:val="00EB23CA"/>
    <w:rsid w:val="00EB23DB"/>
    <w:rsid w:val="00EB2495"/>
    <w:rsid w:val="00EB2514"/>
    <w:rsid w:val="00EB2552"/>
    <w:rsid w:val="00EB2612"/>
    <w:rsid w:val="00EB26A3"/>
    <w:rsid w:val="00EB2887"/>
    <w:rsid w:val="00EB2989"/>
    <w:rsid w:val="00EB2AE5"/>
    <w:rsid w:val="00EB2B2F"/>
    <w:rsid w:val="00EB2F2C"/>
    <w:rsid w:val="00EB2F61"/>
    <w:rsid w:val="00EB31DD"/>
    <w:rsid w:val="00EB3924"/>
    <w:rsid w:val="00EB3C6E"/>
    <w:rsid w:val="00EB3DA6"/>
    <w:rsid w:val="00EB3E0C"/>
    <w:rsid w:val="00EB3F8A"/>
    <w:rsid w:val="00EB40B2"/>
    <w:rsid w:val="00EB42F0"/>
    <w:rsid w:val="00EB432E"/>
    <w:rsid w:val="00EB48C5"/>
    <w:rsid w:val="00EB49D3"/>
    <w:rsid w:val="00EB4AEC"/>
    <w:rsid w:val="00EB4E2F"/>
    <w:rsid w:val="00EB50B6"/>
    <w:rsid w:val="00EB51B1"/>
    <w:rsid w:val="00EB5215"/>
    <w:rsid w:val="00EB5330"/>
    <w:rsid w:val="00EB536D"/>
    <w:rsid w:val="00EB5414"/>
    <w:rsid w:val="00EB5667"/>
    <w:rsid w:val="00EB56AF"/>
    <w:rsid w:val="00EB56E0"/>
    <w:rsid w:val="00EB58D6"/>
    <w:rsid w:val="00EB59EB"/>
    <w:rsid w:val="00EB5A9B"/>
    <w:rsid w:val="00EB5AB8"/>
    <w:rsid w:val="00EB5C3E"/>
    <w:rsid w:val="00EB5CC7"/>
    <w:rsid w:val="00EB5D36"/>
    <w:rsid w:val="00EB5E70"/>
    <w:rsid w:val="00EB5F9B"/>
    <w:rsid w:val="00EB5FCE"/>
    <w:rsid w:val="00EB618E"/>
    <w:rsid w:val="00EB659F"/>
    <w:rsid w:val="00EB6794"/>
    <w:rsid w:val="00EB6969"/>
    <w:rsid w:val="00EB6BE0"/>
    <w:rsid w:val="00EB6BF4"/>
    <w:rsid w:val="00EB6F28"/>
    <w:rsid w:val="00EB7014"/>
    <w:rsid w:val="00EB703E"/>
    <w:rsid w:val="00EB703F"/>
    <w:rsid w:val="00EB71CA"/>
    <w:rsid w:val="00EB7525"/>
    <w:rsid w:val="00EB7541"/>
    <w:rsid w:val="00EB757C"/>
    <w:rsid w:val="00EB7A54"/>
    <w:rsid w:val="00EB7A9E"/>
    <w:rsid w:val="00EB7B53"/>
    <w:rsid w:val="00EB7C22"/>
    <w:rsid w:val="00EB7D47"/>
    <w:rsid w:val="00EB7D86"/>
    <w:rsid w:val="00EB7FCB"/>
    <w:rsid w:val="00EB7FEC"/>
    <w:rsid w:val="00EC0631"/>
    <w:rsid w:val="00EC0760"/>
    <w:rsid w:val="00EC0A0C"/>
    <w:rsid w:val="00EC0B2B"/>
    <w:rsid w:val="00EC0B37"/>
    <w:rsid w:val="00EC0F8C"/>
    <w:rsid w:val="00EC101F"/>
    <w:rsid w:val="00EC125E"/>
    <w:rsid w:val="00EC13D3"/>
    <w:rsid w:val="00EC1468"/>
    <w:rsid w:val="00EC153F"/>
    <w:rsid w:val="00EC15A8"/>
    <w:rsid w:val="00EC164F"/>
    <w:rsid w:val="00EC187F"/>
    <w:rsid w:val="00EC1A7F"/>
    <w:rsid w:val="00EC1B2F"/>
    <w:rsid w:val="00EC1B69"/>
    <w:rsid w:val="00EC1C5F"/>
    <w:rsid w:val="00EC1FCA"/>
    <w:rsid w:val="00EC21C7"/>
    <w:rsid w:val="00EC22AD"/>
    <w:rsid w:val="00EC24FA"/>
    <w:rsid w:val="00EC2531"/>
    <w:rsid w:val="00EC267B"/>
    <w:rsid w:val="00EC29BE"/>
    <w:rsid w:val="00EC2ABC"/>
    <w:rsid w:val="00EC2ACF"/>
    <w:rsid w:val="00EC2BE8"/>
    <w:rsid w:val="00EC2E8F"/>
    <w:rsid w:val="00EC2F0C"/>
    <w:rsid w:val="00EC3089"/>
    <w:rsid w:val="00EC335C"/>
    <w:rsid w:val="00EC336D"/>
    <w:rsid w:val="00EC3646"/>
    <w:rsid w:val="00EC36C7"/>
    <w:rsid w:val="00EC38F0"/>
    <w:rsid w:val="00EC3E2C"/>
    <w:rsid w:val="00EC3EAC"/>
    <w:rsid w:val="00EC4031"/>
    <w:rsid w:val="00EC43B5"/>
    <w:rsid w:val="00EC4443"/>
    <w:rsid w:val="00EC4455"/>
    <w:rsid w:val="00EC4488"/>
    <w:rsid w:val="00EC44DE"/>
    <w:rsid w:val="00EC4569"/>
    <w:rsid w:val="00EC4636"/>
    <w:rsid w:val="00EC46E6"/>
    <w:rsid w:val="00EC49C0"/>
    <w:rsid w:val="00EC4A85"/>
    <w:rsid w:val="00EC4A9E"/>
    <w:rsid w:val="00EC4B36"/>
    <w:rsid w:val="00EC4CB4"/>
    <w:rsid w:val="00EC4D20"/>
    <w:rsid w:val="00EC4DDD"/>
    <w:rsid w:val="00EC4E2D"/>
    <w:rsid w:val="00EC4EA2"/>
    <w:rsid w:val="00EC4ED1"/>
    <w:rsid w:val="00EC4F9B"/>
    <w:rsid w:val="00EC4F9E"/>
    <w:rsid w:val="00EC5010"/>
    <w:rsid w:val="00EC509A"/>
    <w:rsid w:val="00EC5171"/>
    <w:rsid w:val="00EC527E"/>
    <w:rsid w:val="00EC5460"/>
    <w:rsid w:val="00EC54EE"/>
    <w:rsid w:val="00EC552E"/>
    <w:rsid w:val="00EC569A"/>
    <w:rsid w:val="00EC5792"/>
    <w:rsid w:val="00EC5968"/>
    <w:rsid w:val="00EC5974"/>
    <w:rsid w:val="00EC5DEC"/>
    <w:rsid w:val="00EC5E88"/>
    <w:rsid w:val="00EC6126"/>
    <w:rsid w:val="00EC6177"/>
    <w:rsid w:val="00EC61DA"/>
    <w:rsid w:val="00EC631A"/>
    <w:rsid w:val="00EC63A8"/>
    <w:rsid w:val="00EC64BC"/>
    <w:rsid w:val="00EC67D6"/>
    <w:rsid w:val="00EC698A"/>
    <w:rsid w:val="00EC6BDE"/>
    <w:rsid w:val="00EC6C3D"/>
    <w:rsid w:val="00EC6F1B"/>
    <w:rsid w:val="00EC6F8D"/>
    <w:rsid w:val="00EC6FAF"/>
    <w:rsid w:val="00EC7191"/>
    <w:rsid w:val="00EC72DD"/>
    <w:rsid w:val="00EC75A3"/>
    <w:rsid w:val="00EC75F4"/>
    <w:rsid w:val="00EC763E"/>
    <w:rsid w:val="00EC76E2"/>
    <w:rsid w:val="00EC7755"/>
    <w:rsid w:val="00EC79A1"/>
    <w:rsid w:val="00EC7AE1"/>
    <w:rsid w:val="00EC7B38"/>
    <w:rsid w:val="00EC7CEA"/>
    <w:rsid w:val="00EC7F54"/>
    <w:rsid w:val="00ED0058"/>
    <w:rsid w:val="00ED00B4"/>
    <w:rsid w:val="00ED00BD"/>
    <w:rsid w:val="00ED0181"/>
    <w:rsid w:val="00ED025F"/>
    <w:rsid w:val="00ED02CB"/>
    <w:rsid w:val="00ED02D3"/>
    <w:rsid w:val="00ED042A"/>
    <w:rsid w:val="00ED049C"/>
    <w:rsid w:val="00ED0525"/>
    <w:rsid w:val="00ED07E0"/>
    <w:rsid w:val="00ED0868"/>
    <w:rsid w:val="00ED0870"/>
    <w:rsid w:val="00ED0AEB"/>
    <w:rsid w:val="00ED0F6E"/>
    <w:rsid w:val="00ED106C"/>
    <w:rsid w:val="00ED1351"/>
    <w:rsid w:val="00ED139A"/>
    <w:rsid w:val="00ED141B"/>
    <w:rsid w:val="00ED14A4"/>
    <w:rsid w:val="00ED168B"/>
    <w:rsid w:val="00ED17E4"/>
    <w:rsid w:val="00ED18BA"/>
    <w:rsid w:val="00ED1946"/>
    <w:rsid w:val="00ED1A77"/>
    <w:rsid w:val="00ED1A89"/>
    <w:rsid w:val="00ED1BDF"/>
    <w:rsid w:val="00ED1CEE"/>
    <w:rsid w:val="00ED1D06"/>
    <w:rsid w:val="00ED1E08"/>
    <w:rsid w:val="00ED1EA8"/>
    <w:rsid w:val="00ED1EAB"/>
    <w:rsid w:val="00ED2019"/>
    <w:rsid w:val="00ED2140"/>
    <w:rsid w:val="00ED232E"/>
    <w:rsid w:val="00ED23AE"/>
    <w:rsid w:val="00ED241D"/>
    <w:rsid w:val="00ED242D"/>
    <w:rsid w:val="00ED2652"/>
    <w:rsid w:val="00ED26B7"/>
    <w:rsid w:val="00ED27FA"/>
    <w:rsid w:val="00ED292B"/>
    <w:rsid w:val="00ED29BF"/>
    <w:rsid w:val="00ED2A98"/>
    <w:rsid w:val="00ED2C3B"/>
    <w:rsid w:val="00ED2DFC"/>
    <w:rsid w:val="00ED2EAC"/>
    <w:rsid w:val="00ED2EF1"/>
    <w:rsid w:val="00ED318E"/>
    <w:rsid w:val="00ED32C8"/>
    <w:rsid w:val="00ED333F"/>
    <w:rsid w:val="00ED3383"/>
    <w:rsid w:val="00ED341B"/>
    <w:rsid w:val="00ED3547"/>
    <w:rsid w:val="00ED3803"/>
    <w:rsid w:val="00ED3900"/>
    <w:rsid w:val="00ED394D"/>
    <w:rsid w:val="00ED3A44"/>
    <w:rsid w:val="00ED3DE3"/>
    <w:rsid w:val="00ED3E66"/>
    <w:rsid w:val="00ED3EF7"/>
    <w:rsid w:val="00ED3F3D"/>
    <w:rsid w:val="00ED3F66"/>
    <w:rsid w:val="00ED3F6F"/>
    <w:rsid w:val="00ED41F7"/>
    <w:rsid w:val="00ED42F5"/>
    <w:rsid w:val="00ED44B8"/>
    <w:rsid w:val="00ED4608"/>
    <w:rsid w:val="00ED4809"/>
    <w:rsid w:val="00ED4916"/>
    <w:rsid w:val="00ED4A33"/>
    <w:rsid w:val="00ED4AED"/>
    <w:rsid w:val="00ED4B7D"/>
    <w:rsid w:val="00ED4D42"/>
    <w:rsid w:val="00ED4D6E"/>
    <w:rsid w:val="00ED5168"/>
    <w:rsid w:val="00ED51FB"/>
    <w:rsid w:val="00ED541C"/>
    <w:rsid w:val="00ED572A"/>
    <w:rsid w:val="00ED57FC"/>
    <w:rsid w:val="00ED587D"/>
    <w:rsid w:val="00ED5932"/>
    <w:rsid w:val="00ED5B25"/>
    <w:rsid w:val="00ED5C50"/>
    <w:rsid w:val="00ED5D31"/>
    <w:rsid w:val="00ED5DD1"/>
    <w:rsid w:val="00ED5E1D"/>
    <w:rsid w:val="00ED5FAF"/>
    <w:rsid w:val="00ED6019"/>
    <w:rsid w:val="00ED6724"/>
    <w:rsid w:val="00ED6972"/>
    <w:rsid w:val="00ED6A36"/>
    <w:rsid w:val="00ED6A96"/>
    <w:rsid w:val="00ED6B26"/>
    <w:rsid w:val="00ED6B71"/>
    <w:rsid w:val="00ED6DA4"/>
    <w:rsid w:val="00ED6E18"/>
    <w:rsid w:val="00ED7035"/>
    <w:rsid w:val="00ED7229"/>
    <w:rsid w:val="00ED7235"/>
    <w:rsid w:val="00ED72D1"/>
    <w:rsid w:val="00ED7470"/>
    <w:rsid w:val="00ED74EB"/>
    <w:rsid w:val="00ED7825"/>
    <w:rsid w:val="00ED7A10"/>
    <w:rsid w:val="00ED7AEA"/>
    <w:rsid w:val="00ED7BC8"/>
    <w:rsid w:val="00ED7D0B"/>
    <w:rsid w:val="00ED7E3F"/>
    <w:rsid w:val="00EE0078"/>
    <w:rsid w:val="00EE01D8"/>
    <w:rsid w:val="00EE028C"/>
    <w:rsid w:val="00EE02DF"/>
    <w:rsid w:val="00EE0444"/>
    <w:rsid w:val="00EE04EB"/>
    <w:rsid w:val="00EE05FD"/>
    <w:rsid w:val="00EE071F"/>
    <w:rsid w:val="00EE094B"/>
    <w:rsid w:val="00EE0B66"/>
    <w:rsid w:val="00EE0B87"/>
    <w:rsid w:val="00EE0DF4"/>
    <w:rsid w:val="00EE0ECB"/>
    <w:rsid w:val="00EE0F9B"/>
    <w:rsid w:val="00EE12CA"/>
    <w:rsid w:val="00EE13C0"/>
    <w:rsid w:val="00EE14B0"/>
    <w:rsid w:val="00EE1552"/>
    <w:rsid w:val="00EE1673"/>
    <w:rsid w:val="00EE17D8"/>
    <w:rsid w:val="00EE1880"/>
    <w:rsid w:val="00EE18B5"/>
    <w:rsid w:val="00EE18DB"/>
    <w:rsid w:val="00EE1AC7"/>
    <w:rsid w:val="00EE1C5A"/>
    <w:rsid w:val="00EE1CCF"/>
    <w:rsid w:val="00EE1DF3"/>
    <w:rsid w:val="00EE2040"/>
    <w:rsid w:val="00EE20DA"/>
    <w:rsid w:val="00EE2108"/>
    <w:rsid w:val="00EE21C5"/>
    <w:rsid w:val="00EE2202"/>
    <w:rsid w:val="00EE2334"/>
    <w:rsid w:val="00EE237C"/>
    <w:rsid w:val="00EE259B"/>
    <w:rsid w:val="00EE25BF"/>
    <w:rsid w:val="00EE270E"/>
    <w:rsid w:val="00EE2711"/>
    <w:rsid w:val="00EE28EC"/>
    <w:rsid w:val="00EE29B4"/>
    <w:rsid w:val="00EE29BA"/>
    <w:rsid w:val="00EE2CCF"/>
    <w:rsid w:val="00EE2CDC"/>
    <w:rsid w:val="00EE2D1A"/>
    <w:rsid w:val="00EE2DF1"/>
    <w:rsid w:val="00EE2DF3"/>
    <w:rsid w:val="00EE2F44"/>
    <w:rsid w:val="00EE2FBC"/>
    <w:rsid w:val="00EE3278"/>
    <w:rsid w:val="00EE343E"/>
    <w:rsid w:val="00EE3964"/>
    <w:rsid w:val="00EE3A99"/>
    <w:rsid w:val="00EE3E2C"/>
    <w:rsid w:val="00EE42C2"/>
    <w:rsid w:val="00EE42F3"/>
    <w:rsid w:val="00EE4367"/>
    <w:rsid w:val="00EE4376"/>
    <w:rsid w:val="00EE43C6"/>
    <w:rsid w:val="00EE449B"/>
    <w:rsid w:val="00EE4601"/>
    <w:rsid w:val="00EE4729"/>
    <w:rsid w:val="00EE472A"/>
    <w:rsid w:val="00EE4734"/>
    <w:rsid w:val="00EE496E"/>
    <w:rsid w:val="00EE49B0"/>
    <w:rsid w:val="00EE4C19"/>
    <w:rsid w:val="00EE4E24"/>
    <w:rsid w:val="00EE5534"/>
    <w:rsid w:val="00EE56FA"/>
    <w:rsid w:val="00EE5A96"/>
    <w:rsid w:val="00EE5B4F"/>
    <w:rsid w:val="00EE5BAB"/>
    <w:rsid w:val="00EE5CEE"/>
    <w:rsid w:val="00EE5D47"/>
    <w:rsid w:val="00EE5EB1"/>
    <w:rsid w:val="00EE6176"/>
    <w:rsid w:val="00EE62D5"/>
    <w:rsid w:val="00EE63B0"/>
    <w:rsid w:val="00EE643D"/>
    <w:rsid w:val="00EE65BA"/>
    <w:rsid w:val="00EE67D5"/>
    <w:rsid w:val="00EE6A35"/>
    <w:rsid w:val="00EE6AAB"/>
    <w:rsid w:val="00EE6DE6"/>
    <w:rsid w:val="00EE7062"/>
    <w:rsid w:val="00EE709B"/>
    <w:rsid w:val="00EE7170"/>
    <w:rsid w:val="00EE7174"/>
    <w:rsid w:val="00EE71C5"/>
    <w:rsid w:val="00EE73F2"/>
    <w:rsid w:val="00EE7616"/>
    <w:rsid w:val="00EE7851"/>
    <w:rsid w:val="00EE7978"/>
    <w:rsid w:val="00EE7A80"/>
    <w:rsid w:val="00EE7A89"/>
    <w:rsid w:val="00EE7C15"/>
    <w:rsid w:val="00EE7CC4"/>
    <w:rsid w:val="00EE7FE6"/>
    <w:rsid w:val="00EE7FFC"/>
    <w:rsid w:val="00EF02F7"/>
    <w:rsid w:val="00EF0339"/>
    <w:rsid w:val="00EF0393"/>
    <w:rsid w:val="00EF0624"/>
    <w:rsid w:val="00EF068C"/>
    <w:rsid w:val="00EF0818"/>
    <w:rsid w:val="00EF0A49"/>
    <w:rsid w:val="00EF0ACC"/>
    <w:rsid w:val="00EF0B39"/>
    <w:rsid w:val="00EF0BCA"/>
    <w:rsid w:val="00EF0BF0"/>
    <w:rsid w:val="00EF0DED"/>
    <w:rsid w:val="00EF0ECA"/>
    <w:rsid w:val="00EF0F20"/>
    <w:rsid w:val="00EF0F26"/>
    <w:rsid w:val="00EF1177"/>
    <w:rsid w:val="00EF1317"/>
    <w:rsid w:val="00EF1451"/>
    <w:rsid w:val="00EF16B2"/>
    <w:rsid w:val="00EF1894"/>
    <w:rsid w:val="00EF1AE4"/>
    <w:rsid w:val="00EF1B89"/>
    <w:rsid w:val="00EF1E64"/>
    <w:rsid w:val="00EF24A9"/>
    <w:rsid w:val="00EF24C1"/>
    <w:rsid w:val="00EF2594"/>
    <w:rsid w:val="00EF25A4"/>
    <w:rsid w:val="00EF25AC"/>
    <w:rsid w:val="00EF2725"/>
    <w:rsid w:val="00EF2730"/>
    <w:rsid w:val="00EF274B"/>
    <w:rsid w:val="00EF288D"/>
    <w:rsid w:val="00EF2B40"/>
    <w:rsid w:val="00EF2BB8"/>
    <w:rsid w:val="00EF2CFB"/>
    <w:rsid w:val="00EF2D49"/>
    <w:rsid w:val="00EF3036"/>
    <w:rsid w:val="00EF32C7"/>
    <w:rsid w:val="00EF3327"/>
    <w:rsid w:val="00EF37CD"/>
    <w:rsid w:val="00EF3B58"/>
    <w:rsid w:val="00EF3C9B"/>
    <w:rsid w:val="00EF3CA6"/>
    <w:rsid w:val="00EF3D5E"/>
    <w:rsid w:val="00EF3FB3"/>
    <w:rsid w:val="00EF4453"/>
    <w:rsid w:val="00EF4574"/>
    <w:rsid w:val="00EF46BC"/>
    <w:rsid w:val="00EF4827"/>
    <w:rsid w:val="00EF4847"/>
    <w:rsid w:val="00EF4A80"/>
    <w:rsid w:val="00EF4BEF"/>
    <w:rsid w:val="00EF4E83"/>
    <w:rsid w:val="00EF4ED2"/>
    <w:rsid w:val="00EF51A9"/>
    <w:rsid w:val="00EF528D"/>
    <w:rsid w:val="00EF5355"/>
    <w:rsid w:val="00EF5433"/>
    <w:rsid w:val="00EF5485"/>
    <w:rsid w:val="00EF55A2"/>
    <w:rsid w:val="00EF5804"/>
    <w:rsid w:val="00EF5992"/>
    <w:rsid w:val="00EF599E"/>
    <w:rsid w:val="00EF5A2D"/>
    <w:rsid w:val="00EF5A4D"/>
    <w:rsid w:val="00EF5B40"/>
    <w:rsid w:val="00EF5B89"/>
    <w:rsid w:val="00EF5CC1"/>
    <w:rsid w:val="00EF60D9"/>
    <w:rsid w:val="00EF6264"/>
    <w:rsid w:val="00EF6318"/>
    <w:rsid w:val="00EF63B0"/>
    <w:rsid w:val="00EF66C5"/>
    <w:rsid w:val="00EF67DB"/>
    <w:rsid w:val="00EF684A"/>
    <w:rsid w:val="00EF6907"/>
    <w:rsid w:val="00EF6A25"/>
    <w:rsid w:val="00EF6A8F"/>
    <w:rsid w:val="00EF6C9F"/>
    <w:rsid w:val="00EF6D85"/>
    <w:rsid w:val="00EF6EE2"/>
    <w:rsid w:val="00EF6F38"/>
    <w:rsid w:val="00EF6F88"/>
    <w:rsid w:val="00EF70D2"/>
    <w:rsid w:val="00EF71DB"/>
    <w:rsid w:val="00EF724F"/>
    <w:rsid w:val="00EF728E"/>
    <w:rsid w:val="00EF73F8"/>
    <w:rsid w:val="00EF7499"/>
    <w:rsid w:val="00EF74B3"/>
    <w:rsid w:val="00EF7689"/>
    <w:rsid w:val="00EF7D21"/>
    <w:rsid w:val="00EF7D8F"/>
    <w:rsid w:val="00EF7DF9"/>
    <w:rsid w:val="00EF7E27"/>
    <w:rsid w:val="00EF7EE1"/>
    <w:rsid w:val="00EF7F25"/>
    <w:rsid w:val="00EF7F42"/>
    <w:rsid w:val="00F005BA"/>
    <w:rsid w:val="00F007B4"/>
    <w:rsid w:val="00F009D5"/>
    <w:rsid w:val="00F009F2"/>
    <w:rsid w:val="00F00B75"/>
    <w:rsid w:val="00F00C2B"/>
    <w:rsid w:val="00F00C6C"/>
    <w:rsid w:val="00F00D43"/>
    <w:rsid w:val="00F00E14"/>
    <w:rsid w:val="00F00EFB"/>
    <w:rsid w:val="00F00F77"/>
    <w:rsid w:val="00F0110B"/>
    <w:rsid w:val="00F01425"/>
    <w:rsid w:val="00F01538"/>
    <w:rsid w:val="00F0164B"/>
    <w:rsid w:val="00F017A5"/>
    <w:rsid w:val="00F017B4"/>
    <w:rsid w:val="00F01C0D"/>
    <w:rsid w:val="00F01D71"/>
    <w:rsid w:val="00F01D85"/>
    <w:rsid w:val="00F01DEB"/>
    <w:rsid w:val="00F01E18"/>
    <w:rsid w:val="00F01F86"/>
    <w:rsid w:val="00F020EB"/>
    <w:rsid w:val="00F0226D"/>
    <w:rsid w:val="00F0241E"/>
    <w:rsid w:val="00F024C2"/>
    <w:rsid w:val="00F024E0"/>
    <w:rsid w:val="00F02518"/>
    <w:rsid w:val="00F025A4"/>
    <w:rsid w:val="00F028E4"/>
    <w:rsid w:val="00F02A24"/>
    <w:rsid w:val="00F02BE1"/>
    <w:rsid w:val="00F03218"/>
    <w:rsid w:val="00F0342C"/>
    <w:rsid w:val="00F03819"/>
    <w:rsid w:val="00F03928"/>
    <w:rsid w:val="00F03AFA"/>
    <w:rsid w:val="00F03C3F"/>
    <w:rsid w:val="00F03C72"/>
    <w:rsid w:val="00F03CCA"/>
    <w:rsid w:val="00F03DB3"/>
    <w:rsid w:val="00F03DC7"/>
    <w:rsid w:val="00F03EC0"/>
    <w:rsid w:val="00F03EC1"/>
    <w:rsid w:val="00F03F51"/>
    <w:rsid w:val="00F04259"/>
    <w:rsid w:val="00F0428A"/>
    <w:rsid w:val="00F045A5"/>
    <w:rsid w:val="00F045D8"/>
    <w:rsid w:val="00F045EF"/>
    <w:rsid w:val="00F04629"/>
    <w:rsid w:val="00F04920"/>
    <w:rsid w:val="00F04971"/>
    <w:rsid w:val="00F0521A"/>
    <w:rsid w:val="00F0528A"/>
    <w:rsid w:val="00F0541F"/>
    <w:rsid w:val="00F05567"/>
    <w:rsid w:val="00F055A6"/>
    <w:rsid w:val="00F05B2D"/>
    <w:rsid w:val="00F05C36"/>
    <w:rsid w:val="00F05C3F"/>
    <w:rsid w:val="00F05CE9"/>
    <w:rsid w:val="00F05CFE"/>
    <w:rsid w:val="00F05D0C"/>
    <w:rsid w:val="00F06096"/>
    <w:rsid w:val="00F06123"/>
    <w:rsid w:val="00F061BF"/>
    <w:rsid w:val="00F06353"/>
    <w:rsid w:val="00F0647E"/>
    <w:rsid w:val="00F065AE"/>
    <w:rsid w:val="00F0666B"/>
    <w:rsid w:val="00F06690"/>
    <w:rsid w:val="00F068F5"/>
    <w:rsid w:val="00F069BD"/>
    <w:rsid w:val="00F06A1D"/>
    <w:rsid w:val="00F06A4E"/>
    <w:rsid w:val="00F06B0A"/>
    <w:rsid w:val="00F06C8D"/>
    <w:rsid w:val="00F06DAA"/>
    <w:rsid w:val="00F06E62"/>
    <w:rsid w:val="00F06EE6"/>
    <w:rsid w:val="00F06F3D"/>
    <w:rsid w:val="00F0724F"/>
    <w:rsid w:val="00F07353"/>
    <w:rsid w:val="00F07515"/>
    <w:rsid w:val="00F07517"/>
    <w:rsid w:val="00F075A4"/>
    <w:rsid w:val="00F07899"/>
    <w:rsid w:val="00F07D3D"/>
    <w:rsid w:val="00F07DEF"/>
    <w:rsid w:val="00F07EF5"/>
    <w:rsid w:val="00F07F5E"/>
    <w:rsid w:val="00F07F84"/>
    <w:rsid w:val="00F10373"/>
    <w:rsid w:val="00F10407"/>
    <w:rsid w:val="00F104B1"/>
    <w:rsid w:val="00F108B8"/>
    <w:rsid w:val="00F10A35"/>
    <w:rsid w:val="00F10A5F"/>
    <w:rsid w:val="00F10AAD"/>
    <w:rsid w:val="00F10B70"/>
    <w:rsid w:val="00F10C9B"/>
    <w:rsid w:val="00F10F25"/>
    <w:rsid w:val="00F10FBC"/>
    <w:rsid w:val="00F1107E"/>
    <w:rsid w:val="00F11492"/>
    <w:rsid w:val="00F11545"/>
    <w:rsid w:val="00F11744"/>
    <w:rsid w:val="00F11905"/>
    <w:rsid w:val="00F119B8"/>
    <w:rsid w:val="00F11A15"/>
    <w:rsid w:val="00F11B86"/>
    <w:rsid w:val="00F11BCD"/>
    <w:rsid w:val="00F11D09"/>
    <w:rsid w:val="00F12027"/>
    <w:rsid w:val="00F120EB"/>
    <w:rsid w:val="00F12129"/>
    <w:rsid w:val="00F12162"/>
    <w:rsid w:val="00F1226C"/>
    <w:rsid w:val="00F12364"/>
    <w:rsid w:val="00F1246B"/>
    <w:rsid w:val="00F12537"/>
    <w:rsid w:val="00F1284A"/>
    <w:rsid w:val="00F12880"/>
    <w:rsid w:val="00F128D8"/>
    <w:rsid w:val="00F128DF"/>
    <w:rsid w:val="00F1297E"/>
    <w:rsid w:val="00F12C31"/>
    <w:rsid w:val="00F12D3C"/>
    <w:rsid w:val="00F12F27"/>
    <w:rsid w:val="00F130B4"/>
    <w:rsid w:val="00F130FF"/>
    <w:rsid w:val="00F1325C"/>
    <w:rsid w:val="00F13337"/>
    <w:rsid w:val="00F13498"/>
    <w:rsid w:val="00F134A1"/>
    <w:rsid w:val="00F135A9"/>
    <w:rsid w:val="00F13614"/>
    <w:rsid w:val="00F1362F"/>
    <w:rsid w:val="00F1375D"/>
    <w:rsid w:val="00F13A5B"/>
    <w:rsid w:val="00F13DE5"/>
    <w:rsid w:val="00F13FE5"/>
    <w:rsid w:val="00F14045"/>
    <w:rsid w:val="00F142A4"/>
    <w:rsid w:val="00F146A9"/>
    <w:rsid w:val="00F149A7"/>
    <w:rsid w:val="00F14A6F"/>
    <w:rsid w:val="00F14BC0"/>
    <w:rsid w:val="00F14BDD"/>
    <w:rsid w:val="00F14CD3"/>
    <w:rsid w:val="00F14F5F"/>
    <w:rsid w:val="00F1507C"/>
    <w:rsid w:val="00F15282"/>
    <w:rsid w:val="00F152A4"/>
    <w:rsid w:val="00F152E2"/>
    <w:rsid w:val="00F15338"/>
    <w:rsid w:val="00F15510"/>
    <w:rsid w:val="00F157F2"/>
    <w:rsid w:val="00F15B3B"/>
    <w:rsid w:val="00F15B9E"/>
    <w:rsid w:val="00F15F8D"/>
    <w:rsid w:val="00F160E1"/>
    <w:rsid w:val="00F162B7"/>
    <w:rsid w:val="00F16320"/>
    <w:rsid w:val="00F16369"/>
    <w:rsid w:val="00F1648C"/>
    <w:rsid w:val="00F16574"/>
    <w:rsid w:val="00F1661E"/>
    <w:rsid w:val="00F169E7"/>
    <w:rsid w:val="00F16B60"/>
    <w:rsid w:val="00F16DF3"/>
    <w:rsid w:val="00F16E89"/>
    <w:rsid w:val="00F16F8E"/>
    <w:rsid w:val="00F1737B"/>
    <w:rsid w:val="00F1747F"/>
    <w:rsid w:val="00F17597"/>
    <w:rsid w:val="00F17671"/>
    <w:rsid w:val="00F176B3"/>
    <w:rsid w:val="00F179E8"/>
    <w:rsid w:val="00F17A5F"/>
    <w:rsid w:val="00F17A85"/>
    <w:rsid w:val="00F17BA2"/>
    <w:rsid w:val="00F17BAC"/>
    <w:rsid w:val="00F17C62"/>
    <w:rsid w:val="00F17CCA"/>
    <w:rsid w:val="00F17F1D"/>
    <w:rsid w:val="00F17F60"/>
    <w:rsid w:val="00F2019F"/>
    <w:rsid w:val="00F202CC"/>
    <w:rsid w:val="00F205F0"/>
    <w:rsid w:val="00F2082E"/>
    <w:rsid w:val="00F20840"/>
    <w:rsid w:val="00F20DA0"/>
    <w:rsid w:val="00F20E33"/>
    <w:rsid w:val="00F20E9E"/>
    <w:rsid w:val="00F20EF7"/>
    <w:rsid w:val="00F21067"/>
    <w:rsid w:val="00F2111D"/>
    <w:rsid w:val="00F21198"/>
    <w:rsid w:val="00F21216"/>
    <w:rsid w:val="00F212BC"/>
    <w:rsid w:val="00F21330"/>
    <w:rsid w:val="00F2159F"/>
    <w:rsid w:val="00F218E2"/>
    <w:rsid w:val="00F219B0"/>
    <w:rsid w:val="00F219DF"/>
    <w:rsid w:val="00F21B06"/>
    <w:rsid w:val="00F21B1C"/>
    <w:rsid w:val="00F21B43"/>
    <w:rsid w:val="00F21BCE"/>
    <w:rsid w:val="00F21D3C"/>
    <w:rsid w:val="00F21D7A"/>
    <w:rsid w:val="00F21EAF"/>
    <w:rsid w:val="00F21EDB"/>
    <w:rsid w:val="00F21F76"/>
    <w:rsid w:val="00F21FA2"/>
    <w:rsid w:val="00F221AE"/>
    <w:rsid w:val="00F221B9"/>
    <w:rsid w:val="00F22487"/>
    <w:rsid w:val="00F22792"/>
    <w:rsid w:val="00F22B9B"/>
    <w:rsid w:val="00F22BB4"/>
    <w:rsid w:val="00F22C2D"/>
    <w:rsid w:val="00F22C39"/>
    <w:rsid w:val="00F22DB1"/>
    <w:rsid w:val="00F22DC5"/>
    <w:rsid w:val="00F22F9B"/>
    <w:rsid w:val="00F22FBD"/>
    <w:rsid w:val="00F230FF"/>
    <w:rsid w:val="00F231B0"/>
    <w:rsid w:val="00F232C4"/>
    <w:rsid w:val="00F23396"/>
    <w:rsid w:val="00F233EF"/>
    <w:rsid w:val="00F23476"/>
    <w:rsid w:val="00F234CE"/>
    <w:rsid w:val="00F235DC"/>
    <w:rsid w:val="00F23B0A"/>
    <w:rsid w:val="00F23B11"/>
    <w:rsid w:val="00F23D1E"/>
    <w:rsid w:val="00F23D5A"/>
    <w:rsid w:val="00F24022"/>
    <w:rsid w:val="00F2408B"/>
    <w:rsid w:val="00F244FE"/>
    <w:rsid w:val="00F245E6"/>
    <w:rsid w:val="00F24732"/>
    <w:rsid w:val="00F2489D"/>
    <w:rsid w:val="00F248AD"/>
    <w:rsid w:val="00F24C2A"/>
    <w:rsid w:val="00F24C33"/>
    <w:rsid w:val="00F24CB8"/>
    <w:rsid w:val="00F24CF2"/>
    <w:rsid w:val="00F24F01"/>
    <w:rsid w:val="00F2526E"/>
    <w:rsid w:val="00F25291"/>
    <w:rsid w:val="00F25486"/>
    <w:rsid w:val="00F2552E"/>
    <w:rsid w:val="00F256B0"/>
    <w:rsid w:val="00F25974"/>
    <w:rsid w:val="00F25ADC"/>
    <w:rsid w:val="00F26004"/>
    <w:rsid w:val="00F26226"/>
    <w:rsid w:val="00F26279"/>
    <w:rsid w:val="00F2627D"/>
    <w:rsid w:val="00F262AE"/>
    <w:rsid w:val="00F262DF"/>
    <w:rsid w:val="00F2632A"/>
    <w:rsid w:val="00F263DC"/>
    <w:rsid w:val="00F26450"/>
    <w:rsid w:val="00F26547"/>
    <w:rsid w:val="00F265DE"/>
    <w:rsid w:val="00F26611"/>
    <w:rsid w:val="00F26698"/>
    <w:rsid w:val="00F2674D"/>
    <w:rsid w:val="00F267D5"/>
    <w:rsid w:val="00F26800"/>
    <w:rsid w:val="00F26E83"/>
    <w:rsid w:val="00F26EDF"/>
    <w:rsid w:val="00F26F17"/>
    <w:rsid w:val="00F26F2D"/>
    <w:rsid w:val="00F26FC4"/>
    <w:rsid w:val="00F2737B"/>
    <w:rsid w:val="00F273F2"/>
    <w:rsid w:val="00F276B6"/>
    <w:rsid w:val="00F27740"/>
    <w:rsid w:val="00F2775D"/>
    <w:rsid w:val="00F277B3"/>
    <w:rsid w:val="00F2780F"/>
    <w:rsid w:val="00F278B5"/>
    <w:rsid w:val="00F278C5"/>
    <w:rsid w:val="00F278F1"/>
    <w:rsid w:val="00F27C7B"/>
    <w:rsid w:val="00F27C7C"/>
    <w:rsid w:val="00F27DBB"/>
    <w:rsid w:val="00F27DEC"/>
    <w:rsid w:val="00F27ED7"/>
    <w:rsid w:val="00F27F93"/>
    <w:rsid w:val="00F3071D"/>
    <w:rsid w:val="00F307BA"/>
    <w:rsid w:val="00F30871"/>
    <w:rsid w:val="00F30899"/>
    <w:rsid w:val="00F308F4"/>
    <w:rsid w:val="00F309D2"/>
    <w:rsid w:val="00F30A2F"/>
    <w:rsid w:val="00F30CAF"/>
    <w:rsid w:val="00F30DFA"/>
    <w:rsid w:val="00F30E29"/>
    <w:rsid w:val="00F30E85"/>
    <w:rsid w:val="00F30E95"/>
    <w:rsid w:val="00F31088"/>
    <w:rsid w:val="00F31138"/>
    <w:rsid w:val="00F3116B"/>
    <w:rsid w:val="00F3117A"/>
    <w:rsid w:val="00F311C9"/>
    <w:rsid w:val="00F31284"/>
    <w:rsid w:val="00F31377"/>
    <w:rsid w:val="00F31430"/>
    <w:rsid w:val="00F316C3"/>
    <w:rsid w:val="00F316E9"/>
    <w:rsid w:val="00F3186F"/>
    <w:rsid w:val="00F31B91"/>
    <w:rsid w:val="00F31D75"/>
    <w:rsid w:val="00F31DA1"/>
    <w:rsid w:val="00F31E62"/>
    <w:rsid w:val="00F31F13"/>
    <w:rsid w:val="00F32412"/>
    <w:rsid w:val="00F324DD"/>
    <w:rsid w:val="00F3252F"/>
    <w:rsid w:val="00F3276E"/>
    <w:rsid w:val="00F327AD"/>
    <w:rsid w:val="00F32B21"/>
    <w:rsid w:val="00F32C3E"/>
    <w:rsid w:val="00F32CC1"/>
    <w:rsid w:val="00F32D7F"/>
    <w:rsid w:val="00F32EE3"/>
    <w:rsid w:val="00F3300E"/>
    <w:rsid w:val="00F33106"/>
    <w:rsid w:val="00F33135"/>
    <w:rsid w:val="00F33355"/>
    <w:rsid w:val="00F333F0"/>
    <w:rsid w:val="00F33622"/>
    <w:rsid w:val="00F336E2"/>
    <w:rsid w:val="00F33DD3"/>
    <w:rsid w:val="00F33E50"/>
    <w:rsid w:val="00F33F96"/>
    <w:rsid w:val="00F3409B"/>
    <w:rsid w:val="00F3433C"/>
    <w:rsid w:val="00F34526"/>
    <w:rsid w:val="00F346E4"/>
    <w:rsid w:val="00F34827"/>
    <w:rsid w:val="00F3489B"/>
    <w:rsid w:val="00F34BE6"/>
    <w:rsid w:val="00F34CF3"/>
    <w:rsid w:val="00F34E9F"/>
    <w:rsid w:val="00F34F4A"/>
    <w:rsid w:val="00F35290"/>
    <w:rsid w:val="00F35294"/>
    <w:rsid w:val="00F35368"/>
    <w:rsid w:val="00F357E1"/>
    <w:rsid w:val="00F35901"/>
    <w:rsid w:val="00F35C82"/>
    <w:rsid w:val="00F35C9B"/>
    <w:rsid w:val="00F35D20"/>
    <w:rsid w:val="00F35D3B"/>
    <w:rsid w:val="00F35DCC"/>
    <w:rsid w:val="00F35F86"/>
    <w:rsid w:val="00F361EC"/>
    <w:rsid w:val="00F3626B"/>
    <w:rsid w:val="00F36480"/>
    <w:rsid w:val="00F365A2"/>
    <w:rsid w:val="00F366A2"/>
    <w:rsid w:val="00F36905"/>
    <w:rsid w:val="00F36951"/>
    <w:rsid w:val="00F36A93"/>
    <w:rsid w:val="00F36B1C"/>
    <w:rsid w:val="00F36C70"/>
    <w:rsid w:val="00F36EED"/>
    <w:rsid w:val="00F3756A"/>
    <w:rsid w:val="00F376B5"/>
    <w:rsid w:val="00F37747"/>
    <w:rsid w:val="00F377C9"/>
    <w:rsid w:val="00F37827"/>
    <w:rsid w:val="00F3786A"/>
    <w:rsid w:val="00F37A10"/>
    <w:rsid w:val="00F37A55"/>
    <w:rsid w:val="00F37A5A"/>
    <w:rsid w:val="00F37CAC"/>
    <w:rsid w:val="00F37D17"/>
    <w:rsid w:val="00F37FAB"/>
    <w:rsid w:val="00F4004B"/>
    <w:rsid w:val="00F4015C"/>
    <w:rsid w:val="00F401AD"/>
    <w:rsid w:val="00F401F1"/>
    <w:rsid w:val="00F403EE"/>
    <w:rsid w:val="00F40471"/>
    <w:rsid w:val="00F4048F"/>
    <w:rsid w:val="00F4052E"/>
    <w:rsid w:val="00F4059D"/>
    <w:rsid w:val="00F40977"/>
    <w:rsid w:val="00F40B75"/>
    <w:rsid w:val="00F40B97"/>
    <w:rsid w:val="00F40BCD"/>
    <w:rsid w:val="00F40C05"/>
    <w:rsid w:val="00F40EFC"/>
    <w:rsid w:val="00F40F2C"/>
    <w:rsid w:val="00F40F45"/>
    <w:rsid w:val="00F41056"/>
    <w:rsid w:val="00F41346"/>
    <w:rsid w:val="00F41425"/>
    <w:rsid w:val="00F4160C"/>
    <w:rsid w:val="00F41623"/>
    <w:rsid w:val="00F418E8"/>
    <w:rsid w:val="00F41931"/>
    <w:rsid w:val="00F4194F"/>
    <w:rsid w:val="00F41A7D"/>
    <w:rsid w:val="00F41C29"/>
    <w:rsid w:val="00F41C5E"/>
    <w:rsid w:val="00F41D62"/>
    <w:rsid w:val="00F41DE5"/>
    <w:rsid w:val="00F41E7A"/>
    <w:rsid w:val="00F41EA7"/>
    <w:rsid w:val="00F4209C"/>
    <w:rsid w:val="00F4209F"/>
    <w:rsid w:val="00F4216D"/>
    <w:rsid w:val="00F4222E"/>
    <w:rsid w:val="00F42500"/>
    <w:rsid w:val="00F4266F"/>
    <w:rsid w:val="00F426AF"/>
    <w:rsid w:val="00F42787"/>
    <w:rsid w:val="00F429E6"/>
    <w:rsid w:val="00F42C8A"/>
    <w:rsid w:val="00F42F5F"/>
    <w:rsid w:val="00F4310D"/>
    <w:rsid w:val="00F4342F"/>
    <w:rsid w:val="00F43513"/>
    <w:rsid w:val="00F435CF"/>
    <w:rsid w:val="00F435F4"/>
    <w:rsid w:val="00F43636"/>
    <w:rsid w:val="00F43655"/>
    <w:rsid w:val="00F43659"/>
    <w:rsid w:val="00F4384C"/>
    <w:rsid w:val="00F43F98"/>
    <w:rsid w:val="00F444F5"/>
    <w:rsid w:val="00F44692"/>
    <w:rsid w:val="00F448B3"/>
    <w:rsid w:val="00F4492E"/>
    <w:rsid w:val="00F44940"/>
    <w:rsid w:val="00F4499A"/>
    <w:rsid w:val="00F44A6B"/>
    <w:rsid w:val="00F44CCA"/>
    <w:rsid w:val="00F44D11"/>
    <w:rsid w:val="00F45199"/>
    <w:rsid w:val="00F453F7"/>
    <w:rsid w:val="00F45461"/>
    <w:rsid w:val="00F45627"/>
    <w:rsid w:val="00F4571C"/>
    <w:rsid w:val="00F45925"/>
    <w:rsid w:val="00F45A64"/>
    <w:rsid w:val="00F45C2C"/>
    <w:rsid w:val="00F46358"/>
    <w:rsid w:val="00F46377"/>
    <w:rsid w:val="00F46473"/>
    <w:rsid w:val="00F4660A"/>
    <w:rsid w:val="00F46699"/>
    <w:rsid w:val="00F4670C"/>
    <w:rsid w:val="00F468C4"/>
    <w:rsid w:val="00F46989"/>
    <w:rsid w:val="00F46B1B"/>
    <w:rsid w:val="00F46B29"/>
    <w:rsid w:val="00F46D17"/>
    <w:rsid w:val="00F46EFA"/>
    <w:rsid w:val="00F46F2D"/>
    <w:rsid w:val="00F46FB0"/>
    <w:rsid w:val="00F47131"/>
    <w:rsid w:val="00F4713A"/>
    <w:rsid w:val="00F472B4"/>
    <w:rsid w:val="00F4739C"/>
    <w:rsid w:val="00F47451"/>
    <w:rsid w:val="00F47514"/>
    <w:rsid w:val="00F4753C"/>
    <w:rsid w:val="00F47555"/>
    <w:rsid w:val="00F4755B"/>
    <w:rsid w:val="00F47ACC"/>
    <w:rsid w:val="00F47DC7"/>
    <w:rsid w:val="00F47DFE"/>
    <w:rsid w:val="00F47EAE"/>
    <w:rsid w:val="00F47F89"/>
    <w:rsid w:val="00F50006"/>
    <w:rsid w:val="00F50014"/>
    <w:rsid w:val="00F50117"/>
    <w:rsid w:val="00F50369"/>
    <w:rsid w:val="00F5043D"/>
    <w:rsid w:val="00F5050D"/>
    <w:rsid w:val="00F509F1"/>
    <w:rsid w:val="00F50A9C"/>
    <w:rsid w:val="00F50ACA"/>
    <w:rsid w:val="00F50CEB"/>
    <w:rsid w:val="00F50F41"/>
    <w:rsid w:val="00F5100E"/>
    <w:rsid w:val="00F51098"/>
    <w:rsid w:val="00F513CA"/>
    <w:rsid w:val="00F513D0"/>
    <w:rsid w:val="00F515CC"/>
    <w:rsid w:val="00F515CF"/>
    <w:rsid w:val="00F51683"/>
    <w:rsid w:val="00F51809"/>
    <w:rsid w:val="00F5198D"/>
    <w:rsid w:val="00F51A46"/>
    <w:rsid w:val="00F51B60"/>
    <w:rsid w:val="00F51D83"/>
    <w:rsid w:val="00F51FBE"/>
    <w:rsid w:val="00F5205D"/>
    <w:rsid w:val="00F521C0"/>
    <w:rsid w:val="00F5245C"/>
    <w:rsid w:val="00F52770"/>
    <w:rsid w:val="00F52871"/>
    <w:rsid w:val="00F529AE"/>
    <w:rsid w:val="00F529CE"/>
    <w:rsid w:val="00F52B3B"/>
    <w:rsid w:val="00F52B7C"/>
    <w:rsid w:val="00F52F55"/>
    <w:rsid w:val="00F530CD"/>
    <w:rsid w:val="00F53398"/>
    <w:rsid w:val="00F53459"/>
    <w:rsid w:val="00F53803"/>
    <w:rsid w:val="00F538BC"/>
    <w:rsid w:val="00F5395B"/>
    <w:rsid w:val="00F53B82"/>
    <w:rsid w:val="00F53C9F"/>
    <w:rsid w:val="00F53D07"/>
    <w:rsid w:val="00F53D74"/>
    <w:rsid w:val="00F53DE7"/>
    <w:rsid w:val="00F53E24"/>
    <w:rsid w:val="00F53E81"/>
    <w:rsid w:val="00F5408A"/>
    <w:rsid w:val="00F540D2"/>
    <w:rsid w:val="00F54258"/>
    <w:rsid w:val="00F54384"/>
    <w:rsid w:val="00F54610"/>
    <w:rsid w:val="00F5475F"/>
    <w:rsid w:val="00F54F4C"/>
    <w:rsid w:val="00F55026"/>
    <w:rsid w:val="00F5505F"/>
    <w:rsid w:val="00F550D8"/>
    <w:rsid w:val="00F551D4"/>
    <w:rsid w:val="00F55210"/>
    <w:rsid w:val="00F555C4"/>
    <w:rsid w:val="00F55688"/>
    <w:rsid w:val="00F5594E"/>
    <w:rsid w:val="00F55972"/>
    <w:rsid w:val="00F55B3B"/>
    <w:rsid w:val="00F55C82"/>
    <w:rsid w:val="00F55EB0"/>
    <w:rsid w:val="00F55F98"/>
    <w:rsid w:val="00F56235"/>
    <w:rsid w:val="00F56251"/>
    <w:rsid w:val="00F56343"/>
    <w:rsid w:val="00F563DB"/>
    <w:rsid w:val="00F56511"/>
    <w:rsid w:val="00F56597"/>
    <w:rsid w:val="00F56889"/>
    <w:rsid w:val="00F56C3B"/>
    <w:rsid w:val="00F56D8F"/>
    <w:rsid w:val="00F56DC4"/>
    <w:rsid w:val="00F56F65"/>
    <w:rsid w:val="00F57008"/>
    <w:rsid w:val="00F570C2"/>
    <w:rsid w:val="00F5720F"/>
    <w:rsid w:val="00F57224"/>
    <w:rsid w:val="00F57443"/>
    <w:rsid w:val="00F5746C"/>
    <w:rsid w:val="00F57518"/>
    <w:rsid w:val="00F57585"/>
    <w:rsid w:val="00F576F9"/>
    <w:rsid w:val="00F57843"/>
    <w:rsid w:val="00F5796F"/>
    <w:rsid w:val="00F579B4"/>
    <w:rsid w:val="00F57A85"/>
    <w:rsid w:val="00F57B8D"/>
    <w:rsid w:val="00F57CCC"/>
    <w:rsid w:val="00F60335"/>
    <w:rsid w:val="00F604D6"/>
    <w:rsid w:val="00F60547"/>
    <w:rsid w:val="00F605CA"/>
    <w:rsid w:val="00F60710"/>
    <w:rsid w:val="00F60735"/>
    <w:rsid w:val="00F609C5"/>
    <w:rsid w:val="00F60B11"/>
    <w:rsid w:val="00F60E70"/>
    <w:rsid w:val="00F60EEC"/>
    <w:rsid w:val="00F60F0E"/>
    <w:rsid w:val="00F60F4E"/>
    <w:rsid w:val="00F60FDF"/>
    <w:rsid w:val="00F610D8"/>
    <w:rsid w:val="00F610F8"/>
    <w:rsid w:val="00F61158"/>
    <w:rsid w:val="00F6123A"/>
    <w:rsid w:val="00F614EE"/>
    <w:rsid w:val="00F6166F"/>
    <w:rsid w:val="00F616D2"/>
    <w:rsid w:val="00F61715"/>
    <w:rsid w:val="00F617FC"/>
    <w:rsid w:val="00F6185B"/>
    <w:rsid w:val="00F61919"/>
    <w:rsid w:val="00F61ADF"/>
    <w:rsid w:val="00F61C45"/>
    <w:rsid w:val="00F61D31"/>
    <w:rsid w:val="00F61D72"/>
    <w:rsid w:val="00F61FE3"/>
    <w:rsid w:val="00F6235E"/>
    <w:rsid w:val="00F627CE"/>
    <w:rsid w:val="00F6281F"/>
    <w:rsid w:val="00F6297C"/>
    <w:rsid w:val="00F6299B"/>
    <w:rsid w:val="00F62AA3"/>
    <w:rsid w:val="00F62AEE"/>
    <w:rsid w:val="00F62B02"/>
    <w:rsid w:val="00F62CD0"/>
    <w:rsid w:val="00F6308D"/>
    <w:rsid w:val="00F630EC"/>
    <w:rsid w:val="00F631E9"/>
    <w:rsid w:val="00F63259"/>
    <w:rsid w:val="00F63273"/>
    <w:rsid w:val="00F633D9"/>
    <w:rsid w:val="00F63456"/>
    <w:rsid w:val="00F639A0"/>
    <w:rsid w:val="00F63B60"/>
    <w:rsid w:val="00F63C92"/>
    <w:rsid w:val="00F63CC7"/>
    <w:rsid w:val="00F63DC1"/>
    <w:rsid w:val="00F63F4C"/>
    <w:rsid w:val="00F64220"/>
    <w:rsid w:val="00F644FD"/>
    <w:rsid w:val="00F6466F"/>
    <w:rsid w:val="00F64674"/>
    <w:rsid w:val="00F6467C"/>
    <w:rsid w:val="00F64998"/>
    <w:rsid w:val="00F64A03"/>
    <w:rsid w:val="00F64A35"/>
    <w:rsid w:val="00F64AB7"/>
    <w:rsid w:val="00F64B49"/>
    <w:rsid w:val="00F64C8C"/>
    <w:rsid w:val="00F64D52"/>
    <w:rsid w:val="00F64E49"/>
    <w:rsid w:val="00F64E75"/>
    <w:rsid w:val="00F64E87"/>
    <w:rsid w:val="00F64EE3"/>
    <w:rsid w:val="00F6522A"/>
    <w:rsid w:val="00F65340"/>
    <w:rsid w:val="00F653B4"/>
    <w:rsid w:val="00F65536"/>
    <w:rsid w:val="00F65869"/>
    <w:rsid w:val="00F65A73"/>
    <w:rsid w:val="00F664DC"/>
    <w:rsid w:val="00F666BE"/>
    <w:rsid w:val="00F66727"/>
    <w:rsid w:val="00F667B3"/>
    <w:rsid w:val="00F6691F"/>
    <w:rsid w:val="00F66A68"/>
    <w:rsid w:val="00F66AB6"/>
    <w:rsid w:val="00F66B14"/>
    <w:rsid w:val="00F66C9E"/>
    <w:rsid w:val="00F66D32"/>
    <w:rsid w:val="00F66ED3"/>
    <w:rsid w:val="00F66EED"/>
    <w:rsid w:val="00F66F04"/>
    <w:rsid w:val="00F67031"/>
    <w:rsid w:val="00F67037"/>
    <w:rsid w:val="00F6703F"/>
    <w:rsid w:val="00F6708C"/>
    <w:rsid w:val="00F672B0"/>
    <w:rsid w:val="00F67413"/>
    <w:rsid w:val="00F674AC"/>
    <w:rsid w:val="00F679EE"/>
    <w:rsid w:val="00F67AC1"/>
    <w:rsid w:val="00F67B94"/>
    <w:rsid w:val="00F67D13"/>
    <w:rsid w:val="00F67D6D"/>
    <w:rsid w:val="00F7010E"/>
    <w:rsid w:val="00F701C6"/>
    <w:rsid w:val="00F70340"/>
    <w:rsid w:val="00F70363"/>
    <w:rsid w:val="00F70426"/>
    <w:rsid w:val="00F70475"/>
    <w:rsid w:val="00F704AF"/>
    <w:rsid w:val="00F7056E"/>
    <w:rsid w:val="00F70714"/>
    <w:rsid w:val="00F70CF7"/>
    <w:rsid w:val="00F70E23"/>
    <w:rsid w:val="00F70FEA"/>
    <w:rsid w:val="00F711A0"/>
    <w:rsid w:val="00F711E8"/>
    <w:rsid w:val="00F713C1"/>
    <w:rsid w:val="00F714A0"/>
    <w:rsid w:val="00F717A4"/>
    <w:rsid w:val="00F71831"/>
    <w:rsid w:val="00F7195B"/>
    <w:rsid w:val="00F71A18"/>
    <w:rsid w:val="00F71A50"/>
    <w:rsid w:val="00F71CDA"/>
    <w:rsid w:val="00F71E38"/>
    <w:rsid w:val="00F7202E"/>
    <w:rsid w:val="00F72062"/>
    <w:rsid w:val="00F72150"/>
    <w:rsid w:val="00F7223E"/>
    <w:rsid w:val="00F722DF"/>
    <w:rsid w:val="00F7252A"/>
    <w:rsid w:val="00F7255D"/>
    <w:rsid w:val="00F72613"/>
    <w:rsid w:val="00F72630"/>
    <w:rsid w:val="00F72786"/>
    <w:rsid w:val="00F727AB"/>
    <w:rsid w:val="00F728A9"/>
    <w:rsid w:val="00F728C7"/>
    <w:rsid w:val="00F7296E"/>
    <w:rsid w:val="00F72997"/>
    <w:rsid w:val="00F72A02"/>
    <w:rsid w:val="00F72CE7"/>
    <w:rsid w:val="00F72D9D"/>
    <w:rsid w:val="00F72DDB"/>
    <w:rsid w:val="00F73023"/>
    <w:rsid w:val="00F73063"/>
    <w:rsid w:val="00F7335F"/>
    <w:rsid w:val="00F73398"/>
    <w:rsid w:val="00F733C6"/>
    <w:rsid w:val="00F733D0"/>
    <w:rsid w:val="00F733F7"/>
    <w:rsid w:val="00F7345C"/>
    <w:rsid w:val="00F7349B"/>
    <w:rsid w:val="00F734E0"/>
    <w:rsid w:val="00F7371F"/>
    <w:rsid w:val="00F7376F"/>
    <w:rsid w:val="00F737E6"/>
    <w:rsid w:val="00F73939"/>
    <w:rsid w:val="00F73B1F"/>
    <w:rsid w:val="00F73D04"/>
    <w:rsid w:val="00F74008"/>
    <w:rsid w:val="00F74063"/>
    <w:rsid w:val="00F74332"/>
    <w:rsid w:val="00F7439F"/>
    <w:rsid w:val="00F745F8"/>
    <w:rsid w:val="00F746EC"/>
    <w:rsid w:val="00F74CE3"/>
    <w:rsid w:val="00F74ECC"/>
    <w:rsid w:val="00F751D2"/>
    <w:rsid w:val="00F751D7"/>
    <w:rsid w:val="00F751F9"/>
    <w:rsid w:val="00F75345"/>
    <w:rsid w:val="00F7544B"/>
    <w:rsid w:val="00F75722"/>
    <w:rsid w:val="00F75980"/>
    <w:rsid w:val="00F75B05"/>
    <w:rsid w:val="00F75E3A"/>
    <w:rsid w:val="00F75E8F"/>
    <w:rsid w:val="00F75FE9"/>
    <w:rsid w:val="00F762BB"/>
    <w:rsid w:val="00F762F5"/>
    <w:rsid w:val="00F7674F"/>
    <w:rsid w:val="00F76817"/>
    <w:rsid w:val="00F76946"/>
    <w:rsid w:val="00F76CAA"/>
    <w:rsid w:val="00F76D22"/>
    <w:rsid w:val="00F76D6D"/>
    <w:rsid w:val="00F76D76"/>
    <w:rsid w:val="00F76FA3"/>
    <w:rsid w:val="00F770D3"/>
    <w:rsid w:val="00F77574"/>
    <w:rsid w:val="00F775F6"/>
    <w:rsid w:val="00F776C0"/>
    <w:rsid w:val="00F777AE"/>
    <w:rsid w:val="00F7781B"/>
    <w:rsid w:val="00F77828"/>
    <w:rsid w:val="00F77886"/>
    <w:rsid w:val="00F7791D"/>
    <w:rsid w:val="00F77B37"/>
    <w:rsid w:val="00F77B77"/>
    <w:rsid w:val="00F77C53"/>
    <w:rsid w:val="00F80120"/>
    <w:rsid w:val="00F8013F"/>
    <w:rsid w:val="00F801C8"/>
    <w:rsid w:val="00F801E6"/>
    <w:rsid w:val="00F802E2"/>
    <w:rsid w:val="00F80434"/>
    <w:rsid w:val="00F8061D"/>
    <w:rsid w:val="00F8080A"/>
    <w:rsid w:val="00F80A12"/>
    <w:rsid w:val="00F80A7E"/>
    <w:rsid w:val="00F80D01"/>
    <w:rsid w:val="00F80F39"/>
    <w:rsid w:val="00F81236"/>
    <w:rsid w:val="00F81239"/>
    <w:rsid w:val="00F814EF"/>
    <w:rsid w:val="00F814FB"/>
    <w:rsid w:val="00F81525"/>
    <w:rsid w:val="00F816B8"/>
    <w:rsid w:val="00F81885"/>
    <w:rsid w:val="00F81886"/>
    <w:rsid w:val="00F81AAA"/>
    <w:rsid w:val="00F81ACC"/>
    <w:rsid w:val="00F81B82"/>
    <w:rsid w:val="00F81DDB"/>
    <w:rsid w:val="00F81E4F"/>
    <w:rsid w:val="00F81E65"/>
    <w:rsid w:val="00F81EFD"/>
    <w:rsid w:val="00F81FF2"/>
    <w:rsid w:val="00F81FFA"/>
    <w:rsid w:val="00F820C7"/>
    <w:rsid w:val="00F821AA"/>
    <w:rsid w:val="00F82255"/>
    <w:rsid w:val="00F82346"/>
    <w:rsid w:val="00F8244C"/>
    <w:rsid w:val="00F824CE"/>
    <w:rsid w:val="00F8261B"/>
    <w:rsid w:val="00F8275F"/>
    <w:rsid w:val="00F8294F"/>
    <w:rsid w:val="00F8297A"/>
    <w:rsid w:val="00F82A74"/>
    <w:rsid w:val="00F82B51"/>
    <w:rsid w:val="00F82BFC"/>
    <w:rsid w:val="00F82C07"/>
    <w:rsid w:val="00F82CD9"/>
    <w:rsid w:val="00F82DF7"/>
    <w:rsid w:val="00F8303D"/>
    <w:rsid w:val="00F8309D"/>
    <w:rsid w:val="00F831DB"/>
    <w:rsid w:val="00F83383"/>
    <w:rsid w:val="00F8342F"/>
    <w:rsid w:val="00F83546"/>
    <w:rsid w:val="00F83606"/>
    <w:rsid w:val="00F837A5"/>
    <w:rsid w:val="00F8386A"/>
    <w:rsid w:val="00F8393D"/>
    <w:rsid w:val="00F83D4B"/>
    <w:rsid w:val="00F83E56"/>
    <w:rsid w:val="00F83F65"/>
    <w:rsid w:val="00F84172"/>
    <w:rsid w:val="00F841AE"/>
    <w:rsid w:val="00F841EA"/>
    <w:rsid w:val="00F84214"/>
    <w:rsid w:val="00F84315"/>
    <w:rsid w:val="00F84318"/>
    <w:rsid w:val="00F84326"/>
    <w:rsid w:val="00F844DD"/>
    <w:rsid w:val="00F84536"/>
    <w:rsid w:val="00F84637"/>
    <w:rsid w:val="00F848B8"/>
    <w:rsid w:val="00F848C8"/>
    <w:rsid w:val="00F84BFF"/>
    <w:rsid w:val="00F84D55"/>
    <w:rsid w:val="00F84DC8"/>
    <w:rsid w:val="00F84E44"/>
    <w:rsid w:val="00F84F4F"/>
    <w:rsid w:val="00F85064"/>
    <w:rsid w:val="00F85168"/>
    <w:rsid w:val="00F854EC"/>
    <w:rsid w:val="00F854EE"/>
    <w:rsid w:val="00F856E1"/>
    <w:rsid w:val="00F856E2"/>
    <w:rsid w:val="00F85917"/>
    <w:rsid w:val="00F85A3D"/>
    <w:rsid w:val="00F85BDA"/>
    <w:rsid w:val="00F85C5E"/>
    <w:rsid w:val="00F85CD0"/>
    <w:rsid w:val="00F85E02"/>
    <w:rsid w:val="00F85EBA"/>
    <w:rsid w:val="00F85F26"/>
    <w:rsid w:val="00F85FCE"/>
    <w:rsid w:val="00F86011"/>
    <w:rsid w:val="00F86154"/>
    <w:rsid w:val="00F86180"/>
    <w:rsid w:val="00F86191"/>
    <w:rsid w:val="00F8634F"/>
    <w:rsid w:val="00F863B0"/>
    <w:rsid w:val="00F8658B"/>
    <w:rsid w:val="00F866C4"/>
    <w:rsid w:val="00F86822"/>
    <w:rsid w:val="00F86AAA"/>
    <w:rsid w:val="00F86C31"/>
    <w:rsid w:val="00F86C5B"/>
    <w:rsid w:val="00F86D30"/>
    <w:rsid w:val="00F86E32"/>
    <w:rsid w:val="00F87063"/>
    <w:rsid w:val="00F87471"/>
    <w:rsid w:val="00F874C2"/>
    <w:rsid w:val="00F8751D"/>
    <w:rsid w:val="00F876B4"/>
    <w:rsid w:val="00F8775C"/>
    <w:rsid w:val="00F878CC"/>
    <w:rsid w:val="00F87996"/>
    <w:rsid w:val="00F879E9"/>
    <w:rsid w:val="00F87B40"/>
    <w:rsid w:val="00F87BA0"/>
    <w:rsid w:val="00F87BC9"/>
    <w:rsid w:val="00F87BEC"/>
    <w:rsid w:val="00F87C58"/>
    <w:rsid w:val="00F87CBD"/>
    <w:rsid w:val="00F87EBC"/>
    <w:rsid w:val="00F87F6E"/>
    <w:rsid w:val="00F87FE1"/>
    <w:rsid w:val="00F902DB"/>
    <w:rsid w:val="00F9034C"/>
    <w:rsid w:val="00F905E4"/>
    <w:rsid w:val="00F90612"/>
    <w:rsid w:val="00F90704"/>
    <w:rsid w:val="00F9070A"/>
    <w:rsid w:val="00F909A1"/>
    <w:rsid w:val="00F909A8"/>
    <w:rsid w:val="00F909DC"/>
    <w:rsid w:val="00F90AF6"/>
    <w:rsid w:val="00F90B69"/>
    <w:rsid w:val="00F90E6A"/>
    <w:rsid w:val="00F90EA4"/>
    <w:rsid w:val="00F91098"/>
    <w:rsid w:val="00F9111B"/>
    <w:rsid w:val="00F911BE"/>
    <w:rsid w:val="00F91207"/>
    <w:rsid w:val="00F9154D"/>
    <w:rsid w:val="00F915ED"/>
    <w:rsid w:val="00F916AA"/>
    <w:rsid w:val="00F91700"/>
    <w:rsid w:val="00F919FB"/>
    <w:rsid w:val="00F91A53"/>
    <w:rsid w:val="00F91B4C"/>
    <w:rsid w:val="00F91B55"/>
    <w:rsid w:val="00F91B99"/>
    <w:rsid w:val="00F91C38"/>
    <w:rsid w:val="00F91D59"/>
    <w:rsid w:val="00F92036"/>
    <w:rsid w:val="00F92337"/>
    <w:rsid w:val="00F9252F"/>
    <w:rsid w:val="00F92586"/>
    <w:rsid w:val="00F92628"/>
    <w:rsid w:val="00F92850"/>
    <w:rsid w:val="00F9296F"/>
    <w:rsid w:val="00F929C5"/>
    <w:rsid w:val="00F92A0E"/>
    <w:rsid w:val="00F92A20"/>
    <w:rsid w:val="00F92A8D"/>
    <w:rsid w:val="00F92B95"/>
    <w:rsid w:val="00F92CCA"/>
    <w:rsid w:val="00F92EEF"/>
    <w:rsid w:val="00F93005"/>
    <w:rsid w:val="00F9321F"/>
    <w:rsid w:val="00F9341F"/>
    <w:rsid w:val="00F935F5"/>
    <w:rsid w:val="00F937CB"/>
    <w:rsid w:val="00F9386D"/>
    <w:rsid w:val="00F939EE"/>
    <w:rsid w:val="00F93B8E"/>
    <w:rsid w:val="00F93C9E"/>
    <w:rsid w:val="00F93CC5"/>
    <w:rsid w:val="00F93D50"/>
    <w:rsid w:val="00F93FA9"/>
    <w:rsid w:val="00F9400A"/>
    <w:rsid w:val="00F94024"/>
    <w:rsid w:val="00F9412B"/>
    <w:rsid w:val="00F94160"/>
    <w:rsid w:val="00F9438B"/>
    <w:rsid w:val="00F94590"/>
    <w:rsid w:val="00F946D5"/>
    <w:rsid w:val="00F946FE"/>
    <w:rsid w:val="00F947F0"/>
    <w:rsid w:val="00F94923"/>
    <w:rsid w:val="00F9494A"/>
    <w:rsid w:val="00F94B91"/>
    <w:rsid w:val="00F94CFA"/>
    <w:rsid w:val="00F94D85"/>
    <w:rsid w:val="00F94D87"/>
    <w:rsid w:val="00F94DF0"/>
    <w:rsid w:val="00F94F56"/>
    <w:rsid w:val="00F95089"/>
    <w:rsid w:val="00F95096"/>
    <w:rsid w:val="00F95683"/>
    <w:rsid w:val="00F956A4"/>
    <w:rsid w:val="00F95981"/>
    <w:rsid w:val="00F95C84"/>
    <w:rsid w:val="00F961EF"/>
    <w:rsid w:val="00F9623F"/>
    <w:rsid w:val="00F96261"/>
    <w:rsid w:val="00F96280"/>
    <w:rsid w:val="00F96294"/>
    <w:rsid w:val="00F964E4"/>
    <w:rsid w:val="00F965CF"/>
    <w:rsid w:val="00F96618"/>
    <w:rsid w:val="00F9699B"/>
    <w:rsid w:val="00F96ADA"/>
    <w:rsid w:val="00F9711B"/>
    <w:rsid w:val="00F97184"/>
    <w:rsid w:val="00F97189"/>
    <w:rsid w:val="00F97245"/>
    <w:rsid w:val="00F972C6"/>
    <w:rsid w:val="00F97393"/>
    <w:rsid w:val="00F976E8"/>
    <w:rsid w:val="00F979EB"/>
    <w:rsid w:val="00F97B77"/>
    <w:rsid w:val="00F97C6D"/>
    <w:rsid w:val="00F97C7F"/>
    <w:rsid w:val="00F97DB1"/>
    <w:rsid w:val="00F97E49"/>
    <w:rsid w:val="00F97EBE"/>
    <w:rsid w:val="00F97F49"/>
    <w:rsid w:val="00FA0095"/>
    <w:rsid w:val="00FA02A7"/>
    <w:rsid w:val="00FA037F"/>
    <w:rsid w:val="00FA0381"/>
    <w:rsid w:val="00FA03D5"/>
    <w:rsid w:val="00FA0571"/>
    <w:rsid w:val="00FA0602"/>
    <w:rsid w:val="00FA0651"/>
    <w:rsid w:val="00FA0679"/>
    <w:rsid w:val="00FA0AA3"/>
    <w:rsid w:val="00FA0BBF"/>
    <w:rsid w:val="00FA0BEA"/>
    <w:rsid w:val="00FA0EDC"/>
    <w:rsid w:val="00FA10E6"/>
    <w:rsid w:val="00FA11D8"/>
    <w:rsid w:val="00FA11F5"/>
    <w:rsid w:val="00FA1208"/>
    <w:rsid w:val="00FA1224"/>
    <w:rsid w:val="00FA153E"/>
    <w:rsid w:val="00FA1691"/>
    <w:rsid w:val="00FA169F"/>
    <w:rsid w:val="00FA17C7"/>
    <w:rsid w:val="00FA181D"/>
    <w:rsid w:val="00FA1837"/>
    <w:rsid w:val="00FA18A4"/>
    <w:rsid w:val="00FA1E4A"/>
    <w:rsid w:val="00FA1E83"/>
    <w:rsid w:val="00FA1F32"/>
    <w:rsid w:val="00FA206C"/>
    <w:rsid w:val="00FA207A"/>
    <w:rsid w:val="00FA227A"/>
    <w:rsid w:val="00FA2350"/>
    <w:rsid w:val="00FA23A6"/>
    <w:rsid w:val="00FA2505"/>
    <w:rsid w:val="00FA2565"/>
    <w:rsid w:val="00FA2690"/>
    <w:rsid w:val="00FA279C"/>
    <w:rsid w:val="00FA282F"/>
    <w:rsid w:val="00FA286B"/>
    <w:rsid w:val="00FA2B66"/>
    <w:rsid w:val="00FA2BBC"/>
    <w:rsid w:val="00FA3047"/>
    <w:rsid w:val="00FA3137"/>
    <w:rsid w:val="00FA3270"/>
    <w:rsid w:val="00FA32E1"/>
    <w:rsid w:val="00FA33C9"/>
    <w:rsid w:val="00FA34CC"/>
    <w:rsid w:val="00FA3597"/>
    <w:rsid w:val="00FA3837"/>
    <w:rsid w:val="00FA3919"/>
    <w:rsid w:val="00FA3938"/>
    <w:rsid w:val="00FA3C1F"/>
    <w:rsid w:val="00FA3CD5"/>
    <w:rsid w:val="00FA3CE6"/>
    <w:rsid w:val="00FA3E8F"/>
    <w:rsid w:val="00FA3F1D"/>
    <w:rsid w:val="00FA3F3A"/>
    <w:rsid w:val="00FA4282"/>
    <w:rsid w:val="00FA462E"/>
    <w:rsid w:val="00FA469E"/>
    <w:rsid w:val="00FA46DA"/>
    <w:rsid w:val="00FA46F1"/>
    <w:rsid w:val="00FA478D"/>
    <w:rsid w:val="00FA49D7"/>
    <w:rsid w:val="00FA4A59"/>
    <w:rsid w:val="00FA4AE7"/>
    <w:rsid w:val="00FA4BEB"/>
    <w:rsid w:val="00FA4C19"/>
    <w:rsid w:val="00FA4E6B"/>
    <w:rsid w:val="00FA4FE1"/>
    <w:rsid w:val="00FA5034"/>
    <w:rsid w:val="00FA5084"/>
    <w:rsid w:val="00FA50B9"/>
    <w:rsid w:val="00FA52DA"/>
    <w:rsid w:val="00FA53F0"/>
    <w:rsid w:val="00FA5529"/>
    <w:rsid w:val="00FA55B7"/>
    <w:rsid w:val="00FA58DB"/>
    <w:rsid w:val="00FA58FF"/>
    <w:rsid w:val="00FA5934"/>
    <w:rsid w:val="00FA5B8B"/>
    <w:rsid w:val="00FA5E8A"/>
    <w:rsid w:val="00FA5EE4"/>
    <w:rsid w:val="00FA604D"/>
    <w:rsid w:val="00FA605B"/>
    <w:rsid w:val="00FA61EB"/>
    <w:rsid w:val="00FA625D"/>
    <w:rsid w:val="00FA635C"/>
    <w:rsid w:val="00FA650E"/>
    <w:rsid w:val="00FA6576"/>
    <w:rsid w:val="00FA6611"/>
    <w:rsid w:val="00FA6696"/>
    <w:rsid w:val="00FA6776"/>
    <w:rsid w:val="00FA67BB"/>
    <w:rsid w:val="00FA6909"/>
    <w:rsid w:val="00FA69D8"/>
    <w:rsid w:val="00FA6BB8"/>
    <w:rsid w:val="00FA6C5D"/>
    <w:rsid w:val="00FA6CEB"/>
    <w:rsid w:val="00FA6F84"/>
    <w:rsid w:val="00FA6F8F"/>
    <w:rsid w:val="00FA6FCA"/>
    <w:rsid w:val="00FA705A"/>
    <w:rsid w:val="00FA712D"/>
    <w:rsid w:val="00FA71BA"/>
    <w:rsid w:val="00FA73DD"/>
    <w:rsid w:val="00FA7511"/>
    <w:rsid w:val="00FA7529"/>
    <w:rsid w:val="00FA77B5"/>
    <w:rsid w:val="00FA780C"/>
    <w:rsid w:val="00FA795F"/>
    <w:rsid w:val="00FA7A90"/>
    <w:rsid w:val="00FA7BBC"/>
    <w:rsid w:val="00FA7E29"/>
    <w:rsid w:val="00FA7E4E"/>
    <w:rsid w:val="00FA7EAF"/>
    <w:rsid w:val="00FB018B"/>
    <w:rsid w:val="00FB022A"/>
    <w:rsid w:val="00FB039D"/>
    <w:rsid w:val="00FB043C"/>
    <w:rsid w:val="00FB0596"/>
    <w:rsid w:val="00FB06C8"/>
    <w:rsid w:val="00FB07EF"/>
    <w:rsid w:val="00FB07FE"/>
    <w:rsid w:val="00FB0815"/>
    <w:rsid w:val="00FB0849"/>
    <w:rsid w:val="00FB0BE3"/>
    <w:rsid w:val="00FB0CAE"/>
    <w:rsid w:val="00FB0CD3"/>
    <w:rsid w:val="00FB1059"/>
    <w:rsid w:val="00FB10BB"/>
    <w:rsid w:val="00FB1381"/>
    <w:rsid w:val="00FB13C4"/>
    <w:rsid w:val="00FB148F"/>
    <w:rsid w:val="00FB14D3"/>
    <w:rsid w:val="00FB14FA"/>
    <w:rsid w:val="00FB1C9A"/>
    <w:rsid w:val="00FB1CBC"/>
    <w:rsid w:val="00FB1CEA"/>
    <w:rsid w:val="00FB1D01"/>
    <w:rsid w:val="00FB2261"/>
    <w:rsid w:val="00FB236B"/>
    <w:rsid w:val="00FB2862"/>
    <w:rsid w:val="00FB2D20"/>
    <w:rsid w:val="00FB2DC4"/>
    <w:rsid w:val="00FB2E2A"/>
    <w:rsid w:val="00FB2E2F"/>
    <w:rsid w:val="00FB2EF2"/>
    <w:rsid w:val="00FB2FED"/>
    <w:rsid w:val="00FB2FFB"/>
    <w:rsid w:val="00FB3214"/>
    <w:rsid w:val="00FB326B"/>
    <w:rsid w:val="00FB33EC"/>
    <w:rsid w:val="00FB34DB"/>
    <w:rsid w:val="00FB353E"/>
    <w:rsid w:val="00FB3673"/>
    <w:rsid w:val="00FB375C"/>
    <w:rsid w:val="00FB378E"/>
    <w:rsid w:val="00FB37C7"/>
    <w:rsid w:val="00FB394E"/>
    <w:rsid w:val="00FB39D6"/>
    <w:rsid w:val="00FB3C86"/>
    <w:rsid w:val="00FB3CC9"/>
    <w:rsid w:val="00FB3DA9"/>
    <w:rsid w:val="00FB3E50"/>
    <w:rsid w:val="00FB403C"/>
    <w:rsid w:val="00FB44CD"/>
    <w:rsid w:val="00FB46C9"/>
    <w:rsid w:val="00FB494E"/>
    <w:rsid w:val="00FB4981"/>
    <w:rsid w:val="00FB4DF3"/>
    <w:rsid w:val="00FB4EEF"/>
    <w:rsid w:val="00FB4EFB"/>
    <w:rsid w:val="00FB502B"/>
    <w:rsid w:val="00FB5038"/>
    <w:rsid w:val="00FB50DD"/>
    <w:rsid w:val="00FB5145"/>
    <w:rsid w:val="00FB5374"/>
    <w:rsid w:val="00FB54FB"/>
    <w:rsid w:val="00FB5533"/>
    <w:rsid w:val="00FB5693"/>
    <w:rsid w:val="00FB576D"/>
    <w:rsid w:val="00FB5863"/>
    <w:rsid w:val="00FB5A74"/>
    <w:rsid w:val="00FB5BB7"/>
    <w:rsid w:val="00FB5D27"/>
    <w:rsid w:val="00FB5D63"/>
    <w:rsid w:val="00FB5DCE"/>
    <w:rsid w:val="00FB5E44"/>
    <w:rsid w:val="00FB60B9"/>
    <w:rsid w:val="00FB61F0"/>
    <w:rsid w:val="00FB63EF"/>
    <w:rsid w:val="00FB64A4"/>
    <w:rsid w:val="00FB67E2"/>
    <w:rsid w:val="00FB68FA"/>
    <w:rsid w:val="00FB6916"/>
    <w:rsid w:val="00FB6F04"/>
    <w:rsid w:val="00FB70D0"/>
    <w:rsid w:val="00FB7170"/>
    <w:rsid w:val="00FB73B2"/>
    <w:rsid w:val="00FB7499"/>
    <w:rsid w:val="00FB750F"/>
    <w:rsid w:val="00FB765B"/>
    <w:rsid w:val="00FB7C02"/>
    <w:rsid w:val="00FB7E3A"/>
    <w:rsid w:val="00FB7E7A"/>
    <w:rsid w:val="00FC0247"/>
    <w:rsid w:val="00FC05CB"/>
    <w:rsid w:val="00FC06C3"/>
    <w:rsid w:val="00FC0A82"/>
    <w:rsid w:val="00FC0E27"/>
    <w:rsid w:val="00FC1016"/>
    <w:rsid w:val="00FC1044"/>
    <w:rsid w:val="00FC10B4"/>
    <w:rsid w:val="00FC10BF"/>
    <w:rsid w:val="00FC130A"/>
    <w:rsid w:val="00FC131B"/>
    <w:rsid w:val="00FC152A"/>
    <w:rsid w:val="00FC15E4"/>
    <w:rsid w:val="00FC16A0"/>
    <w:rsid w:val="00FC1901"/>
    <w:rsid w:val="00FC1972"/>
    <w:rsid w:val="00FC1AD0"/>
    <w:rsid w:val="00FC1B56"/>
    <w:rsid w:val="00FC1BB1"/>
    <w:rsid w:val="00FC1E18"/>
    <w:rsid w:val="00FC2079"/>
    <w:rsid w:val="00FC21A6"/>
    <w:rsid w:val="00FC2755"/>
    <w:rsid w:val="00FC2789"/>
    <w:rsid w:val="00FC2813"/>
    <w:rsid w:val="00FC28F2"/>
    <w:rsid w:val="00FC31BF"/>
    <w:rsid w:val="00FC34EC"/>
    <w:rsid w:val="00FC36FE"/>
    <w:rsid w:val="00FC380B"/>
    <w:rsid w:val="00FC3860"/>
    <w:rsid w:val="00FC3BB4"/>
    <w:rsid w:val="00FC3C03"/>
    <w:rsid w:val="00FC3CE0"/>
    <w:rsid w:val="00FC3DD3"/>
    <w:rsid w:val="00FC3FCA"/>
    <w:rsid w:val="00FC4020"/>
    <w:rsid w:val="00FC4232"/>
    <w:rsid w:val="00FC4240"/>
    <w:rsid w:val="00FC43E4"/>
    <w:rsid w:val="00FC43F7"/>
    <w:rsid w:val="00FC4AF6"/>
    <w:rsid w:val="00FC4B0A"/>
    <w:rsid w:val="00FC4B13"/>
    <w:rsid w:val="00FC4B39"/>
    <w:rsid w:val="00FC4B82"/>
    <w:rsid w:val="00FC4BC7"/>
    <w:rsid w:val="00FC4BEE"/>
    <w:rsid w:val="00FC4C18"/>
    <w:rsid w:val="00FC4C30"/>
    <w:rsid w:val="00FC4FAE"/>
    <w:rsid w:val="00FC50D2"/>
    <w:rsid w:val="00FC51C5"/>
    <w:rsid w:val="00FC5346"/>
    <w:rsid w:val="00FC540F"/>
    <w:rsid w:val="00FC541F"/>
    <w:rsid w:val="00FC5663"/>
    <w:rsid w:val="00FC587D"/>
    <w:rsid w:val="00FC5D11"/>
    <w:rsid w:val="00FC5D15"/>
    <w:rsid w:val="00FC5DAA"/>
    <w:rsid w:val="00FC5DCB"/>
    <w:rsid w:val="00FC5EAC"/>
    <w:rsid w:val="00FC5F07"/>
    <w:rsid w:val="00FC5FD6"/>
    <w:rsid w:val="00FC5FD9"/>
    <w:rsid w:val="00FC6016"/>
    <w:rsid w:val="00FC620F"/>
    <w:rsid w:val="00FC6368"/>
    <w:rsid w:val="00FC644A"/>
    <w:rsid w:val="00FC689E"/>
    <w:rsid w:val="00FC68DE"/>
    <w:rsid w:val="00FC69CA"/>
    <w:rsid w:val="00FC69F0"/>
    <w:rsid w:val="00FC6EDD"/>
    <w:rsid w:val="00FC6FAA"/>
    <w:rsid w:val="00FC7006"/>
    <w:rsid w:val="00FC7234"/>
    <w:rsid w:val="00FC72AC"/>
    <w:rsid w:val="00FC74D5"/>
    <w:rsid w:val="00FC755B"/>
    <w:rsid w:val="00FC77B1"/>
    <w:rsid w:val="00FC79A1"/>
    <w:rsid w:val="00FC79CB"/>
    <w:rsid w:val="00FC7A11"/>
    <w:rsid w:val="00FC7A13"/>
    <w:rsid w:val="00FC7AF5"/>
    <w:rsid w:val="00FC7B8A"/>
    <w:rsid w:val="00FC7D9F"/>
    <w:rsid w:val="00FC7EBC"/>
    <w:rsid w:val="00FD01AF"/>
    <w:rsid w:val="00FD0351"/>
    <w:rsid w:val="00FD03A0"/>
    <w:rsid w:val="00FD04C6"/>
    <w:rsid w:val="00FD0685"/>
    <w:rsid w:val="00FD088F"/>
    <w:rsid w:val="00FD0901"/>
    <w:rsid w:val="00FD094E"/>
    <w:rsid w:val="00FD0AE4"/>
    <w:rsid w:val="00FD0BDF"/>
    <w:rsid w:val="00FD0D53"/>
    <w:rsid w:val="00FD0D6C"/>
    <w:rsid w:val="00FD0ED1"/>
    <w:rsid w:val="00FD1018"/>
    <w:rsid w:val="00FD1237"/>
    <w:rsid w:val="00FD12C6"/>
    <w:rsid w:val="00FD14A7"/>
    <w:rsid w:val="00FD15FD"/>
    <w:rsid w:val="00FD171D"/>
    <w:rsid w:val="00FD17DF"/>
    <w:rsid w:val="00FD1928"/>
    <w:rsid w:val="00FD1BC1"/>
    <w:rsid w:val="00FD1DC4"/>
    <w:rsid w:val="00FD1E4D"/>
    <w:rsid w:val="00FD1E54"/>
    <w:rsid w:val="00FD1FC7"/>
    <w:rsid w:val="00FD2008"/>
    <w:rsid w:val="00FD2194"/>
    <w:rsid w:val="00FD221B"/>
    <w:rsid w:val="00FD2320"/>
    <w:rsid w:val="00FD272F"/>
    <w:rsid w:val="00FD281D"/>
    <w:rsid w:val="00FD2854"/>
    <w:rsid w:val="00FD2882"/>
    <w:rsid w:val="00FD2990"/>
    <w:rsid w:val="00FD2A7C"/>
    <w:rsid w:val="00FD2BB4"/>
    <w:rsid w:val="00FD2C71"/>
    <w:rsid w:val="00FD2CE1"/>
    <w:rsid w:val="00FD2DB4"/>
    <w:rsid w:val="00FD2F34"/>
    <w:rsid w:val="00FD32D6"/>
    <w:rsid w:val="00FD3342"/>
    <w:rsid w:val="00FD3540"/>
    <w:rsid w:val="00FD359B"/>
    <w:rsid w:val="00FD35C2"/>
    <w:rsid w:val="00FD37D9"/>
    <w:rsid w:val="00FD3950"/>
    <w:rsid w:val="00FD3C74"/>
    <w:rsid w:val="00FD3E37"/>
    <w:rsid w:val="00FD3E44"/>
    <w:rsid w:val="00FD3F4D"/>
    <w:rsid w:val="00FD407C"/>
    <w:rsid w:val="00FD4658"/>
    <w:rsid w:val="00FD4695"/>
    <w:rsid w:val="00FD472C"/>
    <w:rsid w:val="00FD47D7"/>
    <w:rsid w:val="00FD48E3"/>
    <w:rsid w:val="00FD49D5"/>
    <w:rsid w:val="00FD4AD0"/>
    <w:rsid w:val="00FD4B5C"/>
    <w:rsid w:val="00FD4C4A"/>
    <w:rsid w:val="00FD4D4C"/>
    <w:rsid w:val="00FD4EE1"/>
    <w:rsid w:val="00FD4F26"/>
    <w:rsid w:val="00FD4F50"/>
    <w:rsid w:val="00FD4F93"/>
    <w:rsid w:val="00FD5097"/>
    <w:rsid w:val="00FD5127"/>
    <w:rsid w:val="00FD5407"/>
    <w:rsid w:val="00FD546B"/>
    <w:rsid w:val="00FD5524"/>
    <w:rsid w:val="00FD5657"/>
    <w:rsid w:val="00FD5696"/>
    <w:rsid w:val="00FD56E0"/>
    <w:rsid w:val="00FD57E4"/>
    <w:rsid w:val="00FD58DD"/>
    <w:rsid w:val="00FD5AB9"/>
    <w:rsid w:val="00FD5BF6"/>
    <w:rsid w:val="00FD5E19"/>
    <w:rsid w:val="00FD5EE0"/>
    <w:rsid w:val="00FD613E"/>
    <w:rsid w:val="00FD615F"/>
    <w:rsid w:val="00FD65E3"/>
    <w:rsid w:val="00FD66B9"/>
    <w:rsid w:val="00FD687C"/>
    <w:rsid w:val="00FD68B2"/>
    <w:rsid w:val="00FD6AFD"/>
    <w:rsid w:val="00FD6BA2"/>
    <w:rsid w:val="00FD6EE4"/>
    <w:rsid w:val="00FD6FB6"/>
    <w:rsid w:val="00FD6FD4"/>
    <w:rsid w:val="00FD7084"/>
    <w:rsid w:val="00FD715A"/>
    <w:rsid w:val="00FD7298"/>
    <w:rsid w:val="00FD7347"/>
    <w:rsid w:val="00FD75EB"/>
    <w:rsid w:val="00FD75EC"/>
    <w:rsid w:val="00FD796E"/>
    <w:rsid w:val="00FD7980"/>
    <w:rsid w:val="00FD7A4F"/>
    <w:rsid w:val="00FD7B5A"/>
    <w:rsid w:val="00FD7C3A"/>
    <w:rsid w:val="00FD7D34"/>
    <w:rsid w:val="00FD7D8B"/>
    <w:rsid w:val="00FD7D94"/>
    <w:rsid w:val="00FD7F1B"/>
    <w:rsid w:val="00FE009D"/>
    <w:rsid w:val="00FE015B"/>
    <w:rsid w:val="00FE0196"/>
    <w:rsid w:val="00FE0249"/>
    <w:rsid w:val="00FE0278"/>
    <w:rsid w:val="00FE02C7"/>
    <w:rsid w:val="00FE02E1"/>
    <w:rsid w:val="00FE0556"/>
    <w:rsid w:val="00FE06CA"/>
    <w:rsid w:val="00FE0835"/>
    <w:rsid w:val="00FE08B4"/>
    <w:rsid w:val="00FE09E6"/>
    <w:rsid w:val="00FE0C3C"/>
    <w:rsid w:val="00FE0CB8"/>
    <w:rsid w:val="00FE0D5B"/>
    <w:rsid w:val="00FE0EC3"/>
    <w:rsid w:val="00FE1005"/>
    <w:rsid w:val="00FE107A"/>
    <w:rsid w:val="00FE10EB"/>
    <w:rsid w:val="00FE1191"/>
    <w:rsid w:val="00FE1635"/>
    <w:rsid w:val="00FE1667"/>
    <w:rsid w:val="00FE178D"/>
    <w:rsid w:val="00FE198A"/>
    <w:rsid w:val="00FE1B22"/>
    <w:rsid w:val="00FE1CD6"/>
    <w:rsid w:val="00FE1CED"/>
    <w:rsid w:val="00FE1DC5"/>
    <w:rsid w:val="00FE1EFE"/>
    <w:rsid w:val="00FE2178"/>
    <w:rsid w:val="00FE22F0"/>
    <w:rsid w:val="00FE22F8"/>
    <w:rsid w:val="00FE24BB"/>
    <w:rsid w:val="00FE24F1"/>
    <w:rsid w:val="00FE2513"/>
    <w:rsid w:val="00FE27D9"/>
    <w:rsid w:val="00FE2861"/>
    <w:rsid w:val="00FE29E7"/>
    <w:rsid w:val="00FE2A3B"/>
    <w:rsid w:val="00FE2C82"/>
    <w:rsid w:val="00FE2D3E"/>
    <w:rsid w:val="00FE2DEA"/>
    <w:rsid w:val="00FE2DFB"/>
    <w:rsid w:val="00FE2EDB"/>
    <w:rsid w:val="00FE2FDF"/>
    <w:rsid w:val="00FE3010"/>
    <w:rsid w:val="00FE30C6"/>
    <w:rsid w:val="00FE3380"/>
    <w:rsid w:val="00FE3501"/>
    <w:rsid w:val="00FE36CD"/>
    <w:rsid w:val="00FE36D7"/>
    <w:rsid w:val="00FE372A"/>
    <w:rsid w:val="00FE3793"/>
    <w:rsid w:val="00FE3976"/>
    <w:rsid w:val="00FE3B67"/>
    <w:rsid w:val="00FE3BE7"/>
    <w:rsid w:val="00FE3C28"/>
    <w:rsid w:val="00FE3E0A"/>
    <w:rsid w:val="00FE3F30"/>
    <w:rsid w:val="00FE40CD"/>
    <w:rsid w:val="00FE4278"/>
    <w:rsid w:val="00FE4536"/>
    <w:rsid w:val="00FE46DA"/>
    <w:rsid w:val="00FE4723"/>
    <w:rsid w:val="00FE491A"/>
    <w:rsid w:val="00FE4AC0"/>
    <w:rsid w:val="00FE4D21"/>
    <w:rsid w:val="00FE4D3E"/>
    <w:rsid w:val="00FE4F85"/>
    <w:rsid w:val="00FE5044"/>
    <w:rsid w:val="00FE525D"/>
    <w:rsid w:val="00FE5457"/>
    <w:rsid w:val="00FE54F0"/>
    <w:rsid w:val="00FE555E"/>
    <w:rsid w:val="00FE56BF"/>
    <w:rsid w:val="00FE571C"/>
    <w:rsid w:val="00FE5831"/>
    <w:rsid w:val="00FE590A"/>
    <w:rsid w:val="00FE5E3D"/>
    <w:rsid w:val="00FE5F5D"/>
    <w:rsid w:val="00FE61E9"/>
    <w:rsid w:val="00FE65E7"/>
    <w:rsid w:val="00FE65ED"/>
    <w:rsid w:val="00FE6625"/>
    <w:rsid w:val="00FE68C2"/>
    <w:rsid w:val="00FE6A92"/>
    <w:rsid w:val="00FE6B4C"/>
    <w:rsid w:val="00FE6BBE"/>
    <w:rsid w:val="00FE6C1E"/>
    <w:rsid w:val="00FE6E4F"/>
    <w:rsid w:val="00FE6EDA"/>
    <w:rsid w:val="00FE6F35"/>
    <w:rsid w:val="00FE702E"/>
    <w:rsid w:val="00FE7040"/>
    <w:rsid w:val="00FE7076"/>
    <w:rsid w:val="00FE7089"/>
    <w:rsid w:val="00FE7249"/>
    <w:rsid w:val="00FE724B"/>
    <w:rsid w:val="00FE7414"/>
    <w:rsid w:val="00FE74E8"/>
    <w:rsid w:val="00FE7C49"/>
    <w:rsid w:val="00FE7D4E"/>
    <w:rsid w:val="00FE7DC6"/>
    <w:rsid w:val="00FF002D"/>
    <w:rsid w:val="00FF013C"/>
    <w:rsid w:val="00FF02B2"/>
    <w:rsid w:val="00FF037C"/>
    <w:rsid w:val="00FF052E"/>
    <w:rsid w:val="00FF0604"/>
    <w:rsid w:val="00FF06B7"/>
    <w:rsid w:val="00FF06FD"/>
    <w:rsid w:val="00FF07CA"/>
    <w:rsid w:val="00FF087E"/>
    <w:rsid w:val="00FF0940"/>
    <w:rsid w:val="00FF0A28"/>
    <w:rsid w:val="00FF0AFC"/>
    <w:rsid w:val="00FF0E55"/>
    <w:rsid w:val="00FF0E9E"/>
    <w:rsid w:val="00FF0F07"/>
    <w:rsid w:val="00FF1184"/>
    <w:rsid w:val="00FF12AB"/>
    <w:rsid w:val="00FF1315"/>
    <w:rsid w:val="00FF138D"/>
    <w:rsid w:val="00FF13FB"/>
    <w:rsid w:val="00FF14CA"/>
    <w:rsid w:val="00FF163C"/>
    <w:rsid w:val="00FF1836"/>
    <w:rsid w:val="00FF1D97"/>
    <w:rsid w:val="00FF2425"/>
    <w:rsid w:val="00FF24E3"/>
    <w:rsid w:val="00FF2721"/>
    <w:rsid w:val="00FF2A8B"/>
    <w:rsid w:val="00FF2AA6"/>
    <w:rsid w:val="00FF2C06"/>
    <w:rsid w:val="00FF2DCD"/>
    <w:rsid w:val="00FF2E8C"/>
    <w:rsid w:val="00FF2F39"/>
    <w:rsid w:val="00FF2FFF"/>
    <w:rsid w:val="00FF3372"/>
    <w:rsid w:val="00FF33F7"/>
    <w:rsid w:val="00FF34D1"/>
    <w:rsid w:val="00FF3527"/>
    <w:rsid w:val="00FF352D"/>
    <w:rsid w:val="00FF3880"/>
    <w:rsid w:val="00FF39D6"/>
    <w:rsid w:val="00FF3AFD"/>
    <w:rsid w:val="00FF3B7C"/>
    <w:rsid w:val="00FF3D50"/>
    <w:rsid w:val="00FF3DF6"/>
    <w:rsid w:val="00FF3F01"/>
    <w:rsid w:val="00FF4040"/>
    <w:rsid w:val="00FF4060"/>
    <w:rsid w:val="00FF40A6"/>
    <w:rsid w:val="00FF4385"/>
    <w:rsid w:val="00FF44C0"/>
    <w:rsid w:val="00FF4500"/>
    <w:rsid w:val="00FF455C"/>
    <w:rsid w:val="00FF4588"/>
    <w:rsid w:val="00FF4650"/>
    <w:rsid w:val="00FF48F8"/>
    <w:rsid w:val="00FF49F2"/>
    <w:rsid w:val="00FF4BB7"/>
    <w:rsid w:val="00FF4C94"/>
    <w:rsid w:val="00FF4E9C"/>
    <w:rsid w:val="00FF52B0"/>
    <w:rsid w:val="00FF5340"/>
    <w:rsid w:val="00FF53C0"/>
    <w:rsid w:val="00FF55EC"/>
    <w:rsid w:val="00FF5645"/>
    <w:rsid w:val="00FF566F"/>
    <w:rsid w:val="00FF5727"/>
    <w:rsid w:val="00FF58B8"/>
    <w:rsid w:val="00FF58E7"/>
    <w:rsid w:val="00FF59C8"/>
    <w:rsid w:val="00FF5ABF"/>
    <w:rsid w:val="00FF5B28"/>
    <w:rsid w:val="00FF5B35"/>
    <w:rsid w:val="00FF5C08"/>
    <w:rsid w:val="00FF5D13"/>
    <w:rsid w:val="00FF5D97"/>
    <w:rsid w:val="00FF5F0D"/>
    <w:rsid w:val="00FF6006"/>
    <w:rsid w:val="00FF60FF"/>
    <w:rsid w:val="00FF62B2"/>
    <w:rsid w:val="00FF63B6"/>
    <w:rsid w:val="00FF6554"/>
    <w:rsid w:val="00FF655C"/>
    <w:rsid w:val="00FF678C"/>
    <w:rsid w:val="00FF6851"/>
    <w:rsid w:val="00FF6EF3"/>
    <w:rsid w:val="00FF7101"/>
    <w:rsid w:val="00FF76A4"/>
    <w:rsid w:val="00FF76F5"/>
    <w:rsid w:val="00FF77EF"/>
    <w:rsid w:val="00FF7889"/>
    <w:rsid w:val="00FF7893"/>
    <w:rsid w:val="00FF7940"/>
    <w:rsid w:val="00FF7B2F"/>
    <w:rsid w:val="00FF7C36"/>
    <w:rsid w:val="00FF7E20"/>
    <w:rsid w:val="00FF7E3B"/>
    <w:rsid w:val="00FF7F39"/>
    <w:rsid w:val="0102EE50"/>
    <w:rsid w:val="010F9FB2"/>
    <w:rsid w:val="0139A5D9"/>
    <w:rsid w:val="017ABFFB"/>
    <w:rsid w:val="01C3E5DD"/>
    <w:rsid w:val="01CE9200"/>
    <w:rsid w:val="0203DE0F"/>
    <w:rsid w:val="0222DEBC"/>
    <w:rsid w:val="022EA005"/>
    <w:rsid w:val="027AE80A"/>
    <w:rsid w:val="02B75A71"/>
    <w:rsid w:val="02D6BA29"/>
    <w:rsid w:val="02E0FB38"/>
    <w:rsid w:val="02E4FE65"/>
    <w:rsid w:val="02F8E182"/>
    <w:rsid w:val="03097A81"/>
    <w:rsid w:val="03182697"/>
    <w:rsid w:val="03488B54"/>
    <w:rsid w:val="034C07EC"/>
    <w:rsid w:val="035B9288"/>
    <w:rsid w:val="0416150D"/>
    <w:rsid w:val="042F4C8C"/>
    <w:rsid w:val="0485AC24"/>
    <w:rsid w:val="0492F2B9"/>
    <w:rsid w:val="04B54F87"/>
    <w:rsid w:val="04E0EFF3"/>
    <w:rsid w:val="04E37416"/>
    <w:rsid w:val="04EFD288"/>
    <w:rsid w:val="04F6EFBB"/>
    <w:rsid w:val="05192BAC"/>
    <w:rsid w:val="052069F2"/>
    <w:rsid w:val="0581B2D8"/>
    <w:rsid w:val="0597B555"/>
    <w:rsid w:val="059B8FB5"/>
    <w:rsid w:val="05A1E0DE"/>
    <w:rsid w:val="05A4A4AC"/>
    <w:rsid w:val="05DDF7E9"/>
    <w:rsid w:val="060C8807"/>
    <w:rsid w:val="0616D630"/>
    <w:rsid w:val="062751E7"/>
    <w:rsid w:val="068268F0"/>
    <w:rsid w:val="06D5A7D5"/>
    <w:rsid w:val="072C8024"/>
    <w:rsid w:val="073CC13A"/>
    <w:rsid w:val="0742E9A6"/>
    <w:rsid w:val="074D0B69"/>
    <w:rsid w:val="07666AB2"/>
    <w:rsid w:val="07881BB5"/>
    <w:rsid w:val="07A3C3C2"/>
    <w:rsid w:val="07A821D6"/>
    <w:rsid w:val="07EC23D5"/>
    <w:rsid w:val="081CBAEA"/>
    <w:rsid w:val="084519C7"/>
    <w:rsid w:val="085ACC48"/>
    <w:rsid w:val="087E6E5E"/>
    <w:rsid w:val="08933F0B"/>
    <w:rsid w:val="08A03315"/>
    <w:rsid w:val="08FB02A6"/>
    <w:rsid w:val="09220D2A"/>
    <w:rsid w:val="093E8DD3"/>
    <w:rsid w:val="093E8DDE"/>
    <w:rsid w:val="0948F259"/>
    <w:rsid w:val="09A714EE"/>
    <w:rsid w:val="09E6F8D6"/>
    <w:rsid w:val="0A0E748A"/>
    <w:rsid w:val="0A1E275D"/>
    <w:rsid w:val="0A1F2C39"/>
    <w:rsid w:val="0A3C0376"/>
    <w:rsid w:val="0A4CE03A"/>
    <w:rsid w:val="0A657523"/>
    <w:rsid w:val="0ACBBFA7"/>
    <w:rsid w:val="0B02CBB5"/>
    <w:rsid w:val="0B3F0881"/>
    <w:rsid w:val="0B6F44D3"/>
    <w:rsid w:val="0BB6FE49"/>
    <w:rsid w:val="0BC275B3"/>
    <w:rsid w:val="0BFC2E28"/>
    <w:rsid w:val="0C17DEEC"/>
    <w:rsid w:val="0C3EA3F7"/>
    <w:rsid w:val="0C3FF627"/>
    <w:rsid w:val="0C6F0F51"/>
    <w:rsid w:val="0C7B4466"/>
    <w:rsid w:val="0D185E99"/>
    <w:rsid w:val="0D189118"/>
    <w:rsid w:val="0D203293"/>
    <w:rsid w:val="0D6B6A27"/>
    <w:rsid w:val="0DD1466A"/>
    <w:rsid w:val="0DDB20F0"/>
    <w:rsid w:val="0DE77890"/>
    <w:rsid w:val="0DF24E5A"/>
    <w:rsid w:val="0E2EC38B"/>
    <w:rsid w:val="0E4CB20E"/>
    <w:rsid w:val="0E6833F3"/>
    <w:rsid w:val="0E8ACC18"/>
    <w:rsid w:val="0EFBE276"/>
    <w:rsid w:val="0EFD4177"/>
    <w:rsid w:val="0F6C36CD"/>
    <w:rsid w:val="0F87FADD"/>
    <w:rsid w:val="0F99CDF5"/>
    <w:rsid w:val="0F9F896D"/>
    <w:rsid w:val="104FFF5B"/>
    <w:rsid w:val="10E74DBA"/>
    <w:rsid w:val="10F02B81"/>
    <w:rsid w:val="10F2C3D5"/>
    <w:rsid w:val="10FB07FD"/>
    <w:rsid w:val="10FCFFF8"/>
    <w:rsid w:val="110548AB"/>
    <w:rsid w:val="1123CB3E"/>
    <w:rsid w:val="11569410"/>
    <w:rsid w:val="115BF38E"/>
    <w:rsid w:val="1181D11F"/>
    <w:rsid w:val="11832F73"/>
    <w:rsid w:val="1198A3C2"/>
    <w:rsid w:val="11CAA777"/>
    <w:rsid w:val="11F9AAB4"/>
    <w:rsid w:val="12182672"/>
    <w:rsid w:val="121AB533"/>
    <w:rsid w:val="121F5903"/>
    <w:rsid w:val="122149BA"/>
    <w:rsid w:val="122D2126"/>
    <w:rsid w:val="12692A2B"/>
    <w:rsid w:val="12852702"/>
    <w:rsid w:val="12CEFEA5"/>
    <w:rsid w:val="12F5FADE"/>
    <w:rsid w:val="131FD4B5"/>
    <w:rsid w:val="132A461B"/>
    <w:rsid w:val="1343B418"/>
    <w:rsid w:val="1385E8B0"/>
    <w:rsid w:val="13933C34"/>
    <w:rsid w:val="139D0195"/>
    <w:rsid w:val="13C26B68"/>
    <w:rsid w:val="13D56C59"/>
    <w:rsid w:val="13E62315"/>
    <w:rsid w:val="140F9CD2"/>
    <w:rsid w:val="14B971E1"/>
    <w:rsid w:val="14CA2502"/>
    <w:rsid w:val="14E393FC"/>
    <w:rsid w:val="15235F66"/>
    <w:rsid w:val="156602F3"/>
    <w:rsid w:val="15713CBA"/>
    <w:rsid w:val="1573468B"/>
    <w:rsid w:val="157C0739"/>
    <w:rsid w:val="15A8C5D6"/>
    <w:rsid w:val="15DB2DB3"/>
    <w:rsid w:val="16474709"/>
    <w:rsid w:val="16499CBA"/>
    <w:rsid w:val="16560795"/>
    <w:rsid w:val="16D2C639"/>
    <w:rsid w:val="16D32048"/>
    <w:rsid w:val="16DF94C7"/>
    <w:rsid w:val="16F87371"/>
    <w:rsid w:val="16FCA457"/>
    <w:rsid w:val="1761F4CC"/>
    <w:rsid w:val="17C86B3F"/>
    <w:rsid w:val="17D503C1"/>
    <w:rsid w:val="180C333E"/>
    <w:rsid w:val="1815B4AF"/>
    <w:rsid w:val="18689EE0"/>
    <w:rsid w:val="18946623"/>
    <w:rsid w:val="18A63DE9"/>
    <w:rsid w:val="18F5CF54"/>
    <w:rsid w:val="18F791DA"/>
    <w:rsid w:val="18F79363"/>
    <w:rsid w:val="19045F46"/>
    <w:rsid w:val="192B64BF"/>
    <w:rsid w:val="193C5642"/>
    <w:rsid w:val="195066CF"/>
    <w:rsid w:val="198F88E5"/>
    <w:rsid w:val="19A25A93"/>
    <w:rsid w:val="19D62BDB"/>
    <w:rsid w:val="1A31EF49"/>
    <w:rsid w:val="1A3FBE74"/>
    <w:rsid w:val="1A5F7FF5"/>
    <w:rsid w:val="1A9EE105"/>
    <w:rsid w:val="1AA3DD9B"/>
    <w:rsid w:val="1AA72347"/>
    <w:rsid w:val="1AD94065"/>
    <w:rsid w:val="1ADCDD19"/>
    <w:rsid w:val="1B2042BF"/>
    <w:rsid w:val="1B478989"/>
    <w:rsid w:val="1B4E1004"/>
    <w:rsid w:val="1C0D33BF"/>
    <w:rsid w:val="1C1C4947"/>
    <w:rsid w:val="1C343ECF"/>
    <w:rsid w:val="1C429C64"/>
    <w:rsid w:val="1C4FD26C"/>
    <w:rsid w:val="1C6964D0"/>
    <w:rsid w:val="1C9A7158"/>
    <w:rsid w:val="1CD96EFB"/>
    <w:rsid w:val="1CD9B89B"/>
    <w:rsid w:val="1D0BE5F3"/>
    <w:rsid w:val="1D72EC82"/>
    <w:rsid w:val="1D9C9C7E"/>
    <w:rsid w:val="1DF44022"/>
    <w:rsid w:val="1EB1B1C2"/>
    <w:rsid w:val="1EB26579"/>
    <w:rsid w:val="1ECE3E41"/>
    <w:rsid w:val="1F07F554"/>
    <w:rsid w:val="1F5EAB52"/>
    <w:rsid w:val="1F60C66F"/>
    <w:rsid w:val="1FA70CD6"/>
    <w:rsid w:val="1FBEA735"/>
    <w:rsid w:val="1FD584CC"/>
    <w:rsid w:val="1FDBAC11"/>
    <w:rsid w:val="1FE75218"/>
    <w:rsid w:val="200818B5"/>
    <w:rsid w:val="2036051E"/>
    <w:rsid w:val="206BF388"/>
    <w:rsid w:val="20B7109A"/>
    <w:rsid w:val="20D35926"/>
    <w:rsid w:val="213840E1"/>
    <w:rsid w:val="2163CE35"/>
    <w:rsid w:val="216FA8E3"/>
    <w:rsid w:val="2174DF70"/>
    <w:rsid w:val="219064B2"/>
    <w:rsid w:val="21C3FBEA"/>
    <w:rsid w:val="21C7EA33"/>
    <w:rsid w:val="220B73A8"/>
    <w:rsid w:val="2234A2ED"/>
    <w:rsid w:val="2242DE50"/>
    <w:rsid w:val="224C14D5"/>
    <w:rsid w:val="22631078"/>
    <w:rsid w:val="226ADCF0"/>
    <w:rsid w:val="2279D8C1"/>
    <w:rsid w:val="22C4C672"/>
    <w:rsid w:val="22DD7AA4"/>
    <w:rsid w:val="22DE763D"/>
    <w:rsid w:val="22EFEF03"/>
    <w:rsid w:val="2303C69F"/>
    <w:rsid w:val="23058A90"/>
    <w:rsid w:val="233D69F5"/>
    <w:rsid w:val="2349E981"/>
    <w:rsid w:val="2358D34D"/>
    <w:rsid w:val="237C1BBA"/>
    <w:rsid w:val="2434967E"/>
    <w:rsid w:val="2484F32D"/>
    <w:rsid w:val="24C9F7BD"/>
    <w:rsid w:val="24E3201A"/>
    <w:rsid w:val="257D3A19"/>
    <w:rsid w:val="25A55E1A"/>
    <w:rsid w:val="26684CD0"/>
    <w:rsid w:val="2670582A"/>
    <w:rsid w:val="26A62B6D"/>
    <w:rsid w:val="26C45623"/>
    <w:rsid w:val="26E34680"/>
    <w:rsid w:val="26F2C785"/>
    <w:rsid w:val="2736F200"/>
    <w:rsid w:val="273DBAFE"/>
    <w:rsid w:val="2743B71A"/>
    <w:rsid w:val="2759BE25"/>
    <w:rsid w:val="276BA31C"/>
    <w:rsid w:val="27CF626B"/>
    <w:rsid w:val="27EDF8FC"/>
    <w:rsid w:val="282499FE"/>
    <w:rsid w:val="2862722F"/>
    <w:rsid w:val="289F80CB"/>
    <w:rsid w:val="28AE9D0B"/>
    <w:rsid w:val="28D05651"/>
    <w:rsid w:val="2905EA7E"/>
    <w:rsid w:val="290AF30B"/>
    <w:rsid w:val="29444237"/>
    <w:rsid w:val="296B07FA"/>
    <w:rsid w:val="29C44AD7"/>
    <w:rsid w:val="29EC80CD"/>
    <w:rsid w:val="2A0431A9"/>
    <w:rsid w:val="2A11D9AF"/>
    <w:rsid w:val="2A200125"/>
    <w:rsid w:val="2AA73136"/>
    <w:rsid w:val="2ACEADC9"/>
    <w:rsid w:val="2AFC2F81"/>
    <w:rsid w:val="2B08A552"/>
    <w:rsid w:val="2B45F67A"/>
    <w:rsid w:val="2B57BE73"/>
    <w:rsid w:val="2B6B66C1"/>
    <w:rsid w:val="2B6C6C29"/>
    <w:rsid w:val="2B744D0D"/>
    <w:rsid w:val="2B7F72EA"/>
    <w:rsid w:val="2B86B6AA"/>
    <w:rsid w:val="2B99231E"/>
    <w:rsid w:val="2BAF3D8A"/>
    <w:rsid w:val="2BD4DA67"/>
    <w:rsid w:val="2BD99D82"/>
    <w:rsid w:val="2C9D0701"/>
    <w:rsid w:val="2C9F89A1"/>
    <w:rsid w:val="2CC6022D"/>
    <w:rsid w:val="2D21698A"/>
    <w:rsid w:val="2D291968"/>
    <w:rsid w:val="2D2D85D4"/>
    <w:rsid w:val="2D612209"/>
    <w:rsid w:val="2DB09FEA"/>
    <w:rsid w:val="2DBE59F5"/>
    <w:rsid w:val="2DD84242"/>
    <w:rsid w:val="2DEEA71D"/>
    <w:rsid w:val="2E20D45A"/>
    <w:rsid w:val="2E3A0B82"/>
    <w:rsid w:val="2E73C647"/>
    <w:rsid w:val="2EC9AF65"/>
    <w:rsid w:val="2ED10F63"/>
    <w:rsid w:val="2EEA5D48"/>
    <w:rsid w:val="2F48A1E1"/>
    <w:rsid w:val="2F5A6CFC"/>
    <w:rsid w:val="2F622E26"/>
    <w:rsid w:val="2F9FE06C"/>
    <w:rsid w:val="2FBC1009"/>
    <w:rsid w:val="2FCAF47E"/>
    <w:rsid w:val="2FE619DC"/>
    <w:rsid w:val="302D07FF"/>
    <w:rsid w:val="30335C01"/>
    <w:rsid w:val="30828C86"/>
    <w:rsid w:val="3091FCDC"/>
    <w:rsid w:val="30A5077D"/>
    <w:rsid w:val="30AF7F70"/>
    <w:rsid w:val="30D9470F"/>
    <w:rsid w:val="31039E97"/>
    <w:rsid w:val="310769AD"/>
    <w:rsid w:val="3130120D"/>
    <w:rsid w:val="31480ECA"/>
    <w:rsid w:val="31655450"/>
    <w:rsid w:val="31659825"/>
    <w:rsid w:val="3173D235"/>
    <w:rsid w:val="318C51DB"/>
    <w:rsid w:val="3191C412"/>
    <w:rsid w:val="3210A299"/>
    <w:rsid w:val="321C4041"/>
    <w:rsid w:val="32B17CF1"/>
    <w:rsid w:val="32D98989"/>
    <w:rsid w:val="32DFB93E"/>
    <w:rsid w:val="32E33878"/>
    <w:rsid w:val="331CB9BC"/>
    <w:rsid w:val="333E051D"/>
    <w:rsid w:val="337BDAA5"/>
    <w:rsid w:val="338B2CCA"/>
    <w:rsid w:val="33A29BC2"/>
    <w:rsid w:val="33A5F00F"/>
    <w:rsid w:val="33C62D64"/>
    <w:rsid w:val="33FD2205"/>
    <w:rsid w:val="33FDF279"/>
    <w:rsid w:val="3406B917"/>
    <w:rsid w:val="34679886"/>
    <w:rsid w:val="34710812"/>
    <w:rsid w:val="3477420B"/>
    <w:rsid w:val="3499FD9F"/>
    <w:rsid w:val="34A02A12"/>
    <w:rsid w:val="34A836B9"/>
    <w:rsid w:val="34EED0B2"/>
    <w:rsid w:val="34F89819"/>
    <w:rsid w:val="35187EF0"/>
    <w:rsid w:val="3534A963"/>
    <w:rsid w:val="354ECB57"/>
    <w:rsid w:val="35A9008D"/>
    <w:rsid w:val="35D4EC21"/>
    <w:rsid w:val="362C2342"/>
    <w:rsid w:val="364DD0B9"/>
    <w:rsid w:val="366E298E"/>
    <w:rsid w:val="36A13817"/>
    <w:rsid w:val="36B6F77A"/>
    <w:rsid w:val="36E2105B"/>
    <w:rsid w:val="36E7685E"/>
    <w:rsid w:val="3738D094"/>
    <w:rsid w:val="3759B6FA"/>
    <w:rsid w:val="3769095F"/>
    <w:rsid w:val="37A36142"/>
    <w:rsid w:val="37A8350D"/>
    <w:rsid w:val="37B2503D"/>
    <w:rsid w:val="37D2E96F"/>
    <w:rsid w:val="37DD8E47"/>
    <w:rsid w:val="37E350BE"/>
    <w:rsid w:val="38223FA8"/>
    <w:rsid w:val="3827305D"/>
    <w:rsid w:val="3881BBB6"/>
    <w:rsid w:val="388CB69F"/>
    <w:rsid w:val="3893A969"/>
    <w:rsid w:val="38CD4A93"/>
    <w:rsid w:val="38D56733"/>
    <w:rsid w:val="390DC076"/>
    <w:rsid w:val="39535C2D"/>
    <w:rsid w:val="39F7C9E2"/>
    <w:rsid w:val="39FFF287"/>
    <w:rsid w:val="3A1F3090"/>
    <w:rsid w:val="3A619890"/>
    <w:rsid w:val="3A820CD0"/>
    <w:rsid w:val="3AC689BE"/>
    <w:rsid w:val="3AC9601E"/>
    <w:rsid w:val="3AE62F05"/>
    <w:rsid w:val="3B0C6765"/>
    <w:rsid w:val="3B0D7C17"/>
    <w:rsid w:val="3B0F1AA9"/>
    <w:rsid w:val="3B1FAC26"/>
    <w:rsid w:val="3B2C6CDC"/>
    <w:rsid w:val="3B2FCAEA"/>
    <w:rsid w:val="3B6EE9EF"/>
    <w:rsid w:val="3B83B904"/>
    <w:rsid w:val="3BA6D39F"/>
    <w:rsid w:val="3BBC1DFF"/>
    <w:rsid w:val="3BC3818A"/>
    <w:rsid w:val="3BD3896D"/>
    <w:rsid w:val="3C3DFBEF"/>
    <w:rsid w:val="3C691999"/>
    <w:rsid w:val="3CAB2961"/>
    <w:rsid w:val="3D1104E6"/>
    <w:rsid w:val="3D235882"/>
    <w:rsid w:val="3D3AE740"/>
    <w:rsid w:val="3D6C0A67"/>
    <w:rsid w:val="3DB3A4F2"/>
    <w:rsid w:val="3DEB45AE"/>
    <w:rsid w:val="3E14450D"/>
    <w:rsid w:val="3E24492A"/>
    <w:rsid w:val="3E2C1A9C"/>
    <w:rsid w:val="3E99A540"/>
    <w:rsid w:val="3EA63A27"/>
    <w:rsid w:val="3ED59D45"/>
    <w:rsid w:val="3EDF9D0A"/>
    <w:rsid w:val="3F1A4A84"/>
    <w:rsid w:val="3F403542"/>
    <w:rsid w:val="3F414C21"/>
    <w:rsid w:val="3F896A47"/>
    <w:rsid w:val="3FAFF184"/>
    <w:rsid w:val="3FB72231"/>
    <w:rsid w:val="3FBF15E2"/>
    <w:rsid w:val="4012DD8F"/>
    <w:rsid w:val="4020CF5C"/>
    <w:rsid w:val="402A5655"/>
    <w:rsid w:val="40760F47"/>
    <w:rsid w:val="407CFDDE"/>
    <w:rsid w:val="408484DE"/>
    <w:rsid w:val="40E24CD4"/>
    <w:rsid w:val="41025B59"/>
    <w:rsid w:val="41275857"/>
    <w:rsid w:val="4131BD68"/>
    <w:rsid w:val="4138877E"/>
    <w:rsid w:val="414E8113"/>
    <w:rsid w:val="41768571"/>
    <w:rsid w:val="41777FAA"/>
    <w:rsid w:val="419933FE"/>
    <w:rsid w:val="41A1B1F3"/>
    <w:rsid w:val="41CE9FD9"/>
    <w:rsid w:val="42079107"/>
    <w:rsid w:val="420A0CA2"/>
    <w:rsid w:val="420E8470"/>
    <w:rsid w:val="4231E19E"/>
    <w:rsid w:val="42457DB9"/>
    <w:rsid w:val="426A4864"/>
    <w:rsid w:val="426BD163"/>
    <w:rsid w:val="42856C53"/>
    <w:rsid w:val="42EEBED5"/>
    <w:rsid w:val="43028B87"/>
    <w:rsid w:val="43417D14"/>
    <w:rsid w:val="43512FE7"/>
    <w:rsid w:val="4371A313"/>
    <w:rsid w:val="43917B33"/>
    <w:rsid w:val="43A6F03A"/>
    <w:rsid w:val="4423C244"/>
    <w:rsid w:val="44410232"/>
    <w:rsid w:val="4450DCD0"/>
    <w:rsid w:val="4481CF10"/>
    <w:rsid w:val="44BE6C7A"/>
    <w:rsid w:val="44E892CC"/>
    <w:rsid w:val="44F1EE32"/>
    <w:rsid w:val="450C23CA"/>
    <w:rsid w:val="452BB775"/>
    <w:rsid w:val="45540417"/>
    <w:rsid w:val="4558B3FC"/>
    <w:rsid w:val="455C7DF9"/>
    <w:rsid w:val="4566ECE6"/>
    <w:rsid w:val="456F3E40"/>
    <w:rsid w:val="458B1924"/>
    <w:rsid w:val="458C5E7C"/>
    <w:rsid w:val="45F1E123"/>
    <w:rsid w:val="4608EC60"/>
    <w:rsid w:val="4620ED9A"/>
    <w:rsid w:val="468DBE93"/>
    <w:rsid w:val="4693B72F"/>
    <w:rsid w:val="46A8A1C5"/>
    <w:rsid w:val="46C1E0B4"/>
    <w:rsid w:val="46FDD22A"/>
    <w:rsid w:val="471FC2CB"/>
    <w:rsid w:val="473DAD55"/>
    <w:rsid w:val="474671AC"/>
    <w:rsid w:val="4755DD00"/>
    <w:rsid w:val="478F1247"/>
    <w:rsid w:val="47E2DBFB"/>
    <w:rsid w:val="480D621D"/>
    <w:rsid w:val="484ACEE3"/>
    <w:rsid w:val="48AB4E22"/>
    <w:rsid w:val="48B42926"/>
    <w:rsid w:val="48BEA1B7"/>
    <w:rsid w:val="48DA84F1"/>
    <w:rsid w:val="48EA3E01"/>
    <w:rsid w:val="492D06F4"/>
    <w:rsid w:val="4941ED1F"/>
    <w:rsid w:val="49480F2A"/>
    <w:rsid w:val="4955238D"/>
    <w:rsid w:val="49613D63"/>
    <w:rsid w:val="4978C6F1"/>
    <w:rsid w:val="49927C6D"/>
    <w:rsid w:val="499DBD24"/>
    <w:rsid w:val="49C969B6"/>
    <w:rsid w:val="49DE785E"/>
    <w:rsid w:val="49FA4B53"/>
    <w:rsid w:val="4A20B75E"/>
    <w:rsid w:val="4A230B4C"/>
    <w:rsid w:val="4A284D5C"/>
    <w:rsid w:val="4A293464"/>
    <w:rsid w:val="4A6E8CF0"/>
    <w:rsid w:val="4A7CB8C1"/>
    <w:rsid w:val="4A945ECB"/>
    <w:rsid w:val="4A980C11"/>
    <w:rsid w:val="4AD42E72"/>
    <w:rsid w:val="4AE6EA13"/>
    <w:rsid w:val="4B0DB91E"/>
    <w:rsid w:val="4B59330E"/>
    <w:rsid w:val="4B70E7B5"/>
    <w:rsid w:val="4B7249DC"/>
    <w:rsid w:val="4B76567F"/>
    <w:rsid w:val="4B7C12E8"/>
    <w:rsid w:val="4B905A12"/>
    <w:rsid w:val="4BD346DB"/>
    <w:rsid w:val="4BF64279"/>
    <w:rsid w:val="4C239471"/>
    <w:rsid w:val="4C55EC40"/>
    <w:rsid w:val="4C9D72E7"/>
    <w:rsid w:val="4CAAF9AE"/>
    <w:rsid w:val="4CAE5046"/>
    <w:rsid w:val="4CBFD55C"/>
    <w:rsid w:val="4CD0FD65"/>
    <w:rsid w:val="4D1A86A2"/>
    <w:rsid w:val="4D38D0F3"/>
    <w:rsid w:val="4D56DA6E"/>
    <w:rsid w:val="4D5BEAA2"/>
    <w:rsid w:val="4D9E2168"/>
    <w:rsid w:val="4DE08452"/>
    <w:rsid w:val="4DF0D30E"/>
    <w:rsid w:val="4DF6AA22"/>
    <w:rsid w:val="4E4F7FA9"/>
    <w:rsid w:val="4E8C7060"/>
    <w:rsid w:val="4ED4E499"/>
    <w:rsid w:val="4EEA18F7"/>
    <w:rsid w:val="4F0EC52B"/>
    <w:rsid w:val="4F44C498"/>
    <w:rsid w:val="4F52ADAD"/>
    <w:rsid w:val="5000CA05"/>
    <w:rsid w:val="507E968A"/>
    <w:rsid w:val="50A67160"/>
    <w:rsid w:val="50C797D0"/>
    <w:rsid w:val="50DA4CA6"/>
    <w:rsid w:val="510641A9"/>
    <w:rsid w:val="513E4ED0"/>
    <w:rsid w:val="515949DE"/>
    <w:rsid w:val="518304FE"/>
    <w:rsid w:val="518AF054"/>
    <w:rsid w:val="518C3477"/>
    <w:rsid w:val="519EF15D"/>
    <w:rsid w:val="51A312D2"/>
    <w:rsid w:val="51A7C724"/>
    <w:rsid w:val="51DAB10D"/>
    <w:rsid w:val="51DC3DE5"/>
    <w:rsid w:val="51F0C8B2"/>
    <w:rsid w:val="51F63A00"/>
    <w:rsid w:val="520C0A89"/>
    <w:rsid w:val="5210B6E0"/>
    <w:rsid w:val="521ECBD8"/>
    <w:rsid w:val="522B7D39"/>
    <w:rsid w:val="522B96A4"/>
    <w:rsid w:val="523DDBA9"/>
    <w:rsid w:val="529A38CF"/>
    <w:rsid w:val="52B1D6EE"/>
    <w:rsid w:val="52B75597"/>
    <w:rsid w:val="5309E939"/>
    <w:rsid w:val="5322C030"/>
    <w:rsid w:val="532A8EDC"/>
    <w:rsid w:val="532F87F4"/>
    <w:rsid w:val="53E1859F"/>
    <w:rsid w:val="540C4FD0"/>
    <w:rsid w:val="54453638"/>
    <w:rsid w:val="54676967"/>
    <w:rsid w:val="548F2A5A"/>
    <w:rsid w:val="54ED4D61"/>
    <w:rsid w:val="5506262B"/>
    <w:rsid w:val="55293128"/>
    <w:rsid w:val="555BFFF9"/>
    <w:rsid w:val="557AD1AC"/>
    <w:rsid w:val="558CE37A"/>
    <w:rsid w:val="55C0375D"/>
    <w:rsid w:val="55CD7F82"/>
    <w:rsid w:val="55F72911"/>
    <w:rsid w:val="56070FC8"/>
    <w:rsid w:val="56775986"/>
    <w:rsid w:val="56D52698"/>
    <w:rsid w:val="56FD4F9F"/>
    <w:rsid w:val="570089C9"/>
    <w:rsid w:val="5713A937"/>
    <w:rsid w:val="5750D4E8"/>
    <w:rsid w:val="57633BF1"/>
    <w:rsid w:val="576D57EB"/>
    <w:rsid w:val="579EA0B6"/>
    <w:rsid w:val="57CA6F70"/>
    <w:rsid w:val="5828C536"/>
    <w:rsid w:val="586E9DD5"/>
    <w:rsid w:val="5881F2C5"/>
    <w:rsid w:val="58C74268"/>
    <w:rsid w:val="58F20693"/>
    <w:rsid w:val="592CB71B"/>
    <w:rsid w:val="592D703D"/>
    <w:rsid w:val="5977B733"/>
    <w:rsid w:val="598B6F1E"/>
    <w:rsid w:val="5996BC79"/>
    <w:rsid w:val="59AFA9C4"/>
    <w:rsid w:val="59BB697E"/>
    <w:rsid w:val="5A00E994"/>
    <w:rsid w:val="5A1E45E7"/>
    <w:rsid w:val="5A3514F2"/>
    <w:rsid w:val="5A4D5485"/>
    <w:rsid w:val="5A8F0D37"/>
    <w:rsid w:val="5AAC1438"/>
    <w:rsid w:val="5ABDDF89"/>
    <w:rsid w:val="5AD43984"/>
    <w:rsid w:val="5AD907D0"/>
    <w:rsid w:val="5AE0D52A"/>
    <w:rsid w:val="5B0ACEAF"/>
    <w:rsid w:val="5B17D0E6"/>
    <w:rsid w:val="5B620D32"/>
    <w:rsid w:val="5B6988AE"/>
    <w:rsid w:val="5B7968C0"/>
    <w:rsid w:val="5BADE0EA"/>
    <w:rsid w:val="5BB83A0D"/>
    <w:rsid w:val="5BC06712"/>
    <w:rsid w:val="5BDD9539"/>
    <w:rsid w:val="5C235BAE"/>
    <w:rsid w:val="5C5C68CA"/>
    <w:rsid w:val="5C757CE5"/>
    <w:rsid w:val="5CE86174"/>
    <w:rsid w:val="5CF53266"/>
    <w:rsid w:val="5D03376E"/>
    <w:rsid w:val="5D0551D4"/>
    <w:rsid w:val="5D1FB6E5"/>
    <w:rsid w:val="5D6CA472"/>
    <w:rsid w:val="5DA852C4"/>
    <w:rsid w:val="5DE1E41B"/>
    <w:rsid w:val="5DE81BF7"/>
    <w:rsid w:val="5E01EEA6"/>
    <w:rsid w:val="5E42F48C"/>
    <w:rsid w:val="5E666EF6"/>
    <w:rsid w:val="5E98FB0A"/>
    <w:rsid w:val="5E9DB96B"/>
    <w:rsid w:val="5EAE05A4"/>
    <w:rsid w:val="5EE3D3B7"/>
    <w:rsid w:val="5EFC8410"/>
    <w:rsid w:val="5F0058E1"/>
    <w:rsid w:val="5F0D91B4"/>
    <w:rsid w:val="5F11D366"/>
    <w:rsid w:val="5F262A78"/>
    <w:rsid w:val="5F58EB95"/>
    <w:rsid w:val="5F721714"/>
    <w:rsid w:val="5F972E43"/>
    <w:rsid w:val="5F9B2A52"/>
    <w:rsid w:val="5FB12E36"/>
    <w:rsid w:val="604E624D"/>
    <w:rsid w:val="60606707"/>
    <w:rsid w:val="6064EF91"/>
    <w:rsid w:val="607FA418"/>
    <w:rsid w:val="60F5C769"/>
    <w:rsid w:val="6114B952"/>
    <w:rsid w:val="6130F213"/>
    <w:rsid w:val="614F670F"/>
    <w:rsid w:val="615C2218"/>
    <w:rsid w:val="61662B97"/>
    <w:rsid w:val="61C3C8F9"/>
    <w:rsid w:val="61D2E67E"/>
    <w:rsid w:val="61F0A8DD"/>
    <w:rsid w:val="62057C55"/>
    <w:rsid w:val="621DEE06"/>
    <w:rsid w:val="622E685F"/>
    <w:rsid w:val="625CFC86"/>
    <w:rsid w:val="62766319"/>
    <w:rsid w:val="6278AEC7"/>
    <w:rsid w:val="6286A385"/>
    <w:rsid w:val="62B43B8D"/>
    <w:rsid w:val="62C92C07"/>
    <w:rsid w:val="62DF0824"/>
    <w:rsid w:val="62F0F3F2"/>
    <w:rsid w:val="62FD0076"/>
    <w:rsid w:val="6334C768"/>
    <w:rsid w:val="634C11CD"/>
    <w:rsid w:val="6365F6C2"/>
    <w:rsid w:val="638ABFA2"/>
    <w:rsid w:val="63CBEB1F"/>
    <w:rsid w:val="63DEE076"/>
    <w:rsid w:val="6415AC06"/>
    <w:rsid w:val="64615391"/>
    <w:rsid w:val="64694E93"/>
    <w:rsid w:val="646F7101"/>
    <w:rsid w:val="648FF2DF"/>
    <w:rsid w:val="649D3248"/>
    <w:rsid w:val="64DC2EAA"/>
    <w:rsid w:val="64E9DE45"/>
    <w:rsid w:val="651BA801"/>
    <w:rsid w:val="651D2AFE"/>
    <w:rsid w:val="65668795"/>
    <w:rsid w:val="657240CC"/>
    <w:rsid w:val="659D9F38"/>
    <w:rsid w:val="65F85C61"/>
    <w:rsid w:val="66361694"/>
    <w:rsid w:val="668BE141"/>
    <w:rsid w:val="66A2B952"/>
    <w:rsid w:val="66FA32BA"/>
    <w:rsid w:val="674C51C0"/>
    <w:rsid w:val="679C8E43"/>
    <w:rsid w:val="67A95DA0"/>
    <w:rsid w:val="67D1CB1B"/>
    <w:rsid w:val="67F65867"/>
    <w:rsid w:val="681C4325"/>
    <w:rsid w:val="682ACD40"/>
    <w:rsid w:val="683B86CA"/>
    <w:rsid w:val="683E614E"/>
    <w:rsid w:val="68498947"/>
    <w:rsid w:val="6863A8B5"/>
    <w:rsid w:val="687953C1"/>
    <w:rsid w:val="68853710"/>
    <w:rsid w:val="68921A7D"/>
    <w:rsid w:val="68A3C802"/>
    <w:rsid w:val="68CCF2FE"/>
    <w:rsid w:val="691A9BB7"/>
    <w:rsid w:val="691C07D5"/>
    <w:rsid w:val="694E49A8"/>
    <w:rsid w:val="695403E0"/>
    <w:rsid w:val="699802EF"/>
    <w:rsid w:val="69B867B4"/>
    <w:rsid w:val="69C37673"/>
    <w:rsid w:val="69E06C12"/>
    <w:rsid w:val="69F49C41"/>
    <w:rsid w:val="6A276583"/>
    <w:rsid w:val="6A451FF0"/>
    <w:rsid w:val="6A55A89A"/>
    <w:rsid w:val="6A761F09"/>
    <w:rsid w:val="6A80F197"/>
    <w:rsid w:val="6AAD51AD"/>
    <w:rsid w:val="6AAE578D"/>
    <w:rsid w:val="6ABC3A99"/>
    <w:rsid w:val="6AC7AA37"/>
    <w:rsid w:val="6AD0D939"/>
    <w:rsid w:val="6AE21A21"/>
    <w:rsid w:val="6B11CD1A"/>
    <w:rsid w:val="6B622CD3"/>
    <w:rsid w:val="6B6E478E"/>
    <w:rsid w:val="6B7C3C73"/>
    <w:rsid w:val="6BC7D0CC"/>
    <w:rsid w:val="6BCEDA0B"/>
    <w:rsid w:val="6C0668B0"/>
    <w:rsid w:val="6C072B93"/>
    <w:rsid w:val="6C2532F3"/>
    <w:rsid w:val="6CA82A20"/>
    <w:rsid w:val="6CBA6DF8"/>
    <w:rsid w:val="6CF22AB5"/>
    <w:rsid w:val="6D3072F8"/>
    <w:rsid w:val="6D4800A4"/>
    <w:rsid w:val="6D556B2F"/>
    <w:rsid w:val="6D6DD9F3"/>
    <w:rsid w:val="6D9B6FE3"/>
    <w:rsid w:val="6DEF20AA"/>
    <w:rsid w:val="6E2EB9E2"/>
    <w:rsid w:val="6E381FEB"/>
    <w:rsid w:val="6E451EBD"/>
    <w:rsid w:val="6E6ABBB5"/>
    <w:rsid w:val="6E755416"/>
    <w:rsid w:val="6E7641F7"/>
    <w:rsid w:val="6E80DB49"/>
    <w:rsid w:val="6E919FF1"/>
    <w:rsid w:val="6EB1908D"/>
    <w:rsid w:val="6EB3DD35"/>
    <w:rsid w:val="6EB578DC"/>
    <w:rsid w:val="6ECC1D54"/>
    <w:rsid w:val="6ED1917E"/>
    <w:rsid w:val="6F05449F"/>
    <w:rsid w:val="6F56F275"/>
    <w:rsid w:val="6F66310A"/>
    <w:rsid w:val="6F66FA58"/>
    <w:rsid w:val="702F68E9"/>
    <w:rsid w:val="703C4047"/>
    <w:rsid w:val="7077DCAC"/>
    <w:rsid w:val="70E81B13"/>
    <w:rsid w:val="7143923F"/>
    <w:rsid w:val="7176AFC8"/>
    <w:rsid w:val="71C523C6"/>
    <w:rsid w:val="71DDE874"/>
    <w:rsid w:val="7290F927"/>
    <w:rsid w:val="72D457F8"/>
    <w:rsid w:val="733135C4"/>
    <w:rsid w:val="7366CBE9"/>
    <w:rsid w:val="73D8B5C2"/>
    <w:rsid w:val="741A842D"/>
    <w:rsid w:val="74333D39"/>
    <w:rsid w:val="745B1EA3"/>
    <w:rsid w:val="747B0B2B"/>
    <w:rsid w:val="74E99F58"/>
    <w:rsid w:val="7525A6DE"/>
    <w:rsid w:val="75514093"/>
    <w:rsid w:val="75D8B73F"/>
    <w:rsid w:val="760DC4E2"/>
    <w:rsid w:val="7621FD75"/>
    <w:rsid w:val="7629DD66"/>
    <w:rsid w:val="763C0412"/>
    <w:rsid w:val="766B7543"/>
    <w:rsid w:val="767EC45F"/>
    <w:rsid w:val="7682DD14"/>
    <w:rsid w:val="769A950F"/>
    <w:rsid w:val="769CD5EE"/>
    <w:rsid w:val="769E99A5"/>
    <w:rsid w:val="76E6E616"/>
    <w:rsid w:val="76EABB24"/>
    <w:rsid w:val="76FB2A36"/>
    <w:rsid w:val="77145293"/>
    <w:rsid w:val="775A65FE"/>
    <w:rsid w:val="776A30F8"/>
    <w:rsid w:val="77AE2077"/>
    <w:rsid w:val="77BD7110"/>
    <w:rsid w:val="77D09B0B"/>
    <w:rsid w:val="783558A6"/>
    <w:rsid w:val="785389DC"/>
    <w:rsid w:val="788B8CCF"/>
    <w:rsid w:val="79363017"/>
    <w:rsid w:val="793E4176"/>
    <w:rsid w:val="795EB3C7"/>
    <w:rsid w:val="799FB0CF"/>
    <w:rsid w:val="79A026BB"/>
    <w:rsid w:val="79D73FEC"/>
    <w:rsid w:val="79E574FF"/>
    <w:rsid w:val="7A109CB1"/>
    <w:rsid w:val="7A11BF42"/>
    <w:rsid w:val="7A4497AE"/>
    <w:rsid w:val="7A7B9457"/>
    <w:rsid w:val="7AAC53C2"/>
    <w:rsid w:val="7ABBC84A"/>
    <w:rsid w:val="7AEB382C"/>
    <w:rsid w:val="7B36704F"/>
    <w:rsid w:val="7B37C8C2"/>
    <w:rsid w:val="7B39FBE1"/>
    <w:rsid w:val="7B411D03"/>
    <w:rsid w:val="7BCE9B59"/>
    <w:rsid w:val="7BDB35DC"/>
    <w:rsid w:val="7C0D7BBC"/>
    <w:rsid w:val="7C2EF1C8"/>
    <w:rsid w:val="7C361C48"/>
    <w:rsid w:val="7C4116AA"/>
    <w:rsid w:val="7C545F56"/>
    <w:rsid w:val="7D1C0E84"/>
    <w:rsid w:val="7D266608"/>
    <w:rsid w:val="7D30CA98"/>
    <w:rsid w:val="7DBFFA3F"/>
    <w:rsid w:val="7E166A9F"/>
    <w:rsid w:val="7E1DDDD9"/>
    <w:rsid w:val="7E51C1AC"/>
    <w:rsid w:val="7E5BD9D2"/>
    <w:rsid w:val="7EA25D5E"/>
    <w:rsid w:val="7EB75FDD"/>
    <w:rsid w:val="7EBB1F09"/>
    <w:rsid w:val="7EC4CEC7"/>
    <w:rsid w:val="7EEE01DB"/>
    <w:rsid w:val="7F0DB32F"/>
    <w:rsid w:val="7F33A3DD"/>
    <w:rsid w:val="7F3CE322"/>
    <w:rsid w:val="7F3E05AF"/>
    <w:rsid w:val="7F5F2FE2"/>
    <w:rsid w:val="7F7BCDAD"/>
    <w:rsid w:val="7F905636"/>
    <w:rsid w:val="7FC32E37"/>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A6B4E"/>
  <w15:docId w15:val="{36E6DAB4-BFCA-4244-96E4-53BA147FF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150"/>
    <w:pPr>
      <w:spacing w:before="240" w:after="240" w:line="300" w:lineRule="auto"/>
      <w:jc w:val="both"/>
    </w:pPr>
    <w:rPr>
      <w:rFonts w:ascii="Arial" w:eastAsia="Times New Roman" w:hAnsi="Arial" w:cs="Times New Roman"/>
      <w:szCs w:val="24"/>
      <w:lang w:val="en-GB" w:eastAsia="zh-CN"/>
    </w:rPr>
  </w:style>
  <w:style w:type="paragraph" w:styleId="Heading1">
    <w:name w:val="heading 1"/>
    <w:aliases w:val="L1,Level 1,Report1,Part,OG Heading 1,Heading 1 AGT ESIA,RSKH1,RSKHeading 1,Oscar Faber 1,Section Heading,Chapter Hdg,Hoofdstuk,top Heading 1,h1,Main Title,Section 1,title1,Chapter,Chapter1,Chapter2,Heading 1 - chapter,CH,g,H1,Na,Chapter Head"/>
    <w:basedOn w:val="Normal"/>
    <w:next w:val="Normal"/>
    <w:link w:val="Heading1Char"/>
    <w:uiPriority w:val="9"/>
    <w:qFormat/>
    <w:rsid w:val="005B5CD4"/>
    <w:pPr>
      <w:keepNext/>
      <w:keepLines/>
      <w:pageBreakBefore/>
      <w:numPr>
        <w:numId w:val="4"/>
      </w:numPr>
      <w:spacing w:before="0" w:after="0"/>
      <w:jc w:val="left"/>
      <w:outlineLvl w:val="0"/>
    </w:pPr>
    <w:rPr>
      <w:rFonts w:cs="Arial"/>
      <w:b/>
      <w:bCs/>
      <w:noProof/>
      <w:color w:val="4F81BD"/>
      <w:sz w:val="32"/>
      <w:szCs w:val="32"/>
      <w:lang w:val="en" w:eastAsia="en-US"/>
    </w:rPr>
  </w:style>
  <w:style w:type="paragraph" w:styleId="Heading2">
    <w:name w:val="heading 2"/>
    <w:basedOn w:val="Normal"/>
    <w:next w:val="Normal"/>
    <w:link w:val="Heading2Char"/>
    <w:uiPriority w:val="9"/>
    <w:unhideWhenUsed/>
    <w:qFormat/>
    <w:rsid w:val="00064A07"/>
    <w:pPr>
      <w:keepNext/>
      <w:numPr>
        <w:ilvl w:val="1"/>
        <w:numId w:val="4"/>
      </w:numPr>
      <w:outlineLvl w:val="1"/>
    </w:pPr>
    <w:rPr>
      <w:rFonts w:cs="Arial"/>
      <w:b/>
      <w:bCs/>
      <w:color w:val="4F81BD"/>
      <w:sz w:val="24"/>
      <w:lang w:val="en"/>
    </w:rPr>
  </w:style>
  <w:style w:type="paragraph" w:styleId="Heading3">
    <w:name w:val="heading 3"/>
    <w:basedOn w:val="Normal"/>
    <w:next w:val="Normal"/>
    <w:link w:val="Heading3Char"/>
    <w:uiPriority w:val="9"/>
    <w:qFormat/>
    <w:rsid w:val="004339AC"/>
    <w:pPr>
      <w:keepNext/>
      <w:numPr>
        <w:ilvl w:val="2"/>
        <w:numId w:val="4"/>
      </w:numPr>
      <w:spacing w:after="60"/>
      <w:outlineLvl w:val="2"/>
    </w:pPr>
    <w:rPr>
      <w:rFonts w:cs="Arial"/>
      <w:bCs/>
      <w:noProof/>
      <w:color w:val="4F81BD"/>
      <w:szCs w:val="22"/>
      <w:lang w:eastAsia="en-US"/>
    </w:rPr>
  </w:style>
  <w:style w:type="paragraph" w:styleId="Heading4">
    <w:name w:val="heading 4"/>
    <w:basedOn w:val="Normal"/>
    <w:next w:val="Normal"/>
    <w:link w:val="Heading4Char"/>
    <w:uiPriority w:val="9"/>
    <w:unhideWhenUsed/>
    <w:qFormat/>
    <w:rsid w:val="004339AC"/>
    <w:pPr>
      <w:keepNext/>
      <w:keepLines/>
      <w:numPr>
        <w:ilvl w:val="3"/>
        <w:numId w:val="4"/>
      </w:numPr>
      <w:outlineLvl w:val="3"/>
    </w:pPr>
    <w:rPr>
      <w:rFonts w:eastAsia="MS Gothic" w:cs="Arial"/>
      <w:iCs/>
      <w:noProof/>
      <w:color w:val="4F81BD"/>
      <w:szCs w:val="22"/>
      <w:lang w:eastAsia="en-US"/>
    </w:rPr>
  </w:style>
  <w:style w:type="paragraph" w:styleId="Heading5">
    <w:name w:val="heading 5"/>
    <w:basedOn w:val="Normal"/>
    <w:next w:val="Normal"/>
    <w:link w:val="Heading5Char"/>
    <w:uiPriority w:val="9"/>
    <w:unhideWhenUsed/>
    <w:qFormat/>
    <w:rsid w:val="004339AC"/>
    <w:pPr>
      <w:keepNext/>
      <w:keepLines/>
      <w:numPr>
        <w:ilvl w:val="4"/>
        <w:numId w:val="4"/>
      </w:numPr>
      <w:outlineLvl w:val="4"/>
    </w:pPr>
    <w:rPr>
      <w:rFonts w:eastAsia="MS Gothic"/>
      <w:noProof/>
      <w:color w:val="4F81BD"/>
      <w:szCs w:val="22"/>
      <w:lang w:eastAsia="en-US"/>
    </w:rPr>
  </w:style>
  <w:style w:type="paragraph" w:styleId="Heading6">
    <w:name w:val="heading 6"/>
    <w:basedOn w:val="Normal"/>
    <w:next w:val="Normal"/>
    <w:link w:val="Heading6Char"/>
    <w:uiPriority w:val="9"/>
    <w:semiHidden/>
    <w:unhideWhenUsed/>
    <w:qFormat/>
    <w:rsid w:val="004339AC"/>
    <w:pPr>
      <w:keepNext/>
      <w:keepLines/>
      <w:numPr>
        <w:ilvl w:val="5"/>
        <w:numId w:val="4"/>
      </w:numPr>
      <w:outlineLvl w:val="5"/>
    </w:pPr>
    <w:rPr>
      <w:rFonts w:eastAsia="MS Gothic"/>
      <w:noProof/>
      <w:color w:val="4F81BD"/>
      <w:szCs w:val="22"/>
      <w:lang w:eastAsia="en-US"/>
    </w:rPr>
  </w:style>
  <w:style w:type="paragraph" w:styleId="Heading7">
    <w:name w:val="heading 7"/>
    <w:basedOn w:val="Normal"/>
    <w:next w:val="Normal"/>
    <w:link w:val="Heading7Char"/>
    <w:uiPriority w:val="9"/>
    <w:semiHidden/>
    <w:unhideWhenUsed/>
    <w:qFormat/>
    <w:rsid w:val="004339AC"/>
    <w:pPr>
      <w:keepNext/>
      <w:keepLines/>
      <w:numPr>
        <w:ilvl w:val="6"/>
        <w:numId w:val="4"/>
      </w:numPr>
      <w:spacing w:before="40"/>
      <w:outlineLvl w:val="6"/>
    </w:pPr>
    <w:rPr>
      <w:rFonts w:ascii="Calibri" w:eastAsia="MS Gothic" w:hAnsi="Calibri"/>
      <w:i/>
      <w:iCs/>
      <w:noProof/>
      <w:color w:val="243F60"/>
      <w:szCs w:val="22"/>
      <w:lang w:eastAsia="en-US"/>
    </w:rPr>
  </w:style>
  <w:style w:type="paragraph" w:styleId="Heading8">
    <w:name w:val="heading 8"/>
    <w:basedOn w:val="Normal"/>
    <w:next w:val="Normal"/>
    <w:link w:val="Heading8Char"/>
    <w:uiPriority w:val="9"/>
    <w:semiHidden/>
    <w:unhideWhenUsed/>
    <w:qFormat/>
    <w:rsid w:val="004339AC"/>
    <w:pPr>
      <w:keepNext/>
      <w:keepLines/>
      <w:numPr>
        <w:ilvl w:val="7"/>
        <w:numId w:val="4"/>
      </w:numPr>
      <w:spacing w:before="40"/>
      <w:outlineLvl w:val="7"/>
    </w:pPr>
    <w:rPr>
      <w:rFonts w:ascii="Calibri" w:eastAsia="MS Gothic" w:hAnsi="Calibri"/>
      <w:noProof/>
      <w:color w:val="272727"/>
      <w:sz w:val="21"/>
      <w:szCs w:val="21"/>
      <w:lang w:eastAsia="en-US"/>
    </w:rPr>
  </w:style>
  <w:style w:type="paragraph" w:styleId="Heading9">
    <w:name w:val="heading 9"/>
    <w:basedOn w:val="Normal"/>
    <w:next w:val="Normal"/>
    <w:link w:val="Heading9Char"/>
    <w:uiPriority w:val="9"/>
    <w:semiHidden/>
    <w:unhideWhenUsed/>
    <w:qFormat/>
    <w:rsid w:val="004339AC"/>
    <w:pPr>
      <w:keepNext/>
      <w:keepLines/>
      <w:numPr>
        <w:ilvl w:val="8"/>
        <w:numId w:val="4"/>
      </w:numPr>
      <w:spacing w:before="40"/>
      <w:outlineLvl w:val="8"/>
    </w:pPr>
    <w:rPr>
      <w:rFonts w:ascii="Calibri" w:eastAsia="MS Gothic" w:hAnsi="Calibri"/>
      <w:i/>
      <w:iCs/>
      <w:noProof/>
      <w:color w:val="272727"/>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Level 1 Char,Report1 Char,Part Char,OG Heading 1 Char,Heading 1 AGT ESIA Char,RSKH1 Char,RSKHeading 1 Char,Oscar Faber 1 Char,Section Heading Char,Chapter Hdg Char,Hoofdstuk Char,top Heading 1 Char,h1 Char,Main Title Char,CH Char"/>
    <w:basedOn w:val="DefaultParagraphFont"/>
    <w:link w:val="Heading1"/>
    <w:uiPriority w:val="9"/>
    <w:rsid w:val="005B5CD4"/>
    <w:rPr>
      <w:rFonts w:ascii="Arial" w:eastAsia="Times New Roman" w:hAnsi="Arial" w:cs="Arial"/>
      <w:b/>
      <w:bCs/>
      <w:noProof/>
      <w:color w:val="4F81BD"/>
      <w:sz w:val="32"/>
      <w:szCs w:val="32"/>
      <w:lang w:val="en"/>
    </w:rPr>
  </w:style>
  <w:style w:type="character" w:customStyle="1" w:styleId="Heading2Char">
    <w:name w:val="Heading 2 Char"/>
    <w:basedOn w:val="DefaultParagraphFont"/>
    <w:link w:val="Heading2"/>
    <w:uiPriority w:val="9"/>
    <w:rsid w:val="00064A07"/>
    <w:rPr>
      <w:rFonts w:ascii="Arial" w:eastAsia="Times New Roman" w:hAnsi="Arial" w:cs="Arial"/>
      <w:b/>
      <w:bCs/>
      <w:color w:val="4F81BD"/>
      <w:sz w:val="24"/>
      <w:szCs w:val="24"/>
      <w:lang w:val="en" w:eastAsia="zh-CN"/>
    </w:rPr>
  </w:style>
  <w:style w:type="character" w:customStyle="1" w:styleId="Heading3Char">
    <w:name w:val="Heading 3 Char"/>
    <w:basedOn w:val="DefaultParagraphFont"/>
    <w:link w:val="Heading3"/>
    <w:uiPriority w:val="9"/>
    <w:rsid w:val="004339AC"/>
    <w:rPr>
      <w:rFonts w:ascii="Arial" w:eastAsia="Times New Roman" w:hAnsi="Arial" w:cs="Arial"/>
      <w:bCs/>
      <w:noProof/>
      <w:color w:val="4F81BD"/>
      <w:lang w:val="en-GB"/>
    </w:rPr>
  </w:style>
  <w:style w:type="character" w:customStyle="1" w:styleId="Heading4Char">
    <w:name w:val="Heading 4 Char"/>
    <w:basedOn w:val="DefaultParagraphFont"/>
    <w:link w:val="Heading4"/>
    <w:uiPriority w:val="9"/>
    <w:rsid w:val="004339AC"/>
    <w:rPr>
      <w:rFonts w:ascii="Arial" w:eastAsia="MS Gothic" w:hAnsi="Arial" w:cs="Arial"/>
      <w:iCs/>
      <w:noProof/>
      <w:color w:val="4F81BD"/>
      <w:lang w:val="en-GB"/>
    </w:rPr>
  </w:style>
  <w:style w:type="character" w:customStyle="1" w:styleId="Heading5Char">
    <w:name w:val="Heading 5 Char"/>
    <w:basedOn w:val="DefaultParagraphFont"/>
    <w:link w:val="Heading5"/>
    <w:uiPriority w:val="9"/>
    <w:rsid w:val="004339AC"/>
    <w:rPr>
      <w:rFonts w:ascii="Arial" w:eastAsia="MS Gothic" w:hAnsi="Arial" w:cs="Times New Roman"/>
      <w:noProof/>
      <w:color w:val="4F81BD"/>
      <w:lang w:val="en-GB"/>
    </w:rPr>
  </w:style>
  <w:style w:type="character" w:customStyle="1" w:styleId="Heading6Char">
    <w:name w:val="Heading 6 Char"/>
    <w:basedOn w:val="DefaultParagraphFont"/>
    <w:link w:val="Heading6"/>
    <w:uiPriority w:val="9"/>
    <w:semiHidden/>
    <w:rsid w:val="004339AC"/>
    <w:rPr>
      <w:rFonts w:ascii="Arial" w:eastAsia="MS Gothic" w:hAnsi="Arial" w:cs="Times New Roman"/>
      <w:noProof/>
      <w:color w:val="4F81BD"/>
      <w:lang w:val="en-GB"/>
    </w:rPr>
  </w:style>
  <w:style w:type="character" w:customStyle="1" w:styleId="Heading7Char">
    <w:name w:val="Heading 7 Char"/>
    <w:basedOn w:val="DefaultParagraphFont"/>
    <w:link w:val="Heading7"/>
    <w:uiPriority w:val="9"/>
    <w:semiHidden/>
    <w:rsid w:val="004339AC"/>
    <w:rPr>
      <w:rFonts w:ascii="Calibri" w:eastAsia="MS Gothic" w:hAnsi="Calibri" w:cs="Times New Roman"/>
      <w:i/>
      <w:iCs/>
      <w:noProof/>
      <w:color w:val="243F60"/>
      <w:lang w:val="en-GB"/>
    </w:rPr>
  </w:style>
  <w:style w:type="character" w:customStyle="1" w:styleId="Heading8Char">
    <w:name w:val="Heading 8 Char"/>
    <w:basedOn w:val="DefaultParagraphFont"/>
    <w:link w:val="Heading8"/>
    <w:uiPriority w:val="9"/>
    <w:semiHidden/>
    <w:rsid w:val="004339AC"/>
    <w:rPr>
      <w:rFonts w:ascii="Calibri" w:eastAsia="MS Gothic" w:hAnsi="Calibri" w:cs="Times New Roman"/>
      <w:noProof/>
      <w:color w:val="272727"/>
      <w:sz w:val="21"/>
      <w:szCs w:val="21"/>
      <w:lang w:val="en-GB"/>
    </w:rPr>
  </w:style>
  <w:style w:type="character" w:customStyle="1" w:styleId="Heading9Char">
    <w:name w:val="Heading 9 Char"/>
    <w:basedOn w:val="DefaultParagraphFont"/>
    <w:link w:val="Heading9"/>
    <w:uiPriority w:val="9"/>
    <w:semiHidden/>
    <w:rsid w:val="004339AC"/>
    <w:rPr>
      <w:rFonts w:ascii="Calibri" w:eastAsia="MS Gothic" w:hAnsi="Calibri" w:cs="Times New Roman"/>
      <w:i/>
      <w:iCs/>
      <w:noProof/>
      <w:color w:val="272727"/>
      <w:sz w:val="21"/>
      <w:szCs w:val="21"/>
      <w:lang w:val="en-GB"/>
    </w:rPr>
  </w:style>
  <w:style w:type="paragraph" w:styleId="ListParagraph">
    <w:name w:val="List Paragraph"/>
    <w:aliases w:val="Bullets,Bullet List,Bullet Styles para,Figure_name,Equipment,List Paragraph1,Numbered Indented Text,List Paragraph Char Char Char,List Paragraph Char Char,Bullet 1,lp1,List Paragraph11,kepala,Citation List,Graphic,Lvl 1 Bullet,Shekl,3,bu"/>
    <w:basedOn w:val="Normal"/>
    <w:link w:val="ListParagraphChar"/>
    <w:uiPriority w:val="34"/>
    <w:qFormat/>
    <w:rsid w:val="004339AC"/>
    <w:pPr>
      <w:spacing w:after="120"/>
      <w:ind w:left="720"/>
      <w:contextualSpacing/>
    </w:pPr>
    <w:rPr>
      <w:rFonts w:eastAsia="Calibri" w:cs="Arial"/>
      <w:noProof/>
      <w:color w:val="000000"/>
      <w:szCs w:val="22"/>
      <w:lang w:eastAsia="en-US"/>
    </w:rPr>
  </w:style>
  <w:style w:type="character" w:customStyle="1" w:styleId="ListParagraphChar">
    <w:name w:val="List Paragraph Char"/>
    <w:aliases w:val="Bullets Char,Bullet List Char,Bullet Styles para Char,Figure_name Char,Equipment Char,List Paragraph1 Char,Numbered Indented Text Char,List Paragraph Char Char Char Char,List Paragraph Char Char Char1,Bullet 1 Char,lp1 Char,3 Char"/>
    <w:link w:val="ListParagraph"/>
    <w:uiPriority w:val="34"/>
    <w:qFormat/>
    <w:locked/>
    <w:rsid w:val="004339AC"/>
    <w:rPr>
      <w:rFonts w:ascii="Arial" w:eastAsia="Calibri" w:hAnsi="Arial" w:cs="Arial"/>
      <w:noProof/>
      <w:color w:val="000000"/>
      <w:lang w:val="en-US"/>
    </w:rPr>
  </w:style>
  <w:style w:type="paragraph" w:styleId="Caption">
    <w:name w:val="caption"/>
    <w:aliases w:val="Tablo,Table Caption,headings,CPR Caption,Caption: FIGURES,~Caption,Caption Char1,Caption Char Char,Caption Char2 Char Char,Caption Char1 Char Char Char,Caption Char Char Char Char Char,Caption Char2 Char Char Char Char Char,HBP,AGT ESIA"/>
    <w:basedOn w:val="Normal"/>
    <w:next w:val="Normal"/>
    <w:link w:val="CaptionChar"/>
    <w:uiPriority w:val="35"/>
    <w:qFormat/>
    <w:rsid w:val="004257F3"/>
    <w:pPr>
      <w:spacing w:before="60" w:after="60" w:line="240" w:lineRule="auto"/>
      <w:jc w:val="center"/>
    </w:pPr>
    <w:rPr>
      <w:b/>
      <w:bCs/>
      <w:noProof/>
      <w:color w:val="4F81BD"/>
      <w:sz w:val="20"/>
      <w:szCs w:val="20"/>
      <w:lang w:eastAsia="en-US"/>
    </w:rPr>
  </w:style>
  <w:style w:type="character" w:customStyle="1" w:styleId="CaptionChar">
    <w:name w:val="Caption Char"/>
    <w:aliases w:val="Tablo Char,Table Caption Char,headings Char,CPR Caption Char,Caption: FIGURES Char,~Caption Char,Caption Char1 Char,Caption Char Char Char,Caption Char2 Char Char Char,Caption Char1 Char Char Char Char,Caption Char Char Char Char Char Char"/>
    <w:link w:val="Caption"/>
    <w:qFormat/>
    <w:locked/>
    <w:rsid w:val="004257F3"/>
    <w:rPr>
      <w:rFonts w:ascii="Arial" w:eastAsia="Times New Roman" w:hAnsi="Arial" w:cs="Times New Roman"/>
      <w:b/>
      <w:bCs/>
      <w:noProof/>
      <w:color w:val="4F81BD"/>
      <w:sz w:val="20"/>
      <w:szCs w:val="20"/>
      <w:lang w:val="en-US"/>
    </w:rPr>
  </w:style>
  <w:style w:type="table" w:styleId="TableGrid">
    <w:name w:val="Table Grid"/>
    <w:aliases w:val="Tablo Kılavuzum,Tablo Kılavuzu_ilkem,Table Grid (Appendix list),ＰＡＤＥＣＯ,Table QA,Table inside,tableau PC,Table 1,SRK,GT0,Tabla portada,Table long document,tablo,Tablo-drs"/>
    <w:basedOn w:val="TableNormal"/>
    <w:uiPriority w:val="39"/>
    <w:rsid w:val="004339AC"/>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4339AC"/>
    <w:rPr>
      <w:sz w:val="16"/>
      <w:szCs w:val="16"/>
    </w:rPr>
  </w:style>
  <w:style w:type="paragraph" w:styleId="CommentText">
    <w:name w:val="annotation text"/>
    <w:basedOn w:val="Normal"/>
    <w:link w:val="CommentTextChar"/>
    <w:uiPriority w:val="99"/>
    <w:unhideWhenUsed/>
    <w:rsid w:val="007C6CB5"/>
    <w:pPr>
      <w:spacing w:after="120"/>
    </w:pPr>
    <w:rPr>
      <w:rFonts w:eastAsia="Calibri" w:cs="Arial"/>
      <w:color w:val="000000"/>
      <w:sz w:val="20"/>
      <w:szCs w:val="20"/>
      <w:lang w:eastAsia="en-US"/>
    </w:rPr>
  </w:style>
  <w:style w:type="character" w:customStyle="1" w:styleId="CommentTextChar">
    <w:name w:val="Comment Text Char"/>
    <w:basedOn w:val="DefaultParagraphFont"/>
    <w:link w:val="CommentText"/>
    <w:uiPriority w:val="99"/>
    <w:rsid w:val="007C6CB5"/>
    <w:rPr>
      <w:rFonts w:ascii="Arial" w:eastAsia="Calibri" w:hAnsi="Arial" w:cs="Arial"/>
      <w:color w:val="000000"/>
      <w:sz w:val="20"/>
      <w:szCs w:val="20"/>
      <w:lang w:val="en-GB"/>
    </w:rPr>
  </w:style>
  <w:style w:type="paragraph" w:customStyle="1" w:styleId="List1">
    <w:name w:val="List1"/>
    <w:basedOn w:val="ListParagraph"/>
    <w:rsid w:val="004339AC"/>
    <w:pPr>
      <w:numPr>
        <w:numId w:val="2"/>
      </w:numPr>
      <w:contextualSpacing w:val="0"/>
    </w:pPr>
    <w:rPr>
      <w:color w:val="auto"/>
    </w:rPr>
  </w:style>
  <w:style w:type="paragraph" w:styleId="BalloonText">
    <w:name w:val="Balloon Text"/>
    <w:basedOn w:val="Normal"/>
    <w:link w:val="BalloonTextChar"/>
    <w:uiPriority w:val="99"/>
    <w:semiHidden/>
    <w:unhideWhenUsed/>
    <w:rsid w:val="004339AC"/>
    <w:rPr>
      <w:rFonts w:eastAsia="Calibri"/>
      <w:noProof/>
      <w:color w:val="000000"/>
      <w:sz w:val="18"/>
      <w:szCs w:val="18"/>
      <w:lang w:eastAsia="en-US"/>
    </w:rPr>
  </w:style>
  <w:style w:type="character" w:customStyle="1" w:styleId="BalloonTextChar">
    <w:name w:val="Balloon Text Char"/>
    <w:basedOn w:val="DefaultParagraphFont"/>
    <w:link w:val="BalloonText"/>
    <w:uiPriority w:val="99"/>
    <w:semiHidden/>
    <w:rsid w:val="004339AC"/>
    <w:rPr>
      <w:rFonts w:ascii="Arial" w:eastAsia="Calibri" w:hAnsi="Arial" w:cs="Times New Roman"/>
      <w:noProof/>
      <w:color w:val="000000"/>
      <w:sz w:val="18"/>
      <w:szCs w:val="18"/>
      <w:lang w:val="en-US"/>
    </w:rPr>
  </w:style>
  <w:style w:type="paragraph" w:styleId="CommentSubject">
    <w:name w:val="annotation subject"/>
    <w:basedOn w:val="CommentText"/>
    <w:next w:val="CommentText"/>
    <w:link w:val="CommentSubjectChar"/>
    <w:uiPriority w:val="99"/>
    <w:semiHidden/>
    <w:unhideWhenUsed/>
    <w:rsid w:val="004339AC"/>
    <w:pPr>
      <w:spacing w:line="240" w:lineRule="auto"/>
    </w:pPr>
    <w:rPr>
      <w:b/>
      <w:bCs/>
    </w:rPr>
  </w:style>
  <w:style w:type="character" w:customStyle="1" w:styleId="CommentSubjectChar">
    <w:name w:val="Comment Subject Char"/>
    <w:basedOn w:val="CommentTextChar"/>
    <w:link w:val="CommentSubject"/>
    <w:uiPriority w:val="99"/>
    <w:semiHidden/>
    <w:rsid w:val="004339AC"/>
    <w:rPr>
      <w:rFonts w:ascii="Arial" w:eastAsia="Calibri" w:hAnsi="Arial" w:cs="Arial"/>
      <w:b/>
      <w:bCs/>
      <w:noProof/>
      <w:color w:val="000000"/>
      <w:sz w:val="20"/>
      <w:szCs w:val="20"/>
      <w:lang w:val="en-US"/>
    </w:rPr>
  </w:style>
  <w:style w:type="character" w:styleId="FootnoteReference">
    <w:name w:val="footnote reference"/>
    <w:aliases w:val="(NECG) Footnote Reference,16 Point,Footnote Ref in FtNote,Footnote Reference Number,Footnote Reference_LVL6,Footnote Reference_LVL61,Footnote Reference_LVL62,Ref,Superscript 6 Point,de nota al pie,footnote ref,fr,ftref,Знак сноски-FN"/>
    <w:link w:val="CarattereCarattereCharCharCharCharCharCharZchn"/>
    <w:uiPriority w:val="99"/>
    <w:qFormat/>
    <w:rsid w:val="004339AC"/>
    <w:rPr>
      <w:vertAlign w:val="superscript"/>
    </w:rPr>
  </w:style>
  <w:style w:type="paragraph" w:styleId="Revision">
    <w:name w:val="Revision"/>
    <w:hidden/>
    <w:uiPriority w:val="99"/>
    <w:rsid w:val="004339AC"/>
    <w:pPr>
      <w:spacing w:after="0" w:line="240" w:lineRule="auto"/>
    </w:pPr>
    <w:rPr>
      <w:rFonts w:ascii="Arial" w:eastAsia="Calibri" w:hAnsi="Arial" w:cs="Arial"/>
      <w:color w:val="000000"/>
      <w:lang w:val="en-GB"/>
    </w:rPr>
  </w:style>
  <w:style w:type="paragraph" w:styleId="FootnoteText">
    <w:name w:val="footnote text"/>
    <w:aliases w:val="Dipnot,Текст сноски Знак Char Знак Знак,FOOTNOTES,FOOTNOTES Char Char Char,Footnote Text Char Char Char Char,Footnote Text Char Char1 Char,Footnote Text Char1 Char,fn,fn Char Char Char,fn Char2,footnote text,footnote text Char Char Char"/>
    <w:basedOn w:val="Normal"/>
    <w:link w:val="FootnoteTextChar"/>
    <w:uiPriority w:val="99"/>
    <w:qFormat/>
    <w:rsid w:val="004339AC"/>
    <w:pPr>
      <w:spacing w:before="120" w:after="120" w:line="240" w:lineRule="auto"/>
    </w:pPr>
    <w:rPr>
      <w:rFonts w:cs="Arial"/>
      <w:noProof/>
      <w:color w:val="000000"/>
      <w:sz w:val="16"/>
      <w:lang w:eastAsia="en-US"/>
    </w:rPr>
  </w:style>
  <w:style w:type="character" w:customStyle="1" w:styleId="FootnoteTextChar">
    <w:name w:val="Footnote Text Char"/>
    <w:aliases w:val="Dipnot Char,Текст сноски Знак Char Знак Знак Char,FOOTNOTES Char,FOOTNOTES Char Char Char Char,Footnote Text Char Char Char Char Char,Footnote Text Char Char1 Char Char,Footnote Text Char1 Char Char,fn Char,fn Char Char Char Char"/>
    <w:basedOn w:val="DefaultParagraphFont"/>
    <w:link w:val="FootnoteText"/>
    <w:uiPriority w:val="99"/>
    <w:rsid w:val="004339AC"/>
    <w:rPr>
      <w:rFonts w:ascii="Arial" w:eastAsia="Times New Roman" w:hAnsi="Arial" w:cs="Arial"/>
      <w:noProof/>
      <w:color w:val="000000"/>
      <w:sz w:val="16"/>
      <w:szCs w:val="24"/>
      <w:lang w:val="en-US"/>
    </w:rPr>
  </w:style>
  <w:style w:type="paragraph" w:customStyle="1" w:styleId="Bullet">
    <w:name w:val="Bullet"/>
    <w:basedOn w:val="Normal"/>
    <w:link w:val="BulletChar"/>
    <w:qFormat/>
    <w:rsid w:val="004339AC"/>
    <w:pPr>
      <w:numPr>
        <w:numId w:val="3"/>
      </w:numPr>
      <w:spacing w:before="120" w:after="120"/>
    </w:pPr>
    <w:rPr>
      <w:rFonts w:cs="Arial"/>
      <w:szCs w:val="20"/>
      <w:lang w:eastAsia="en-US"/>
    </w:rPr>
  </w:style>
  <w:style w:type="character" w:customStyle="1" w:styleId="BulletChar">
    <w:name w:val="Bullet Char"/>
    <w:link w:val="Bullet"/>
    <w:rsid w:val="004339AC"/>
    <w:rPr>
      <w:rFonts w:ascii="Arial" w:eastAsia="Times New Roman" w:hAnsi="Arial" w:cs="Arial"/>
      <w:szCs w:val="20"/>
      <w:lang w:val="en-GB"/>
    </w:rPr>
  </w:style>
  <w:style w:type="paragraph" w:customStyle="1" w:styleId="stBilgi1">
    <w:name w:val="Üst Bilgi1"/>
    <w:basedOn w:val="Normal"/>
    <w:link w:val="stBilgiChar"/>
    <w:uiPriority w:val="99"/>
    <w:unhideWhenUsed/>
    <w:rsid w:val="004339AC"/>
    <w:pPr>
      <w:tabs>
        <w:tab w:val="center" w:pos="4536"/>
        <w:tab w:val="right" w:pos="9072"/>
      </w:tabs>
    </w:pPr>
    <w:rPr>
      <w:rFonts w:eastAsia="Calibri" w:cs="Arial"/>
      <w:noProof/>
      <w:color w:val="000000"/>
      <w:szCs w:val="22"/>
      <w:lang w:eastAsia="en-US"/>
    </w:rPr>
  </w:style>
  <w:style w:type="character" w:customStyle="1" w:styleId="stBilgiChar">
    <w:name w:val="Üst Bilgi Char"/>
    <w:link w:val="stBilgi1"/>
    <w:uiPriority w:val="99"/>
    <w:rsid w:val="004339AC"/>
    <w:rPr>
      <w:rFonts w:ascii="Arial" w:eastAsia="Calibri" w:hAnsi="Arial" w:cs="Arial"/>
      <w:noProof/>
      <w:color w:val="000000"/>
      <w:lang w:val="en-US"/>
    </w:rPr>
  </w:style>
  <w:style w:type="paragraph" w:customStyle="1" w:styleId="Default">
    <w:name w:val="Default"/>
    <w:link w:val="DefaultChar"/>
    <w:rsid w:val="004339A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AltBilgi1">
    <w:name w:val="Alt Bilgi1"/>
    <w:basedOn w:val="Normal"/>
    <w:link w:val="AltBilgiChar"/>
    <w:rsid w:val="004339AC"/>
    <w:pPr>
      <w:tabs>
        <w:tab w:val="center" w:pos="4536"/>
        <w:tab w:val="right" w:pos="9072"/>
      </w:tabs>
    </w:pPr>
    <w:rPr>
      <w:noProof/>
      <w:lang w:eastAsia="tr-TR"/>
    </w:rPr>
  </w:style>
  <w:style w:type="character" w:customStyle="1" w:styleId="AltBilgiChar">
    <w:name w:val="Alt Bilgi Char"/>
    <w:link w:val="AltBilgi1"/>
    <w:rsid w:val="004339AC"/>
    <w:rPr>
      <w:rFonts w:ascii="Arial" w:eastAsia="Times New Roman" w:hAnsi="Arial" w:cs="Times New Roman"/>
      <w:noProof/>
      <w:szCs w:val="24"/>
      <w:lang w:val="en-US" w:eastAsia="tr-TR"/>
    </w:rPr>
  </w:style>
  <w:style w:type="character" w:customStyle="1" w:styleId="apple-converted-space">
    <w:name w:val="apple-converted-space"/>
    <w:basedOn w:val="DefaultParagraphFont"/>
    <w:rsid w:val="004339AC"/>
  </w:style>
  <w:style w:type="paragraph" w:styleId="Header">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HeaderChar"/>
    <w:unhideWhenUsed/>
    <w:rsid w:val="004339AC"/>
    <w:pPr>
      <w:tabs>
        <w:tab w:val="center" w:pos="4536"/>
        <w:tab w:val="right" w:pos="9072"/>
      </w:tabs>
    </w:pPr>
    <w:rPr>
      <w:rFonts w:eastAsia="Calibri" w:cs="Arial"/>
      <w:noProof/>
      <w:color w:val="000000"/>
      <w:szCs w:val="22"/>
      <w:lang w:eastAsia="en-US"/>
    </w:rPr>
  </w:style>
  <w:style w:type="character" w:customStyle="1" w:styleId="HeaderChar">
    <w:name w:val="Header Char"/>
    <w:aliases w:val="Header AGT ESIA  Char,Header AGT ESIA Char, Char Char,Char Char,h Char, Char1 Char Char Char Char1 Char, Char1 Char Char Char1 Char, Char1 Char Char Char Char Char, Char1 Char Char Char Char2, Char1 Char Char Char Char11 Char"/>
    <w:basedOn w:val="DefaultParagraphFont"/>
    <w:link w:val="Header"/>
    <w:rsid w:val="004339AC"/>
    <w:rPr>
      <w:rFonts w:ascii="Arial" w:eastAsia="Calibri" w:hAnsi="Arial" w:cs="Arial"/>
      <w:noProof/>
      <w:color w:val="000000"/>
      <w:lang w:val="en-US"/>
    </w:rPr>
  </w:style>
  <w:style w:type="paragraph" w:styleId="Footer">
    <w:name w:val="footer"/>
    <w:basedOn w:val="Normal"/>
    <w:link w:val="FooterChar"/>
    <w:uiPriority w:val="99"/>
    <w:unhideWhenUsed/>
    <w:rsid w:val="004339AC"/>
    <w:pPr>
      <w:tabs>
        <w:tab w:val="center" w:pos="4536"/>
        <w:tab w:val="right" w:pos="9072"/>
      </w:tabs>
    </w:pPr>
    <w:rPr>
      <w:rFonts w:eastAsia="Calibri" w:cs="Arial"/>
      <w:noProof/>
      <w:color w:val="000000"/>
      <w:szCs w:val="22"/>
      <w:lang w:eastAsia="en-US"/>
    </w:rPr>
  </w:style>
  <w:style w:type="character" w:customStyle="1" w:styleId="FooterChar">
    <w:name w:val="Footer Char"/>
    <w:basedOn w:val="DefaultParagraphFont"/>
    <w:link w:val="Footer"/>
    <w:uiPriority w:val="99"/>
    <w:rsid w:val="004339AC"/>
    <w:rPr>
      <w:rFonts w:ascii="Arial" w:eastAsia="Calibri" w:hAnsi="Arial" w:cs="Arial"/>
      <w:noProof/>
      <w:color w:val="000000"/>
      <w:lang w:val="en-US"/>
    </w:rPr>
  </w:style>
  <w:style w:type="paragraph" w:styleId="BodyText">
    <w:name w:val="Body Text"/>
    <w:aliases w:val="Body Text Char Char,Body Text 12,body text,body text Char Char Char Char, Char1,Body Text 121 Char,Body Text 121,bt,heading3,Body Text - Level 2 Char Char,Body Text - Level 2 Char,Body Text - Level 2,Body text"/>
    <w:basedOn w:val="Normal"/>
    <w:link w:val="BodyTextChar"/>
    <w:rsid w:val="004339AC"/>
    <w:pPr>
      <w:spacing w:after="180" w:line="274" w:lineRule="auto"/>
    </w:pPr>
    <w:rPr>
      <w:rFonts w:eastAsia="Calibri"/>
      <w:noProof/>
      <w:szCs w:val="22"/>
      <w:lang w:eastAsia="en-US"/>
    </w:rPr>
  </w:style>
  <w:style w:type="character" w:customStyle="1" w:styleId="BodyTextChar">
    <w:name w:val="Body Text Char"/>
    <w:aliases w:val="Body Text Char Char Char,Body Text 12 Char,body text Char,body text Char Char Char Char Char, Char1 Char,Body Text 121 Char Char,Body Text 121 Char1,bt Char,heading3 Char,Body Text - Level 2 Char Char Char,Body Text - Level 2 Char Char1"/>
    <w:basedOn w:val="DefaultParagraphFont"/>
    <w:link w:val="BodyText"/>
    <w:rsid w:val="004339AC"/>
    <w:rPr>
      <w:rFonts w:ascii="Arial" w:eastAsia="Calibri" w:hAnsi="Arial" w:cs="Times New Roman"/>
      <w:noProof/>
      <w:lang w:val="en-US"/>
    </w:rPr>
  </w:style>
  <w:style w:type="character" w:customStyle="1" w:styleId="jlqj4b">
    <w:name w:val="jlqj4b"/>
    <w:basedOn w:val="DefaultParagraphFont"/>
    <w:rsid w:val="004339AC"/>
  </w:style>
  <w:style w:type="paragraph" w:customStyle="1" w:styleId="TableParagraph">
    <w:name w:val="Table Paragraph"/>
    <w:basedOn w:val="Normal"/>
    <w:uiPriority w:val="1"/>
    <w:qFormat/>
    <w:rsid w:val="004339AC"/>
    <w:pPr>
      <w:widowControl w:val="0"/>
    </w:pPr>
    <w:rPr>
      <w:rFonts w:ascii="Cambria" w:eastAsia="Cambria" w:hAnsi="Cambria" w:cs="Arial"/>
      <w:noProof/>
      <w:szCs w:val="22"/>
      <w:lang w:eastAsia="en-US"/>
    </w:rPr>
  </w:style>
  <w:style w:type="paragraph" w:styleId="NormalWeb">
    <w:name w:val="Normal (Web)"/>
    <w:aliases w:val="limak_tablo bullet,Normal (Web) Char Char Char"/>
    <w:basedOn w:val="Normal"/>
    <w:link w:val="NormalWebChar"/>
    <w:uiPriority w:val="99"/>
    <w:unhideWhenUsed/>
    <w:rsid w:val="004339AC"/>
    <w:pPr>
      <w:spacing w:before="100" w:beforeAutospacing="1" w:after="100" w:afterAutospacing="1"/>
    </w:pPr>
    <w:rPr>
      <w:rFonts w:eastAsia="DengXian"/>
      <w:lang w:eastAsia="tr-TR"/>
    </w:rPr>
  </w:style>
  <w:style w:type="table" w:customStyle="1" w:styleId="TabloKlavuzuilkem1">
    <w:name w:val="Tablo Kılavuzu_ilkem1"/>
    <w:basedOn w:val="TableNormal"/>
    <w:next w:val="TableGrid"/>
    <w:uiPriority w:val="39"/>
    <w:rsid w:val="004339AC"/>
    <w:pPr>
      <w:spacing w:after="0" w:line="240" w:lineRule="auto"/>
    </w:pPr>
    <w:rPr>
      <w:rFonts w:ascii="Calibri" w:eastAsia="Calibri" w:hAnsi="Calibri" w:cs="Times New Roman"/>
      <w:sz w:val="20"/>
      <w:szCs w:val="20"/>
      <w:lang w:val="en-US"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visionText">
    <w:name w:val="~RevisionText"/>
    <w:basedOn w:val="Normal"/>
    <w:qFormat/>
    <w:rsid w:val="004339AC"/>
    <w:rPr>
      <w:rFonts w:ascii="Calibri" w:eastAsia="MS Mincho" w:hAnsi="Calibri"/>
      <w:color w:val="000000"/>
      <w:sz w:val="16"/>
      <w:szCs w:val="20"/>
      <w:lang w:eastAsia="en-US"/>
    </w:rPr>
  </w:style>
  <w:style w:type="paragraph" w:customStyle="1" w:styleId="RevisionHeading">
    <w:name w:val="~RevisionHeading"/>
    <w:basedOn w:val="RevisionText"/>
    <w:qFormat/>
    <w:rsid w:val="004339AC"/>
    <w:pPr>
      <w:ind w:right="-142"/>
    </w:pPr>
    <w:rPr>
      <w:rFonts w:ascii="Arial Black" w:hAnsi="Arial Black"/>
    </w:rPr>
  </w:style>
  <w:style w:type="character" w:styleId="Hyperlink">
    <w:name w:val="Hyperlink"/>
    <w:basedOn w:val="DefaultParagraphFont"/>
    <w:uiPriority w:val="99"/>
    <w:unhideWhenUsed/>
    <w:rsid w:val="004339AC"/>
    <w:rPr>
      <w:color w:val="0000FF" w:themeColor="hyperlink"/>
      <w:u w:val="single"/>
    </w:rPr>
  </w:style>
  <w:style w:type="paragraph" w:styleId="TOC1">
    <w:name w:val="toc 1"/>
    <w:basedOn w:val="Normal"/>
    <w:next w:val="Normal"/>
    <w:autoRedefine/>
    <w:uiPriority w:val="39"/>
    <w:unhideWhenUsed/>
    <w:rsid w:val="00CD0AD3"/>
    <w:pPr>
      <w:tabs>
        <w:tab w:val="left" w:pos="482"/>
        <w:tab w:val="right" w:leader="dot" w:pos="9061"/>
      </w:tabs>
      <w:spacing w:before="0" w:after="0"/>
      <w:jc w:val="left"/>
    </w:pPr>
    <w:rPr>
      <w:b/>
    </w:rPr>
  </w:style>
  <w:style w:type="paragraph" w:styleId="TOC2">
    <w:name w:val="toc 2"/>
    <w:basedOn w:val="Normal"/>
    <w:next w:val="Normal"/>
    <w:autoRedefine/>
    <w:uiPriority w:val="39"/>
    <w:unhideWhenUsed/>
    <w:rsid w:val="007F52BC"/>
    <w:pPr>
      <w:tabs>
        <w:tab w:val="left" w:pos="879"/>
        <w:tab w:val="right" w:leader="dot" w:pos="9054"/>
      </w:tabs>
      <w:spacing w:before="0" w:after="0"/>
      <w:ind w:left="851" w:hanging="613"/>
      <w:jc w:val="left"/>
    </w:pPr>
  </w:style>
  <w:style w:type="paragraph" w:styleId="TOC3">
    <w:name w:val="toc 3"/>
    <w:basedOn w:val="Normal"/>
    <w:next w:val="Normal"/>
    <w:autoRedefine/>
    <w:uiPriority w:val="39"/>
    <w:unhideWhenUsed/>
    <w:rsid w:val="00B83935"/>
    <w:pPr>
      <w:tabs>
        <w:tab w:val="left" w:pos="1134"/>
        <w:tab w:val="right" w:leader="dot" w:pos="9061"/>
      </w:tabs>
      <w:spacing w:before="0" w:after="0"/>
      <w:ind w:left="482"/>
      <w:jc w:val="left"/>
    </w:pPr>
  </w:style>
  <w:style w:type="paragraph" w:styleId="TableofFigures">
    <w:name w:val="table of figures"/>
    <w:basedOn w:val="Normal"/>
    <w:next w:val="Normal"/>
    <w:uiPriority w:val="99"/>
    <w:unhideWhenUsed/>
    <w:rsid w:val="00EF274B"/>
    <w:pPr>
      <w:tabs>
        <w:tab w:val="right" w:leader="dot" w:pos="9054"/>
      </w:tabs>
      <w:spacing w:before="0" w:after="0"/>
    </w:pPr>
    <w:rPr>
      <w:rFonts w:cs="Arial"/>
      <w:noProof/>
      <w:lang w:val="en"/>
    </w:rPr>
  </w:style>
  <w:style w:type="paragraph" w:styleId="TOC4">
    <w:name w:val="toc 4"/>
    <w:basedOn w:val="Normal"/>
    <w:next w:val="Normal"/>
    <w:autoRedefine/>
    <w:uiPriority w:val="39"/>
    <w:unhideWhenUsed/>
    <w:rsid w:val="00CA2D51"/>
    <w:pPr>
      <w:tabs>
        <w:tab w:val="left" w:pos="1760"/>
        <w:tab w:val="right" w:leader="dot" w:pos="9054"/>
      </w:tabs>
      <w:spacing w:before="0" w:after="0"/>
      <w:ind w:left="658"/>
    </w:pPr>
  </w:style>
  <w:style w:type="paragraph" w:styleId="TOC5">
    <w:name w:val="toc 5"/>
    <w:basedOn w:val="Normal"/>
    <w:next w:val="Normal"/>
    <w:autoRedefine/>
    <w:uiPriority w:val="39"/>
    <w:unhideWhenUsed/>
    <w:rsid w:val="004339AC"/>
    <w:pPr>
      <w:spacing w:before="0" w:after="0"/>
      <w:ind w:left="879"/>
    </w:pPr>
  </w:style>
  <w:style w:type="paragraph" w:styleId="TOC6">
    <w:name w:val="toc 6"/>
    <w:basedOn w:val="Normal"/>
    <w:next w:val="Normal"/>
    <w:autoRedefine/>
    <w:uiPriority w:val="39"/>
    <w:unhideWhenUsed/>
    <w:rsid w:val="004339AC"/>
    <w:pPr>
      <w:spacing w:before="0" w:after="0"/>
      <w:ind w:left="1100"/>
    </w:pPr>
  </w:style>
  <w:style w:type="paragraph" w:customStyle="1" w:styleId="Kutucukii">
    <w:name w:val="Kutucuk içi"/>
    <w:basedOn w:val="Normal"/>
    <w:link w:val="KutucukiiChar"/>
    <w:qFormat/>
    <w:rsid w:val="004339AC"/>
    <w:pPr>
      <w:spacing w:before="120" w:after="120" w:line="240" w:lineRule="auto"/>
    </w:pPr>
    <w:rPr>
      <w:sz w:val="18"/>
      <w:szCs w:val="18"/>
    </w:rPr>
  </w:style>
  <w:style w:type="character" w:customStyle="1" w:styleId="KutucukiiChar">
    <w:name w:val="Kutucuk içi Char"/>
    <w:basedOn w:val="DefaultParagraphFont"/>
    <w:link w:val="Kutucukii"/>
    <w:rsid w:val="004339AC"/>
    <w:rPr>
      <w:rFonts w:ascii="Arial" w:eastAsia="Times New Roman" w:hAnsi="Arial" w:cs="Times New Roman"/>
      <w:sz w:val="18"/>
      <w:szCs w:val="18"/>
      <w:lang w:eastAsia="zh-CN"/>
    </w:rPr>
  </w:style>
  <w:style w:type="character" w:styleId="Strong">
    <w:name w:val="Strong"/>
    <w:basedOn w:val="DefaultParagraphFont"/>
    <w:uiPriority w:val="22"/>
    <w:qFormat/>
    <w:rsid w:val="004339AC"/>
    <w:rPr>
      <w:b/>
      <w:bCs/>
    </w:rPr>
  </w:style>
  <w:style w:type="paragraph" w:customStyle="1" w:styleId="ListeParagraf2">
    <w:name w:val="Liste Paragraf2"/>
    <w:basedOn w:val="Normal"/>
    <w:rsid w:val="004339AC"/>
    <w:pPr>
      <w:suppressAutoHyphens/>
      <w:spacing w:before="0" w:after="0" w:line="100" w:lineRule="atLeast"/>
      <w:ind w:left="720"/>
      <w:jc w:val="left"/>
    </w:pPr>
    <w:rPr>
      <w:rFonts w:ascii="Times New Roman" w:hAnsi="Times New Roman"/>
      <w:sz w:val="24"/>
      <w:lang w:eastAsia="ar-SA"/>
    </w:rPr>
  </w:style>
  <w:style w:type="table" w:customStyle="1" w:styleId="tableauPC1">
    <w:name w:val="tableau PC1"/>
    <w:basedOn w:val="TableNormal"/>
    <w:next w:val="TableGrid"/>
    <w:uiPriority w:val="59"/>
    <w:rsid w:val="004339AC"/>
    <w:pPr>
      <w:spacing w:after="0" w:line="240" w:lineRule="auto"/>
    </w:pPr>
    <w:rPr>
      <w:rFonts w:ascii="Calibri" w:eastAsia="Calibri" w:hAnsi="Calibri" w:cs="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ilkem2">
    <w:name w:val="Tablo Kılavuzu_ilkem2"/>
    <w:basedOn w:val="TableNormal"/>
    <w:next w:val="TableGrid"/>
    <w:uiPriority w:val="59"/>
    <w:rsid w:val="004339AC"/>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4339AC"/>
    <w:pPr>
      <w:spacing w:before="0" w:after="100" w:line="259" w:lineRule="auto"/>
      <w:ind w:left="1320"/>
      <w:jc w:val="left"/>
    </w:pPr>
    <w:rPr>
      <w:rFonts w:asciiTheme="minorHAnsi" w:eastAsiaTheme="minorEastAsia" w:hAnsiTheme="minorHAnsi" w:cstheme="minorBidi"/>
      <w:szCs w:val="22"/>
      <w:lang w:eastAsia="tr-TR"/>
    </w:rPr>
  </w:style>
  <w:style w:type="paragraph" w:styleId="TOC8">
    <w:name w:val="toc 8"/>
    <w:basedOn w:val="Normal"/>
    <w:next w:val="Normal"/>
    <w:autoRedefine/>
    <w:uiPriority w:val="39"/>
    <w:unhideWhenUsed/>
    <w:rsid w:val="004339AC"/>
    <w:pPr>
      <w:spacing w:before="0" w:after="100" w:line="259" w:lineRule="auto"/>
      <w:ind w:left="1540"/>
      <w:jc w:val="left"/>
    </w:pPr>
    <w:rPr>
      <w:rFonts w:asciiTheme="minorHAnsi" w:eastAsiaTheme="minorEastAsia" w:hAnsiTheme="minorHAnsi" w:cstheme="minorBidi"/>
      <w:szCs w:val="22"/>
      <w:lang w:eastAsia="tr-TR"/>
    </w:rPr>
  </w:style>
  <w:style w:type="paragraph" w:styleId="TOC9">
    <w:name w:val="toc 9"/>
    <w:basedOn w:val="Normal"/>
    <w:next w:val="Normal"/>
    <w:autoRedefine/>
    <w:uiPriority w:val="39"/>
    <w:unhideWhenUsed/>
    <w:rsid w:val="004339AC"/>
    <w:pPr>
      <w:spacing w:before="0" w:after="100" w:line="259" w:lineRule="auto"/>
      <w:ind w:left="1760"/>
      <w:jc w:val="left"/>
    </w:pPr>
    <w:rPr>
      <w:rFonts w:asciiTheme="minorHAnsi" w:eastAsiaTheme="minorEastAsia" w:hAnsiTheme="minorHAnsi" w:cstheme="minorBidi"/>
      <w:szCs w:val="22"/>
      <w:lang w:eastAsia="tr-TR"/>
    </w:rPr>
  </w:style>
  <w:style w:type="paragraph" w:customStyle="1" w:styleId="2-ortabaslk">
    <w:name w:val="2-ortabaslk"/>
    <w:basedOn w:val="Normal"/>
    <w:rsid w:val="004339AC"/>
    <w:pPr>
      <w:spacing w:before="100" w:beforeAutospacing="1" w:after="100" w:afterAutospacing="1" w:line="240" w:lineRule="auto"/>
      <w:jc w:val="left"/>
    </w:pPr>
    <w:rPr>
      <w:rFonts w:ascii="Times New Roman" w:hAnsi="Times New Roman"/>
      <w:sz w:val="24"/>
      <w:lang w:eastAsia="tr-TR"/>
    </w:rPr>
  </w:style>
  <w:style w:type="paragraph" w:customStyle="1" w:styleId="AltBilgi2">
    <w:name w:val="Alt Bilgi2"/>
    <w:basedOn w:val="BodyText"/>
    <w:uiPriority w:val="99"/>
    <w:qFormat/>
    <w:rsid w:val="004339AC"/>
    <w:pPr>
      <w:pBdr>
        <w:top w:val="single" w:sz="6" w:space="1" w:color="auto"/>
      </w:pBdr>
      <w:tabs>
        <w:tab w:val="center" w:pos="4824"/>
        <w:tab w:val="right" w:pos="9648"/>
      </w:tabs>
      <w:spacing w:before="120" w:after="120" w:line="240" w:lineRule="auto"/>
      <w:jc w:val="left"/>
    </w:pPr>
    <w:rPr>
      <w:rFonts w:eastAsia="Times New Roman"/>
      <w:noProof w:val="0"/>
      <w:sz w:val="12"/>
      <w:szCs w:val="20"/>
      <w:lang w:val="tr-TR"/>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4339AC"/>
    <w:pPr>
      <w:spacing w:before="0" w:after="160" w:line="240" w:lineRule="exact"/>
      <w:jc w:val="left"/>
    </w:pPr>
    <w:rPr>
      <w:rFonts w:asciiTheme="minorHAnsi" w:eastAsiaTheme="minorHAnsi" w:hAnsiTheme="minorHAnsi" w:cstheme="minorBidi"/>
      <w:szCs w:val="22"/>
      <w:vertAlign w:val="superscript"/>
      <w:lang w:eastAsia="en-US"/>
    </w:rPr>
  </w:style>
  <w:style w:type="paragraph" w:styleId="Bibliography">
    <w:name w:val="Bibliography"/>
    <w:basedOn w:val="Normal"/>
    <w:next w:val="Normal"/>
    <w:uiPriority w:val="37"/>
    <w:unhideWhenUsed/>
    <w:rsid w:val="004339AC"/>
  </w:style>
  <w:style w:type="character" w:styleId="FollowedHyperlink">
    <w:name w:val="FollowedHyperlink"/>
    <w:basedOn w:val="DefaultParagraphFont"/>
    <w:uiPriority w:val="99"/>
    <w:semiHidden/>
    <w:unhideWhenUsed/>
    <w:rsid w:val="004339AC"/>
    <w:rPr>
      <w:color w:val="800080" w:themeColor="followedHyperlink"/>
      <w:u w:val="single"/>
    </w:rPr>
  </w:style>
  <w:style w:type="paragraph" w:customStyle="1" w:styleId="ListBulletIndented">
    <w:name w:val="List Bullet Indented"/>
    <w:basedOn w:val="Normal"/>
    <w:rsid w:val="004339AC"/>
    <w:pPr>
      <w:numPr>
        <w:numId w:val="8"/>
      </w:numPr>
      <w:spacing w:before="60" w:after="60" w:line="240" w:lineRule="auto"/>
      <w:jc w:val="left"/>
    </w:pPr>
    <w:rPr>
      <w:noProof/>
      <w:sz w:val="20"/>
      <w:szCs w:val="20"/>
      <w:lang w:eastAsia="en-US"/>
    </w:rPr>
  </w:style>
  <w:style w:type="table" w:customStyle="1" w:styleId="TableGrid2">
    <w:name w:val="Table Grid2"/>
    <w:basedOn w:val="TableNormal"/>
    <w:next w:val="TableGrid"/>
    <w:uiPriority w:val="39"/>
    <w:rsid w:val="004339AC"/>
    <w:pPr>
      <w:spacing w:after="0" w:line="240" w:lineRule="auto"/>
    </w:pPr>
    <w:rPr>
      <w:rFonts w:ascii="Calibri" w:eastAsia="Calibri" w:hAnsi="Calibri" w:cs="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rsid w:val="00EC125E"/>
    <w:pPr>
      <w:spacing w:before="0" w:after="0" w:line="240" w:lineRule="auto"/>
    </w:pPr>
    <w:rPr>
      <w:sz w:val="20"/>
      <w:szCs w:val="20"/>
    </w:rPr>
  </w:style>
  <w:style w:type="character" w:customStyle="1" w:styleId="EndnoteTextChar">
    <w:name w:val="Endnote Text Char"/>
    <w:basedOn w:val="DefaultParagraphFont"/>
    <w:link w:val="EndnoteText"/>
    <w:uiPriority w:val="99"/>
    <w:rsid w:val="00EC125E"/>
    <w:rPr>
      <w:rFonts w:ascii="Arial" w:eastAsia="Times New Roman" w:hAnsi="Arial" w:cs="Times New Roman"/>
      <w:sz w:val="20"/>
      <w:szCs w:val="20"/>
      <w:lang w:eastAsia="zh-CN"/>
    </w:rPr>
  </w:style>
  <w:style w:type="character" w:styleId="EndnoteReference">
    <w:name w:val="endnote reference"/>
    <w:basedOn w:val="DefaultParagraphFont"/>
    <w:uiPriority w:val="99"/>
    <w:semiHidden/>
    <w:unhideWhenUsed/>
    <w:rsid w:val="00EC125E"/>
    <w:rPr>
      <w:vertAlign w:val="superscript"/>
    </w:rPr>
  </w:style>
  <w:style w:type="paragraph" w:styleId="TOCHeading">
    <w:name w:val="TOC Heading"/>
    <w:basedOn w:val="Heading1"/>
    <w:next w:val="Normal"/>
    <w:uiPriority w:val="39"/>
    <w:unhideWhenUsed/>
    <w:qFormat/>
    <w:rsid w:val="00594335"/>
    <w:pPr>
      <w:pageBreakBefore w:val="0"/>
      <w:numPr>
        <w:numId w:val="0"/>
      </w:numPr>
      <w:spacing w:before="240"/>
      <w:outlineLvl w:val="9"/>
    </w:pPr>
    <w:rPr>
      <w:rFonts w:asciiTheme="majorHAnsi" w:eastAsiaTheme="majorEastAsia" w:hAnsiTheme="majorHAnsi" w:cstheme="majorBidi"/>
      <w:b w:val="0"/>
      <w:bCs w:val="0"/>
      <w:noProof w:val="0"/>
      <w:color w:val="365F91" w:themeColor="accent1" w:themeShade="BF"/>
      <w:lang w:val="tr-TR" w:eastAsia="zh-CN"/>
    </w:rPr>
  </w:style>
  <w:style w:type="paragraph" w:customStyle="1" w:styleId="Bullet11">
    <w:name w:val="Bullet1.1"/>
    <w:basedOn w:val="Normal"/>
    <w:link w:val="Bullet11Char"/>
    <w:qFormat/>
    <w:rsid w:val="005B485E"/>
    <w:pPr>
      <w:spacing w:before="40" w:after="120" w:line="240" w:lineRule="auto"/>
    </w:pPr>
    <w:rPr>
      <w:rFonts w:cs="Arial"/>
      <w:sz w:val="24"/>
      <w:szCs w:val="20"/>
      <w:lang w:eastAsia="en-US"/>
    </w:rPr>
  </w:style>
  <w:style w:type="character" w:customStyle="1" w:styleId="Bullet11Char">
    <w:name w:val="Bullet1.1 Char"/>
    <w:basedOn w:val="DefaultParagraphFont"/>
    <w:link w:val="Bullet11"/>
    <w:rsid w:val="005B485E"/>
    <w:rPr>
      <w:rFonts w:ascii="Arial" w:eastAsia="Times New Roman" w:hAnsi="Arial" w:cs="Arial"/>
      <w:sz w:val="24"/>
      <w:szCs w:val="20"/>
    </w:rPr>
  </w:style>
  <w:style w:type="character" w:customStyle="1" w:styleId="UnresolvedMention1">
    <w:name w:val="Unresolved Mention1"/>
    <w:basedOn w:val="DefaultParagraphFont"/>
    <w:uiPriority w:val="99"/>
    <w:semiHidden/>
    <w:unhideWhenUsed/>
    <w:rsid w:val="008626DF"/>
    <w:rPr>
      <w:color w:val="605E5C"/>
      <w:shd w:val="clear" w:color="auto" w:fill="E1DFDD"/>
    </w:rPr>
  </w:style>
  <w:style w:type="table" w:customStyle="1" w:styleId="TableGrid21">
    <w:name w:val="Table Grid21"/>
    <w:basedOn w:val="TableNormal"/>
    <w:next w:val="TableGrid"/>
    <w:uiPriority w:val="39"/>
    <w:rsid w:val="00DE5F1F"/>
    <w:pPr>
      <w:spacing w:after="0" w:line="240" w:lineRule="auto"/>
    </w:pPr>
    <w:rPr>
      <w:rFonts w:ascii="Calibri" w:eastAsia="Calibri" w:hAnsi="Calibri" w:cs="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39"/>
    <w:rsid w:val="0088086C"/>
    <w:pPr>
      <w:spacing w:after="0" w:line="240" w:lineRule="auto"/>
    </w:pPr>
    <w:rPr>
      <w:rFonts w:ascii="Calibri" w:eastAsia="Calibri" w:hAnsi="Calibri" w:cs="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2">
    <w:name w:val="List Bullet 2"/>
    <w:aliases w:val="Bullet 3"/>
    <w:basedOn w:val="Normal"/>
    <w:autoRedefine/>
    <w:unhideWhenUsed/>
    <w:rsid w:val="00805DFD"/>
    <w:pPr>
      <w:numPr>
        <w:numId w:val="9"/>
      </w:numPr>
      <w:tabs>
        <w:tab w:val="left" w:pos="1276"/>
      </w:tabs>
      <w:spacing w:before="60" w:after="60"/>
    </w:pPr>
    <w:rPr>
      <w:rFonts w:cs="Arial"/>
      <w:kern w:val="28"/>
      <w:szCs w:val="20"/>
      <w:lang w:eastAsia="en-US"/>
    </w:rPr>
  </w:style>
  <w:style w:type="character" w:customStyle="1" w:styleId="cf21">
    <w:name w:val="cf21"/>
    <w:basedOn w:val="DefaultParagraphFont"/>
    <w:rsid w:val="00B235C9"/>
    <w:rPr>
      <w:rFonts w:ascii="Segoe UI" w:hAnsi="Segoe UI" w:cs="Segoe UI" w:hint="default"/>
      <w:sz w:val="18"/>
      <w:szCs w:val="18"/>
    </w:rPr>
  </w:style>
  <w:style w:type="character" w:customStyle="1" w:styleId="cf01">
    <w:name w:val="cf01"/>
    <w:basedOn w:val="DefaultParagraphFont"/>
    <w:rsid w:val="00C937C8"/>
    <w:rPr>
      <w:rFonts w:ascii="Segoe UI" w:hAnsi="Segoe UI" w:cs="Segoe UI" w:hint="default"/>
      <w:sz w:val="18"/>
      <w:szCs w:val="18"/>
    </w:rPr>
  </w:style>
  <w:style w:type="character" w:customStyle="1" w:styleId="NormalWebChar">
    <w:name w:val="Normal (Web) Char"/>
    <w:aliases w:val="limak_tablo bullet Char,Normal (Web) Char Char Char Char"/>
    <w:link w:val="NormalWeb"/>
    <w:uiPriority w:val="99"/>
    <w:rsid w:val="007B23B4"/>
    <w:rPr>
      <w:rFonts w:ascii="Arial" w:eastAsia="DengXian" w:hAnsi="Arial" w:cs="Times New Roman"/>
      <w:szCs w:val="24"/>
      <w:lang w:eastAsia="tr-TR"/>
    </w:rPr>
  </w:style>
  <w:style w:type="character" w:customStyle="1" w:styleId="Hyperlink1">
    <w:name w:val="Hyperlink1"/>
    <w:basedOn w:val="DefaultParagraphFont"/>
    <w:uiPriority w:val="99"/>
    <w:unhideWhenUsed/>
    <w:rsid w:val="0070701E"/>
    <w:rPr>
      <w:color w:val="0563C1"/>
      <w:u w:val="single"/>
    </w:rPr>
  </w:style>
  <w:style w:type="paragraph" w:customStyle="1" w:styleId="TOC71">
    <w:name w:val="TOC 71"/>
    <w:basedOn w:val="Normal"/>
    <w:next w:val="Normal"/>
    <w:autoRedefine/>
    <w:uiPriority w:val="39"/>
    <w:unhideWhenUsed/>
    <w:rsid w:val="0070701E"/>
    <w:pPr>
      <w:spacing w:before="0" w:after="100" w:line="259" w:lineRule="auto"/>
      <w:ind w:left="1320"/>
      <w:jc w:val="left"/>
    </w:pPr>
    <w:rPr>
      <w:rFonts w:ascii="Calibri" w:eastAsia="SimSun" w:hAnsi="Calibri"/>
      <w:szCs w:val="22"/>
      <w:lang w:eastAsia="tr-TR"/>
    </w:rPr>
  </w:style>
  <w:style w:type="paragraph" w:customStyle="1" w:styleId="TOC81">
    <w:name w:val="TOC 81"/>
    <w:basedOn w:val="Normal"/>
    <w:next w:val="Normal"/>
    <w:autoRedefine/>
    <w:uiPriority w:val="39"/>
    <w:unhideWhenUsed/>
    <w:rsid w:val="0070701E"/>
    <w:pPr>
      <w:spacing w:before="0" w:after="100" w:line="259" w:lineRule="auto"/>
      <w:ind w:left="1540"/>
      <w:jc w:val="left"/>
    </w:pPr>
    <w:rPr>
      <w:rFonts w:ascii="Calibri" w:eastAsia="SimSun" w:hAnsi="Calibri"/>
      <w:szCs w:val="22"/>
      <w:lang w:eastAsia="tr-TR"/>
    </w:rPr>
  </w:style>
  <w:style w:type="paragraph" w:customStyle="1" w:styleId="TOC91">
    <w:name w:val="TOC 91"/>
    <w:basedOn w:val="Normal"/>
    <w:next w:val="Normal"/>
    <w:autoRedefine/>
    <w:uiPriority w:val="39"/>
    <w:unhideWhenUsed/>
    <w:rsid w:val="0070701E"/>
    <w:pPr>
      <w:spacing w:before="0" w:after="100" w:line="259" w:lineRule="auto"/>
      <w:ind w:left="1760"/>
      <w:jc w:val="left"/>
    </w:pPr>
    <w:rPr>
      <w:rFonts w:ascii="Calibri" w:eastAsia="SimSun" w:hAnsi="Calibri"/>
      <w:szCs w:val="22"/>
      <w:lang w:eastAsia="tr-TR"/>
    </w:rPr>
  </w:style>
  <w:style w:type="character" w:customStyle="1" w:styleId="FollowedHyperlink1">
    <w:name w:val="FollowedHyperlink1"/>
    <w:basedOn w:val="DefaultParagraphFont"/>
    <w:uiPriority w:val="99"/>
    <w:semiHidden/>
    <w:unhideWhenUsed/>
    <w:rsid w:val="0070701E"/>
    <w:rPr>
      <w:color w:val="954F72"/>
      <w:u w:val="single"/>
    </w:rPr>
  </w:style>
  <w:style w:type="character" w:styleId="Emphasis">
    <w:name w:val="Emphasis"/>
    <w:basedOn w:val="DefaultParagraphFont"/>
    <w:uiPriority w:val="20"/>
    <w:qFormat/>
    <w:rsid w:val="0070701E"/>
    <w:rPr>
      <w:i/>
      <w:iCs/>
    </w:rPr>
  </w:style>
  <w:style w:type="paragraph" w:customStyle="1" w:styleId="Bullet2">
    <w:name w:val="Bullet 2"/>
    <w:basedOn w:val="ListParagraph"/>
    <w:qFormat/>
    <w:rsid w:val="0070701E"/>
    <w:pPr>
      <w:numPr>
        <w:numId w:val="11"/>
      </w:numPr>
      <w:tabs>
        <w:tab w:val="num" w:pos="360"/>
      </w:tabs>
      <w:spacing w:before="60" w:after="60"/>
      <w:contextualSpacing w:val="0"/>
    </w:pPr>
    <w:rPr>
      <w:noProof w:val="0"/>
      <w:color w:val="auto"/>
    </w:rPr>
  </w:style>
  <w:style w:type="character" w:customStyle="1" w:styleId="fontstyle01">
    <w:name w:val="fontstyle01"/>
    <w:basedOn w:val="DefaultParagraphFont"/>
    <w:rsid w:val="0070701E"/>
    <w:rPr>
      <w:rFonts w:ascii="Times New Roman" w:hAnsi="Times New Roman" w:cs="Times New Roman" w:hint="default"/>
      <w:b w:val="0"/>
      <w:bCs w:val="0"/>
      <w:i w:val="0"/>
      <w:iCs w:val="0"/>
      <w:color w:val="000000"/>
      <w:sz w:val="24"/>
      <w:szCs w:val="24"/>
    </w:rPr>
  </w:style>
  <w:style w:type="paragraph" w:customStyle="1" w:styleId="StandardText">
    <w:name w:val="Standard Text"/>
    <w:basedOn w:val="Normal"/>
    <w:link w:val="StandardTextZchn"/>
    <w:qFormat/>
    <w:rsid w:val="0070701E"/>
    <w:pPr>
      <w:spacing w:after="120" w:line="264" w:lineRule="auto"/>
    </w:pPr>
    <w:rPr>
      <w:rFonts w:ascii="Times New Roman" w:eastAsia="Calibri" w:hAnsi="Times New Roman"/>
      <w:sz w:val="24"/>
      <w:lang w:eastAsia="fr-FR"/>
    </w:rPr>
  </w:style>
  <w:style w:type="character" w:customStyle="1" w:styleId="StandardTextZchn">
    <w:name w:val="Standard Text Zchn"/>
    <w:basedOn w:val="DefaultParagraphFont"/>
    <w:link w:val="StandardText"/>
    <w:rsid w:val="0070701E"/>
    <w:rPr>
      <w:rFonts w:ascii="Times New Roman" w:eastAsia="Calibri" w:hAnsi="Times New Roman" w:cs="Times New Roman"/>
      <w:sz w:val="24"/>
      <w:szCs w:val="24"/>
      <w:lang w:val="en-US" w:eastAsia="fr-FR"/>
    </w:rPr>
  </w:style>
  <w:style w:type="table" w:customStyle="1" w:styleId="TabloKlavuzu3">
    <w:name w:val="Tablo Kılavuzu3"/>
    <w:basedOn w:val="TableNormal"/>
    <w:next w:val="TableGrid"/>
    <w:uiPriority w:val="39"/>
    <w:rsid w:val="0070701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el1">
    <w:name w:val="özel1"/>
    <w:basedOn w:val="TableNormal"/>
    <w:next w:val="TableGrid"/>
    <w:uiPriority w:val="39"/>
    <w:qFormat/>
    <w:rsid w:val="0070701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el2">
    <w:name w:val="özel2"/>
    <w:basedOn w:val="TableNormal"/>
    <w:next w:val="TableGrid"/>
    <w:uiPriority w:val="39"/>
    <w:qFormat/>
    <w:rsid w:val="0070701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70701E"/>
    <w:pPr>
      <w:spacing w:before="100" w:beforeAutospacing="1" w:after="100" w:afterAutospacing="1" w:line="240" w:lineRule="auto"/>
      <w:jc w:val="left"/>
    </w:pPr>
    <w:rPr>
      <w:rFonts w:ascii="Times New Roman" w:hAnsi="Times New Roman"/>
      <w:sz w:val="24"/>
      <w:lang w:eastAsia="tr-TR"/>
    </w:rPr>
  </w:style>
  <w:style w:type="paragraph" w:customStyle="1" w:styleId="pf1">
    <w:name w:val="pf1"/>
    <w:basedOn w:val="Normal"/>
    <w:rsid w:val="0070701E"/>
    <w:pPr>
      <w:spacing w:before="100" w:beforeAutospacing="1" w:after="100" w:afterAutospacing="1" w:line="240" w:lineRule="auto"/>
      <w:jc w:val="left"/>
    </w:pPr>
    <w:rPr>
      <w:rFonts w:ascii="Times New Roman" w:hAnsi="Times New Roman"/>
      <w:sz w:val="24"/>
      <w:lang w:eastAsia="tr-TR"/>
    </w:rPr>
  </w:style>
  <w:style w:type="paragraph" w:customStyle="1" w:styleId="ReportTableBodyTextCentre">
    <w:name w:val="Report Table Body Text Centre"/>
    <w:basedOn w:val="Normal"/>
    <w:rsid w:val="0070701E"/>
    <w:pPr>
      <w:spacing w:before="80" w:after="80" w:line="240" w:lineRule="exact"/>
      <w:jc w:val="center"/>
    </w:pPr>
    <w:rPr>
      <w:snapToGrid w:val="0"/>
      <w:sz w:val="20"/>
      <w:szCs w:val="22"/>
      <w:lang w:eastAsia="en-GB"/>
    </w:rPr>
  </w:style>
  <w:style w:type="character" w:customStyle="1" w:styleId="zmlenmeyenBahsetme1">
    <w:name w:val="Çözümlenmeyen Bahsetme1"/>
    <w:basedOn w:val="DefaultParagraphFont"/>
    <w:uiPriority w:val="99"/>
    <w:semiHidden/>
    <w:unhideWhenUsed/>
    <w:rsid w:val="0055124C"/>
    <w:rPr>
      <w:color w:val="605E5C"/>
      <w:shd w:val="clear" w:color="auto" w:fill="E1DFDD"/>
    </w:rPr>
  </w:style>
  <w:style w:type="character" w:customStyle="1" w:styleId="normaltextrun">
    <w:name w:val="normaltextrun"/>
    <w:basedOn w:val="DefaultParagraphFont"/>
    <w:rsid w:val="00142B7A"/>
  </w:style>
  <w:style w:type="character" w:customStyle="1" w:styleId="eop">
    <w:name w:val="eop"/>
    <w:basedOn w:val="DefaultParagraphFont"/>
    <w:rsid w:val="00142B7A"/>
  </w:style>
  <w:style w:type="paragraph" w:customStyle="1" w:styleId="paragraph">
    <w:name w:val="paragraph"/>
    <w:basedOn w:val="Normal"/>
    <w:rsid w:val="00143F51"/>
    <w:pPr>
      <w:spacing w:before="100" w:beforeAutospacing="1" w:after="100" w:afterAutospacing="1" w:line="240" w:lineRule="auto"/>
      <w:jc w:val="left"/>
    </w:pPr>
    <w:rPr>
      <w:rFonts w:ascii="Times New Roman" w:hAnsi="Times New Roman"/>
      <w:sz w:val="24"/>
      <w:lang w:val="tr-TR" w:eastAsia="tr-TR"/>
    </w:rPr>
  </w:style>
  <w:style w:type="character" w:customStyle="1" w:styleId="spellingerror">
    <w:name w:val="spellingerror"/>
    <w:basedOn w:val="DefaultParagraphFont"/>
    <w:rsid w:val="00143F51"/>
  </w:style>
  <w:style w:type="paragraph" w:styleId="NormalIndent">
    <w:name w:val="Normal Indent"/>
    <w:basedOn w:val="Normal"/>
    <w:rsid w:val="00F81236"/>
    <w:pPr>
      <w:keepLines/>
      <w:tabs>
        <w:tab w:val="left" w:pos="1134"/>
      </w:tabs>
      <w:spacing w:before="0"/>
      <w:ind w:left="1134"/>
    </w:pPr>
    <w:rPr>
      <w:rFonts w:cs="Arial"/>
      <w:szCs w:val="22"/>
      <w:lang w:eastAsia="en-US"/>
    </w:rPr>
  </w:style>
  <w:style w:type="character" w:customStyle="1" w:styleId="UnresolvedMention2">
    <w:name w:val="Unresolved Mention2"/>
    <w:basedOn w:val="DefaultParagraphFont"/>
    <w:uiPriority w:val="99"/>
    <w:semiHidden/>
    <w:unhideWhenUsed/>
    <w:rsid w:val="00B427D5"/>
    <w:rPr>
      <w:color w:val="605E5C"/>
      <w:shd w:val="clear" w:color="auto" w:fill="E1DFDD"/>
    </w:rPr>
  </w:style>
  <w:style w:type="character" w:customStyle="1" w:styleId="DefaultChar">
    <w:name w:val="Default Char"/>
    <w:basedOn w:val="DefaultParagraphFont"/>
    <w:link w:val="Default"/>
    <w:rsid w:val="00CA4F6E"/>
    <w:rPr>
      <w:rFonts w:ascii="Arial" w:eastAsia="Times New Roman" w:hAnsi="Arial" w:cs="Arial"/>
      <w:color w:val="000000"/>
      <w:sz w:val="24"/>
      <w:szCs w:val="24"/>
      <w:lang w:val="en-US"/>
    </w:rPr>
  </w:style>
  <w:style w:type="table" w:customStyle="1" w:styleId="TableGrid11">
    <w:name w:val="Table Grid11"/>
    <w:basedOn w:val="TableNormal"/>
    <w:next w:val="TableGrid"/>
    <w:uiPriority w:val="39"/>
    <w:rsid w:val="00E516D7"/>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312">
    <w:name w:val="Kılavuzu Tablo 4 - Vurgu 312"/>
    <w:basedOn w:val="TableNormal"/>
    <w:uiPriority w:val="49"/>
    <w:rsid w:val="009B5F6C"/>
    <w:pPr>
      <w:spacing w:after="120" w:line="264" w:lineRule="auto"/>
    </w:pPr>
    <w:rPr>
      <w:rFonts w:eastAsiaTheme="minorEastAsia"/>
      <w:sz w:val="21"/>
      <w:szCs w:val="21"/>
      <w:lang w:eastAsia="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311">
    <w:name w:val="Kılavuzu Tablo 4 - Vurgu 311"/>
    <w:basedOn w:val="TableNormal"/>
    <w:uiPriority w:val="49"/>
    <w:rsid w:val="005A5B10"/>
    <w:pPr>
      <w:spacing w:after="120" w:line="264" w:lineRule="auto"/>
    </w:pPr>
    <w:rPr>
      <w:rFonts w:eastAsiaTheme="minorEastAsia"/>
      <w:sz w:val="21"/>
      <w:szCs w:val="21"/>
      <w:lang w:eastAsia="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oKlavuzu6">
    <w:name w:val="Tablo Kılavuzu6"/>
    <w:basedOn w:val="TableNormal"/>
    <w:next w:val="TableGrid"/>
    <w:uiPriority w:val="59"/>
    <w:rsid w:val="008275B8"/>
    <w:pPr>
      <w:spacing w:after="120" w:line="264" w:lineRule="auto"/>
    </w:pPr>
    <w:rPr>
      <w:rFonts w:eastAsiaTheme="minorEastAsia"/>
      <w:sz w:val="21"/>
      <w:szCs w:val="21"/>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313">
    <w:name w:val="Kılavuzu Tablo 4 - Vurgu 313"/>
    <w:basedOn w:val="TableNormal"/>
    <w:uiPriority w:val="49"/>
    <w:rsid w:val="005A0431"/>
    <w:pPr>
      <w:spacing w:after="120" w:line="264" w:lineRule="auto"/>
    </w:pPr>
    <w:rPr>
      <w:rFonts w:eastAsiaTheme="minorEastAsia"/>
      <w:sz w:val="21"/>
      <w:szCs w:val="21"/>
      <w:lang w:eastAsia="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zmlenmeyenBahsetme2">
    <w:name w:val="Çözümlenmeyen Bahsetme2"/>
    <w:basedOn w:val="DefaultParagraphFont"/>
    <w:uiPriority w:val="99"/>
    <w:semiHidden/>
    <w:unhideWhenUsed/>
    <w:rsid w:val="007615BC"/>
    <w:rPr>
      <w:color w:val="605E5C"/>
      <w:shd w:val="clear" w:color="auto" w:fill="E1DFDD"/>
    </w:rPr>
  </w:style>
  <w:style w:type="table" w:customStyle="1" w:styleId="TableNormal1">
    <w:name w:val="Table Normal1"/>
    <w:uiPriority w:val="2"/>
    <w:semiHidden/>
    <w:unhideWhenUsed/>
    <w:qFormat/>
    <w:rsid w:val="00C52D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3">
    <w:name w:val="Çözümlenmeyen Bahsetme3"/>
    <w:basedOn w:val="DefaultParagraphFont"/>
    <w:uiPriority w:val="99"/>
    <w:unhideWhenUsed/>
    <w:rsid w:val="002D0393"/>
    <w:rPr>
      <w:color w:val="605E5C"/>
      <w:shd w:val="clear" w:color="auto" w:fill="E1DFDD"/>
    </w:rPr>
  </w:style>
  <w:style w:type="character" w:customStyle="1" w:styleId="Bahset1">
    <w:name w:val="Bahset1"/>
    <w:basedOn w:val="DefaultParagraphFont"/>
    <w:uiPriority w:val="99"/>
    <w:unhideWhenUsed/>
    <w:rsid w:val="00AB7051"/>
    <w:rPr>
      <w:color w:val="2B579A"/>
      <w:shd w:val="clear" w:color="auto" w:fill="E1DFDD"/>
    </w:rPr>
  </w:style>
  <w:style w:type="paragraph" w:customStyle="1" w:styleId="CitrusBullet">
    <w:name w:val="Citrus Bullet"/>
    <w:basedOn w:val="Normal"/>
    <w:qFormat/>
    <w:rsid w:val="007E1807"/>
    <w:pPr>
      <w:numPr>
        <w:numId w:val="22"/>
      </w:numPr>
      <w:spacing w:before="0" w:after="120" w:line="264" w:lineRule="auto"/>
      <w:ind w:left="360"/>
    </w:pPr>
    <w:rPr>
      <w:rFonts w:eastAsiaTheme="minorHAnsi" w:cstheme="minorBidi"/>
      <w:sz w:val="20"/>
      <w:szCs w:val="22"/>
      <w:lang w:val="tr-TR" w:eastAsia="en-US"/>
    </w:rPr>
  </w:style>
  <w:style w:type="table" w:customStyle="1" w:styleId="Tablelongdocument1">
    <w:name w:val="Table long document1"/>
    <w:basedOn w:val="TableNormal"/>
    <w:next w:val="TableGrid"/>
    <w:uiPriority w:val="39"/>
    <w:rsid w:val="00E66E5C"/>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845D5"/>
    <w:pPr>
      <w:spacing w:before="100" w:beforeAutospacing="1" w:after="100" w:afterAutospacing="1" w:line="240" w:lineRule="auto"/>
      <w:jc w:val="left"/>
    </w:pPr>
    <w:rPr>
      <w:rFonts w:ascii="Times New Roman" w:hAnsi="Times New Roman"/>
      <w:sz w:val="24"/>
      <w:lang w:val="tr-TR" w:eastAsia="tr-TR"/>
    </w:rPr>
  </w:style>
  <w:style w:type="paragraph" w:customStyle="1" w:styleId="font5">
    <w:name w:val="font5"/>
    <w:basedOn w:val="Normal"/>
    <w:rsid w:val="003845D5"/>
    <w:pPr>
      <w:spacing w:before="100" w:beforeAutospacing="1" w:after="100" w:afterAutospacing="1" w:line="240" w:lineRule="auto"/>
      <w:jc w:val="left"/>
    </w:pPr>
    <w:rPr>
      <w:rFonts w:cs="Arial"/>
      <w:color w:val="000000"/>
      <w:szCs w:val="22"/>
      <w:lang w:val="tr-TR" w:eastAsia="tr-TR"/>
    </w:rPr>
  </w:style>
  <w:style w:type="paragraph" w:customStyle="1" w:styleId="font6">
    <w:name w:val="font6"/>
    <w:basedOn w:val="Normal"/>
    <w:rsid w:val="003845D5"/>
    <w:pPr>
      <w:spacing w:before="100" w:beforeAutospacing="1" w:after="100" w:afterAutospacing="1" w:line="240" w:lineRule="auto"/>
      <w:jc w:val="left"/>
    </w:pPr>
    <w:rPr>
      <w:rFonts w:cs="Arial"/>
      <w:b/>
      <w:bCs/>
      <w:color w:val="000000"/>
      <w:szCs w:val="22"/>
      <w:lang w:val="tr-TR" w:eastAsia="tr-TR"/>
    </w:rPr>
  </w:style>
  <w:style w:type="paragraph" w:customStyle="1" w:styleId="font7">
    <w:name w:val="font7"/>
    <w:basedOn w:val="Normal"/>
    <w:rsid w:val="003845D5"/>
    <w:pPr>
      <w:spacing w:before="100" w:beforeAutospacing="1" w:after="100" w:afterAutospacing="1" w:line="240" w:lineRule="auto"/>
      <w:jc w:val="left"/>
    </w:pPr>
    <w:rPr>
      <w:rFonts w:cs="Arial"/>
      <w:b/>
      <w:bCs/>
      <w:color w:val="000000"/>
      <w:sz w:val="18"/>
      <w:szCs w:val="18"/>
      <w:lang w:val="tr-TR" w:eastAsia="tr-TR"/>
    </w:rPr>
  </w:style>
  <w:style w:type="paragraph" w:customStyle="1" w:styleId="font8">
    <w:name w:val="font8"/>
    <w:basedOn w:val="Normal"/>
    <w:rsid w:val="003845D5"/>
    <w:pPr>
      <w:spacing w:before="100" w:beforeAutospacing="1" w:after="100" w:afterAutospacing="1" w:line="240" w:lineRule="auto"/>
      <w:jc w:val="left"/>
    </w:pPr>
    <w:rPr>
      <w:rFonts w:cs="Arial"/>
      <w:color w:val="000000"/>
      <w:sz w:val="18"/>
      <w:szCs w:val="18"/>
      <w:lang w:val="tr-TR" w:eastAsia="tr-TR"/>
    </w:rPr>
  </w:style>
  <w:style w:type="paragraph" w:customStyle="1" w:styleId="font9">
    <w:name w:val="font9"/>
    <w:basedOn w:val="Normal"/>
    <w:rsid w:val="003845D5"/>
    <w:pPr>
      <w:spacing w:before="100" w:beforeAutospacing="1" w:after="100" w:afterAutospacing="1" w:line="240" w:lineRule="auto"/>
      <w:jc w:val="left"/>
    </w:pPr>
    <w:rPr>
      <w:rFonts w:cs="Arial"/>
      <w:i/>
      <w:iCs/>
      <w:color w:val="000000"/>
      <w:szCs w:val="22"/>
      <w:lang w:val="tr-TR" w:eastAsia="tr-TR"/>
    </w:rPr>
  </w:style>
  <w:style w:type="paragraph" w:customStyle="1" w:styleId="font10">
    <w:name w:val="font10"/>
    <w:basedOn w:val="Normal"/>
    <w:rsid w:val="003845D5"/>
    <w:pPr>
      <w:spacing w:before="100" w:beforeAutospacing="1" w:after="100" w:afterAutospacing="1" w:line="240" w:lineRule="auto"/>
      <w:jc w:val="left"/>
    </w:pPr>
    <w:rPr>
      <w:rFonts w:cs="Arial"/>
      <w:i/>
      <w:iCs/>
      <w:color w:val="000000"/>
      <w:sz w:val="18"/>
      <w:szCs w:val="18"/>
      <w:lang w:val="tr-TR" w:eastAsia="tr-TR"/>
    </w:rPr>
  </w:style>
  <w:style w:type="paragraph" w:customStyle="1" w:styleId="xl65">
    <w:name w:val="xl65"/>
    <w:basedOn w:val="Normal"/>
    <w:rsid w:val="003845D5"/>
    <w:pPr>
      <w:pBdr>
        <w:top w:val="single" w:sz="8" w:space="0" w:color="auto"/>
        <w:left w:val="single" w:sz="8" w:space="0" w:color="auto"/>
        <w:bottom w:val="single" w:sz="8" w:space="0" w:color="auto"/>
        <w:right w:val="single" w:sz="8" w:space="0" w:color="auto"/>
      </w:pBdr>
      <w:shd w:val="clear" w:color="000000" w:fill="4F81BD"/>
      <w:spacing w:before="100" w:beforeAutospacing="1" w:after="100" w:afterAutospacing="1" w:line="240" w:lineRule="auto"/>
      <w:jc w:val="center"/>
      <w:textAlignment w:val="center"/>
    </w:pPr>
    <w:rPr>
      <w:rFonts w:cs="Arial"/>
      <w:b/>
      <w:bCs/>
      <w:color w:val="FFFFFF"/>
      <w:sz w:val="18"/>
      <w:szCs w:val="18"/>
      <w:lang w:val="tr-TR" w:eastAsia="tr-TR"/>
    </w:rPr>
  </w:style>
  <w:style w:type="paragraph" w:customStyle="1" w:styleId="xl66">
    <w:name w:val="xl66"/>
    <w:basedOn w:val="Normal"/>
    <w:rsid w:val="003845D5"/>
    <w:pPr>
      <w:pBdr>
        <w:top w:val="single" w:sz="8" w:space="0" w:color="auto"/>
        <w:bottom w:val="single" w:sz="8" w:space="0" w:color="auto"/>
        <w:right w:val="single" w:sz="8" w:space="0" w:color="auto"/>
      </w:pBdr>
      <w:shd w:val="clear" w:color="000000" w:fill="4F81BD"/>
      <w:spacing w:before="100" w:beforeAutospacing="1" w:after="100" w:afterAutospacing="1" w:line="240" w:lineRule="auto"/>
      <w:jc w:val="center"/>
      <w:textAlignment w:val="center"/>
    </w:pPr>
    <w:rPr>
      <w:rFonts w:cs="Arial"/>
      <w:b/>
      <w:bCs/>
      <w:color w:val="FFFFFF"/>
      <w:sz w:val="18"/>
      <w:szCs w:val="18"/>
      <w:lang w:val="tr-TR" w:eastAsia="tr-TR"/>
    </w:rPr>
  </w:style>
  <w:style w:type="paragraph" w:customStyle="1" w:styleId="xl67">
    <w:name w:val="xl67"/>
    <w:basedOn w:val="Normal"/>
    <w:rsid w:val="003845D5"/>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cs="Arial"/>
      <w:b/>
      <w:bCs/>
      <w:sz w:val="18"/>
      <w:szCs w:val="18"/>
      <w:lang w:val="tr-TR" w:eastAsia="tr-TR"/>
    </w:rPr>
  </w:style>
  <w:style w:type="paragraph" w:customStyle="1" w:styleId="xl68">
    <w:name w:val="xl68"/>
    <w:basedOn w:val="Normal"/>
    <w:rsid w:val="003845D5"/>
    <w:pPr>
      <w:pBdr>
        <w:bottom w:val="single" w:sz="8" w:space="0" w:color="auto"/>
        <w:right w:val="single" w:sz="8" w:space="0" w:color="auto"/>
      </w:pBdr>
      <w:spacing w:before="100" w:beforeAutospacing="1" w:after="100" w:afterAutospacing="1" w:line="240" w:lineRule="auto"/>
      <w:jc w:val="center"/>
      <w:textAlignment w:val="center"/>
    </w:pPr>
    <w:rPr>
      <w:rFonts w:cs="Arial"/>
      <w:sz w:val="18"/>
      <w:szCs w:val="18"/>
      <w:lang w:val="tr-TR" w:eastAsia="tr-TR"/>
    </w:rPr>
  </w:style>
  <w:style w:type="paragraph" w:customStyle="1" w:styleId="xl69">
    <w:name w:val="xl69"/>
    <w:basedOn w:val="Normal"/>
    <w:rsid w:val="003845D5"/>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cs="Arial"/>
      <w:i/>
      <w:iCs/>
      <w:sz w:val="18"/>
      <w:szCs w:val="18"/>
      <w:lang w:val="tr-TR" w:eastAsia="tr-TR"/>
    </w:rPr>
  </w:style>
  <w:style w:type="paragraph" w:customStyle="1" w:styleId="xl70">
    <w:name w:val="xl70"/>
    <w:basedOn w:val="Normal"/>
    <w:rsid w:val="003845D5"/>
    <w:pPr>
      <w:pBdr>
        <w:bottom w:val="single" w:sz="8" w:space="0" w:color="auto"/>
        <w:right w:val="single" w:sz="8" w:space="0" w:color="auto"/>
      </w:pBdr>
      <w:spacing w:before="100" w:beforeAutospacing="1" w:after="100" w:afterAutospacing="1" w:line="240" w:lineRule="auto"/>
      <w:jc w:val="center"/>
      <w:textAlignment w:val="center"/>
    </w:pPr>
    <w:rPr>
      <w:rFonts w:cs="Arial"/>
      <w:color w:val="202124"/>
      <w:sz w:val="24"/>
      <w:lang w:val="tr-TR" w:eastAsia="tr-TR"/>
    </w:rPr>
  </w:style>
  <w:style w:type="paragraph" w:customStyle="1" w:styleId="xl71">
    <w:name w:val="xl71"/>
    <w:basedOn w:val="Normal"/>
    <w:rsid w:val="003845D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8"/>
      <w:szCs w:val="18"/>
      <w:lang w:val="tr-TR" w:eastAsia="tr-TR"/>
    </w:rPr>
  </w:style>
  <w:style w:type="paragraph" w:customStyle="1" w:styleId="xl72">
    <w:name w:val="xl72"/>
    <w:basedOn w:val="Normal"/>
    <w:rsid w:val="003845D5"/>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cs="Arial"/>
      <w:i/>
      <w:iCs/>
      <w:sz w:val="18"/>
      <w:szCs w:val="18"/>
      <w:lang w:val="tr-TR" w:eastAsia="tr-TR"/>
    </w:rPr>
  </w:style>
  <w:style w:type="paragraph" w:customStyle="1" w:styleId="xl73">
    <w:name w:val="xl73"/>
    <w:basedOn w:val="Normal"/>
    <w:rsid w:val="003845D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cs="Arial"/>
      <w:sz w:val="18"/>
      <w:szCs w:val="18"/>
      <w:lang w:val="tr-TR" w:eastAsia="tr-TR"/>
    </w:rPr>
  </w:style>
  <w:style w:type="paragraph" w:customStyle="1" w:styleId="MediumGrid1-Accent21">
    <w:name w:val="Medium Grid 1 - Accent 21"/>
    <w:basedOn w:val="Normal"/>
    <w:uiPriority w:val="34"/>
    <w:qFormat/>
    <w:rsid w:val="002A0010"/>
    <w:pPr>
      <w:spacing w:before="0" w:after="120"/>
      <w:ind w:left="720"/>
      <w:contextualSpacing/>
    </w:pPr>
    <w:rPr>
      <w:rFonts w:eastAsia="Calibri" w:cs="Arial"/>
      <w:color w:val="000000"/>
      <w:szCs w:val="22"/>
      <w:lang w:val="tr-TR" w:eastAsia="en-US"/>
    </w:rPr>
  </w:style>
  <w:style w:type="character" w:styleId="UnresolvedMention">
    <w:name w:val="Unresolved Mention"/>
    <w:basedOn w:val="DefaultParagraphFont"/>
    <w:uiPriority w:val="99"/>
    <w:unhideWhenUsed/>
    <w:rsid w:val="00B27344"/>
    <w:rPr>
      <w:color w:val="605E5C"/>
      <w:shd w:val="clear" w:color="auto" w:fill="E1DFDD"/>
    </w:rPr>
  </w:style>
  <w:style w:type="character" w:styleId="Mention">
    <w:name w:val="Mention"/>
    <w:basedOn w:val="DefaultParagraphFont"/>
    <w:uiPriority w:val="99"/>
    <w:unhideWhenUsed/>
    <w:rsid w:val="00B27344"/>
    <w:rPr>
      <w:color w:val="2B579A"/>
      <w:shd w:val="clear" w:color="auto" w:fill="E1DFDD"/>
    </w:rPr>
  </w:style>
  <w:style w:type="table" w:customStyle="1" w:styleId="TabloKlavuzu1">
    <w:name w:val="Tablo Kılavuzu1"/>
    <w:basedOn w:val="TableNormal"/>
    <w:next w:val="TableGrid"/>
    <w:uiPriority w:val="59"/>
    <w:rsid w:val="00C7207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table2">
    <w:name w:val="CV table2"/>
    <w:basedOn w:val="TableNormal"/>
    <w:next w:val="TableGrid"/>
    <w:uiPriority w:val="39"/>
    <w:rsid w:val="0066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rsid w:val="00B22047"/>
    <w:pPr>
      <w:tabs>
        <w:tab w:val="left" w:pos="720"/>
      </w:tabs>
      <w:spacing w:before="0" w:line="22" w:lineRule="atLeast"/>
      <w:ind w:left="720" w:hanging="720"/>
    </w:pPr>
    <w:rPr>
      <w:b/>
      <w:szCs w:val="20"/>
      <w:lang w:val="en-AU" w:eastAsia="en-US"/>
    </w:rPr>
  </w:style>
  <w:style w:type="character" w:customStyle="1" w:styleId="BodyTextIndent2Char">
    <w:name w:val="Body Text Indent 2 Char"/>
    <w:basedOn w:val="DefaultParagraphFont"/>
    <w:link w:val="BodyTextIndent2"/>
    <w:uiPriority w:val="99"/>
    <w:semiHidden/>
    <w:rsid w:val="00B22047"/>
    <w:rPr>
      <w:rFonts w:ascii="Arial" w:eastAsia="Times New Roman" w:hAnsi="Arial" w:cs="Times New Roman"/>
      <w:b/>
      <w:szCs w:val="20"/>
      <w:lang w:val="en-AU"/>
    </w:rPr>
  </w:style>
  <w:style w:type="table" w:customStyle="1" w:styleId="TabloKlavuzu2">
    <w:name w:val="Tablo Kılavuzu2"/>
    <w:basedOn w:val="TableNormal"/>
    <w:next w:val="TableGrid"/>
    <w:uiPriority w:val="59"/>
    <w:rsid w:val="00930F1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DD4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087">
      <w:bodyDiv w:val="1"/>
      <w:marLeft w:val="0"/>
      <w:marRight w:val="0"/>
      <w:marTop w:val="0"/>
      <w:marBottom w:val="0"/>
      <w:divBdr>
        <w:top w:val="none" w:sz="0" w:space="0" w:color="auto"/>
        <w:left w:val="none" w:sz="0" w:space="0" w:color="auto"/>
        <w:bottom w:val="none" w:sz="0" w:space="0" w:color="auto"/>
        <w:right w:val="none" w:sz="0" w:space="0" w:color="auto"/>
      </w:divBdr>
    </w:div>
    <w:div w:id="2051125">
      <w:bodyDiv w:val="1"/>
      <w:marLeft w:val="0"/>
      <w:marRight w:val="0"/>
      <w:marTop w:val="0"/>
      <w:marBottom w:val="0"/>
      <w:divBdr>
        <w:top w:val="none" w:sz="0" w:space="0" w:color="auto"/>
        <w:left w:val="none" w:sz="0" w:space="0" w:color="auto"/>
        <w:bottom w:val="none" w:sz="0" w:space="0" w:color="auto"/>
        <w:right w:val="none" w:sz="0" w:space="0" w:color="auto"/>
      </w:divBdr>
    </w:div>
    <w:div w:id="15082436">
      <w:bodyDiv w:val="1"/>
      <w:marLeft w:val="0"/>
      <w:marRight w:val="0"/>
      <w:marTop w:val="0"/>
      <w:marBottom w:val="0"/>
      <w:divBdr>
        <w:top w:val="none" w:sz="0" w:space="0" w:color="auto"/>
        <w:left w:val="none" w:sz="0" w:space="0" w:color="auto"/>
        <w:bottom w:val="none" w:sz="0" w:space="0" w:color="auto"/>
        <w:right w:val="none" w:sz="0" w:space="0" w:color="auto"/>
      </w:divBdr>
    </w:div>
    <w:div w:id="15350384">
      <w:bodyDiv w:val="1"/>
      <w:marLeft w:val="0"/>
      <w:marRight w:val="0"/>
      <w:marTop w:val="0"/>
      <w:marBottom w:val="0"/>
      <w:divBdr>
        <w:top w:val="none" w:sz="0" w:space="0" w:color="auto"/>
        <w:left w:val="none" w:sz="0" w:space="0" w:color="auto"/>
        <w:bottom w:val="none" w:sz="0" w:space="0" w:color="auto"/>
        <w:right w:val="none" w:sz="0" w:space="0" w:color="auto"/>
      </w:divBdr>
    </w:div>
    <w:div w:id="16859973">
      <w:bodyDiv w:val="1"/>
      <w:marLeft w:val="0"/>
      <w:marRight w:val="0"/>
      <w:marTop w:val="0"/>
      <w:marBottom w:val="0"/>
      <w:divBdr>
        <w:top w:val="none" w:sz="0" w:space="0" w:color="auto"/>
        <w:left w:val="none" w:sz="0" w:space="0" w:color="auto"/>
        <w:bottom w:val="none" w:sz="0" w:space="0" w:color="auto"/>
        <w:right w:val="none" w:sz="0" w:space="0" w:color="auto"/>
      </w:divBdr>
    </w:div>
    <w:div w:id="22755090">
      <w:bodyDiv w:val="1"/>
      <w:marLeft w:val="0"/>
      <w:marRight w:val="0"/>
      <w:marTop w:val="0"/>
      <w:marBottom w:val="0"/>
      <w:divBdr>
        <w:top w:val="none" w:sz="0" w:space="0" w:color="auto"/>
        <w:left w:val="none" w:sz="0" w:space="0" w:color="auto"/>
        <w:bottom w:val="none" w:sz="0" w:space="0" w:color="auto"/>
        <w:right w:val="none" w:sz="0" w:space="0" w:color="auto"/>
      </w:divBdr>
    </w:div>
    <w:div w:id="25104031">
      <w:bodyDiv w:val="1"/>
      <w:marLeft w:val="0"/>
      <w:marRight w:val="0"/>
      <w:marTop w:val="0"/>
      <w:marBottom w:val="0"/>
      <w:divBdr>
        <w:top w:val="none" w:sz="0" w:space="0" w:color="auto"/>
        <w:left w:val="none" w:sz="0" w:space="0" w:color="auto"/>
        <w:bottom w:val="none" w:sz="0" w:space="0" w:color="auto"/>
        <w:right w:val="none" w:sz="0" w:space="0" w:color="auto"/>
      </w:divBdr>
    </w:div>
    <w:div w:id="27149679">
      <w:bodyDiv w:val="1"/>
      <w:marLeft w:val="0"/>
      <w:marRight w:val="0"/>
      <w:marTop w:val="0"/>
      <w:marBottom w:val="0"/>
      <w:divBdr>
        <w:top w:val="none" w:sz="0" w:space="0" w:color="auto"/>
        <w:left w:val="none" w:sz="0" w:space="0" w:color="auto"/>
        <w:bottom w:val="none" w:sz="0" w:space="0" w:color="auto"/>
        <w:right w:val="none" w:sz="0" w:space="0" w:color="auto"/>
      </w:divBdr>
    </w:div>
    <w:div w:id="34813187">
      <w:bodyDiv w:val="1"/>
      <w:marLeft w:val="0"/>
      <w:marRight w:val="0"/>
      <w:marTop w:val="0"/>
      <w:marBottom w:val="0"/>
      <w:divBdr>
        <w:top w:val="none" w:sz="0" w:space="0" w:color="auto"/>
        <w:left w:val="none" w:sz="0" w:space="0" w:color="auto"/>
        <w:bottom w:val="none" w:sz="0" w:space="0" w:color="auto"/>
        <w:right w:val="none" w:sz="0" w:space="0" w:color="auto"/>
      </w:divBdr>
    </w:div>
    <w:div w:id="38823923">
      <w:bodyDiv w:val="1"/>
      <w:marLeft w:val="0"/>
      <w:marRight w:val="0"/>
      <w:marTop w:val="0"/>
      <w:marBottom w:val="0"/>
      <w:divBdr>
        <w:top w:val="none" w:sz="0" w:space="0" w:color="auto"/>
        <w:left w:val="none" w:sz="0" w:space="0" w:color="auto"/>
        <w:bottom w:val="none" w:sz="0" w:space="0" w:color="auto"/>
        <w:right w:val="none" w:sz="0" w:space="0" w:color="auto"/>
      </w:divBdr>
    </w:div>
    <w:div w:id="47651833">
      <w:bodyDiv w:val="1"/>
      <w:marLeft w:val="0"/>
      <w:marRight w:val="0"/>
      <w:marTop w:val="0"/>
      <w:marBottom w:val="0"/>
      <w:divBdr>
        <w:top w:val="none" w:sz="0" w:space="0" w:color="auto"/>
        <w:left w:val="none" w:sz="0" w:space="0" w:color="auto"/>
        <w:bottom w:val="none" w:sz="0" w:space="0" w:color="auto"/>
        <w:right w:val="none" w:sz="0" w:space="0" w:color="auto"/>
      </w:divBdr>
    </w:div>
    <w:div w:id="49808012">
      <w:bodyDiv w:val="1"/>
      <w:marLeft w:val="0"/>
      <w:marRight w:val="0"/>
      <w:marTop w:val="0"/>
      <w:marBottom w:val="0"/>
      <w:divBdr>
        <w:top w:val="none" w:sz="0" w:space="0" w:color="auto"/>
        <w:left w:val="none" w:sz="0" w:space="0" w:color="auto"/>
        <w:bottom w:val="none" w:sz="0" w:space="0" w:color="auto"/>
        <w:right w:val="none" w:sz="0" w:space="0" w:color="auto"/>
      </w:divBdr>
    </w:div>
    <w:div w:id="51386919">
      <w:bodyDiv w:val="1"/>
      <w:marLeft w:val="0"/>
      <w:marRight w:val="0"/>
      <w:marTop w:val="0"/>
      <w:marBottom w:val="0"/>
      <w:divBdr>
        <w:top w:val="none" w:sz="0" w:space="0" w:color="auto"/>
        <w:left w:val="none" w:sz="0" w:space="0" w:color="auto"/>
        <w:bottom w:val="none" w:sz="0" w:space="0" w:color="auto"/>
        <w:right w:val="none" w:sz="0" w:space="0" w:color="auto"/>
      </w:divBdr>
    </w:div>
    <w:div w:id="51540880">
      <w:bodyDiv w:val="1"/>
      <w:marLeft w:val="0"/>
      <w:marRight w:val="0"/>
      <w:marTop w:val="0"/>
      <w:marBottom w:val="0"/>
      <w:divBdr>
        <w:top w:val="none" w:sz="0" w:space="0" w:color="auto"/>
        <w:left w:val="none" w:sz="0" w:space="0" w:color="auto"/>
        <w:bottom w:val="none" w:sz="0" w:space="0" w:color="auto"/>
        <w:right w:val="none" w:sz="0" w:space="0" w:color="auto"/>
      </w:divBdr>
    </w:div>
    <w:div w:id="51658095">
      <w:bodyDiv w:val="1"/>
      <w:marLeft w:val="0"/>
      <w:marRight w:val="0"/>
      <w:marTop w:val="0"/>
      <w:marBottom w:val="0"/>
      <w:divBdr>
        <w:top w:val="none" w:sz="0" w:space="0" w:color="auto"/>
        <w:left w:val="none" w:sz="0" w:space="0" w:color="auto"/>
        <w:bottom w:val="none" w:sz="0" w:space="0" w:color="auto"/>
        <w:right w:val="none" w:sz="0" w:space="0" w:color="auto"/>
      </w:divBdr>
    </w:div>
    <w:div w:id="52849553">
      <w:bodyDiv w:val="1"/>
      <w:marLeft w:val="0"/>
      <w:marRight w:val="0"/>
      <w:marTop w:val="0"/>
      <w:marBottom w:val="0"/>
      <w:divBdr>
        <w:top w:val="none" w:sz="0" w:space="0" w:color="auto"/>
        <w:left w:val="none" w:sz="0" w:space="0" w:color="auto"/>
        <w:bottom w:val="none" w:sz="0" w:space="0" w:color="auto"/>
        <w:right w:val="none" w:sz="0" w:space="0" w:color="auto"/>
      </w:divBdr>
    </w:div>
    <w:div w:id="62223276">
      <w:bodyDiv w:val="1"/>
      <w:marLeft w:val="0"/>
      <w:marRight w:val="0"/>
      <w:marTop w:val="0"/>
      <w:marBottom w:val="0"/>
      <w:divBdr>
        <w:top w:val="none" w:sz="0" w:space="0" w:color="auto"/>
        <w:left w:val="none" w:sz="0" w:space="0" w:color="auto"/>
        <w:bottom w:val="none" w:sz="0" w:space="0" w:color="auto"/>
        <w:right w:val="none" w:sz="0" w:space="0" w:color="auto"/>
      </w:divBdr>
    </w:div>
    <w:div w:id="68042948">
      <w:bodyDiv w:val="1"/>
      <w:marLeft w:val="0"/>
      <w:marRight w:val="0"/>
      <w:marTop w:val="0"/>
      <w:marBottom w:val="0"/>
      <w:divBdr>
        <w:top w:val="none" w:sz="0" w:space="0" w:color="auto"/>
        <w:left w:val="none" w:sz="0" w:space="0" w:color="auto"/>
        <w:bottom w:val="none" w:sz="0" w:space="0" w:color="auto"/>
        <w:right w:val="none" w:sz="0" w:space="0" w:color="auto"/>
      </w:divBdr>
    </w:div>
    <w:div w:id="72970815">
      <w:bodyDiv w:val="1"/>
      <w:marLeft w:val="0"/>
      <w:marRight w:val="0"/>
      <w:marTop w:val="0"/>
      <w:marBottom w:val="0"/>
      <w:divBdr>
        <w:top w:val="none" w:sz="0" w:space="0" w:color="auto"/>
        <w:left w:val="none" w:sz="0" w:space="0" w:color="auto"/>
        <w:bottom w:val="none" w:sz="0" w:space="0" w:color="auto"/>
        <w:right w:val="none" w:sz="0" w:space="0" w:color="auto"/>
      </w:divBdr>
    </w:div>
    <w:div w:id="76441689">
      <w:bodyDiv w:val="1"/>
      <w:marLeft w:val="0"/>
      <w:marRight w:val="0"/>
      <w:marTop w:val="0"/>
      <w:marBottom w:val="0"/>
      <w:divBdr>
        <w:top w:val="none" w:sz="0" w:space="0" w:color="auto"/>
        <w:left w:val="none" w:sz="0" w:space="0" w:color="auto"/>
        <w:bottom w:val="none" w:sz="0" w:space="0" w:color="auto"/>
        <w:right w:val="none" w:sz="0" w:space="0" w:color="auto"/>
      </w:divBdr>
    </w:div>
    <w:div w:id="81071345">
      <w:bodyDiv w:val="1"/>
      <w:marLeft w:val="0"/>
      <w:marRight w:val="0"/>
      <w:marTop w:val="0"/>
      <w:marBottom w:val="0"/>
      <w:divBdr>
        <w:top w:val="none" w:sz="0" w:space="0" w:color="auto"/>
        <w:left w:val="none" w:sz="0" w:space="0" w:color="auto"/>
        <w:bottom w:val="none" w:sz="0" w:space="0" w:color="auto"/>
        <w:right w:val="none" w:sz="0" w:space="0" w:color="auto"/>
      </w:divBdr>
    </w:div>
    <w:div w:id="85229177">
      <w:bodyDiv w:val="1"/>
      <w:marLeft w:val="0"/>
      <w:marRight w:val="0"/>
      <w:marTop w:val="0"/>
      <w:marBottom w:val="0"/>
      <w:divBdr>
        <w:top w:val="none" w:sz="0" w:space="0" w:color="auto"/>
        <w:left w:val="none" w:sz="0" w:space="0" w:color="auto"/>
        <w:bottom w:val="none" w:sz="0" w:space="0" w:color="auto"/>
        <w:right w:val="none" w:sz="0" w:space="0" w:color="auto"/>
      </w:divBdr>
    </w:div>
    <w:div w:id="93134653">
      <w:bodyDiv w:val="1"/>
      <w:marLeft w:val="0"/>
      <w:marRight w:val="0"/>
      <w:marTop w:val="0"/>
      <w:marBottom w:val="0"/>
      <w:divBdr>
        <w:top w:val="none" w:sz="0" w:space="0" w:color="auto"/>
        <w:left w:val="none" w:sz="0" w:space="0" w:color="auto"/>
        <w:bottom w:val="none" w:sz="0" w:space="0" w:color="auto"/>
        <w:right w:val="none" w:sz="0" w:space="0" w:color="auto"/>
      </w:divBdr>
    </w:div>
    <w:div w:id="100876604">
      <w:bodyDiv w:val="1"/>
      <w:marLeft w:val="0"/>
      <w:marRight w:val="0"/>
      <w:marTop w:val="0"/>
      <w:marBottom w:val="0"/>
      <w:divBdr>
        <w:top w:val="none" w:sz="0" w:space="0" w:color="auto"/>
        <w:left w:val="none" w:sz="0" w:space="0" w:color="auto"/>
        <w:bottom w:val="none" w:sz="0" w:space="0" w:color="auto"/>
        <w:right w:val="none" w:sz="0" w:space="0" w:color="auto"/>
      </w:divBdr>
    </w:div>
    <w:div w:id="102966808">
      <w:bodyDiv w:val="1"/>
      <w:marLeft w:val="0"/>
      <w:marRight w:val="0"/>
      <w:marTop w:val="0"/>
      <w:marBottom w:val="0"/>
      <w:divBdr>
        <w:top w:val="none" w:sz="0" w:space="0" w:color="auto"/>
        <w:left w:val="none" w:sz="0" w:space="0" w:color="auto"/>
        <w:bottom w:val="none" w:sz="0" w:space="0" w:color="auto"/>
        <w:right w:val="none" w:sz="0" w:space="0" w:color="auto"/>
      </w:divBdr>
    </w:div>
    <w:div w:id="107896238">
      <w:bodyDiv w:val="1"/>
      <w:marLeft w:val="0"/>
      <w:marRight w:val="0"/>
      <w:marTop w:val="0"/>
      <w:marBottom w:val="0"/>
      <w:divBdr>
        <w:top w:val="none" w:sz="0" w:space="0" w:color="auto"/>
        <w:left w:val="none" w:sz="0" w:space="0" w:color="auto"/>
        <w:bottom w:val="none" w:sz="0" w:space="0" w:color="auto"/>
        <w:right w:val="none" w:sz="0" w:space="0" w:color="auto"/>
      </w:divBdr>
    </w:div>
    <w:div w:id="120930235">
      <w:bodyDiv w:val="1"/>
      <w:marLeft w:val="0"/>
      <w:marRight w:val="0"/>
      <w:marTop w:val="0"/>
      <w:marBottom w:val="0"/>
      <w:divBdr>
        <w:top w:val="none" w:sz="0" w:space="0" w:color="auto"/>
        <w:left w:val="none" w:sz="0" w:space="0" w:color="auto"/>
        <w:bottom w:val="none" w:sz="0" w:space="0" w:color="auto"/>
        <w:right w:val="none" w:sz="0" w:space="0" w:color="auto"/>
      </w:divBdr>
    </w:div>
    <w:div w:id="121579854">
      <w:bodyDiv w:val="1"/>
      <w:marLeft w:val="0"/>
      <w:marRight w:val="0"/>
      <w:marTop w:val="0"/>
      <w:marBottom w:val="0"/>
      <w:divBdr>
        <w:top w:val="none" w:sz="0" w:space="0" w:color="auto"/>
        <w:left w:val="none" w:sz="0" w:space="0" w:color="auto"/>
        <w:bottom w:val="none" w:sz="0" w:space="0" w:color="auto"/>
        <w:right w:val="none" w:sz="0" w:space="0" w:color="auto"/>
      </w:divBdr>
    </w:div>
    <w:div w:id="130053050">
      <w:bodyDiv w:val="1"/>
      <w:marLeft w:val="0"/>
      <w:marRight w:val="0"/>
      <w:marTop w:val="0"/>
      <w:marBottom w:val="0"/>
      <w:divBdr>
        <w:top w:val="none" w:sz="0" w:space="0" w:color="auto"/>
        <w:left w:val="none" w:sz="0" w:space="0" w:color="auto"/>
        <w:bottom w:val="none" w:sz="0" w:space="0" w:color="auto"/>
        <w:right w:val="none" w:sz="0" w:space="0" w:color="auto"/>
      </w:divBdr>
    </w:div>
    <w:div w:id="133566253">
      <w:bodyDiv w:val="1"/>
      <w:marLeft w:val="0"/>
      <w:marRight w:val="0"/>
      <w:marTop w:val="0"/>
      <w:marBottom w:val="0"/>
      <w:divBdr>
        <w:top w:val="none" w:sz="0" w:space="0" w:color="auto"/>
        <w:left w:val="none" w:sz="0" w:space="0" w:color="auto"/>
        <w:bottom w:val="none" w:sz="0" w:space="0" w:color="auto"/>
        <w:right w:val="none" w:sz="0" w:space="0" w:color="auto"/>
      </w:divBdr>
    </w:div>
    <w:div w:id="133647495">
      <w:bodyDiv w:val="1"/>
      <w:marLeft w:val="0"/>
      <w:marRight w:val="0"/>
      <w:marTop w:val="0"/>
      <w:marBottom w:val="0"/>
      <w:divBdr>
        <w:top w:val="none" w:sz="0" w:space="0" w:color="auto"/>
        <w:left w:val="none" w:sz="0" w:space="0" w:color="auto"/>
        <w:bottom w:val="none" w:sz="0" w:space="0" w:color="auto"/>
        <w:right w:val="none" w:sz="0" w:space="0" w:color="auto"/>
      </w:divBdr>
    </w:div>
    <w:div w:id="139814646">
      <w:bodyDiv w:val="1"/>
      <w:marLeft w:val="0"/>
      <w:marRight w:val="0"/>
      <w:marTop w:val="0"/>
      <w:marBottom w:val="0"/>
      <w:divBdr>
        <w:top w:val="none" w:sz="0" w:space="0" w:color="auto"/>
        <w:left w:val="none" w:sz="0" w:space="0" w:color="auto"/>
        <w:bottom w:val="none" w:sz="0" w:space="0" w:color="auto"/>
        <w:right w:val="none" w:sz="0" w:space="0" w:color="auto"/>
      </w:divBdr>
    </w:div>
    <w:div w:id="147138715">
      <w:bodyDiv w:val="1"/>
      <w:marLeft w:val="0"/>
      <w:marRight w:val="0"/>
      <w:marTop w:val="0"/>
      <w:marBottom w:val="0"/>
      <w:divBdr>
        <w:top w:val="none" w:sz="0" w:space="0" w:color="auto"/>
        <w:left w:val="none" w:sz="0" w:space="0" w:color="auto"/>
        <w:bottom w:val="none" w:sz="0" w:space="0" w:color="auto"/>
        <w:right w:val="none" w:sz="0" w:space="0" w:color="auto"/>
      </w:divBdr>
    </w:div>
    <w:div w:id="151411196">
      <w:bodyDiv w:val="1"/>
      <w:marLeft w:val="0"/>
      <w:marRight w:val="0"/>
      <w:marTop w:val="0"/>
      <w:marBottom w:val="0"/>
      <w:divBdr>
        <w:top w:val="none" w:sz="0" w:space="0" w:color="auto"/>
        <w:left w:val="none" w:sz="0" w:space="0" w:color="auto"/>
        <w:bottom w:val="none" w:sz="0" w:space="0" w:color="auto"/>
        <w:right w:val="none" w:sz="0" w:space="0" w:color="auto"/>
      </w:divBdr>
    </w:div>
    <w:div w:id="156069561">
      <w:bodyDiv w:val="1"/>
      <w:marLeft w:val="0"/>
      <w:marRight w:val="0"/>
      <w:marTop w:val="0"/>
      <w:marBottom w:val="0"/>
      <w:divBdr>
        <w:top w:val="none" w:sz="0" w:space="0" w:color="auto"/>
        <w:left w:val="none" w:sz="0" w:space="0" w:color="auto"/>
        <w:bottom w:val="none" w:sz="0" w:space="0" w:color="auto"/>
        <w:right w:val="none" w:sz="0" w:space="0" w:color="auto"/>
      </w:divBdr>
    </w:div>
    <w:div w:id="156964287">
      <w:bodyDiv w:val="1"/>
      <w:marLeft w:val="0"/>
      <w:marRight w:val="0"/>
      <w:marTop w:val="0"/>
      <w:marBottom w:val="0"/>
      <w:divBdr>
        <w:top w:val="none" w:sz="0" w:space="0" w:color="auto"/>
        <w:left w:val="none" w:sz="0" w:space="0" w:color="auto"/>
        <w:bottom w:val="none" w:sz="0" w:space="0" w:color="auto"/>
        <w:right w:val="none" w:sz="0" w:space="0" w:color="auto"/>
      </w:divBdr>
    </w:div>
    <w:div w:id="157035898">
      <w:bodyDiv w:val="1"/>
      <w:marLeft w:val="0"/>
      <w:marRight w:val="0"/>
      <w:marTop w:val="0"/>
      <w:marBottom w:val="0"/>
      <w:divBdr>
        <w:top w:val="none" w:sz="0" w:space="0" w:color="auto"/>
        <w:left w:val="none" w:sz="0" w:space="0" w:color="auto"/>
        <w:bottom w:val="none" w:sz="0" w:space="0" w:color="auto"/>
        <w:right w:val="none" w:sz="0" w:space="0" w:color="auto"/>
      </w:divBdr>
    </w:div>
    <w:div w:id="167525768">
      <w:bodyDiv w:val="1"/>
      <w:marLeft w:val="0"/>
      <w:marRight w:val="0"/>
      <w:marTop w:val="0"/>
      <w:marBottom w:val="0"/>
      <w:divBdr>
        <w:top w:val="none" w:sz="0" w:space="0" w:color="auto"/>
        <w:left w:val="none" w:sz="0" w:space="0" w:color="auto"/>
        <w:bottom w:val="none" w:sz="0" w:space="0" w:color="auto"/>
        <w:right w:val="none" w:sz="0" w:space="0" w:color="auto"/>
      </w:divBdr>
    </w:div>
    <w:div w:id="178471238">
      <w:bodyDiv w:val="1"/>
      <w:marLeft w:val="0"/>
      <w:marRight w:val="0"/>
      <w:marTop w:val="0"/>
      <w:marBottom w:val="0"/>
      <w:divBdr>
        <w:top w:val="none" w:sz="0" w:space="0" w:color="auto"/>
        <w:left w:val="none" w:sz="0" w:space="0" w:color="auto"/>
        <w:bottom w:val="none" w:sz="0" w:space="0" w:color="auto"/>
        <w:right w:val="none" w:sz="0" w:space="0" w:color="auto"/>
      </w:divBdr>
    </w:div>
    <w:div w:id="180239927">
      <w:bodyDiv w:val="1"/>
      <w:marLeft w:val="0"/>
      <w:marRight w:val="0"/>
      <w:marTop w:val="0"/>
      <w:marBottom w:val="0"/>
      <w:divBdr>
        <w:top w:val="none" w:sz="0" w:space="0" w:color="auto"/>
        <w:left w:val="none" w:sz="0" w:space="0" w:color="auto"/>
        <w:bottom w:val="none" w:sz="0" w:space="0" w:color="auto"/>
        <w:right w:val="none" w:sz="0" w:space="0" w:color="auto"/>
      </w:divBdr>
    </w:div>
    <w:div w:id="182019349">
      <w:bodyDiv w:val="1"/>
      <w:marLeft w:val="0"/>
      <w:marRight w:val="0"/>
      <w:marTop w:val="0"/>
      <w:marBottom w:val="0"/>
      <w:divBdr>
        <w:top w:val="none" w:sz="0" w:space="0" w:color="auto"/>
        <w:left w:val="none" w:sz="0" w:space="0" w:color="auto"/>
        <w:bottom w:val="none" w:sz="0" w:space="0" w:color="auto"/>
        <w:right w:val="none" w:sz="0" w:space="0" w:color="auto"/>
      </w:divBdr>
    </w:div>
    <w:div w:id="200021587">
      <w:bodyDiv w:val="1"/>
      <w:marLeft w:val="0"/>
      <w:marRight w:val="0"/>
      <w:marTop w:val="0"/>
      <w:marBottom w:val="0"/>
      <w:divBdr>
        <w:top w:val="none" w:sz="0" w:space="0" w:color="auto"/>
        <w:left w:val="none" w:sz="0" w:space="0" w:color="auto"/>
        <w:bottom w:val="none" w:sz="0" w:space="0" w:color="auto"/>
        <w:right w:val="none" w:sz="0" w:space="0" w:color="auto"/>
      </w:divBdr>
    </w:div>
    <w:div w:id="201211482">
      <w:bodyDiv w:val="1"/>
      <w:marLeft w:val="0"/>
      <w:marRight w:val="0"/>
      <w:marTop w:val="0"/>
      <w:marBottom w:val="0"/>
      <w:divBdr>
        <w:top w:val="none" w:sz="0" w:space="0" w:color="auto"/>
        <w:left w:val="none" w:sz="0" w:space="0" w:color="auto"/>
        <w:bottom w:val="none" w:sz="0" w:space="0" w:color="auto"/>
        <w:right w:val="none" w:sz="0" w:space="0" w:color="auto"/>
      </w:divBdr>
    </w:div>
    <w:div w:id="204830382">
      <w:bodyDiv w:val="1"/>
      <w:marLeft w:val="0"/>
      <w:marRight w:val="0"/>
      <w:marTop w:val="0"/>
      <w:marBottom w:val="0"/>
      <w:divBdr>
        <w:top w:val="none" w:sz="0" w:space="0" w:color="auto"/>
        <w:left w:val="none" w:sz="0" w:space="0" w:color="auto"/>
        <w:bottom w:val="none" w:sz="0" w:space="0" w:color="auto"/>
        <w:right w:val="none" w:sz="0" w:space="0" w:color="auto"/>
      </w:divBdr>
    </w:div>
    <w:div w:id="204873914">
      <w:bodyDiv w:val="1"/>
      <w:marLeft w:val="0"/>
      <w:marRight w:val="0"/>
      <w:marTop w:val="0"/>
      <w:marBottom w:val="0"/>
      <w:divBdr>
        <w:top w:val="none" w:sz="0" w:space="0" w:color="auto"/>
        <w:left w:val="none" w:sz="0" w:space="0" w:color="auto"/>
        <w:bottom w:val="none" w:sz="0" w:space="0" w:color="auto"/>
        <w:right w:val="none" w:sz="0" w:space="0" w:color="auto"/>
      </w:divBdr>
    </w:div>
    <w:div w:id="209533960">
      <w:bodyDiv w:val="1"/>
      <w:marLeft w:val="0"/>
      <w:marRight w:val="0"/>
      <w:marTop w:val="0"/>
      <w:marBottom w:val="0"/>
      <w:divBdr>
        <w:top w:val="none" w:sz="0" w:space="0" w:color="auto"/>
        <w:left w:val="none" w:sz="0" w:space="0" w:color="auto"/>
        <w:bottom w:val="none" w:sz="0" w:space="0" w:color="auto"/>
        <w:right w:val="none" w:sz="0" w:space="0" w:color="auto"/>
      </w:divBdr>
    </w:div>
    <w:div w:id="218329004">
      <w:bodyDiv w:val="1"/>
      <w:marLeft w:val="0"/>
      <w:marRight w:val="0"/>
      <w:marTop w:val="0"/>
      <w:marBottom w:val="0"/>
      <w:divBdr>
        <w:top w:val="none" w:sz="0" w:space="0" w:color="auto"/>
        <w:left w:val="none" w:sz="0" w:space="0" w:color="auto"/>
        <w:bottom w:val="none" w:sz="0" w:space="0" w:color="auto"/>
        <w:right w:val="none" w:sz="0" w:space="0" w:color="auto"/>
      </w:divBdr>
    </w:div>
    <w:div w:id="234897182">
      <w:bodyDiv w:val="1"/>
      <w:marLeft w:val="0"/>
      <w:marRight w:val="0"/>
      <w:marTop w:val="0"/>
      <w:marBottom w:val="0"/>
      <w:divBdr>
        <w:top w:val="none" w:sz="0" w:space="0" w:color="auto"/>
        <w:left w:val="none" w:sz="0" w:space="0" w:color="auto"/>
        <w:bottom w:val="none" w:sz="0" w:space="0" w:color="auto"/>
        <w:right w:val="none" w:sz="0" w:space="0" w:color="auto"/>
      </w:divBdr>
    </w:div>
    <w:div w:id="244649799">
      <w:bodyDiv w:val="1"/>
      <w:marLeft w:val="0"/>
      <w:marRight w:val="0"/>
      <w:marTop w:val="0"/>
      <w:marBottom w:val="0"/>
      <w:divBdr>
        <w:top w:val="none" w:sz="0" w:space="0" w:color="auto"/>
        <w:left w:val="none" w:sz="0" w:space="0" w:color="auto"/>
        <w:bottom w:val="none" w:sz="0" w:space="0" w:color="auto"/>
        <w:right w:val="none" w:sz="0" w:space="0" w:color="auto"/>
      </w:divBdr>
    </w:div>
    <w:div w:id="251596009">
      <w:bodyDiv w:val="1"/>
      <w:marLeft w:val="0"/>
      <w:marRight w:val="0"/>
      <w:marTop w:val="0"/>
      <w:marBottom w:val="0"/>
      <w:divBdr>
        <w:top w:val="none" w:sz="0" w:space="0" w:color="auto"/>
        <w:left w:val="none" w:sz="0" w:space="0" w:color="auto"/>
        <w:bottom w:val="none" w:sz="0" w:space="0" w:color="auto"/>
        <w:right w:val="none" w:sz="0" w:space="0" w:color="auto"/>
      </w:divBdr>
    </w:div>
    <w:div w:id="251938974">
      <w:bodyDiv w:val="1"/>
      <w:marLeft w:val="0"/>
      <w:marRight w:val="0"/>
      <w:marTop w:val="0"/>
      <w:marBottom w:val="0"/>
      <w:divBdr>
        <w:top w:val="none" w:sz="0" w:space="0" w:color="auto"/>
        <w:left w:val="none" w:sz="0" w:space="0" w:color="auto"/>
        <w:bottom w:val="none" w:sz="0" w:space="0" w:color="auto"/>
        <w:right w:val="none" w:sz="0" w:space="0" w:color="auto"/>
      </w:divBdr>
    </w:div>
    <w:div w:id="257064686">
      <w:bodyDiv w:val="1"/>
      <w:marLeft w:val="0"/>
      <w:marRight w:val="0"/>
      <w:marTop w:val="0"/>
      <w:marBottom w:val="0"/>
      <w:divBdr>
        <w:top w:val="none" w:sz="0" w:space="0" w:color="auto"/>
        <w:left w:val="none" w:sz="0" w:space="0" w:color="auto"/>
        <w:bottom w:val="none" w:sz="0" w:space="0" w:color="auto"/>
        <w:right w:val="none" w:sz="0" w:space="0" w:color="auto"/>
      </w:divBdr>
    </w:div>
    <w:div w:id="276717981">
      <w:bodyDiv w:val="1"/>
      <w:marLeft w:val="0"/>
      <w:marRight w:val="0"/>
      <w:marTop w:val="0"/>
      <w:marBottom w:val="0"/>
      <w:divBdr>
        <w:top w:val="none" w:sz="0" w:space="0" w:color="auto"/>
        <w:left w:val="none" w:sz="0" w:space="0" w:color="auto"/>
        <w:bottom w:val="none" w:sz="0" w:space="0" w:color="auto"/>
        <w:right w:val="none" w:sz="0" w:space="0" w:color="auto"/>
      </w:divBdr>
    </w:div>
    <w:div w:id="278799966">
      <w:bodyDiv w:val="1"/>
      <w:marLeft w:val="0"/>
      <w:marRight w:val="0"/>
      <w:marTop w:val="0"/>
      <w:marBottom w:val="0"/>
      <w:divBdr>
        <w:top w:val="none" w:sz="0" w:space="0" w:color="auto"/>
        <w:left w:val="none" w:sz="0" w:space="0" w:color="auto"/>
        <w:bottom w:val="none" w:sz="0" w:space="0" w:color="auto"/>
        <w:right w:val="none" w:sz="0" w:space="0" w:color="auto"/>
      </w:divBdr>
    </w:div>
    <w:div w:id="285430723">
      <w:bodyDiv w:val="1"/>
      <w:marLeft w:val="0"/>
      <w:marRight w:val="0"/>
      <w:marTop w:val="0"/>
      <w:marBottom w:val="0"/>
      <w:divBdr>
        <w:top w:val="none" w:sz="0" w:space="0" w:color="auto"/>
        <w:left w:val="none" w:sz="0" w:space="0" w:color="auto"/>
        <w:bottom w:val="none" w:sz="0" w:space="0" w:color="auto"/>
        <w:right w:val="none" w:sz="0" w:space="0" w:color="auto"/>
      </w:divBdr>
    </w:div>
    <w:div w:id="287012130">
      <w:bodyDiv w:val="1"/>
      <w:marLeft w:val="0"/>
      <w:marRight w:val="0"/>
      <w:marTop w:val="0"/>
      <w:marBottom w:val="0"/>
      <w:divBdr>
        <w:top w:val="none" w:sz="0" w:space="0" w:color="auto"/>
        <w:left w:val="none" w:sz="0" w:space="0" w:color="auto"/>
        <w:bottom w:val="none" w:sz="0" w:space="0" w:color="auto"/>
        <w:right w:val="none" w:sz="0" w:space="0" w:color="auto"/>
      </w:divBdr>
    </w:div>
    <w:div w:id="300580358">
      <w:bodyDiv w:val="1"/>
      <w:marLeft w:val="0"/>
      <w:marRight w:val="0"/>
      <w:marTop w:val="0"/>
      <w:marBottom w:val="0"/>
      <w:divBdr>
        <w:top w:val="none" w:sz="0" w:space="0" w:color="auto"/>
        <w:left w:val="none" w:sz="0" w:space="0" w:color="auto"/>
        <w:bottom w:val="none" w:sz="0" w:space="0" w:color="auto"/>
        <w:right w:val="none" w:sz="0" w:space="0" w:color="auto"/>
      </w:divBdr>
    </w:div>
    <w:div w:id="303774100">
      <w:bodyDiv w:val="1"/>
      <w:marLeft w:val="0"/>
      <w:marRight w:val="0"/>
      <w:marTop w:val="0"/>
      <w:marBottom w:val="0"/>
      <w:divBdr>
        <w:top w:val="none" w:sz="0" w:space="0" w:color="auto"/>
        <w:left w:val="none" w:sz="0" w:space="0" w:color="auto"/>
        <w:bottom w:val="none" w:sz="0" w:space="0" w:color="auto"/>
        <w:right w:val="none" w:sz="0" w:space="0" w:color="auto"/>
      </w:divBdr>
    </w:div>
    <w:div w:id="308288048">
      <w:bodyDiv w:val="1"/>
      <w:marLeft w:val="0"/>
      <w:marRight w:val="0"/>
      <w:marTop w:val="0"/>
      <w:marBottom w:val="0"/>
      <w:divBdr>
        <w:top w:val="none" w:sz="0" w:space="0" w:color="auto"/>
        <w:left w:val="none" w:sz="0" w:space="0" w:color="auto"/>
        <w:bottom w:val="none" w:sz="0" w:space="0" w:color="auto"/>
        <w:right w:val="none" w:sz="0" w:space="0" w:color="auto"/>
      </w:divBdr>
    </w:div>
    <w:div w:id="311764124">
      <w:bodyDiv w:val="1"/>
      <w:marLeft w:val="0"/>
      <w:marRight w:val="0"/>
      <w:marTop w:val="0"/>
      <w:marBottom w:val="0"/>
      <w:divBdr>
        <w:top w:val="none" w:sz="0" w:space="0" w:color="auto"/>
        <w:left w:val="none" w:sz="0" w:space="0" w:color="auto"/>
        <w:bottom w:val="none" w:sz="0" w:space="0" w:color="auto"/>
        <w:right w:val="none" w:sz="0" w:space="0" w:color="auto"/>
      </w:divBdr>
    </w:div>
    <w:div w:id="316305119">
      <w:bodyDiv w:val="1"/>
      <w:marLeft w:val="0"/>
      <w:marRight w:val="0"/>
      <w:marTop w:val="0"/>
      <w:marBottom w:val="0"/>
      <w:divBdr>
        <w:top w:val="none" w:sz="0" w:space="0" w:color="auto"/>
        <w:left w:val="none" w:sz="0" w:space="0" w:color="auto"/>
        <w:bottom w:val="none" w:sz="0" w:space="0" w:color="auto"/>
        <w:right w:val="none" w:sz="0" w:space="0" w:color="auto"/>
      </w:divBdr>
    </w:div>
    <w:div w:id="319577487">
      <w:bodyDiv w:val="1"/>
      <w:marLeft w:val="0"/>
      <w:marRight w:val="0"/>
      <w:marTop w:val="0"/>
      <w:marBottom w:val="0"/>
      <w:divBdr>
        <w:top w:val="none" w:sz="0" w:space="0" w:color="auto"/>
        <w:left w:val="none" w:sz="0" w:space="0" w:color="auto"/>
        <w:bottom w:val="none" w:sz="0" w:space="0" w:color="auto"/>
        <w:right w:val="none" w:sz="0" w:space="0" w:color="auto"/>
      </w:divBdr>
    </w:div>
    <w:div w:id="320432061">
      <w:bodyDiv w:val="1"/>
      <w:marLeft w:val="0"/>
      <w:marRight w:val="0"/>
      <w:marTop w:val="0"/>
      <w:marBottom w:val="0"/>
      <w:divBdr>
        <w:top w:val="none" w:sz="0" w:space="0" w:color="auto"/>
        <w:left w:val="none" w:sz="0" w:space="0" w:color="auto"/>
        <w:bottom w:val="none" w:sz="0" w:space="0" w:color="auto"/>
        <w:right w:val="none" w:sz="0" w:space="0" w:color="auto"/>
      </w:divBdr>
    </w:div>
    <w:div w:id="320432268">
      <w:bodyDiv w:val="1"/>
      <w:marLeft w:val="0"/>
      <w:marRight w:val="0"/>
      <w:marTop w:val="0"/>
      <w:marBottom w:val="0"/>
      <w:divBdr>
        <w:top w:val="none" w:sz="0" w:space="0" w:color="auto"/>
        <w:left w:val="none" w:sz="0" w:space="0" w:color="auto"/>
        <w:bottom w:val="none" w:sz="0" w:space="0" w:color="auto"/>
        <w:right w:val="none" w:sz="0" w:space="0" w:color="auto"/>
      </w:divBdr>
    </w:div>
    <w:div w:id="322054927">
      <w:bodyDiv w:val="1"/>
      <w:marLeft w:val="0"/>
      <w:marRight w:val="0"/>
      <w:marTop w:val="0"/>
      <w:marBottom w:val="0"/>
      <w:divBdr>
        <w:top w:val="none" w:sz="0" w:space="0" w:color="auto"/>
        <w:left w:val="none" w:sz="0" w:space="0" w:color="auto"/>
        <w:bottom w:val="none" w:sz="0" w:space="0" w:color="auto"/>
        <w:right w:val="none" w:sz="0" w:space="0" w:color="auto"/>
      </w:divBdr>
    </w:div>
    <w:div w:id="324163955">
      <w:bodyDiv w:val="1"/>
      <w:marLeft w:val="0"/>
      <w:marRight w:val="0"/>
      <w:marTop w:val="0"/>
      <w:marBottom w:val="0"/>
      <w:divBdr>
        <w:top w:val="none" w:sz="0" w:space="0" w:color="auto"/>
        <w:left w:val="none" w:sz="0" w:space="0" w:color="auto"/>
        <w:bottom w:val="none" w:sz="0" w:space="0" w:color="auto"/>
        <w:right w:val="none" w:sz="0" w:space="0" w:color="auto"/>
      </w:divBdr>
    </w:div>
    <w:div w:id="324432196">
      <w:bodyDiv w:val="1"/>
      <w:marLeft w:val="0"/>
      <w:marRight w:val="0"/>
      <w:marTop w:val="0"/>
      <w:marBottom w:val="0"/>
      <w:divBdr>
        <w:top w:val="none" w:sz="0" w:space="0" w:color="auto"/>
        <w:left w:val="none" w:sz="0" w:space="0" w:color="auto"/>
        <w:bottom w:val="none" w:sz="0" w:space="0" w:color="auto"/>
        <w:right w:val="none" w:sz="0" w:space="0" w:color="auto"/>
      </w:divBdr>
    </w:div>
    <w:div w:id="324481701">
      <w:bodyDiv w:val="1"/>
      <w:marLeft w:val="0"/>
      <w:marRight w:val="0"/>
      <w:marTop w:val="0"/>
      <w:marBottom w:val="0"/>
      <w:divBdr>
        <w:top w:val="none" w:sz="0" w:space="0" w:color="auto"/>
        <w:left w:val="none" w:sz="0" w:space="0" w:color="auto"/>
        <w:bottom w:val="none" w:sz="0" w:space="0" w:color="auto"/>
        <w:right w:val="none" w:sz="0" w:space="0" w:color="auto"/>
      </w:divBdr>
    </w:div>
    <w:div w:id="325670439">
      <w:bodyDiv w:val="1"/>
      <w:marLeft w:val="0"/>
      <w:marRight w:val="0"/>
      <w:marTop w:val="0"/>
      <w:marBottom w:val="0"/>
      <w:divBdr>
        <w:top w:val="none" w:sz="0" w:space="0" w:color="auto"/>
        <w:left w:val="none" w:sz="0" w:space="0" w:color="auto"/>
        <w:bottom w:val="none" w:sz="0" w:space="0" w:color="auto"/>
        <w:right w:val="none" w:sz="0" w:space="0" w:color="auto"/>
      </w:divBdr>
    </w:div>
    <w:div w:id="328145100">
      <w:bodyDiv w:val="1"/>
      <w:marLeft w:val="0"/>
      <w:marRight w:val="0"/>
      <w:marTop w:val="0"/>
      <w:marBottom w:val="0"/>
      <w:divBdr>
        <w:top w:val="none" w:sz="0" w:space="0" w:color="auto"/>
        <w:left w:val="none" w:sz="0" w:space="0" w:color="auto"/>
        <w:bottom w:val="none" w:sz="0" w:space="0" w:color="auto"/>
        <w:right w:val="none" w:sz="0" w:space="0" w:color="auto"/>
      </w:divBdr>
    </w:div>
    <w:div w:id="334455463">
      <w:bodyDiv w:val="1"/>
      <w:marLeft w:val="0"/>
      <w:marRight w:val="0"/>
      <w:marTop w:val="0"/>
      <w:marBottom w:val="0"/>
      <w:divBdr>
        <w:top w:val="none" w:sz="0" w:space="0" w:color="auto"/>
        <w:left w:val="none" w:sz="0" w:space="0" w:color="auto"/>
        <w:bottom w:val="none" w:sz="0" w:space="0" w:color="auto"/>
        <w:right w:val="none" w:sz="0" w:space="0" w:color="auto"/>
      </w:divBdr>
    </w:div>
    <w:div w:id="336926007">
      <w:bodyDiv w:val="1"/>
      <w:marLeft w:val="0"/>
      <w:marRight w:val="0"/>
      <w:marTop w:val="0"/>
      <w:marBottom w:val="0"/>
      <w:divBdr>
        <w:top w:val="none" w:sz="0" w:space="0" w:color="auto"/>
        <w:left w:val="none" w:sz="0" w:space="0" w:color="auto"/>
        <w:bottom w:val="none" w:sz="0" w:space="0" w:color="auto"/>
        <w:right w:val="none" w:sz="0" w:space="0" w:color="auto"/>
      </w:divBdr>
    </w:div>
    <w:div w:id="340591374">
      <w:bodyDiv w:val="1"/>
      <w:marLeft w:val="0"/>
      <w:marRight w:val="0"/>
      <w:marTop w:val="0"/>
      <w:marBottom w:val="0"/>
      <w:divBdr>
        <w:top w:val="none" w:sz="0" w:space="0" w:color="auto"/>
        <w:left w:val="none" w:sz="0" w:space="0" w:color="auto"/>
        <w:bottom w:val="none" w:sz="0" w:space="0" w:color="auto"/>
        <w:right w:val="none" w:sz="0" w:space="0" w:color="auto"/>
      </w:divBdr>
    </w:div>
    <w:div w:id="340930945">
      <w:bodyDiv w:val="1"/>
      <w:marLeft w:val="0"/>
      <w:marRight w:val="0"/>
      <w:marTop w:val="0"/>
      <w:marBottom w:val="0"/>
      <w:divBdr>
        <w:top w:val="none" w:sz="0" w:space="0" w:color="auto"/>
        <w:left w:val="none" w:sz="0" w:space="0" w:color="auto"/>
        <w:bottom w:val="none" w:sz="0" w:space="0" w:color="auto"/>
        <w:right w:val="none" w:sz="0" w:space="0" w:color="auto"/>
      </w:divBdr>
    </w:div>
    <w:div w:id="342364628">
      <w:bodyDiv w:val="1"/>
      <w:marLeft w:val="0"/>
      <w:marRight w:val="0"/>
      <w:marTop w:val="0"/>
      <w:marBottom w:val="0"/>
      <w:divBdr>
        <w:top w:val="none" w:sz="0" w:space="0" w:color="auto"/>
        <w:left w:val="none" w:sz="0" w:space="0" w:color="auto"/>
        <w:bottom w:val="none" w:sz="0" w:space="0" w:color="auto"/>
        <w:right w:val="none" w:sz="0" w:space="0" w:color="auto"/>
      </w:divBdr>
    </w:div>
    <w:div w:id="352920284">
      <w:bodyDiv w:val="1"/>
      <w:marLeft w:val="0"/>
      <w:marRight w:val="0"/>
      <w:marTop w:val="0"/>
      <w:marBottom w:val="0"/>
      <w:divBdr>
        <w:top w:val="none" w:sz="0" w:space="0" w:color="auto"/>
        <w:left w:val="none" w:sz="0" w:space="0" w:color="auto"/>
        <w:bottom w:val="none" w:sz="0" w:space="0" w:color="auto"/>
        <w:right w:val="none" w:sz="0" w:space="0" w:color="auto"/>
      </w:divBdr>
    </w:div>
    <w:div w:id="355040419">
      <w:bodyDiv w:val="1"/>
      <w:marLeft w:val="0"/>
      <w:marRight w:val="0"/>
      <w:marTop w:val="0"/>
      <w:marBottom w:val="0"/>
      <w:divBdr>
        <w:top w:val="none" w:sz="0" w:space="0" w:color="auto"/>
        <w:left w:val="none" w:sz="0" w:space="0" w:color="auto"/>
        <w:bottom w:val="none" w:sz="0" w:space="0" w:color="auto"/>
        <w:right w:val="none" w:sz="0" w:space="0" w:color="auto"/>
      </w:divBdr>
    </w:div>
    <w:div w:id="357317531">
      <w:bodyDiv w:val="1"/>
      <w:marLeft w:val="0"/>
      <w:marRight w:val="0"/>
      <w:marTop w:val="0"/>
      <w:marBottom w:val="0"/>
      <w:divBdr>
        <w:top w:val="none" w:sz="0" w:space="0" w:color="auto"/>
        <w:left w:val="none" w:sz="0" w:space="0" w:color="auto"/>
        <w:bottom w:val="none" w:sz="0" w:space="0" w:color="auto"/>
        <w:right w:val="none" w:sz="0" w:space="0" w:color="auto"/>
      </w:divBdr>
    </w:div>
    <w:div w:id="360859883">
      <w:bodyDiv w:val="1"/>
      <w:marLeft w:val="0"/>
      <w:marRight w:val="0"/>
      <w:marTop w:val="0"/>
      <w:marBottom w:val="0"/>
      <w:divBdr>
        <w:top w:val="none" w:sz="0" w:space="0" w:color="auto"/>
        <w:left w:val="none" w:sz="0" w:space="0" w:color="auto"/>
        <w:bottom w:val="none" w:sz="0" w:space="0" w:color="auto"/>
        <w:right w:val="none" w:sz="0" w:space="0" w:color="auto"/>
      </w:divBdr>
    </w:div>
    <w:div w:id="368265293">
      <w:bodyDiv w:val="1"/>
      <w:marLeft w:val="0"/>
      <w:marRight w:val="0"/>
      <w:marTop w:val="0"/>
      <w:marBottom w:val="0"/>
      <w:divBdr>
        <w:top w:val="none" w:sz="0" w:space="0" w:color="auto"/>
        <w:left w:val="none" w:sz="0" w:space="0" w:color="auto"/>
        <w:bottom w:val="none" w:sz="0" w:space="0" w:color="auto"/>
        <w:right w:val="none" w:sz="0" w:space="0" w:color="auto"/>
      </w:divBdr>
    </w:div>
    <w:div w:id="372507632">
      <w:bodyDiv w:val="1"/>
      <w:marLeft w:val="0"/>
      <w:marRight w:val="0"/>
      <w:marTop w:val="0"/>
      <w:marBottom w:val="0"/>
      <w:divBdr>
        <w:top w:val="none" w:sz="0" w:space="0" w:color="auto"/>
        <w:left w:val="none" w:sz="0" w:space="0" w:color="auto"/>
        <w:bottom w:val="none" w:sz="0" w:space="0" w:color="auto"/>
        <w:right w:val="none" w:sz="0" w:space="0" w:color="auto"/>
      </w:divBdr>
    </w:div>
    <w:div w:id="376048495">
      <w:bodyDiv w:val="1"/>
      <w:marLeft w:val="0"/>
      <w:marRight w:val="0"/>
      <w:marTop w:val="0"/>
      <w:marBottom w:val="0"/>
      <w:divBdr>
        <w:top w:val="none" w:sz="0" w:space="0" w:color="auto"/>
        <w:left w:val="none" w:sz="0" w:space="0" w:color="auto"/>
        <w:bottom w:val="none" w:sz="0" w:space="0" w:color="auto"/>
        <w:right w:val="none" w:sz="0" w:space="0" w:color="auto"/>
      </w:divBdr>
    </w:div>
    <w:div w:id="386876649">
      <w:bodyDiv w:val="1"/>
      <w:marLeft w:val="0"/>
      <w:marRight w:val="0"/>
      <w:marTop w:val="0"/>
      <w:marBottom w:val="0"/>
      <w:divBdr>
        <w:top w:val="none" w:sz="0" w:space="0" w:color="auto"/>
        <w:left w:val="none" w:sz="0" w:space="0" w:color="auto"/>
        <w:bottom w:val="none" w:sz="0" w:space="0" w:color="auto"/>
        <w:right w:val="none" w:sz="0" w:space="0" w:color="auto"/>
      </w:divBdr>
    </w:div>
    <w:div w:id="388841803">
      <w:bodyDiv w:val="1"/>
      <w:marLeft w:val="0"/>
      <w:marRight w:val="0"/>
      <w:marTop w:val="0"/>
      <w:marBottom w:val="0"/>
      <w:divBdr>
        <w:top w:val="none" w:sz="0" w:space="0" w:color="auto"/>
        <w:left w:val="none" w:sz="0" w:space="0" w:color="auto"/>
        <w:bottom w:val="none" w:sz="0" w:space="0" w:color="auto"/>
        <w:right w:val="none" w:sz="0" w:space="0" w:color="auto"/>
      </w:divBdr>
    </w:div>
    <w:div w:id="389689546">
      <w:bodyDiv w:val="1"/>
      <w:marLeft w:val="0"/>
      <w:marRight w:val="0"/>
      <w:marTop w:val="0"/>
      <w:marBottom w:val="0"/>
      <w:divBdr>
        <w:top w:val="none" w:sz="0" w:space="0" w:color="auto"/>
        <w:left w:val="none" w:sz="0" w:space="0" w:color="auto"/>
        <w:bottom w:val="none" w:sz="0" w:space="0" w:color="auto"/>
        <w:right w:val="none" w:sz="0" w:space="0" w:color="auto"/>
      </w:divBdr>
    </w:div>
    <w:div w:id="406193780">
      <w:bodyDiv w:val="1"/>
      <w:marLeft w:val="0"/>
      <w:marRight w:val="0"/>
      <w:marTop w:val="0"/>
      <w:marBottom w:val="0"/>
      <w:divBdr>
        <w:top w:val="none" w:sz="0" w:space="0" w:color="auto"/>
        <w:left w:val="none" w:sz="0" w:space="0" w:color="auto"/>
        <w:bottom w:val="none" w:sz="0" w:space="0" w:color="auto"/>
        <w:right w:val="none" w:sz="0" w:space="0" w:color="auto"/>
      </w:divBdr>
    </w:div>
    <w:div w:id="410733191">
      <w:bodyDiv w:val="1"/>
      <w:marLeft w:val="0"/>
      <w:marRight w:val="0"/>
      <w:marTop w:val="0"/>
      <w:marBottom w:val="0"/>
      <w:divBdr>
        <w:top w:val="none" w:sz="0" w:space="0" w:color="auto"/>
        <w:left w:val="none" w:sz="0" w:space="0" w:color="auto"/>
        <w:bottom w:val="none" w:sz="0" w:space="0" w:color="auto"/>
        <w:right w:val="none" w:sz="0" w:space="0" w:color="auto"/>
      </w:divBdr>
    </w:div>
    <w:div w:id="411389555">
      <w:bodyDiv w:val="1"/>
      <w:marLeft w:val="0"/>
      <w:marRight w:val="0"/>
      <w:marTop w:val="0"/>
      <w:marBottom w:val="0"/>
      <w:divBdr>
        <w:top w:val="none" w:sz="0" w:space="0" w:color="auto"/>
        <w:left w:val="none" w:sz="0" w:space="0" w:color="auto"/>
        <w:bottom w:val="none" w:sz="0" w:space="0" w:color="auto"/>
        <w:right w:val="none" w:sz="0" w:space="0" w:color="auto"/>
      </w:divBdr>
    </w:div>
    <w:div w:id="418452437">
      <w:bodyDiv w:val="1"/>
      <w:marLeft w:val="0"/>
      <w:marRight w:val="0"/>
      <w:marTop w:val="0"/>
      <w:marBottom w:val="0"/>
      <w:divBdr>
        <w:top w:val="none" w:sz="0" w:space="0" w:color="auto"/>
        <w:left w:val="none" w:sz="0" w:space="0" w:color="auto"/>
        <w:bottom w:val="none" w:sz="0" w:space="0" w:color="auto"/>
        <w:right w:val="none" w:sz="0" w:space="0" w:color="auto"/>
      </w:divBdr>
    </w:div>
    <w:div w:id="420756243">
      <w:bodyDiv w:val="1"/>
      <w:marLeft w:val="0"/>
      <w:marRight w:val="0"/>
      <w:marTop w:val="0"/>
      <w:marBottom w:val="0"/>
      <w:divBdr>
        <w:top w:val="none" w:sz="0" w:space="0" w:color="auto"/>
        <w:left w:val="none" w:sz="0" w:space="0" w:color="auto"/>
        <w:bottom w:val="none" w:sz="0" w:space="0" w:color="auto"/>
        <w:right w:val="none" w:sz="0" w:space="0" w:color="auto"/>
      </w:divBdr>
      <w:divsChild>
        <w:div w:id="1643726363">
          <w:marLeft w:val="0"/>
          <w:marRight w:val="0"/>
          <w:marTop w:val="0"/>
          <w:marBottom w:val="0"/>
          <w:divBdr>
            <w:top w:val="none" w:sz="0" w:space="0" w:color="auto"/>
            <w:left w:val="none" w:sz="0" w:space="0" w:color="auto"/>
            <w:bottom w:val="none" w:sz="0" w:space="0" w:color="auto"/>
            <w:right w:val="none" w:sz="0" w:space="0" w:color="auto"/>
          </w:divBdr>
          <w:divsChild>
            <w:div w:id="820542582">
              <w:marLeft w:val="0"/>
              <w:marRight w:val="0"/>
              <w:marTop w:val="0"/>
              <w:marBottom w:val="180"/>
              <w:divBdr>
                <w:top w:val="none" w:sz="0" w:space="0" w:color="auto"/>
                <w:left w:val="none" w:sz="0" w:space="0" w:color="auto"/>
                <w:bottom w:val="none" w:sz="0" w:space="0" w:color="auto"/>
                <w:right w:val="none" w:sz="0" w:space="0" w:color="auto"/>
              </w:divBdr>
              <w:divsChild>
                <w:div w:id="14207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41579">
      <w:bodyDiv w:val="1"/>
      <w:marLeft w:val="0"/>
      <w:marRight w:val="0"/>
      <w:marTop w:val="0"/>
      <w:marBottom w:val="0"/>
      <w:divBdr>
        <w:top w:val="none" w:sz="0" w:space="0" w:color="auto"/>
        <w:left w:val="none" w:sz="0" w:space="0" w:color="auto"/>
        <w:bottom w:val="none" w:sz="0" w:space="0" w:color="auto"/>
        <w:right w:val="none" w:sz="0" w:space="0" w:color="auto"/>
      </w:divBdr>
    </w:div>
    <w:div w:id="422721264">
      <w:bodyDiv w:val="1"/>
      <w:marLeft w:val="0"/>
      <w:marRight w:val="0"/>
      <w:marTop w:val="0"/>
      <w:marBottom w:val="0"/>
      <w:divBdr>
        <w:top w:val="none" w:sz="0" w:space="0" w:color="auto"/>
        <w:left w:val="none" w:sz="0" w:space="0" w:color="auto"/>
        <w:bottom w:val="none" w:sz="0" w:space="0" w:color="auto"/>
        <w:right w:val="none" w:sz="0" w:space="0" w:color="auto"/>
      </w:divBdr>
    </w:div>
    <w:div w:id="424157126">
      <w:bodyDiv w:val="1"/>
      <w:marLeft w:val="0"/>
      <w:marRight w:val="0"/>
      <w:marTop w:val="0"/>
      <w:marBottom w:val="0"/>
      <w:divBdr>
        <w:top w:val="none" w:sz="0" w:space="0" w:color="auto"/>
        <w:left w:val="none" w:sz="0" w:space="0" w:color="auto"/>
        <w:bottom w:val="none" w:sz="0" w:space="0" w:color="auto"/>
        <w:right w:val="none" w:sz="0" w:space="0" w:color="auto"/>
      </w:divBdr>
    </w:div>
    <w:div w:id="425544130">
      <w:bodyDiv w:val="1"/>
      <w:marLeft w:val="0"/>
      <w:marRight w:val="0"/>
      <w:marTop w:val="0"/>
      <w:marBottom w:val="0"/>
      <w:divBdr>
        <w:top w:val="none" w:sz="0" w:space="0" w:color="auto"/>
        <w:left w:val="none" w:sz="0" w:space="0" w:color="auto"/>
        <w:bottom w:val="none" w:sz="0" w:space="0" w:color="auto"/>
        <w:right w:val="none" w:sz="0" w:space="0" w:color="auto"/>
      </w:divBdr>
    </w:div>
    <w:div w:id="428737843">
      <w:bodyDiv w:val="1"/>
      <w:marLeft w:val="0"/>
      <w:marRight w:val="0"/>
      <w:marTop w:val="0"/>
      <w:marBottom w:val="0"/>
      <w:divBdr>
        <w:top w:val="none" w:sz="0" w:space="0" w:color="auto"/>
        <w:left w:val="none" w:sz="0" w:space="0" w:color="auto"/>
        <w:bottom w:val="none" w:sz="0" w:space="0" w:color="auto"/>
        <w:right w:val="none" w:sz="0" w:space="0" w:color="auto"/>
      </w:divBdr>
    </w:div>
    <w:div w:id="430055421">
      <w:bodyDiv w:val="1"/>
      <w:marLeft w:val="0"/>
      <w:marRight w:val="0"/>
      <w:marTop w:val="0"/>
      <w:marBottom w:val="0"/>
      <w:divBdr>
        <w:top w:val="none" w:sz="0" w:space="0" w:color="auto"/>
        <w:left w:val="none" w:sz="0" w:space="0" w:color="auto"/>
        <w:bottom w:val="none" w:sz="0" w:space="0" w:color="auto"/>
        <w:right w:val="none" w:sz="0" w:space="0" w:color="auto"/>
      </w:divBdr>
    </w:div>
    <w:div w:id="431436928">
      <w:bodyDiv w:val="1"/>
      <w:marLeft w:val="0"/>
      <w:marRight w:val="0"/>
      <w:marTop w:val="0"/>
      <w:marBottom w:val="0"/>
      <w:divBdr>
        <w:top w:val="none" w:sz="0" w:space="0" w:color="auto"/>
        <w:left w:val="none" w:sz="0" w:space="0" w:color="auto"/>
        <w:bottom w:val="none" w:sz="0" w:space="0" w:color="auto"/>
        <w:right w:val="none" w:sz="0" w:space="0" w:color="auto"/>
      </w:divBdr>
    </w:div>
    <w:div w:id="440346622">
      <w:bodyDiv w:val="1"/>
      <w:marLeft w:val="0"/>
      <w:marRight w:val="0"/>
      <w:marTop w:val="0"/>
      <w:marBottom w:val="0"/>
      <w:divBdr>
        <w:top w:val="none" w:sz="0" w:space="0" w:color="auto"/>
        <w:left w:val="none" w:sz="0" w:space="0" w:color="auto"/>
        <w:bottom w:val="none" w:sz="0" w:space="0" w:color="auto"/>
        <w:right w:val="none" w:sz="0" w:space="0" w:color="auto"/>
      </w:divBdr>
    </w:div>
    <w:div w:id="441610895">
      <w:bodyDiv w:val="1"/>
      <w:marLeft w:val="0"/>
      <w:marRight w:val="0"/>
      <w:marTop w:val="0"/>
      <w:marBottom w:val="0"/>
      <w:divBdr>
        <w:top w:val="none" w:sz="0" w:space="0" w:color="auto"/>
        <w:left w:val="none" w:sz="0" w:space="0" w:color="auto"/>
        <w:bottom w:val="none" w:sz="0" w:space="0" w:color="auto"/>
        <w:right w:val="none" w:sz="0" w:space="0" w:color="auto"/>
      </w:divBdr>
    </w:div>
    <w:div w:id="442963842">
      <w:bodyDiv w:val="1"/>
      <w:marLeft w:val="0"/>
      <w:marRight w:val="0"/>
      <w:marTop w:val="0"/>
      <w:marBottom w:val="0"/>
      <w:divBdr>
        <w:top w:val="none" w:sz="0" w:space="0" w:color="auto"/>
        <w:left w:val="none" w:sz="0" w:space="0" w:color="auto"/>
        <w:bottom w:val="none" w:sz="0" w:space="0" w:color="auto"/>
        <w:right w:val="none" w:sz="0" w:space="0" w:color="auto"/>
      </w:divBdr>
    </w:div>
    <w:div w:id="443185040">
      <w:bodyDiv w:val="1"/>
      <w:marLeft w:val="0"/>
      <w:marRight w:val="0"/>
      <w:marTop w:val="0"/>
      <w:marBottom w:val="0"/>
      <w:divBdr>
        <w:top w:val="none" w:sz="0" w:space="0" w:color="auto"/>
        <w:left w:val="none" w:sz="0" w:space="0" w:color="auto"/>
        <w:bottom w:val="none" w:sz="0" w:space="0" w:color="auto"/>
        <w:right w:val="none" w:sz="0" w:space="0" w:color="auto"/>
      </w:divBdr>
    </w:div>
    <w:div w:id="448937155">
      <w:bodyDiv w:val="1"/>
      <w:marLeft w:val="0"/>
      <w:marRight w:val="0"/>
      <w:marTop w:val="0"/>
      <w:marBottom w:val="0"/>
      <w:divBdr>
        <w:top w:val="none" w:sz="0" w:space="0" w:color="auto"/>
        <w:left w:val="none" w:sz="0" w:space="0" w:color="auto"/>
        <w:bottom w:val="none" w:sz="0" w:space="0" w:color="auto"/>
        <w:right w:val="none" w:sz="0" w:space="0" w:color="auto"/>
      </w:divBdr>
    </w:div>
    <w:div w:id="453450111">
      <w:bodyDiv w:val="1"/>
      <w:marLeft w:val="0"/>
      <w:marRight w:val="0"/>
      <w:marTop w:val="0"/>
      <w:marBottom w:val="0"/>
      <w:divBdr>
        <w:top w:val="none" w:sz="0" w:space="0" w:color="auto"/>
        <w:left w:val="none" w:sz="0" w:space="0" w:color="auto"/>
        <w:bottom w:val="none" w:sz="0" w:space="0" w:color="auto"/>
        <w:right w:val="none" w:sz="0" w:space="0" w:color="auto"/>
      </w:divBdr>
    </w:div>
    <w:div w:id="455486311">
      <w:bodyDiv w:val="1"/>
      <w:marLeft w:val="0"/>
      <w:marRight w:val="0"/>
      <w:marTop w:val="0"/>
      <w:marBottom w:val="0"/>
      <w:divBdr>
        <w:top w:val="none" w:sz="0" w:space="0" w:color="auto"/>
        <w:left w:val="none" w:sz="0" w:space="0" w:color="auto"/>
        <w:bottom w:val="none" w:sz="0" w:space="0" w:color="auto"/>
        <w:right w:val="none" w:sz="0" w:space="0" w:color="auto"/>
      </w:divBdr>
    </w:div>
    <w:div w:id="457724083">
      <w:bodyDiv w:val="1"/>
      <w:marLeft w:val="0"/>
      <w:marRight w:val="0"/>
      <w:marTop w:val="0"/>
      <w:marBottom w:val="0"/>
      <w:divBdr>
        <w:top w:val="none" w:sz="0" w:space="0" w:color="auto"/>
        <w:left w:val="none" w:sz="0" w:space="0" w:color="auto"/>
        <w:bottom w:val="none" w:sz="0" w:space="0" w:color="auto"/>
        <w:right w:val="none" w:sz="0" w:space="0" w:color="auto"/>
      </w:divBdr>
    </w:div>
    <w:div w:id="459156255">
      <w:bodyDiv w:val="1"/>
      <w:marLeft w:val="0"/>
      <w:marRight w:val="0"/>
      <w:marTop w:val="0"/>
      <w:marBottom w:val="0"/>
      <w:divBdr>
        <w:top w:val="none" w:sz="0" w:space="0" w:color="auto"/>
        <w:left w:val="none" w:sz="0" w:space="0" w:color="auto"/>
        <w:bottom w:val="none" w:sz="0" w:space="0" w:color="auto"/>
        <w:right w:val="none" w:sz="0" w:space="0" w:color="auto"/>
      </w:divBdr>
    </w:div>
    <w:div w:id="459618770">
      <w:bodyDiv w:val="1"/>
      <w:marLeft w:val="0"/>
      <w:marRight w:val="0"/>
      <w:marTop w:val="0"/>
      <w:marBottom w:val="0"/>
      <w:divBdr>
        <w:top w:val="none" w:sz="0" w:space="0" w:color="auto"/>
        <w:left w:val="none" w:sz="0" w:space="0" w:color="auto"/>
        <w:bottom w:val="none" w:sz="0" w:space="0" w:color="auto"/>
        <w:right w:val="none" w:sz="0" w:space="0" w:color="auto"/>
      </w:divBdr>
    </w:div>
    <w:div w:id="471561136">
      <w:bodyDiv w:val="1"/>
      <w:marLeft w:val="0"/>
      <w:marRight w:val="0"/>
      <w:marTop w:val="0"/>
      <w:marBottom w:val="0"/>
      <w:divBdr>
        <w:top w:val="none" w:sz="0" w:space="0" w:color="auto"/>
        <w:left w:val="none" w:sz="0" w:space="0" w:color="auto"/>
        <w:bottom w:val="none" w:sz="0" w:space="0" w:color="auto"/>
        <w:right w:val="none" w:sz="0" w:space="0" w:color="auto"/>
      </w:divBdr>
    </w:div>
    <w:div w:id="477888698">
      <w:bodyDiv w:val="1"/>
      <w:marLeft w:val="0"/>
      <w:marRight w:val="0"/>
      <w:marTop w:val="0"/>
      <w:marBottom w:val="0"/>
      <w:divBdr>
        <w:top w:val="none" w:sz="0" w:space="0" w:color="auto"/>
        <w:left w:val="none" w:sz="0" w:space="0" w:color="auto"/>
        <w:bottom w:val="none" w:sz="0" w:space="0" w:color="auto"/>
        <w:right w:val="none" w:sz="0" w:space="0" w:color="auto"/>
      </w:divBdr>
    </w:div>
    <w:div w:id="481624165">
      <w:bodyDiv w:val="1"/>
      <w:marLeft w:val="0"/>
      <w:marRight w:val="0"/>
      <w:marTop w:val="0"/>
      <w:marBottom w:val="0"/>
      <w:divBdr>
        <w:top w:val="none" w:sz="0" w:space="0" w:color="auto"/>
        <w:left w:val="none" w:sz="0" w:space="0" w:color="auto"/>
        <w:bottom w:val="none" w:sz="0" w:space="0" w:color="auto"/>
        <w:right w:val="none" w:sz="0" w:space="0" w:color="auto"/>
      </w:divBdr>
    </w:div>
    <w:div w:id="489517711">
      <w:bodyDiv w:val="1"/>
      <w:marLeft w:val="0"/>
      <w:marRight w:val="0"/>
      <w:marTop w:val="0"/>
      <w:marBottom w:val="0"/>
      <w:divBdr>
        <w:top w:val="none" w:sz="0" w:space="0" w:color="auto"/>
        <w:left w:val="none" w:sz="0" w:space="0" w:color="auto"/>
        <w:bottom w:val="none" w:sz="0" w:space="0" w:color="auto"/>
        <w:right w:val="none" w:sz="0" w:space="0" w:color="auto"/>
      </w:divBdr>
    </w:div>
    <w:div w:id="490029733">
      <w:bodyDiv w:val="1"/>
      <w:marLeft w:val="0"/>
      <w:marRight w:val="0"/>
      <w:marTop w:val="0"/>
      <w:marBottom w:val="0"/>
      <w:divBdr>
        <w:top w:val="none" w:sz="0" w:space="0" w:color="auto"/>
        <w:left w:val="none" w:sz="0" w:space="0" w:color="auto"/>
        <w:bottom w:val="none" w:sz="0" w:space="0" w:color="auto"/>
        <w:right w:val="none" w:sz="0" w:space="0" w:color="auto"/>
      </w:divBdr>
    </w:div>
    <w:div w:id="497771807">
      <w:bodyDiv w:val="1"/>
      <w:marLeft w:val="0"/>
      <w:marRight w:val="0"/>
      <w:marTop w:val="0"/>
      <w:marBottom w:val="0"/>
      <w:divBdr>
        <w:top w:val="none" w:sz="0" w:space="0" w:color="auto"/>
        <w:left w:val="none" w:sz="0" w:space="0" w:color="auto"/>
        <w:bottom w:val="none" w:sz="0" w:space="0" w:color="auto"/>
        <w:right w:val="none" w:sz="0" w:space="0" w:color="auto"/>
      </w:divBdr>
    </w:div>
    <w:div w:id="513569074">
      <w:bodyDiv w:val="1"/>
      <w:marLeft w:val="0"/>
      <w:marRight w:val="0"/>
      <w:marTop w:val="0"/>
      <w:marBottom w:val="0"/>
      <w:divBdr>
        <w:top w:val="none" w:sz="0" w:space="0" w:color="auto"/>
        <w:left w:val="none" w:sz="0" w:space="0" w:color="auto"/>
        <w:bottom w:val="none" w:sz="0" w:space="0" w:color="auto"/>
        <w:right w:val="none" w:sz="0" w:space="0" w:color="auto"/>
      </w:divBdr>
    </w:div>
    <w:div w:id="515115594">
      <w:bodyDiv w:val="1"/>
      <w:marLeft w:val="0"/>
      <w:marRight w:val="0"/>
      <w:marTop w:val="0"/>
      <w:marBottom w:val="0"/>
      <w:divBdr>
        <w:top w:val="none" w:sz="0" w:space="0" w:color="auto"/>
        <w:left w:val="none" w:sz="0" w:space="0" w:color="auto"/>
        <w:bottom w:val="none" w:sz="0" w:space="0" w:color="auto"/>
        <w:right w:val="none" w:sz="0" w:space="0" w:color="auto"/>
      </w:divBdr>
    </w:div>
    <w:div w:id="516428832">
      <w:bodyDiv w:val="1"/>
      <w:marLeft w:val="0"/>
      <w:marRight w:val="0"/>
      <w:marTop w:val="0"/>
      <w:marBottom w:val="0"/>
      <w:divBdr>
        <w:top w:val="none" w:sz="0" w:space="0" w:color="auto"/>
        <w:left w:val="none" w:sz="0" w:space="0" w:color="auto"/>
        <w:bottom w:val="none" w:sz="0" w:space="0" w:color="auto"/>
        <w:right w:val="none" w:sz="0" w:space="0" w:color="auto"/>
      </w:divBdr>
    </w:div>
    <w:div w:id="516698674">
      <w:bodyDiv w:val="1"/>
      <w:marLeft w:val="0"/>
      <w:marRight w:val="0"/>
      <w:marTop w:val="0"/>
      <w:marBottom w:val="0"/>
      <w:divBdr>
        <w:top w:val="none" w:sz="0" w:space="0" w:color="auto"/>
        <w:left w:val="none" w:sz="0" w:space="0" w:color="auto"/>
        <w:bottom w:val="none" w:sz="0" w:space="0" w:color="auto"/>
        <w:right w:val="none" w:sz="0" w:space="0" w:color="auto"/>
      </w:divBdr>
    </w:div>
    <w:div w:id="517231400">
      <w:bodyDiv w:val="1"/>
      <w:marLeft w:val="0"/>
      <w:marRight w:val="0"/>
      <w:marTop w:val="0"/>
      <w:marBottom w:val="0"/>
      <w:divBdr>
        <w:top w:val="none" w:sz="0" w:space="0" w:color="auto"/>
        <w:left w:val="none" w:sz="0" w:space="0" w:color="auto"/>
        <w:bottom w:val="none" w:sz="0" w:space="0" w:color="auto"/>
        <w:right w:val="none" w:sz="0" w:space="0" w:color="auto"/>
      </w:divBdr>
    </w:div>
    <w:div w:id="521434321">
      <w:bodyDiv w:val="1"/>
      <w:marLeft w:val="0"/>
      <w:marRight w:val="0"/>
      <w:marTop w:val="0"/>
      <w:marBottom w:val="0"/>
      <w:divBdr>
        <w:top w:val="none" w:sz="0" w:space="0" w:color="auto"/>
        <w:left w:val="none" w:sz="0" w:space="0" w:color="auto"/>
        <w:bottom w:val="none" w:sz="0" w:space="0" w:color="auto"/>
        <w:right w:val="none" w:sz="0" w:space="0" w:color="auto"/>
      </w:divBdr>
    </w:div>
    <w:div w:id="522287475">
      <w:bodyDiv w:val="1"/>
      <w:marLeft w:val="0"/>
      <w:marRight w:val="0"/>
      <w:marTop w:val="0"/>
      <w:marBottom w:val="0"/>
      <w:divBdr>
        <w:top w:val="none" w:sz="0" w:space="0" w:color="auto"/>
        <w:left w:val="none" w:sz="0" w:space="0" w:color="auto"/>
        <w:bottom w:val="none" w:sz="0" w:space="0" w:color="auto"/>
        <w:right w:val="none" w:sz="0" w:space="0" w:color="auto"/>
      </w:divBdr>
    </w:div>
    <w:div w:id="528568920">
      <w:bodyDiv w:val="1"/>
      <w:marLeft w:val="0"/>
      <w:marRight w:val="0"/>
      <w:marTop w:val="0"/>
      <w:marBottom w:val="0"/>
      <w:divBdr>
        <w:top w:val="none" w:sz="0" w:space="0" w:color="auto"/>
        <w:left w:val="none" w:sz="0" w:space="0" w:color="auto"/>
        <w:bottom w:val="none" w:sz="0" w:space="0" w:color="auto"/>
        <w:right w:val="none" w:sz="0" w:space="0" w:color="auto"/>
      </w:divBdr>
    </w:div>
    <w:div w:id="534385897">
      <w:bodyDiv w:val="1"/>
      <w:marLeft w:val="0"/>
      <w:marRight w:val="0"/>
      <w:marTop w:val="0"/>
      <w:marBottom w:val="0"/>
      <w:divBdr>
        <w:top w:val="none" w:sz="0" w:space="0" w:color="auto"/>
        <w:left w:val="none" w:sz="0" w:space="0" w:color="auto"/>
        <w:bottom w:val="none" w:sz="0" w:space="0" w:color="auto"/>
        <w:right w:val="none" w:sz="0" w:space="0" w:color="auto"/>
      </w:divBdr>
    </w:div>
    <w:div w:id="538474431">
      <w:bodyDiv w:val="1"/>
      <w:marLeft w:val="0"/>
      <w:marRight w:val="0"/>
      <w:marTop w:val="0"/>
      <w:marBottom w:val="0"/>
      <w:divBdr>
        <w:top w:val="none" w:sz="0" w:space="0" w:color="auto"/>
        <w:left w:val="none" w:sz="0" w:space="0" w:color="auto"/>
        <w:bottom w:val="none" w:sz="0" w:space="0" w:color="auto"/>
        <w:right w:val="none" w:sz="0" w:space="0" w:color="auto"/>
      </w:divBdr>
    </w:div>
    <w:div w:id="544297135">
      <w:bodyDiv w:val="1"/>
      <w:marLeft w:val="0"/>
      <w:marRight w:val="0"/>
      <w:marTop w:val="0"/>
      <w:marBottom w:val="0"/>
      <w:divBdr>
        <w:top w:val="none" w:sz="0" w:space="0" w:color="auto"/>
        <w:left w:val="none" w:sz="0" w:space="0" w:color="auto"/>
        <w:bottom w:val="none" w:sz="0" w:space="0" w:color="auto"/>
        <w:right w:val="none" w:sz="0" w:space="0" w:color="auto"/>
      </w:divBdr>
    </w:div>
    <w:div w:id="550843492">
      <w:bodyDiv w:val="1"/>
      <w:marLeft w:val="0"/>
      <w:marRight w:val="0"/>
      <w:marTop w:val="0"/>
      <w:marBottom w:val="0"/>
      <w:divBdr>
        <w:top w:val="none" w:sz="0" w:space="0" w:color="auto"/>
        <w:left w:val="none" w:sz="0" w:space="0" w:color="auto"/>
        <w:bottom w:val="none" w:sz="0" w:space="0" w:color="auto"/>
        <w:right w:val="none" w:sz="0" w:space="0" w:color="auto"/>
      </w:divBdr>
    </w:div>
    <w:div w:id="562638383">
      <w:bodyDiv w:val="1"/>
      <w:marLeft w:val="0"/>
      <w:marRight w:val="0"/>
      <w:marTop w:val="0"/>
      <w:marBottom w:val="0"/>
      <w:divBdr>
        <w:top w:val="none" w:sz="0" w:space="0" w:color="auto"/>
        <w:left w:val="none" w:sz="0" w:space="0" w:color="auto"/>
        <w:bottom w:val="none" w:sz="0" w:space="0" w:color="auto"/>
        <w:right w:val="none" w:sz="0" w:space="0" w:color="auto"/>
      </w:divBdr>
    </w:div>
    <w:div w:id="573903982">
      <w:bodyDiv w:val="1"/>
      <w:marLeft w:val="0"/>
      <w:marRight w:val="0"/>
      <w:marTop w:val="0"/>
      <w:marBottom w:val="0"/>
      <w:divBdr>
        <w:top w:val="none" w:sz="0" w:space="0" w:color="auto"/>
        <w:left w:val="none" w:sz="0" w:space="0" w:color="auto"/>
        <w:bottom w:val="none" w:sz="0" w:space="0" w:color="auto"/>
        <w:right w:val="none" w:sz="0" w:space="0" w:color="auto"/>
      </w:divBdr>
    </w:div>
    <w:div w:id="577635804">
      <w:bodyDiv w:val="1"/>
      <w:marLeft w:val="0"/>
      <w:marRight w:val="0"/>
      <w:marTop w:val="0"/>
      <w:marBottom w:val="0"/>
      <w:divBdr>
        <w:top w:val="none" w:sz="0" w:space="0" w:color="auto"/>
        <w:left w:val="none" w:sz="0" w:space="0" w:color="auto"/>
        <w:bottom w:val="none" w:sz="0" w:space="0" w:color="auto"/>
        <w:right w:val="none" w:sz="0" w:space="0" w:color="auto"/>
      </w:divBdr>
    </w:div>
    <w:div w:id="585571730">
      <w:bodyDiv w:val="1"/>
      <w:marLeft w:val="0"/>
      <w:marRight w:val="0"/>
      <w:marTop w:val="0"/>
      <w:marBottom w:val="0"/>
      <w:divBdr>
        <w:top w:val="none" w:sz="0" w:space="0" w:color="auto"/>
        <w:left w:val="none" w:sz="0" w:space="0" w:color="auto"/>
        <w:bottom w:val="none" w:sz="0" w:space="0" w:color="auto"/>
        <w:right w:val="none" w:sz="0" w:space="0" w:color="auto"/>
      </w:divBdr>
    </w:div>
    <w:div w:id="588776007">
      <w:bodyDiv w:val="1"/>
      <w:marLeft w:val="0"/>
      <w:marRight w:val="0"/>
      <w:marTop w:val="0"/>
      <w:marBottom w:val="0"/>
      <w:divBdr>
        <w:top w:val="none" w:sz="0" w:space="0" w:color="auto"/>
        <w:left w:val="none" w:sz="0" w:space="0" w:color="auto"/>
        <w:bottom w:val="none" w:sz="0" w:space="0" w:color="auto"/>
        <w:right w:val="none" w:sz="0" w:space="0" w:color="auto"/>
      </w:divBdr>
    </w:div>
    <w:div w:id="597718930">
      <w:bodyDiv w:val="1"/>
      <w:marLeft w:val="0"/>
      <w:marRight w:val="0"/>
      <w:marTop w:val="0"/>
      <w:marBottom w:val="0"/>
      <w:divBdr>
        <w:top w:val="none" w:sz="0" w:space="0" w:color="auto"/>
        <w:left w:val="none" w:sz="0" w:space="0" w:color="auto"/>
        <w:bottom w:val="none" w:sz="0" w:space="0" w:color="auto"/>
        <w:right w:val="none" w:sz="0" w:space="0" w:color="auto"/>
      </w:divBdr>
    </w:div>
    <w:div w:id="599265142">
      <w:bodyDiv w:val="1"/>
      <w:marLeft w:val="0"/>
      <w:marRight w:val="0"/>
      <w:marTop w:val="0"/>
      <w:marBottom w:val="0"/>
      <w:divBdr>
        <w:top w:val="none" w:sz="0" w:space="0" w:color="auto"/>
        <w:left w:val="none" w:sz="0" w:space="0" w:color="auto"/>
        <w:bottom w:val="none" w:sz="0" w:space="0" w:color="auto"/>
        <w:right w:val="none" w:sz="0" w:space="0" w:color="auto"/>
      </w:divBdr>
    </w:div>
    <w:div w:id="600726624">
      <w:bodyDiv w:val="1"/>
      <w:marLeft w:val="0"/>
      <w:marRight w:val="0"/>
      <w:marTop w:val="0"/>
      <w:marBottom w:val="0"/>
      <w:divBdr>
        <w:top w:val="none" w:sz="0" w:space="0" w:color="auto"/>
        <w:left w:val="none" w:sz="0" w:space="0" w:color="auto"/>
        <w:bottom w:val="none" w:sz="0" w:space="0" w:color="auto"/>
        <w:right w:val="none" w:sz="0" w:space="0" w:color="auto"/>
      </w:divBdr>
    </w:div>
    <w:div w:id="607857619">
      <w:bodyDiv w:val="1"/>
      <w:marLeft w:val="0"/>
      <w:marRight w:val="0"/>
      <w:marTop w:val="0"/>
      <w:marBottom w:val="0"/>
      <w:divBdr>
        <w:top w:val="none" w:sz="0" w:space="0" w:color="auto"/>
        <w:left w:val="none" w:sz="0" w:space="0" w:color="auto"/>
        <w:bottom w:val="none" w:sz="0" w:space="0" w:color="auto"/>
        <w:right w:val="none" w:sz="0" w:space="0" w:color="auto"/>
      </w:divBdr>
    </w:div>
    <w:div w:id="609166174">
      <w:bodyDiv w:val="1"/>
      <w:marLeft w:val="0"/>
      <w:marRight w:val="0"/>
      <w:marTop w:val="0"/>
      <w:marBottom w:val="0"/>
      <w:divBdr>
        <w:top w:val="none" w:sz="0" w:space="0" w:color="auto"/>
        <w:left w:val="none" w:sz="0" w:space="0" w:color="auto"/>
        <w:bottom w:val="none" w:sz="0" w:space="0" w:color="auto"/>
        <w:right w:val="none" w:sz="0" w:space="0" w:color="auto"/>
      </w:divBdr>
    </w:div>
    <w:div w:id="620572417">
      <w:bodyDiv w:val="1"/>
      <w:marLeft w:val="0"/>
      <w:marRight w:val="0"/>
      <w:marTop w:val="0"/>
      <w:marBottom w:val="0"/>
      <w:divBdr>
        <w:top w:val="none" w:sz="0" w:space="0" w:color="auto"/>
        <w:left w:val="none" w:sz="0" w:space="0" w:color="auto"/>
        <w:bottom w:val="none" w:sz="0" w:space="0" w:color="auto"/>
        <w:right w:val="none" w:sz="0" w:space="0" w:color="auto"/>
      </w:divBdr>
    </w:div>
    <w:div w:id="630287419">
      <w:bodyDiv w:val="1"/>
      <w:marLeft w:val="0"/>
      <w:marRight w:val="0"/>
      <w:marTop w:val="0"/>
      <w:marBottom w:val="0"/>
      <w:divBdr>
        <w:top w:val="none" w:sz="0" w:space="0" w:color="auto"/>
        <w:left w:val="none" w:sz="0" w:space="0" w:color="auto"/>
        <w:bottom w:val="none" w:sz="0" w:space="0" w:color="auto"/>
        <w:right w:val="none" w:sz="0" w:space="0" w:color="auto"/>
      </w:divBdr>
    </w:div>
    <w:div w:id="631979280">
      <w:bodyDiv w:val="1"/>
      <w:marLeft w:val="0"/>
      <w:marRight w:val="0"/>
      <w:marTop w:val="0"/>
      <w:marBottom w:val="0"/>
      <w:divBdr>
        <w:top w:val="none" w:sz="0" w:space="0" w:color="auto"/>
        <w:left w:val="none" w:sz="0" w:space="0" w:color="auto"/>
        <w:bottom w:val="none" w:sz="0" w:space="0" w:color="auto"/>
        <w:right w:val="none" w:sz="0" w:space="0" w:color="auto"/>
      </w:divBdr>
    </w:div>
    <w:div w:id="640304630">
      <w:bodyDiv w:val="1"/>
      <w:marLeft w:val="0"/>
      <w:marRight w:val="0"/>
      <w:marTop w:val="0"/>
      <w:marBottom w:val="0"/>
      <w:divBdr>
        <w:top w:val="none" w:sz="0" w:space="0" w:color="auto"/>
        <w:left w:val="none" w:sz="0" w:space="0" w:color="auto"/>
        <w:bottom w:val="none" w:sz="0" w:space="0" w:color="auto"/>
        <w:right w:val="none" w:sz="0" w:space="0" w:color="auto"/>
      </w:divBdr>
    </w:div>
    <w:div w:id="649791043">
      <w:bodyDiv w:val="1"/>
      <w:marLeft w:val="0"/>
      <w:marRight w:val="0"/>
      <w:marTop w:val="0"/>
      <w:marBottom w:val="0"/>
      <w:divBdr>
        <w:top w:val="none" w:sz="0" w:space="0" w:color="auto"/>
        <w:left w:val="none" w:sz="0" w:space="0" w:color="auto"/>
        <w:bottom w:val="none" w:sz="0" w:space="0" w:color="auto"/>
        <w:right w:val="none" w:sz="0" w:space="0" w:color="auto"/>
      </w:divBdr>
    </w:div>
    <w:div w:id="651063794">
      <w:bodyDiv w:val="1"/>
      <w:marLeft w:val="0"/>
      <w:marRight w:val="0"/>
      <w:marTop w:val="0"/>
      <w:marBottom w:val="0"/>
      <w:divBdr>
        <w:top w:val="none" w:sz="0" w:space="0" w:color="auto"/>
        <w:left w:val="none" w:sz="0" w:space="0" w:color="auto"/>
        <w:bottom w:val="none" w:sz="0" w:space="0" w:color="auto"/>
        <w:right w:val="none" w:sz="0" w:space="0" w:color="auto"/>
      </w:divBdr>
    </w:div>
    <w:div w:id="657686347">
      <w:bodyDiv w:val="1"/>
      <w:marLeft w:val="0"/>
      <w:marRight w:val="0"/>
      <w:marTop w:val="0"/>
      <w:marBottom w:val="0"/>
      <w:divBdr>
        <w:top w:val="none" w:sz="0" w:space="0" w:color="auto"/>
        <w:left w:val="none" w:sz="0" w:space="0" w:color="auto"/>
        <w:bottom w:val="none" w:sz="0" w:space="0" w:color="auto"/>
        <w:right w:val="none" w:sz="0" w:space="0" w:color="auto"/>
      </w:divBdr>
    </w:div>
    <w:div w:id="661007228">
      <w:bodyDiv w:val="1"/>
      <w:marLeft w:val="0"/>
      <w:marRight w:val="0"/>
      <w:marTop w:val="0"/>
      <w:marBottom w:val="0"/>
      <w:divBdr>
        <w:top w:val="none" w:sz="0" w:space="0" w:color="auto"/>
        <w:left w:val="none" w:sz="0" w:space="0" w:color="auto"/>
        <w:bottom w:val="none" w:sz="0" w:space="0" w:color="auto"/>
        <w:right w:val="none" w:sz="0" w:space="0" w:color="auto"/>
      </w:divBdr>
    </w:div>
    <w:div w:id="661390650">
      <w:bodyDiv w:val="1"/>
      <w:marLeft w:val="0"/>
      <w:marRight w:val="0"/>
      <w:marTop w:val="0"/>
      <w:marBottom w:val="0"/>
      <w:divBdr>
        <w:top w:val="none" w:sz="0" w:space="0" w:color="auto"/>
        <w:left w:val="none" w:sz="0" w:space="0" w:color="auto"/>
        <w:bottom w:val="none" w:sz="0" w:space="0" w:color="auto"/>
        <w:right w:val="none" w:sz="0" w:space="0" w:color="auto"/>
      </w:divBdr>
    </w:div>
    <w:div w:id="662318177">
      <w:bodyDiv w:val="1"/>
      <w:marLeft w:val="0"/>
      <w:marRight w:val="0"/>
      <w:marTop w:val="0"/>
      <w:marBottom w:val="0"/>
      <w:divBdr>
        <w:top w:val="none" w:sz="0" w:space="0" w:color="auto"/>
        <w:left w:val="none" w:sz="0" w:space="0" w:color="auto"/>
        <w:bottom w:val="none" w:sz="0" w:space="0" w:color="auto"/>
        <w:right w:val="none" w:sz="0" w:space="0" w:color="auto"/>
      </w:divBdr>
    </w:div>
    <w:div w:id="663901147">
      <w:bodyDiv w:val="1"/>
      <w:marLeft w:val="0"/>
      <w:marRight w:val="0"/>
      <w:marTop w:val="0"/>
      <w:marBottom w:val="0"/>
      <w:divBdr>
        <w:top w:val="none" w:sz="0" w:space="0" w:color="auto"/>
        <w:left w:val="none" w:sz="0" w:space="0" w:color="auto"/>
        <w:bottom w:val="none" w:sz="0" w:space="0" w:color="auto"/>
        <w:right w:val="none" w:sz="0" w:space="0" w:color="auto"/>
      </w:divBdr>
    </w:div>
    <w:div w:id="667831689">
      <w:bodyDiv w:val="1"/>
      <w:marLeft w:val="0"/>
      <w:marRight w:val="0"/>
      <w:marTop w:val="0"/>
      <w:marBottom w:val="0"/>
      <w:divBdr>
        <w:top w:val="none" w:sz="0" w:space="0" w:color="auto"/>
        <w:left w:val="none" w:sz="0" w:space="0" w:color="auto"/>
        <w:bottom w:val="none" w:sz="0" w:space="0" w:color="auto"/>
        <w:right w:val="none" w:sz="0" w:space="0" w:color="auto"/>
      </w:divBdr>
    </w:div>
    <w:div w:id="678969770">
      <w:bodyDiv w:val="1"/>
      <w:marLeft w:val="0"/>
      <w:marRight w:val="0"/>
      <w:marTop w:val="0"/>
      <w:marBottom w:val="0"/>
      <w:divBdr>
        <w:top w:val="none" w:sz="0" w:space="0" w:color="auto"/>
        <w:left w:val="none" w:sz="0" w:space="0" w:color="auto"/>
        <w:bottom w:val="none" w:sz="0" w:space="0" w:color="auto"/>
        <w:right w:val="none" w:sz="0" w:space="0" w:color="auto"/>
      </w:divBdr>
    </w:div>
    <w:div w:id="685208564">
      <w:bodyDiv w:val="1"/>
      <w:marLeft w:val="0"/>
      <w:marRight w:val="0"/>
      <w:marTop w:val="0"/>
      <w:marBottom w:val="0"/>
      <w:divBdr>
        <w:top w:val="none" w:sz="0" w:space="0" w:color="auto"/>
        <w:left w:val="none" w:sz="0" w:space="0" w:color="auto"/>
        <w:bottom w:val="none" w:sz="0" w:space="0" w:color="auto"/>
        <w:right w:val="none" w:sz="0" w:space="0" w:color="auto"/>
      </w:divBdr>
    </w:div>
    <w:div w:id="686952939">
      <w:bodyDiv w:val="1"/>
      <w:marLeft w:val="0"/>
      <w:marRight w:val="0"/>
      <w:marTop w:val="0"/>
      <w:marBottom w:val="0"/>
      <w:divBdr>
        <w:top w:val="none" w:sz="0" w:space="0" w:color="auto"/>
        <w:left w:val="none" w:sz="0" w:space="0" w:color="auto"/>
        <w:bottom w:val="none" w:sz="0" w:space="0" w:color="auto"/>
        <w:right w:val="none" w:sz="0" w:space="0" w:color="auto"/>
      </w:divBdr>
    </w:div>
    <w:div w:id="687412872">
      <w:bodyDiv w:val="1"/>
      <w:marLeft w:val="0"/>
      <w:marRight w:val="0"/>
      <w:marTop w:val="0"/>
      <w:marBottom w:val="0"/>
      <w:divBdr>
        <w:top w:val="none" w:sz="0" w:space="0" w:color="auto"/>
        <w:left w:val="none" w:sz="0" w:space="0" w:color="auto"/>
        <w:bottom w:val="none" w:sz="0" w:space="0" w:color="auto"/>
        <w:right w:val="none" w:sz="0" w:space="0" w:color="auto"/>
      </w:divBdr>
    </w:div>
    <w:div w:id="689574319">
      <w:bodyDiv w:val="1"/>
      <w:marLeft w:val="0"/>
      <w:marRight w:val="0"/>
      <w:marTop w:val="0"/>
      <w:marBottom w:val="0"/>
      <w:divBdr>
        <w:top w:val="none" w:sz="0" w:space="0" w:color="auto"/>
        <w:left w:val="none" w:sz="0" w:space="0" w:color="auto"/>
        <w:bottom w:val="none" w:sz="0" w:space="0" w:color="auto"/>
        <w:right w:val="none" w:sz="0" w:space="0" w:color="auto"/>
      </w:divBdr>
    </w:div>
    <w:div w:id="698432501">
      <w:bodyDiv w:val="1"/>
      <w:marLeft w:val="0"/>
      <w:marRight w:val="0"/>
      <w:marTop w:val="0"/>
      <w:marBottom w:val="0"/>
      <w:divBdr>
        <w:top w:val="none" w:sz="0" w:space="0" w:color="auto"/>
        <w:left w:val="none" w:sz="0" w:space="0" w:color="auto"/>
        <w:bottom w:val="none" w:sz="0" w:space="0" w:color="auto"/>
        <w:right w:val="none" w:sz="0" w:space="0" w:color="auto"/>
      </w:divBdr>
    </w:div>
    <w:div w:id="707098810">
      <w:bodyDiv w:val="1"/>
      <w:marLeft w:val="0"/>
      <w:marRight w:val="0"/>
      <w:marTop w:val="0"/>
      <w:marBottom w:val="0"/>
      <w:divBdr>
        <w:top w:val="none" w:sz="0" w:space="0" w:color="auto"/>
        <w:left w:val="none" w:sz="0" w:space="0" w:color="auto"/>
        <w:bottom w:val="none" w:sz="0" w:space="0" w:color="auto"/>
        <w:right w:val="none" w:sz="0" w:space="0" w:color="auto"/>
      </w:divBdr>
    </w:div>
    <w:div w:id="707528864">
      <w:bodyDiv w:val="1"/>
      <w:marLeft w:val="0"/>
      <w:marRight w:val="0"/>
      <w:marTop w:val="0"/>
      <w:marBottom w:val="0"/>
      <w:divBdr>
        <w:top w:val="none" w:sz="0" w:space="0" w:color="auto"/>
        <w:left w:val="none" w:sz="0" w:space="0" w:color="auto"/>
        <w:bottom w:val="none" w:sz="0" w:space="0" w:color="auto"/>
        <w:right w:val="none" w:sz="0" w:space="0" w:color="auto"/>
      </w:divBdr>
    </w:div>
    <w:div w:id="710229767">
      <w:bodyDiv w:val="1"/>
      <w:marLeft w:val="0"/>
      <w:marRight w:val="0"/>
      <w:marTop w:val="0"/>
      <w:marBottom w:val="0"/>
      <w:divBdr>
        <w:top w:val="none" w:sz="0" w:space="0" w:color="auto"/>
        <w:left w:val="none" w:sz="0" w:space="0" w:color="auto"/>
        <w:bottom w:val="none" w:sz="0" w:space="0" w:color="auto"/>
        <w:right w:val="none" w:sz="0" w:space="0" w:color="auto"/>
      </w:divBdr>
    </w:div>
    <w:div w:id="718406490">
      <w:bodyDiv w:val="1"/>
      <w:marLeft w:val="0"/>
      <w:marRight w:val="0"/>
      <w:marTop w:val="0"/>
      <w:marBottom w:val="0"/>
      <w:divBdr>
        <w:top w:val="none" w:sz="0" w:space="0" w:color="auto"/>
        <w:left w:val="none" w:sz="0" w:space="0" w:color="auto"/>
        <w:bottom w:val="none" w:sz="0" w:space="0" w:color="auto"/>
        <w:right w:val="none" w:sz="0" w:space="0" w:color="auto"/>
      </w:divBdr>
    </w:div>
    <w:div w:id="724645472">
      <w:bodyDiv w:val="1"/>
      <w:marLeft w:val="0"/>
      <w:marRight w:val="0"/>
      <w:marTop w:val="0"/>
      <w:marBottom w:val="0"/>
      <w:divBdr>
        <w:top w:val="none" w:sz="0" w:space="0" w:color="auto"/>
        <w:left w:val="none" w:sz="0" w:space="0" w:color="auto"/>
        <w:bottom w:val="none" w:sz="0" w:space="0" w:color="auto"/>
        <w:right w:val="none" w:sz="0" w:space="0" w:color="auto"/>
      </w:divBdr>
    </w:div>
    <w:div w:id="725957068">
      <w:bodyDiv w:val="1"/>
      <w:marLeft w:val="0"/>
      <w:marRight w:val="0"/>
      <w:marTop w:val="0"/>
      <w:marBottom w:val="0"/>
      <w:divBdr>
        <w:top w:val="none" w:sz="0" w:space="0" w:color="auto"/>
        <w:left w:val="none" w:sz="0" w:space="0" w:color="auto"/>
        <w:bottom w:val="none" w:sz="0" w:space="0" w:color="auto"/>
        <w:right w:val="none" w:sz="0" w:space="0" w:color="auto"/>
      </w:divBdr>
    </w:div>
    <w:div w:id="727264135">
      <w:bodyDiv w:val="1"/>
      <w:marLeft w:val="0"/>
      <w:marRight w:val="0"/>
      <w:marTop w:val="0"/>
      <w:marBottom w:val="0"/>
      <w:divBdr>
        <w:top w:val="none" w:sz="0" w:space="0" w:color="auto"/>
        <w:left w:val="none" w:sz="0" w:space="0" w:color="auto"/>
        <w:bottom w:val="none" w:sz="0" w:space="0" w:color="auto"/>
        <w:right w:val="none" w:sz="0" w:space="0" w:color="auto"/>
      </w:divBdr>
    </w:div>
    <w:div w:id="727533504">
      <w:bodyDiv w:val="1"/>
      <w:marLeft w:val="0"/>
      <w:marRight w:val="0"/>
      <w:marTop w:val="0"/>
      <w:marBottom w:val="0"/>
      <w:divBdr>
        <w:top w:val="none" w:sz="0" w:space="0" w:color="auto"/>
        <w:left w:val="none" w:sz="0" w:space="0" w:color="auto"/>
        <w:bottom w:val="none" w:sz="0" w:space="0" w:color="auto"/>
        <w:right w:val="none" w:sz="0" w:space="0" w:color="auto"/>
      </w:divBdr>
    </w:div>
    <w:div w:id="733621854">
      <w:bodyDiv w:val="1"/>
      <w:marLeft w:val="0"/>
      <w:marRight w:val="0"/>
      <w:marTop w:val="0"/>
      <w:marBottom w:val="0"/>
      <w:divBdr>
        <w:top w:val="none" w:sz="0" w:space="0" w:color="auto"/>
        <w:left w:val="none" w:sz="0" w:space="0" w:color="auto"/>
        <w:bottom w:val="none" w:sz="0" w:space="0" w:color="auto"/>
        <w:right w:val="none" w:sz="0" w:space="0" w:color="auto"/>
      </w:divBdr>
    </w:div>
    <w:div w:id="735279981">
      <w:bodyDiv w:val="1"/>
      <w:marLeft w:val="0"/>
      <w:marRight w:val="0"/>
      <w:marTop w:val="0"/>
      <w:marBottom w:val="0"/>
      <w:divBdr>
        <w:top w:val="none" w:sz="0" w:space="0" w:color="auto"/>
        <w:left w:val="none" w:sz="0" w:space="0" w:color="auto"/>
        <w:bottom w:val="none" w:sz="0" w:space="0" w:color="auto"/>
        <w:right w:val="none" w:sz="0" w:space="0" w:color="auto"/>
      </w:divBdr>
    </w:div>
    <w:div w:id="742067677">
      <w:bodyDiv w:val="1"/>
      <w:marLeft w:val="0"/>
      <w:marRight w:val="0"/>
      <w:marTop w:val="0"/>
      <w:marBottom w:val="0"/>
      <w:divBdr>
        <w:top w:val="none" w:sz="0" w:space="0" w:color="auto"/>
        <w:left w:val="none" w:sz="0" w:space="0" w:color="auto"/>
        <w:bottom w:val="none" w:sz="0" w:space="0" w:color="auto"/>
        <w:right w:val="none" w:sz="0" w:space="0" w:color="auto"/>
      </w:divBdr>
    </w:div>
    <w:div w:id="743334002">
      <w:bodyDiv w:val="1"/>
      <w:marLeft w:val="0"/>
      <w:marRight w:val="0"/>
      <w:marTop w:val="0"/>
      <w:marBottom w:val="0"/>
      <w:divBdr>
        <w:top w:val="none" w:sz="0" w:space="0" w:color="auto"/>
        <w:left w:val="none" w:sz="0" w:space="0" w:color="auto"/>
        <w:bottom w:val="none" w:sz="0" w:space="0" w:color="auto"/>
        <w:right w:val="none" w:sz="0" w:space="0" w:color="auto"/>
      </w:divBdr>
    </w:div>
    <w:div w:id="743375371">
      <w:bodyDiv w:val="1"/>
      <w:marLeft w:val="0"/>
      <w:marRight w:val="0"/>
      <w:marTop w:val="0"/>
      <w:marBottom w:val="0"/>
      <w:divBdr>
        <w:top w:val="none" w:sz="0" w:space="0" w:color="auto"/>
        <w:left w:val="none" w:sz="0" w:space="0" w:color="auto"/>
        <w:bottom w:val="none" w:sz="0" w:space="0" w:color="auto"/>
        <w:right w:val="none" w:sz="0" w:space="0" w:color="auto"/>
      </w:divBdr>
    </w:div>
    <w:div w:id="746607397">
      <w:bodyDiv w:val="1"/>
      <w:marLeft w:val="0"/>
      <w:marRight w:val="0"/>
      <w:marTop w:val="0"/>
      <w:marBottom w:val="0"/>
      <w:divBdr>
        <w:top w:val="none" w:sz="0" w:space="0" w:color="auto"/>
        <w:left w:val="none" w:sz="0" w:space="0" w:color="auto"/>
        <w:bottom w:val="none" w:sz="0" w:space="0" w:color="auto"/>
        <w:right w:val="none" w:sz="0" w:space="0" w:color="auto"/>
      </w:divBdr>
    </w:div>
    <w:div w:id="749431200">
      <w:bodyDiv w:val="1"/>
      <w:marLeft w:val="0"/>
      <w:marRight w:val="0"/>
      <w:marTop w:val="0"/>
      <w:marBottom w:val="0"/>
      <w:divBdr>
        <w:top w:val="none" w:sz="0" w:space="0" w:color="auto"/>
        <w:left w:val="none" w:sz="0" w:space="0" w:color="auto"/>
        <w:bottom w:val="none" w:sz="0" w:space="0" w:color="auto"/>
        <w:right w:val="none" w:sz="0" w:space="0" w:color="auto"/>
      </w:divBdr>
    </w:div>
    <w:div w:id="753863083">
      <w:bodyDiv w:val="1"/>
      <w:marLeft w:val="0"/>
      <w:marRight w:val="0"/>
      <w:marTop w:val="0"/>
      <w:marBottom w:val="0"/>
      <w:divBdr>
        <w:top w:val="none" w:sz="0" w:space="0" w:color="auto"/>
        <w:left w:val="none" w:sz="0" w:space="0" w:color="auto"/>
        <w:bottom w:val="none" w:sz="0" w:space="0" w:color="auto"/>
        <w:right w:val="none" w:sz="0" w:space="0" w:color="auto"/>
      </w:divBdr>
    </w:div>
    <w:div w:id="756250160">
      <w:bodyDiv w:val="1"/>
      <w:marLeft w:val="0"/>
      <w:marRight w:val="0"/>
      <w:marTop w:val="0"/>
      <w:marBottom w:val="0"/>
      <w:divBdr>
        <w:top w:val="none" w:sz="0" w:space="0" w:color="auto"/>
        <w:left w:val="none" w:sz="0" w:space="0" w:color="auto"/>
        <w:bottom w:val="none" w:sz="0" w:space="0" w:color="auto"/>
        <w:right w:val="none" w:sz="0" w:space="0" w:color="auto"/>
      </w:divBdr>
    </w:div>
    <w:div w:id="756632692">
      <w:bodyDiv w:val="1"/>
      <w:marLeft w:val="0"/>
      <w:marRight w:val="0"/>
      <w:marTop w:val="0"/>
      <w:marBottom w:val="0"/>
      <w:divBdr>
        <w:top w:val="none" w:sz="0" w:space="0" w:color="auto"/>
        <w:left w:val="none" w:sz="0" w:space="0" w:color="auto"/>
        <w:bottom w:val="none" w:sz="0" w:space="0" w:color="auto"/>
        <w:right w:val="none" w:sz="0" w:space="0" w:color="auto"/>
      </w:divBdr>
    </w:div>
    <w:div w:id="763764522">
      <w:bodyDiv w:val="1"/>
      <w:marLeft w:val="0"/>
      <w:marRight w:val="0"/>
      <w:marTop w:val="0"/>
      <w:marBottom w:val="0"/>
      <w:divBdr>
        <w:top w:val="none" w:sz="0" w:space="0" w:color="auto"/>
        <w:left w:val="none" w:sz="0" w:space="0" w:color="auto"/>
        <w:bottom w:val="none" w:sz="0" w:space="0" w:color="auto"/>
        <w:right w:val="none" w:sz="0" w:space="0" w:color="auto"/>
      </w:divBdr>
    </w:div>
    <w:div w:id="774981034">
      <w:bodyDiv w:val="1"/>
      <w:marLeft w:val="0"/>
      <w:marRight w:val="0"/>
      <w:marTop w:val="0"/>
      <w:marBottom w:val="0"/>
      <w:divBdr>
        <w:top w:val="none" w:sz="0" w:space="0" w:color="auto"/>
        <w:left w:val="none" w:sz="0" w:space="0" w:color="auto"/>
        <w:bottom w:val="none" w:sz="0" w:space="0" w:color="auto"/>
        <w:right w:val="none" w:sz="0" w:space="0" w:color="auto"/>
      </w:divBdr>
    </w:div>
    <w:div w:id="787359751">
      <w:bodyDiv w:val="1"/>
      <w:marLeft w:val="0"/>
      <w:marRight w:val="0"/>
      <w:marTop w:val="0"/>
      <w:marBottom w:val="0"/>
      <w:divBdr>
        <w:top w:val="none" w:sz="0" w:space="0" w:color="auto"/>
        <w:left w:val="none" w:sz="0" w:space="0" w:color="auto"/>
        <w:bottom w:val="none" w:sz="0" w:space="0" w:color="auto"/>
        <w:right w:val="none" w:sz="0" w:space="0" w:color="auto"/>
      </w:divBdr>
    </w:div>
    <w:div w:id="791897042">
      <w:bodyDiv w:val="1"/>
      <w:marLeft w:val="0"/>
      <w:marRight w:val="0"/>
      <w:marTop w:val="0"/>
      <w:marBottom w:val="0"/>
      <w:divBdr>
        <w:top w:val="none" w:sz="0" w:space="0" w:color="auto"/>
        <w:left w:val="none" w:sz="0" w:space="0" w:color="auto"/>
        <w:bottom w:val="none" w:sz="0" w:space="0" w:color="auto"/>
        <w:right w:val="none" w:sz="0" w:space="0" w:color="auto"/>
      </w:divBdr>
    </w:div>
    <w:div w:id="792603840">
      <w:bodyDiv w:val="1"/>
      <w:marLeft w:val="0"/>
      <w:marRight w:val="0"/>
      <w:marTop w:val="0"/>
      <w:marBottom w:val="0"/>
      <w:divBdr>
        <w:top w:val="none" w:sz="0" w:space="0" w:color="auto"/>
        <w:left w:val="none" w:sz="0" w:space="0" w:color="auto"/>
        <w:bottom w:val="none" w:sz="0" w:space="0" w:color="auto"/>
        <w:right w:val="none" w:sz="0" w:space="0" w:color="auto"/>
      </w:divBdr>
    </w:div>
    <w:div w:id="797994631">
      <w:bodyDiv w:val="1"/>
      <w:marLeft w:val="0"/>
      <w:marRight w:val="0"/>
      <w:marTop w:val="0"/>
      <w:marBottom w:val="0"/>
      <w:divBdr>
        <w:top w:val="none" w:sz="0" w:space="0" w:color="auto"/>
        <w:left w:val="none" w:sz="0" w:space="0" w:color="auto"/>
        <w:bottom w:val="none" w:sz="0" w:space="0" w:color="auto"/>
        <w:right w:val="none" w:sz="0" w:space="0" w:color="auto"/>
      </w:divBdr>
    </w:div>
    <w:div w:id="799305334">
      <w:bodyDiv w:val="1"/>
      <w:marLeft w:val="0"/>
      <w:marRight w:val="0"/>
      <w:marTop w:val="0"/>
      <w:marBottom w:val="0"/>
      <w:divBdr>
        <w:top w:val="none" w:sz="0" w:space="0" w:color="auto"/>
        <w:left w:val="none" w:sz="0" w:space="0" w:color="auto"/>
        <w:bottom w:val="none" w:sz="0" w:space="0" w:color="auto"/>
        <w:right w:val="none" w:sz="0" w:space="0" w:color="auto"/>
      </w:divBdr>
    </w:div>
    <w:div w:id="812450452">
      <w:bodyDiv w:val="1"/>
      <w:marLeft w:val="0"/>
      <w:marRight w:val="0"/>
      <w:marTop w:val="0"/>
      <w:marBottom w:val="0"/>
      <w:divBdr>
        <w:top w:val="none" w:sz="0" w:space="0" w:color="auto"/>
        <w:left w:val="none" w:sz="0" w:space="0" w:color="auto"/>
        <w:bottom w:val="none" w:sz="0" w:space="0" w:color="auto"/>
        <w:right w:val="none" w:sz="0" w:space="0" w:color="auto"/>
      </w:divBdr>
    </w:div>
    <w:div w:id="827787104">
      <w:bodyDiv w:val="1"/>
      <w:marLeft w:val="0"/>
      <w:marRight w:val="0"/>
      <w:marTop w:val="0"/>
      <w:marBottom w:val="0"/>
      <w:divBdr>
        <w:top w:val="none" w:sz="0" w:space="0" w:color="auto"/>
        <w:left w:val="none" w:sz="0" w:space="0" w:color="auto"/>
        <w:bottom w:val="none" w:sz="0" w:space="0" w:color="auto"/>
        <w:right w:val="none" w:sz="0" w:space="0" w:color="auto"/>
      </w:divBdr>
    </w:div>
    <w:div w:id="836502806">
      <w:bodyDiv w:val="1"/>
      <w:marLeft w:val="0"/>
      <w:marRight w:val="0"/>
      <w:marTop w:val="0"/>
      <w:marBottom w:val="0"/>
      <w:divBdr>
        <w:top w:val="none" w:sz="0" w:space="0" w:color="auto"/>
        <w:left w:val="none" w:sz="0" w:space="0" w:color="auto"/>
        <w:bottom w:val="none" w:sz="0" w:space="0" w:color="auto"/>
        <w:right w:val="none" w:sz="0" w:space="0" w:color="auto"/>
      </w:divBdr>
    </w:div>
    <w:div w:id="836728516">
      <w:bodyDiv w:val="1"/>
      <w:marLeft w:val="0"/>
      <w:marRight w:val="0"/>
      <w:marTop w:val="0"/>
      <w:marBottom w:val="0"/>
      <w:divBdr>
        <w:top w:val="none" w:sz="0" w:space="0" w:color="auto"/>
        <w:left w:val="none" w:sz="0" w:space="0" w:color="auto"/>
        <w:bottom w:val="none" w:sz="0" w:space="0" w:color="auto"/>
        <w:right w:val="none" w:sz="0" w:space="0" w:color="auto"/>
      </w:divBdr>
    </w:div>
    <w:div w:id="845053379">
      <w:bodyDiv w:val="1"/>
      <w:marLeft w:val="0"/>
      <w:marRight w:val="0"/>
      <w:marTop w:val="0"/>
      <w:marBottom w:val="0"/>
      <w:divBdr>
        <w:top w:val="none" w:sz="0" w:space="0" w:color="auto"/>
        <w:left w:val="none" w:sz="0" w:space="0" w:color="auto"/>
        <w:bottom w:val="none" w:sz="0" w:space="0" w:color="auto"/>
        <w:right w:val="none" w:sz="0" w:space="0" w:color="auto"/>
      </w:divBdr>
    </w:div>
    <w:div w:id="846676348">
      <w:bodyDiv w:val="1"/>
      <w:marLeft w:val="0"/>
      <w:marRight w:val="0"/>
      <w:marTop w:val="0"/>
      <w:marBottom w:val="0"/>
      <w:divBdr>
        <w:top w:val="none" w:sz="0" w:space="0" w:color="auto"/>
        <w:left w:val="none" w:sz="0" w:space="0" w:color="auto"/>
        <w:bottom w:val="none" w:sz="0" w:space="0" w:color="auto"/>
        <w:right w:val="none" w:sz="0" w:space="0" w:color="auto"/>
      </w:divBdr>
    </w:div>
    <w:div w:id="848565616">
      <w:bodyDiv w:val="1"/>
      <w:marLeft w:val="0"/>
      <w:marRight w:val="0"/>
      <w:marTop w:val="0"/>
      <w:marBottom w:val="0"/>
      <w:divBdr>
        <w:top w:val="none" w:sz="0" w:space="0" w:color="auto"/>
        <w:left w:val="none" w:sz="0" w:space="0" w:color="auto"/>
        <w:bottom w:val="none" w:sz="0" w:space="0" w:color="auto"/>
        <w:right w:val="none" w:sz="0" w:space="0" w:color="auto"/>
      </w:divBdr>
    </w:div>
    <w:div w:id="849829756">
      <w:bodyDiv w:val="1"/>
      <w:marLeft w:val="0"/>
      <w:marRight w:val="0"/>
      <w:marTop w:val="0"/>
      <w:marBottom w:val="0"/>
      <w:divBdr>
        <w:top w:val="none" w:sz="0" w:space="0" w:color="auto"/>
        <w:left w:val="none" w:sz="0" w:space="0" w:color="auto"/>
        <w:bottom w:val="none" w:sz="0" w:space="0" w:color="auto"/>
        <w:right w:val="none" w:sz="0" w:space="0" w:color="auto"/>
      </w:divBdr>
    </w:div>
    <w:div w:id="851993776">
      <w:bodyDiv w:val="1"/>
      <w:marLeft w:val="0"/>
      <w:marRight w:val="0"/>
      <w:marTop w:val="0"/>
      <w:marBottom w:val="0"/>
      <w:divBdr>
        <w:top w:val="none" w:sz="0" w:space="0" w:color="auto"/>
        <w:left w:val="none" w:sz="0" w:space="0" w:color="auto"/>
        <w:bottom w:val="none" w:sz="0" w:space="0" w:color="auto"/>
        <w:right w:val="none" w:sz="0" w:space="0" w:color="auto"/>
      </w:divBdr>
    </w:div>
    <w:div w:id="854340290">
      <w:bodyDiv w:val="1"/>
      <w:marLeft w:val="0"/>
      <w:marRight w:val="0"/>
      <w:marTop w:val="0"/>
      <w:marBottom w:val="0"/>
      <w:divBdr>
        <w:top w:val="none" w:sz="0" w:space="0" w:color="auto"/>
        <w:left w:val="none" w:sz="0" w:space="0" w:color="auto"/>
        <w:bottom w:val="none" w:sz="0" w:space="0" w:color="auto"/>
        <w:right w:val="none" w:sz="0" w:space="0" w:color="auto"/>
      </w:divBdr>
    </w:div>
    <w:div w:id="855193758">
      <w:bodyDiv w:val="1"/>
      <w:marLeft w:val="0"/>
      <w:marRight w:val="0"/>
      <w:marTop w:val="0"/>
      <w:marBottom w:val="0"/>
      <w:divBdr>
        <w:top w:val="none" w:sz="0" w:space="0" w:color="auto"/>
        <w:left w:val="none" w:sz="0" w:space="0" w:color="auto"/>
        <w:bottom w:val="none" w:sz="0" w:space="0" w:color="auto"/>
        <w:right w:val="none" w:sz="0" w:space="0" w:color="auto"/>
      </w:divBdr>
    </w:div>
    <w:div w:id="8559273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694">
          <w:marLeft w:val="0"/>
          <w:marRight w:val="0"/>
          <w:marTop w:val="0"/>
          <w:marBottom w:val="0"/>
          <w:divBdr>
            <w:top w:val="none" w:sz="0" w:space="0" w:color="auto"/>
            <w:left w:val="none" w:sz="0" w:space="0" w:color="auto"/>
            <w:bottom w:val="none" w:sz="0" w:space="0" w:color="auto"/>
            <w:right w:val="none" w:sz="0" w:space="0" w:color="auto"/>
          </w:divBdr>
          <w:divsChild>
            <w:div w:id="1013066733">
              <w:marLeft w:val="0"/>
              <w:marRight w:val="0"/>
              <w:marTop w:val="0"/>
              <w:marBottom w:val="0"/>
              <w:divBdr>
                <w:top w:val="none" w:sz="0" w:space="0" w:color="auto"/>
                <w:left w:val="none" w:sz="0" w:space="0" w:color="auto"/>
                <w:bottom w:val="none" w:sz="0" w:space="0" w:color="auto"/>
                <w:right w:val="none" w:sz="0" w:space="0" w:color="auto"/>
              </w:divBdr>
              <w:divsChild>
                <w:div w:id="2009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86387">
      <w:bodyDiv w:val="1"/>
      <w:marLeft w:val="0"/>
      <w:marRight w:val="0"/>
      <w:marTop w:val="0"/>
      <w:marBottom w:val="0"/>
      <w:divBdr>
        <w:top w:val="none" w:sz="0" w:space="0" w:color="auto"/>
        <w:left w:val="none" w:sz="0" w:space="0" w:color="auto"/>
        <w:bottom w:val="none" w:sz="0" w:space="0" w:color="auto"/>
        <w:right w:val="none" w:sz="0" w:space="0" w:color="auto"/>
      </w:divBdr>
    </w:div>
    <w:div w:id="861287535">
      <w:bodyDiv w:val="1"/>
      <w:marLeft w:val="0"/>
      <w:marRight w:val="0"/>
      <w:marTop w:val="0"/>
      <w:marBottom w:val="0"/>
      <w:divBdr>
        <w:top w:val="none" w:sz="0" w:space="0" w:color="auto"/>
        <w:left w:val="none" w:sz="0" w:space="0" w:color="auto"/>
        <w:bottom w:val="none" w:sz="0" w:space="0" w:color="auto"/>
        <w:right w:val="none" w:sz="0" w:space="0" w:color="auto"/>
      </w:divBdr>
    </w:div>
    <w:div w:id="862740736">
      <w:bodyDiv w:val="1"/>
      <w:marLeft w:val="0"/>
      <w:marRight w:val="0"/>
      <w:marTop w:val="0"/>
      <w:marBottom w:val="0"/>
      <w:divBdr>
        <w:top w:val="none" w:sz="0" w:space="0" w:color="auto"/>
        <w:left w:val="none" w:sz="0" w:space="0" w:color="auto"/>
        <w:bottom w:val="none" w:sz="0" w:space="0" w:color="auto"/>
        <w:right w:val="none" w:sz="0" w:space="0" w:color="auto"/>
      </w:divBdr>
    </w:div>
    <w:div w:id="864177631">
      <w:bodyDiv w:val="1"/>
      <w:marLeft w:val="0"/>
      <w:marRight w:val="0"/>
      <w:marTop w:val="0"/>
      <w:marBottom w:val="0"/>
      <w:divBdr>
        <w:top w:val="none" w:sz="0" w:space="0" w:color="auto"/>
        <w:left w:val="none" w:sz="0" w:space="0" w:color="auto"/>
        <w:bottom w:val="none" w:sz="0" w:space="0" w:color="auto"/>
        <w:right w:val="none" w:sz="0" w:space="0" w:color="auto"/>
      </w:divBdr>
    </w:div>
    <w:div w:id="865026943">
      <w:bodyDiv w:val="1"/>
      <w:marLeft w:val="0"/>
      <w:marRight w:val="0"/>
      <w:marTop w:val="0"/>
      <w:marBottom w:val="0"/>
      <w:divBdr>
        <w:top w:val="none" w:sz="0" w:space="0" w:color="auto"/>
        <w:left w:val="none" w:sz="0" w:space="0" w:color="auto"/>
        <w:bottom w:val="none" w:sz="0" w:space="0" w:color="auto"/>
        <w:right w:val="none" w:sz="0" w:space="0" w:color="auto"/>
      </w:divBdr>
    </w:div>
    <w:div w:id="874856091">
      <w:bodyDiv w:val="1"/>
      <w:marLeft w:val="0"/>
      <w:marRight w:val="0"/>
      <w:marTop w:val="0"/>
      <w:marBottom w:val="0"/>
      <w:divBdr>
        <w:top w:val="none" w:sz="0" w:space="0" w:color="auto"/>
        <w:left w:val="none" w:sz="0" w:space="0" w:color="auto"/>
        <w:bottom w:val="none" w:sz="0" w:space="0" w:color="auto"/>
        <w:right w:val="none" w:sz="0" w:space="0" w:color="auto"/>
      </w:divBdr>
    </w:div>
    <w:div w:id="876694961">
      <w:bodyDiv w:val="1"/>
      <w:marLeft w:val="0"/>
      <w:marRight w:val="0"/>
      <w:marTop w:val="0"/>
      <w:marBottom w:val="0"/>
      <w:divBdr>
        <w:top w:val="none" w:sz="0" w:space="0" w:color="auto"/>
        <w:left w:val="none" w:sz="0" w:space="0" w:color="auto"/>
        <w:bottom w:val="none" w:sz="0" w:space="0" w:color="auto"/>
        <w:right w:val="none" w:sz="0" w:space="0" w:color="auto"/>
      </w:divBdr>
    </w:div>
    <w:div w:id="881408545">
      <w:bodyDiv w:val="1"/>
      <w:marLeft w:val="0"/>
      <w:marRight w:val="0"/>
      <w:marTop w:val="0"/>
      <w:marBottom w:val="0"/>
      <w:divBdr>
        <w:top w:val="none" w:sz="0" w:space="0" w:color="auto"/>
        <w:left w:val="none" w:sz="0" w:space="0" w:color="auto"/>
        <w:bottom w:val="none" w:sz="0" w:space="0" w:color="auto"/>
        <w:right w:val="none" w:sz="0" w:space="0" w:color="auto"/>
      </w:divBdr>
    </w:div>
    <w:div w:id="885989939">
      <w:bodyDiv w:val="1"/>
      <w:marLeft w:val="0"/>
      <w:marRight w:val="0"/>
      <w:marTop w:val="0"/>
      <w:marBottom w:val="0"/>
      <w:divBdr>
        <w:top w:val="none" w:sz="0" w:space="0" w:color="auto"/>
        <w:left w:val="none" w:sz="0" w:space="0" w:color="auto"/>
        <w:bottom w:val="none" w:sz="0" w:space="0" w:color="auto"/>
        <w:right w:val="none" w:sz="0" w:space="0" w:color="auto"/>
      </w:divBdr>
    </w:div>
    <w:div w:id="889272067">
      <w:bodyDiv w:val="1"/>
      <w:marLeft w:val="0"/>
      <w:marRight w:val="0"/>
      <w:marTop w:val="0"/>
      <w:marBottom w:val="0"/>
      <w:divBdr>
        <w:top w:val="none" w:sz="0" w:space="0" w:color="auto"/>
        <w:left w:val="none" w:sz="0" w:space="0" w:color="auto"/>
        <w:bottom w:val="none" w:sz="0" w:space="0" w:color="auto"/>
        <w:right w:val="none" w:sz="0" w:space="0" w:color="auto"/>
      </w:divBdr>
    </w:div>
    <w:div w:id="889342202">
      <w:bodyDiv w:val="1"/>
      <w:marLeft w:val="0"/>
      <w:marRight w:val="0"/>
      <w:marTop w:val="0"/>
      <w:marBottom w:val="0"/>
      <w:divBdr>
        <w:top w:val="none" w:sz="0" w:space="0" w:color="auto"/>
        <w:left w:val="none" w:sz="0" w:space="0" w:color="auto"/>
        <w:bottom w:val="none" w:sz="0" w:space="0" w:color="auto"/>
        <w:right w:val="none" w:sz="0" w:space="0" w:color="auto"/>
      </w:divBdr>
    </w:div>
    <w:div w:id="897402377">
      <w:bodyDiv w:val="1"/>
      <w:marLeft w:val="0"/>
      <w:marRight w:val="0"/>
      <w:marTop w:val="0"/>
      <w:marBottom w:val="0"/>
      <w:divBdr>
        <w:top w:val="none" w:sz="0" w:space="0" w:color="auto"/>
        <w:left w:val="none" w:sz="0" w:space="0" w:color="auto"/>
        <w:bottom w:val="none" w:sz="0" w:space="0" w:color="auto"/>
        <w:right w:val="none" w:sz="0" w:space="0" w:color="auto"/>
      </w:divBdr>
    </w:div>
    <w:div w:id="901141166">
      <w:bodyDiv w:val="1"/>
      <w:marLeft w:val="0"/>
      <w:marRight w:val="0"/>
      <w:marTop w:val="0"/>
      <w:marBottom w:val="0"/>
      <w:divBdr>
        <w:top w:val="none" w:sz="0" w:space="0" w:color="auto"/>
        <w:left w:val="none" w:sz="0" w:space="0" w:color="auto"/>
        <w:bottom w:val="none" w:sz="0" w:space="0" w:color="auto"/>
        <w:right w:val="none" w:sz="0" w:space="0" w:color="auto"/>
      </w:divBdr>
    </w:div>
    <w:div w:id="905606011">
      <w:bodyDiv w:val="1"/>
      <w:marLeft w:val="0"/>
      <w:marRight w:val="0"/>
      <w:marTop w:val="0"/>
      <w:marBottom w:val="0"/>
      <w:divBdr>
        <w:top w:val="none" w:sz="0" w:space="0" w:color="auto"/>
        <w:left w:val="none" w:sz="0" w:space="0" w:color="auto"/>
        <w:bottom w:val="none" w:sz="0" w:space="0" w:color="auto"/>
        <w:right w:val="none" w:sz="0" w:space="0" w:color="auto"/>
      </w:divBdr>
    </w:div>
    <w:div w:id="906844853">
      <w:bodyDiv w:val="1"/>
      <w:marLeft w:val="0"/>
      <w:marRight w:val="0"/>
      <w:marTop w:val="0"/>
      <w:marBottom w:val="0"/>
      <w:divBdr>
        <w:top w:val="none" w:sz="0" w:space="0" w:color="auto"/>
        <w:left w:val="none" w:sz="0" w:space="0" w:color="auto"/>
        <w:bottom w:val="none" w:sz="0" w:space="0" w:color="auto"/>
        <w:right w:val="none" w:sz="0" w:space="0" w:color="auto"/>
      </w:divBdr>
    </w:div>
    <w:div w:id="908928753">
      <w:bodyDiv w:val="1"/>
      <w:marLeft w:val="0"/>
      <w:marRight w:val="0"/>
      <w:marTop w:val="0"/>
      <w:marBottom w:val="0"/>
      <w:divBdr>
        <w:top w:val="none" w:sz="0" w:space="0" w:color="auto"/>
        <w:left w:val="none" w:sz="0" w:space="0" w:color="auto"/>
        <w:bottom w:val="none" w:sz="0" w:space="0" w:color="auto"/>
        <w:right w:val="none" w:sz="0" w:space="0" w:color="auto"/>
      </w:divBdr>
    </w:div>
    <w:div w:id="914441144">
      <w:bodyDiv w:val="1"/>
      <w:marLeft w:val="0"/>
      <w:marRight w:val="0"/>
      <w:marTop w:val="0"/>
      <w:marBottom w:val="0"/>
      <w:divBdr>
        <w:top w:val="none" w:sz="0" w:space="0" w:color="auto"/>
        <w:left w:val="none" w:sz="0" w:space="0" w:color="auto"/>
        <w:bottom w:val="none" w:sz="0" w:space="0" w:color="auto"/>
        <w:right w:val="none" w:sz="0" w:space="0" w:color="auto"/>
      </w:divBdr>
    </w:div>
    <w:div w:id="917177064">
      <w:bodyDiv w:val="1"/>
      <w:marLeft w:val="0"/>
      <w:marRight w:val="0"/>
      <w:marTop w:val="0"/>
      <w:marBottom w:val="0"/>
      <w:divBdr>
        <w:top w:val="none" w:sz="0" w:space="0" w:color="auto"/>
        <w:left w:val="none" w:sz="0" w:space="0" w:color="auto"/>
        <w:bottom w:val="none" w:sz="0" w:space="0" w:color="auto"/>
        <w:right w:val="none" w:sz="0" w:space="0" w:color="auto"/>
      </w:divBdr>
    </w:div>
    <w:div w:id="917373444">
      <w:bodyDiv w:val="1"/>
      <w:marLeft w:val="0"/>
      <w:marRight w:val="0"/>
      <w:marTop w:val="0"/>
      <w:marBottom w:val="0"/>
      <w:divBdr>
        <w:top w:val="none" w:sz="0" w:space="0" w:color="auto"/>
        <w:left w:val="none" w:sz="0" w:space="0" w:color="auto"/>
        <w:bottom w:val="none" w:sz="0" w:space="0" w:color="auto"/>
        <w:right w:val="none" w:sz="0" w:space="0" w:color="auto"/>
      </w:divBdr>
    </w:div>
    <w:div w:id="919218583">
      <w:bodyDiv w:val="1"/>
      <w:marLeft w:val="0"/>
      <w:marRight w:val="0"/>
      <w:marTop w:val="0"/>
      <w:marBottom w:val="0"/>
      <w:divBdr>
        <w:top w:val="none" w:sz="0" w:space="0" w:color="auto"/>
        <w:left w:val="none" w:sz="0" w:space="0" w:color="auto"/>
        <w:bottom w:val="none" w:sz="0" w:space="0" w:color="auto"/>
        <w:right w:val="none" w:sz="0" w:space="0" w:color="auto"/>
      </w:divBdr>
    </w:div>
    <w:div w:id="925655847">
      <w:bodyDiv w:val="1"/>
      <w:marLeft w:val="0"/>
      <w:marRight w:val="0"/>
      <w:marTop w:val="0"/>
      <w:marBottom w:val="0"/>
      <w:divBdr>
        <w:top w:val="none" w:sz="0" w:space="0" w:color="auto"/>
        <w:left w:val="none" w:sz="0" w:space="0" w:color="auto"/>
        <w:bottom w:val="none" w:sz="0" w:space="0" w:color="auto"/>
        <w:right w:val="none" w:sz="0" w:space="0" w:color="auto"/>
      </w:divBdr>
    </w:div>
    <w:div w:id="926040733">
      <w:bodyDiv w:val="1"/>
      <w:marLeft w:val="0"/>
      <w:marRight w:val="0"/>
      <w:marTop w:val="0"/>
      <w:marBottom w:val="0"/>
      <w:divBdr>
        <w:top w:val="none" w:sz="0" w:space="0" w:color="auto"/>
        <w:left w:val="none" w:sz="0" w:space="0" w:color="auto"/>
        <w:bottom w:val="none" w:sz="0" w:space="0" w:color="auto"/>
        <w:right w:val="none" w:sz="0" w:space="0" w:color="auto"/>
      </w:divBdr>
    </w:div>
    <w:div w:id="931738921">
      <w:bodyDiv w:val="1"/>
      <w:marLeft w:val="0"/>
      <w:marRight w:val="0"/>
      <w:marTop w:val="0"/>
      <w:marBottom w:val="0"/>
      <w:divBdr>
        <w:top w:val="none" w:sz="0" w:space="0" w:color="auto"/>
        <w:left w:val="none" w:sz="0" w:space="0" w:color="auto"/>
        <w:bottom w:val="none" w:sz="0" w:space="0" w:color="auto"/>
        <w:right w:val="none" w:sz="0" w:space="0" w:color="auto"/>
      </w:divBdr>
      <w:divsChild>
        <w:div w:id="1014569904">
          <w:marLeft w:val="0"/>
          <w:marRight w:val="0"/>
          <w:marTop w:val="0"/>
          <w:marBottom w:val="0"/>
          <w:divBdr>
            <w:top w:val="none" w:sz="0" w:space="0" w:color="auto"/>
            <w:left w:val="none" w:sz="0" w:space="0" w:color="auto"/>
            <w:bottom w:val="none" w:sz="0" w:space="0" w:color="auto"/>
            <w:right w:val="none" w:sz="0" w:space="0" w:color="auto"/>
          </w:divBdr>
          <w:divsChild>
            <w:div w:id="2072072092">
              <w:marLeft w:val="0"/>
              <w:marRight w:val="0"/>
              <w:marTop w:val="0"/>
              <w:marBottom w:val="180"/>
              <w:divBdr>
                <w:top w:val="none" w:sz="0" w:space="0" w:color="auto"/>
                <w:left w:val="none" w:sz="0" w:space="0" w:color="auto"/>
                <w:bottom w:val="none" w:sz="0" w:space="0" w:color="auto"/>
                <w:right w:val="none" w:sz="0" w:space="0" w:color="auto"/>
              </w:divBdr>
              <w:divsChild>
                <w:div w:id="12888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7194">
      <w:bodyDiv w:val="1"/>
      <w:marLeft w:val="0"/>
      <w:marRight w:val="0"/>
      <w:marTop w:val="0"/>
      <w:marBottom w:val="0"/>
      <w:divBdr>
        <w:top w:val="none" w:sz="0" w:space="0" w:color="auto"/>
        <w:left w:val="none" w:sz="0" w:space="0" w:color="auto"/>
        <w:bottom w:val="none" w:sz="0" w:space="0" w:color="auto"/>
        <w:right w:val="none" w:sz="0" w:space="0" w:color="auto"/>
      </w:divBdr>
    </w:div>
    <w:div w:id="943533349">
      <w:bodyDiv w:val="1"/>
      <w:marLeft w:val="0"/>
      <w:marRight w:val="0"/>
      <w:marTop w:val="0"/>
      <w:marBottom w:val="0"/>
      <w:divBdr>
        <w:top w:val="none" w:sz="0" w:space="0" w:color="auto"/>
        <w:left w:val="none" w:sz="0" w:space="0" w:color="auto"/>
        <w:bottom w:val="none" w:sz="0" w:space="0" w:color="auto"/>
        <w:right w:val="none" w:sz="0" w:space="0" w:color="auto"/>
      </w:divBdr>
    </w:div>
    <w:div w:id="950237815">
      <w:bodyDiv w:val="1"/>
      <w:marLeft w:val="0"/>
      <w:marRight w:val="0"/>
      <w:marTop w:val="0"/>
      <w:marBottom w:val="0"/>
      <w:divBdr>
        <w:top w:val="none" w:sz="0" w:space="0" w:color="auto"/>
        <w:left w:val="none" w:sz="0" w:space="0" w:color="auto"/>
        <w:bottom w:val="none" w:sz="0" w:space="0" w:color="auto"/>
        <w:right w:val="none" w:sz="0" w:space="0" w:color="auto"/>
      </w:divBdr>
    </w:div>
    <w:div w:id="951937749">
      <w:bodyDiv w:val="1"/>
      <w:marLeft w:val="0"/>
      <w:marRight w:val="0"/>
      <w:marTop w:val="0"/>
      <w:marBottom w:val="0"/>
      <w:divBdr>
        <w:top w:val="none" w:sz="0" w:space="0" w:color="auto"/>
        <w:left w:val="none" w:sz="0" w:space="0" w:color="auto"/>
        <w:bottom w:val="none" w:sz="0" w:space="0" w:color="auto"/>
        <w:right w:val="none" w:sz="0" w:space="0" w:color="auto"/>
      </w:divBdr>
    </w:div>
    <w:div w:id="954405656">
      <w:bodyDiv w:val="1"/>
      <w:marLeft w:val="0"/>
      <w:marRight w:val="0"/>
      <w:marTop w:val="0"/>
      <w:marBottom w:val="0"/>
      <w:divBdr>
        <w:top w:val="none" w:sz="0" w:space="0" w:color="auto"/>
        <w:left w:val="none" w:sz="0" w:space="0" w:color="auto"/>
        <w:bottom w:val="none" w:sz="0" w:space="0" w:color="auto"/>
        <w:right w:val="none" w:sz="0" w:space="0" w:color="auto"/>
      </w:divBdr>
    </w:div>
    <w:div w:id="955142904">
      <w:bodyDiv w:val="1"/>
      <w:marLeft w:val="0"/>
      <w:marRight w:val="0"/>
      <w:marTop w:val="0"/>
      <w:marBottom w:val="0"/>
      <w:divBdr>
        <w:top w:val="none" w:sz="0" w:space="0" w:color="auto"/>
        <w:left w:val="none" w:sz="0" w:space="0" w:color="auto"/>
        <w:bottom w:val="none" w:sz="0" w:space="0" w:color="auto"/>
        <w:right w:val="none" w:sz="0" w:space="0" w:color="auto"/>
      </w:divBdr>
    </w:div>
    <w:div w:id="966742569">
      <w:bodyDiv w:val="1"/>
      <w:marLeft w:val="0"/>
      <w:marRight w:val="0"/>
      <w:marTop w:val="0"/>
      <w:marBottom w:val="0"/>
      <w:divBdr>
        <w:top w:val="none" w:sz="0" w:space="0" w:color="auto"/>
        <w:left w:val="none" w:sz="0" w:space="0" w:color="auto"/>
        <w:bottom w:val="none" w:sz="0" w:space="0" w:color="auto"/>
        <w:right w:val="none" w:sz="0" w:space="0" w:color="auto"/>
      </w:divBdr>
    </w:div>
    <w:div w:id="970480930">
      <w:bodyDiv w:val="1"/>
      <w:marLeft w:val="0"/>
      <w:marRight w:val="0"/>
      <w:marTop w:val="0"/>
      <w:marBottom w:val="0"/>
      <w:divBdr>
        <w:top w:val="none" w:sz="0" w:space="0" w:color="auto"/>
        <w:left w:val="none" w:sz="0" w:space="0" w:color="auto"/>
        <w:bottom w:val="none" w:sz="0" w:space="0" w:color="auto"/>
        <w:right w:val="none" w:sz="0" w:space="0" w:color="auto"/>
      </w:divBdr>
    </w:div>
    <w:div w:id="982003545">
      <w:bodyDiv w:val="1"/>
      <w:marLeft w:val="0"/>
      <w:marRight w:val="0"/>
      <w:marTop w:val="0"/>
      <w:marBottom w:val="0"/>
      <w:divBdr>
        <w:top w:val="none" w:sz="0" w:space="0" w:color="auto"/>
        <w:left w:val="none" w:sz="0" w:space="0" w:color="auto"/>
        <w:bottom w:val="none" w:sz="0" w:space="0" w:color="auto"/>
        <w:right w:val="none" w:sz="0" w:space="0" w:color="auto"/>
      </w:divBdr>
    </w:div>
    <w:div w:id="992417308">
      <w:bodyDiv w:val="1"/>
      <w:marLeft w:val="0"/>
      <w:marRight w:val="0"/>
      <w:marTop w:val="0"/>
      <w:marBottom w:val="0"/>
      <w:divBdr>
        <w:top w:val="none" w:sz="0" w:space="0" w:color="auto"/>
        <w:left w:val="none" w:sz="0" w:space="0" w:color="auto"/>
        <w:bottom w:val="none" w:sz="0" w:space="0" w:color="auto"/>
        <w:right w:val="none" w:sz="0" w:space="0" w:color="auto"/>
      </w:divBdr>
    </w:div>
    <w:div w:id="995180512">
      <w:bodyDiv w:val="1"/>
      <w:marLeft w:val="0"/>
      <w:marRight w:val="0"/>
      <w:marTop w:val="0"/>
      <w:marBottom w:val="0"/>
      <w:divBdr>
        <w:top w:val="none" w:sz="0" w:space="0" w:color="auto"/>
        <w:left w:val="none" w:sz="0" w:space="0" w:color="auto"/>
        <w:bottom w:val="none" w:sz="0" w:space="0" w:color="auto"/>
        <w:right w:val="none" w:sz="0" w:space="0" w:color="auto"/>
      </w:divBdr>
    </w:div>
    <w:div w:id="999582905">
      <w:bodyDiv w:val="1"/>
      <w:marLeft w:val="0"/>
      <w:marRight w:val="0"/>
      <w:marTop w:val="0"/>
      <w:marBottom w:val="0"/>
      <w:divBdr>
        <w:top w:val="none" w:sz="0" w:space="0" w:color="auto"/>
        <w:left w:val="none" w:sz="0" w:space="0" w:color="auto"/>
        <w:bottom w:val="none" w:sz="0" w:space="0" w:color="auto"/>
        <w:right w:val="none" w:sz="0" w:space="0" w:color="auto"/>
      </w:divBdr>
    </w:div>
    <w:div w:id="1003969347">
      <w:bodyDiv w:val="1"/>
      <w:marLeft w:val="0"/>
      <w:marRight w:val="0"/>
      <w:marTop w:val="0"/>
      <w:marBottom w:val="0"/>
      <w:divBdr>
        <w:top w:val="none" w:sz="0" w:space="0" w:color="auto"/>
        <w:left w:val="none" w:sz="0" w:space="0" w:color="auto"/>
        <w:bottom w:val="none" w:sz="0" w:space="0" w:color="auto"/>
        <w:right w:val="none" w:sz="0" w:space="0" w:color="auto"/>
      </w:divBdr>
    </w:div>
    <w:div w:id="1010644879">
      <w:bodyDiv w:val="1"/>
      <w:marLeft w:val="0"/>
      <w:marRight w:val="0"/>
      <w:marTop w:val="0"/>
      <w:marBottom w:val="0"/>
      <w:divBdr>
        <w:top w:val="none" w:sz="0" w:space="0" w:color="auto"/>
        <w:left w:val="none" w:sz="0" w:space="0" w:color="auto"/>
        <w:bottom w:val="none" w:sz="0" w:space="0" w:color="auto"/>
        <w:right w:val="none" w:sz="0" w:space="0" w:color="auto"/>
      </w:divBdr>
    </w:div>
    <w:div w:id="1021513956">
      <w:bodyDiv w:val="1"/>
      <w:marLeft w:val="0"/>
      <w:marRight w:val="0"/>
      <w:marTop w:val="0"/>
      <w:marBottom w:val="0"/>
      <w:divBdr>
        <w:top w:val="none" w:sz="0" w:space="0" w:color="auto"/>
        <w:left w:val="none" w:sz="0" w:space="0" w:color="auto"/>
        <w:bottom w:val="none" w:sz="0" w:space="0" w:color="auto"/>
        <w:right w:val="none" w:sz="0" w:space="0" w:color="auto"/>
      </w:divBdr>
    </w:div>
    <w:div w:id="1022123361">
      <w:bodyDiv w:val="1"/>
      <w:marLeft w:val="0"/>
      <w:marRight w:val="0"/>
      <w:marTop w:val="0"/>
      <w:marBottom w:val="0"/>
      <w:divBdr>
        <w:top w:val="none" w:sz="0" w:space="0" w:color="auto"/>
        <w:left w:val="none" w:sz="0" w:space="0" w:color="auto"/>
        <w:bottom w:val="none" w:sz="0" w:space="0" w:color="auto"/>
        <w:right w:val="none" w:sz="0" w:space="0" w:color="auto"/>
      </w:divBdr>
    </w:div>
    <w:div w:id="1026103532">
      <w:bodyDiv w:val="1"/>
      <w:marLeft w:val="0"/>
      <w:marRight w:val="0"/>
      <w:marTop w:val="0"/>
      <w:marBottom w:val="0"/>
      <w:divBdr>
        <w:top w:val="none" w:sz="0" w:space="0" w:color="auto"/>
        <w:left w:val="none" w:sz="0" w:space="0" w:color="auto"/>
        <w:bottom w:val="none" w:sz="0" w:space="0" w:color="auto"/>
        <w:right w:val="none" w:sz="0" w:space="0" w:color="auto"/>
      </w:divBdr>
    </w:div>
    <w:div w:id="1028603658">
      <w:bodyDiv w:val="1"/>
      <w:marLeft w:val="0"/>
      <w:marRight w:val="0"/>
      <w:marTop w:val="0"/>
      <w:marBottom w:val="0"/>
      <w:divBdr>
        <w:top w:val="none" w:sz="0" w:space="0" w:color="auto"/>
        <w:left w:val="none" w:sz="0" w:space="0" w:color="auto"/>
        <w:bottom w:val="none" w:sz="0" w:space="0" w:color="auto"/>
        <w:right w:val="none" w:sz="0" w:space="0" w:color="auto"/>
      </w:divBdr>
    </w:div>
    <w:div w:id="1034571873">
      <w:bodyDiv w:val="1"/>
      <w:marLeft w:val="0"/>
      <w:marRight w:val="0"/>
      <w:marTop w:val="0"/>
      <w:marBottom w:val="0"/>
      <w:divBdr>
        <w:top w:val="none" w:sz="0" w:space="0" w:color="auto"/>
        <w:left w:val="none" w:sz="0" w:space="0" w:color="auto"/>
        <w:bottom w:val="none" w:sz="0" w:space="0" w:color="auto"/>
        <w:right w:val="none" w:sz="0" w:space="0" w:color="auto"/>
      </w:divBdr>
    </w:div>
    <w:div w:id="1034773412">
      <w:bodyDiv w:val="1"/>
      <w:marLeft w:val="0"/>
      <w:marRight w:val="0"/>
      <w:marTop w:val="0"/>
      <w:marBottom w:val="0"/>
      <w:divBdr>
        <w:top w:val="none" w:sz="0" w:space="0" w:color="auto"/>
        <w:left w:val="none" w:sz="0" w:space="0" w:color="auto"/>
        <w:bottom w:val="none" w:sz="0" w:space="0" w:color="auto"/>
        <w:right w:val="none" w:sz="0" w:space="0" w:color="auto"/>
      </w:divBdr>
    </w:div>
    <w:div w:id="1038045989">
      <w:bodyDiv w:val="1"/>
      <w:marLeft w:val="0"/>
      <w:marRight w:val="0"/>
      <w:marTop w:val="0"/>
      <w:marBottom w:val="0"/>
      <w:divBdr>
        <w:top w:val="none" w:sz="0" w:space="0" w:color="auto"/>
        <w:left w:val="none" w:sz="0" w:space="0" w:color="auto"/>
        <w:bottom w:val="none" w:sz="0" w:space="0" w:color="auto"/>
        <w:right w:val="none" w:sz="0" w:space="0" w:color="auto"/>
      </w:divBdr>
    </w:div>
    <w:div w:id="1045762795">
      <w:bodyDiv w:val="1"/>
      <w:marLeft w:val="0"/>
      <w:marRight w:val="0"/>
      <w:marTop w:val="0"/>
      <w:marBottom w:val="0"/>
      <w:divBdr>
        <w:top w:val="none" w:sz="0" w:space="0" w:color="auto"/>
        <w:left w:val="none" w:sz="0" w:space="0" w:color="auto"/>
        <w:bottom w:val="none" w:sz="0" w:space="0" w:color="auto"/>
        <w:right w:val="none" w:sz="0" w:space="0" w:color="auto"/>
      </w:divBdr>
      <w:divsChild>
        <w:div w:id="1915164298">
          <w:marLeft w:val="0"/>
          <w:marRight w:val="0"/>
          <w:marTop w:val="0"/>
          <w:marBottom w:val="0"/>
          <w:divBdr>
            <w:top w:val="none" w:sz="0" w:space="0" w:color="auto"/>
            <w:left w:val="none" w:sz="0" w:space="0" w:color="auto"/>
            <w:bottom w:val="none" w:sz="0" w:space="0" w:color="auto"/>
            <w:right w:val="none" w:sz="0" w:space="0" w:color="auto"/>
          </w:divBdr>
          <w:divsChild>
            <w:div w:id="207031173">
              <w:marLeft w:val="0"/>
              <w:marRight w:val="0"/>
              <w:marTop w:val="0"/>
              <w:marBottom w:val="0"/>
              <w:divBdr>
                <w:top w:val="none" w:sz="0" w:space="0" w:color="auto"/>
                <w:left w:val="none" w:sz="0" w:space="0" w:color="auto"/>
                <w:bottom w:val="none" w:sz="0" w:space="0" w:color="auto"/>
                <w:right w:val="none" w:sz="0" w:space="0" w:color="auto"/>
              </w:divBdr>
              <w:divsChild>
                <w:div w:id="19476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9298">
      <w:bodyDiv w:val="1"/>
      <w:marLeft w:val="0"/>
      <w:marRight w:val="0"/>
      <w:marTop w:val="0"/>
      <w:marBottom w:val="0"/>
      <w:divBdr>
        <w:top w:val="none" w:sz="0" w:space="0" w:color="auto"/>
        <w:left w:val="none" w:sz="0" w:space="0" w:color="auto"/>
        <w:bottom w:val="none" w:sz="0" w:space="0" w:color="auto"/>
        <w:right w:val="none" w:sz="0" w:space="0" w:color="auto"/>
      </w:divBdr>
    </w:div>
    <w:div w:id="1053164352">
      <w:bodyDiv w:val="1"/>
      <w:marLeft w:val="0"/>
      <w:marRight w:val="0"/>
      <w:marTop w:val="0"/>
      <w:marBottom w:val="0"/>
      <w:divBdr>
        <w:top w:val="none" w:sz="0" w:space="0" w:color="auto"/>
        <w:left w:val="none" w:sz="0" w:space="0" w:color="auto"/>
        <w:bottom w:val="none" w:sz="0" w:space="0" w:color="auto"/>
        <w:right w:val="none" w:sz="0" w:space="0" w:color="auto"/>
      </w:divBdr>
    </w:div>
    <w:div w:id="1063719965">
      <w:bodyDiv w:val="1"/>
      <w:marLeft w:val="0"/>
      <w:marRight w:val="0"/>
      <w:marTop w:val="0"/>
      <w:marBottom w:val="0"/>
      <w:divBdr>
        <w:top w:val="none" w:sz="0" w:space="0" w:color="auto"/>
        <w:left w:val="none" w:sz="0" w:space="0" w:color="auto"/>
        <w:bottom w:val="none" w:sz="0" w:space="0" w:color="auto"/>
        <w:right w:val="none" w:sz="0" w:space="0" w:color="auto"/>
      </w:divBdr>
    </w:div>
    <w:div w:id="1079138117">
      <w:bodyDiv w:val="1"/>
      <w:marLeft w:val="0"/>
      <w:marRight w:val="0"/>
      <w:marTop w:val="0"/>
      <w:marBottom w:val="0"/>
      <w:divBdr>
        <w:top w:val="none" w:sz="0" w:space="0" w:color="auto"/>
        <w:left w:val="none" w:sz="0" w:space="0" w:color="auto"/>
        <w:bottom w:val="none" w:sz="0" w:space="0" w:color="auto"/>
        <w:right w:val="none" w:sz="0" w:space="0" w:color="auto"/>
      </w:divBdr>
    </w:div>
    <w:div w:id="1083262538">
      <w:bodyDiv w:val="1"/>
      <w:marLeft w:val="0"/>
      <w:marRight w:val="0"/>
      <w:marTop w:val="0"/>
      <w:marBottom w:val="0"/>
      <w:divBdr>
        <w:top w:val="none" w:sz="0" w:space="0" w:color="auto"/>
        <w:left w:val="none" w:sz="0" w:space="0" w:color="auto"/>
        <w:bottom w:val="none" w:sz="0" w:space="0" w:color="auto"/>
        <w:right w:val="none" w:sz="0" w:space="0" w:color="auto"/>
      </w:divBdr>
      <w:divsChild>
        <w:div w:id="288247922">
          <w:marLeft w:val="0"/>
          <w:marRight w:val="0"/>
          <w:marTop w:val="0"/>
          <w:marBottom w:val="0"/>
          <w:divBdr>
            <w:top w:val="none" w:sz="0" w:space="0" w:color="auto"/>
            <w:left w:val="none" w:sz="0" w:space="0" w:color="auto"/>
            <w:bottom w:val="none" w:sz="0" w:space="0" w:color="auto"/>
            <w:right w:val="none" w:sz="0" w:space="0" w:color="auto"/>
          </w:divBdr>
          <w:divsChild>
            <w:div w:id="32390492">
              <w:marLeft w:val="0"/>
              <w:marRight w:val="0"/>
              <w:marTop w:val="0"/>
              <w:marBottom w:val="0"/>
              <w:divBdr>
                <w:top w:val="none" w:sz="0" w:space="0" w:color="auto"/>
                <w:left w:val="none" w:sz="0" w:space="0" w:color="auto"/>
                <w:bottom w:val="none" w:sz="0" w:space="0" w:color="auto"/>
                <w:right w:val="none" w:sz="0" w:space="0" w:color="auto"/>
              </w:divBdr>
              <w:divsChild>
                <w:div w:id="220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8526">
      <w:bodyDiv w:val="1"/>
      <w:marLeft w:val="0"/>
      <w:marRight w:val="0"/>
      <w:marTop w:val="0"/>
      <w:marBottom w:val="0"/>
      <w:divBdr>
        <w:top w:val="none" w:sz="0" w:space="0" w:color="auto"/>
        <w:left w:val="none" w:sz="0" w:space="0" w:color="auto"/>
        <w:bottom w:val="none" w:sz="0" w:space="0" w:color="auto"/>
        <w:right w:val="none" w:sz="0" w:space="0" w:color="auto"/>
      </w:divBdr>
    </w:div>
    <w:div w:id="1084718335">
      <w:bodyDiv w:val="1"/>
      <w:marLeft w:val="0"/>
      <w:marRight w:val="0"/>
      <w:marTop w:val="0"/>
      <w:marBottom w:val="0"/>
      <w:divBdr>
        <w:top w:val="none" w:sz="0" w:space="0" w:color="auto"/>
        <w:left w:val="none" w:sz="0" w:space="0" w:color="auto"/>
        <w:bottom w:val="none" w:sz="0" w:space="0" w:color="auto"/>
        <w:right w:val="none" w:sz="0" w:space="0" w:color="auto"/>
      </w:divBdr>
    </w:div>
    <w:div w:id="1085112238">
      <w:bodyDiv w:val="1"/>
      <w:marLeft w:val="0"/>
      <w:marRight w:val="0"/>
      <w:marTop w:val="0"/>
      <w:marBottom w:val="0"/>
      <w:divBdr>
        <w:top w:val="none" w:sz="0" w:space="0" w:color="auto"/>
        <w:left w:val="none" w:sz="0" w:space="0" w:color="auto"/>
        <w:bottom w:val="none" w:sz="0" w:space="0" w:color="auto"/>
        <w:right w:val="none" w:sz="0" w:space="0" w:color="auto"/>
      </w:divBdr>
    </w:div>
    <w:div w:id="1090614140">
      <w:bodyDiv w:val="1"/>
      <w:marLeft w:val="0"/>
      <w:marRight w:val="0"/>
      <w:marTop w:val="0"/>
      <w:marBottom w:val="0"/>
      <w:divBdr>
        <w:top w:val="none" w:sz="0" w:space="0" w:color="auto"/>
        <w:left w:val="none" w:sz="0" w:space="0" w:color="auto"/>
        <w:bottom w:val="none" w:sz="0" w:space="0" w:color="auto"/>
        <w:right w:val="none" w:sz="0" w:space="0" w:color="auto"/>
      </w:divBdr>
    </w:div>
    <w:div w:id="1102727098">
      <w:bodyDiv w:val="1"/>
      <w:marLeft w:val="0"/>
      <w:marRight w:val="0"/>
      <w:marTop w:val="0"/>
      <w:marBottom w:val="0"/>
      <w:divBdr>
        <w:top w:val="none" w:sz="0" w:space="0" w:color="auto"/>
        <w:left w:val="none" w:sz="0" w:space="0" w:color="auto"/>
        <w:bottom w:val="none" w:sz="0" w:space="0" w:color="auto"/>
        <w:right w:val="none" w:sz="0" w:space="0" w:color="auto"/>
      </w:divBdr>
    </w:div>
    <w:div w:id="1113750976">
      <w:bodyDiv w:val="1"/>
      <w:marLeft w:val="0"/>
      <w:marRight w:val="0"/>
      <w:marTop w:val="0"/>
      <w:marBottom w:val="0"/>
      <w:divBdr>
        <w:top w:val="none" w:sz="0" w:space="0" w:color="auto"/>
        <w:left w:val="none" w:sz="0" w:space="0" w:color="auto"/>
        <w:bottom w:val="none" w:sz="0" w:space="0" w:color="auto"/>
        <w:right w:val="none" w:sz="0" w:space="0" w:color="auto"/>
      </w:divBdr>
    </w:div>
    <w:div w:id="1118914761">
      <w:bodyDiv w:val="1"/>
      <w:marLeft w:val="0"/>
      <w:marRight w:val="0"/>
      <w:marTop w:val="0"/>
      <w:marBottom w:val="0"/>
      <w:divBdr>
        <w:top w:val="none" w:sz="0" w:space="0" w:color="auto"/>
        <w:left w:val="none" w:sz="0" w:space="0" w:color="auto"/>
        <w:bottom w:val="none" w:sz="0" w:space="0" w:color="auto"/>
        <w:right w:val="none" w:sz="0" w:space="0" w:color="auto"/>
      </w:divBdr>
    </w:div>
    <w:div w:id="1119762382">
      <w:bodyDiv w:val="1"/>
      <w:marLeft w:val="0"/>
      <w:marRight w:val="0"/>
      <w:marTop w:val="0"/>
      <w:marBottom w:val="0"/>
      <w:divBdr>
        <w:top w:val="none" w:sz="0" w:space="0" w:color="auto"/>
        <w:left w:val="none" w:sz="0" w:space="0" w:color="auto"/>
        <w:bottom w:val="none" w:sz="0" w:space="0" w:color="auto"/>
        <w:right w:val="none" w:sz="0" w:space="0" w:color="auto"/>
      </w:divBdr>
    </w:div>
    <w:div w:id="1121071121">
      <w:bodyDiv w:val="1"/>
      <w:marLeft w:val="0"/>
      <w:marRight w:val="0"/>
      <w:marTop w:val="0"/>
      <w:marBottom w:val="0"/>
      <w:divBdr>
        <w:top w:val="none" w:sz="0" w:space="0" w:color="auto"/>
        <w:left w:val="none" w:sz="0" w:space="0" w:color="auto"/>
        <w:bottom w:val="none" w:sz="0" w:space="0" w:color="auto"/>
        <w:right w:val="none" w:sz="0" w:space="0" w:color="auto"/>
      </w:divBdr>
    </w:div>
    <w:div w:id="1121193849">
      <w:bodyDiv w:val="1"/>
      <w:marLeft w:val="0"/>
      <w:marRight w:val="0"/>
      <w:marTop w:val="0"/>
      <w:marBottom w:val="0"/>
      <w:divBdr>
        <w:top w:val="none" w:sz="0" w:space="0" w:color="auto"/>
        <w:left w:val="none" w:sz="0" w:space="0" w:color="auto"/>
        <w:bottom w:val="none" w:sz="0" w:space="0" w:color="auto"/>
        <w:right w:val="none" w:sz="0" w:space="0" w:color="auto"/>
      </w:divBdr>
      <w:divsChild>
        <w:div w:id="606934896">
          <w:marLeft w:val="0"/>
          <w:marRight w:val="0"/>
          <w:marTop w:val="0"/>
          <w:marBottom w:val="0"/>
          <w:divBdr>
            <w:top w:val="none" w:sz="0" w:space="0" w:color="auto"/>
            <w:left w:val="none" w:sz="0" w:space="0" w:color="auto"/>
            <w:bottom w:val="none" w:sz="0" w:space="0" w:color="auto"/>
            <w:right w:val="none" w:sz="0" w:space="0" w:color="auto"/>
          </w:divBdr>
          <w:divsChild>
            <w:div w:id="1967809027">
              <w:marLeft w:val="0"/>
              <w:marRight w:val="0"/>
              <w:marTop w:val="0"/>
              <w:marBottom w:val="180"/>
              <w:divBdr>
                <w:top w:val="none" w:sz="0" w:space="0" w:color="auto"/>
                <w:left w:val="none" w:sz="0" w:space="0" w:color="auto"/>
                <w:bottom w:val="none" w:sz="0" w:space="0" w:color="auto"/>
                <w:right w:val="none" w:sz="0" w:space="0" w:color="auto"/>
              </w:divBdr>
              <w:divsChild>
                <w:div w:id="593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3108">
      <w:bodyDiv w:val="1"/>
      <w:marLeft w:val="0"/>
      <w:marRight w:val="0"/>
      <w:marTop w:val="0"/>
      <w:marBottom w:val="0"/>
      <w:divBdr>
        <w:top w:val="none" w:sz="0" w:space="0" w:color="auto"/>
        <w:left w:val="none" w:sz="0" w:space="0" w:color="auto"/>
        <w:bottom w:val="none" w:sz="0" w:space="0" w:color="auto"/>
        <w:right w:val="none" w:sz="0" w:space="0" w:color="auto"/>
      </w:divBdr>
    </w:div>
    <w:div w:id="1141385557">
      <w:bodyDiv w:val="1"/>
      <w:marLeft w:val="0"/>
      <w:marRight w:val="0"/>
      <w:marTop w:val="0"/>
      <w:marBottom w:val="0"/>
      <w:divBdr>
        <w:top w:val="none" w:sz="0" w:space="0" w:color="auto"/>
        <w:left w:val="none" w:sz="0" w:space="0" w:color="auto"/>
        <w:bottom w:val="none" w:sz="0" w:space="0" w:color="auto"/>
        <w:right w:val="none" w:sz="0" w:space="0" w:color="auto"/>
      </w:divBdr>
    </w:div>
    <w:div w:id="1160463773">
      <w:bodyDiv w:val="1"/>
      <w:marLeft w:val="0"/>
      <w:marRight w:val="0"/>
      <w:marTop w:val="0"/>
      <w:marBottom w:val="0"/>
      <w:divBdr>
        <w:top w:val="none" w:sz="0" w:space="0" w:color="auto"/>
        <w:left w:val="none" w:sz="0" w:space="0" w:color="auto"/>
        <w:bottom w:val="none" w:sz="0" w:space="0" w:color="auto"/>
        <w:right w:val="none" w:sz="0" w:space="0" w:color="auto"/>
      </w:divBdr>
    </w:div>
    <w:div w:id="1164471231">
      <w:bodyDiv w:val="1"/>
      <w:marLeft w:val="0"/>
      <w:marRight w:val="0"/>
      <w:marTop w:val="0"/>
      <w:marBottom w:val="0"/>
      <w:divBdr>
        <w:top w:val="none" w:sz="0" w:space="0" w:color="auto"/>
        <w:left w:val="none" w:sz="0" w:space="0" w:color="auto"/>
        <w:bottom w:val="none" w:sz="0" w:space="0" w:color="auto"/>
        <w:right w:val="none" w:sz="0" w:space="0" w:color="auto"/>
      </w:divBdr>
    </w:div>
    <w:div w:id="1170946428">
      <w:bodyDiv w:val="1"/>
      <w:marLeft w:val="0"/>
      <w:marRight w:val="0"/>
      <w:marTop w:val="0"/>
      <w:marBottom w:val="0"/>
      <w:divBdr>
        <w:top w:val="none" w:sz="0" w:space="0" w:color="auto"/>
        <w:left w:val="none" w:sz="0" w:space="0" w:color="auto"/>
        <w:bottom w:val="none" w:sz="0" w:space="0" w:color="auto"/>
        <w:right w:val="none" w:sz="0" w:space="0" w:color="auto"/>
      </w:divBdr>
    </w:div>
    <w:div w:id="1173377241">
      <w:bodyDiv w:val="1"/>
      <w:marLeft w:val="0"/>
      <w:marRight w:val="0"/>
      <w:marTop w:val="0"/>
      <w:marBottom w:val="0"/>
      <w:divBdr>
        <w:top w:val="none" w:sz="0" w:space="0" w:color="auto"/>
        <w:left w:val="none" w:sz="0" w:space="0" w:color="auto"/>
        <w:bottom w:val="none" w:sz="0" w:space="0" w:color="auto"/>
        <w:right w:val="none" w:sz="0" w:space="0" w:color="auto"/>
      </w:divBdr>
    </w:div>
    <w:div w:id="1174148783">
      <w:bodyDiv w:val="1"/>
      <w:marLeft w:val="0"/>
      <w:marRight w:val="0"/>
      <w:marTop w:val="0"/>
      <w:marBottom w:val="0"/>
      <w:divBdr>
        <w:top w:val="none" w:sz="0" w:space="0" w:color="auto"/>
        <w:left w:val="none" w:sz="0" w:space="0" w:color="auto"/>
        <w:bottom w:val="none" w:sz="0" w:space="0" w:color="auto"/>
        <w:right w:val="none" w:sz="0" w:space="0" w:color="auto"/>
      </w:divBdr>
    </w:div>
    <w:div w:id="1180394083">
      <w:bodyDiv w:val="1"/>
      <w:marLeft w:val="0"/>
      <w:marRight w:val="0"/>
      <w:marTop w:val="0"/>
      <w:marBottom w:val="0"/>
      <w:divBdr>
        <w:top w:val="none" w:sz="0" w:space="0" w:color="auto"/>
        <w:left w:val="none" w:sz="0" w:space="0" w:color="auto"/>
        <w:bottom w:val="none" w:sz="0" w:space="0" w:color="auto"/>
        <w:right w:val="none" w:sz="0" w:space="0" w:color="auto"/>
      </w:divBdr>
    </w:div>
    <w:div w:id="1197621694">
      <w:bodyDiv w:val="1"/>
      <w:marLeft w:val="0"/>
      <w:marRight w:val="0"/>
      <w:marTop w:val="0"/>
      <w:marBottom w:val="0"/>
      <w:divBdr>
        <w:top w:val="none" w:sz="0" w:space="0" w:color="auto"/>
        <w:left w:val="none" w:sz="0" w:space="0" w:color="auto"/>
        <w:bottom w:val="none" w:sz="0" w:space="0" w:color="auto"/>
        <w:right w:val="none" w:sz="0" w:space="0" w:color="auto"/>
      </w:divBdr>
    </w:div>
    <w:div w:id="1197810680">
      <w:bodyDiv w:val="1"/>
      <w:marLeft w:val="0"/>
      <w:marRight w:val="0"/>
      <w:marTop w:val="0"/>
      <w:marBottom w:val="0"/>
      <w:divBdr>
        <w:top w:val="none" w:sz="0" w:space="0" w:color="auto"/>
        <w:left w:val="none" w:sz="0" w:space="0" w:color="auto"/>
        <w:bottom w:val="none" w:sz="0" w:space="0" w:color="auto"/>
        <w:right w:val="none" w:sz="0" w:space="0" w:color="auto"/>
      </w:divBdr>
    </w:div>
    <w:div w:id="1199929127">
      <w:bodyDiv w:val="1"/>
      <w:marLeft w:val="0"/>
      <w:marRight w:val="0"/>
      <w:marTop w:val="0"/>
      <w:marBottom w:val="0"/>
      <w:divBdr>
        <w:top w:val="none" w:sz="0" w:space="0" w:color="auto"/>
        <w:left w:val="none" w:sz="0" w:space="0" w:color="auto"/>
        <w:bottom w:val="none" w:sz="0" w:space="0" w:color="auto"/>
        <w:right w:val="none" w:sz="0" w:space="0" w:color="auto"/>
      </w:divBdr>
    </w:div>
    <w:div w:id="1204174302">
      <w:bodyDiv w:val="1"/>
      <w:marLeft w:val="0"/>
      <w:marRight w:val="0"/>
      <w:marTop w:val="0"/>
      <w:marBottom w:val="0"/>
      <w:divBdr>
        <w:top w:val="none" w:sz="0" w:space="0" w:color="auto"/>
        <w:left w:val="none" w:sz="0" w:space="0" w:color="auto"/>
        <w:bottom w:val="none" w:sz="0" w:space="0" w:color="auto"/>
        <w:right w:val="none" w:sz="0" w:space="0" w:color="auto"/>
      </w:divBdr>
    </w:div>
    <w:div w:id="1208906274">
      <w:bodyDiv w:val="1"/>
      <w:marLeft w:val="0"/>
      <w:marRight w:val="0"/>
      <w:marTop w:val="0"/>
      <w:marBottom w:val="0"/>
      <w:divBdr>
        <w:top w:val="none" w:sz="0" w:space="0" w:color="auto"/>
        <w:left w:val="none" w:sz="0" w:space="0" w:color="auto"/>
        <w:bottom w:val="none" w:sz="0" w:space="0" w:color="auto"/>
        <w:right w:val="none" w:sz="0" w:space="0" w:color="auto"/>
      </w:divBdr>
    </w:div>
    <w:div w:id="1211303073">
      <w:bodyDiv w:val="1"/>
      <w:marLeft w:val="0"/>
      <w:marRight w:val="0"/>
      <w:marTop w:val="0"/>
      <w:marBottom w:val="0"/>
      <w:divBdr>
        <w:top w:val="none" w:sz="0" w:space="0" w:color="auto"/>
        <w:left w:val="none" w:sz="0" w:space="0" w:color="auto"/>
        <w:bottom w:val="none" w:sz="0" w:space="0" w:color="auto"/>
        <w:right w:val="none" w:sz="0" w:space="0" w:color="auto"/>
      </w:divBdr>
    </w:div>
    <w:div w:id="1222865316">
      <w:bodyDiv w:val="1"/>
      <w:marLeft w:val="0"/>
      <w:marRight w:val="0"/>
      <w:marTop w:val="0"/>
      <w:marBottom w:val="0"/>
      <w:divBdr>
        <w:top w:val="none" w:sz="0" w:space="0" w:color="auto"/>
        <w:left w:val="none" w:sz="0" w:space="0" w:color="auto"/>
        <w:bottom w:val="none" w:sz="0" w:space="0" w:color="auto"/>
        <w:right w:val="none" w:sz="0" w:space="0" w:color="auto"/>
      </w:divBdr>
    </w:div>
    <w:div w:id="1240870051">
      <w:bodyDiv w:val="1"/>
      <w:marLeft w:val="0"/>
      <w:marRight w:val="0"/>
      <w:marTop w:val="0"/>
      <w:marBottom w:val="0"/>
      <w:divBdr>
        <w:top w:val="none" w:sz="0" w:space="0" w:color="auto"/>
        <w:left w:val="none" w:sz="0" w:space="0" w:color="auto"/>
        <w:bottom w:val="none" w:sz="0" w:space="0" w:color="auto"/>
        <w:right w:val="none" w:sz="0" w:space="0" w:color="auto"/>
      </w:divBdr>
    </w:div>
    <w:div w:id="1251740319">
      <w:bodyDiv w:val="1"/>
      <w:marLeft w:val="0"/>
      <w:marRight w:val="0"/>
      <w:marTop w:val="0"/>
      <w:marBottom w:val="0"/>
      <w:divBdr>
        <w:top w:val="none" w:sz="0" w:space="0" w:color="auto"/>
        <w:left w:val="none" w:sz="0" w:space="0" w:color="auto"/>
        <w:bottom w:val="none" w:sz="0" w:space="0" w:color="auto"/>
        <w:right w:val="none" w:sz="0" w:space="0" w:color="auto"/>
      </w:divBdr>
    </w:div>
    <w:div w:id="1253509332">
      <w:bodyDiv w:val="1"/>
      <w:marLeft w:val="0"/>
      <w:marRight w:val="0"/>
      <w:marTop w:val="0"/>
      <w:marBottom w:val="0"/>
      <w:divBdr>
        <w:top w:val="none" w:sz="0" w:space="0" w:color="auto"/>
        <w:left w:val="none" w:sz="0" w:space="0" w:color="auto"/>
        <w:bottom w:val="none" w:sz="0" w:space="0" w:color="auto"/>
        <w:right w:val="none" w:sz="0" w:space="0" w:color="auto"/>
      </w:divBdr>
    </w:div>
    <w:div w:id="1256984034">
      <w:bodyDiv w:val="1"/>
      <w:marLeft w:val="0"/>
      <w:marRight w:val="0"/>
      <w:marTop w:val="0"/>
      <w:marBottom w:val="0"/>
      <w:divBdr>
        <w:top w:val="none" w:sz="0" w:space="0" w:color="auto"/>
        <w:left w:val="none" w:sz="0" w:space="0" w:color="auto"/>
        <w:bottom w:val="none" w:sz="0" w:space="0" w:color="auto"/>
        <w:right w:val="none" w:sz="0" w:space="0" w:color="auto"/>
      </w:divBdr>
    </w:div>
    <w:div w:id="1257245420">
      <w:bodyDiv w:val="1"/>
      <w:marLeft w:val="0"/>
      <w:marRight w:val="0"/>
      <w:marTop w:val="0"/>
      <w:marBottom w:val="0"/>
      <w:divBdr>
        <w:top w:val="none" w:sz="0" w:space="0" w:color="auto"/>
        <w:left w:val="none" w:sz="0" w:space="0" w:color="auto"/>
        <w:bottom w:val="none" w:sz="0" w:space="0" w:color="auto"/>
        <w:right w:val="none" w:sz="0" w:space="0" w:color="auto"/>
      </w:divBdr>
    </w:div>
    <w:div w:id="1260913611">
      <w:bodyDiv w:val="1"/>
      <w:marLeft w:val="0"/>
      <w:marRight w:val="0"/>
      <w:marTop w:val="0"/>
      <w:marBottom w:val="0"/>
      <w:divBdr>
        <w:top w:val="none" w:sz="0" w:space="0" w:color="auto"/>
        <w:left w:val="none" w:sz="0" w:space="0" w:color="auto"/>
        <w:bottom w:val="none" w:sz="0" w:space="0" w:color="auto"/>
        <w:right w:val="none" w:sz="0" w:space="0" w:color="auto"/>
      </w:divBdr>
    </w:div>
    <w:div w:id="1262566713">
      <w:bodyDiv w:val="1"/>
      <w:marLeft w:val="0"/>
      <w:marRight w:val="0"/>
      <w:marTop w:val="0"/>
      <w:marBottom w:val="0"/>
      <w:divBdr>
        <w:top w:val="none" w:sz="0" w:space="0" w:color="auto"/>
        <w:left w:val="none" w:sz="0" w:space="0" w:color="auto"/>
        <w:bottom w:val="none" w:sz="0" w:space="0" w:color="auto"/>
        <w:right w:val="none" w:sz="0" w:space="0" w:color="auto"/>
      </w:divBdr>
    </w:div>
    <w:div w:id="1270506387">
      <w:bodyDiv w:val="1"/>
      <w:marLeft w:val="0"/>
      <w:marRight w:val="0"/>
      <w:marTop w:val="0"/>
      <w:marBottom w:val="0"/>
      <w:divBdr>
        <w:top w:val="none" w:sz="0" w:space="0" w:color="auto"/>
        <w:left w:val="none" w:sz="0" w:space="0" w:color="auto"/>
        <w:bottom w:val="none" w:sz="0" w:space="0" w:color="auto"/>
        <w:right w:val="none" w:sz="0" w:space="0" w:color="auto"/>
      </w:divBdr>
    </w:div>
    <w:div w:id="1270968886">
      <w:bodyDiv w:val="1"/>
      <w:marLeft w:val="0"/>
      <w:marRight w:val="0"/>
      <w:marTop w:val="0"/>
      <w:marBottom w:val="0"/>
      <w:divBdr>
        <w:top w:val="none" w:sz="0" w:space="0" w:color="auto"/>
        <w:left w:val="none" w:sz="0" w:space="0" w:color="auto"/>
        <w:bottom w:val="none" w:sz="0" w:space="0" w:color="auto"/>
        <w:right w:val="none" w:sz="0" w:space="0" w:color="auto"/>
      </w:divBdr>
    </w:div>
    <w:div w:id="1276136747">
      <w:bodyDiv w:val="1"/>
      <w:marLeft w:val="0"/>
      <w:marRight w:val="0"/>
      <w:marTop w:val="0"/>
      <w:marBottom w:val="0"/>
      <w:divBdr>
        <w:top w:val="none" w:sz="0" w:space="0" w:color="auto"/>
        <w:left w:val="none" w:sz="0" w:space="0" w:color="auto"/>
        <w:bottom w:val="none" w:sz="0" w:space="0" w:color="auto"/>
        <w:right w:val="none" w:sz="0" w:space="0" w:color="auto"/>
      </w:divBdr>
    </w:div>
    <w:div w:id="1277061298">
      <w:bodyDiv w:val="1"/>
      <w:marLeft w:val="0"/>
      <w:marRight w:val="0"/>
      <w:marTop w:val="0"/>
      <w:marBottom w:val="0"/>
      <w:divBdr>
        <w:top w:val="none" w:sz="0" w:space="0" w:color="auto"/>
        <w:left w:val="none" w:sz="0" w:space="0" w:color="auto"/>
        <w:bottom w:val="none" w:sz="0" w:space="0" w:color="auto"/>
        <w:right w:val="none" w:sz="0" w:space="0" w:color="auto"/>
      </w:divBdr>
    </w:div>
    <w:div w:id="1292130883">
      <w:bodyDiv w:val="1"/>
      <w:marLeft w:val="0"/>
      <w:marRight w:val="0"/>
      <w:marTop w:val="0"/>
      <w:marBottom w:val="0"/>
      <w:divBdr>
        <w:top w:val="none" w:sz="0" w:space="0" w:color="auto"/>
        <w:left w:val="none" w:sz="0" w:space="0" w:color="auto"/>
        <w:bottom w:val="none" w:sz="0" w:space="0" w:color="auto"/>
        <w:right w:val="none" w:sz="0" w:space="0" w:color="auto"/>
      </w:divBdr>
    </w:div>
    <w:div w:id="1307855535">
      <w:bodyDiv w:val="1"/>
      <w:marLeft w:val="0"/>
      <w:marRight w:val="0"/>
      <w:marTop w:val="0"/>
      <w:marBottom w:val="0"/>
      <w:divBdr>
        <w:top w:val="none" w:sz="0" w:space="0" w:color="auto"/>
        <w:left w:val="none" w:sz="0" w:space="0" w:color="auto"/>
        <w:bottom w:val="none" w:sz="0" w:space="0" w:color="auto"/>
        <w:right w:val="none" w:sz="0" w:space="0" w:color="auto"/>
      </w:divBdr>
    </w:div>
    <w:div w:id="1314136248">
      <w:bodyDiv w:val="1"/>
      <w:marLeft w:val="0"/>
      <w:marRight w:val="0"/>
      <w:marTop w:val="0"/>
      <w:marBottom w:val="0"/>
      <w:divBdr>
        <w:top w:val="none" w:sz="0" w:space="0" w:color="auto"/>
        <w:left w:val="none" w:sz="0" w:space="0" w:color="auto"/>
        <w:bottom w:val="none" w:sz="0" w:space="0" w:color="auto"/>
        <w:right w:val="none" w:sz="0" w:space="0" w:color="auto"/>
      </w:divBdr>
    </w:div>
    <w:div w:id="1315723828">
      <w:bodyDiv w:val="1"/>
      <w:marLeft w:val="0"/>
      <w:marRight w:val="0"/>
      <w:marTop w:val="0"/>
      <w:marBottom w:val="0"/>
      <w:divBdr>
        <w:top w:val="none" w:sz="0" w:space="0" w:color="auto"/>
        <w:left w:val="none" w:sz="0" w:space="0" w:color="auto"/>
        <w:bottom w:val="none" w:sz="0" w:space="0" w:color="auto"/>
        <w:right w:val="none" w:sz="0" w:space="0" w:color="auto"/>
      </w:divBdr>
    </w:div>
    <w:div w:id="1322123908">
      <w:bodyDiv w:val="1"/>
      <w:marLeft w:val="0"/>
      <w:marRight w:val="0"/>
      <w:marTop w:val="0"/>
      <w:marBottom w:val="0"/>
      <w:divBdr>
        <w:top w:val="none" w:sz="0" w:space="0" w:color="auto"/>
        <w:left w:val="none" w:sz="0" w:space="0" w:color="auto"/>
        <w:bottom w:val="none" w:sz="0" w:space="0" w:color="auto"/>
        <w:right w:val="none" w:sz="0" w:space="0" w:color="auto"/>
      </w:divBdr>
    </w:div>
    <w:div w:id="1325276242">
      <w:bodyDiv w:val="1"/>
      <w:marLeft w:val="0"/>
      <w:marRight w:val="0"/>
      <w:marTop w:val="0"/>
      <w:marBottom w:val="0"/>
      <w:divBdr>
        <w:top w:val="none" w:sz="0" w:space="0" w:color="auto"/>
        <w:left w:val="none" w:sz="0" w:space="0" w:color="auto"/>
        <w:bottom w:val="none" w:sz="0" w:space="0" w:color="auto"/>
        <w:right w:val="none" w:sz="0" w:space="0" w:color="auto"/>
      </w:divBdr>
    </w:div>
    <w:div w:id="1329014726">
      <w:bodyDiv w:val="1"/>
      <w:marLeft w:val="0"/>
      <w:marRight w:val="0"/>
      <w:marTop w:val="0"/>
      <w:marBottom w:val="0"/>
      <w:divBdr>
        <w:top w:val="none" w:sz="0" w:space="0" w:color="auto"/>
        <w:left w:val="none" w:sz="0" w:space="0" w:color="auto"/>
        <w:bottom w:val="none" w:sz="0" w:space="0" w:color="auto"/>
        <w:right w:val="none" w:sz="0" w:space="0" w:color="auto"/>
      </w:divBdr>
    </w:div>
    <w:div w:id="1340474227">
      <w:bodyDiv w:val="1"/>
      <w:marLeft w:val="0"/>
      <w:marRight w:val="0"/>
      <w:marTop w:val="0"/>
      <w:marBottom w:val="0"/>
      <w:divBdr>
        <w:top w:val="none" w:sz="0" w:space="0" w:color="auto"/>
        <w:left w:val="none" w:sz="0" w:space="0" w:color="auto"/>
        <w:bottom w:val="none" w:sz="0" w:space="0" w:color="auto"/>
        <w:right w:val="none" w:sz="0" w:space="0" w:color="auto"/>
      </w:divBdr>
    </w:div>
    <w:div w:id="1346591996">
      <w:bodyDiv w:val="1"/>
      <w:marLeft w:val="0"/>
      <w:marRight w:val="0"/>
      <w:marTop w:val="0"/>
      <w:marBottom w:val="0"/>
      <w:divBdr>
        <w:top w:val="none" w:sz="0" w:space="0" w:color="auto"/>
        <w:left w:val="none" w:sz="0" w:space="0" w:color="auto"/>
        <w:bottom w:val="none" w:sz="0" w:space="0" w:color="auto"/>
        <w:right w:val="none" w:sz="0" w:space="0" w:color="auto"/>
      </w:divBdr>
    </w:div>
    <w:div w:id="1347170145">
      <w:bodyDiv w:val="1"/>
      <w:marLeft w:val="0"/>
      <w:marRight w:val="0"/>
      <w:marTop w:val="0"/>
      <w:marBottom w:val="0"/>
      <w:divBdr>
        <w:top w:val="none" w:sz="0" w:space="0" w:color="auto"/>
        <w:left w:val="none" w:sz="0" w:space="0" w:color="auto"/>
        <w:bottom w:val="none" w:sz="0" w:space="0" w:color="auto"/>
        <w:right w:val="none" w:sz="0" w:space="0" w:color="auto"/>
      </w:divBdr>
    </w:div>
    <w:div w:id="1352992856">
      <w:bodyDiv w:val="1"/>
      <w:marLeft w:val="0"/>
      <w:marRight w:val="0"/>
      <w:marTop w:val="0"/>
      <w:marBottom w:val="0"/>
      <w:divBdr>
        <w:top w:val="none" w:sz="0" w:space="0" w:color="auto"/>
        <w:left w:val="none" w:sz="0" w:space="0" w:color="auto"/>
        <w:bottom w:val="none" w:sz="0" w:space="0" w:color="auto"/>
        <w:right w:val="none" w:sz="0" w:space="0" w:color="auto"/>
      </w:divBdr>
    </w:div>
    <w:div w:id="1353996802">
      <w:bodyDiv w:val="1"/>
      <w:marLeft w:val="0"/>
      <w:marRight w:val="0"/>
      <w:marTop w:val="0"/>
      <w:marBottom w:val="0"/>
      <w:divBdr>
        <w:top w:val="none" w:sz="0" w:space="0" w:color="auto"/>
        <w:left w:val="none" w:sz="0" w:space="0" w:color="auto"/>
        <w:bottom w:val="none" w:sz="0" w:space="0" w:color="auto"/>
        <w:right w:val="none" w:sz="0" w:space="0" w:color="auto"/>
      </w:divBdr>
    </w:div>
    <w:div w:id="1357998081">
      <w:bodyDiv w:val="1"/>
      <w:marLeft w:val="0"/>
      <w:marRight w:val="0"/>
      <w:marTop w:val="0"/>
      <w:marBottom w:val="0"/>
      <w:divBdr>
        <w:top w:val="none" w:sz="0" w:space="0" w:color="auto"/>
        <w:left w:val="none" w:sz="0" w:space="0" w:color="auto"/>
        <w:bottom w:val="none" w:sz="0" w:space="0" w:color="auto"/>
        <w:right w:val="none" w:sz="0" w:space="0" w:color="auto"/>
      </w:divBdr>
    </w:div>
    <w:div w:id="1359967948">
      <w:bodyDiv w:val="1"/>
      <w:marLeft w:val="0"/>
      <w:marRight w:val="0"/>
      <w:marTop w:val="0"/>
      <w:marBottom w:val="0"/>
      <w:divBdr>
        <w:top w:val="none" w:sz="0" w:space="0" w:color="auto"/>
        <w:left w:val="none" w:sz="0" w:space="0" w:color="auto"/>
        <w:bottom w:val="none" w:sz="0" w:space="0" w:color="auto"/>
        <w:right w:val="none" w:sz="0" w:space="0" w:color="auto"/>
      </w:divBdr>
    </w:div>
    <w:div w:id="1363827058">
      <w:bodyDiv w:val="1"/>
      <w:marLeft w:val="0"/>
      <w:marRight w:val="0"/>
      <w:marTop w:val="0"/>
      <w:marBottom w:val="0"/>
      <w:divBdr>
        <w:top w:val="none" w:sz="0" w:space="0" w:color="auto"/>
        <w:left w:val="none" w:sz="0" w:space="0" w:color="auto"/>
        <w:bottom w:val="none" w:sz="0" w:space="0" w:color="auto"/>
        <w:right w:val="none" w:sz="0" w:space="0" w:color="auto"/>
      </w:divBdr>
    </w:div>
    <w:div w:id="1368288299">
      <w:bodyDiv w:val="1"/>
      <w:marLeft w:val="0"/>
      <w:marRight w:val="0"/>
      <w:marTop w:val="0"/>
      <w:marBottom w:val="0"/>
      <w:divBdr>
        <w:top w:val="none" w:sz="0" w:space="0" w:color="auto"/>
        <w:left w:val="none" w:sz="0" w:space="0" w:color="auto"/>
        <w:bottom w:val="none" w:sz="0" w:space="0" w:color="auto"/>
        <w:right w:val="none" w:sz="0" w:space="0" w:color="auto"/>
      </w:divBdr>
    </w:div>
    <w:div w:id="1369994107">
      <w:bodyDiv w:val="1"/>
      <w:marLeft w:val="0"/>
      <w:marRight w:val="0"/>
      <w:marTop w:val="0"/>
      <w:marBottom w:val="0"/>
      <w:divBdr>
        <w:top w:val="none" w:sz="0" w:space="0" w:color="auto"/>
        <w:left w:val="none" w:sz="0" w:space="0" w:color="auto"/>
        <w:bottom w:val="none" w:sz="0" w:space="0" w:color="auto"/>
        <w:right w:val="none" w:sz="0" w:space="0" w:color="auto"/>
      </w:divBdr>
      <w:divsChild>
        <w:div w:id="314067215">
          <w:marLeft w:val="0"/>
          <w:marRight w:val="0"/>
          <w:marTop w:val="0"/>
          <w:marBottom w:val="0"/>
          <w:divBdr>
            <w:top w:val="none" w:sz="0" w:space="0" w:color="auto"/>
            <w:left w:val="none" w:sz="0" w:space="0" w:color="auto"/>
            <w:bottom w:val="none" w:sz="0" w:space="0" w:color="auto"/>
            <w:right w:val="none" w:sz="0" w:space="0" w:color="auto"/>
          </w:divBdr>
        </w:div>
        <w:div w:id="1311590627">
          <w:marLeft w:val="0"/>
          <w:marRight w:val="0"/>
          <w:marTop w:val="0"/>
          <w:marBottom w:val="0"/>
          <w:divBdr>
            <w:top w:val="none" w:sz="0" w:space="0" w:color="auto"/>
            <w:left w:val="none" w:sz="0" w:space="0" w:color="auto"/>
            <w:bottom w:val="none" w:sz="0" w:space="0" w:color="auto"/>
            <w:right w:val="none" w:sz="0" w:space="0" w:color="auto"/>
          </w:divBdr>
        </w:div>
        <w:div w:id="1339844420">
          <w:marLeft w:val="0"/>
          <w:marRight w:val="0"/>
          <w:marTop w:val="0"/>
          <w:marBottom w:val="0"/>
          <w:divBdr>
            <w:top w:val="none" w:sz="0" w:space="0" w:color="auto"/>
            <w:left w:val="none" w:sz="0" w:space="0" w:color="auto"/>
            <w:bottom w:val="none" w:sz="0" w:space="0" w:color="auto"/>
            <w:right w:val="none" w:sz="0" w:space="0" w:color="auto"/>
          </w:divBdr>
        </w:div>
        <w:div w:id="1552577696">
          <w:marLeft w:val="0"/>
          <w:marRight w:val="0"/>
          <w:marTop w:val="0"/>
          <w:marBottom w:val="0"/>
          <w:divBdr>
            <w:top w:val="none" w:sz="0" w:space="0" w:color="auto"/>
            <w:left w:val="none" w:sz="0" w:space="0" w:color="auto"/>
            <w:bottom w:val="none" w:sz="0" w:space="0" w:color="auto"/>
            <w:right w:val="none" w:sz="0" w:space="0" w:color="auto"/>
          </w:divBdr>
        </w:div>
        <w:div w:id="1643925371">
          <w:marLeft w:val="0"/>
          <w:marRight w:val="0"/>
          <w:marTop w:val="0"/>
          <w:marBottom w:val="0"/>
          <w:divBdr>
            <w:top w:val="none" w:sz="0" w:space="0" w:color="auto"/>
            <w:left w:val="none" w:sz="0" w:space="0" w:color="auto"/>
            <w:bottom w:val="none" w:sz="0" w:space="0" w:color="auto"/>
            <w:right w:val="none" w:sz="0" w:space="0" w:color="auto"/>
          </w:divBdr>
        </w:div>
      </w:divsChild>
    </w:div>
    <w:div w:id="1374386347">
      <w:bodyDiv w:val="1"/>
      <w:marLeft w:val="0"/>
      <w:marRight w:val="0"/>
      <w:marTop w:val="0"/>
      <w:marBottom w:val="0"/>
      <w:divBdr>
        <w:top w:val="none" w:sz="0" w:space="0" w:color="auto"/>
        <w:left w:val="none" w:sz="0" w:space="0" w:color="auto"/>
        <w:bottom w:val="none" w:sz="0" w:space="0" w:color="auto"/>
        <w:right w:val="none" w:sz="0" w:space="0" w:color="auto"/>
      </w:divBdr>
    </w:div>
    <w:div w:id="1383864851">
      <w:bodyDiv w:val="1"/>
      <w:marLeft w:val="0"/>
      <w:marRight w:val="0"/>
      <w:marTop w:val="0"/>
      <w:marBottom w:val="0"/>
      <w:divBdr>
        <w:top w:val="none" w:sz="0" w:space="0" w:color="auto"/>
        <w:left w:val="none" w:sz="0" w:space="0" w:color="auto"/>
        <w:bottom w:val="none" w:sz="0" w:space="0" w:color="auto"/>
        <w:right w:val="none" w:sz="0" w:space="0" w:color="auto"/>
      </w:divBdr>
    </w:div>
    <w:div w:id="1388339904">
      <w:bodyDiv w:val="1"/>
      <w:marLeft w:val="0"/>
      <w:marRight w:val="0"/>
      <w:marTop w:val="0"/>
      <w:marBottom w:val="0"/>
      <w:divBdr>
        <w:top w:val="none" w:sz="0" w:space="0" w:color="auto"/>
        <w:left w:val="none" w:sz="0" w:space="0" w:color="auto"/>
        <w:bottom w:val="none" w:sz="0" w:space="0" w:color="auto"/>
        <w:right w:val="none" w:sz="0" w:space="0" w:color="auto"/>
      </w:divBdr>
    </w:div>
    <w:div w:id="1388529102">
      <w:bodyDiv w:val="1"/>
      <w:marLeft w:val="0"/>
      <w:marRight w:val="0"/>
      <w:marTop w:val="0"/>
      <w:marBottom w:val="0"/>
      <w:divBdr>
        <w:top w:val="none" w:sz="0" w:space="0" w:color="auto"/>
        <w:left w:val="none" w:sz="0" w:space="0" w:color="auto"/>
        <w:bottom w:val="none" w:sz="0" w:space="0" w:color="auto"/>
        <w:right w:val="none" w:sz="0" w:space="0" w:color="auto"/>
      </w:divBdr>
      <w:divsChild>
        <w:div w:id="1088237009">
          <w:marLeft w:val="0"/>
          <w:marRight w:val="0"/>
          <w:marTop w:val="0"/>
          <w:marBottom w:val="0"/>
          <w:divBdr>
            <w:top w:val="none" w:sz="0" w:space="0" w:color="auto"/>
            <w:left w:val="none" w:sz="0" w:space="0" w:color="auto"/>
            <w:bottom w:val="none" w:sz="0" w:space="0" w:color="auto"/>
            <w:right w:val="none" w:sz="0" w:space="0" w:color="auto"/>
          </w:divBdr>
          <w:divsChild>
            <w:div w:id="920068984">
              <w:marLeft w:val="0"/>
              <w:marRight w:val="0"/>
              <w:marTop w:val="0"/>
              <w:marBottom w:val="0"/>
              <w:divBdr>
                <w:top w:val="none" w:sz="0" w:space="0" w:color="auto"/>
                <w:left w:val="none" w:sz="0" w:space="0" w:color="auto"/>
                <w:bottom w:val="none" w:sz="0" w:space="0" w:color="auto"/>
                <w:right w:val="none" w:sz="0" w:space="0" w:color="auto"/>
              </w:divBdr>
              <w:divsChild>
                <w:div w:id="17714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32682">
      <w:bodyDiv w:val="1"/>
      <w:marLeft w:val="0"/>
      <w:marRight w:val="0"/>
      <w:marTop w:val="0"/>
      <w:marBottom w:val="0"/>
      <w:divBdr>
        <w:top w:val="none" w:sz="0" w:space="0" w:color="auto"/>
        <w:left w:val="none" w:sz="0" w:space="0" w:color="auto"/>
        <w:bottom w:val="none" w:sz="0" w:space="0" w:color="auto"/>
        <w:right w:val="none" w:sz="0" w:space="0" w:color="auto"/>
      </w:divBdr>
    </w:div>
    <w:div w:id="1391269301">
      <w:bodyDiv w:val="1"/>
      <w:marLeft w:val="0"/>
      <w:marRight w:val="0"/>
      <w:marTop w:val="0"/>
      <w:marBottom w:val="0"/>
      <w:divBdr>
        <w:top w:val="none" w:sz="0" w:space="0" w:color="auto"/>
        <w:left w:val="none" w:sz="0" w:space="0" w:color="auto"/>
        <w:bottom w:val="none" w:sz="0" w:space="0" w:color="auto"/>
        <w:right w:val="none" w:sz="0" w:space="0" w:color="auto"/>
      </w:divBdr>
    </w:div>
    <w:div w:id="1406296392">
      <w:bodyDiv w:val="1"/>
      <w:marLeft w:val="0"/>
      <w:marRight w:val="0"/>
      <w:marTop w:val="0"/>
      <w:marBottom w:val="0"/>
      <w:divBdr>
        <w:top w:val="none" w:sz="0" w:space="0" w:color="auto"/>
        <w:left w:val="none" w:sz="0" w:space="0" w:color="auto"/>
        <w:bottom w:val="none" w:sz="0" w:space="0" w:color="auto"/>
        <w:right w:val="none" w:sz="0" w:space="0" w:color="auto"/>
      </w:divBdr>
    </w:div>
    <w:div w:id="1406874028">
      <w:bodyDiv w:val="1"/>
      <w:marLeft w:val="0"/>
      <w:marRight w:val="0"/>
      <w:marTop w:val="0"/>
      <w:marBottom w:val="0"/>
      <w:divBdr>
        <w:top w:val="none" w:sz="0" w:space="0" w:color="auto"/>
        <w:left w:val="none" w:sz="0" w:space="0" w:color="auto"/>
        <w:bottom w:val="none" w:sz="0" w:space="0" w:color="auto"/>
        <w:right w:val="none" w:sz="0" w:space="0" w:color="auto"/>
      </w:divBdr>
      <w:divsChild>
        <w:div w:id="1010295">
          <w:marLeft w:val="0"/>
          <w:marRight w:val="0"/>
          <w:marTop w:val="0"/>
          <w:marBottom w:val="0"/>
          <w:divBdr>
            <w:top w:val="none" w:sz="0" w:space="0" w:color="auto"/>
            <w:left w:val="none" w:sz="0" w:space="0" w:color="auto"/>
            <w:bottom w:val="none" w:sz="0" w:space="0" w:color="auto"/>
            <w:right w:val="none" w:sz="0" w:space="0" w:color="auto"/>
          </w:divBdr>
          <w:divsChild>
            <w:div w:id="87973147">
              <w:marLeft w:val="0"/>
              <w:marRight w:val="0"/>
              <w:marTop w:val="0"/>
              <w:marBottom w:val="0"/>
              <w:divBdr>
                <w:top w:val="none" w:sz="0" w:space="0" w:color="auto"/>
                <w:left w:val="none" w:sz="0" w:space="0" w:color="auto"/>
                <w:bottom w:val="none" w:sz="0" w:space="0" w:color="auto"/>
                <w:right w:val="none" w:sz="0" w:space="0" w:color="auto"/>
              </w:divBdr>
            </w:div>
          </w:divsChild>
        </w:div>
        <w:div w:id="7682642">
          <w:marLeft w:val="0"/>
          <w:marRight w:val="0"/>
          <w:marTop w:val="0"/>
          <w:marBottom w:val="0"/>
          <w:divBdr>
            <w:top w:val="none" w:sz="0" w:space="0" w:color="auto"/>
            <w:left w:val="none" w:sz="0" w:space="0" w:color="auto"/>
            <w:bottom w:val="none" w:sz="0" w:space="0" w:color="auto"/>
            <w:right w:val="none" w:sz="0" w:space="0" w:color="auto"/>
          </w:divBdr>
          <w:divsChild>
            <w:div w:id="451750928">
              <w:marLeft w:val="0"/>
              <w:marRight w:val="0"/>
              <w:marTop w:val="0"/>
              <w:marBottom w:val="0"/>
              <w:divBdr>
                <w:top w:val="none" w:sz="0" w:space="0" w:color="auto"/>
                <w:left w:val="none" w:sz="0" w:space="0" w:color="auto"/>
                <w:bottom w:val="none" w:sz="0" w:space="0" w:color="auto"/>
                <w:right w:val="none" w:sz="0" w:space="0" w:color="auto"/>
              </w:divBdr>
            </w:div>
          </w:divsChild>
        </w:div>
        <w:div w:id="14962791">
          <w:marLeft w:val="0"/>
          <w:marRight w:val="0"/>
          <w:marTop w:val="0"/>
          <w:marBottom w:val="0"/>
          <w:divBdr>
            <w:top w:val="none" w:sz="0" w:space="0" w:color="auto"/>
            <w:left w:val="none" w:sz="0" w:space="0" w:color="auto"/>
            <w:bottom w:val="none" w:sz="0" w:space="0" w:color="auto"/>
            <w:right w:val="none" w:sz="0" w:space="0" w:color="auto"/>
          </w:divBdr>
          <w:divsChild>
            <w:div w:id="421030659">
              <w:marLeft w:val="0"/>
              <w:marRight w:val="0"/>
              <w:marTop w:val="0"/>
              <w:marBottom w:val="0"/>
              <w:divBdr>
                <w:top w:val="none" w:sz="0" w:space="0" w:color="auto"/>
                <w:left w:val="none" w:sz="0" w:space="0" w:color="auto"/>
                <w:bottom w:val="none" w:sz="0" w:space="0" w:color="auto"/>
                <w:right w:val="none" w:sz="0" w:space="0" w:color="auto"/>
              </w:divBdr>
            </w:div>
          </w:divsChild>
        </w:div>
        <w:div w:id="83649575">
          <w:marLeft w:val="0"/>
          <w:marRight w:val="0"/>
          <w:marTop w:val="0"/>
          <w:marBottom w:val="0"/>
          <w:divBdr>
            <w:top w:val="none" w:sz="0" w:space="0" w:color="auto"/>
            <w:left w:val="none" w:sz="0" w:space="0" w:color="auto"/>
            <w:bottom w:val="none" w:sz="0" w:space="0" w:color="auto"/>
            <w:right w:val="none" w:sz="0" w:space="0" w:color="auto"/>
          </w:divBdr>
          <w:divsChild>
            <w:div w:id="592978136">
              <w:marLeft w:val="0"/>
              <w:marRight w:val="0"/>
              <w:marTop w:val="0"/>
              <w:marBottom w:val="0"/>
              <w:divBdr>
                <w:top w:val="none" w:sz="0" w:space="0" w:color="auto"/>
                <w:left w:val="none" w:sz="0" w:space="0" w:color="auto"/>
                <w:bottom w:val="none" w:sz="0" w:space="0" w:color="auto"/>
                <w:right w:val="none" w:sz="0" w:space="0" w:color="auto"/>
              </w:divBdr>
            </w:div>
          </w:divsChild>
        </w:div>
        <w:div w:id="114910257">
          <w:marLeft w:val="0"/>
          <w:marRight w:val="0"/>
          <w:marTop w:val="0"/>
          <w:marBottom w:val="0"/>
          <w:divBdr>
            <w:top w:val="none" w:sz="0" w:space="0" w:color="auto"/>
            <w:left w:val="none" w:sz="0" w:space="0" w:color="auto"/>
            <w:bottom w:val="none" w:sz="0" w:space="0" w:color="auto"/>
            <w:right w:val="none" w:sz="0" w:space="0" w:color="auto"/>
          </w:divBdr>
          <w:divsChild>
            <w:div w:id="666708111">
              <w:marLeft w:val="0"/>
              <w:marRight w:val="0"/>
              <w:marTop w:val="0"/>
              <w:marBottom w:val="0"/>
              <w:divBdr>
                <w:top w:val="none" w:sz="0" w:space="0" w:color="auto"/>
                <w:left w:val="none" w:sz="0" w:space="0" w:color="auto"/>
                <w:bottom w:val="none" w:sz="0" w:space="0" w:color="auto"/>
                <w:right w:val="none" w:sz="0" w:space="0" w:color="auto"/>
              </w:divBdr>
            </w:div>
          </w:divsChild>
        </w:div>
        <w:div w:id="131296473">
          <w:marLeft w:val="0"/>
          <w:marRight w:val="0"/>
          <w:marTop w:val="0"/>
          <w:marBottom w:val="0"/>
          <w:divBdr>
            <w:top w:val="none" w:sz="0" w:space="0" w:color="auto"/>
            <w:left w:val="none" w:sz="0" w:space="0" w:color="auto"/>
            <w:bottom w:val="none" w:sz="0" w:space="0" w:color="auto"/>
            <w:right w:val="none" w:sz="0" w:space="0" w:color="auto"/>
          </w:divBdr>
          <w:divsChild>
            <w:div w:id="1680962652">
              <w:marLeft w:val="0"/>
              <w:marRight w:val="0"/>
              <w:marTop w:val="0"/>
              <w:marBottom w:val="0"/>
              <w:divBdr>
                <w:top w:val="none" w:sz="0" w:space="0" w:color="auto"/>
                <w:left w:val="none" w:sz="0" w:space="0" w:color="auto"/>
                <w:bottom w:val="none" w:sz="0" w:space="0" w:color="auto"/>
                <w:right w:val="none" w:sz="0" w:space="0" w:color="auto"/>
              </w:divBdr>
            </w:div>
          </w:divsChild>
        </w:div>
        <w:div w:id="202794373">
          <w:marLeft w:val="0"/>
          <w:marRight w:val="0"/>
          <w:marTop w:val="0"/>
          <w:marBottom w:val="0"/>
          <w:divBdr>
            <w:top w:val="none" w:sz="0" w:space="0" w:color="auto"/>
            <w:left w:val="none" w:sz="0" w:space="0" w:color="auto"/>
            <w:bottom w:val="none" w:sz="0" w:space="0" w:color="auto"/>
            <w:right w:val="none" w:sz="0" w:space="0" w:color="auto"/>
          </w:divBdr>
          <w:divsChild>
            <w:div w:id="618030841">
              <w:marLeft w:val="0"/>
              <w:marRight w:val="0"/>
              <w:marTop w:val="0"/>
              <w:marBottom w:val="0"/>
              <w:divBdr>
                <w:top w:val="none" w:sz="0" w:space="0" w:color="auto"/>
                <w:left w:val="none" w:sz="0" w:space="0" w:color="auto"/>
                <w:bottom w:val="none" w:sz="0" w:space="0" w:color="auto"/>
                <w:right w:val="none" w:sz="0" w:space="0" w:color="auto"/>
              </w:divBdr>
            </w:div>
          </w:divsChild>
        </w:div>
        <w:div w:id="240525220">
          <w:marLeft w:val="0"/>
          <w:marRight w:val="0"/>
          <w:marTop w:val="0"/>
          <w:marBottom w:val="0"/>
          <w:divBdr>
            <w:top w:val="none" w:sz="0" w:space="0" w:color="auto"/>
            <w:left w:val="none" w:sz="0" w:space="0" w:color="auto"/>
            <w:bottom w:val="none" w:sz="0" w:space="0" w:color="auto"/>
            <w:right w:val="none" w:sz="0" w:space="0" w:color="auto"/>
          </w:divBdr>
          <w:divsChild>
            <w:div w:id="134690210">
              <w:marLeft w:val="0"/>
              <w:marRight w:val="0"/>
              <w:marTop w:val="0"/>
              <w:marBottom w:val="0"/>
              <w:divBdr>
                <w:top w:val="none" w:sz="0" w:space="0" w:color="auto"/>
                <w:left w:val="none" w:sz="0" w:space="0" w:color="auto"/>
                <w:bottom w:val="none" w:sz="0" w:space="0" w:color="auto"/>
                <w:right w:val="none" w:sz="0" w:space="0" w:color="auto"/>
              </w:divBdr>
            </w:div>
          </w:divsChild>
        </w:div>
        <w:div w:id="247810685">
          <w:marLeft w:val="0"/>
          <w:marRight w:val="0"/>
          <w:marTop w:val="0"/>
          <w:marBottom w:val="0"/>
          <w:divBdr>
            <w:top w:val="none" w:sz="0" w:space="0" w:color="auto"/>
            <w:left w:val="none" w:sz="0" w:space="0" w:color="auto"/>
            <w:bottom w:val="none" w:sz="0" w:space="0" w:color="auto"/>
            <w:right w:val="none" w:sz="0" w:space="0" w:color="auto"/>
          </w:divBdr>
          <w:divsChild>
            <w:div w:id="694380174">
              <w:marLeft w:val="0"/>
              <w:marRight w:val="0"/>
              <w:marTop w:val="0"/>
              <w:marBottom w:val="0"/>
              <w:divBdr>
                <w:top w:val="none" w:sz="0" w:space="0" w:color="auto"/>
                <w:left w:val="none" w:sz="0" w:space="0" w:color="auto"/>
                <w:bottom w:val="none" w:sz="0" w:space="0" w:color="auto"/>
                <w:right w:val="none" w:sz="0" w:space="0" w:color="auto"/>
              </w:divBdr>
            </w:div>
          </w:divsChild>
        </w:div>
        <w:div w:id="278027565">
          <w:marLeft w:val="0"/>
          <w:marRight w:val="0"/>
          <w:marTop w:val="0"/>
          <w:marBottom w:val="0"/>
          <w:divBdr>
            <w:top w:val="none" w:sz="0" w:space="0" w:color="auto"/>
            <w:left w:val="none" w:sz="0" w:space="0" w:color="auto"/>
            <w:bottom w:val="none" w:sz="0" w:space="0" w:color="auto"/>
            <w:right w:val="none" w:sz="0" w:space="0" w:color="auto"/>
          </w:divBdr>
          <w:divsChild>
            <w:div w:id="538470614">
              <w:marLeft w:val="0"/>
              <w:marRight w:val="0"/>
              <w:marTop w:val="0"/>
              <w:marBottom w:val="0"/>
              <w:divBdr>
                <w:top w:val="none" w:sz="0" w:space="0" w:color="auto"/>
                <w:left w:val="none" w:sz="0" w:space="0" w:color="auto"/>
                <w:bottom w:val="none" w:sz="0" w:space="0" w:color="auto"/>
                <w:right w:val="none" w:sz="0" w:space="0" w:color="auto"/>
              </w:divBdr>
            </w:div>
          </w:divsChild>
        </w:div>
        <w:div w:id="307563275">
          <w:marLeft w:val="0"/>
          <w:marRight w:val="0"/>
          <w:marTop w:val="0"/>
          <w:marBottom w:val="0"/>
          <w:divBdr>
            <w:top w:val="none" w:sz="0" w:space="0" w:color="auto"/>
            <w:left w:val="none" w:sz="0" w:space="0" w:color="auto"/>
            <w:bottom w:val="none" w:sz="0" w:space="0" w:color="auto"/>
            <w:right w:val="none" w:sz="0" w:space="0" w:color="auto"/>
          </w:divBdr>
          <w:divsChild>
            <w:div w:id="1857843902">
              <w:marLeft w:val="0"/>
              <w:marRight w:val="0"/>
              <w:marTop w:val="0"/>
              <w:marBottom w:val="0"/>
              <w:divBdr>
                <w:top w:val="none" w:sz="0" w:space="0" w:color="auto"/>
                <w:left w:val="none" w:sz="0" w:space="0" w:color="auto"/>
                <w:bottom w:val="none" w:sz="0" w:space="0" w:color="auto"/>
                <w:right w:val="none" w:sz="0" w:space="0" w:color="auto"/>
              </w:divBdr>
            </w:div>
          </w:divsChild>
        </w:div>
        <w:div w:id="338966997">
          <w:marLeft w:val="0"/>
          <w:marRight w:val="0"/>
          <w:marTop w:val="0"/>
          <w:marBottom w:val="0"/>
          <w:divBdr>
            <w:top w:val="none" w:sz="0" w:space="0" w:color="auto"/>
            <w:left w:val="none" w:sz="0" w:space="0" w:color="auto"/>
            <w:bottom w:val="none" w:sz="0" w:space="0" w:color="auto"/>
            <w:right w:val="none" w:sz="0" w:space="0" w:color="auto"/>
          </w:divBdr>
          <w:divsChild>
            <w:div w:id="582952046">
              <w:marLeft w:val="0"/>
              <w:marRight w:val="0"/>
              <w:marTop w:val="0"/>
              <w:marBottom w:val="0"/>
              <w:divBdr>
                <w:top w:val="none" w:sz="0" w:space="0" w:color="auto"/>
                <w:left w:val="none" w:sz="0" w:space="0" w:color="auto"/>
                <w:bottom w:val="none" w:sz="0" w:space="0" w:color="auto"/>
                <w:right w:val="none" w:sz="0" w:space="0" w:color="auto"/>
              </w:divBdr>
            </w:div>
          </w:divsChild>
        </w:div>
        <w:div w:id="356590964">
          <w:marLeft w:val="0"/>
          <w:marRight w:val="0"/>
          <w:marTop w:val="0"/>
          <w:marBottom w:val="0"/>
          <w:divBdr>
            <w:top w:val="none" w:sz="0" w:space="0" w:color="auto"/>
            <w:left w:val="none" w:sz="0" w:space="0" w:color="auto"/>
            <w:bottom w:val="none" w:sz="0" w:space="0" w:color="auto"/>
            <w:right w:val="none" w:sz="0" w:space="0" w:color="auto"/>
          </w:divBdr>
          <w:divsChild>
            <w:div w:id="1668244261">
              <w:marLeft w:val="0"/>
              <w:marRight w:val="0"/>
              <w:marTop w:val="0"/>
              <w:marBottom w:val="0"/>
              <w:divBdr>
                <w:top w:val="none" w:sz="0" w:space="0" w:color="auto"/>
                <w:left w:val="none" w:sz="0" w:space="0" w:color="auto"/>
                <w:bottom w:val="none" w:sz="0" w:space="0" w:color="auto"/>
                <w:right w:val="none" w:sz="0" w:space="0" w:color="auto"/>
              </w:divBdr>
            </w:div>
          </w:divsChild>
        </w:div>
        <w:div w:id="398526382">
          <w:marLeft w:val="0"/>
          <w:marRight w:val="0"/>
          <w:marTop w:val="0"/>
          <w:marBottom w:val="0"/>
          <w:divBdr>
            <w:top w:val="none" w:sz="0" w:space="0" w:color="auto"/>
            <w:left w:val="none" w:sz="0" w:space="0" w:color="auto"/>
            <w:bottom w:val="none" w:sz="0" w:space="0" w:color="auto"/>
            <w:right w:val="none" w:sz="0" w:space="0" w:color="auto"/>
          </w:divBdr>
          <w:divsChild>
            <w:div w:id="884606026">
              <w:marLeft w:val="0"/>
              <w:marRight w:val="0"/>
              <w:marTop w:val="0"/>
              <w:marBottom w:val="0"/>
              <w:divBdr>
                <w:top w:val="none" w:sz="0" w:space="0" w:color="auto"/>
                <w:left w:val="none" w:sz="0" w:space="0" w:color="auto"/>
                <w:bottom w:val="none" w:sz="0" w:space="0" w:color="auto"/>
                <w:right w:val="none" w:sz="0" w:space="0" w:color="auto"/>
              </w:divBdr>
            </w:div>
          </w:divsChild>
        </w:div>
        <w:div w:id="443621703">
          <w:marLeft w:val="0"/>
          <w:marRight w:val="0"/>
          <w:marTop w:val="0"/>
          <w:marBottom w:val="0"/>
          <w:divBdr>
            <w:top w:val="none" w:sz="0" w:space="0" w:color="auto"/>
            <w:left w:val="none" w:sz="0" w:space="0" w:color="auto"/>
            <w:bottom w:val="none" w:sz="0" w:space="0" w:color="auto"/>
            <w:right w:val="none" w:sz="0" w:space="0" w:color="auto"/>
          </w:divBdr>
          <w:divsChild>
            <w:div w:id="1644195965">
              <w:marLeft w:val="0"/>
              <w:marRight w:val="0"/>
              <w:marTop w:val="0"/>
              <w:marBottom w:val="0"/>
              <w:divBdr>
                <w:top w:val="none" w:sz="0" w:space="0" w:color="auto"/>
                <w:left w:val="none" w:sz="0" w:space="0" w:color="auto"/>
                <w:bottom w:val="none" w:sz="0" w:space="0" w:color="auto"/>
                <w:right w:val="none" w:sz="0" w:space="0" w:color="auto"/>
              </w:divBdr>
            </w:div>
          </w:divsChild>
        </w:div>
        <w:div w:id="453713523">
          <w:marLeft w:val="0"/>
          <w:marRight w:val="0"/>
          <w:marTop w:val="0"/>
          <w:marBottom w:val="0"/>
          <w:divBdr>
            <w:top w:val="none" w:sz="0" w:space="0" w:color="auto"/>
            <w:left w:val="none" w:sz="0" w:space="0" w:color="auto"/>
            <w:bottom w:val="none" w:sz="0" w:space="0" w:color="auto"/>
            <w:right w:val="none" w:sz="0" w:space="0" w:color="auto"/>
          </w:divBdr>
          <w:divsChild>
            <w:div w:id="1421754213">
              <w:marLeft w:val="0"/>
              <w:marRight w:val="0"/>
              <w:marTop w:val="0"/>
              <w:marBottom w:val="0"/>
              <w:divBdr>
                <w:top w:val="none" w:sz="0" w:space="0" w:color="auto"/>
                <w:left w:val="none" w:sz="0" w:space="0" w:color="auto"/>
                <w:bottom w:val="none" w:sz="0" w:space="0" w:color="auto"/>
                <w:right w:val="none" w:sz="0" w:space="0" w:color="auto"/>
              </w:divBdr>
            </w:div>
          </w:divsChild>
        </w:div>
        <w:div w:id="459305969">
          <w:marLeft w:val="0"/>
          <w:marRight w:val="0"/>
          <w:marTop w:val="0"/>
          <w:marBottom w:val="0"/>
          <w:divBdr>
            <w:top w:val="none" w:sz="0" w:space="0" w:color="auto"/>
            <w:left w:val="none" w:sz="0" w:space="0" w:color="auto"/>
            <w:bottom w:val="none" w:sz="0" w:space="0" w:color="auto"/>
            <w:right w:val="none" w:sz="0" w:space="0" w:color="auto"/>
          </w:divBdr>
          <w:divsChild>
            <w:div w:id="221332315">
              <w:marLeft w:val="0"/>
              <w:marRight w:val="0"/>
              <w:marTop w:val="0"/>
              <w:marBottom w:val="0"/>
              <w:divBdr>
                <w:top w:val="none" w:sz="0" w:space="0" w:color="auto"/>
                <w:left w:val="none" w:sz="0" w:space="0" w:color="auto"/>
                <w:bottom w:val="none" w:sz="0" w:space="0" w:color="auto"/>
                <w:right w:val="none" w:sz="0" w:space="0" w:color="auto"/>
              </w:divBdr>
            </w:div>
          </w:divsChild>
        </w:div>
        <w:div w:id="569775553">
          <w:marLeft w:val="0"/>
          <w:marRight w:val="0"/>
          <w:marTop w:val="0"/>
          <w:marBottom w:val="0"/>
          <w:divBdr>
            <w:top w:val="none" w:sz="0" w:space="0" w:color="auto"/>
            <w:left w:val="none" w:sz="0" w:space="0" w:color="auto"/>
            <w:bottom w:val="none" w:sz="0" w:space="0" w:color="auto"/>
            <w:right w:val="none" w:sz="0" w:space="0" w:color="auto"/>
          </w:divBdr>
          <w:divsChild>
            <w:div w:id="384836484">
              <w:marLeft w:val="0"/>
              <w:marRight w:val="0"/>
              <w:marTop w:val="0"/>
              <w:marBottom w:val="0"/>
              <w:divBdr>
                <w:top w:val="none" w:sz="0" w:space="0" w:color="auto"/>
                <w:left w:val="none" w:sz="0" w:space="0" w:color="auto"/>
                <w:bottom w:val="none" w:sz="0" w:space="0" w:color="auto"/>
                <w:right w:val="none" w:sz="0" w:space="0" w:color="auto"/>
              </w:divBdr>
            </w:div>
          </w:divsChild>
        </w:div>
        <w:div w:id="575283854">
          <w:marLeft w:val="0"/>
          <w:marRight w:val="0"/>
          <w:marTop w:val="0"/>
          <w:marBottom w:val="0"/>
          <w:divBdr>
            <w:top w:val="none" w:sz="0" w:space="0" w:color="auto"/>
            <w:left w:val="none" w:sz="0" w:space="0" w:color="auto"/>
            <w:bottom w:val="none" w:sz="0" w:space="0" w:color="auto"/>
            <w:right w:val="none" w:sz="0" w:space="0" w:color="auto"/>
          </w:divBdr>
          <w:divsChild>
            <w:div w:id="1085029421">
              <w:marLeft w:val="0"/>
              <w:marRight w:val="0"/>
              <w:marTop w:val="0"/>
              <w:marBottom w:val="0"/>
              <w:divBdr>
                <w:top w:val="none" w:sz="0" w:space="0" w:color="auto"/>
                <w:left w:val="none" w:sz="0" w:space="0" w:color="auto"/>
                <w:bottom w:val="none" w:sz="0" w:space="0" w:color="auto"/>
                <w:right w:val="none" w:sz="0" w:space="0" w:color="auto"/>
              </w:divBdr>
            </w:div>
          </w:divsChild>
        </w:div>
        <w:div w:id="604726415">
          <w:marLeft w:val="0"/>
          <w:marRight w:val="0"/>
          <w:marTop w:val="0"/>
          <w:marBottom w:val="0"/>
          <w:divBdr>
            <w:top w:val="none" w:sz="0" w:space="0" w:color="auto"/>
            <w:left w:val="none" w:sz="0" w:space="0" w:color="auto"/>
            <w:bottom w:val="none" w:sz="0" w:space="0" w:color="auto"/>
            <w:right w:val="none" w:sz="0" w:space="0" w:color="auto"/>
          </w:divBdr>
          <w:divsChild>
            <w:div w:id="1961959677">
              <w:marLeft w:val="0"/>
              <w:marRight w:val="0"/>
              <w:marTop w:val="0"/>
              <w:marBottom w:val="0"/>
              <w:divBdr>
                <w:top w:val="none" w:sz="0" w:space="0" w:color="auto"/>
                <w:left w:val="none" w:sz="0" w:space="0" w:color="auto"/>
                <w:bottom w:val="none" w:sz="0" w:space="0" w:color="auto"/>
                <w:right w:val="none" w:sz="0" w:space="0" w:color="auto"/>
              </w:divBdr>
            </w:div>
          </w:divsChild>
        </w:div>
        <w:div w:id="630280934">
          <w:marLeft w:val="0"/>
          <w:marRight w:val="0"/>
          <w:marTop w:val="0"/>
          <w:marBottom w:val="0"/>
          <w:divBdr>
            <w:top w:val="none" w:sz="0" w:space="0" w:color="auto"/>
            <w:left w:val="none" w:sz="0" w:space="0" w:color="auto"/>
            <w:bottom w:val="none" w:sz="0" w:space="0" w:color="auto"/>
            <w:right w:val="none" w:sz="0" w:space="0" w:color="auto"/>
          </w:divBdr>
          <w:divsChild>
            <w:div w:id="727268597">
              <w:marLeft w:val="0"/>
              <w:marRight w:val="0"/>
              <w:marTop w:val="0"/>
              <w:marBottom w:val="0"/>
              <w:divBdr>
                <w:top w:val="none" w:sz="0" w:space="0" w:color="auto"/>
                <w:left w:val="none" w:sz="0" w:space="0" w:color="auto"/>
                <w:bottom w:val="none" w:sz="0" w:space="0" w:color="auto"/>
                <w:right w:val="none" w:sz="0" w:space="0" w:color="auto"/>
              </w:divBdr>
            </w:div>
          </w:divsChild>
        </w:div>
        <w:div w:id="663704954">
          <w:marLeft w:val="0"/>
          <w:marRight w:val="0"/>
          <w:marTop w:val="0"/>
          <w:marBottom w:val="0"/>
          <w:divBdr>
            <w:top w:val="none" w:sz="0" w:space="0" w:color="auto"/>
            <w:left w:val="none" w:sz="0" w:space="0" w:color="auto"/>
            <w:bottom w:val="none" w:sz="0" w:space="0" w:color="auto"/>
            <w:right w:val="none" w:sz="0" w:space="0" w:color="auto"/>
          </w:divBdr>
          <w:divsChild>
            <w:div w:id="2131775441">
              <w:marLeft w:val="0"/>
              <w:marRight w:val="0"/>
              <w:marTop w:val="0"/>
              <w:marBottom w:val="0"/>
              <w:divBdr>
                <w:top w:val="none" w:sz="0" w:space="0" w:color="auto"/>
                <w:left w:val="none" w:sz="0" w:space="0" w:color="auto"/>
                <w:bottom w:val="none" w:sz="0" w:space="0" w:color="auto"/>
                <w:right w:val="none" w:sz="0" w:space="0" w:color="auto"/>
              </w:divBdr>
            </w:div>
          </w:divsChild>
        </w:div>
        <w:div w:id="727340845">
          <w:marLeft w:val="0"/>
          <w:marRight w:val="0"/>
          <w:marTop w:val="0"/>
          <w:marBottom w:val="0"/>
          <w:divBdr>
            <w:top w:val="none" w:sz="0" w:space="0" w:color="auto"/>
            <w:left w:val="none" w:sz="0" w:space="0" w:color="auto"/>
            <w:bottom w:val="none" w:sz="0" w:space="0" w:color="auto"/>
            <w:right w:val="none" w:sz="0" w:space="0" w:color="auto"/>
          </w:divBdr>
          <w:divsChild>
            <w:div w:id="9642938">
              <w:marLeft w:val="0"/>
              <w:marRight w:val="0"/>
              <w:marTop w:val="0"/>
              <w:marBottom w:val="0"/>
              <w:divBdr>
                <w:top w:val="none" w:sz="0" w:space="0" w:color="auto"/>
                <w:left w:val="none" w:sz="0" w:space="0" w:color="auto"/>
                <w:bottom w:val="none" w:sz="0" w:space="0" w:color="auto"/>
                <w:right w:val="none" w:sz="0" w:space="0" w:color="auto"/>
              </w:divBdr>
            </w:div>
          </w:divsChild>
        </w:div>
        <w:div w:id="760686902">
          <w:marLeft w:val="0"/>
          <w:marRight w:val="0"/>
          <w:marTop w:val="0"/>
          <w:marBottom w:val="0"/>
          <w:divBdr>
            <w:top w:val="none" w:sz="0" w:space="0" w:color="auto"/>
            <w:left w:val="none" w:sz="0" w:space="0" w:color="auto"/>
            <w:bottom w:val="none" w:sz="0" w:space="0" w:color="auto"/>
            <w:right w:val="none" w:sz="0" w:space="0" w:color="auto"/>
          </w:divBdr>
          <w:divsChild>
            <w:div w:id="1342705059">
              <w:marLeft w:val="0"/>
              <w:marRight w:val="0"/>
              <w:marTop w:val="0"/>
              <w:marBottom w:val="0"/>
              <w:divBdr>
                <w:top w:val="none" w:sz="0" w:space="0" w:color="auto"/>
                <w:left w:val="none" w:sz="0" w:space="0" w:color="auto"/>
                <w:bottom w:val="none" w:sz="0" w:space="0" w:color="auto"/>
                <w:right w:val="none" w:sz="0" w:space="0" w:color="auto"/>
              </w:divBdr>
            </w:div>
          </w:divsChild>
        </w:div>
        <w:div w:id="766654919">
          <w:marLeft w:val="0"/>
          <w:marRight w:val="0"/>
          <w:marTop w:val="0"/>
          <w:marBottom w:val="0"/>
          <w:divBdr>
            <w:top w:val="none" w:sz="0" w:space="0" w:color="auto"/>
            <w:left w:val="none" w:sz="0" w:space="0" w:color="auto"/>
            <w:bottom w:val="none" w:sz="0" w:space="0" w:color="auto"/>
            <w:right w:val="none" w:sz="0" w:space="0" w:color="auto"/>
          </w:divBdr>
          <w:divsChild>
            <w:div w:id="595292579">
              <w:marLeft w:val="0"/>
              <w:marRight w:val="0"/>
              <w:marTop w:val="0"/>
              <w:marBottom w:val="0"/>
              <w:divBdr>
                <w:top w:val="none" w:sz="0" w:space="0" w:color="auto"/>
                <w:left w:val="none" w:sz="0" w:space="0" w:color="auto"/>
                <w:bottom w:val="none" w:sz="0" w:space="0" w:color="auto"/>
                <w:right w:val="none" w:sz="0" w:space="0" w:color="auto"/>
              </w:divBdr>
            </w:div>
          </w:divsChild>
        </w:div>
        <w:div w:id="773402131">
          <w:marLeft w:val="0"/>
          <w:marRight w:val="0"/>
          <w:marTop w:val="0"/>
          <w:marBottom w:val="0"/>
          <w:divBdr>
            <w:top w:val="none" w:sz="0" w:space="0" w:color="auto"/>
            <w:left w:val="none" w:sz="0" w:space="0" w:color="auto"/>
            <w:bottom w:val="none" w:sz="0" w:space="0" w:color="auto"/>
            <w:right w:val="none" w:sz="0" w:space="0" w:color="auto"/>
          </w:divBdr>
          <w:divsChild>
            <w:div w:id="1114783579">
              <w:marLeft w:val="0"/>
              <w:marRight w:val="0"/>
              <w:marTop w:val="0"/>
              <w:marBottom w:val="0"/>
              <w:divBdr>
                <w:top w:val="none" w:sz="0" w:space="0" w:color="auto"/>
                <w:left w:val="none" w:sz="0" w:space="0" w:color="auto"/>
                <w:bottom w:val="none" w:sz="0" w:space="0" w:color="auto"/>
                <w:right w:val="none" w:sz="0" w:space="0" w:color="auto"/>
              </w:divBdr>
            </w:div>
          </w:divsChild>
        </w:div>
        <w:div w:id="783889007">
          <w:marLeft w:val="0"/>
          <w:marRight w:val="0"/>
          <w:marTop w:val="0"/>
          <w:marBottom w:val="0"/>
          <w:divBdr>
            <w:top w:val="none" w:sz="0" w:space="0" w:color="auto"/>
            <w:left w:val="none" w:sz="0" w:space="0" w:color="auto"/>
            <w:bottom w:val="none" w:sz="0" w:space="0" w:color="auto"/>
            <w:right w:val="none" w:sz="0" w:space="0" w:color="auto"/>
          </w:divBdr>
          <w:divsChild>
            <w:div w:id="942110322">
              <w:marLeft w:val="0"/>
              <w:marRight w:val="0"/>
              <w:marTop w:val="0"/>
              <w:marBottom w:val="0"/>
              <w:divBdr>
                <w:top w:val="none" w:sz="0" w:space="0" w:color="auto"/>
                <w:left w:val="none" w:sz="0" w:space="0" w:color="auto"/>
                <w:bottom w:val="none" w:sz="0" w:space="0" w:color="auto"/>
                <w:right w:val="none" w:sz="0" w:space="0" w:color="auto"/>
              </w:divBdr>
            </w:div>
          </w:divsChild>
        </w:div>
        <w:div w:id="865289711">
          <w:marLeft w:val="0"/>
          <w:marRight w:val="0"/>
          <w:marTop w:val="0"/>
          <w:marBottom w:val="0"/>
          <w:divBdr>
            <w:top w:val="none" w:sz="0" w:space="0" w:color="auto"/>
            <w:left w:val="none" w:sz="0" w:space="0" w:color="auto"/>
            <w:bottom w:val="none" w:sz="0" w:space="0" w:color="auto"/>
            <w:right w:val="none" w:sz="0" w:space="0" w:color="auto"/>
          </w:divBdr>
          <w:divsChild>
            <w:div w:id="474951661">
              <w:marLeft w:val="0"/>
              <w:marRight w:val="0"/>
              <w:marTop w:val="0"/>
              <w:marBottom w:val="0"/>
              <w:divBdr>
                <w:top w:val="none" w:sz="0" w:space="0" w:color="auto"/>
                <w:left w:val="none" w:sz="0" w:space="0" w:color="auto"/>
                <w:bottom w:val="none" w:sz="0" w:space="0" w:color="auto"/>
                <w:right w:val="none" w:sz="0" w:space="0" w:color="auto"/>
              </w:divBdr>
            </w:div>
          </w:divsChild>
        </w:div>
        <w:div w:id="903874084">
          <w:marLeft w:val="0"/>
          <w:marRight w:val="0"/>
          <w:marTop w:val="0"/>
          <w:marBottom w:val="0"/>
          <w:divBdr>
            <w:top w:val="none" w:sz="0" w:space="0" w:color="auto"/>
            <w:left w:val="none" w:sz="0" w:space="0" w:color="auto"/>
            <w:bottom w:val="none" w:sz="0" w:space="0" w:color="auto"/>
            <w:right w:val="none" w:sz="0" w:space="0" w:color="auto"/>
          </w:divBdr>
          <w:divsChild>
            <w:div w:id="1505168139">
              <w:marLeft w:val="0"/>
              <w:marRight w:val="0"/>
              <w:marTop w:val="0"/>
              <w:marBottom w:val="0"/>
              <w:divBdr>
                <w:top w:val="none" w:sz="0" w:space="0" w:color="auto"/>
                <w:left w:val="none" w:sz="0" w:space="0" w:color="auto"/>
                <w:bottom w:val="none" w:sz="0" w:space="0" w:color="auto"/>
                <w:right w:val="none" w:sz="0" w:space="0" w:color="auto"/>
              </w:divBdr>
            </w:div>
          </w:divsChild>
        </w:div>
        <w:div w:id="905996356">
          <w:marLeft w:val="0"/>
          <w:marRight w:val="0"/>
          <w:marTop w:val="0"/>
          <w:marBottom w:val="0"/>
          <w:divBdr>
            <w:top w:val="none" w:sz="0" w:space="0" w:color="auto"/>
            <w:left w:val="none" w:sz="0" w:space="0" w:color="auto"/>
            <w:bottom w:val="none" w:sz="0" w:space="0" w:color="auto"/>
            <w:right w:val="none" w:sz="0" w:space="0" w:color="auto"/>
          </w:divBdr>
          <w:divsChild>
            <w:div w:id="814181445">
              <w:marLeft w:val="0"/>
              <w:marRight w:val="0"/>
              <w:marTop w:val="0"/>
              <w:marBottom w:val="0"/>
              <w:divBdr>
                <w:top w:val="none" w:sz="0" w:space="0" w:color="auto"/>
                <w:left w:val="none" w:sz="0" w:space="0" w:color="auto"/>
                <w:bottom w:val="none" w:sz="0" w:space="0" w:color="auto"/>
                <w:right w:val="none" w:sz="0" w:space="0" w:color="auto"/>
              </w:divBdr>
            </w:div>
          </w:divsChild>
        </w:div>
        <w:div w:id="922298592">
          <w:marLeft w:val="0"/>
          <w:marRight w:val="0"/>
          <w:marTop w:val="0"/>
          <w:marBottom w:val="0"/>
          <w:divBdr>
            <w:top w:val="none" w:sz="0" w:space="0" w:color="auto"/>
            <w:left w:val="none" w:sz="0" w:space="0" w:color="auto"/>
            <w:bottom w:val="none" w:sz="0" w:space="0" w:color="auto"/>
            <w:right w:val="none" w:sz="0" w:space="0" w:color="auto"/>
          </w:divBdr>
          <w:divsChild>
            <w:div w:id="1702823364">
              <w:marLeft w:val="0"/>
              <w:marRight w:val="0"/>
              <w:marTop w:val="0"/>
              <w:marBottom w:val="0"/>
              <w:divBdr>
                <w:top w:val="none" w:sz="0" w:space="0" w:color="auto"/>
                <w:left w:val="none" w:sz="0" w:space="0" w:color="auto"/>
                <w:bottom w:val="none" w:sz="0" w:space="0" w:color="auto"/>
                <w:right w:val="none" w:sz="0" w:space="0" w:color="auto"/>
              </w:divBdr>
            </w:div>
          </w:divsChild>
        </w:div>
        <w:div w:id="922496818">
          <w:marLeft w:val="0"/>
          <w:marRight w:val="0"/>
          <w:marTop w:val="0"/>
          <w:marBottom w:val="0"/>
          <w:divBdr>
            <w:top w:val="none" w:sz="0" w:space="0" w:color="auto"/>
            <w:left w:val="none" w:sz="0" w:space="0" w:color="auto"/>
            <w:bottom w:val="none" w:sz="0" w:space="0" w:color="auto"/>
            <w:right w:val="none" w:sz="0" w:space="0" w:color="auto"/>
          </w:divBdr>
          <w:divsChild>
            <w:div w:id="721712875">
              <w:marLeft w:val="0"/>
              <w:marRight w:val="0"/>
              <w:marTop w:val="0"/>
              <w:marBottom w:val="0"/>
              <w:divBdr>
                <w:top w:val="none" w:sz="0" w:space="0" w:color="auto"/>
                <w:left w:val="none" w:sz="0" w:space="0" w:color="auto"/>
                <w:bottom w:val="none" w:sz="0" w:space="0" w:color="auto"/>
                <w:right w:val="none" w:sz="0" w:space="0" w:color="auto"/>
              </w:divBdr>
            </w:div>
          </w:divsChild>
        </w:div>
        <w:div w:id="966199942">
          <w:marLeft w:val="0"/>
          <w:marRight w:val="0"/>
          <w:marTop w:val="0"/>
          <w:marBottom w:val="0"/>
          <w:divBdr>
            <w:top w:val="none" w:sz="0" w:space="0" w:color="auto"/>
            <w:left w:val="none" w:sz="0" w:space="0" w:color="auto"/>
            <w:bottom w:val="none" w:sz="0" w:space="0" w:color="auto"/>
            <w:right w:val="none" w:sz="0" w:space="0" w:color="auto"/>
          </w:divBdr>
          <w:divsChild>
            <w:div w:id="1860048762">
              <w:marLeft w:val="0"/>
              <w:marRight w:val="0"/>
              <w:marTop w:val="0"/>
              <w:marBottom w:val="0"/>
              <w:divBdr>
                <w:top w:val="none" w:sz="0" w:space="0" w:color="auto"/>
                <w:left w:val="none" w:sz="0" w:space="0" w:color="auto"/>
                <w:bottom w:val="none" w:sz="0" w:space="0" w:color="auto"/>
                <w:right w:val="none" w:sz="0" w:space="0" w:color="auto"/>
              </w:divBdr>
            </w:div>
          </w:divsChild>
        </w:div>
        <w:div w:id="991327012">
          <w:marLeft w:val="0"/>
          <w:marRight w:val="0"/>
          <w:marTop w:val="0"/>
          <w:marBottom w:val="0"/>
          <w:divBdr>
            <w:top w:val="none" w:sz="0" w:space="0" w:color="auto"/>
            <w:left w:val="none" w:sz="0" w:space="0" w:color="auto"/>
            <w:bottom w:val="none" w:sz="0" w:space="0" w:color="auto"/>
            <w:right w:val="none" w:sz="0" w:space="0" w:color="auto"/>
          </w:divBdr>
          <w:divsChild>
            <w:div w:id="201481214">
              <w:marLeft w:val="0"/>
              <w:marRight w:val="0"/>
              <w:marTop w:val="0"/>
              <w:marBottom w:val="0"/>
              <w:divBdr>
                <w:top w:val="none" w:sz="0" w:space="0" w:color="auto"/>
                <w:left w:val="none" w:sz="0" w:space="0" w:color="auto"/>
                <w:bottom w:val="none" w:sz="0" w:space="0" w:color="auto"/>
                <w:right w:val="none" w:sz="0" w:space="0" w:color="auto"/>
              </w:divBdr>
            </w:div>
          </w:divsChild>
        </w:div>
        <w:div w:id="1008023790">
          <w:marLeft w:val="0"/>
          <w:marRight w:val="0"/>
          <w:marTop w:val="0"/>
          <w:marBottom w:val="0"/>
          <w:divBdr>
            <w:top w:val="none" w:sz="0" w:space="0" w:color="auto"/>
            <w:left w:val="none" w:sz="0" w:space="0" w:color="auto"/>
            <w:bottom w:val="none" w:sz="0" w:space="0" w:color="auto"/>
            <w:right w:val="none" w:sz="0" w:space="0" w:color="auto"/>
          </w:divBdr>
          <w:divsChild>
            <w:div w:id="582186220">
              <w:marLeft w:val="0"/>
              <w:marRight w:val="0"/>
              <w:marTop w:val="0"/>
              <w:marBottom w:val="0"/>
              <w:divBdr>
                <w:top w:val="none" w:sz="0" w:space="0" w:color="auto"/>
                <w:left w:val="none" w:sz="0" w:space="0" w:color="auto"/>
                <w:bottom w:val="none" w:sz="0" w:space="0" w:color="auto"/>
                <w:right w:val="none" w:sz="0" w:space="0" w:color="auto"/>
              </w:divBdr>
            </w:div>
          </w:divsChild>
        </w:div>
        <w:div w:id="1059597134">
          <w:marLeft w:val="0"/>
          <w:marRight w:val="0"/>
          <w:marTop w:val="0"/>
          <w:marBottom w:val="0"/>
          <w:divBdr>
            <w:top w:val="none" w:sz="0" w:space="0" w:color="auto"/>
            <w:left w:val="none" w:sz="0" w:space="0" w:color="auto"/>
            <w:bottom w:val="none" w:sz="0" w:space="0" w:color="auto"/>
            <w:right w:val="none" w:sz="0" w:space="0" w:color="auto"/>
          </w:divBdr>
          <w:divsChild>
            <w:div w:id="848327756">
              <w:marLeft w:val="0"/>
              <w:marRight w:val="0"/>
              <w:marTop w:val="0"/>
              <w:marBottom w:val="0"/>
              <w:divBdr>
                <w:top w:val="none" w:sz="0" w:space="0" w:color="auto"/>
                <w:left w:val="none" w:sz="0" w:space="0" w:color="auto"/>
                <w:bottom w:val="none" w:sz="0" w:space="0" w:color="auto"/>
                <w:right w:val="none" w:sz="0" w:space="0" w:color="auto"/>
              </w:divBdr>
            </w:div>
          </w:divsChild>
        </w:div>
        <w:div w:id="1071851490">
          <w:marLeft w:val="0"/>
          <w:marRight w:val="0"/>
          <w:marTop w:val="0"/>
          <w:marBottom w:val="0"/>
          <w:divBdr>
            <w:top w:val="none" w:sz="0" w:space="0" w:color="auto"/>
            <w:left w:val="none" w:sz="0" w:space="0" w:color="auto"/>
            <w:bottom w:val="none" w:sz="0" w:space="0" w:color="auto"/>
            <w:right w:val="none" w:sz="0" w:space="0" w:color="auto"/>
          </w:divBdr>
          <w:divsChild>
            <w:div w:id="2104765598">
              <w:marLeft w:val="0"/>
              <w:marRight w:val="0"/>
              <w:marTop w:val="0"/>
              <w:marBottom w:val="0"/>
              <w:divBdr>
                <w:top w:val="none" w:sz="0" w:space="0" w:color="auto"/>
                <w:left w:val="none" w:sz="0" w:space="0" w:color="auto"/>
                <w:bottom w:val="none" w:sz="0" w:space="0" w:color="auto"/>
                <w:right w:val="none" w:sz="0" w:space="0" w:color="auto"/>
              </w:divBdr>
            </w:div>
          </w:divsChild>
        </w:div>
        <w:div w:id="1101023947">
          <w:marLeft w:val="0"/>
          <w:marRight w:val="0"/>
          <w:marTop w:val="0"/>
          <w:marBottom w:val="0"/>
          <w:divBdr>
            <w:top w:val="none" w:sz="0" w:space="0" w:color="auto"/>
            <w:left w:val="none" w:sz="0" w:space="0" w:color="auto"/>
            <w:bottom w:val="none" w:sz="0" w:space="0" w:color="auto"/>
            <w:right w:val="none" w:sz="0" w:space="0" w:color="auto"/>
          </w:divBdr>
          <w:divsChild>
            <w:div w:id="921447539">
              <w:marLeft w:val="0"/>
              <w:marRight w:val="0"/>
              <w:marTop w:val="0"/>
              <w:marBottom w:val="0"/>
              <w:divBdr>
                <w:top w:val="none" w:sz="0" w:space="0" w:color="auto"/>
                <w:left w:val="none" w:sz="0" w:space="0" w:color="auto"/>
                <w:bottom w:val="none" w:sz="0" w:space="0" w:color="auto"/>
                <w:right w:val="none" w:sz="0" w:space="0" w:color="auto"/>
              </w:divBdr>
            </w:div>
          </w:divsChild>
        </w:div>
        <w:div w:id="1112552015">
          <w:marLeft w:val="0"/>
          <w:marRight w:val="0"/>
          <w:marTop w:val="0"/>
          <w:marBottom w:val="0"/>
          <w:divBdr>
            <w:top w:val="none" w:sz="0" w:space="0" w:color="auto"/>
            <w:left w:val="none" w:sz="0" w:space="0" w:color="auto"/>
            <w:bottom w:val="none" w:sz="0" w:space="0" w:color="auto"/>
            <w:right w:val="none" w:sz="0" w:space="0" w:color="auto"/>
          </w:divBdr>
          <w:divsChild>
            <w:div w:id="296766064">
              <w:marLeft w:val="0"/>
              <w:marRight w:val="0"/>
              <w:marTop w:val="0"/>
              <w:marBottom w:val="0"/>
              <w:divBdr>
                <w:top w:val="none" w:sz="0" w:space="0" w:color="auto"/>
                <w:left w:val="none" w:sz="0" w:space="0" w:color="auto"/>
                <w:bottom w:val="none" w:sz="0" w:space="0" w:color="auto"/>
                <w:right w:val="none" w:sz="0" w:space="0" w:color="auto"/>
              </w:divBdr>
            </w:div>
          </w:divsChild>
        </w:div>
        <w:div w:id="1142769222">
          <w:marLeft w:val="0"/>
          <w:marRight w:val="0"/>
          <w:marTop w:val="0"/>
          <w:marBottom w:val="0"/>
          <w:divBdr>
            <w:top w:val="none" w:sz="0" w:space="0" w:color="auto"/>
            <w:left w:val="none" w:sz="0" w:space="0" w:color="auto"/>
            <w:bottom w:val="none" w:sz="0" w:space="0" w:color="auto"/>
            <w:right w:val="none" w:sz="0" w:space="0" w:color="auto"/>
          </w:divBdr>
          <w:divsChild>
            <w:div w:id="1301617434">
              <w:marLeft w:val="0"/>
              <w:marRight w:val="0"/>
              <w:marTop w:val="0"/>
              <w:marBottom w:val="0"/>
              <w:divBdr>
                <w:top w:val="none" w:sz="0" w:space="0" w:color="auto"/>
                <w:left w:val="none" w:sz="0" w:space="0" w:color="auto"/>
                <w:bottom w:val="none" w:sz="0" w:space="0" w:color="auto"/>
                <w:right w:val="none" w:sz="0" w:space="0" w:color="auto"/>
              </w:divBdr>
            </w:div>
          </w:divsChild>
        </w:div>
        <w:div w:id="1153444447">
          <w:marLeft w:val="0"/>
          <w:marRight w:val="0"/>
          <w:marTop w:val="0"/>
          <w:marBottom w:val="0"/>
          <w:divBdr>
            <w:top w:val="none" w:sz="0" w:space="0" w:color="auto"/>
            <w:left w:val="none" w:sz="0" w:space="0" w:color="auto"/>
            <w:bottom w:val="none" w:sz="0" w:space="0" w:color="auto"/>
            <w:right w:val="none" w:sz="0" w:space="0" w:color="auto"/>
          </w:divBdr>
          <w:divsChild>
            <w:div w:id="1890459352">
              <w:marLeft w:val="0"/>
              <w:marRight w:val="0"/>
              <w:marTop w:val="0"/>
              <w:marBottom w:val="0"/>
              <w:divBdr>
                <w:top w:val="none" w:sz="0" w:space="0" w:color="auto"/>
                <w:left w:val="none" w:sz="0" w:space="0" w:color="auto"/>
                <w:bottom w:val="none" w:sz="0" w:space="0" w:color="auto"/>
                <w:right w:val="none" w:sz="0" w:space="0" w:color="auto"/>
              </w:divBdr>
            </w:div>
          </w:divsChild>
        </w:div>
        <w:div w:id="1163351468">
          <w:marLeft w:val="0"/>
          <w:marRight w:val="0"/>
          <w:marTop w:val="0"/>
          <w:marBottom w:val="0"/>
          <w:divBdr>
            <w:top w:val="none" w:sz="0" w:space="0" w:color="auto"/>
            <w:left w:val="none" w:sz="0" w:space="0" w:color="auto"/>
            <w:bottom w:val="none" w:sz="0" w:space="0" w:color="auto"/>
            <w:right w:val="none" w:sz="0" w:space="0" w:color="auto"/>
          </w:divBdr>
          <w:divsChild>
            <w:div w:id="716202540">
              <w:marLeft w:val="0"/>
              <w:marRight w:val="0"/>
              <w:marTop w:val="0"/>
              <w:marBottom w:val="0"/>
              <w:divBdr>
                <w:top w:val="none" w:sz="0" w:space="0" w:color="auto"/>
                <w:left w:val="none" w:sz="0" w:space="0" w:color="auto"/>
                <w:bottom w:val="none" w:sz="0" w:space="0" w:color="auto"/>
                <w:right w:val="none" w:sz="0" w:space="0" w:color="auto"/>
              </w:divBdr>
            </w:div>
          </w:divsChild>
        </w:div>
        <w:div w:id="1173760081">
          <w:marLeft w:val="0"/>
          <w:marRight w:val="0"/>
          <w:marTop w:val="0"/>
          <w:marBottom w:val="0"/>
          <w:divBdr>
            <w:top w:val="none" w:sz="0" w:space="0" w:color="auto"/>
            <w:left w:val="none" w:sz="0" w:space="0" w:color="auto"/>
            <w:bottom w:val="none" w:sz="0" w:space="0" w:color="auto"/>
            <w:right w:val="none" w:sz="0" w:space="0" w:color="auto"/>
          </w:divBdr>
          <w:divsChild>
            <w:div w:id="1201943344">
              <w:marLeft w:val="0"/>
              <w:marRight w:val="0"/>
              <w:marTop w:val="0"/>
              <w:marBottom w:val="0"/>
              <w:divBdr>
                <w:top w:val="none" w:sz="0" w:space="0" w:color="auto"/>
                <w:left w:val="none" w:sz="0" w:space="0" w:color="auto"/>
                <w:bottom w:val="none" w:sz="0" w:space="0" w:color="auto"/>
                <w:right w:val="none" w:sz="0" w:space="0" w:color="auto"/>
              </w:divBdr>
            </w:div>
          </w:divsChild>
        </w:div>
        <w:div w:id="1176001141">
          <w:marLeft w:val="0"/>
          <w:marRight w:val="0"/>
          <w:marTop w:val="0"/>
          <w:marBottom w:val="0"/>
          <w:divBdr>
            <w:top w:val="none" w:sz="0" w:space="0" w:color="auto"/>
            <w:left w:val="none" w:sz="0" w:space="0" w:color="auto"/>
            <w:bottom w:val="none" w:sz="0" w:space="0" w:color="auto"/>
            <w:right w:val="none" w:sz="0" w:space="0" w:color="auto"/>
          </w:divBdr>
          <w:divsChild>
            <w:div w:id="1541699387">
              <w:marLeft w:val="0"/>
              <w:marRight w:val="0"/>
              <w:marTop w:val="0"/>
              <w:marBottom w:val="0"/>
              <w:divBdr>
                <w:top w:val="none" w:sz="0" w:space="0" w:color="auto"/>
                <w:left w:val="none" w:sz="0" w:space="0" w:color="auto"/>
                <w:bottom w:val="none" w:sz="0" w:space="0" w:color="auto"/>
                <w:right w:val="none" w:sz="0" w:space="0" w:color="auto"/>
              </w:divBdr>
            </w:div>
          </w:divsChild>
        </w:div>
        <w:div w:id="1265458584">
          <w:marLeft w:val="0"/>
          <w:marRight w:val="0"/>
          <w:marTop w:val="0"/>
          <w:marBottom w:val="0"/>
          <w:divBdr>
            <w:top w:val="none" w:sz="0" w:space="0" w:color="auto"/>
            <w:left w:val="none" w:sz="0" w:space="0" w:color="auto"/>
            <w:bottom w:val="none" w:sz="0" w:space="0" w:color="auto"/>
            <w:right w:val="none" w:sz="0" w:space="0" w:color="auto"/>
          </w:divBdr>
          <w:divsChild>
            <w:div w:id="527911993">
              <w:marLeft w:val="0"/>
              <w:marRight w:val="0"/>
              <w:marTop w:val="0"/>
              <w:marBottom w:val="0"/>
              <w:divBdr>
                <w:top w:val="none" w:sz="0" w:space="0" w:color="auto"/>
                <w:left w:val="none" w:sz="0" w:space="0" w:color="auto"/>
                <w:bottom w:val="none" w:sz="0" w:space="0" w:color="auto"/>
                <w:right w:val="none" w:sz="0" w:space="0" w:color="auto"/>
              </w:divBdr>
            </w:div>
          </w:divsChild>
        </w:div>
        <w:div w:id="1294481683">
          <w:marLeft w:val="0"/>
          <w:marRight w:val="0"/>
          <w:marTop w:val="0"/>
          <w:marBottom w:val="0"/>
          <w:divBdr>
            <w:top w:val="none" w:sz="0" w:space="0" w:color="auto"/>
            <w:left w:val="none" w:sz="0" w:space="0" w:color="auto"/>
            <w:bottom w:val="none" w:sz="0" w:space="0" w:color="auto"/>
            <w:right w:val="none" w:sz="0" w:space="0" w:color="auto"/>
          </w:divBdr>
          <w:divsChild>
            <w:div w:id="647517225">
              <w:marLeft w:val="0"/>
              <w:marRight w:val="0"/>
              <w:marTop w:val="0"/>
              <w:marBottom w:val="0"/>
              <w:divBdr>
                <w:top w:val="none" w:sz="0" w:space="0" w:color="auto"/>
                <w:left w:val="none" w:sz="0" w:space="0" w:color="auto"/>
                <w:bottom w:val="none" w:sz="0" w:space="0" w:color="auto"/>
                <w:right w:val="none" w:sz="0" w:space="0" w:color="auto"/>
              </w:divBdr>
            </w:div>
          </w:divsChild>
        </w:div>
        <w:div w:id="1317686466">
          <w:marLeft w:val="0"/>
          <w:marRight w:val="0"/>
          <w:marTop w:val="0"/>
          <w:marBottom w:val="0"/>
          <w:divBdr>
            <w:top w:val="none" w:sz="0" w:space="0" w:color="auto"/>
            <w:left w:val="none" w:sz="0" w:space="0" w:color="auto"/>
            <w:bottom w:val="none" w:sz="0" w:space="0" w:color="auto"/>
            <w:right w:val="none" w:sz="0" w:space="0" w:color="auto"/>
          </w:divBdr>
          <w:divsChild>
            <w:div w:id="529294302">
              <w:marLeft w:val="0"/>
              <w:marRight w:val="0"/>
              <w:marTop w:val="0"/>
              <w:marBottom w:val="0"/>
              <w:divBdr>
                <w:top w:val="none" w:sz="0" w:space="0" w:color="auto"/>
                <w:left w:val="none" w:sz="0" w:space="0" w:color="auto"/>
                <w:bottom w:val="none" w:sz="0" w:space="0" w:color="auto"/>
                <w:right w:val="none" w:sz="0" w:space="0" w:color="auto"/>
              </w:divBdr>
            </w:div>
          </w:divsChild>
        </w:div>
        <w:div w:id="1353455307">
          <w:marLeft w:val="0"/>
          <w:marRight w:val="0"/>
          <w:marTop w:val="0"/>
          <w:marBottom w:val="0"/>
          <w:divBdr>
            <w:top w:val="none" w:sz="0" w:space="0" w:color="auto"/>
            <w:left w:val="none" w:sz="0" w:space="0" w:color="auto"/>
            <w:bottom w:val="none" w:sz="0" w:space="0" w:color="auto"/>
            <w:right w:val="none" w:sz="0" w:space="0" w:color="auto"/>
          </w:divBdr>
          <w:divsChild>
            <w:div w:id="210115561">
              <w:marLeft w:val="0"/>
              <w:marRight w:val="0"/>
              <w:marTop w:val="0"/>
              <w:marBottom w:val="0"/>
              <w:divBdr>
                <w:top w:val="none" w:sz="0" w:space="0" w:color="auto"/>
                <w:left w:val="none" w:sz="0" w:space="0" w:color="auto"/>
                <w:bottom w:val="none" w:sz="0" w:space="0" w:color="auto"/>
                <w:right w:val="none" w:sz="0" w:space="0" w:color="auto"/>
              </w:divBdr>
            </w:div>
          </w:divsChild>
        </w:div>
        <w:div w:id="1356467654">
          <w:marLeft w:val="0"/>
          <w:marRight w:val="0"/>
          <w:marTop w:val="0"/>
          <w:marBottom w:val="0"/>
          <w:divBdr>
            <w:top w:val="none" w:sz="0" w:space="0" w:color="auto"/>
            <w:left w:val="none" w:sz="0" w:space="0" w:color="auto"/>
            <w:bottom w:val="none" w:sz="0" w:space="0" w:color="auto"/>
            <w:right w:val="none" w:sz="0" w:space="0" w:color="auto"/>
          </w:divBdr>
          <w:divsChild>
            <w:div w:id="548758964">
              <w:marLeft w:val="0"/>
              <w:marRight w:val="0"/>
              <w:marTop w:val="0"/>
              <w:marBottom w:val="0"/>
              <w:divBdr>
                <w:top w:val="none" w:sz="0" w:space="0" w:color="auto"/>
                <w:left w:val="none" w:sz="0" w:space="0" w:color="auto"/>
                <w:bottom w:val="none" w:sz="0" w:space="0" w:color="auto"/>
                <w:right w:val="none" w:sz="0" w:space="0" w:color="auto"/>
              </w:divBdr>
            </w:div>
          </w:divsChild>
        </w:div>
        <w:div w:id="1395735027">
          <w:marLeft w:val="0"/>
          <w:marRight w:val="0"/>
          <w:marTop w:val="0"/>
          <w:marBottom w:val="0"/>
          <w:divBdr>
            <w:top w:val="none" w:sz="0" w:space="0" w:color="auto"/>
            <w:left w:val="none" w:sz="0" w:space="0" w:color="auto"/>
            <w:bottom w:val="none" w:sz="0" w:space="0" w:color="auto"/>
            <w:right w:val="none" w:sz="0" w:space="0" w:color="auto"/>
          </w:divBdr>
          <w:divsChild>
            <w:div w:id="1491752094">
              <w:marLeft w:val="0"/>
              <w:marRight w:val="0"/>
              <w:marTop w:val="0"/>
              <w:marBottom w:val="0"/>
              <w:divBdr>
                <w:top w:val="none" w:sz="0" w:space="0" w:color="auto"/>
                <w:left w:val="none" w:sz="0" w:space="0" w:color="auto"/>
                <w:bottom w:val="none" w:sz="0" w:space="0" w:color="auto"/>
                <w:right w:val="none" w:sz="0" w:space="0" w:color="auto"/>
              </w:divBdr>
            </w:div>
          </w:divsChild>
        </w:div>
        <w:div w:id="1409769592">
          <w:marLeft w:val="0"/>
          <w:marRight w:val="0"/>
          <w:marTop w:val="0"/>
          <w:marBottom w:val="0"/>
          <w:divBdr>
            <w:top w:val="none" w:sz="0" w:space="0" w:color="auto"/>
            <w:left w:val="none" w:sz="0" w:space="0" w:color="auto"/>
            <w:bottom w:val="none" w:sz="0" w:space="0" w:color="auto"/>
            <w:right w:val="none" w:sz="0" w:space="0" w:color="auto"/>
          </w:divBdr>
          <w:divsChild>
            <w:div w:id="216018669">
              <w:marLeft w:val="0"/>
              <w:marRight w:val="0"/>
              <w:marTop w:val="0"/>
              <w:marBottom w:val="0"/>
              <w:divBdr>
                <w:top w:val="none" w:sz="0" w:space="0" w:color="auto"/>
                <w:left w:val="none" w:sz="0" w:space="0" w:color="auto"/>
                <w:bottom w:val="none" w:sz="0" w:space="0" w:color="auto"/>
                <w:right w:val="none" w:sz="0" w:space="0" w:color="auto"/>
              </w:divBdr>
            </w:div>
          </w:divsChild>
        </w:div>
        <w:div w:id="1519998600">
          <w:marLeft w:val="0"/>
          <w:marRight w:val="0"/>
          <w:marTop w:val="0"/>
          <w:marBottom w:val="0"/>
          <w:divBdr>
            <w:top w:val="none" w:sz="0" w:space="0" w:color="auto"/>
            <w:left w:val="none" w:sz="0" w:space="0" w:color="auto"/>
            <w:bottom w:val="none" w:sz="0" w:space="0" w:color="auto"/>
            <w:right w:val="none" w:sz="0" w:space="0" w:color="auto"/>
          </w:divBdr>
          <w:divsChild>
            <w:div w:id="443840933">
              <w:marLeft w:val="0"/>
              <w:marRight w:val="0"/>
              <w:marTop w:val="0"/>
              <w:marBottom w:val="0"/>
              <w:divBdr>
                <w:top w:val="none" w:sz="0" w:space="0" w:color="auto"/>
                <w:left w:val="none" w:sz="0" w:space="0" w:color="auto"/>
                <w:bottom w:val="none" w:sz="0" w:space="0" w:color="auto"/>
                <w:right w:val="none" w:sz="0" w:space="0" w:color="auto"/>
              </w:divBdr>
            </w:div>
          </w:divsChild>
        </w:div>
        <w:div w:id="1529219688">
          <w:marLeft w:val="0"/>
          <w:marRight w:val="0"/>
          <w:marTop w:val="0"/>
          <w:marBottom w:val="0"/>
          <w:divBdr>
            <w:top w:val="none" w:sz="0" w:space="0" w:color="auto"/>
            <w:left w:val="none" w:sz="0" w:space="0" w:color="auto"/>
            <w:bottom w:val="none" w:sz="0" w:space="0" w:color="auto"/>
            <w:right w:val="none" w:sz="0" w:space="0" w:color="auto"/>
          </w:divBdr>
          <w:divsChild>
            <w:div w:id="1068260661">
              <w:marLeft w:val="0"/>
              <w:marRight w:val="0"/>
              <w:marTop w:val="0"/>
              <w:marBottom w:val="0"/>
              <w:divBdr>
                <w:top w:val="none" w:sz="0" w:space="0" w:color="auto"/>
                <w:left w:val="none" w:sz="0" w:space="0" w:color="auto"/>
                <w:bottom w:val="none" w:sz="0" w:space="0" w:color="auto"/>
                <w:right w:val="none" w:sz="0" w:space="0" w:color="auto"/>
              </w:divBdr>
            </w:div>
          </w:divsChild>
        </w:div>
        <w:div w:id="1537813573">
          <w:marLeft w:val="0"/>
          <w:marRight w:val="0"/>
          <w:marTop w:val="0"/>
          <w:marBottom w:val="0"/>
          <w:divBdr>
            <w:top w:val="none" w:sz="0" w:space="0" w:color="auto"/>
            <w:left w:val="none" w:sz="0" w:space="0" w:color="auto"/>
            <w:bottom w:val="none" w:sz="0" w:space="0" w:color="auto"/>
            <w:right w:val="none" w:sz="0" w:space="0" w:color="auto"/>
          </w:divBdr>
          <w:divsChild>
            <w:div w:id="917595315">
              <w:marLeft w:val="0"/>
              <w:marRight w:val="0"/>
              <w:marTop w:val="0"/>
              <w:marBottom w:val="0"/>
              <w:divBdr>
                <w:top w:val="none" w:sz="0" w:space="0" w:color="auto"/>
                <w:left w:val="none" w:sz="0" w:space="0" w:color="auto"/>
                <w:bottom w:val="none" w:sz="0" w:space="0" w:color="auto"/>
                <w:right w:val="none" w:sz="0" w:space="0" w:color="auto"/>
              </w:divBdr>
            </w:div>
          </w:divsChild>
        </w:div>
        <w:div w:id="1620650763">
          <w:marLeft w:val="0"/>
          <w:marRight w:val="0"/>
          <w:marTop w:val="0"/>
          <w:marBottom w:val="0"/>
          <w:divBdr>
            <w:top w:val="none" w:sz="0" w:space="0" w:color="auto"/>
            <w:left w:val="none" w:sz="0" w:space="0" w:color="auto"/>
            <w:bottom w:val="none" w:sz="0" w:space="0" w:color="auto"/>
            <w:right w:val="none" w:sz="0" w:space="0" w:color="auto"/>
          </w:divBdr>
          <w:divsChild>
            <w:div w:id="1179927499">
              <w:marLeft w:val="0"/>
              <w:marRight w:val="0"/>
              <w:marTop w:val="0"/>
              <w:marBottom w:val="0"/>
              <w:divBdr>
                <w:top w:val="none" w:sz="0" w:space="0" w:color="auto"/>
                <w:left w:val="none" w:sz="0" w:space="0" w:color="auto"/>
                <w:bottom w:val="none" w:sz="0" w:space="0" w:color="auto"/>
                <w:right w:val="none" w:sz="0" w:space="0" w:color="auto"/>
              </w:divBdr>
            </w:div>
          </w:divsChild>
        </w:div>
        <w:div w:id="1753621357">
          <w:marLeft w:val="0"/>
          <w:marRight w:val="0"/>
          <w:marTop w:val="0"/>
          <w:marBottom w:val="0"/>
          <w:divBdr>
            <w:top w:val="none" w:sz="0" w:space="0" w:color="auto"/>
            <w:left w:val="none" w:sz="0" w:space="0" w:color="auto"/>
            <w:bottom w:val="none" w:sz="0" w:space="0" w:color="auto"/>
            <w:right w:val="none" w:sz="0" w:space="0" w:color="auto"/>
          </w:divBdr>
          <w:divsChild>
            <w:div w:id="442920166">
              <w:marLeft w:val="0"/>
              <w:marRight w:val="0"/>
              <w:marTop w:val="0"/>
              <w:marBottom w:val="0"/>
              <w:divBdr>
                <w:top w:val="none" w:sz="0" w:space="0" w:color="auto"/>
                <w:left w:val="none" w:sz="0" w:space="0" w:color="auto"/>
                <w:bottom w:val="none" w:sz="0" w:space="0" w:color="auto"/>
                <w:right w:val="none" w:sz="0" w:space="0" w:color="auto"/>
              </w:divBdr>
            </w:div>
          </w:divsChild>
        </w:div>
        <w:div w:id="1761902177">
          <w:marLeft w:val="0"/>
          <w:marRight w:val="0"/>
          <w:marTop w:val="0"/>
          <w:marBottom w:val="0"/>
          <w:divBdr>
            <w:top w:val="none" w:sz="0" w:space="0" w:color="auto"/>
            <w:left w:val="none" w:sz="0" w:space="0" w:color="auto"/>
            <w:bottom w:val="none" w:sz="0" w:space="0" w:color="auto"/>
            <w:right w:val="none" w:sz="0" w:space="0" w:color="auto"/>
          </w:divBdr>
          <w:divsChild>
            <w:div w:id="1184321474">
              <w:marLeft w:val="0"/>
              <w:marRight w:val="0"/>
              <w:marTop w:val="0"/>
              <w:marBottom w:val="0"/>
              <w:divBdr>
                <w:top w:val="none" w:sz="0" w:space="0" w:color="auto"/>
                <w:left w:val="none" w:sz="0" w:space="0" w:color="auto"/>
                <w:bottom w:val="none" w:sz="0" w:space="0" w:color="auto"/>
                <w:right w:val="none" w:sz="0" w:space="0" w:color="auto"/>
              </w:divBdr>
            </w:div>
          </w:divsChild>
        </w:div>
        <w:div w:id="1834293122">
          <w:marLeft w:val="0"/>
          <w:marRight w:val="0"/>
          <w:marTop w:val="0"/>
          <w:marBottom w:val="0"/>
          <w:divBdr>
            <w:top w:val="none" w:sz="0" w:space="0" w:color="auto"/>
            <w:left w:val="none" w:sz="0" w:space="0" w:color="auto"/>
            <w:bottom w:val="none" w:sz="0" w:space="0" w:color="auto"/>
            <w:right w:val="none" w:sz="0" w:space="0" w:color="auto"/>
          </w:divBdr>
          <w:divsChild>
            <w:div w:id="745804691">
              <w:marLeft w:val="0"/>
              <w:marRight w:val="0"/>
              <w:marTop w:val="0"/>
              <w:marBottom w:val="0"/>
              <w:divBdr>
                <w:top w:val="none" w:sz="0" w:space="0" w:color="auto"/>
                <w:left w:val="none" w:sz="0" w:space="0" w:color="auto"/>
                <w:bottom w:val="none" w:sz="0" w:space="0" w:color="auto"/>
                <w:right w:val="none" w:sz="0" w:space="0" w:color="auto"/>
              </w:divBdr>
            </w:div>
          </w:divsChild>
        </w:div>
        <w:div w:id="1836263959">
          <w:marLeft w:val="0"/>
          <w:marRight w:val="0"/>
          <w:marTop w:val="0"/>
          <w:marBottom w:val="0"/>
          <w:divBdr>
            <w:top w:val="none" w:sz="0" w:space="0" w:color="auto"/>
            <w:left w:val="none" w:sz="0" w:space="0" w:color="auto"/>
            <w:bottom w:val="none" w:sz="0" w:space="0" w:color="auto"/>
            <w:right w:val="none" w:sz="0" w:space="0" w:color="auto"/>
          </w:divBdr>
          <w:divsChild>
            <w:div w:id="139809474">
              <w:marLeft w:val="0"/>
              <w:marRight w:val="0"/>
              <w:marTop w:val="0"/>
              <w:marBottom w:val="0"/>
              <w:divBdr>
                <w:top w:val="none" w:sz="0" w:space="0" w:color="auto"/>
                <w:left w:val="none" w:sz="0" w:space="0" w:color="auto"/>
                <w:bottom w:val="none" w:sz="0" w:space="0" w:color="auto"/>
                <w:right w:val="none" w:sz="0" w:space="0" w:color="auto"/>
              </w:divBdr>
            </w:div>
          </w:divsChild>
        </w:div>
        <w:div w:id="1840388850">
          <w:marLeft w:val="0"/>
          <w:marRight w:val="0"/>
          <w:marTop w:val="0"/>
          <w:marBottom w:val="0"/>
          <w:divBdr>
            <w:top w:val="none" w:sz="0" w:space="0" w:color="auto"/>
            <w:left w:val="none" w:sz="0" w:space="0" w:color="auto"/>
            <w:bottom w:val="none" w:sz="0" w:space="0" w:color="auto"/>
            <w:right w:val="none" w:sz="0" w:space="0" w:color="auto"/>
          </w:divBdr>
          <w:divsChild>
            <w:div w:id="1677033200">
              <w:marLeft w:val="0"/>
              <w:marRight w:val="0"/>
              <w:marTop w:val="0"/>
              <w:marBottom w:val="0"/>
              <w:divBdr>
                <w:top w:val="none" w:sz="0" w:space="0" w:color="auto"/>
                <w:left w:val="none" w:sz="0" w:space="0" w:color="auto"/>
                <w:bottom w:val="none" w:sz="0" w:space="0" w:color="auto"/>
                <w:right w:val="none" w:sz="0" w:space="0" w:color="auto"/>
              </w:divBdr>
            </w:div>
          </w:divsChild>
        </w:div>
        <w:div w:id="1873687146">
          <w:marLeft w:val="0"/>
          <w:marRight w:val="0"/>
          <w:marTop w:val="0"/>
          <w:marBottom w:val="0"/>
          <w:divBdr>
            <w:top w:val="none" w:sz="0" w:space="0" w:color="auto"/>
            <w:left w:val="none" w:sz="0" w:space="0" w:color="auto"/>
            <w:bottom w:val="none" w:sz="0" w:space="0" w:color="auto"/>
            <w:right w:val="none" w:sz="0" w:space="0" w:color="auto"/>
          </w:divBdr>
          <w:divsChild>
            <w:div w:id="596406109">
              <w:marLeft w:val="0"/>
              <w:marRight w:val="0"/>
              <w:marTop w:val="0"/>
              <w:marBottom w:val="0"/>
              <w:divBdr>
                <w:top w:val="none" w:sz="0" w:space="0" w:color="auto"/>
                <w:left w:val="none" w:sz="0" w:space="0" w:color="auto"/>
                <w:bottom w:val="none" w:sz="0" w:space="0" w:color="auto"/>
                <w:right w:val="none" w:sz="0" w:space="0" w:color="auto"/>
              </w:divBdr>
            </w:div>
          </w:divsChild>
        </w:div>
        <w:div w:id="1906867746">
          <w:marLeft w:val="0"/>
          <w:marRight w:val="0"/>
          <w:marTop w:val="0"/>
          <w:marBottom w:val="0"/>
          <w:divBdr>
            <w:top w:val="none" w:sz="0" w:space="0" w:color="auto"/>
            <w:left w:val="none" w:sz="0" w:space="0" w:color="auto"/>
            <w:bottom w:val="none" w:sz="0" w:space="0" w:color="auto"/>
            <w:right w:val="none" w:sz="0" w:space="0" w:color="auto"/>
          </w:divBdr>
          <w:divsChild>
            <w:div w:id="968318428">
              <w:marLeft w:val="0"/>
              <w:marRight w:val="0"/>
              <w:marTop w:val="0"/>
              <w:marBottom w:val="0"/>
              <w:divBdr>
                <w:top w:val="none" w:sz="0" w:space="0" w:color="auto"/>
                <w:left w:val="none" w:sz="0" w:space="0" w:color="auto"/>
                <w:bottom w:val="none" w:sz="0" w:space="0" w:color="auto"/>
                <w:right w:val="none" w:sz="0" w:space="0" w:color="auto"/>
              </w:divBdr>
            </w:div>
          </w:divsChild>
        </w:div>
        <w:div w:id="1929385259">
          <w:marLeft w:val="0"/>
          <w:marRight w:val="0"/>
          <w:marTop w:val="0"/>
          <w:marBottom w:val="0"/>
          <w:divBdr>
            <w:top w:val="none" w:sz="0" w:space="0" w:color="auto"/>
            <w:left w:val="none" w:sz="0" w:space="0" w:color="auto"/>
            <w:bottom w:val="none" w:sz="0" w:space="0" w:color="auto"/>
            <w:right w:val="none" w:sz="0" w:space="0" w:color="auto"/>
          </w:divBdr>
          <w:divsChild>
            <w:div w:id="525948396">
              <w:marLeft w:val="0"/>
              <w:marRight w:val="0"/>
              <w:marTop w:val="0"/>
              <w:marBottom w:val="0"/>
              <w:divBdr>
                <w:top w:val="none" w:sz="0" w:space="0" w:color="auto"/>
                <w:left w:val="none" w:sz="0" w:space="0" w:color="auto"/>
                <w:bottom w:val="none" w:sz="0" w:space="0" w:color="auto"/>
                <w:right w:val="none" w:sz="0" w:space="0" w:color="auto"/>
              </w:divBdr>
            </w:div>
          </w:divsChild>
        </w:div>
        <w:div w:id="1931624984">
          <w:marLeft w:val="0"/>
          <w:marRight w:val="0"/>
          <w:marTop w:val="0"/>
          <w:marBottom w:val="0"/>
          <w:divBdr>
            <w:top w:val="none" w:sz="0" w:space="0" w:color="auto"/>
            <w:left w:val="none" w:sz="0" w:space="0" w:color="auto"/>
            <w:bottom w:val="none" w:sz="0" w:space="0" w:color="auto"/>
            <w:right w:val="none" w:sz="0" w:space="0" w:color="auto"/>
          </w:divBdr>
          <w:divsChild>
            <w:div w:id="1582181772">
              <w:marLeft w:val="0"/>
              <w:marRight w:val="0"/>
              <w:marTop w:val="0"/>
              <w:marBottom w:val="0"/>
              <w:divBdr>
                <w:top w:val="none" w:sz="0" w:space="0" w:color="auto"/>
                <w:left w:val="none" w:sz="0" w:space="0" w:color="auto"/>
                <w:bottom w:val="none" w:sz="0" w:space="0" w:color="auto"/>
                <w:right w:val="none" w:sz="0" w:space="0" w:color="auto"/>
              </w:divBdr>
            </w:div>
          </w:divsChild>
        </w:div>
        <w:div w:id="1979339455">
          <w:marLeft w:val="0"/>
          <w:marRight w:val="0"/>
          <w:marTop w:val="0"/>
          <w:marBottom w:val="0"/>
          <w:divBdr>
            <w:top w:val="none" w:sz="0" w:space="0" w:color="auto"/>
            <w:left w:val="none" w:sz="0" w:space="0" w:color="auto"/>
            <w:bottom w:val="none" w:sz="0" w:space="0" w:color="auto"/>
            <w:right w:val="none" w:sz="0" w:space="0" w:color="auto"/>
          </w:divBdr>
          <w:divsChild>
            <w:div w:id="2062946088">
              <w:marLeft w:val="0"/>
              <w:marRight w:val="0"/>
              <w:marTop w:val="0"/>
              <w:marBottom w:val="0"/>
              <w:divBdr>
                <w:top w:val="none" w:sz="0" w:space="0" w:color="auto"/>
                <w:left w:val="none" w:sz="0" w:space="0" w:color="auto"/>
                <w:bottom w:val="none" w:sz="0" w:space="0" w:color="auto"/>
                <w:right w:val="none" w:sz="0" w:space="0" w:color="auto"/>
              </w:divBdr>
            </w:div>
          </w:divsChild>
        </w:div>
        <w:div w:id="1981420976">
          <w:marLeft w:val="0"/>
          <w:marRight w:val="0"/>
          <w:marTop w:val="0"/>
          <w:marBottom w:val="0"/>
          <w:divBdr>
            <w:top w:val="none" w:sz="0" w:space="0" w:color="auto"/>
            <w:left w:val="none" w:sz="0" w:space="0" w:color="auto"/>
            <w:bottom w:val="none" w:sz="0" w:space="0" w:color="auto"/>
            <w:right w:val="none" w:sz="0" w:space="0" w:color="auto"/>
          </w:divBdr>
          <w:divsChild>
            <w:div w:id="769204850">
              <w:marLeft w:val="0"/>
              <w:marRight w:val="0"/>
              <w:marTop w:val="0"/>
              <w:marBottom w:val="0"/>
              <w:divBdr>
                <w:top w:val="none" w:sz="0" w:space="0" w:color="auto"/>
                <w:left w:val="none" w:sz="0" w:space="0" w:color="auto"/>
                <w:bottom w:val="none" w:sz="0" w:space="0" w:color="auto"/>
                <w:right w:val="none" w:sz="0" w:space="0" w:color="auto"/>
              </w:divBdr>
            </w:div>
          </w:divsChild>
        </w:div>
        <w:div w:id="2054772202">
          <w:marLeft w:val="0"/>
          <w:marRight w:val="0"/>
          <w:marTop w:val="0"/>
          <w:marBottom w:val="0"/>
          <w:divBdr>
            <w:top w:val="none" w:sz="0" w:space="0" w:color="auto"/>
            <w:left w:val="none" w:sz="0" w:space="0" w:color="auto"/>
            <w:bottom w:val="none" w:sz="0" w:space="0" w:color="auto"/>
            <w:right w:val="none" w:sz="0" w:space="0" w:color="auto"/>
          </w:divBdr>
          <w:divsChild>
            <w:div w:id="2058235714">
              <w:marLeft w:val="0"/>
              <w:marRight w:val="0"/>
              <w:marTop w:val="0"/>
              <w:marBottom w:val="0"/>
              <w:divBdr>
                <w:top w:val="none" w:sz="0" w:space="0" w:color="auto"/>
                <w:left w:val="none" w:sz="0" w:space="0" w:color="auto"/>
                <w:bottom w:val="none" w:sz="0" w:space="0" w:color="auto"/>
                <w:right w:val="none" w:sz="0" w:space="0" w:color="auto"/>
              </w:divBdr>
            </w:div>
          </w:divsChild>
        </w:div>
        <w:div w:id="2093038644">
          <w:marLeft w:val="0"/>
          <w:marRight w:val="0"/>
          <w:marTop w:val="0"/>
          <w:marBottom w:val="0"/>
          <w:divBdr>
            <w:top w:val="none" w:sz="0" w:space="0" w:color="auto"/>
            <w:left w:val="none" w:sz="0" w:space="0" w:color="auto"/>
            <w:bottom w:val="none" w:sz="0" w:space="0" w:color="auto"/>
            <w:right w:val="none" w:sz="0" w:space="0" w:color="auto"/>
          </w:divBdr>
          <w:divsChild>
            <w:div w:id="609701680">
              <w:marLeft w:val="0"/>
              <w:marRight w:val="0"/>
              <w:marTop w:val="0"/>
              <w:marBottom w:val="0"/>
              <w:divBdr>
                <w:top w:val="none" w:sz="0" w:space="0" w:color="auto"/>
                <w:left w:val="none" w:sz="0" w:space="0" w:color="auto"/>
                <w:bottom w:val="none" w:sz="0" w:space="0" w:color="auto"/>
                <w:right w:val="none" w:sz="0" w:space="0" w:color="auto"/>
              </w:divBdr>
            </w:div>
          </w:divsChild>
        </w:div>
        <w:div w:id="2104109129">
          <w:marLeft w:val="0"/>
          <w:marRight w:val="0"/>
          <w:marTop w:val="0"/>
          <w:marBottom w:val="0"/>
          <w:divBdr>
            <w:top w:val="none" w:sz="0" w:space="0" w:color="auto"/>
            <w:left w:val="none" w:sz="0" w:space="0" w:color="auto"/>
            <w:bottom w:val="none" w:sz="0" w:space="0" w:color="auto"/>
            <w:right w:val="none" w:sz="0" w:space="0" w:color="auto"/>
          </w:divBdr>
          <w:divsChild>
            <w:div w:id="1865434750">
              <w:marLeft w:val="0"/>
              <w:marRight w:val="0"/>
              <w:marTop w:val="0"/>
              <w:marBottom w:val="0"/>
              <w:divBdr>
                <w:top w:val="none" w:sz="0" w:space="0" w:color="auto"/>
                <w:left w:val="none" w:sz="0" w:space="0" w:color="auto"/>
                <w:bottom w:val="none" w:sz="0" w:space="0" w:color="auto"/>
                <w:right w:val="none" w:sz="0" w:space="0" w:color="auto"/>
              </w:divBdr>
            </w:div>
          </w:divsChild>
        </w:div>
        <w:div w:id="2108695829">
          <w:marLeft w:val="0"/>
          <w:marRight w:val="0"/>
          <w:marTop w:val="0"/>
          <w:marBottom w:val="0"/>
          <w:divBdr>
            <w:top w:val="none" w:sz="0" w:space="0" w:color="auto"/>
            <w:left w:val="none" w:sz="0" w:space="0" w:color="auto"/>
            <w:bottom w:val="none" w:sz="0" w:space="0" w:color="auto"/>
            <w:right w:val="none" w:sz="0" w:space="0" w:color="auto"/>
          </w:divBdr>
          <w:divsChild>
            <w:div w:id="35206308">
              <w:marLeft w:val="0"/>
              <w:marRight w:val="0"/>
              <w:marTop w:val="0"/>
              <w:marBottom w:val="0"/>
              <w:divBdr>
                <w:top w:val="none" w:sz="0" w:space="0" w:color="auto"/>
                <w:left w:val="none" w:sz="0" w:space="0" w:color="auto"/>
                <w:bottom w:val="none" w:sz="0" w:space="0" w:color="auto"/>
                <w:right w:val="none" w:sz="0" w:space="0" w:color="auto"/>
              </w:divBdr>
            </w:div>
          </w:divsChild>
        </w:div>
        <w:div w:id="2114201496">
          <w:marLeft w:val="0"/>
          <w:marRight w:val="0"/>
          <w:marTop w:val="0"/>
          <w:marBottom w:val="0"/>
          <w:divBdr>
            <w:top w:val="none" w:sz="0" w:space="0" w:color="auto"/>
            <w:left w:val="none" w:sz="0" w:space="0" w:color="auto"/>
            <w:bottom w:val="none" w:sz="0" w:space="0" w:color="auto"/>
            <w:right w:val="none" w:sz="0" w:space="0" w:color="auto"/>
          </w:divBdr>
          <w:divsChild>
            <w:div w:id="1813980880">
              <w:marLeft w:val="0"/>
              <w:marRight w:val="0"/>
              <w:marTop w:val="0"/>
              <w:marBottom w:val="0"/>
              <w:divBdr>
                <w:top w:val="none" w:sz="0" w:space="0" w:color="auto"/>
                <w:left w:val="none" w:sz="0" w:space="0" w:color="auto"/>
                <w:bottom w:val="none" w:sz="0" w:space="0" w:color="auto"/>
                <w:right w:val="none" w:sz="0" w:space="0" w:color="auto"/>
              </w:divBdr>
            </w:div>
          </w:divsChild>
        </w:div>
        <w:div w:id="2137018795">
          <w:marLeft w:val="0"/>
          <w:marRight w:val="0"/>
          <w:marTop w:val="0"/>
          <w:marBottom w:val="0"/>
          <w:divBdr>
            <w:top w:val="none" w:sz="0" w:space="0" w:color="auto"/>
            <w:left w:val="none" w:sz="0" w:space="0" w:color="auto"/>
            <w:bottom w:val="none" w:sz="0" w:space="0" w:color="auto"/>
            <w:right w:val="none" w:sz="0" w:space="0" w:color="auto"/>
          </w:divBdr>
          <w:divsChild>
            <w:div w:id="17790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59157">
      <w:bodyDiv w:val="1"/>
      <w:marLeft w:val="0"/>
      <w:marRight w:val="0"/>
      <w:marTop w:val="0"/>
      <w:marBottom w:val="0"/>
      <w:divBdr>
        <w:top w:val="none" w:sz="0" w:space="0" w:color="auto"/>
        <w:left w:val="none" w:sz="0" w:space="0" w:color="auto"/>
        <w:bottom w:val="none" w:sz="0" w:space="0" w:color="auto"/>
        <w:right w:val="none" w:sz="0" w:space="0" w:color="auto"/>
      </w:divBdr>
    </w:div>
    <w:div w:id="1417628035">
      <w:bodyDiv w:val="1"/>
      <w:marLeft w:val="0"/>
      <w:marRight w:val="0"/>
      <w:marTop w:val="0"/>
      <w:marBottom w:val="0"/>
      <w:divBdr>
        <w:top w:val="none" w:sz="0" w:space="0" w:color="auto"/>
        <w:left w:val="none" w:sz="0" w:space="0" w:color="auto"/>
        <w:bottom w:val="none" w:sz="0" w:space="0" w:color="auto"/>
        <w:right w:val="none" w:sz="0" w:space="0" w:color="auto"/>
      </w:divBdr>
    </w:div>
    <w:div w:id="1421944708">
      <w:bodyDiv w:val="1"/>
      <w:marLeft w:val="0"/>
      <w:marRight w:val="0"/>
      <w:marTop w:val="0"/>
      <w:marBottom w:val="0"/>
      <w:divBdr>
        <w:top w:val="none" w:sz="0" w:space="0" w:color="auto"/>
        <w:left w:val="none" w:sz="0" w:space="0" w:color="auto"/>
        <w:bottom w:val="none" w:sz="0" w:space="0" w:color="auto"/>
        <w:right w:val="none" w:sz="0" w:space="0" w:color="auto"/>
      </w:divBdr>
    </w:div>
    <w:div w:id="1424566418">
      <w:bodyDiv w:val="1"/>
      <w:marLeft w:val="0"/>
      <w:marRight w:val="0"/>
      <w:marTop w:val="0"/>
      <w:marBottom w:val="0"/>
      <w:divBdr>
        <w:top w:val="none" w:sz="0" w:space="0" w:color="auto"/>
        <w:left w:val="none" w:sz="0" w:space="0" w:color="auto"/>
        <w:bottom w:val="none" w:sz="0" w:space="0" w:color="auto"/>
        <w:right w:val="none" w:sz="0" w:space="0" w:color="auto"/>
      </w:divBdr>
    </w:div>
    <w:div w:id="1425422024">
      <w:bodyDiv w:val="1"/>
      <w:marLeft w:val="0"/>
      <w:marRight w:val="0"/>
      <w:marTop w:val="0"/>
      <w:marBottom w:val="0"/>
      <w:divBdr>
        <w:top w:val="none" w:sz="0" w:space="0" w:color="auto"/>
        <w:left w:val="none" w:sz="0" w:space="0" w:color="auto"/>
        <w:bottom w:val="none" w:sz="0" w:space="0" w:color="auto"/>
        <w:right w:val="none" w:sz="0" w:space="0" w:color="auto"/>
      </w:divBdr>
    </w:div>
    <w:div w:id="1425958887">
      <w:bodyDiv w:val="1"/>
      <w:marLeft w:val="0"/>
      <w:marRight w:val="0"/>
      <w:marTop w:val="0"/>
      <w:marBottom w:val="0"/>
      <w:divBdr>
        <w:top w:val="none" w:sz="0" w:space="0" w:color="auto"/>
        <w:left w:val="none" w:sz="0" w:space="0" w:color="auto"/>
        <w:bottom w:val="none" w:sz="0" w:space="0" w:color="auto"/>
        <w:right w:val="none" w:sz="0" w:space="0" w:color="auto"/>
      </w:divBdr>
    </w:div>
    <w:div w:id="1428113247">
      <w:bodyDiv w:val="1"/>
      <w:marLeft w:val="0"/>
      <w:marRight w:val="0"/>
      <w:marTop w:val="0"/>
      <w:marBottom w:val="0"/>
      <w:divBdr>
        <w:top w:val="none" w:sz="0" w:space="0" w:color="auto"/>
        <w:left w:val="none" w:sz="0" w:space="0" w:color="auto"/>
        <w:bottom w:val="none" w:sz="0" w:space="0" w:color="auto"/>
        <w:right w:val="none" w:sz="0" w:space="0" w:color="auto"/>
      </w:divBdr>
    </w:div>
    <w:div w:id="1446383053">
      <w:bodyDiv w:val="1"/>
      <w:marLeft w:val="0"/>
      <w:marRight w:val="0"/>
      <w:marTop w:val="0"/>
      <w:marBottom w:val="0"/>
      <w:divBdr>
        <w:top w:val="none" w:sz="0" w:space="0" w:color="auto"/>
        <w:left w:val="none" w:sz="0" w:space="0" w:color="auto"/>
        <w:bottom w:val="none" w:sz="0" w:space="0" w:color="auto"/>
        <w:right w:val="none" w:sz="0" w:space="0" w:color="auto"/>
      </w:divBdr>
    </w:div>
    <w:div w:id="1452168186">
      <w:bodyDiv w:val="1"/>
      <w:marLeft w:val="0"/>
      <w:marRight w:val="0"/>
      <w:marTop w:val="0"/>
      <w:marBottom w:val="0"/>
      <w:divBdr>
        <w:top w:val="none" w:sz="0" w:space="0" w:color="auto"/>
        <w:left w:val="none" w:sz="0" w:space="0" w:color="auto"/>
        <w:bottom w:val="none" w:sz="0" w:space="0" w:color="auto"/>
        <w:right w:val="none" w:sz="0" w:space="0" w:color="auto"/>
      </w:divBdr>
    </w:div>
    <w:div w:id="1455783238">
      <w:bodyDiv w:val="1"/>
      <w:marLeft w:val="0"/>
      <w:marRight w:val="0"/>
      <w:marTop w:val="0"/>
      <w:marBottom w:val="0"/>
      <w:divBdr>
        <w:top w:val="none" w:sz="0" w:space="0" w:color="auto"/>
        <w:left w:val="none" w:sz="0" w:space="0" w:color="auto"/>
        <w:bottom w:val="none" w:sz="0" w:space="0" w:color="auto"/>
        <w:right w:val="none" w:sz="0" w:space="0" w:color="auto"/>
      </w:divBdr>
    </w:div>
    <w:div w:id="1460538779">
      <w:bodyDiv w:val="1"/>
      <w:marLeft w:val="0"/>
      <w:marRight w:val="0"/>
      <w:marTop w:val="0"/>
      <w:marBottom w:val="0"/>
      <w:divBdr>
        <w:top w:val="none" w:sz="0" w:space="0" w:color="auto"/>
        <w:left w:val="none" w:sz="0" w:space="0" w:color="auto"/>
        <w:bottom w:val="none" w:sz="0" w:space="0" w:color="auto"/>
        <w:right w:val="none" w:sz="0" w:space="0" w:color="auto"/>
      </w:divBdr>
    </w:div>
    <w:div w:id="1463839086">
      <w:bodyDiv w:val="1"/>
      <w:marLeft w:val="0"/>
      <w:marRight w:val="0"/>
      <w:marTop w:val="0"/>
      <w:marBottom w:val="0"/>
      <w:divBdr>
        <w:top w:val="none" w:sz="0" w:space="0" w:color="auto"/>
        <w:left w:val="none" w:sz="0" w:space="0" w:color="auto"/>
        <w:bottom w:val="none" w:sz="0" w:space="0" w:color="auto"/>
        <w:right w:val="none" w:sz="0" w:space="0" w:color="auto"/>
      </w:divBdr>
    </w:div>
    <w:div w:id="1464497490">
      <w:bodyDiv w:val="1"/>
      <w:marLeft w:val="0"/>
      <w:marRight w:val="0"/>
      <w:marTop w:val="0"/>
      <w:marBottom w:val="0"/>
      <w:divBdr>
        <w:top w:val="none" w:sz="0" w:space="0" w:color="auto"/>
        <w:left w:val="none" w:sz="0" w:space="0" w:color="auto"/>
        <w:bottom w:val="none" w:sz="0" w:space="0" w:color="auto"/>
        <w:right w:val="none" w:sz="0" w:space="0" w:color="auto"/>
      </w:divBdr>
    </w:div>
    <w:div w:id="1470779983">
      <w:bodyDiv w:val="1"/>
      <w:marLeft w:val="0"/>
      <w:marRight w:val="0"/>
      <w:marTop w:val="0"/>
      <w:marBottom w:val="0"/>
      <w:divBdr>
        <w:top w:val="none" w:sz="0" w:space="0" w:color="auto"/>
        <w:left w:val="none" w:sz="0" w:space="0" w:color="auto"/>
        <w:bottom w:val="none" w:sz="0" w:space="0" w:color="auto"/>
        <w:right w:val="none" w:sz="0" w:space="0" w:color="auto"/>
      </w:divBdr>
    </w:div>
    <w:div w:id="1473983615">
      <w:bodyDiv w:val="1"/>
      <w:marLeft w:val="0"/>
      <w:marRight w:val="0"/>
      <w:marTop w:val="0"/>
      <w:marBottom w:val="0"/>
      <w:divBdr>
        <w:top w:val="none" w:sz="0" w:space="0" w:color="auto"/>
        <w:left w:val="none" w:sz="0" w:space="0" w:color="auto"/>
        <w:bottom w:val="none" w:sz="0" w:space="0" w:color="auto"/>
        <w:right w:val="none" w:sz="0" w:space="0" w:color="auto"/>
      </w:divBdr>
    </w:div>
    <w:div w:id="1478570473">
      <w:bodyDiv w:val="1"/>
      <w:marLeft w:val="0"/>
      <w:marRight w:val="0"/>
      <w:marTop w:val="0"/>
      <w:marBottom w:val="0"/>
      <w:divBdr>
        <w:top w:val="none" w:sz="0" w:space="0" w:color="auto"/>
        <w:left w:val="none" w:sz="0" w:space="0" w:color="auto"/>
        <w:bottom w:val="none" w:sz="0" w:space="0" w:color="auto"/>
        <w:right w:val="none" w:sz="0" w:space="0" w:color="auto"/>
      </w:divBdr>
    </w:div>
    <w:div w:id="1482037040">
      <w:bodyDiv w:val="1"/>
      <w:marLeft w:val="0"/>
      <w:marRight w:val="0"/>
      <w:marTop w:val="0"/>
      <w:marBottom w:val="0"/>
      <w:divBdr>
        <w:top w:val="none" w:sz="0" w:space="0" w:color="auto"/>
        <w:left w:val="none" w:sz="0" w:space="0" w:color="auto"/>
        <w:bottom w:val="none" w:sz="0" w:space="0" w:color="auto"/>
        <w:right w:val="none" w:sz="0" w:space="0" w:color="auto"/>
      </w:divBdr>
    </w:div>
    <w:div w:id="1486698737">
      <w:bodyDiv w:val="1"/>
      <w:marLeft w:val="0"/>
      <w:marRight w:val="0"/>
      <w:marTop w:val="0"/>
      <w:marBottom w:val="0"/>
      <w:divBdr>
        <w:top w:val="none" w:sz="0" w:space="0" w:color="auto"/>
        <w:left w:val="none" w:sz="0" w:space="0" w:color="auto"/>
        <w:bottom w:val="none" w:sz="0" w:space="0" w:color="auto"/>
        <w:right w:val="none" w:sz="0" w:space="0" w:color="auto"/>
      </w:divBdr>
    </w:div>
    <w:div w:id="1490057890">
      <w:bodyDiv w:val="1"/>
      <w:marLeft w:val="0"/>
      <w:marRight w:val="0"/>
      <w:marTop w:val="0"/>
      <w:marBottom w:val="0"/>
      <w:divBdr>
        <w:top w:val="none" w:sz="0" w:space="0" w:color="auto"/>
        <w:left w:val="none" w:sz="0" w:space="0" w:color="auto"/>
        <w:bottom w:val="none" w:sz="0" w:space="0" w:color="auto"/>
        <w:right w:val="none" w:sz="0" w:space="0" w:color="auto"/>
      </w:divBdr>
    </w:div>
    <w:div w:id="1490436014">
      <w:bodyDiv w:val="1"/>
      <w:marLeft w:val="0"/>
      <w:marRight w:val="0"/>
      <w:marTop w:val="0"/>
      <w:marBottom w:val="0"/>
      <w:divBdr>
        <w:top w:val="none" w:sz="0" w:space="0" w:color="auto"/>
        <w:left w:val="none" w:sz="0" w:space="0" w:color="auto"/>
        <w:bottom w:val="none" w:sz="0" w:space="0" w:color="auto"/>
        <w:right w:val="none" w:sz="0" w:space="0" w:color="auto"/>
      </w:divBdr>
    </w:div>
    <w:div w:id="1502810890">
      <w:bodyDiv w:val="1"/>
      <w:marLeft w:val="0"/>
      <w:marRight w:val="0"/>
      <w:marTop w:val="0"/>
      <w:marBottom w:val="0"/>
      <w:divBdr>
        <w:top w:val="none" w:sz="0" w:space="0" w:color="auto"/>
        <w:left w:val="none" w:sz="0" w:space="0" w:color="auto"/>
        <w:bottom w:val="none" w:sz="0" w:space="0" w:color="auto"/>
        <w:right w:val="none" w:sz="0" w:space="0" w:color="auto"/>
      </w:divBdr>
    </w:div>
    <w:div w:id="1506360077">
      <w:bodyDiv w:val="1"/>
      <w:marLeft w:val="0"/>
      <w:marRight w:val="0"/>
      <w:marTop w:val="0"/>
      <w:marBottom w:val="0"/>
      <w:divBdr>
        <w:top w:val="none" w:sz="0" w:space="0" w:color="auto"/>
        <w:left w:val="none" w:sz="0" w:space="0" w:color="auto"/>
        <w:bottom w:val="none" w:sz="0" w:space="0" w:color="auto"/>
        <w:right w:val="none" w:sz="0" w:space="0" w:color="auto"/>
      </w:divBdr>
    </w:div>
    <w:div w:id="1515417725">
      <w:bodyDiv w:val="1"/>
      <w:marLeft w:val="0"/>
      <w:marRight w:val="0"/>
      <w:marTop w:val="0"/>
      <w:marBottom w:val="0"/>
      <w:divBdr>
        <w:top w:val="none" w:sz="0" w:space="0" w:color="auto"/>
        <w:left w:val="none" w:sz="0" w:space="0" w:color="auto"/>
        <w:bottom w:val="none" w:sz="0" w:space="0" w:color="auto"/>
        <w:right w:val="none" w:sz="0" w:space="0" w:color="auto"/>
      </w:divBdr>
    </w:div>
    <w:div w:id="1515612891">
      <w:bodyDiv w:val="1"/>
      <w:marLeft w:val="0"/>
      <w:marRight w:val="0"/>
      <w:marTop w:val="0"/>
      <w:marBottom w:val="0"/>
      <w:divBdr>
        <w:top w:val="none" w:sz="0" w:space="0" w:color="auto"/>
        <w:left w:val="none" w:sz="0" w:space="0" w:color="auto"/>
        <w:bottom w:val="none" w:sz="0" w:space="0" w:color="auto"/>
        <w:right w:val="none" w:sz="0" w:space="0" w:color="auto"/>
      </w:divBdr>
    </w:div>
    <w:div w:id="1520124326">
      <w:bodyDiv w:val="1"/>
      <w:marLeft w:val="0"/>
      <w:marRight w:val="0"/>
      <w:marTop w:val="0"/>
      <w:marBottom w:val="0"/>
      <w:divBdr>
        <w:top w:val="none" w:sz="0" w:space="0" w:color="auto"/>
        <w:left w:val="none" w:sz="0" w:space="0" w:color="auto"/>
        <w:bottom w:val="none" w:sz="0" w:space="0" w:color="auto"/>
        <w:right w:val="none" w:sz="0" w:space="0" w:color="auto"/>
      </w:divBdr>
    </w:div>
    <w:div w:id="1520780993">
      <w:bodyDiv w:val="1"/>
      <w:marLeft w:val="0"/>
      <w:marRight w:val="0"/>
      <w:marTop w:val="0"/>
      <w:marBottom w:val="0"/>
      <w:divBdr>
        <w:top w:val="none" w:sz="0" w:space="0" w:color="auto"/>
        <w:left w:val="none" w:sz="0" w:space="0" w:color="auto"/>
        <w:bottom w:val="none" w:sz="0" w:space="0" w:color="auto"/>
        <w:right w:val="none" w:sz="0" w:space="0" w:color="auto"/>
      </w:divBdr>
    </w:div>
    <w:div w:id="1533570123">
      <w:bodyDiv w:val="1"/>
      <w:marLeft w:val="0"/>
      <w:marRight w:val="0"/>
      <w:marTop w:val="0"/>
      <w:marBottom w:val="0"/>
      <w:divBdr>
        <w:top w:val="none" w:sz="0" w:space="0" w:color="auto"/>
        <w:left w:val="none" w:sz="0" w:space="0" w:color="auto"/>
        <w:bottom w:val="none" w:sz="0" w:space="0" w:color="auto"/>
        <w:right w:val="none" w:sz="0" w:space="0" w:color="auto"/>
      </w:divBdr>
    </w:div>
    <w:div w:id="1536380873">
      <w:bodyDiv w:val="1"/>
      <w:marLeft w:val="0"/>
      <w:marRight w:val="0"/>
      <w:marTop w:val="0"/>
      <w:marBottom w:val="0"/>
      <w:divBdr>
        <w:top w:val="none" w:sz="0" w:space="0" w:color="auto"/>
        <w:left w:val="none" w:sz="0" w:space="0" w:color="auto"/>
        <w:bottom w:val="none" w:sz="0" w:space="0" w:color="auto"/>
        <w:right w:val="none" w:sz="0" w:space="0" w:color="auto"/>
      </w:divBdr>
    </w:div>
    <w:div w:id="1538005359">
      <w:bodyDiv w:val="1"/>
      <w:marLeft w:val="0"/>
      <w:marRight w:val="0"/>
      <w:marTop w:val="0"/>
      <w:marBottom w:val="0"/>
      <w:divBdr>
        <w:top w:val="none" w:sz="0" w:space="0" w:color="auto"/>
        <w:left w:val="none" w:sz="0" w:space="0" w:color="auto"/>
        <w:bottom w:val="none" w:sz="0" w:space="0" w:color="auto"/>
        <w:right w:val="none" w:sz="0" w:space="0" w:color="auto"/>
      </w:divBdr>
    </w:div>
    <w:div w:id="1540164716">
      <w:bodyDiv w:val="1"/>
      <w:marLeft w:val="0"/>
      <w:marRight w:val="0"/>
      <w:marTop w:val="0"/>
      <w:marBottom w:val="0"/>
      <w:divBdr>
        <w:top w:val="none" w:sz="0" w:space="0" w:color="auto"/>
        <w:left w:val="none" w:sz="0" w:space="0" w:color="auto"/>
        <w:bottom w:val="none" w:sz="0" w:space="0" w:color="auto"/>
        <w:right w:val="none" w:sz="0" w:space="0" w:color="auto"/>
      </w:divBdr>
    </w:div>
    <w:div w:id="1550190965">
      <w:bodyDiv w:val="1"/>
      <w:marLeft w:val="0"/>
      <w:marRight w:val="0"/>
      <w:marTop w:val="0"/>
      <w:marBottom w:val="0"/>
      <w:divBdr>
        <w:top w:val="none" w:sz="0" w:space="0" w:color="auto"/>
        <w:left w:val="none" w:sz="0" w:space="0" w:color="auto"/>
        <w:bottom w:val="none" w:sz="0" w:space="0" w:color="auto"/>
        <w:right w:val="none" w:sz="0" w:space="0" w:color="auto"/>
      </w:divBdr>
    </w:div>
    <w:div w:id="1551530006">
      <w:bodyDiv w:val="1"/>
      <w:marLeft w:val="0"/>
      <w:marRight w:val="0"/>
      <w:marTop w:val="0"/>
      <w:marBottom w:val="0"/>
      <w:divBdr>
        <w:top w:val="none" w:sz="0" w:space="0" w:color="auto"/>
        <w:left w:val="none" w:sz="0" w:space="0" w:color="auto"/>
        <w:bottom w:val="none" w:sz="0" w:space="0" w:color="auto"/>
        <w:right w:val="none" w:sz="0" w:space="0" w:color="auto"/>
      </w:divBdr>
    </w:div>
    <w:div w:id="1573420604">
      <w:bodyDiv w:val="1"/>
      <w:marLeft w:val="0"/>
      <w:marRight w:val="0"/>
      <w:marTop w:val="0"/>
      <w:marBottom w:val="0"/>
      <w:divBdr>
        <w:top w:val="none" w:sz="0" w:space="0" w:color="auto"/>
        <w:left w:val="none" w:sz="0" w:space="0" w:color="auto"/>
        <w:bottom w:val="none" w:sz="0" w:space="0" w:color="auto"/>
        <w:right w:val="none" w:sz="0" w:space="0" w:color="auto"/>
      </w:divBdr>
    </w:div>
    <w:div w:id="1578708899">
      <w:bodyDiv w:val="1"/>
      <w:marLeft w:val="0"/>
      <w:marRight w:val="0"/>
      <w:marTop w:val="0"/>
      <w:marBottom w:val="0"/>
      <w:divBdr>
        <w:top w:val="none" w:sz="0" w:space="0" w:color="auto"/>
        <w:left w:val="none" w:sz="0" w:space="0" w:color="auto"/>
        <w:bottom w:val="none" w:sz="0" w:space="0" w:color="auto"/>
        <w:right w:val="none" w:sz="0" w:space="0" w:color="auto"/>
      </w:divBdr>
    </w:div>
    <w:div w:id="1583756503">
      <w:bodyDiv w:val="1"/>
      <w:marLeft w:val="0"/>
      <w:marRight w:val="0"/>
      <w:marTop w:val="0"/>
      <w:marBottom w:val="0"/>
      <w:divBdr>
        <w:top w:val="none" w:sz="0" w:space="0" w:color="auto"/>
        <w:left w:val="none" w:sz="0" w:space="0" w:color="auto"/>
        <w:bottom w:val="none" w:sz="0" w:space="0" w:color="auto"/>
        <w:right w:val="none" w:sz="0" w:space="0" w:color="auto"/>
      </w:divBdr>
    </w:div>
    <w:div w:id="1585335093">
      <w:bodyDiv w:val="1"/>
      <w:marLeft w:val="0"/>
      <w:marRight w:val="0"/>
      <w:marTop w:val="0"/>
      <w:marBottom w:val="0"/>
      <w:divBdr>
        <w:top w:val="none" w:sz="0" w:space="0" w:color="auto"/>
        <w:left w:val="none" w:sz="0" w:space="0" w:color="auto"/>
        <w:bottom w:val="none" w:sz="0" w:space="0" w:color="auto"/>
        <w:right w:val="none" w:sz="0" w:space="0" w:color="auto"/>
      </w:divBdr>
    </w:div>
    <w:div w:id="1588689232">
      <w:bodyDiv w:val="1"/>
      <w:marLeft w:val="0"/>
      <w:marRight w:val="0"/>
      <w:marTop w:val="0"/>
      <w:marBottom w:val="0"/>
      <w:divBdr>
        <w:top w:val="none" w:sz="0" w:space="0" w:color="auto"/>
        <w:left w:val="none" w:sz="0" w:space="0" w:color="auto"/>
        <w:bottom w:val="none" w:sz="0" w:space="0" w:color="auto"/>
        <w:right w:val="none" w:sz="0" w:space="0" w:color="auto"/>
      </w:divBdr>
    </w:div>
    <w:div w:id="1596405294">
      <w:bodyDiv w:val="1"/>
      <w:marLeft w:val="0"/>
      <w:marRight w:val="0"/>
      <w:marTop w:val="0"/>
      <w:marBottom w:val="0"/>
      <w:divBdr>
        <w:top w:val="none" w:sz="0" w:space="0" w:color="auto"/>
        <w:left w:val="none" w:sz="0" w:space="0" w:color="auto"/>
        <w:bottom w:val="none" w:sz="0" w:space="0" w:color="auto"/>
        <w:right w:val="none" w:sz="0" w:space="0" w:color="auto"/>
      </w:divBdr>
    </w:div>
    <w:div w:id="1597402177">
      <w:bodyDiv w:val="1"/>
      <w:marLeft w:val="0"/>
      <w:marRight w:val="0"/>
      <w:marTop w:val="0"/>
      <w:marBottom w:val="0"/>
      <w:divBdr>
        <w:top w:val="none" w:sz="0" w:space="0" w:color="auto"/>
        <w:left w:val="none" w:sz="0" w:space="0" w:color="auto"/>
        <w:bottom w:val="none" w:sz="0" w:space="0" w:color="auto"/>
        <w:right w:val="none" w:sz="0" w:space="0" w:color="auto"/>
      </w:divBdr>
    </w:div>
    <w:div w:id="1600984060">
      <w:bodyDiv w:val="1"/>
      <w:marLeft w:val="0"/>
      <w:marRight w:val="0"/>
      <w:marTop w:val="0"/>
      <w:marBottom w:val="0"/>
      <w:divBdr>
        <w:top w:val="none" w:sz="0" w:space="0" w:color="auto"/>
        <w:left w:val="none" w:sz="0" w:space="0" w:color="auto"/>
        <w:bottom w:val="none" w:sz="0" w:space="0" w:color="auto"/>
        <w:right w:val="none" w:sz="0" w:space="0" w:color="auto"/>
      </w:divBdr>
    </w:div>
    <w:div w:id="1607497991">
      <w:bodyDiv w:val="1"/>
      <w:marLeft w:val="0"/>
      <w:marRight w:val="0"/>
      <w:marTop w:val="0"/>
      <w:marBottom w:val="0"/>
      <w:divBdr>
        <w:top w:val="none" w:sz="0" w:space="0" w:color="auto"/>
        <w:left w:val="none" w:sz="0" w:space="0" w:color="auto"/>
        <w:bottom w:val="none" w:sz="0" w:space="0" w:color="auto"/>
        <w:right w:val="none" w:sz="0" w:space="0" w:color="auto"/>
      </w:divBdr>
    </w:div>
    <w:div w:id="1613393156">
      <w:bodyDiv w:val="1"/>
      <w:marLeft w:val="0"/>
      <w:marRight w:val="0"/>
      <w:marTop w:val="0"/>
      <w:marBottom w:val="0"/>
      <w:divBdr>
        <w:top w:val="none" w:sz="0" w:space="0" w:color="auto"/>
        <w:left w:val="none" w:sz="0" w:space="0" w:color="auto"/>
        <w:bottom w:val="none" w:sz="0" w:space="0" w:color="auto"/>
        <w:right w:val="none" w:sz="0" w:space="0" w:color="auto"/>
      </w:divBdr>
    </w:div>
    <w:div w:id="1617060338">
      <w:bodyDiv w:val="1"/>
      <w:marLeft w:val="0"/>
      <w:marRight w:val="0"/>
      <w:marTop w:val="0"/>
      <w:marBottom w:val="0"/>
      <w:divBdr>
        <w:top w:val="none" w:sz="0" w:space="0" w:color="auto"/>
        <w:left w:val="none" w:sz="0" w:space="0" w:color="auto"/>
        <w:bottom w:val="none" w:sz="0" w:space="0" w:color="auto"/>
        <w:right w:val="none" w:sz="0" w:space="0" w:color="auto"/>
      </w:divBdr>
    </w:div>
    <w:div w:id="1619218480">
      <w:bodyDiv w:val="1"/>
      <w:marLeft w:val="0"/>
      <w:marRight w:val="0"/>
      <w:marTop w:val="0"/>
      <w:marBottom w:val="0"/>
      <w:divBdr>
        <w:top w:val="none" w:sz="0" w:space="0" w:color="auto"/>
        <w:left w:val="none" w:sz="0" w:space="0" w:color="auto"/>
        <w:bottom w:val="none" w:sz="0" w:space="0" w:color="auto"/>
        <w:right w:val="none" w:sz="0" w:space="0" w:color="auto"/>
      </w:divBdr>
    </w:div>
    <w:div w:id="1623656635">
      <w:bodyDiv w:val="1"/>
      <w:marLeft w:val="0"/>
      <w:marRight w:val="0"/>
      <w:marTop w:val="0"/>
      <w:marBottom w:val="0"/>
      <w:divBdr>
        <w:top w:val="none" w:sz="0" w:space="0" w:color="auto"/>
        <w:left w:val="none" w:sz="0" w:space="0" w:color="auto"/>
        <w:bottom w:val="none" w:sz="0" w:space="0" w:color="auto"/>
        <w:right w:val="none" w:sz="0" w:space="0" w:color="auto"/>
      </w:divBdr>
    </w:div>
    <w:div w:id="1624189770">
      <w:bodyDiv w:val="1"/>
      <w:marLeft w:val="0"/>
      <w:marRight w:val="0"/>
      <w:marTop w:val="0"/>
      <w:marBottom w:val="0"/>
      <w:divBdr>
        <w:top w:val="none" w:sz="0" w:space="0" w:color="auto"/>
        <w:left w:val="none" w:sz="0" w:space="0" w:color="auto"/>
        <w:bottom w:val="none" w:sz="0" w:space="0" w:color="auto"/>
        <w:right w:val="none" w:sz="0" w:space="0" w:color="auto"/>
      </w:divBdr>
    </w:div>
    <w:div w:id="1637368737">
      <w:bodyDiv w:val="1"/>
      <w:marLeft w:val="0"/>
      <w:marRight w:val="0"/>
      <w:marTop w:val="0"/>
      <w:marBottom w:val="0"/>
      <w:divBdr>
        <w:top w:val="none" w:sz="0" w:space="0" w:color="auto"/>
        <w:left w:val="none" w:sz="0" w:space="0" w:color="auto"/>
        <w:bottom w:val="none" w:sz="0" w:space="0" w:color="auto"/>
        <w:right w:val="none" w:sz="0" w:space="0" w:color="auto"/>
      </w:divBdr>
    </w:div>
    <w:div w:id="1645430893">
      <w:bodyDiv w:val="1"/>
      <w:marLeft w:val="0"/>
      <w:marRight w:val="0"/>
      <w:marTop w:val="0"/>
      <w:marBottom w:val="0"/>
      <w:divBdr>
        <w:top w:val="none" w:sz="0" w:space="0" w:color="auto"/>
        <w:left w:val="none" w:sz="0" w:space="0" w:color="auto"/>
        <w:bottom w:val="none" w:sz="0" w:space="0" w:color="auto"/>
        <w:right w:val="none" w:sz="0" w:space="0" w:color="auto"/>
      </w:divBdr>
    </w:div>
    <w:div w:id="1646008992">
      <w:bodyDiv w:val="1"/>
      <w:marLeft w:val="0"/>
      <w:marRight w:val="0"/>
      <w:marTop w:val="0"/>
      <w:marBottom w:val="0"/>
      <w:divBdr>
        <w:top w:val="none" w:sz="0" w:space="0" w:color="auto"/>
        <w:left w:val="none" w:sz="0" w:space="0" w:color="auto"/>
        <w:bottom w:val="none" w:sz="0" w:space="0" w:color="auto"/>
        <w:right w:val="none" w:sz="0" w:space="0" w:color="auto"/>
      </w:divBdr>
    </w:div>
    <w:div w:id="1651405174">
      <w:bodyDiv w:val="1"/>
      <w:marLeft w:val="0"/>
      <w:marRight w:val="0"/>
      <w:marTop w:val="0"/>
      <w:marBottom w:val="0"/>
      <w:divBdr>
        <w:top w:val="none" w:sz="0" w:space="0" w:color="auto"/>
        <w:left w:val="none" w:sz="0" w:space="0" w:color="auto"/>
        <w:bottom w:val="none" w:sz="0" w:space="0" w:color="auto"/>
        <w:right w:val="none" w:sz="0" w:space="0" w:color="auto"/>
      </w:divBdr>
    </w:div>
    <w:div w:id="1651786028">
      <w:bodyDiv w:val="1"/>
      <w:marLeft w:val="0"/>
      <w:marRight w:val="0"/>
      <w:marTop w:val="0"/>
      <w:marBottom w:val="0"/>
      <w:divBdr>
        <w:top w:val="none" w:sz="0" w:space="0" w:color="auto"/>
        <w:left w:val="none" w:sz="0" w:space="0" w:color="auto"/>
        <w:bottom w:val="none" w:sz="0" w:space="0" w:color="auto"/>
        <w:right w:val="none" w:sz="0" w:space="0" w:color="auto"/>
      </w:divBdr>
    </w:div>
    <w:div w:id="1652056821">
      <w:bodyDiv w:val="1"/>
      <w:marLeft w:val="0"/>
      <w:marRight w:val="0"/>
      <w:marTop w:val="0"/>
      <w:marBottom w:val="0"/>
      <w:divBdr>
        <w:top w:val="none" w:sz="0" w:space="0" w:color="auto"/>
        <w:left w:val="none" w:sz="0" w:space="0" w:color="auto"/>
        <w:bottom w:val="none" w:sz="0" w:space="0" w:color="auto"/>
        <w:right w:val="none" w:sz="0" w:space="0" w:color="auto"/>
      </w:divBdr>
    </w:div>
    <w:div w:id="1658412212">
      <w:bodyDiv w:val="1"/>
      <w:marLeft w:val="0"/>
      <w:marRight w:val="0"/>
      <w:marTop w:val="0"/>
      <w:marBottom w:val="0"/>
      <w:divBdr>
        <w:top w:val="none" w:sz="0" w:space="0" w:color="auto"/>
        <w:left w:val="none" w:sz="0" w:space="0" w:color="auto"/>
        <w:bottom w:val="none" w:sz="0" w:space="0" w:color="auto"/>
        <w:right w:val="none" w:sz="0" w:space="0" w:color="auto"/>
      </w:divBdr>
    </w:div>
    <w:div w:id="1659308612">
      <w:bodyDiv w:val="1"/>
      <w:marLeft w:val="0"/>
      <w:marRight w:val="0"/>
      <w:marTop w:val="0"/>
      <w:marBottom w:val="0"/>
      <w:divBdr>
        <w:top w:val="none" w:sz="0" w:space="0" w:color="auto"/>
        <w:left w:val="none" w:sz="0" w:space="0" w:color="auto"/>
        <w:bottom w:val="none" w:sz="0" w:space="0" w:color="auto"/>
        <w:right w:val="none" w:sz="0" w:space="0" w:color="auto"/>
      </w:divBdr>
    </w:div>
    <w:div w:id="1665813385">
      <w:bodyDiv w:val="1"/>
      <w:marLeft w:val="0"/>
      <w:marRight w:val="0"/>
      <w:marTop w:val="0"/>
      <w:marBottom w:val="0"/>
      <w:divBdr>
        <w:top w:val="none" w:sz="0" w:space="0" w:color="auto"/>
        <w:left w:val="none" w:sz="0" w:space="0" w:color="auto"/>
        <w:bottom w:val="none" w:sz="0" w:space="0" w:color="auto"/>
        <w:right w:val="none" w:sz="0" w:space="0" w:color="auto"/>
      </w:divBdr>
    </w:div>
    <w:div w:id="1673677044">
      <w:bodyDiv w:val="1"/>
      <w:marLeft w:val="0"/>
      <w:marRight w:val="0"/>
      <w:marTop w:val="0"/>
      <w:marBottom w:val="0"/>
      <w:divBdr>
        <w:top w:val="none" w:sz="0" w:space="0" w:color="auto"/>
        <w:left w:val="none" w:sz="0" w:space="0" w:color="auto"/>
        <w:bottom w:val="none" w:sz="0" w:space="0" w:color="auto"/>
        <w:right w:val="none" w:sz="0" w:space="0" w:color="auto"/>
      </w:divBdr>
    </w:div>
    <w:div w:id="1677002659">
      <w:bodyDiv w:val="1"/>
      <w:marLeft w:val="0"/>
      <w:marRight w:val="0"/>
      <w:marTop w:val="0"/>
      <w:marBottom w:val="0"/>
      <w:divBdr>
        <w:top w:val="none" w:sz="0" w:space="0" w:color="auto"/>
        <w:left w:val="none" w:sz="0" w:space="0" w:color="auto"/>
        <w:bottom w:val="none" w:sz="0" w:space="0" w:color="auto"/>
        <w:right w:val="none" w:sz="0" w:space="0" w:color="auto"/>
      </w:divBdr>
    </w:div>
    <w:div w:id="1683359320">
      <w:bodyDiv w:val="1"/>
      <w:marLeft w:val="0"/>
      <w:marRight w:val="0"/>
      <w:marTop w:val="0"/>
      <w:marBottom w:val="0"/>
      <w:divBdr>
        <w:top w:val="none" w:sz="0" w:space="0" w:color="auto"/>
        <w:left w:val="none" w:sz="0" w:space="0" w:color="auto"/>
        <w:bottom w:val="none" w:sz="0" w:space="0" w:color="auto"/>
        <w:right w:val="none" w:sz="0" w:space="0" w:color="auto"/>
      </w:divBdr>
    </w:div>
    <w:div w:id="1687826555">
      <w:bodyDiv w:val="1"/>
      <w:marLeft w:val="0"/>
      <w:marRight w:val="0"/>
      <w:marTop w:val="0"/>
      <w:marBottom w:val="0"/>
      <w:divBdr>
        <w:top w:val="none" w:sz="0" w:space="0" w:color="auto"/>
        <w:left w:val="none" w:sz="0" w:space="0" w:color="auto"/>
        <w:bottom w:val="none" w:sz="0" w:space="0" w:color="auto"/>
        <w:right w:val="none" w:sz="0" w:space="0" w:color="auto"/>
      </w:divBdr>
    </w:div>
    <w:div w:id="1694578065">
      <w:bodyDiv w:val="1"/>
      <w:marLeft w:val="0"/>
      <w:marRight w:val="0"/>
      <w:marTop w:val="0"/>
      <w:marBottom w:val="0"/>
      <w:divBdr>
        <w:top w:val="none" w:sz="0" w:space="0" w:color="auto"/>
        <w:left w:val="none" w:sz="0" w:space="0" w:color="auto"/>
        <w:bottom w:val="none" w:sz="0" w:space="0" w:color="auto"/>
        <w:right w:val="none" w:sz="0" w:space="0" w:color="auto"/>
      </w:divBdr>
    </w:div>
    <w:div w:id="1701315003">
      <w:bodyDiv w:val="1"/>
      <w:marLeft w:val="0"/>
      <w:marRight w:val="0"/>
      <w:marTop w:val="0"/>
      <w:marBottom w:val="0"/>
      <w:divBdr>
        <w:top w:val="none" w:sz="0" w:space="0" w:color="auto"/>
        <w:left w:val="none" w:sz="0" w:space="0" w:color="auto"/>
        <w:bottom w:val="none" w:sz="0" w:space="0" w:color="auto"/>
        <w:right w:val="none" w:sz="0" w:space="0" w:color="auto"/>
      </w:divBdr>
    </w:div>
    <w:div w:id="1713655272">
      <w:bodyDiv w:val="1"/>
      <w:marLeft w:val="0"/>
      <w:marRight w:val="0"/>
      <w:marTop w:val="0"/>
      <w:marBottom w:val="0"/>
      <w:divBdr>
        <w:top w:val="none" w:sz="0" w:space="0" w:color="auto"/>
        <w:left w:val="none" w:sz="0" w:space="0" w:color="auto"/>
        <w:bottom w:val="none" w:sz="0" w:space="0" w:color="auto"/>
        <w:right w:val="none" w:sz="0" w:space="0" w:color="auto"/>
      </w:divBdr>
    </w:div>
    <w:div w:id="1715619747">
      <w:bodyDiv w:val="1"/>
      <w:marLeft w:val="0"/>
      <w:marRight w:val="0"/>
      <w:marTop w:val="0"/>
      <w:marBottom w:val="0"/>
      <w:divBdr>
        <w:top w:val="none" w:sz="0" w:space="0" w:color="auto"/>
        <w:left w:val="none" w:sz="0" w:space="0" w:color="auto"/>
        <w:bottom w:val="none" w:sz="0" w:space="0" w:color="auto"/>
        <w:right w:val="none" w:sz="0" w:space="0" w:color="auto"/>
      </w:divBdr>
    </w:div>
    <w:div w:id="1718163107">
      <w:bodyDiv w:val="1"/>
      <w:marLeft w:val="0"/>
      <w:marRight w:val="0"/>
      <w:marTop w:val="0"/>
      <w:marBottom w:val="0"/>
      <w:divBdr>
        <w:top w:val="none" w:sz="0" w:space="0" w:color="auto"/>
        <w:left w:val="none" w:sz="0" w:space="0" w:color="auto"/>
        <w:bottom w:val="none" w:sz="0" w:space="0" w:color="auto"/>
        <w:right w:val="none" w:sz="0" w:space="0" w:color="auto"/>
      </w:divBdr>
    </w:div>
    <w:div w:id="1723820330">
      <w:bodyDiv w:val="1"/>
      <w:marLeft w:val="0"/>
      <w:marRight w:val="0"/>
      <w:marTop w:val="0"/>
      <w:marBottom w:val="0"/>
      <w:divBdr>
        <w:top w:val="none" w:sz="0" w:space="0" w:color="auto"/>
        <w:left w:val="none" w:sz="0" w:space="0" w:color="auto"/>
        <w:bottom w:val="none" w:sz="0" w:space="0" w:color="auto"/>
        <w:right w:val="none" w:sz="0" w:space="0" w:color="auto"/>
      </w:divBdr>
    </w:div>
    <w:div w:id="1733850308">
      <w:bodyDiv w:val="1"/>
      <w:marLeft w:val="0"/>
      <w:marRight w:val="0"/>
      <w:marTop w:val="0"/>
      <w:marBottom w:val="0"/>
      <w:divBdr>
        <w:top w:val="none" w:sz="0" w:space="0" w:color="auto"/>
        <w:left w:val="none" w:sz="0" w:space="0" w:color="auto"/>
        <w:bottom w:val="none" w:sz="0" w:space="0" w:color="auto"/>
        <w:right w:val="none" w:sz="0" w:space="0" w:color="auto"/>
      </w:divBdr>
    </w:div>
    <w:div w:id="1733960615">
      <w:bodyDiv w:val="1"/>
      <w:marLeft w:val="0"/>
      <w:marRight w:val="0"/>
      <w:marTop w:val="0"/>
      <w:marBottom w:val="0"/>
      <w:divBdr>
        <w:top w:val="none" w:sz="0" w:space="0" w:color="auto"/>
        <w:left w:val="none" w:sz="0" w:space="0" w:color="auto"/>
        <w:bottom w:val="none" w:sz="0" w:space="0" w:color="auto"/>
        <w:right w:val="none" w:sz="0" w:space="0" w:color="auto"/>
      </w:divBdr>
    </w:div>
    <w:div w:id="1739353307">
      <w:bodyDiv w:val="1"/>
      <w:marLeft w:val="0"/>
      <w:marRight w:val="0"/>
      <w:marTop w:val="0"/>
      <w:marBottom w:val="0"/>
      <w:divBdr>
        <w:top w:val="none" w:sz="0" w:space="0" w:color="auto"/>
        <w:left w:val="none" w:sz="0" w:space="0" w:color="auto"/>
        <w:bottom w:val="none" w:sz="0" w:space="0" w:color="auto"/>
        <w:right w:val="none" w:sz="0" w:space="0" w:color="auto"/>
      </w:divBdr>
    </w:div>
    <w:div w:id="1746142200">
      <w:bodyDiv w:val="1"/>
      <w:marLeft w:val="0"/>
      <w:marRight w:val="0"/>
      <w:marTop w:val="0"/>
      <w:marBottom w:val="0"/>
      <w:divBdr>
        <w:top w:val="none" w:sz="0" w:space="0" w:color="auto"/>
        <w:left w:val="none" w:sz="0" w:space="0" w:color="auto"/>
        <w:bottom w:val="none" w:sz="0" w:space="0" w:color="auto"/>
        <w:right w:val="none" w:sz="0" w:space="0" w:color="auto"/>
      </w:divBdr>
    </w:div>
    <w:div w:id="1754473306">
      <w:bodyDiv w:val="1"/>
      <w:marLeft w:val="0"/>
      <w:marRight w:val="0"/>
      <w:marTop w:val="0"/>
      <w:marBottom w:val="0"/>
      <w:divBdr>
        <w:top w:val="none" w:sz="0" w:space="0" w:color="auto"/>
        <w:left w:val="none" w:sz="0" w:space="0" w:color="auto"/>
        <w:bottom w:val="none" w:sz="0" w:space="0" w:color="auto"/>
        <w:right w:val="none" w:sz="0" w:space="0" w:color="auto"/>
      </w:divBdr>
    </w:div>
    <w:div w:id="1757047897">
      <w:bodyDiv w:val="1"/>
      <w:marLeft w:val="0"/>
      <w:marRight w:val="0"/>
      <w:marTop w:val="0"/>
      <w:marBottom w:val="0"/>
      <w:divBdr>
        <w:top w:val="none" w:sz="0" w:space="0" w:color="auto"/>
        <w:left w:val="none" w:sz="0" w:space="0" w:color="auto"/>
        <w:bottom w:val="none" w:sz="0" w:space="0" w:color="auto"/>
        <w:right w:val="none" w:sz="0" w:space="0" w:color="auto"/>
      </w:divBdr>
    </w:div>
    <w:div w:id="1764258833">
      <w:bodyDiv w:val="1"/>
      <w:marLeft w:val="0"/>
      <w:marRight w:val="0"/>
      <w:marTop w:val="0"/>
      <w:marBottom w:val="0"/>
      <w:divBdr>
        <w:top w:val="none" w:sz="0" w:space="0" w:color="auto"/>
        <w:left w:val="none" w:sz="0" w:space="0" w:color="auto"/>
        <w:bottom w:val="none" w:sz="0" w:space="0" w:color="auto"/>
        <w:right w:val="none" w:sz="0" w:space="0" w:color="auto"/>
      </w:divBdr>
    </w:div>
    <w:div w:id="1772160297">
      <w:bodyDiv w:val="1"/>
      <w:marLeft w:val="0"/>
      <w:marRight w:val="0"/>
      <w:marTop w:val="0"/>
      <w:marBottom w:val="0"/>
      <w:divBdr>
        <w:top w:val="none" w:sz="0" w:space="0" w:color="auto"/>
        <w:left w:val="none" w:sz="0" w:space="0" w:color="auto"/>
        <w:bottom w:val="none" w:sz="0" w:space="0" w:color="auto"/>
        <w:right w:val="none" w:sz="0" w:space="0" w:color="auto"/>
      </w:divBdr>
    </w:div>
    <w:div w:id="1775435881">
      <w:bodyDiv w:val="1"/>
      <w:marLeft w:val="0"/>
      <w:marRight w:val="0"/>
      <w:marTop w:val="0"/>
      <w:marBottom w:val="0"/>
      <w:divBdr>
        <w:top w:val="none" w:sz="0" w:space="0" w:color="auto"/>
        <w:left w:val="none" w:sz="0" w:space="0" w:color="auto"/>
        <w:bottom w:val="none" w:sz="0" w:space="0" w:color="auto"/>
        <w:right w:val="none" w:sz="0" w:space="0" w:color="auto"/>
      </w:divBdr>
    </w:div>
    <w:div w:id="1781603426">
      <w:bodyDiv w:val="1"/>
      <w:marLeft w:val="0"/>
      <w:marRight w:val="0"/>
      <w:marTop w:val="0"/>
      <w:marBottom w:val="0"/>
      <w:divBdr>
        <w:top w:val="none" w:sz="0" w:space="0" w:color="auto"/>
        <w:left w:val="none" w:sz="0" w:space="0" w:color="auto"/>
        <w:bottom w:val="none" w:sz="0" w:space="0" w:color="auto"/>
        <w:right w:val="none" w:sz="0" w:space="0" w:color="auto"/>
      </w:divBdr>
    </w:div>
    <w:div w:id="1788423260">
      <w:bodyDiv w:val="1"/>
      <w:marLeft w:val="0"/>
      <w:marRight w:val="0"/>
      <w:marTop w:val="0"/>
      <w:marBottom w:val="0"/>
      <w:divBdr>
        <w:top w:val="none" w:sz="0" w:space="0" w:color="auto"/>
        <w:left w:val="none" w:sz="0" w:space="0" w:color="auto"/>
        <w:bottom w:val="none" w:sz="0" w:space="0" w:color="auto"/>
        <w:right w:val="none" w:sz="0" w:space="0" w:color="auto"/>
      </w:divBdr>
    </w:div>
    <w:div w:id="1789271938">
      <w:bodyDiv w:val="1"/>
      <w:marLeft w:val="0"/>
      <w:marRight w:val="0"/>
      <w:marTop w:val="0"/>
      <w:marBottom w:val="0"/>
      <w:divBdr>
        <w:top w:val="none" w:sz="0" w:space="0" w:color="auto"/>
        <w:left w:val="none" w:sz="0" w:space="0" w:color="auto"/>
        <w:bottom w:val="none" w:sz="0" w:space="0" w:color="auto"/>
        <w:right w:val="none" w:sz="0" w:space="0" w:color="auto"/>
      </w:divBdr>
    </w:div>
    <w:div w:id="1792282156">
      <w:bodyDiv w:val="1"/>
      <w:marLeft w:val="0"/>
      <w:marRight w:val="0"/>
      <w:marTop w:val="0"/>
      <w:marBottom w:val="0"/>
      <w:divBdr>
        <w:top w:val="none" w:sz="0" w:space="0" w:color="auto"/>
        <w:left w:val="none" w:sz="0" w:space="0" w:color="auto"/>
        <w:bottom w:val="none" w:sz="0" w:space="0" w:color="auto"/>
        <w:right w:val="none" w:sz="0" w:space="0" w:color="auto"/>
      </w:divBdr>
    </w:div>
    <w:div w:id="1793280273">
      <w:bodyDiv w:val="1"/>
      <w:marLeft w:val="0"/>
      <w:marRight w:val="0"/>
      <w:marTop w:val="0"/>
      <w:marBottom w:val="0"/>
      <w:divBdr>
        <w:top w:val="none" w:sz="0" w:space="0" w:color="auto"/>
        <w:left w:val="none" w:sz="0" w:space="0" w:color="auto"/>
        <w:bottom w:val="none" w:sz="0" w:space="0" w:color="auto"/>
        <w:right w:val="none" w:sz="0" w:space="0" w:color="auto"/>
      </w:divBdr>
    </w:div>
    <w:div w:id="1793749583">
      <w:bodyDiv w:val="1"/>
      <w:marLeft w:val="0"/>
      <w:marRight w:val="0"/>
      <w:marTop w:val="0"/>
      <w:marBottom w:val="0"/>
      <w:divBdr>
        <w:top w:val="none" w:sz="0" w:space="0" w:color="auto"/>
        <w:left w:val="none" w:sz="0" w:space="0" w:color="auto"/>
        <w:bottom w:val="none" w:sz="0" w:space="0" w:color="auto"/>
        <w:right w:val="none" w:sz="0" w:space="0" w:color="auto"/>
      </w:divBdr>
    </w:div>
    <w:div w:id="1794710922">
      <w:bodyDiv w:val="1"/>
      <w:marLeft w:val="0"/>
      <w:marRight w:val="0"/>
      <w:marTop w:val="0"/>
      <w:marBottom w:val="0"/>
      <w:divBdr>
        <w:top w:val="none" w:sz="0" w:space="0" w:color="auto"/>
        <w:left w:val="none" w:sz="0" w:space="0" w:color="auto"/>
        <w:bottom w:val="none" w:sz="0" w:space="0" w:color="auto"/>
        <w:right w:val="none" w:sz="0" w:space="0" w:color="auto"/>
      </w:divBdr>
    </w:div>
    <w:div w:id="1797332793">
      <w:bodyDiv w:val="1"/>
      <w:marLeft w:val="0"/>
      <w:marRight w:val="0"/>
      <w:marTop w:val="0"/>
      <w:marBottom w:val="0"/>
      <w:divBdr>
        <w:top w:val="none" w:sz="0" w:space="0" w:color="auto"/>
        <w:left w:val="none" w:sz="0" w:space="0" w:color="auto"/>
        <w:bottom w:val="none" w:sz="0" w:space="0" w:color="auto"/>
        <w:right w:val="none" w:sz="0" w:space="0" w:color="auto"/>
      </w:divBdr>
      <w:divsChild>
        <w:div w:id="174612353">
          <w:marLeft w:val="0"/>
          <w:marRight w:val="0"/>
          <w:marTop w:val="0"/>
          <w:marBottom w:val="0"/>
          <w:divBdr>
            <w:top w:val="none" w:sz="0" w:space="0" w:color="auto"/>
            <w:left w:val="none" w:sz="0" w:space="0" w:color="auto"/>
            <w:bottom w:val="none" w:sz="0" w:space="0" w:color="auto"/>
            <w:right w:val="none" w:sz="0" w:space="0" w:color="auto"/>
          </w:divBdr>
          <w:divsChild>
            <w:div w:id="210310329">
              <w:marLeft w:val="0"/>
              <w:marRight w:val="0"/>
              <w:marTop w:val="0"/>
              <w:marBottom w:val="0"/>
              <w:divBdr>
                <w:top w:val="none" w:sz="0" w:space="0" w:color="auto"/>
                <w:left w:val="none" w:sz="0" w:space="0" w:color="auto"/>
                <w:bottom w:val="none" w:sz="0" w:space="0" w:color="auto"/>
                <w:right w:val="none" w:sz="0" w:space="0" w:color="auto"/>
              </w:divBdr>
              <w:divsChild>
                <w:div w:id="74051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214">
      <w:bodyDiv w:val="1"/>
      <w:marLeft w:val="0"/>
      <w:marRight w:val="0"/>
      <w:marTop w:val="0"/>
      <w:marBottom w:val="0"/>
      <w:divBdr>
        <w:top w:val="none" w:sz="0" w:space="0" w:color="auto"/>
        <w:left w:val="none" w:sz="0" w:space="0" w:color="auto"/>
        <w:bottom w:val="none" w:sz="0" w:space="0" w:color="auto"/>
        <w:right w:val="none" w:sz="0" w:space="0" w:color="auto"/>
      </w:divBdr>
    </w:div>
    <w:div w:id="1816289167">
      <w:bodyDiv w:val="1"/>
      <w:marLeft w:val="0"/>
      <w:marRight w:val="0"/>
      <w:marTop w:val="0"/>
      <w:marBottom w:val="0"/>
      <w:divBdr>
        <w:top w:val="none" w:sz="0" w:space="0" w:color="auto"/>
        <w:left w:val="none" w:sz="0" w:space="0" w:color="auto"/>
        <w:bottom w:val="none" w:sz="0" w:space="0" w:color="auto"/>
        <w:right w:val="none" w:sz="0" w:space="0" w:color="auto"/>
      </w:divBdr>
    </w:div>
    <w:div w:id="1817599667">
      <w:bodyDiv w:val="1"/>
      <w:marLeft w:val="0"/>
      <w:marRight w:val="0"/>
      <w:marTop w:val="0"/>
      <w:marBottom w:val="0"/>
      <w:divBdr>
        <w:top w:val="none" w:sz="0" w:space="0" w:color="auto"/>
        <w:left w:val="none" w:sz="0" w:space="0" w:color="auto"/>
        <w:bottom w:val="none" w:sz="0" w:space="0" w:color="auto"/>
        <w:right w:val="none" w:sz="0" w:space="0" w:color="auto"/>
      </w:divBdr>
    </w:div>
    <w:div w:id="1818691571">
      <w:bodyDiv w:val="1"/>
      <w:marLeft w:val="0"/>
      <w:marRight w:val="0"/>
      <w:marTop w:val="0"/>
      <w:marBottom w:val="0"/>
      <w:divBdr>
        <w:top w:val="none" w:sz="0" w:space="0" w:color="auto"/>
        <w:left w:val="none" w:sz="0" w:space="0" w:color="auto"/>
        <w:bottom w:val="none" w:sz="0" w:space="0" w:color="auto"/>
        <w:right w:val="none" w:sz="0" w:space="0" w:color="auto"/>
      </w:divBdr>
    </w:div>
    <w:div w:id="1821727150">
      <w:bodyDiv w:val="1"/>
      <w:marLeft w:val="0"/>
      <w:marRight w:val="0"/>
      <w:marTop w:val="0"/>
      <w:marBottom w:val="0"/>
      <w:divBdr>
        <w:top w:val="none" w:sz="0" w:space="0" w:color="auto"/>
        <w:left w:val="none" w:sz="0" w:space="0" w:color="auto"/>
        <w:bottom w:val="none" w:sz="0" w:space="0" w:color="auto"/>
        <w:right w:val="none" w:sz="0" w:space="0" w:color="auto"/>
      </w:divBdr>
    </w:div>
    <w:div w:id="1822772314">
      <w:bodyDiv w:val="1"/>
      <w:marLeft w:val="0"/>
      <w:marRight w:val="0"/>
      <w:marTop w:val="0"/>
      <w:marBottom w:val="0"/>
      <w:divBdr>
        <w:top w:val="none" w:sz="0" w:space="0" w:color="auto"/>
        <w:left w:val="none" w:sz="0" w:space="0" w:color="auto"/>
        <w:bottom w:val="none" w:sz="0" w:space="0" w:color="auto"/>
        <w:right w:val="none" w:sz="0" w:space="0" w:color="auto"/>
      </w:divBdr>
    </w:div>
    <w:div w:id="1832939784">
      <w:bodyDiv w:val="1"/>
      <w:marLeft w:val="0"/>
      <w:marRight w:val="0"/>
      <w:marTop w:val="0"/>
      <w:marBottom w:val="0"/>
      <w:divBdr>
        <w:top w:val="none" w:sz="0" w:space="0" w:color="auto"/>
        <w:left w:val="none" w:sz="0" w:space="0" w:color="auto"/>
        <w:bottom w:val="none" w:sz="0" w:space="0" w:color="auto"/>
        <w:right w:val="none" w:sz="0" w:space="0" w:color="auto"/>
      </w:divBdr>
    </w:div>
    <w:div w:id="1834252938">
      <w:bodyDiv w:val="1"/>
      <w:marLeft w:val="0"/>
      <w:marRight w:val="0"/>
      <w:marTop w:val="0"/>
      <w:marBottom w:val="0"/>
      <w:divBdr>
        <w:top w:val="none" w:sz="0" w:space="0" w:color="auto"/>
        <w:left w:val="none" w:sz="0" w:space="0" w:color="auto"/>
        <w:bottom w:val="none" w:sz="0" w:space="0" w:color="auto"/>
        <w:right w:val="none" w:sz="0" w:space="0" w:color="auto"/>
      </w:divBdr>
    </w:div>
    <w:div w:id="1834907920">
      <w:bodyDiv w:val="1"/>
      <w:marLeft w:val="0"/>
      <w:marRight w:val="0"/>
      <w:marTop w:val="0"/>
      <w:marBottom w:val="0"/>
      <w:divBdr>
        <w:top w:val="none" w:sz="0" w:space="0" w:color="auto"/>
        <w:left w:val="none" w:sz="0" w:space="0" w:color="auto"/>
        <w:bottom w:val="none" w:sz="0" w:space="0" w:color="auto"/>
        <w:right w:val="none" w:sz="0" w:space="0" w:color="auto"/>
      </w:divBdr>
    </w:div>
    <w:div w:id="1842576949">
      <w:bodyDiv w:val="1"/>
      <w:marLeft w:val="0"/>
      <w:marRight w:val="0"/>
      <w:marTop w:val="0"/>
      <w:marBottom w:val="0"/>
      <w:divBdr>
        <w:top w:val="none" w:sz="0" w:space="0" w:color="auto"/>
        <w:left w:val="none" w:sz="0" w:space="0" w:color="auto"/>
        <w:bottom w:val="none" w:sz="0" w:space="0" w:color="auto"/>
        <w:right w:val="none" w:sz="0" w:space="0" w:color="auto"/>
      </w:divBdr>
    </w:div>
    <w:div w:id="1852525896">
      <w:bodyDiv w:val="1"/>
      <w:marLeft w:val="0"/>
      <w:marRight w:val="0"/>
      <w:marTop w:val="0"/>
      <w:marBottom w:val="0"/>
      <w:divBdr>
        <w:top w:val="none" w:sz="0" w:space="0" w:color="auto"/>
        <w:left w:val="none" w:sz="0" w:space="0" w:color="auto"/>
        <w:bottom w:val="none" w:sz="0" w:space="0" w:color="auto"/>
        <w:right w:val="none" w:sz="0" w:space="0" w:color="auto"/>
      </w:divBdr>
    </w:div>
    <w:div w:id="1853687314">
      <w:bodyDiv w:val="1"/>
      <w:marLeft w:val="0"/>
      <w:marRight w:val="0"/>
      <w:marTop w:val="0"/>
      <w:marBottom w:val="0"/>
      <w:divBdr>
        <w:top w:val="none" w:sz="0" w:space="0" w:color="auto"/>
        <w:left w:val="none" w:sz="0" w:space="0" w:color="auto"/>
        <w:bottom w:val="none" w:sz="0" w:space="0" w:color="auto"/>
        <w:right w:val="none" w:sz="0" w:space="0" w:color="auto"/>
      </w:divBdr>
    </w:div>
    <w:div w:id="1855224842">
      <w:bodyDiv w:val="1"/>
      <w:marLeft w:val="0"/>
      <w:marRight w:val="0"/>
      <w:marTop w:val="0"/>
      <w:marBottom w:val="0"/>
      <w:divBdr>
        <w:top w:val="none" w:sz="0" w:space="0" w:color="auto"/>
        <w:left w:val="none" w:sz="0" w:space="0" w:color="auto"/>
        <w:bottom w:val="none" w:sz="0" w:space="0" w:color="auto"/>
        <w:right w:val="none" w:sz="0" w:space="0" w:color="auto"/>
      </w:divBdr>
    </w:div>
    <w:div w:id="1860699153">
      <w:bodyDiv w:val="1"/>
      <w:marLeft w:val="0"/>
      <w:marRight w:val="0"/>
      <w:marTop w:val="0"/>
      <w:marBottom w:val="0"/>
      <w:divBdr>
        <w:top w:val="none" w:sz="0" w:space="0" w:color="auto"/>
        <w:left w:val="none" w:sz="0" w:space="0" w:color="auto"/>
        <w:bottom w:val="none" w:sz="0" w:space="0" w:color="auto"/>
        <w:right w:val="none" w:sz="0" w:space="0" w:color="auto"/>
      </w:divBdr>
    </w:div>
    <w:div w:id="1870364337">
      <w:bodyDiv w:val="1"/>
      <w:marLeft w:val="0"/>
      <w:marRight w:val="0"/>
      <w:marTop w:val="0"/>
      <w:marBottom w:val="0"/>
      <w:divBdr>
        <w:top w:val="none" w:sz="0" w:space="0" w:color="auto"/>
        <w:left w:val="none" w:sz="0" w:space="0" w:color="auto"/>
        <w:bottom w:val="none" w:sz="0" w:space="0" w:color="auto"/>
        <w:right w:val="none" w:sz="0" w:space="0" w:color="auto"/>
      </w:divBdr>
    </w:div>
    <w:div w:id="1876309939">
      <w:bodyDiv w:val="1"/>
      <w:marLeft w:val="0"/>
      <w:marRight w:val="0"/>
      <w:marTop w:val="0"/>
      <w:marBottom w:val="0"/>
      <w:divBdr>
        <w:top w:val="none" w:sz="0" w:space="0" w:color="auto"/>
        <w:left w:val="none" w:sz="0" w:space="0" w:color="auto"/>
        <w:bottom w:val="none" w:sz="0" w:space="0" w:color="auto"/>
        <w:right w:val="none" w:sz="0" w:space="0" w:color="auto"/>
      </w:divBdr>
    </w:div>
    <w:div w:id="1879926043">
      <w:bodyDiv w:val="1"/>
      <w:marLeft w:val="0"/>
      <w:marRight w:val="0"/>
      <w:marTop w:val="0"/>
      <w:marBottom w:val="0"/>
      <w:divBdr>
        <w:top w:val="none" w:sz="0" w:space="0" w:color="auto"/>
        <w:left w:val="none" w:sz="0" w:space="0" w:color="auto"/>
        <w:bottom w:val="none" w:sz="0" w:space="0" w:color="auto"/>
        <w:right w:val="none" w:sz="0" w:space="0" w:color="auto"/>
      </w:divBdr>
    </w:div>
    <w:div w:id="1886867214">
      <w:bodyDiv w:val="1"/>
      <w:marLeft w:val="0"/>
      <w:marRight w:val="0"/>
      <w:marTop w:val="0"/>
      <w:marBottom w:val="0"/>
      <w:divBdr>
        <w:top w:val="none" w:sz="0" w:space="0" w:color="auto"/>
        <w:left w:val="none" w:sz="0" w:space="0" w:color="auto"/>
        <w:bottom w:val="none" w:sz="0" w:space="0" w:color="auto"/>
        <w:right w:val="none" w:sz="0" w:space="0" w:color="auto"/>
      </w:divBdr>
    </w:div>
    <w:div w:id="1893692215">
      <w:bodyDiv w:val="1"/>
      <w:marLeft w:val="0"/>
      <w:marRight w:val="0"/>
      <w:marTop w:val="0"/>
      <w:marBottom w:val="0"/>
      <w:divBdr>
        <w:top w:val="none" w:sz="0" w:space="0" w:color="auto"/>
        <w:left w:val="none" w:sz="0" w:space="0" w:color="auto"/>
        <w:bottom w:val="none" w:sz="0" w:space="0" w:color="auto"/>
        <w:right w:val="none" w:sz="0" w:space="0" w:color="auto"/>
      </w:divBdr>
    </w:div>
    <w:div w:id="1895194128">
      <w:bodyDiv w:val="1"/>
      <w:marLeft w:val="0"/>
      <w:marRight w:val="0"/>
      <w:marTop w:val="0"/>
      <w:marBottom w:val="0"/>
      <w:divBdr>
        <w:top w:val="none" w:sz="0" w:space="0" w:color="auto"/>
        <w:left w:val="none" w:sz="0" w:space="0" w:color="auto"/>
        <w:bottom w:val="none" w:sz="0" w:space="0" w:color="auto"/>
        <w:right w:val="none" w:sz="0" w:space="0" w:color="auto"/>
      </w:divBdr>
    </w:div>
    <w:div w:id="1898397711">
      <w:bodyDiv w:val="1"/>
      <w:marLeft w:val="0"/>
      <w:marRight w:val="0"/>
      <w:marTop w:val="0"/>
      <w:marBottom w:val="0"/>
      <w:divBdr>
        <w:top w:val="none" w:sz="0" w:space="0" w:color="auto"/>
        <w:left w:val="none" w:sz="0" w:space="0" w:color="auto"/>
        <w:bottom w:val="none" w:sz="0" w:space="0" w:color="auto"/>
        <w:right w:val="none" w:sz="0" w:space="0" w:color="auto"/>
      </w:divBdr>
    </w:div>
    <w:div w:id="1900163199">
      <w:bodyDiv w:val="1"/>
      <w:marLeft w:val="0"/>
      <w:marRight w:val="0"/>
      <w:marTop w:val="0"/>
      <w:marBottom w:val="0"/>
      <w:divBdr>
        <w:top w:val="none" w:sz="0" w:space="0" w:color="auto"/>
        <w:left w:val="none" w:sz="0" w:space="0" w:color="auto"/>
        <w:bottom w:val="none" w:sz="0" w:space="0" w:color="auto"/>
        <w:right w:val="none" w:sz="0" w:space="0" w:color="auto"/>
      </w:divBdr>
    </w:div>
    <w:div w:id="1901557714">
      <w:bodyDiv w:val="1"/>
      <w:marLeft w:val="0"/>
      <w:marRight w:val="0"/>
      <w:marTop w:val="0"/>
      <w:marBottom w:val="0"/>
      <w:divBdr>
        <w:top w:val="none" w:sz="0" w:space="0" w:color="auto"/>
        <w:left w:val="none" w:sz="0" w:space="0" w:color="auto"/>
        <w:bottom w:val="none" w:sz="0" w:space="0" w:color="auto"/>
        <w:right w:val="none" w:sz="0" w:space="0" w:color="auto"/>
      </w:divBdr>
    </w:div>
    <w:div w:id="1912231625">
      <w:bodyDiv w:val="1"/>
      <w:marLeft w:val="0"/>
      <w:marRight w:val="0"/>
      <w:marTop w:val="0"/>
      <w:marBottom w:val="0"/>
      <w:divBdr>
        <w:top w:val="none" w:sz="0" w:space="0" w:color="auto"/>
        <w:left w:val="none" w:sz="0" w:space="0" w:color="auto"/>
        <w:bottom w:val="none" w:sz="0" w:space="0" w:color="auto"/>
        <w:right w:val="none" w:sz="0" w:space="0" w:color="auto"/>
      </w:divBdr>
    </w:div>
    <w:div w:id="1913849967">
      <w:bodyDiv w:val="1"/>
      <w:marLeft w:val="0"/>
      <w:marRight w:val="0"/>
      <w:marTop w:val="0"/>
      <w:marBottom w:val="0"/>
      <w:divBdr>
        <w:top w:val="none" w:sz="0" w:space="0" w:color="auto"/>
        <w:left w:val="none" w:sz="0" w:space="0" w:color="auto"/>
        <w:bottom w:val="none" w:sz="0" w:space="0" w:color="auto"/>
        <w:right w:val="none" w:sz="0" w:space="0" w:color="auto"/>
      </w:divBdr>
    </w:div>
    <w:div w:id="1914117040">
      <w:bodyDiv w:val="1"/>
      <w:marLeft w:val="0"/>
      <w:marRight w:val="0"/>
      <w:marTop w:val="0"/>
      <w:marBottom w:val="0"/>
      <w:divBdr>
        <w:top w:val="none" w:sz="0" w:space="0" w:color="auto"/>
        <w:left w:val="none" w:sz="0" w:space="0" w:color="auto"/>
        <w:bottom w:val="none" w:sz="0" w:space="0" w:color="auto"/>
        <w:right w:val="none" w:sz="0" w:space="0" w:color="auto"/>
      </w:divBdr>
    </w:div>
    <w:div w:id="1915429079">
      <w:bodyDiv w:val="1"/>
      <w:marLeft w:val="0"/>
      <w:marRight w:val="0"/>
      <w:marTop w:val="0"/>
      <w:marBottom w:val="0"/>
      <w:divBdr>
        <w:top w:val="none" w:sz="0" w:space="0" w:color="auto"/>
        <w:left w:val="none" w:sz="0" w:space="0" w:color="auto"/>
        <w:bottom w:val="none" w:sz="0" w:space="0" w:color="auto"/>
        <w:right w:val="none" w:sz="0" w:space="0" w:color="auto"/>
      </w:divBdr>
    </w:div>
    <w:div w:id="1916863439">
      <w:bodyDiv w:val="1"/>
      <w:marLeft w:val="0"/>
      <w:marRight w:val="0"/>
      <w:marTop w:val="0"/>
      <w:marBottom w:val="0"/>
      <w:divBdr>
        <w:top w:val="none" w:sz="0" w:space="0" w:color="auto"/>
        <w:left w:val="none" w:sz="0" w:space="0" w:color="auto"/>
        <w:bottom w:val="none" w:sz="0" w:space="0" w:color="auto"/>
        <w:right w:val="none" w:sz="0" w:space="0" w:color="auto"/>
      </w:divBdr>
    </w:div>
    <w:div w:id="1920671206">
      <w:bodyDiv w:val="1"/>
      <w:marLeft w:val="0"/>
      <w:marRight w:val="0"/>
      <w:marTop w:val="0"/>
      <w:marBottom w:val="0"/>
      <w:divBdr>
        <w:top w:val="none" w:sz="0" w:space="0" w:color="auto"/>
        <w:left w:val="none" w:sz="0" w:space="0" w:color="auto"/>
        <w:bottom w:val="none" w:sz="0" w:space="0" w:color="auto"/>
        <w:right w:val="none" w:sz="0" w:space="0" w:color="auto"/>
      </w:divBdr>
    </w:div>
    <w:div w:id="1922136677">
      <w:bodyDiv w:val="1"/>
      <w:marLeft w:val="0"/>
      <w:marRight w:val="0"/>
      <w:marTop w:val="0"/>
      <w:marBottom w:val="0"/>
      <w:divBdr>
        <w:top w:val="none" w:sz="0" w:space="0" w:color="auto"/>
        <w:left w:val="none" w:sz="0" w:space="0" w:color="auto"/>
        <w:bottom w:val="none" w:sz="0" w:space="0" w:color="auto"/>
        <w:right w:val="none" w:sz="0" w:space="0" w:color="auto"/>
      </w:divBdr>
    </w:div>
    <w:div w:id="1922719113">
      <w:bodyDiv w:val="1"/>
      <w:marLeft w:val="0"/>
      <w:marRight w:val="0"/>
      <w:marTop w:val="0"/>
      <w:marBottom w:val="0"/>
      <w:divBdr>
        <w:top w:val="none" w:sz="0" w:space="0" w:color="auto"/>
        <w:left w:val="none" w:sz="0" w:space="0" w:color="auto"/>
        <w:bottom w:val="none" w:sz="0" w:space="0" w:color="auto"/>
        <w:right w:val="none" w:sz="0" w:space="0" w:color="auto"/>
      </w:divBdr>
    </w:div>
    <w:div w:id="1922912531">
      <w:bodyDiv w:val="1"/>
      <w:marLeft w:val="0"/>
      <w:marRight w:val="0"/>
      <w:marTop w:val="0"/>
      <w:marBottom w:val="0"/>
      <w:divBdr>
        <w:top w:val="none" w:sz="0" w:space="0" w:color="auto"/>
        <w:left w:val="none" w:sz="0" w:space="0" w:color="auto"/>
        <w:bottom w:val="none" w:sz="0" w:space="0" w:color="auto"/>
        <w:right w:val="none" w:sz="0" w:space="0" w:color="auto"/>
      </w:divBdr>
    </w:div>
    <w:div w:id="1923945666">
      <w:bodyDiv w:val="1"/>
      <w:marLeft w:val="0"/>
      <w:marRight w:val="0"/>
      <w:marTop w:val="0"/>
      <w:marBottom w:val="0"/>
      <w:divBdr>
        <w:top w:val="none" w:sz="0" w:space="0" w:color="auto"/>
        <w:left w:val="none" w:sz="0" w:space="0" w:color="auto"/>
        <w:bottom w:val="none" w:sz="0" w:space="0" w:color="auto"/>
        <w:right w:val="none" w:sz="0" w:space="0" w:color="auto"/>
      </w:divBdr>
    </w:div>
    <w:div w:id="1926259053">
      <w:bodyDiv w:val="1"/>
      <w:marLeft w:val="0"/>
      <w:marRight w:val="0"/>
      <w:marTop w:val="0"/>
      <w:marBottom w:val="0"/>
      <w:divBdr>
        <w:top w:val="none" w:sz="0" w:space="0" w:color="auto"/>
        <w:left w:val="none" w:sz="0" w:space="0" w:color="auto"/>
        <w:bottom w:val="none" w:sz="0" w:space="0" w:color="auto"/>
        <w:right w:val="none" w:sz="0" w:space="0" w:color="auto"/>
      </w:divBdr>
    </w:div>
    <w:div w:id="1933665437">
      <w:bodyDiv w:val="1"/>
      <w:marLeft w:val="0"/>
      <w:marRight w:val="0"/>
      <w:marTop w:val="0"/>
      <w:marBottom w:val="0"/>
      <w:divBdr>
        <w:top w:val="none" w:sz="0" w:space="0" w:color="auto"/>
        <w:left w:val="none" w:sz="0" w:space="0" w:color="auto"/>
        <w:bottom w:val="none" w:sz="0" w:space="0" w:color="auto"/>
        <w:right w:val="none" w:sz="0" w:space="0" w:color="auto"/>
      </w:divBdr>
    </w:div>
    <w:div w:id="1945069758">
      <w:bodyDiv w:val="1"/>
      <w:marLeft w:val="0"/>
      <w:marRight w:val="0"/>
      <w:marTop w:val="0"/>
      <w:marBottom w:val="0"/>
      <w:divBdr>
        <w:top w:val="none" w:sz="0" w:space="0" w:color="auto"/>
        <w:left w:val="none" w:sz="0" w:space="0" w:color="auto"/>
        <w:bottom w:val="none" w:sz="0" w:space="0" w:color="auto"/>
        <w:right w:val="none" w:sz="0" w:space="0" w:color="auto"/>
      </w:divBdr>
    </w:div>
    <w:div w:id="1957710403">
      <w:bodyDiv w:val="1"/>
      <w:marLeft w:val="0"/>
      <w:marRight w:val="0"/>
      <w:marTop w:val="0"/>
      <w:marBottom w:val="0"/>
      <w:divBdr>
        <w:top w:val="none" w:sz="0" w:space="0" w:color="auto"/>
        <w:left w:val="none" w:sz="0" w:space="0" w:color="auto"/>
        <w:bottom w:val="none" w:sz="0" w:space="0" w:color="auto"/>
        <w:right w:val="none" w:sz="0" w:space="0" w:color="auto"/>
      </w:divBdr>
    </w:div>
    <w:div w:id="1960141024">
      <w:bodyDiv w:val="1"/>
      <w:marLeft w:val="0"/>
      <w:marRight w:val="0"/>
      <w:marTop w:val="0"/>
      <w:marBottom w:val="0"/>
      <w:divBdr>
        <w:top w:val="none" w:sz="0" w:space="0" w:color="auto"/>
        <w:left w:val="none" w:sz="0" w:space="0" w:color="auto"/>
        <w:bottom w:val="none" w:sz="0" w:space="0" w:color="auto"/>
        <w:right w:val="none" w:sz="0" w:space="0" w:color="auto"/>
      </w:divBdr>
    </w:div>
    <w:div w:id="1964531336">
      <w:bodyDiv w:val="1"/>
      <w:marLeft w:val="0"/>
      <w:marRight w:val="0"/>
      <w:marTop w:val="0"/>
      <w:marBottom w:val="0"/>
      <w:divBdr>
        <w:top w:val="none" w:sz="0" w:space="0" w:color="auto"/>
        <w:left w:val="none" w:sz="0" w:space="0" w:color="auto"/>
        <w:bottom w:val="none" w:sz="0" w:space="0" w:color="auto"/>
        <w:right w:val="none" w:sz="0" w:space="0" w:color="auto"/>
      </w:divBdr>
    </w:div>
    <w:div w:id="1965578500">
      <w:bodyDiv w:val="1"/>
      <w:marLeft w:val="0"/>
      <w:marRight w:val="0"/>
      <w:marTop w:val="0"/>
      <w:marBottom w:val="0"/>
      <w:divBdr>
        <w:top w:val="none" w:sz="0" w:space="0" w:color="auto"/>
        <w:left w:val="none" w:sz="0" w:space="0" w:color="auto"/>
        <w:bottom w:val="none" w:sz="0" w:space="0" w:color="auto"/>
        <w:right w:val="none" w:sz="0" w:space="0" w:color="auto"/>
      </w:divBdr>
    </w:div>
    <w:div w:id="1972441722">
      <w:bodyDiv w:val="1"/>
      <w:marLeft w:val="0"/>
      <w:marRight w:val="0"/>
      <w:marTop w:val="0"/>
      <w:marBottom w:val="0"/>
      <w:divBdr>
        <w:top w:val="none" w:sz="0" w:space="0" w:color="auto"/>
        <w:left w:val="none" w:sz="0" w:space="0" w:color="auto"/>
        <w:bottom w:val="none" w:sz="0" w:space="0" w:color="auto"/>
        <w:right w:val="none" w:sz="0" w:space="0" w:color="auto"/>
      </w:divBdr>
      <w:divsChild>
        <w:div w:id="1856284">
          <w:marLeft w:val="0"/>
          <w:marRight w:val="0"/>
          <w:marTop w:val="0"/>
          <w:marBottom w:val="0"/>
          <w:divBdr>
            <w:top w:val="none" w:sz="0" w:space="0" w:color="auto"/>
            <w:left w:val="none" w:sz="0" w:space="0" w:color="auto"/>
            <w:bottom w:val="none" w:sz="0" w:space="0" w:color="auto"/>
            <w:right w:val="none" w:sz="0" w:space="0" w:color="auto"/>
          </w:divBdr>
          <w:divsChild>
            <w:div w:id="2104952242">
              <w:marLeft w:val="0"/>
              <w:marRight w:val="0"/>
              <w:marTop w:val="0"/>
              <w:marBottom w:val="0"/>
              <w:divBdr>
                <w:top w:val="none" w:sz="0" w:space="0" w:color="auto"/>
                <w:left w:val="none" w:sz="0" w:space="0" w:color="auto"/>
                <w:bottom w:val="none" w:sz="0" w:space="0" w:color="auto"/>
                <w:right w:val="none" w:sz="0" w:space="0" w:color="auto"/>
              </w:divBdr>
            </w:div>
          </w:divsChild>
        </w:div>
        <w:div w:id="65273869">
          <w:marLeft w:val="0"/>
          <w:marRight w:val="0"/>
          <w:marTop w:val="0"/>
          <w:marBottom w:val="0"/>
          <w:divBdr>
            <w:top w:val="none" w:sz="0" w:space="0" w:color="auto"/>
            <w:left w:val="none" w:sz="0" w:space="0" w:color="auto"/>
            <w:bottom w:val="none" w:sz="0" w:space="0" w:color="auto"/>
            <w:right w:val="none" w:sz="0" w:space="0" w:color="auto"/>
          </w:divBdr>
          <w:divsChild>
            <w:div w:id="995034563">
              <w:marLeft w:val="0"/>
              <w:marRight w:val="0"/>
              <w:marTop w:val="0"/>
              <w:marBottom w:val="0"/>
              <w:divBdr>
                <w:top w:val="none" w:sz="0" w:space="0" w:color="auto"/>
                <w:left w:val="none" w:sz="0" w:space="0" w:color="auto"/>
                <w:bottom w:val="none" w:sz="0" w:space="0" w:color="auto"/>
                <w:right w:val="none" w:sz="0" w:space="0" w:color="auto"/>
              </w:divBdr>
            </w:div>
          </w:divsChild>
        </w:div>
        <w:div w:id="83575962">
          <w:marLeft w:val="0"/>
          <w:marRight w:val="0"/>
          <w:marTop w:val="0"/>
          <w:marBottom w:val="0"/>
          <w:divBdr>
            <w:top w:val="none" w:sz="0" w:space="0" w:color="auto"/>
            <w:left w:val="none" w:sz="0" w:space="0" w:color="auto"/>
            <w:bottom w:val="none" w:sz="0" w:space="0" w:color="auto"/>
            <w:right w:val="none" w:sz="0" w:space="0" w:color="auto"/>
          </w:divBdr>
          <w:divsChild>
            <w:div w:id="2067365113">
              <w:marLeft w:val="0"/>
              <w:marRight w:val="0"/>
              <w:marTop w:val="0"/>
              <w:marBottom w:val="0"/>
              <w:divBdr>
                <w:top w:val="none" w:sz="0" w:space="0" w:color="auto"/>
                <w:left w:val="none" w:sz="0" w:space="0" w:color="auto"/>
                <w:bottom w:val="none" w:sz="0" w:space="0" w:color="auto"/>
                <w:right w:val="none" w:sz="0" w:space="0" w:color="auto"/>
              </w:divBdr>
            </w:div>
          </w:divsChild>
        </w:div>
        <w:div w:id="109665112">
          <w:marLeft w:val="0"/>
          <w:marRight w:val="0"/>
          <w:marTop w:val="0"/>
          <w:marBottom w:val="0"/>
          <w:divBdr>
            <w:top w:val="none" w:sz="0" w:space="0" w:color="auto"/>
            <w:left w:val="none" w:sz="0" w:space="0" w:color="auto"/>
            <w:bottom w:val="none" w:sz="0" w:space="0" w:color="auto"/>
            <w:right w:val="none" w:sz="0" w:space="0" w:color="auto"/>
          </w:divBdr>
          <w:divsChild>
            <w:div w:id="963346348">
              <w:marLeft w:val="0"/>
              <w:marRight w:val="0"/>
              <w:marTop w:val="0"/>
              <w:marBottom w:val="0"/>
              <w:divBdr>
                <w:top w:val="none" w:sz="0" w:space="0" w:color="auto"/>
                <w:left w:val="none" w:sz="0" w:space="0" w:color="auto"/>
                <w:bottom w:val="none" w:sz="0" w:space="0" w:color="auto"/>
                <w:right w:val="none" w:sz="0" w:space="0" w:color="auto"/>
              </w:divBdr>
            </w:div>
          </w:divsChild>
        </w:div>
        <w:div w:id="132254959">
          <w:marLeft w:val="0"/>
          <w:marRight w:val="0"/>
          <w:marTop w:val="0"/>
          <w:marBottom w:val="0"/>
          <w:divBdr>
            <w:top w:val="none" w:sz="0" w:space="0" w:color="auto"/>
            <w:left w:val="none" w:sz="0" w:space="0" w:color="auto"/>
            <w:bottom w:val="none" w:sz="0" w:space="0" w:color="auto"/>
            <w:right w:val="none" w:sz="0" w:space="0" w:color="auto"/>
          </w:divBdr>
          <w:divsChild>
            <w:div w:id="293756338">
              <w:marLeft w:val="0"/>
              <w:marRight w:val="0"/>
              <w:marTop w:val="0"/>
              <w:marBottom w:val="0"/>
              <w:divBdr>
                <w:top w:val="none" w:sz="0" w:space="0" w:color="auto"/>
                <w:left w:val="none" w:sz="0" w:space="0" w:color="auto"/>
                <w:bottom w:val="none" w:sz="0" w:space="0" w:color="auto"/>
                <w:right w:val="none" w:sz="0" w:space="0" w:color="auto"/>
              </w:divBdr>
            </w:div>
          </w:divsChild>
        </w:div>
        <w:div w:id="178783777">
          <w:marLeft w:val="0"/>
          <w:marRight w:val="0"/>
          <w:marTop w:val="0"/>
          <w:marBottom w:val="0"/>
          <w:divBdr>
            <w:top w:val="none" w:sz="0" w:space="0" w:color="auto"/>
            <w:left w:val="none" w:sz="0" w:space="0" w:color="auto"/>
            <w:bottom w:val="none" w:sz="0" w:space="0" w:color="auto"/>
            <w:right w:val="none" w:sz="0" w:space="0" w:color="auto"/>
          </w:divBdr>
          <w:divsChild>
            <w:div w:id="1569800557">
              <w:marLeft w:val="0"/>
              <w:marRight w:val="0"/>
              <w:marTop w:val="0"/>
              <w:marBottom w:val="0"/>
              <w:divBdr>
                <w:top w:val="none" w:sz="0" w:space="0" w:color="auto"/>
                <w:left w:val="none" w:sz="0" w:space="0" w:color="auto"/>
                <w:bottom w:val="none" w:sz="0" w:space="0" w:color="auto"/>
                <w:right w:val="none" w:sz="0" w:space="0" w:color="auto"/>
              </w:divBdr>
            </w:div>
          </w:divsChild>
        </w:div>
        <w:div w:id="245650793">
          <w:marLeft w:val="0"/>
          <w:marRight w:val="0"/>
          <w:marTop w:val="0"/>
          <w:marBottom w:val="0"/>
          <w:divBdr>
            <w:top w:val="none" w:sz="0" w:space="0" w:color="auto"/>
            <w:left w:val="none" w:sz="0" w:space="0" w:color="auto"/>
            <w:bottom w:val="none" w:sz="0" w:space="0" w:color="auto"/>
            <w:right w:val="none" w:sz="0" w:space="0" w:color="auto"/>
          </w:divBdr>
          <w:divsChild>
            <w:div w:id="1439446067">
              <w:marLeft w:val="0"/>
              <w:marRight w:val="0"/>
              <w:marTop w:val="0"/>
              <w:marBottom w:val="0"/>
              <w:divBdr>
                <w:top w:val="none" w:sz="0" w:space="0" w:color="auto"/>
                <w:left w:val="none" w:sz="0" w:space="0" w:color="auto"/>
                <w:bottom w:val="none" w:sz="0" w:space="0" w:color="auto"/>
                <w:right w:val="none" w:sz="0" w:space="0" w:color="auto"/>
              </w:divBdr>
            </w:div>
          </w:divsChild>
        </w:div>
        <w:div w:id="270360682">
          <w:marLeft w:val="0"/>
          <w:marRight w:val="0"/>
          <w:marTop w:val="0"/>
          <w:marBottom w:val="0"/>
          <w:divBdr>
            <w:top w:val="none" w:sz="0" w:space="0" w:color="auto"/>
            <w:left w:val="none" w:sz="0" w:space="0" w:color="auto"/>
            <w:bottom w:val="none" w:sz="0" w:space="0" w:color="auto"/>
            <w:right w:val="none" w:sz="0" w:space="0" w:color="auto"/>
          </w:divBdr>
          <w:divsChild>
            <w:div w:id="1673413494">
              <w:marLeft w:val="0"/>
              <w:marRight w:val="0"/>
              <w:marTop w:val="0"/>
              <w:marBottom w:val="0"/>
              <w:divBdr>
                <w:top w:val="none" w:sz="0" w:space="0" w:color="auto"/>
                <w:left w:val="none" w:sz="0" w:space="0" w:color="auto"/>
                <w:bottom w:val="none" w:sz="0" w:space="0" w:color="auto"/>
                <w:right w:val="none" w:sz="0" w:space="0" w:color="auto"/>
              </w:divBdr>
            </w:div>
          </w:divsChild>
        </w:div>
        <w:div w:id="319579137">
          <w:marLeft w:val="0"/>
          <w:marRight w:val="0"/>
          <w:marTop w:val="0"/>
          <w:marBottom w:val="0"/>
          <w:divBdr>
            <w:top w:val="none" w:sz="0" w:space="0" w:color="auto"/>
            <w:left w:val="none" w:sz="0" w:space="0" w:color="auto"/>
            <w:bottom w:val="none" w:sz="0" w:space="0" w:color="auto"/>
            <w:right w:val="none" w:sz="0" w:space="0" w:color="auto"/>
          </w:divBdr>
          <w:divsChild>
            <w:div w:id="1626086092">
              <w:marLeft w:val="0"/>
              <w:marRight w:val="0"/>
              <w:marTop w:val="0"/>
              <w:marBottom w:val="0"/>
              <w:divBdr>
                <w:top w:val="none" w:sz="0" w:space="0" w:color="auto"/>
                <w:left w:val="none" w:sz="0" w:space="0" w:color="auto"/>
                <w:bottom w:val="none" w:sz="0" w:space="0" w:color="auto"/>
                <w:right w:val="none" w:sz="0" w:space="0" w:color="auto"/>
              </w:divBdr>
            </w:div>
          </w:divsChild>
        </w:div>
        <w:div w:id="392698877">
          <w:marLeft w:val="0"/>
          <w:marRight w:val="0"/>
          <w:marTop w:val="0"/>
          <w:marBottom w:val="0"/>
          <w:divBdr>
            <w:top w:val="none" w:sz="0" w:space="0" w:color="auto"/>
            <w:left w:val="none" w:sz="0" w:space="0" w:color="auto"/>
            <w:bottom w:val="none" w:sz="0" w:space="0" w:color="auto"/>
            <w:right w:val="none" w:sz="0" w:space="0" w:color="auto"/>
          </w:divBdr>
          <w:divsChild>
            <w:div w:id="1169321408">
              <w:marLeft w:val="0"/>
              <w:marRight w:val="0"/>
              <w:marTop w:val="0"/>
              <w:marBottom w:val="0"/>
              <w:divBdr>
                <w:top w:val="none" w:sz="0" w:space="0" w:color="auto"/>
                <w:left w:val="none" w:sz="0" w:space="0" w:color="auto"/>
                <w:bottom w:val="none" w:sz="0" w:space="0" w:color="auto"/>
                <w:right w:val="none" w:sz="0" w:space="0" w:color="auto"/>
              </w:divBdr>
            </w:div>
          </w:divsChild>
        </w:div>
        <w:div w:id="409547471">
          <w:marLeft w:val="0"/>
          <w:marRight w:val="0"/>
          <w:marTop w:val="0"/>
          <w:marBottom w:val="0"/>
          <w:divBdr>
            <w:top w:val="none" w:sz="0" w:space="0" w:color="auto"/>
            <w:left w:val="none" w:sz="0" w:space="0" w:color="auto"/>
            <w:bottom w:val="none" w:sz="0" w:space="0" w:color="auto"/>
            <w:right w:val="none" w:sz="0" w:space="0" w:color="auto"/>
          </w:divBdr>
          <w:divsChild>
            <w:div w:id="843864671">
              <w:marLeft w:val="0"/>
              <w:marRight w:val="0"/>
              <w:marTop w:val="0"/>
              <w:marBottom w:val="0"/>
              <w:divBdr>
                <w:top w:val="none" w:sz="0" w:space="0" w:color="auto"/>
                <w:left w:val="none" w:sz="0" w:space="0" w:color="auto"/>
                <w:bottom w:val="none" w:sz="0" w:space="0" w:color="auto"/>
                <w:right w:val="none" w:sz="0" w:space="0" w:color="auto"/>
              </w:divBdr>
            </w:div>
          </w:divsChild>
        </w:div>
        <w:div w:id="409619443">
          <w:marLeft w:val="0"/>
          <w:marRight w:val="0"/>
          <w:marTop w:val="0"/>
          <w:marBottom w:val="0"/>
          <w:divBdr>
            <w:top w:val="none" w:sz="0" w:space="0" w:color="auto"/>
            <w:left w:val="none" w:sz="0" w:space="0" w:color="auto"/>
            <w:bottom w:val="none" w:sz="0" w:space="0" w:color="auto"/>
            <w:right w:val="none" w:sz="0" w:space="0" w:color="auto"/>
          </w:divBdr>
          <w:divsChild>
            <w:div w:id="855771304">
              <w:marLeft w:val="0"/>
              <w:marRight w:val="0"/>
              <w:marTop w:val="0"/>
              <w:marBottom w:val="0"/>
              <w:divBdr>
                <w:top w:val="none" w:sz="0" w:space="0" w:color="auto"/>
                <w:left w:val="none" w:sz="0" w:space="0" w:color="auto"/>
                <w:bottom w:val="none" w:sz="0" w:space="0" w:color="auto"/>
                <w:right w:val="none" w:sz="0" w:space="0" w:color="auto"/>
              </w:divBdr>
            </w:div>
          </w:divsChild>
        </w:div>
        <w:div w:id="413281994">
          <w:marLeft w:val="0"/>
          <w:marRight w:val="0"/>
          <w:marTop w:val="0"/>
          <w:marBottom w:val="0"/>
          <w:divBdr>
            <w:top w:val="none" w:sz="0" w:space="0" w:color="auto"/>
            <w:left w:val="none" w:sz="0" w:space="0" w:color="auto"/>
            <w:bottom w:val="none" w:sz="0" w:space="0" w:color="auto"/>
            <w:right w:val="none" w:sz="0" w:space="0" w:color="auto"/>
          </w:divBdr>
          <w:divsChild>
            <w:div w:id="1481464702">
              <w:marLeft w:val="0"/>
              <w:marRight w:val="0"/>
              <w:marTop w:val="0"/>
              <w:marBottom w:val="0"/>
              <w:divBdr>
                <w:top w:val="none" w:sz="0" w:space="0" w:color="auto"/>
                <w:left w:val="none" w:sz="0" w:space="0" w:color="auto"/>
                <w:bottom w:val="none" w:sz="0" w:space="0" w:color="auto"/>
                <w:right w:val="none" w:sz="0" w:space="0" w:color="auto"/>
              </w:divBdr>
            </w:div>
          </w:divsChild>
        </w:div>
        <w:div w:id="421069858">
          <w:marLeft w:val="0"/>
          <w:marRight w:val="0"/>
          <w:marTop w:val="0"/>
          <w:marBottom w:val="0"/>
          <w:divBdr>
            <w:top w:val="none" w:sz="0" w:space="0" w:color="auto"/>
            <w:left w:val="none" w:sz="0" w:space="0" w:color="auto"/>
            <w:bottom w:val="none" w:sz="0" w:space="0" w:color="auto"/>
            <w:right w:val="none" w:sz="0" w:space="0" w:color="auto"/>
          </w:divBdr>
          <w:divsChild>
            <w:div w:id="556866676">
              <w:marLeft w:val="0"/>
              <w:marRight w:val="0"/>
              <w:marTop w:val="0"/>
              <w:marBottom w:val="0"/>
              <w:divBdr>
                <w:top w:val="none" w:sz="0" w:space="0" w:color="auto"/>
                <w:left w:val="none" w:sz="0" w:space="0" w:color="auto"/>
                <w:bottom w:val="none" w:sz="0" w:space="0" w:color="auto"/>
                <w:right w:val="none" w:sz="0" w:space="0" w:color="auto"/>
              </w:divBdr>
            </w:div>
          </w:divsChild>
        </w:div>
        <w:div w:id="436759110">
          <w:marLeft w:val="0"/>
          <w:marRight w:val="0"/>
          <w:marTop w:val="0"/>
          <w:marBottom w:val="0"/>
          <w:divBdr>
            <w:top w:val="none" w:sz="0" w:space="0" w:color="auto"/>
            <w:left w:val="none" w:sz="0" w:space="0" w:color="auto"/>
            <w:bottom w:val="none" w:sz="0" w:space="0" w:color="auto"/>
            <w:right w:val="none" w:sz="0" w:space="0" w:color="auto"/>
          </w:divBdr>
          <w:divsChild>
            <w:div w:id="864439776">
              <w:marLeft w:val="0"/>
              <w:marRight w:val="0"/>
              <w:marTop w:val="0"/>
              <w:marBottom w:val="0"/>
              <w:divBdr>
                <w:top w:val="none" w:sz="0" w:space="0" w:color="auto"/>
                <w:left w:val="none" w:sz="0" w:space="0" w:color="auto"/>
                <w:bottom w:val="none" w:sz="0" w:space="0" w:color="auto"/>
                <w:right w:val="none" w:sz="0" w:space="0" w:color="auto"/>
              </w:divBdr>
            </w:div>
          </w:divsChild>
        </w:div>
        <w:div w:id="445272368">
          <w:marLeft w:val="0"/>
          <w:marRight w:val="0"/>
          <w:marTop w:val="0"/>
          <w:marBottom w:val="0"/>
          <w:divBdr>
            <w:top w:val="none" w:sz="0" w:space="0" w:color="auto"/>
            <w:left w:val="none" w:sz="0" w:space="0" w:color="auto"/>
            <w:bottom w:val="none" w:sz="0" w:space="0" w:color="auto"/>
            <w:right w:val="none" w:sz="0" w:space="0" w:color="auto"/>
          </w:divBdr>
          <w:divsChild>
            <w:div w:id="1377008362">
              <w:marLeft w:val="0"/>
              <w:marRight w:val="0"/>
              <w:marTop w:val="0"/>
              <w:marBottom w:val="0"/>
              <w:divBdr>
                <w:top w:val="none" w:sz="0" w:space="0" w:color="auto"/>
                <w:left w:val="none" w:sz="0" w:space="0" w:color="auto"/>
                <w:bottom w:val="none" w:sz="0" w:space="0" w:color="auto"/>
                <w:right w:val="none" w:sz="0" w:space="0" w:color="auto"/>
              </w:divBdr>
            </w:div>
          </w:divsChild>
        </w:div>
        <w:div w:id="453911812">
          <w:marLeft w:val="0"/>
          <w:marRight w:val="0"/>
          <w:marTop w:val="0"/>
          <w:marBottom w:val="0"/>
          <w:divBdr>
            <w:top w:val="none" w:sz="0" w:space="0" w:color="auto"/>
            <w:left w:val="none" w:sz="0" w:space="0" w:color="auto"/>
            <w:bottom w:val="none" w:sz="0" w:space="0" w:color="auto"/>
            <w:right w:val="none" w:sz="0" w:space="0" w:color="auto"/>
          </w:divBdr>
          <w:divsChild>
            <w:div w:id="2082672872">
              <w:marLeft w:val="0"/>
              <w:marRight w:val="0"/>
              <w:marTop w:val="0"/>
              <w:marBottom w:val="0"/>
              <w:divBdr>
                <w:top w:val="none" w:sz="0" w:space="0" w:color="auto"/>
                <w:left w:val="none" w:sz="0" w:space="0" w:color="auto"/>
                <w:bottom w:val="none" w:sz="0" w:space="0" w:color="auto"/>
                <w:right w:val="none" w:sz="0" w:space="0" w:color="auto"/>
              </w:divBdr>
            </w:div>
          </w:divsChild>
        </w:div>
        <w:div w:id="478613923">
          <w:marLeft w:val="0"/>
          <w:marRight w:val="0"/>
          <w:marTop w:val="0"/>
          <w:marBottom w:val="0"/>
          <w:divBdr>
            <w:top w:val="none" w:sz="0" w:space="0" w:color="auto"/>
            <w:left w:val="none" w:sz="0" w:space="0" w:color="auto"/>
            <w:bottom w:val="none" w:sz="0" w:space="0" w:color="auto"/>
            <w:right w:val="none" w:sz="0" w:space="0" w:color="auto"/>
          </w:divBdr>
          <w:divsChild>
            <w:div w:id="58478995">
              <w:marLeft w:val="0"/>
              <w:marRight w:val="0"/>
              <w:marTop w:val="0"/>
              <w:marBottom w:val="0"/>
              <w:divBdr>
                <w:top w:val="none" w:sz="0" w:space="0" w:color="auto"/>
                <w:left w:val="none" w:sz="0" w:space="0" w:color="auto"/>
                <w:bottom w:val="none" w:sz="0" w:space="0" w:color="auto"/>
                <w:right w:val="none" w:sz="0" w:space="0" w:color="auto"/>
              </w:divBdr>
            </w:div>
          </w:divsChild>
        </w:div>
        <w:div w:id="505365512">
          <w:marLeft w:val="0"/>
          <w:marRight w:val="0"/>
          <w:marTop w:val="0"/>
          <w:marBottom w:val="0"/>
          <w:divBdr>
            <w:top w:val="none" w:sz="0" w:space="0" w:color="auto"/>
            <w:left w:val="none" w:sz="0" w:space="0" w:color="auto"/>
            <w:bottom w:val="none" w:sz="0" w:space="0" w:color="auto"/>
            <w:right w:val="none" w:sz="0" w:space="0" w:color="auto"/>
          </w:divBdr>
          <w:divsChild>
            <w:div w:id="1658608137">
              <w:marLeft w:val="0"/>
              <w:marRight w:val="0"/>
              <w:marTop w:val="0"/>
              <w:marBottom w:val="0"/>
              <w:divBdr>
                <w:top w:val="none" w:sz="0" w:space="0" w:color="auto"/>
                <w:left w:val="none" w:sz="0" w:space="0" w:color="auto"/>
                <w:bottom w:val="none" w:sz="0" w:space="0" w:color="auto"/>
                <w:right w:val="none" w:sz="0" w:space="0" w:color="auto"/>
              </w:divBdr>
            </w:div>
          </w:divsChild>
        </w:div>
        <w:div w:id="522324154">
          <w:marLeft w:val="0"/>
          <w:marRight w:val="0"/>
          <w:marTop w:val="0"/>
          <w:marBottom w:val="0"/>
          <w:divBdr>
            <w:top w:val="none" w:sz="0" w:space="0" w:color="auto"/>
            <w:left w:val="none" w:sz="0" w:space="0" w:color="auto"/>
            <w:bottom w:val="none" w:sz="0" w:space="0" w:color="auto"/>
            <w:right w:val="none" w:sz="0" w:space="0" w:color="auto"/>
          </w:divBdr>
          <w:divsChild>
            <w:div w:id="1146356050">
              <w:marLeft w:val="0"/>
              <w:marRight w:val="0"/>
              <w:marTop w:val="0"/>
              <w:marBottom w:val="0"/>
              <w:divBdr>
                <w:top w:val="none" w:sz="0" w:space="0" w:color="auto"/>
                <w:left w:val="none" w:sz="0" w:space="0" w:color="auto"/>
                <w:bottom w:val="none" w:sz="0" w:space="0" w:color="auto"/>
                <w:right w:val="none" w:sz="0" w:space="0" w:color="auto"/>
              </w:divBdr>
            </w:div>
          </w:divsChild>
        </w:div>
        <w:div w:id="535315164">
          <w:marLeft w:val="0"/>
          <w:marRight w:val="0"/>
          <w:marTop w:val="0"/>
          <w:marBottom w:val="0"/>
          <w:divBdr>
            <w:top w:val="none" w:sz="0" w:space="0" w:color="auto"/>
            <w:left w:val="none" w:sz="0" w:space="0" w:color="auto"/>
            <w:bottom w:val="none" w:sz="0" w:space="0" w:color="auto"/>
            <w:right w:val="none" w:sz="0" w:space="0" w:color="auto"/>
          </w:divBdr>
          <w:divsChild>
            <w:div w:id="959997633">
              <w:marLeft w:val="0"/>
              <w:marRight w:val="0"/>
              <w:marTop w:val="0"/>
              <w:marBottom w:val="0"/>
              <w:divBdr>
                <w:top w:val="none" w:sz="0" w:space="0" w:color="auto"/>
                <w:left w:val="none" w:sz="0" w:space="0" w:color="auto"/>
                <w:bottom w:val="none" w:sz="0" w:space="0" w:color="auto"/>
                <w:right w:val="none" w:sz="0" w:space="0" w:color="auto"/>
              </w:divBdr>
            </w:div>
          </w:divsChild>
        </w:div>
        <w:div w:id="557277806">
          <w:marLeft w:val="0"/>
          <w:marRight w:val="0"/>
          <w:marTop w:val="0"/>
          <w:marBottom w:val="0"/>
          <w:divBdr>
            <w:top w:val="none" w:sz="0" w:space="0" w:color="auto"/>
            <w:left w:val="none" w:sz="0" w:space="0" w:color="auto"/>
            <w:bottom w:val="none" w:sz="0" w:space="0" w:color="auto"/>
            <w:right w:val="none" w:sz="0" w:space="0" w:color="auto"/>
          </w:divBdr>
          <w:divsChild>
            <w:div w:id="978727627">
              <w:marLeft w:val="0"/>
              <w:marRight w:val="0"/>
              <w:marTop w:val="0"/>
              <w:marBottom w:val="0"/>
              <w:divBdr>
                <w:top w:val="none" w:sz="0" w:space="0" w:color="auto"/>
                <w:left w:val="none" w:sz="0" w:space="0" w:color="auto"/>
                <w:bottom w:val="none" w:sz="0" w:space="0" w:color="auto"/>
                <w:right w:val="none" w:sz="0" w:space="0" w:color="auto"/>
              </w:divBdr>
            </w:div>
          </w:divsChild>
        </w:div>
        <w:div w:id="563373849">
          <w:marLeft w:val="0"/>
          <w:marRight w:val="0"/>
          <w:marTop w:val="0"/>
          <w:marBottom w:val="0"/>
          <w:divBdr>
            <w:top w:val="none" w:sz="0" w:space="0" w:color="auto"/>
            <w:left w:val="none" w:sz="0" w:space="0" w:color="auto"/>
            <w:bottom w:val="none" w:sz="0" w:space="0" w:color="auto"/>
            <w:right w:val="none" w:sz="0" w:space="0" w:color="auto"/>
          </w:divBdr>
          <w:divsChild>
            <w:div w:id="294794661">
              <w:marLeft w:val="0"/>
              <w:marRight w:val="0"/>
              <w:marTop w:val="0"/>
              <w:marBottom w:val="0"/>
              <w:divBdr>
                <w:top w:val="none" w:sz="0" w:space="0" w:color="auto"/>
                <w:left w:val="none" w:sz="0" w:space="0" w:color="auto"/>
                <w:bottom w:val="none" w:sz="0" w:space="0" w:color="auto"/>
                <w:right w:val="none" w:sz="0" w:space="0" w:color="auto"/>
              </w:divBdr>
            </w:div>
          </w:divsChild>
        </w:div>
        <w:div w:id="582958339">
          <w:marLeft w:val="0"/>
          <w:marRight w:val="0"/>
          <w:marTop w:val="0"/>
          <w:marBottom w:val="0"/>
          <w:divBdr>
            <w:top w:val="none" w:sz="0" w:space="0" w:color="auto"/>
            <w:left w:val="none" w:sz="0" w:space="0" w:color="auto"/>
            <w:bottom w:val="none" w:sz="0" w:space="0" w:color="auto"/>
            <w:right w:val="none" w:sz="0" w:space="0" w:color="auto"/>
          </w:divBdr>
          <w:divsChild>
            <w:div w:id="1256748128">
              <w:marLeft w:val="0"/>
              <w:marRight w:val="0"/>
              <w:marTop w:val="0"/>
              <w:marBottom w:val="0"/>
              <w:divBdr>
                <w:top w:val="none" w:sz="0" w:space="0" w:color="auto"/>
                <w:left w:val="none" w:sz="0" w:space="0" w:color="auto"/>
                <w:bottom w:val="none" w:sz="0" w:space="0" w:color="auto"/>
                <w:right w:val="none" w:sz="0" w:space="0" w:color="auto"/>
              </w:divBdr>
            </w:div>
          </w:divsChild>
        </w:div>
        <w:div w:id="599679366">
          <w:marLeft w:val="0"/>
          <w:marRight w:val="0"/>
          <w:marTop w:val="0"/>
          <w:marBottom w:val="0"/>
          <w:divBdr>
            <w:top w:val="none" w:sz="0" w:space="0" w:color="auto"/>
            <w:left w:val="none" w:sz="0" w:space="0" w:color="auto"/>
            <w:bottom w:val="none" w:sz="0" w:space="0" w:color="auto"/>
            <w:right w:val="none" w:sz="0" w:space="0" w:color="auto"/>
          </w:divBdr>
          <w:divsChild>
            <w:div w:id="1055935481">
              <w:marLeft w:val="0"/>
              <w:marRight w:val="0"/>
              <w:marTop w:val="0"/>
              <w:marBottom w:val="0"/>
              <w:divBdr>
                <w:top w:val="none" w:sz="0" w:space="0" w:color="auto"/>
                <w:left w:val="none" w:sz="0" w:space="0" w:color="auto"/>
                <w:bottom w:val="none" w:sz="0" w:space="0" w:color="auto"/>
                <w:right w:val="none" w:sz="0" w:space="0" w:color="auto"/>
              </w:divBdr>
            </w:div>
          </w:divsChild>
        </w:div>
        <w:div w:id="642857248">
          <w:marLeft w:val="0"/>
          <w:marRight w:val="0"/>
          <w:marTop w:val="0"/>
          <w:marBottom w:val="0"/>
          <w:divBdr>
            <w:top w:val="none" w:sz="0" w:space="0" w:color="auto"/>
            <w:left w:val="none" w:sz="0" w:space="0" w:color="auto"/>
            <w:bottom w:val="none" w:sz="0" w:space="0" w:color="auto"/>
            <w:right w:val="none" w:sz="0" w:space="0" w:color="auto"/>
          </w:divBdr>
          <w:divsChild>
            <w:div w:id="818960668">
              <w:marLeft w:val="0"/>
              <w:marRight w:val="0"/>
              <w:marTop w:val="0"/>
              <w:marBottom w:val="0"/>
              <w:divBdr>
                <w:top w:val="none" w:sz="0" w:space="0" w:color="auto"/>
                <w:left w:val="none" w:sz="0" w:space="0" w:color="auto"/>
                <w:bottom w:val="none" w:sz="0" w:space="0" w:color="auto"/>
                <w:right w:val="none" w:sz="0" w:space="0" w:color="auto"/>
              </w:divBdr>
            </w:div>
          </w:divsChild>
        </w:div>
        <w:div w:id="652950693">
          <w:marLeft w:val="0"/>
          <w:marRight w:val="0"/>
          <w:marTop w:val="0"/>
          <w:marBottom w:val="0"/>
          <w:divBdr>
            <w:top w:val="none" w:sz="0" w:space="0" w:color="auto"/>
            <w:left w:val="none" w:sz="0" w:space="0" w:color="auto"/>
            <w:bottom w:val="none" w:sz="0" w:space="0" w:color="auto"/>
            <w:right w:val="none" w:sz="0" w:space="0" w:color="auto"/>
          </w:divBdr>
          <w:divsChild>
            <w:div w:id="870995825">
              <w:marLeft w:val="0"/>
              <w:marRight w:val="0"/>
              <w:marTop w:val="0"/>
              <w:marBottom w:val="0"/>
              <w:divBdr>
                <w:top w:val="none" w:sz="0" w:space="0" w:color="auto"/>
                <w:left w:val="none" w:sz="0" w:space="0" w:color="auto"/>
                <w:bottom w:val="none" w:sz="0" w:space="0" w:color="auto"/>
                <w:right w:val="none" w:sz="0" w:space="0" w:color="auto"/>
              </w:divBdr>
            </w:div>
          </w:divsChild>
        </w:div>
        <w:div w:id="684598232">
          <w:marLeft w:val="0"/>
          <w:marRight w:val="0"/>
          <w:marTop w:val="0"/>
          <w:marBottom w:val="0"/>
          <w:divBdr>
            <w:top w:val="none" w:sz="0" w:space="0" w:color="auto"/>
            <w:left w:val="none" w:sz="0" w:space="0" w:color="auto"/>
            <w:bottom w:val="none" w:sz="0" w:space="0" w:color="auto"/>
            <w:right w:val="none" w:sz="0" w:space="0" w:color="auto"/>
          </w:divBdr>
          <w:divsChild>
            <w:div w:id="846411107">
              <w:marLeft w:val="0"/>
              <w:marRight w:val="0"/>
              <w:marTop w:val="0"/>
              <w:marBottom w:val="0"/>
              <w:divBdr>
                <w:top w:val="none" w:sz="0" w:space="0" w:color="auto"/>
                <w:left w:val="none" w:sz="0" w:space="0" w:color="auto"/>
                <w:bottom w:val="none" w:sz="0" w:space="0" w:color="auto"/>
                <w:right w:val="none" w:sz="0" w:space="0" w:color="auto"/>
              </w:divBdr>
            </w:div>
          </w:divsChild>
        </w:div>
        <w:div w:id="687020933">
          <w:marLeft w:val="0"/>
          <w:marRight w:val="0"/>
          <w:marTop w:val="0"/>
          <w:marBottom w:val="0"/>
          <w:divBdr>
            <w:top w:val="none" w:sz="0" w:space="0" w:color="auto"/>
            <w:left w:val="none" w:sz="0" w:space="0" w:color="auto"/>
            <w:bottom w:val="none" w:sz="0" w:space="0" w:color="auto"/>
            <w:right w:val="none" w:sz="0" w:space="0" w:color="auto"/>
          </w:divBdr>
          <w:divsChild>
            <w:div w:id="806094049">
              <w:marLeft w:val="0"/>
              <w:marRight w:val="0"/>
              <w:marTop w:val="0"/>
              <w:marBottom w:val="0"/>
              <w:divBdr>
                <w:top w:val="none" w:sz="0" w:space="0" w:color="auto"/>
                <w:left w:val="none" w:sz="0" w:space="0" w:color="auto"/>
                <w:bottom w:val="none" w:sz="0" w:space="0" w:color="auto"/>
                <w:right w:val="none" w:sz="0" w:space="0" w:color="auto"/>
              </w:divBdr>
            </w:div>
          </w:divsChild>
        </w:div>
        <w:div w:id="723796085">
          <w:marLeft w:val="0"/>
          <w:marRight w:val="0"/>
          <w:marTop w:val="0"/>
          <w:marBottom w:val="0"/>
          <w:divBdr>
            <w:top w:val="none" w:sz="0" w:space="0" w:color="auto"/>
            <w:left w:val="none" w:sz="0" w:space="0" w:color="auto"/>
            <w:bottom w:val="none" w:sz="0" w:space="0" w:color="auto"/>
            <w:right w:val="none" w:sz="0" w:space="0" w:color="auto"/>
          </w:divBdr>
          <w:divsChild>
            <w:div w:id="1537961469">
              <w:marLeft w:val="0"/>
              <w:marRight w:val="0"/>
              <w:marTop w:val="0"/>
              <w:marBottom w:val="0"/>
              <w:divBdr>
                <w:top w:val="none" w:sz="0" w:space="0" w:color="auto"/>
                <w:left w:val="none" w:sz="0" w:space="0" w:color="auto"/>
                <w:bottom w:val="none" w:sz="0" w:space="0" w:color="auto"/>
                <w:right w:val="none" w:sz="0" w:space="0" w:color="auto"/>
              </w:divBdr>
            </w:div>
          </w:divsChild>
        </w:div>
        <w:div w:id="733048108">
          <w:marLeft w:val="0"/>
          <w:marRight w:val="0"/>
          <w:marTop w:val="0"/>
          <w:marBottom w:val="0"/>
          <w:divBdr>
            <w:top w:val="none" w:sz="0" w:space="0" w:color="auto"/>
            <w:left w:val="none" w:sz="0" w:space="0" w:color="auto"/>
            <w:bottom w:val="none" w:sz="0" w:space="0" w:color="auto"/>
            <w:right w:val="none" w:sz="0" w:space="0" w:color="auto"/>
          </w:divBdr>
          <w:divsChild>
            <w:div w:id="2068188452">
              <w:marLeft w:val="0"/>
              <w:marRight w:val="0"/>
              <w:marTop w:val="0"/>
              <w:marBottom w:val="0"/>
              <w:divBdr>
                <w:top w:val="none" w:sz="0" w:space="0" w:color="auto"/>
                <w:left w:val="none" w:sz="0" w:space="0" w:color="auto"/>
                <w:bottom w:val="none" w:sz="0" w:space="0" w:color="auto"/>
                <w:right w:val="none" w:sz="0" w:space="0" w:color="auto"/>
              </w:divBdr>
            </w:div>
          </w:divsChild>
        </w:div>
        <w:div w:id="759058767">
          <w:marLeft w:val="0"/>
          <w:marRight w:val="0"/>
          <w:marTop w:val="0"/>
          <w:marBottom w:val="0"/>
          <w:divBdr>
            <w:top w:val="none" w:sz="0" w:space="0" w:color="auto"/>
            <w:left w:val="none" w:sz="0" w:space="0" w:color="auto"/>
            <w:bottom w:val="none" w:sz="0" w:space="0" w:color="auto"/>
            <w:right w:val="none" w:sz="0" w:space="0" w:color="auto"/>
          </w:divBdr>
          <w:divsChild>
            <w:div w:id="122891812">
              <w:marLeft w:val="0"/>
              <w:marRight w:val="0"/>
              <w:marTop w:val="0"/>
              <w:marBottom w:val="0"/>
              <w:divBdr>
                <w:top w:val="none" w:sz="0" w:space="0" w:color="auto"/>
                <w:left w:val="none" w:sz="0" w:space="0" w:color="auto"/>
                <w:bottom w:val="none" w:sz="0" w:space="0" w:color="auto"/>
                <w:right w:val="none" w:sz="0" w:space="0" w:color="auto"/>
              </w:divBdr>
            </w:div>
          </w:divsChild>
        </w:div>
        <w:div w:id="809909243">
          <w:marLeft w:val="0"/>
          <w:marRight w:val="0"/>
          <w:marTop w:val="0"/>
          <w:marBottom w:val="0"/>
          <w:divBdr>
            <w:top w:val="none" w:sz="0" w:space="0" w:color="auto"/>
            <w:left w:val="none" w:sz="0" w:space="0" w:color="auto"/>
            <w:bottom w:val="none" w:sz="0" w:space="0" w:color="auto"/>
            <w:right w:val="none" w:sz="0" w:space="0" w:color="auto"/>
          </w:divBdr>
          <w:divsChild>
            <w:div w:id="1501198726">
              <w:marLeft w:val="0"/>
              <w:marRight w:val="0"/>
              <w:marTop w:val="0"/>
              <w:marBottom w:val="0"/>
              <w:divBdr>
                <w:top w:val="none" w:sz="0" w:space="0" w:color="auto"/>
                <w:left w:val="none" w:sz="0" w:space="0" w:color="auto"/>
                <w:bottom w:val="none" w:sz="0" w:space="0" w:color="auto"/>
                <w:right w:val="none" w:sz="0" w:space="0" w:color="auto"/>
              </w:divBdr>
            </w:div>
          </w:divsChild>
        </w:div>
        <w:div w:id="838422408">
          <w:marLeft w:val="0"/>
          <w:marRight w:val="0"/>
          <w:marTop w:val="0"/>
          <w:marBottom w:val="0"/>
          <w:divBdr>
            <w:top w:val="none" w:sz="0" w:space="0" w:color="auto"/>
            <w:left w:val="none" w:sz="0" w:space="0" w:color="auto"/>
            <w:bottom w:val="none" w:sz="0" w:space="0" w:color="auto"/>
            <w:right w:val="none" w:sz="0" w:space="0" w:color="auto"/>
          </w:divBdr>
          <w:divsChild>
            <w:div w:id="1256861731">
              <w:marLeft w:val="0"/>
              <w:marRight w:val="0"/>
              <w:marTop w:val="0"/>
              <w:marBottom w:val="0"/>
              <w:divBdr>
                <w:top w:val="none" w:sz="0" w:space="0" w:color="auto"/>
                <w:left w:val="none" w:sz="0" w:space="0" w:color="auto"/>
                <w:bottom w:val="none" w:sz="0" w:space="0" w:color="auto"/>
                <w:right w:val="none" w:sz="0" w:space="0" w:color="auto"/>
              </w:divBdr>
            </w:div>
          </w:divsChild>
        </w:div>
        <w:div w:id="848375943">
          <w:marLeft w:val="0"/>
          <w:marRight w:val="0"/>
          <w:marTop w:val="0"/>
          <w:marBottom w:val="0"/>
          <w:divBdr>
            <w:top w:val="none" w:sz="0" w:space="0" w:color="auto"/>
            <w:left w:val="none" w:sz="0" w:space="0" w:color="auto"/>
            <w:bottom w:val="none" w:sz="0" w:space="0" w:color="auto"/>
            <w:right w:val="none" w:sz="0" w:space="0" w:color="auto"/>
          </w:divBdr>
          <w:divsChild>
            <w:div w:id="400560390">
              <w:marLeft w:val="0"/>
              <w:marRight w:val="0"/>
              <w:marTop w:val="0"/>
              <w:marBottom w:val="0"/>
              <w:divBdr>
                <w:top w:val="none" w:sz="0" w:space="0" w:color="auto"/>
                <w:left w:val="none" w:sz="0" w:space="0" w:color="auto"/>
                <w:bottom w:val="none" w:sz="0" w:space="0" w:color="auto"/>
                <w:right w:val="none" w:sz="0" w:space="0" w:color="auto"/>
              </w:divBdr>
            </w:div>
          </w:divsChild>
        </w:div>
        <w:div w:id="942490302">
          <w:marLeft w:val="0"/>
          <w:marRight w:val="0"/>
          <w:marTop w:val="0"/>
          <w:marBottom w:val="0"/>
          <w:divBdr>
            <w:top w:val="none" w:sz="0" w:space="0" w:color="auto"/>
            <w:left w:val="none" w:sz="0" w:space="0" w:color="auto"/>
            <w:bottom w:val="none" w:sz="0" w:space="0" w:color="auto"/>
            <w:right w:val="none" w:sz="0" w:space="0" w:color="auto"/>
          </w:divBdr>
          <w:divsChild>
            <w:div w:id="1249969144">
              <w:marLeft w:val="0"/>
              <w:marRight w:val="0"/>
              <w:marTop w:val="0"/>
              <w:marBottom w:val="0"/>
              <w:divBdr>
                <w:top w:val="none" w:sz="0" w:space="0" w:color="auto"/>
                <w:left w:val="none" w:sz="0" w:space="0" w:color="auto"/>
                <w:bottom w:val="none" w:sz="0" w:space="0" w:color="auto"/>
                <w:right w:val="none" w:sz="0" w:space="0" w:color="auto"/>
              </w:divBdr>
            </w:div>
          </w:divsChild>
        </w:div>
        <w:div w:id="950011806">
          <w:marLeft w:val="0"/>
          <w:marRight w:val="0"/>
          <w:marTop w:val="0"/>
          <w:marBottom w:val="0"/>
          <w:divBdr>
            <w:top w:val="none" w:sz="0" w:space="0" w:color="auto"/>
            <w:left w:val="none" w:sz="0" w:space="0" w:color="auto"/>
            <w:bottom w:val="none" w:sz="0" w:space="0" w:color="auto"/>
            <w:right w:val="none" w:sz="0" w:space="0" w:color="auto"/>
          </w:divBdr>
          <w:divsChild>
            <w:div w:id="1843861350">
              <w:marLeft w:val="0"/>
              <w:marRight w:val="0"/>
              <w:marTop w:val="0"/>
              <w:marBottom w:val="0"/>
              <w:divBdr>
                <w:top w:val="none" w:sz="0" w:space="0" w:color="auto"/>
                <w:left w:val="none" w:sz="0" w:space="0" w:color="auto"/>
                <w:bottom w:val="none" w:sz="0" w:space="0" w:color="auto"/>
                <w:right w:val="none" w:sz="0" w:space="0" w:color="auto"/>
              </w:divBdr>
            </w:div>
          </w:divsChild>
        </w:div>
        <w:div w:id="967324773">
          <w:marLeft w:val="0"/>
          <w:marRight w:val="0"/>
          <w:marTop w:val="0"/>
          <w:marBottom w:val="0"/>
          <w:divBdr>
            <w:top w:val="none" w:sz="0" w:space="0" w:color="auto"/>
            <w:left w:val="none" w:sz="0" w:space="0" w:color="auto"/>
            <w:bottom w:val="none" w:sz="0" w:space="0" w:color="auto"/>
            <w:right w:val="none" w:sz="0" w:space="0" w:color="auto"/>
          </w:divBdr>
          <w:divsChild>
            <w:div w:id="1268468065">
              <w:marLeft w:val="0"/>
              <w:marRight w:val="0"/>
              <w:marTop w:val="0"/>
              <w:marBottom w:val="0"/>
              <w:divBdr>
                <w:top w:val="none" w:sz="0" w:space="0" w:color="auto"/>
                <w:left w:val="none" w:sz="0" w:space="0" w:color="auto"/>
                <w:bottom w:val="none" w:sz="0" w:space="0" w:color="auto"/>
                <w:right w:val="none" w:sz="0" w:space="0" w:color="auto"/>
              </w:divBdr>
            </w:div>
          </w:divsChild>
        </w:div>
        <w:div w:id="976690519">
          <w:marLeft w:val="0"/>
          <w:marRight w:val="0"/>
          <w:marTop w:val="0"/>
          <w:marBottom w:val="0"/>
          <w:divBdr>
            <w:top w:val="none" w:sz="0" w:space="0" w:color="auto"/>
            <w:left w:val="none" w:sz="0" w:space="0" w:color="auto"/>
            <w:bottom w:val="none" w:sz="0" w:space="0" w:color="auto"/>
            <w:right w:val="none" w:sz="0" w:space="0" w:color="auto"/>
          </w:divBdr>
          <w:divsChild>
            <w:div w:id="456531868">
              <w:marLeft w:val="0"/>
              <w:marRight w:val="0"/>
              <w:marTop w:val="0"/>
              <w:marBottom w:val="0"/>
              <w:divBdr>
                <w:top w:val="none" w:sz="0" w:space="0" w:color="auto"/>
                <w:left w:val="none" w:sz="0" w:space="0" w:color="auto"/>
                <w:bottom w:val="none" w:sz="0" w:space="0" w:color="auto"/>
                <w:right w:val="none" w:sz="0" w:space="0" w:color="auto"/>
              </w:divBdr>
            </w:div>
          </w:divsChild>
        </w:div>
        <w:div w:id="1049063525">
          <w:marLeft w:val="0"/>
          <w:marRight w:val="0"/>
          <w:marTop w:val="0"/>
          <w:marBottom w:val="0"/>
          <w:divBdr>
            <w:top w:val="none" w:sz="0" w:space="0" w:color="auto"/>
            <w:left w:val="none" w:sz="0" w:space="0" w:color="auto"/>
            <w:bottom w:val="none" w:sz="0" w:space="0" w:color="auto"/>
            <w:right w:val="none" w:sz="0" w:space="0" w:color="auto"/>
          </w:divBdr>
          <w:divsChild>
            <w:div w:id="223948788">
              <w:marLeft w:val="0"/>
              <w:marRight w:val="0"/>
              <w:marTop w:val="0"/>
              <w:marBottom w:val="0"/>
              <w:divBdr>
                <w:top w:val="none" w:sz="0" w:space="0" w:color="auto"/>
                <w:left w:val="none" w:sz="0" w:space="0" w:color="auto"/>
                <w:bottom w:val="none" w:sz="0" w:space="0" w:color="auto"/>
                <w:right w:val="none" w:sz="0" w:space="0" w:color="auto"/>
              </w:divBdr>
            </w:div>
          </w:divsChild>
        </w:div>
        <w:div w:id="1116951901">
          <w:marLeft w:val="0"/>
          <w:marRight w:val="0"/>
          <w:marTop w:val="0"/>
          <w:marBottom w:val="0"/>
          <w:divBdr>
            <w:top w:val="none" w:sz="0" w:space="0" w:color="auto"/>
            <w:left w:val="none" w:sz="0" w:space="0" w:color="auto"/>
            <w:bottom w:val="none" w:sz="0" w:space="0" w:color="auto"/>
            <w:right w:val="none" w:sz="0" w:space="0" w:color="auto"/>
          </w:divBdr>
          <w:divsChild>
            <w:div w:id="969558069">
              <w:marLeft w:val="0"/>
              <w:marRight w:val="0"/>
              <w:marTop w:val="0"/>
              <w:marBottom w:val="0"/>
              <w:divBdr>
                <w:top w:val="none" w:sz="0" w:space="0" w:color="auto"/>
                <w:left w:val="none" w:sz="0" w:space="0" w:color="auto"/>
                <w:bottom w:val="none" w:sz="0" w:space="0" w:color="auto"/>
                <w:right w:val="none" w:sz="0" w:space="0" w:color="auto"/>
              </w:divBdr>
            </w:div>
          </w:divsChild>
        </w:div>
        <w:div w:id="1164592677">
          <w:marLeft w:val="0"/>
          <w:marRight w:val="0"/>
          <w:marTop w:val="0"/>
          <w:marBottom w:val="0"/>
          <w:divBdr>
            <w:top w:val="none" w:sz="0" w:space="0" w:color="auto"/>
            <w:left w:val="none" w:sz="0" w:space="0" w:color="auto"/>
            <w:bottom w:val="none" w:sz="0" w:space="0" w:color="auto"/>
            <w:right w:val="none" w:sz="0" w:space="0" w:color="auto"/>
          </w:divBdr>
          <w:divsChild>
            <w:div w:id="1531258951">
              <w:marLeft w:val="0"/>
              <w:marRight w:val="0"/>
              <w:marTop w:val="0"/>
              <w:marBottom w:val="0"/>
              <w:divBdr>
                <w:top w:val="none" w:sz="0" w:space="0" w:color="auto"/>
                <w:left w:val="none" w:sz="0" w:space="0" w:color="auto"/>
                <w:bottom w:val="none" w:sz="0" w:space="0" w:color="auto"/>
                <w:right w:val="none" w:sz="0" w:space="0" w:color="auto"/>
              </w:divBdr>
            </w:div>
          </w:divsChild>
        </w:div>
        <w:div w:id="1185509926">
          <w:marLeft w:val="0"/>
          <w:marRight w:val="0"/>
          <w:marTop w:val="0"/>
          <w:marBottom w:val="0"/>
          <w:divBdr>
            <w:top w:val="none" w:sz="0" w:space="0" w:color="auto"/>
            <w:left w:val="none" w:sz="0" w:space="0" w:color="auto"/>
            <w:bottom w:val="none" w:sz="0" w:space="0" w:color="auto"/>
            <w:right w:val="none" w:sz="0" w:space="0" w:color="auto"/>
          </w:divBdr>
          <w:divsChild>
            <w:div w:id="777724468">
              <w:marLeft w:val="0"/>
              <w:marRight w:val="0"/>
              <w:marTop w:val="0"/>
              <w:marBottom w:val="0"/>
              <w:divBdr>
                <w:top w:val="none" w:sz="0" w:space="0" w:color="auto"/>
                <w:left w:val="none" w:sz="0" w:space="0" w:color="auto"/>
                <w:bottom w:val="none" w:sz="0" w:space="0" w:color="auto"/>
                <w:right w:val="none" w:sz="0" w:space="0" w:color="auto"/>
              </w:divBdr>
            </w:div>
          </w:divsChild>
        </w:div>
        <w:div w:id="1192260335">
          <w:marLeft w:val="0"/>
          <w:marRight w:val="0"/>
          <w:marTop w:val="0"/>
          <w:marBottom w:val="0"/>
          <w:divBdr>
            <w:top w:val="none" w:sz="0" w:space="0" w:color="auto"/>
            <w:left w:val="none" w:sz="0" w:space="0" w:color="auto"/>
            <w:bottom w:val="none" w:sz="0" w:space="0" w:color="auto"/>
            <w:right w:val="none" w:sz="0" w:space="0" w:color="auto"/>
          </w:divBdr>
          <w:divsChild>
            <w:div w:id="628583587">
              <w:marLeft w:val="0"/>
              <w:marRight w:val="0"/>
              <w:marTop w:val="0"/>
              <w:marBottom w:val="0"/>
              <w:divBdr>
                <w:top w:val="none" w:sz="0" w:space="0" w:color="auto"/>
                <w:left w:val="none" w:sz="0" w:space="0" w:color="auto"/>
                <w:bottom w:val="none" w:sz="0" w:space="0" w:color="auto"/>
                <w:right w:val="none" w:sz="0" w:space="0" w:color="auto"/>
              </w:divBdr>
            </w:div>
          </w:divsChild>
        </w:div>
        <w:div w:id="1196163078">
          <w:marLeft w:val="0"/>
          <w:marRight w:val="0"/>
          <w:marTop w:val="0"/>
          <w:marBottom w:val="0"/>
          <w:divBdr>
            <w:top w:val="none" w:sz="0" w:space="0" w:color="auto"/>
            <w:left w:val="none" w:sz="0" w:space="0" w:color="auto"/>
            <w:bottom w:val="none" w:sz="0" w:space="0" w:color="auto"/>
            <w:right w:val="none" w:sz="0" w:space="0" w:color="auto"/>
          </w:divBdr>
          <w:divsChild>
            <w:div w:id="1496990486">
              <w:marLeft w:val="0"/>
              <w:marRight w:val="0"/>
              <w:marTop w:val="0"/>
              <w:marBottom w:val="0"/>
              <w:divBdr>
                <w:top w:val="none" w:sz="0" w:space="0" w:color="auto"/>
                <w:left w:val="none" w:sz="0" w:space="0" w:color="auto"/>
                <w:bottom w:val="none" w:sz="0" w:space="0" w:color="auto"/>
                <w:right w:val="none" w:sz="0" w:space="0" w:color="auto"/>
              </w:divBdr>
            </w:div>
          </w:divsChild>
        </w:div>
        <w:div w:id="1261446825">
          <w:marLeft w:val="0"/>
          <w:marRight w:val="0"/>
          <w:marTop w:val="0"/>
          <w:marBottom w:val="0"/>
          <w:divBdr>
            <w:top w:val="none" w:sz="0" w:space="0" w:color="auto"/>
            <w:left w:val="none" w:sz="0" w:space="0" w:color="auto"/>
            <w:bottom w:val="none" w:sz="0" w:space="0" w:color="auto"/>
            <w:right w:val="none" w:sz="0" w:space="0" w:color="auto"/>
          </w:divBdr>
          <w:divsChild>
            <w:div w:id="712728988">
              <w:marLeft w:val="0"/>
              <w:marRight w:val="0"/>
              <w:marTop w:val="0"/>
              <w:marBottom w:val="0"/>
              <w:divBdr>
                <w:top w:val="none" w:sz="0" w:space="0" w:color="auto"/>
                <w:left w:val="none" w:sz="0" w:space="0" w:color="auto"/>
                <w:bottom w:val="none" w:sz="0" w:space="0" w:color="auto"/>
                <w:right w:val="none" w:sz="0" w:space="0" w:color="auto"/>
              </w:divBdr>
            </w:div>
          </w:divsChild>
        </w:div>
        <w:div w:id="1275792154">
          <w:marLeft w:val="0"/>
          <w:marRight w:val="0"/>
          <w:marTop w:val="0"/>
          <w:marBottom w:val="0"/>
          <w:divBdr>
            <w:top w:val="none" w:sz="0" w:space="0" w:color="auto"/>
            <w:left w:val="none" w:sz="0" w:space="0" w:color="auto"/>
            <w:bottom w:val="none" w:sz="0" w:space="0" w:color="auto"/>
            <w:right w:val="none" w:sz="0" w:space="0" w:color="auto"/>
          </w:divBdr>
          <w:divsChild>
            <w:div w:id="733696321">
              <w:marLeft w:val="0"/>
              <w:marRight w:val="0"/>
              <w:marTop w:val="0"/>
              <w:marBottom w:val="0"/>
              <w:divBdr>
                <w:top w:val="none" w:sz="0" w:space="0" w:color="auto"/>
                <w:left w:val="none" w:sz="0" w:space="0" w:color="auto"/>
                <w:bottom w:val="none" w:sz="0" w:space="0" w:color="auto"/>
                <w:right w:val="none" w:sz="0" w:space="0" w:color="auto"/>
              </w:divBdr>
            </w:div>
          </w:divsChild>
        </w:div>
        <w:div w:id="1337416384">
          <w:marLeft w:val="0"/>
          <w:marRight w:val="0"/>
          <w:marTop w:val="0"/>
          <w:marBottom w:val="0"/>
          <w:divBdr>
            <w:top w:val="none" w:sz="0" w:space="0" w:color="auto"/>
            <w:left w:val="none" w:sz="0" w:space="0" w:color="auto"/>
            <w:bottom w:val="none" w:sz="0" w:space="0" w:color="auto"/>
            <w:right w:val="none" w:sz="0" w:space="0" w:color="auto"/>
          </w:divBdr>
          <w:divsChild>
            <w:div w:id="302077580">
              <w:marLeft w:val="0"/>
              <w:marRight w:val="0"/>
              <w:marTop w:val="0"/>
              <w:marBottom w:val="0"/>
              <w:divBdr>
                <w:top w:val="none" w:sz="0" w:space="0" w:color="auto"/>
                <w:left w:val="none" w:sz="0" w:space="0" w:color="auto"/>
                <w:bottom w:val="none" w:sz="0" w:space="0" w:color="auto"/>
                <w:right w:val="none" w:sz="0" w:space="0" w:color="auto"/>
              </w:divBdr>
            </w:div>
          </w:divsChild>
        </w:div>
        <w:div w:id="1419911059">
          <w:marLeft w:val="0"/>
          <w:marRight w:val="0"/>
          <w:marTop w:val="0"/>
          <w:marBottom w:val="0"/>
          <w:divBdr>
            <w:top w:val="none" w:sz="0" w:space="0" w:color="auto"/>
            <w:left w:val="none" w:sz="0" w:space="0" w:color="auto"/>
            <w:bottom w:val="none" w:sz="0" w:space="0" w:color="auto"/>
            <w:right w:val="none" w:sz="0" w:space="0" w:color="auto"/>
          </w:divBdr>
          <w:divsChild>
            <w:div w:id="1027297785">
              <w:marLeft w:val="0"/>
              <w:marRight w:val="0"/>
              <w:marTop w:val="0"/>
              <w:marBottom w:val="0"/>
              <w:divBdr>
                <w:top w:val="none" w:sz="0" w:space="0" w:color="auto"/>
                <w:left w:val="none" w:sz="0" w:space="0" w:color="auto"/>
                <w:bottom w:val="none" w:sz="0" w:space="0" w:color="auto"/>
                <w:right w:val="none" w:sz="0" w:space="0" w:color="auto"/>
              </w:divBdr>
            </w:div>
          </w:divsChild>
        </w:div>
        <w:div w:id="1428577244">
          <w:marLeft w:val="0"/>
          <w:marRight w:val="0"/>
          <w:marTop w:val="0"/>
          <w:marBottom w:val="0"/>
          <w:divBdr>
            <w:top w:val="none" w:sz="0" w:space="0" w:color="auto"/>
            <w:left w:val="none" w:sz="0" w:space="0" w:color="auto"/>
            <w:bottom w:val="none" w:sz="0" w:space="0" w:color="auto"/>
            <w:right w:val="none" w:sz="0" w:space="0" w:color="auto"/>
          </w:divBdr>
          <w:divsChild>
            <w:div w:id="1379623665">
              <w:marLeft w:val="0"/>
              <w:marRight w:val="0"/>
              <w:marTop w:val="0"/>
              <w:marBottom w:val="0"/>
              <w:divBdr>
                <w:top w:val="none" w:sz="0" w:space="0" w:color="auto"/>
                <w:left w:val="none" w:sz="0" w:space="0" w:color="auto"/>
                <w:bottom w:val="none" w:sz="0" w:space="0" w:color="auto"/>
                <w:right w:val="none" w:sz="0" w:space="0" w:color="auto"/>
              </w:divBdr>
            </w:div>
          </w:divsChild>
        </w:div>
        <w:div w:id="1456875818">
          <w:marLeft w:val="0"/>
          <w:marRight w:val="0"/>
          <w:marTop w:val="0"/>
          <w:marBottom w:val="0"/>
          <w:divBdr>
            <w:top w:val="none" w:sz="0" w:space="0" w:color="auto"/>
            <w:left w:val="none" w:sz="0" w:space="0" w:color="auto"/>
            <w:bottom w:val="none" w:sz="0" w:space="0" w:color="auto"/>
            <w:right w:val="none" w:sz="0" w:space="0" w:color="auto"/>
          </w:divBdr>
          <w:divsChild>
            <w:div w:id="1160583659">
              <w:marLeft w:val="0"/>
              <w:marRight w:val="0"/>
              <w:marTop w:val="0"/>
              <w:marBottom w:val="0"/>
              <w:divBdr>
                <w:top w:val="none" w:sz="0" w:space="0" w:color="auto"/>
                <w:left w:val="none" w:sz="0" w:space="0" w:color="auto"/>
                <w:bottom w:val="none" w:sz="0" w:space="0" w:color="auto"/>
                <w:right w:val="none" w:sz="0" w:space="0" w:color="auto"/>
              </w:divBdr>
            </w:div>
          </w:divsChild>
        </w:div>
        <w:div w:id="1501505122">
          <w:marLeft w:val="0"/>
          <w:marRight w:val="0"/>
          <w:marTop w:val="0"/>
          <w:marBottom w:val="0"/>
          <w:divBdr>
            <w:top w:val="none" w:sz="0" w:space="0" w:color="auto"/>
            <w:left w:val="none" w:sz="0" w:space="0" w:color="auto"/>
            <w:bottom w:val="none" w:sz="0" w:space="0" w:color="auto"/>
            <w:right w:val="none" w:sz="0" w:space="0" w:color="auto"/>
          </w:divBdr>
          <w:divsChild>
            <w:div w:id="1929267224">
              <w:marLeft w:val="0"/>
              <w:marRight w:val="0"/>
              <w:marTop w:val="0"/>
              <w:marBottom w:val="0"/>
              <w:divBdr>
                <w:top w:val="none" w:sz="0" w:space="0" w:color="auto"/>
                <w:left w:val="none" w:sz="0" w:space="0" w:color="auto"/>
                <w:bottom w:val="none" w:sz="0" w:space="0" w:color="auto"/>
                <w:right w:val="none" w:sz="0" w:space="0" w:color="auto"/>
              </w:divBdr>
            </w:div>
          </w:divsChild>
        </w:div>
        <w:div w:id="1505628906">
          <w:marLeft w:val="0"/>
          <w:marRight w:val="0"/>
          <w:marTop w:val="0"/>
          <w:marBottom w:val="0"/>
          <w:divBdr>
            <w:top w:val="none" w:sz="0" w:space="0" w:color="auto"/>
            <w:left w:val="none" w:sz="0" w:space="0" w:color="auto"/>
            <w:bottom w:val="none" w:sz="0" w:space="0" w:color="auto"/>
            <w:right w:val="none" w:sz="0" w:space="0" w:color="auto"/>
          </w:divBdr>
          <w:divsChild>
            <w:div w:id="1948728964">
              <w:marLeft w:val="0"/>
              <w:marRight w:val="0"/>
              <w:marTop w:val="0"/>
              <w:marBottom w:val="0"/>
              <w:divBdr>
                <w:top w:val="none" w:sz="0" w:space="0" w:color="auto"/>
                <w:left w:val="none" w:sz="0" w:space="0" w:color="auto"/>
                <w:bottom w:val="none" w:sz="0" w:space="0" w:color="auto"/>
                <w:right w:val="none" w:sz="0" w:space="0" w:color="auto"/>
              </w:divBdr>
            </w:div>
          </w:divsChild>
        </w:div>
        <w:div w:id="1545828355">
          <w:marLeft w:val="0"/>
          <w:marRight w:val="0"/>
          <w:marTop w:val="0"/>
          <w:marBottom w:val="0"/>
          <w:divBdr>
            <w:top w:val="none" w:sz="0" w:space="0" w:color="auto"/>
            <w:left w:val="none" w:sz="0" w:space="0" w:color="auto"/>
            <w:bottom w:val="none" w:sz="0" w:space="0" w:color="auto"/>
            <w:right w:val="none" w:sz="0" w:space="0" w:color="auto"/>
          </w:divBdr>
          <w:divsChild>
            <w:div w:id="501967475">
              <w:marLeft w:val="0"/>
              <w:marRight w:val="0"/>
              <w:marTop w:val="0"/>
              <w:marBottom w:val="0"/>
              <w:divBdr>
                <w:top w:val="none" w:sz="0" w:space="0" w:color="auto"/>
                <w:left w:val="none" w:sz="0" w:space="0" w:color="auto"/>
                <w:bottom w:val="none" w:sz="0" w:space="0" w:color="auto"/>
                <w:right w:val="none" w:sz="0" w:space="0" w:color="auto"/>
              </w:divBdr>
            </w:div>
          </w:divsChild>
        </w:div>
        <w:div w:id="1548906355">
          <w:marLeft w:val="0"/>
          <w:marRight w:val="0"/>
          <w:marTop w:val="0"/>
          <w:marBottom w:val="0"/>
          <w:divBdr>
            <w:top w:val="none" w:sz="0" w:space="0" w:color="auto"/>
            <w:left w:val="none" w:sz="0" w:space="0" w:color="auto"/>
            <w:bottom w:val="none" w:sz="0" w:space="0" w:color="auto"/>
            <w:right w:val="none" w:sz="0" w:space="0" w:color="auto"/>
          </w:divBdr>
          <w:divsChild>
            <w:div w:id="780800404">
              <w:marLeft w:val="0"/>
              <w:marRight w:val="0"/>
              <w:marTop w:val="0"/>
              <w:marBottom w:val="0"/>
              <w:divBdr>
                <w:top w:val="none" w:sz="0" w:space="0" w:color="auto"/>
                <w:left w:val="none" w:sz="0" w:space="0" w:color="auto"/>
                <w:bottom w:val="none" w:sz="0" w:space="0" w:color="auto"/>
                <w:right w:val="none" w:sz="0" w:space="0" w:color="auto"/>
              </w:divBdr>
            </w:div>
          </w:divsChild>
        </w:div>
        <w:div w:id="1635789839">
          <w:marLeft w:val="0"/>
          <w:marRight w:val="0"/>
          <w:marTop w:val="0"/>
          <w:marBottom w:val="0"/>
          <w:divBdr>
            <w:top w:val="none" w:sz="0" w:space="0" w:color="auto"/>
            <w:left w:val="none" w:sz="0" w:space="0" w:color="auto"/>
            <w:bottom w:val="none" w:sz="0" w:space="0" w:color="auto"/>
            <w:right w:val="none" w:sz="0" w:space="0" w:color="auto"/>
          </w:divBdr>
          <w:divsChild>
            <w:div w:id="1870531450">
              <w:marLeft w:val="0"/>
              <w:marRight w:val="0"/>
              <w:marTop w:val="0"/>
              <w:marBottom w:val="0"/>
              <w:divBdr>
                <w:top w:val="none" w:sz="0" w:space="0" w:color="auto"/>
                <w:left w:val="none" w:sz="0" w:space="0" w:color="auto"/>
                <w:bottom w:val="none" w:sz="0" w:space="0" w:color="auto"/>
                <w:right w:val="none" w:sz="0" w:space="0" w:color="auto"/>
              </w:divBdr>
            </w:div>
          </w:divsChild>
        </w:div>
        <w:div w:id="1718167333">
          <w:marLeft w:val="0"/>
          <w:marRight w:val="0"/>
          <w:marTop w:val="0"/>
          <w:marBottom w:val="0"/>
          <w:divBdr>
            <w:top w:val="none" w:sz="0" w:space="0" w:color="auto"/>
            <w:left w:val="none" w:sz="0" w:space="0" w:color="auto"/>
            <w:bottom w:val="none" w:sz="0" w:space="0" w:color="auto"/>
            <w:right w:val="none" w:sz="0" w:space="0" w:color="auto"/>
          </w:divBdr>
          <w:divsChild>
            <w:div w:id="1313871135">
              <w:marLeft w:val="0"/>
              <w:marRight w:val="0"/>
              <w:marTop w:val="0"/>
              <w:marBottom w:val="0"/>
              <w:divBdr>
                <w:top w:val="none" w:sz="0" w:space="0" w:color="auto"/>
                <w:left w:val="none" w:sz="0" w:space="0" w:color="auto"/>
                <w:bottom w:val="none" w:sz="0" w:space="0" w:color="auto"/>
                <w:right w:val="none" w:sz="0" w:space="0" w:color="auto"/>
              </w:divBdr>
            </w:div>
          </w:divsChild>
        </w:div>
        <w:div w:id="1787387271">
          <w:marLeft w:val="0"/>
          <w:marRight w:val="0"/>
          <w:marTop w:val="0"/>
          <w:marBottom w:val="0"/>
          <w:divBdr>
            <w:top w:val="none" w:sz="0" w:space="0" w:color="auto"/>
            <w:left w:val="none" w:sz="0" w:space="0" w:color="auto"/>
            <w:bottom w:val="none" w:sz="0" w:space="0" w:color="auto"/>
            <w:right w:val="none" w:sz="0" w:space="0" w:color="auto"/>
          </w:divBdr>
          <w:divsChild>
            <w:div w:id="1606647359">
              <w:marLeft w:val="0"/>
              <w:marRight w:val="0"/>
              <w:marTop w:val="0"/>
              <w:marBottom w:val="0"/>
              <w:divBdr>
                <w:top w:val="none" w:sz="0" w:space="0" w:color="auto"/>
                <w:left w:val="none" w:sz="0" w:space="0" w:color="auto"/>
                <w:bottom w:val="none" w:sz="0" w:space="0" w:color="auto"/>
                <w:right w:val="none" w:sz="0" w:space="0" w:color="auto"/>
              </w:divBdr>
            </w:div>
          </w:divsChild>
        </w:div>
        <w:div w:id="1833058067">
          <w:marLeft w:val="0"/>
          <w:marRight w:val="0"/>
          <w:marTop w:val="0"/>
          <w:marBottom w:val="0"/>
          <w:divBdr>
            <w:top w:val="none" w:sz="0" w:space="0" w:color="auto"/>
            <w:left w:val="none" w:sz="0" w:space="0" w:color="auto"/>
            <w:bottom w:val="none" w:sz="0" w:space="0" w:color="auto"/>
            <w:right w:val="none" w:sz="0" w:space="0" w:color="auto"/>
          </w:divBdr>
          <w:divsChild>
            <w:div w:id="394738485">
              <w:marLeft w:val="0"/>
              <w:marRight w:val="0"/>
              <w:marTop w:val="0"/>
              <w:marBottom w:val="0"/>
              <w:divBdr>
                <w:top w:val="none" w:sz="0" w:space="0" w:color="auto"/>
                <w:left w:val="none" w:sz="0" w:space="0" w:color="auto"/>
                <w:bottom w:val="none" w:sz="0" w:space="0" w:color="auto"/>
                <w:right w:val="none" w:sz="0" w:space="0" w:color="auto"/>
              </w:divBdr>
            </w:div>
          </w:divsChild>
        </w:div>
        <w:div w:id="1837068227">
          <w:marLeft w:val="0"/>
          <w:marRight w:val="0"/>
          <w:marTop w:val="0"/>
          <w:marBottom w:val="0"/>
          <w:divBdr>
            <w:top w:val="none" w:sz="0" w:space="0" w:color="auto"/>
            <w:left w:val="none" w:sz="0" w:space="0" w:color="auto"/>
            <w:bottom w:val="none" w:sz="0" w:space="0" w:color="auto"/>
            <w:right w:val="none" w:sz="0" w:space="0" w:color="auto"/>
          </w:divBdr>
          <w:divsChild>
            <w:div w:id="905920803">
              <w:marLeft w:val="0"/>
              <w:marRight w:val="0"/>
              <w:marTop w:val="0"/>
              <w:marBottom w:val="0"/>
              <w:divBdr>
                <w:top w:val="none" w:sz="0" w:space="0" w:color="auto"/>
                <w:left w:val="none" w:sz="0" w:space="0" w:color="auto"/>
                <w:bottom w:val="none" w:sz="0" w:space="0" w:color="auto"/>
                <w:right w:val="none" w:sz="0" w:space="0" w:color="auto"/>
              </w:divBdr>
            </w:div>
          </w:divsChild>
        </w:div>
        <w:div w:id="1894804489">
          <w:marLeft w:val="0"/>
          <w:marRight w:val="0"/>
          <w:marTop w:val="0"/>
          <w:marBottom w:val="0"/>
          <w:divBdr>
            <w:top w:val="none" w:sz="0" w:space="0" w:color="auto"/>
            <w:left w:val="none" w:sz="0" w:space="0" w:color="auto"/>
            <w:bottom w:val="none" w:sz="0" w:space="0" w:color="auto"/>
            <w:right w:val="none" w:sz="0" w:space="0" w:color="auto"/>
          </w:divBdr>
          <w:divsChild>
            <w:div w:id="731081281">
              <w:marLeft w:val="0"/>
              <w:marRight w:val="0"/>
              <w:marTop w:val="0"/>
              <w:marBottom w:val="0"/>
              <w:divBdr>
                <w:top w:val="none" w:sz="0" w:space="0" w:color="auto"/>
                <w:left w:val="none" w:sz="0" w:space="0" w:color="auto"/>
                <w:bottom w:val="none" w:sz="0" w:space="0" w:color="auto"/>
                <w:right w:val="none" w:sz="0" w:space="0" w:color="auto"/>
              </w:divBdr>
            </w:div>
          </w:divsChild>
        </w:div>
        <w:div w:id="1931817382">
          <w:marLeft w:val="0"/>
          <w:marRight w:val="0"/>
          <w:marTop w:val="0"/>
          <w:marBottom w:val="0"/>
          <w:divBdr>
            <w:top w:val="none" w:sz="0" w:space="0" w:color="auto"/>
            <w:left w:val="none" w:sz="0" w:space="0" w:color="auto"/>
            <w:bottom w:val="none" w:sz="0" w:space="0" w:color="auto"/>
            <w:right w:val="none" w:sz="0" w:space="0" w:color="auto"/>
          </w:divBdr>
          <w:divsChild>
            <w:div w:id="521436575">
              <w:marLeft w:val="0"/>
              <w:marRight w:val="0"/>
              <w:marTop w:val="0"/>
              <w:marBottom w:val="0"/>
              <w:divBdr>
                <w:top w:val="none" w:sz="0" w:space="0" w:color="auto"/>
                <w:left w:val="none" w:sz="0" w:space="0" w:color="auto"/>
                <w:bottom w:val="none" w:sz="0" w:space="0" w:color="auto"/>
                <w:right w:val="none" w:sz="0" w:space="0" w:color="auto"/>
              </w:divBdr>
            </w:div>
          </w:divsChild>
        </w:div>
        <w:div w:id="1939292024">
          <w:marLeft w:val="0"/>
          <w:marRight w:val="0"/>
          <w:marTop w:val="0"/>
          <w:marBottom w:val="0"/>
          <w:divBdr>
            <w:top w:val="none" w:sz="0" w:space="0" w:color="auto"/>
            <w:left w:val="none" w:sz="0" w:space="0" w:color="auto"/>
            <w:bottom w:val="none" w:sz="0" w:space="0" w:color="auto"/>
            <w:right w:val="none" w:sz="0" w:space="0" w:color="auto"/>
          </w:divBdr>
          <w:divsChild>
            <w:div w:id="1610425726">
              <w:marLeft w:val="0"/>
              <w:marRight w:val="0"/>
              <w:marTop w:val="0"/>
              <w:marBottom w:val="0"/>
              <w:divBdr>
                <w:top w:val="none" w:sz="0" w:space="0" w:color="auto"/>
                <w:left w:val="none" w:sz="0" w:space="0" w:color="auto"/>
                <w:bottom w:val="none" w:sz="0" w:space="0" w:color="auto"/>
                <w:right w:val="none" w:sz="0" w:space="0" w:color="auto"/>
              </w:divBdr>
            </w:div>
          </w:divsChild>
        </w:div>
        <w:div w:id="1951470802">
          <w:marLeft w:val="0"/>
          <w:marRight w:val="0"/>
          <w:marTop w:val="0"/>
          <w:marBottom w:val="0"/>
          <w:divBdr>
            <w:top w:val="none" w:sz="0" w:space="0" w:color="auto"/>
            <w:left w:val="none" w:sz="0" w:space="0" w:color="auto"/>
            <w:bottom w:val="none" w:sz="0" w:space="0" w:color="auto"/>
            <w:right w:val="none" w:sz="0" w:space="0" w:color="auto"/>
          </w:divBdr>
          <w:divsChild>
            <w:div w:id="1880631982">
              <w:marLeft w:val="0"/>
              <w:marRight w:val="0"/>
              <w:marTop w:val="0"/>
              <w:marBottom w:val="0"/>
              <w:divBdr>
                <w:top w:val="none" w:sz="0" w:space="0" w:color="auto"/>
                <w:left w:val="none" w:sz="0" w:space="0" w:color="auto"/>
                <w:bottom w:val="none" w:sz="0" w:space="0" w:color="auto"/>
                <w:right w:val="none" w:sz="0" w:space="0" w:color="auto"/>
              </w:divBdr>
            </w:div>
          </w:divsChild>
        </w:div>
        <w:div w:id="1970747244">
          <w:marLeft w:val="0"/>
          <w:marRight w:val="0"/>
          <w:marTop w:val="0"/>
          <w:marBottom w:val="0"/>
          <w:divBdr>
            <w:top w:val="none" w:sz="0" w:space="0" w:color="auto"/>
            <w:left w:val="none" w:sz="0" w:space="0" w:color="auto"/>
            <w:bottom w:val="none" w:sz="0" w:space="0" w:color="auto"/>
            <w:right w:val="none" w:sz="0" w:space="0" w:color="auto"/>
          </w:divBdr>
          <w:divsChild>
            <w:div w:id="351346146">
              <w:marLeft w:val="0"/>
              <w:marRight w:val="0"/>
              <w:marTop w:val="0"/>
              <w:marBottom w:val="0"/>
              <w:divBdr>
                <w:top w:val="none" w:sz="0" w:space="0" w:color="auto"/>
                <w:left w:val="none" w:sz="0" w:space="0" w:color="auto"/>
                <w:bottom w:val="none" w:sz="0" w:space="0" w:color="auto"/>
                <w:right w:val="none" w:sz="0" w:space="0" w:color="auto"/>
              </w:divBdr>
            </w:div>
          </w:divsChild>
        </w:div>
        <w:div w:id="1995720494">
          <w:marLeft w:val="0"/>
          <w:marRight w:val="0"/>
          <w:marTop w:val="0"/>
          <w:marBottom w:val="0"/>
          <w:divBdr>
            <w:top w:val="none" w:sz="0" w:space="0" w:color="auto"/>
            <w:left w:val="none" w:sz="0" w:space="0" w:color="auto"/>
            <w:bottom w:val="none" w:sz="0" w:space="0" w:color="auto"/>
            <w:right w:val="none" w:sz="0" w:space="0" w:color="auto"/>
          </w:divBdr>
          <w:divsChild>
            <w:div w:id="403912464">
              <w:marLeft w:val="0"/>
              <w:marRight w:val="0"/>
              <w:marTop w:val="0"/>
              <w:marBottom w:val="0"/>
              <w:divBdr>
                <w:top w:val="none" w:sz="0" w:space="0" w:color="auto"/>
                <w:left w:val="none" w:sz="0" w:space="0" w:color="auto"/>
                <w:bottom w:val="none" w:sz="0" w:space="0" w:color="auto"/>
                <w:right w:val="none" w:sz="0" w:space="0" w:color="auto"/>
              </w:divBdr>
            </w:div>
          </w:divsChild>
        </w:div>
        <w:div w:id="2010213490">
          <w:marLeft w:val="0"/>
          <w:marRight w:val="0"/>
          <w:marTop w:val="0"/>
          <w:marBottom w:val="0"/>
          <w:divBdr>
            <w:top w:val="none" w:sz="0" w:space="0" w:color="auto"/>
            <w:left w:val="none" w:sz="0" w:space="0" w:color="auto"/>
            <w:bottom w:val="none" w:sz="0" w:space="0" w:color="auto"/>
            <w:right w:val="none" w:sz="0" w:space="0" w:color="auto"/>
          </w:divBdr>
          <w:divsChild>
            <w:div w:id="1273897629">
              <w:marLeft w:val="0"/>
              <w:marRight w:val="0"/>
              <w:marTop w:val="0"/>
              <w:marBottom w:val="0"/>
              <w:divBdr>
                <w:top w:val="none" w:sz="0" w:space="0" w:color="auto"/>
                <w:left w:val="none" w:sz="0" w:space="0" w:color="auto"/>
                <w:bottom w:val="none" w:sz="0" w:space="0" w:color="auto"/>
                <w:right w:val="none" w:sz="0" w:space="0" w:color="auto"/>
              </w:divBdr>
            </w:div>
          </w:divsChild>
        </w:div>
        <w:div w:id="2023704149">
          <w:marLeft w:val="0"/>
          <w:marRight w:val="0"/>
          <w:marTop w:val="0"/>
          <w:marBottom w:val="0"/>
          <w:divBdr>
            <w:top w:val="none" w:sz="0" w:space="0" w:color="auto"/>
            <w:left w:val="none" w:sz="0" w:space="0" w:color="auto"/>
            <w:bottom w:val="none" w:sz="0" w:space="0" w:color="auto"/>
            <w:right w:val="none" w:sz="0" w:space="0" w:color="auto"/>
          </w:divBdr>
          <w:divsChild>
            <w:div w:id="1200626900">
              <w:marLeft w:val="0"/>
              <w:marRight w:val="0"/>
              <w:marTop w:val="0"/>
              <w:marBottom w:val="0"/>
              <w:divBdr>
                <w:top w:val="none" w:sz="0" w:space="0" w:color="auto"/>
                <w:left w:val="none" w:sz="0" w:space="0" w:color="auto"/>
                <w:bottom w:val="none" w:sz="0" w:space="0" w:color="auto"/>
                <w:right w:val="none" w:sz="0" w:space="0" w:color="auto"/>
              </w:divBdr>
            </w:div>
          </w:divsChild>
        </w:div>
        <w:div w:id="2041659157">
          <w:marLeft w:val="0"/>
          <w:marRight w:val="0"/>
          <w:marTop w:val="0"/>
          <w:marBottom w:val="0"/>
          <w:divBdr>
            <w:top w:val="none" w:sz="0" w:space="0" w:color="auto"/>
            <w:left w:val="none" w:sz="0" w:space="0" w:color="auto"/>
            <w:bottom w:val="none" w:sz="0" w:space="0" w:color="auto"/>
            <w:right w:val="none" w:sz="0" w:space="0" w:color="auto"/>
          </w:divBdr>
          <w:divsChild>
            <w:div w:id="266624700">
              <w:marLeft w:val="0"/>
              <w:marRight w:val="0"/>
              <w:marTop w:val="0"/>
              <w:marBottom w:val="0"/>
              <w:divBdr>
                <w:top w:val="none" w:sz="0" w:space="0" w:color="auto"/>
                <w:left w:val="none" w:sz="0" w:space="0" w:color="auto"/>
                <w:bottom w:val="none" w:sz="0" w:space="0" w:color="auto"/>
                <w:right w:val="none" w:sz="0" w:space="0" w:color="auto"/>
              </w:divBdr>
            </w:div>
          </w:divsChild>
        </w:div>
        <w:div w:id="2065443376">
          <w:marLeft w:val="0"/>
          <w:marRight w:val="0"/>
          <w:marTop w:val="0"/>
          <w:marBottom w:val="0"/>
          <w:divBdr>
            <w:top w:val="none" w:sz="0" w:space="0" w:color="auto"/>
            <w:left w:val="none" w:sz="0" w:space="0" w:color="auto"/>
            <w:bottom w:val="none" w:sz="0" w:space="0" w:color="auto"/>
            <w:right w:val="none" w:sz="0" w:space="0" w:color="auto"/>
          </w:divBdr>
          <w:divsChild>
            <w:div w:id="232009988">
              <w:marLeft w:val="0"/>
              <w:marRight w:val="0"/>
              <w:marTop w:val="0"/>
              <w:marBottom w:val="0"/>
              <w:divBdr>
                <w:top w:val="none" w:sz="0" w:space="0" w:color="auto"/>
                <w:left w:val="none" w:sz="0" w:space="0" w:color="auto"/>
                <w:bottom w:val="none" w:sz="0" w:space="0" w:color="auto"/>
                <w:right w:val="none" w:sz="0" w:space="0" w:color="auto"/>
              </w:divBdr>
            </w:div>
          </w:divsChild>
        </w:div>
        <w:div w:id="2114740585">
          <w:marLeft w:val="0"/>
          <w:marRight w:val="0"/>
          <w:marTop w:val="0"/>
          <w:marBottom w:val="0"/>
          <w:divBdr>
            <w:top w:val="none" w:sz="0" w:space="0" w:color="auto"/>
            <w:left w:val="none" w:sz="0" w:space="0" w:color="auto"/>
            <w:bottom w:val="none" w:sz="0" w:space="0" w:color="auto"/>
            <w:right w:val="none" w:sz="0" w:space="0" w:color="auto"/>
          </w:divBdr>
          <w:divsChild>
            <w:div w:id="806237481">
              <w:marLeft w:val="0"/>
              <w:marRight w:val="0"/>
              <w:marTop w:val="0"/>
              <w:marBottom w:val="0"/>
              <w:divBdr>
                <w:top w:val="none" w:sz="0" w:space="0" w:color="auto"/>
                <w:left w:val="none" w:sz="0" w:space="0" w:color="auto"/>
                <w:bottom w:val="none" w:sz="0" w:space="0" w:color="auto"/>
                <w:right w:val="none" w:sz="0" w:space="0" w:color="auto"/>
              </w:divBdr>
            </w:div>
          </w:divsChild>
        </w:div>
        <w:div w:id="2129004265">
          <w:marLeft w:val="0"/>
          <w:marRight w:val="0"/>
          <w:marTop w:val="0"/>
          <w:marBottom w:val="0"/>
          <w:divBdr>
            <w:top w:val="none" w:sz="0" w:space="0" w:color="auto"/>
            <w:left w:val="none" w:sz="0" w:space="0" w:color="auto"/>
            <w:bottom w:val="none" w:sz="0" w:space="0" w:color="auto"/>
            <w:right w:val="none" w:sz="0" w:space="0" w:color="auto"/>
          </w:divBdr>
          <w:divsChild>
            <w:div w:id="13276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59690">
      <w:bodyDiv w:val="1"/>
      <w:marLeft w:val="0"/>
      <w:marRight w:val="0"/>
      <w:marTop w:val="0"/>
      <w:marBottom w:val="0"/>
      <w:divBdr>
        <w:top w:val="none" w:sz="0" w:space="0" w:color="auto"/>
        <w:left w:val="none" w:sz="0" w:space="0" w:color="auto"/>
        <w:bottom w:val="none" w:sz="0" w:space="0" w:color="auto"/>
        <w:right w:val="none" w:sz="0" w:space="0" w:color="auto"/>
      </w:divBdr>
    </w:div>
    <w:div w:id="1982037617">
      <w:bodyDiv w:val="1"/>
      <w:marLeft w:val="0"/>
      <w:marRight w:val="0"/>
      <w:marTop w:val="0"/>
      <w:marBottom w:val="0"/>
      <w:divBdr>
        <w:top w:val="none" w:sz="0" w:space="0" w:color="auto"/>
        <w:left w:val="none" w:sz="0" w:space="0" w:color="auto"/>
        <w:bottom w:val="none" w:sz="0" w:space="0" w:color="auto"/>
        <w:right w:val="none" w:sz="0" w:space="0" w:color="auto"/>
      </w:divBdr>
    </w:div>
    <w:div w:id="1994866328">
      <w:bodyDiv w:val="1"/>
      <w:marLeft w:val="0"/>
      <w:marRight w:val="0"/>
      <w:marTop w:val="0"/>
      <w:marBottom w:val="0"/>
      <w:divBdr>
        <w:top w:val="none" w:sz="0" w:space="0" w:color="auto"/>
        <w:left w:val="none" w:sz="0" w:space="0" w:color="auto"/>
        <w:bottom w:val="none" w:sz="0" w:space="0" w:color="auto"/>
        <w:right w:val="none" w:sz="0" w:space="0" w:color="auto"/>
      </w:divBdr>
    </w:div>
    <w:div w:id="2000035895">
      <w:bodyDiv w:val="1"/>
      <w:marLeft w:val="0"/>
      <w:marRight w:val="0"/>
      <w:marTop w:val="0"/>
      <w:marBottom w:val="0"/>
      <w:divBdr>
        <w:top w:val="none" w:sz="0" w:space="0" w:color="auto"/>
        <w:left w:val="none" w:sz="0" w:space="0" w:color="auto"/>
        <w:bottom w:val="none" w:sz="0" w:space="0" w:color="auto"/>
        <w:right w:val="none" w:sz="0" w:space="0" w:color="auto"/>
      </w:divBdr>
    </w:div>
    <w:div w:id="2003729506">
      <w:bodyDiv w:val="1"/>
      <w:marLeft w:val="0"/>
      <w:marRight w:val="0"/>
      <w:marTop w:val="0"/>
      <w:marBottom w:val="0"/>
      <w:divBdr>
        <w:top w:val="none" w:sz="0" w:space="0" w:color="auto"/>
        <w:left w:val="none" w:sz="0" w:space="0" w:color="auto"/>
        <w:bottom w:val="none" w:sz="0" w:space="0" w:color="auto"/>
        <w:right w:val="none" w:sz="0" w:space="0" w:color="auto"/>
      </w:divBdr>
    </w:div>
    <w:div w:id="2014408958">
      <w:bodyDiv w:val="1"/>
      <w:marLeft w:val="0"/>
      <w:marRight w:val="0"/>
      <w:marTop w:val="0"/>
      <w:marBottom w:val="0"/>
      <w:divBdr>
        <w:top w:val="none" w:sz="0" w:space="0" w:color="auto"/>
        <w:left w:val="none" w:sz="0" w:space="0" w:color="auto"/>
        <w:bottom w:val="none" w:sz="0" w:space="0" w:color="auto"/>
        <w:right w:val="none" w:sz="0" w:space="0" w:color="auto"/>
      </w:divBdr>
    </w:div>
    <w:div w:id="2020812872">
      <w:bodyDiv w:val="1"/>
      <w:marLeft w:val="0"/>
      <w:marRight w:val="0"/>
      <w:marTop w:val="0"/>
      <w:marBottom w:val="0"/>
      <w:divBdr>
        <w:top w:val="none" w:sz="0" w:space="0" w:color="auto"/>
        <w:left w:val="none" w:sz="0" w:space="0" w:color="auto"/>
        <w:bottom w:val="none" w:sz="0" w:space="0" w:color="auto"/>
        <w:right w:val="none" w:sz="0" w:space="0" w:color="auto"/>
      </w:divBdr>
    </w:div>
    <w:div w:id="2026515708">
      <w:bodyDiv w:val="1"/>
      <w:marLeft w:val="0"/>
      <w:marRight w:val="0"/>
      <w:marTop w:val="0"/>
      <w:marBottom w:val="0"/>
      <w:divBdr>
        <w:top w:val="none" w:sz="0" w:space="0" w:color="auto"/>
        <w:left w:val="none" w:sz="0" w:space="0" w:color="auto"/>
        <w:bottom w:val="none" w:sz="0" w:space="0" w:color="auto"/>
        <w:right w:val="none" w:sz="0" w:space="0" w:color="auto"/>
      </w:divBdr>
    </w:div>
    <w:div w:id="2027058055">
      <w:bodyDiv w:val="1"/>
      <w:marLeft w:val="0"/>
      <w:marRight w:val="0"/>
      <w:marTop w:val="0"/>
      <w:marBottom w:val="0"/>
      <w:divBdr>
        <w:top w:val="none" w:sz="0" w:space="0" w:color="auto"/>
        <w:left w:val="none" w:sz="0" w:space="0" w:color="auto"/>
        <w:bottom w:val="none" w:sz="0" w:space="0" w:color="auto"/>
        <w:right w:val="none" w:sz="0" w:space="0" w:color="auto"/>
      </w:divBdr>
    </w:div>
    <w:div w:id="2033845198">
      <w:bodyDiv w:val="1"/>
      <w:marLeft w:val="0"/>
      <w:marRight w:val="0"/>
      <w:marTop w:val="0"/>
      <w:marBottom w:val="0"/>
      <w:divBdr>
        <w:top w:val="none" w:sz="0" w:space="0" w:color="auto"/>
        <w:left w:val="none" w:sz="0" w:space="0" w:color="auto"/>
        <w:bottom w:val="none" w:sz="0" w:space="0" w:color="auto"/>
        <w:right w:val="none" w:sz="0" w:space="0" w:color="auto"/>
      </w:divBdr>
      <w:divsChild>
        <w:div w:id="17125652">
          <w:marLeft w:val="0"/>
          <w:marRight w:val="0"/>
          <w:marTop w:val="0"/>
          <w:marBottom w:val="0"/>
          <w:divBdr>
            <w:top w:val="none" w:sz="0" w:space="0" w:color="auto"/>
            <w:left w:val="none" w:sz="0" w:space="0" w:color="auto"/>
            <w:bottom w:val="none" w:sz="0" w:space="0" w:color="auto"/>
            <w:right w:val="none" w:sz="0" w:space="0" w:color="auto"/>
          </w:divBdr>
          <w:divsChild>
            <w:div w:id="170266208">
              <w:marLeft w:val="0"/>
              <w:marRight w:val="0"/>
              <w:marTop w:val="0"/>
              <w:marBottom w:val="0"/>
              <w:divBdr>
                <w:top w:val="none" w:sz="0" w:space="0" w:color="auto"/>
                <w:left w:val="none" w:sz="0" w:space="0" w:color="auto"/>
                <w:bottom w:val="none" w:sz="0" w:space="0" w:color="auto"/>
                <w:right w:val="none" w:sz="0" w:space="0" w:color="auto"/>
              </w:divBdr>
            </w:div>
          </w:divsChild>
        </w:div>
        <w:div w:id="37164245">
          <w:marLeft w:val="0"/>
          <w:marRight w:val="0"/>
          <w:marTop w:val="0"/>
          <w:marBottom w:val="0"/>
          <w:divBdr>
            <w:top w:val="none" w:sz="0" w:space="0" w:color="auto"/>
            <w:left w:val="none" w:sz="0" w:space="0" w:color="auto"/>
            <w:bottom w:val="none" w:sz="0" w:space="0" w:color="auto"/>
            <w:right w:val="none" w:sz="0" w:space="0" w:color="auto"/>
          </w:divBdr>
          <w:divsChild>
            <w:div w:id="232741788">
              <w:marLeft w:val="0"/>
              <w:marRight w:val="0"/>
              <w:marTop w:val="0"/>
              <w:marBottom w:val="0"/>
              <w:divBdr>
                <w:top w:val="none" w:sz="0" w:space="0" w:color="auto"/>
                <w:left w:val="none" w:sz="0" w:space="0" w:color="auto"/>
                <w:bottom w:val="none" w:sz="0" w:space="0" w:color="auto"/>
                <w:right w:val="none" w:sz="0" w:space="0" w:color="auto"/>
              </w:divBdr>
            </w:div>
          </w:divsChild>
        </w:div>
        <w:div w:id="43606974">
          <w:marLeft w:val="0"/>
          <w:marRight w:val="0"/>
          <w:marTop w:val="0"/>
          <w:marBottom w:val="0"/>
          <w:divBdr>
            <w:top w:val="none" w:sz="0" w:space="0" w:color="auto"/>
            <w:left w:val="none" w:sz="0" w:space="0" w:color="auto"/>
            <w:bottom w:val="none" w:sz="0" w:space="0" w:color="auto"/>
            <w:right w:val="none" w:sz="0" w:space="0" w:color="auto"/>
          </w:divBdr>
          <w:divsChild>
            <w:div w:id="1776628569">
              <w:marLeft w:val="0"/>
              <w:marRight w:val="0"/>
              <w:marTop w:val="0"/>
              <w:marBottom w:val="0"/>
              <w:divBdr>
                <w:top w:val="none" w:sz="0" w:space="0" w:color="auto"/>
                <w:left w:val="none" w:sz="0" w:space="0" w:color="auto"/>
                <w:bottom w:val="none" w:sz="0" w:space="0" w:color="auto"/>
                <w:right w:val="none" w:sz="0" w:space="0" w:color="auto"/>
              </w:divBdr>
            </w:div>
          </w:divsChild>
        </w:div>
        <w:div w:id="43918431">
          <w:marLeft w:val="0"/>
          <w:marRight w:val="0"/>
          <w:marTop w:val="0"/>
          <w:marBottom w:val="0"/>
          <w:divBdr>
            <w:top w:val="none" w:sz="0" w:space="0" w:color="auto"/>
            <w:left w:val="none" w:sz="0" w:space="0" w:color="auto"/>
            <w:bottom w:val="none" w:sz="0" w:space="0" w:color="auto"/>
            <w:right w:val="none" w:sz="0" w:space="0" w:color="auto"/>
          </w:divBdr>
          <w:divsChild>
            <w:div w:id="1702365978">
              <w:marLeft w:val="0"/>
              <w:marRight w:val="0"/>
              <w:marTop w:val="0"/>
              <w:marBottom w:val="0"/>
              <w:divBdr>
                <w:top w:val="none" w:sz="0" w:space="0" w:color="auto"/>
                <w:left w:val="none" w:sz="0" w:space="0" w:color="auto"/>
                <w:bottom w:val="none" w:sz="0" w:space="0" w:color="auto"/>
                <w:right w:val="none" w:sz="0" w:space="0" w:color="auto"/>
              </w:divBdr>
            </w:div>
          </w:divsChild>
        </w:div>
        <w:div w:id="44374395">
          <w:marLeft w:val="0"/>
          <w:marRight w:val="0"/>
          <w:marTop w:val="0"/>
          <w:marBottom w:val="0"/>
          <w:divBdr>
            <w:top w:val="none" w:sz="0" w:space="0" w:color="auto"/>
            <w:left w:val="none" w:sz="0" w:space="0" w:color="auto"/>
            <w:bottom w:val="none" w:sz="0" w:space="0" w:color="auto"/>
            <w:right w:val="none" w:sz="0" w:space="0" w:color="auto"/>
          </w:divBdr>
          <w:divsChild>
            <w:div w:id="1815246479">
              <w:marLeft w:val="0"/>
              <w:marRight w:val="0"/>
              <w:marTop w:val="0"/>
              <w:marBottom w:val="0"/>
              <w:divBdr>
                <w:top w:val="none" w:sz="0" w:space="0" w:color="auto"/>
                <w:left w:val="none" w:sz="0" w:space="0" w:color="auto"/>
                <w:bottom w:val="none" w:sz="0" w:space="0" w:color="auto"/>
                <w:right w:val="none" w:sz="0" w:space="0" w:color="auto"/>
              </w:divBdr>
            </w:div>
          </w:divsChild>
        </w:div>
        <w:div w:id="90320811">
          <w:marLeft w:val="0"/>
          <w:marRight w:val="0"/>
          <w:marTop w:val="0"/>
          <w:marBottom w:val="0"/>
          <w:divBdr>
            <w:top w:val="none" w:sz="0" w:space="0" w:color="auto"/>
            <w:left w:val="none" w:sz="0" w:space="0" w:color="auto"/>
            <w:bottom w:val="none" w:sz="0" w:space="0" w:color="auto"/>
            <w:right w:val="none" w:sz="0" w:space="0" w:color="auto"/>
          </w:divBdr>
          <w:divsChild>
            <w:div w:id="1283879707">
              <w:marLeft w:val="0"/>
              <w:marRight w:val="0"/>
              <w:marTop w:val="0"/>
              <w:marBottom w:val="0"/>
              <w:divBdr>
                <w:top w:val="none" w:sz="0" w:space="0" w:color="auto"/>
                <w:left w:val="none" w:sz="0" w:space="0" w:color="auto"/>
                <w:bottom w:val="none" w:sz="0" w:space="0" w:color="auto"/>
                <w:right w:val="none" w:sz="0" w:space="0" w:color="auto"/>
              </w:divBdr>
            </w:div>
          </w:divsChild>
        </w:div>
        <w:div w:id="95907189">
          <w:marLeft w:val="0"/>
          <w:marRight w:val="0"/>
          <w:marTop w:val="0"/>
          <w:marBottom w:val="0"/>
          <w:divBdr>
            <w:top w:val="none" w:sz="0" w:space="0" w:color="auto"/>
            <w:left w:val="none" w:sz="0" w:space="0" w:color="auto"/>
            <w:bottom w:val="none" w:sz="0" w:space="0" w:color="auto"/>
            <w:right w:val="none" w:sz="0" w:space="0" w:color="auto"/>
          </w:divBdr>
          <w:divsChild>
            <w:div w:id="1567298645">
              <w:marLeft w:val="0"/>
              <w:marRight w:val="0"/>
              <w:marTop w:val="0"/>
              <w:marBottom w:val="0"/>
              <w:divBdr>
                <w:top w:val="none" w:sz="0" w:space="0" w:color="auto"/>
                <w:left w:val="none" w:sz="0" w:space="0" w:color="auto"/>
                <w:bottom w:val="none" w:sz="0" w:space="0" w:color="auto"/>
                <w:right w:val="none" w:sz="0" w:space="0" w:color="auto"/>
              </w:divBdr>
            </w:div>
          </w:divsChild>
        </w:div>
        <w:div w:id="99686974">
          <w:marLeft w:val="0"/>
          <w:marRight w:val="0"/>
          <w:marTop w:val="0"/>
          <w:marBottom w:val="0"/>
          <w:divBdr>
            <w:top w:val="none" w:sz="0" w:space="0" w:color="auto"/>
            <w:left w:val="none" w:sz="0" w:space="0" w:color="auto"/>
            <w:bottom w:val="none" w:sz="0" w:space="0" w:color="auto"/>
            <w:right w:val="none" w:sz="0" w:space="0" w:color="auto"/>
          </w:divBdr>
          <w:divsChild>
            <w:div w:id="71439381">
              <w:marLeft w:val="0"/>
              <w:marRight w:val="0"/>
              <w:marTop w:val="0"/>
              <w:marBottom w:val="0"/>
              <w:divBdr>
                <w:top w:val="none" w:sz="0" w:space="0" w:color="auto"/>
                <w:left w:val="none" w:sz="0" w:space="0" w:color="auto"/>
                <w:bottom w:val="none" w:sz="0" w:space="0" w:color="auto"/>
                <w:right w:val="none" w:sz="0" w:space="0" w:color="auto"/>
              </w:divBdr>
            </w:div>
          </w:divsChild>
        </w:div>
        <w:div w:id="134957459">
          <w:marLeft w:val="0"/>
          <w:marRight w:val="0"/>
          <w:marTop w:val="0"/>
          <w:marBottom w:val="0"/>
          <w:divBdr>
            <w:top w:val="none" w:sz="0" w:space="0" w:color="auto"/>
            <w:left w:val="none" w:sz="0" w:space="0" w:color="auto"/>
            <w:bottom w:val="none" w:sz="0" w:space="0" w:color="auto"/>
            <w:right w:val="none" w:sz="0" w:space="0" w:color="auto"/>
          </w:divBdr>
          <w:divsChild>
            <w:div w:id="366759868">
              <w:marLeft w:val="0"/>
              <w:marRight w:val="0"/>
              <w:marTop w:val="0"/>
              <w:marBottom w:val="0"/>
              <w:divBdr>
                <w:top w:val="none" w:sz="0" w:space="0" w:color="auto"/>
                <w:left w:val="none" w:sz="0" w:space="0" w:color="auto"/>
                <w:bottom w:val="none" w:sz="0" w:space="0" w:color="auto"/>
                <w:right w:val="none" w:sz="0" w:space="0" w:color="auto"/>
              </w:divBdr>
            </w:div>
          </w:divsChild>
        </w:div>
        <w:div w:id="135606670">
          <w:marLeft w:val="0"/>
          <w:marRight w:val="0"/>
          <w:marTop w:val="0"/>
          <w:marBottom w:val="0"/>
          <w:divBdr>
            <w:top w:val="none" w:sz="0" w:space="0" w:color="auto"/>
            <w:left w:val="none" w:sz="0" w:space="0" w:color="auto"/>
            <w:bottom w:val="none" w:sz="0" w:space="0" w:color="auto"/>
            <w:right w:val="none" w:sz="0" w:space="0" w:color="auto"/>
          </w:divBdr>
          <w:divsChild>
            <w:div w:id="921571316">
              <w:marLeft w:val="0"/>
              <w:marRight w:val="0"/>
              <w:marTop w:val="0"/>
              <w:marBottom w:val="0"/>
              <w:divBdr>
                <w:top w:val="none" w:sz="0" w:space="0" w:color="auto"/>
                <w:left w:val="none" w:sz="0" w:space="0" w:color="auto"/>
                <w:bottom w:val="none" w:sz="0" w:space="0" w:color="auto"/>
                <w:right w:val="none" w:sz="0" w:space="0" w:color="auto"/>
              </w:divBdr>
            </w:div>
          </w:divsChild>
        </w:div>
        <w:div w:id="139229462">
          <w:marLeft w:val="0"/>
          <w:marRight w:val="0"/>
          <w:marTop w:val="0"/>
          <w:marBottom w:val="0"/>
          <w:divBdr>
            <w:top w:val="none" w:sz="0" w:space="0" w:color="auto"/>
            <w:left w:val="none" w:sz="0" w:space="0" w:color="auto"/>
            <w:bottom w:val="none" w:sz="0" w:space="0" w:color="auto"/>
            <w:right w:val="none" w:sz="0" w:space="0" w:color="auto"/>
          </w:divBdr>
          <w:divsChild>
            <w:div w:id="1682395849">
              <w:marLeft w:val="0"/>
              <w:marRight w:val="0"/>
              <w:marTop w:val="0"/>
              <w:marBottom w:val="0"/>
              <w:divBdr>
                <w:top w:val="none" w:sz="0" w:space="0" w:color="auto"/>
                <w:left w:val="none" w:sz="0" w:space="0" w:color="auto"/>
                <w:bottom w:val="none" w:sz="0" w:space="0" w:color="auto"/>
                <w:right w:val="none" w:sz="0" w:space="0" w:color="auto"/>
              </w:divBdr>
            </w:div>
          </w:divsChild>
        </w:div>
        <w:div w:id="155531969">
          <w:marLeft w:val="0"/>
          <w:marRight w:val="0"/>
          <w:marTop w:val="0"/>
          <w:marBottom w:val="0"/>
          <w:divBdr>
            <w:top w:val="none" w:sz="0" w:space="0" w:color="auto"/>
            <w:left w:val="none" w:sz="0" w:space="0" w:color="auto"/>
            <w:bottom w:val="none" w:sz="0" w:space="0" w:color="auto"/>
            <w:right w:val="none" w:sz="0" w:space="0" w:color="auto"/>
          </w:divBdr>
          <w:divsChild>
            <w:div w:id="195895772">
              <w:marLeft w:val="0"/>
              <w:marRight w:val="0"/>
              <w:marTop w:val="0"/>
              <w:marBottom w:val="0"/>
              <w:divBdr>
                <w:top w:val="none" w:sz="0" w:space="0" w:color="auto"/>
                <w:left w:val="none" w:sz="0" w:space="0" w:color="auto"/>
                <w:bottom w:val="none" w:sz="0" w:space="0" w:color="auto"/>
                <w:right w:val="none" w:sz="0" w:space="0" w:color="auto"/>
              </w:divBdr>
            </w:div>
          </w:divsChild>
        </w:div>
        <w:div w:id="211189569">
          <w:marLeft w:val="0"/>
          <w:marRight w:val="0"/>
          <w:marTop w:val="0"/>
          <w:marBottom w:val="0"/>
          <w:divBdr>
            <w:top w:val="none" w:sz="0" w:space="0" w:color="auto"/>
            <w:left w:val="none" w:sz="0" w:space="0" w:color="auto"/>
            <w:bottom w:val="none" w:sz="0" w:space="0" w:color="auto"/>
            <w:right w:val="none" w:sz="0" w:space="0" w:color="auto"/>
          </w:divBdr>
          <w:divsChild>
            <w:div w:id="442115975">
              <w:marLeft w:val="0"/>
              <w:marRight w:val="0"/>
              <w:marTop w:val="0"/>
              <w:marBottom w:val="0"/>
              <w:divBdr>
                <w:top w:val="none" w:sz="0" w:space="0" w:color="auto"/>
                <w:left w:val="none" w:sz="0" w:space="0" w:color="auto"/>
                <w:bottom w:val="none" w:sz="0" w:space="0" w:color="auto"/>
                <w:right w:val="none" w:sz="0" w:space="0" w:color="auto"/>
              </w:divBdr>
            </w:div>
          </w:divsChild>
        </w:div>
        <w:div w:id="248125333">
          <w:marLeft w:val="0"/>
          <w:marRight w:val="0"/>
          <w:marTop w:val="0"/>
          <w:marBottom w:val="0"/>
          <w:divBdr>
            <w:top w:val="none" w:sz="0" w:space="0" w:color="auto"/>
            <w:left w:val="none" w:sz="0" w:space="0" w:color="auto"/>
            <w:bottom w:val="none" w:sz="0" w:space="0" w:color="auto"/>
            <w:right w:val="none" w:sz="0" w:space="0" w:color="auto"/>
          </w:divBdr>
          <w:divsChild>
            <w:div w:id="637687381">
              <w:marLeft w:val="0"/>
              <w:marRight w:val="0"/>
              <w:marTop w:val="0"/>
              <w:marBottom w:val="0"/>
              <w:divBdr>
                <w:top w:val="none" w:sz="0" w:space="0" w:color="auto"/>
                <w:left w:val="none" w:sz="0" w:space="0" w:color="auto"/>
                <w:bottom w:val="none" w:sz="0" w:space="0" w:color="auto"/>
                <w:right w:val="none" w:sz="0" w:space="0" w:color="auto"/>
              </w:divBdr>
            </w:div>
          </w:divsChild>
        </w:div>
        <w:div w:id="258215855">
          <w:marLeft w:val="0"/>
          <w:marRight w:val="0"/>
          <w:marTop w:val="0"/>
          <w:marBottom w:val="0"/>
          <w:divBdr>
            <w:top w:val="none" w:sz="0" w:space="0" w:color="auto"/>
            <w:left w:val="none" w:sz="0" w:space="0" w:color="auto"/>
            <w:bottom w:val="none" w:sz="0" w:space="0" w:color="auto"/>
            <w:right w:val="none" w:sz="0" w:space="0" w:color="auto"/>
          </w:divBdr>
          <w:divsChild>
            <w:div w:id="220747892">
              <w:marLeft w:val="0"/>
              <w:marRight w:val="0"/>
              <w:marTop w:val="0"/>
              <w:marBottom w:val="0"/>
              <w:divBdr>
                <w:top w:val="none" w:sz="0" w:space="0" w:color="auto"/>
                <w:left w:val="none" w:sz="0" w:space="0" w:color="auto"/>
                <w:bottom w:val="none" w:sz="0" w:space="0" w:color="auto"/>
                <w:right w:val="none" w:sz="0" w:space="0" w:color="auto"/>
              </w:divBdr>
            </w:div>
          </w:divsChild>
        </w:div>
        <w:div w:id="292684905">
          <w:marLeft w:val="0"/>
          <w:marRight w:val="0"/>
          <w:marTop w:val="0"/>
          <w:marBottom w:val="0"/>
          <w:divBdr>
            <w:top w:val="none" w:sz="0" w:space="0" w:color="auto"/>
            <w:left w:val="none" w:sz="0" w:space="0" w:color="auto"/>
            <w:bottom w:val="none" w:sz="0" w:space="0" w:color="auto"/>
            <w:right w:val="none" w:sz="0" w:space="0" w:color="auto"/>
          </w:divBdr>
          <w:divsChild>
            <w:div w:id="156306637">
              <w:marLeft w:val="0"/>
              <w:marRight w:val="0"/>
              <w:marTop w:val="0"/>
              <w:marBottom w:val="0"/>
              <w:divBdr>
                <w:top w:val="none" w:sz="0" w:space="0" w:color="auto"/>
                <w:left w:val="none" w:sz="0" w:space="0" w:color="auto"/>
                <w:bottom w:val="none" w:sz="0" w:space="0" w:color="auto"/>
                <w:right w:val="none" w:sz="0" w:space="0" w:color="auto"/>
              </w:divBdr>
            </w:div>
          </w:divsChild>
        </w:div>
        <w:div w:id="313995216">
          <w:marLeft w:val="0"/>
          <w:marRight w:val="0"/>
          <w:marTop w:val="0"/>
          <w:marBottom w:val="0"/>
          <w:divBdr>
            <w:top w:val="none" w:sz="0" w:space="0" w:color="auto"/>
            <w:left w:val="none" w:sz="0" w:space="0" w:color="auto"/>
            <w:bottom w:val="none" w:sz="0" w:space="0" w:color="auto"/>
            <w:right w:val="none" w:sz="0" w:space="0" w:color="auto"/>
          </w:divBdr>
          <w:divsChild>
            <w:div w:id="2067484441">
              <w:marLeft w:val="0"/>
              <w:marRight w:val="0"/>
              <w:marTop w:val="0"/>
              <w:marBottom w:val="0"/>
              <w:divBdr>
                <w:top w:val="none" w:sz="0" w:space="0" w:color="auto"/>
                <w:left w:val="none" w:sz="0" w:space="0" w:color="auto"/>
                <w:bottom w:val="none" w:sz="0" w:space="0" w:color="auto"/>
                <w:right w:val="none" w:sz="0" w:space="0" w:color="auto"/>
              </w:divBdr>
            </w:div>
          </w:divsChild>
        </w:div>
        <w:div w:id="342782988">
          <w:marLeft w:val="0"/>
          <w:marRight w:val="0"/>
          <w:marTop w:val="0"/>
          <w:marBottom w:val="0"/>
          <w:divBdr>
            <w:top w:val="none" w:sz="0" w:space="0" w:color="auto"/>
            <w:left w:val="none" w:sz="0" w:space="0" w:color="auto"/>
            <w:bottom w:val="none" w:sz="0" w:space="0" w:color="auto"/>
            <w:right w:val="none" w:sz="0" w:space="0" w:color="auto"/>
          </w:divBdr>
          <w:divsChild>
            <w:div w:id="279385647">
              <w:marLeft w:val="0"/>
              <w:marRight w:val="0"/>
              <w:marTop w:val="0"/>
              <w:marBottom w:val="0"/>
              <w:divBdr>
                <w:top w:val="none" w:sz="0" w:space="0" w:color="auto"/>
                <w:left w:val="none" w:sz="0" w:space="0" w:color="auto"/>
                <w:bottom w:val="none" w:sz="0" w:space="0" w:color="auto"/>
                <w:right w:val="none" w:sz="0" w:space="0" w:color="auto"/>
              </w:divBdr>
            </w:div>
          </w:divsChild>
        </w:div>
        <w:div w:id="343167753">
          <w:marLeft w:val="0"/>
          <w:marRight w:val="0"/>
          <w:marTop w:val="0"/>
          <w:marBottom w:val="0"/>
          <w:divBdr>
            <w:top w:val="none" w:sz="0" w:space="0" w:color="auto"/>
            <w:left w:val="none" w:sz="0" w:space="0" w:color="auto"/>
            <w:bottom w:val="none" w:sz="0" w:space="0" w:color="auto"/>
            <w:right w:val="none" w:sz="0" w:space="0" w:color="auto"/>
          </w:divBdr>
          <w:divsChild>
            <w:div w:id="1932230599">
              <w:marLeft w:val="0"/>
              <w:marRight w:val="0"/>
              <w:marTop w:val="0"/>
              <w:marBottom w:val="0"/>
              <w:divBdr>
                <w:top w:val="none" w:sz="0" w:space="0" w:color="auto"/>
                <w:left w:val="none" w:sz="0" w:space="0" w:color="auto"/>
                <w:bottom w:val="none" w:sz="0" w:space="0" w:color="auto"/>
                <w:right w:val="none" w:sz="0" w:space="0" w:color="auto"/>
              </w:divBdr>
            </w:div>
          </w:divsChild>
        </w:div>
        <w:div w:id="366830078">
          <w:marLeft w:val="0"/>
          <w:marRight w:val="0"/>
          <w:marTop w:val="0"/>
          <w:marBottom w:val="0"/>
          <w:divBdr>
            <w:top w:val="none" w:sz="0" w:space="0" w:color="auto"/>
            <w:left w:val="none" w:sz="0" w:space="0" w:color="auto"/>
            <w:bottom w:val="none" w:sz="0" w:space="0" w:color="auto"/>
            <w:right w:val="none" w:sz="0" w:space="0" w:color="auto"/>
          </w:divBdr>
          <w:divsChild>
            <w:div w:id="369187476">
              <w:marLeft w:val="0"/>
              <w:marRight w:val="0"/>
              <w:marTop w:val="0"/>
              <w:marBottom w:val="0"/>
              <w:divBdr>
                <w:top w:val="none" w:sz="0" w:space="0" w:color="auto"/>
                <w:left w:val="none" w:sz="0" w:space="0" w:color="auto"/>
                <w:bottom w:val="none" w:sz="0" w:space="0" w:color="auto"/>
                <w:right w:val="none" w:sz="0" w:space="0" w:color="auto"/>
              </w:divBdr>
            </w:div>
          </w:divsChild>
        </w:div>
        <w:div w:id="417026229">
          <w:marLeft w:val="0"/>
          <w:marRight w:val="0"/>
          <w:marTop w:val="0"/>
          <w:marBottom w:val="0"/>
          <w:divBdr>
            <w:top w:val="none" w:sz="0" w:space="0" w:color="auto"/>
            <w:left w:val="none" w:sz="0" w:space="0" w:color="auto"/>
            <w:bottom w:val="none" w:sz="0" w:space="0" w:color="auto"/>
            <w:right w:val="none" w:sz="0" w:space="0" w:color="auto"/>
          </w:divBdr>
          <w:divsChild>
            <w:div w:id="1077752956">
              <w:marLeft w:val="0"/>
              <w:marRight w:val="0"/>
              <w:marTop w:val="0"/>
              <w:marBottom w:val="0"/>
              <w:divBdr>
                <w:top w:val="none" w:sz="0" w:space="0" w:color="auto"/>
                <w:left w:val="none" w:sz="0" w:space="0" w:color="auto"/>
                <w:bottom w:val="none" w:sz="0" w:space="0" w:color="auto"/>
                <w:right w:val="none" w:sz="0" w:space="0" w:color="auto"/>
              </w:divBdr>
            </w:div>
          </w:divsChild>
        </w:div>
        <w:div w:id="437456739">
          <w:marLeft w:val="0"/>
          <w:marRight w:val="0"/>
          <w:marTop w:val="0"/>
          <w:marBottom w:val="0"/>
          <w:divBdr>
            <w:top w:val="none" w:sz="0" w:space="0" w:color="auto"/>
            <w:left w:val="none" w:sz="0" w:space="0" w:color="auto"/>
            <w:bottom w:val="none" w:sz="0" w:space="0" w:color="auto"/>
            <w:right w:val="none" w:sz="0" w:space="0" w:color="auto"/>
          </w:divBdr>
          <w:divsChild>
            <w:div w:id="1024133335">
              <w:marLeft w:val="0"/>
              <w:marRight w:val="0"/>
              <w:marTop w:val="0"/>
              <w:marBottom w:val="0"/>
              <w:divBdr>
                <w:top w:val="none" w:sz="0" w:space="0" w:color="auto"/>
                <w:left w:val="none" w:sz="0" w:space="0" w:color="auto"/>
                <w:bottom w:val="none" w:sz="0" w:space="0" w:color="auto"/>
                <w:right w:val="none" w:sz="0" w:space="0" w:color="auto"/>
              </w:divBdr>
            </w:div>
          </w:divsChild>
        </w:div>
        <w:div w:id="472253652">
          <w:marLeft w:val="0"/>
          <w:marRight w:val="0"/>
          <w:marTop w:val="0"/>
          <w:marBottom w:val="0"/>
          <w:divBdr>
            <w:top w:val="none" w:sz="0" w:space="0" w:color="auto"/>
            <w:left w:val="none" w:sz="0" w:space="0" w:color="auto"/>
            <w:bottom w:val="none" w:sz="0" w:space="0" w:color="auto"/>
            <w:right w:val="none" w:sz="0" w:space="0" w:color="auto"/>
          </w:divBdr>
          <w:divsChild>
            <w:div w:id="1299143610">
              <w:marLeft w:val="0"/>
              <w:marRight w:val="0"/>
              <w:marTop w:val="0"/>
              <w:marBottom w:val="0"/>
              <w:divBdr>
                <w:top w:val="none" w:sz="0" w:space="0" w:color="auto"/>
                <w:left w:val="none" w:sz="0" w:space="0" w:color="auto"/>
                <w:bottom w:val="none" w:sz="0" w:space="0" w:color="auto"/>
                <w:right w:val="none" w:sz="0" w:space="0" w:color="auto"/>
              </w:divBdr>
            </w:div>
          </w:divsChild>
        </w:div>
        <w:div w:id="472258064">
          <w:marLeft w:val="0"/>
          <w:marRight w:val="0"/>
          <w:marTop w:val="0"/>
          <w:marBottom w:val="0"/>
          <w:divBdr>
            <w:top w:val="none" w:sz="0" w:space="0" w:color="auto"/>
            <w:left w:val="none" w:sz="0" w:space="0" w:color="auto"/>
            <w:bottom w:val="none" w:sz="0" w:space="0" w:color="auto"/>
            <w:right w:val="none" w:sz="0" w:space="0" w:color="auto"/>
          </w:divBdr>
          <w:divsChild>
            <w:div w:id="1376805952">
              <w:marLeft w:val="0"/>
              <w:marRight w:val="0"/>
              <w:marTop w:val="0"/>
              <w:marBottom w:val="0"/>
              <w:divBdr>
                <w:top w:val="none" w:sz="0" w:space="0" w:color="auto"/>
                <w:left w:val="none" w:sz="0" w:space="0" w:color="auto"/>
                <w:bottom w:val="none" w:sz="0" w:space="0" w:color="auto"/>
                <w:right w:val="none" w:sz="0" w:space="0" w:color="auto"/>
              </w:divBdr>
            </w:div>
          </w:divsChild>
        </w:div>
        <w:div w:id="482620850">
          <w:marLeft w:val="0"/>
          <w:marRight w:val="0"/>
          <w:marTop w:val="0"/>
          <w:marBottom w:val="0"/>
          <w:divBdr>
            <w:top w:val="none" w:sz="0" w:space="0" w:color="auto"/>
            <w:left w:val="none" w:sz="0" w:space="0" w:color="auto"/>
            <w:bottom w:val="none" w:sz="0" w:space="0" w:color="auto"/>
            <w:right w:val="none" w:sz="0" w:space="0" w:color="auto"/>
          </w:divBdr>
          <w:divsChild>
            <w:div w:id="1490899384">
              <w:marLeft w:val="0"/>
              <w:marRight w:val="0"/>
              <w:marTop w:val="0"/>
              <w:marBottom w:val="0"/>
              <w:divBdr>
                <w:top w:val="none" w:sz="0" w:space="0" w:color="auto"/>
                <w:left w:val="none" w:sz="0" w:space="0" w:color="auto"/>
                <w:bottom w:val="none" w:sz="0" w:space="0" w:color="auto"/>
                <w:right w:val="none" w:sz="0" w:space="0" w:color="auto"/>
              </w:divBdr>
            </w:div>
          </w:divsChild>
        </w:div>
        <w:div w:id="492767797">
          <w:marLeft w:val="0"/>
          <w:marRight w:val="0"/>
          <w:marTop w:val="0"/>
          <w:marBottom w:val="0"/>
          <w:divBdr>
            <w:top w:val="none" w:sz="0" w:space="0" w:color="auto"/>
            <w:left w:val="none" w:sz="0" w:space="0" w:color="auto"/>
            <w:bottom w:val="none" w:sz="0" w:space="0" w:color="auto"/>
            <w:right w:val="none" w:sz="0" w:space="0" w:color="auto"/>
          </w:divBdr>
          <w:divsChild>
            <w:div w:id="619992878">
              <w:marLeft w:val="0"/>
              <w:marRight w:val="0"/>
              <w:marTop w:val="0"/>
              <w:marBottom w:val="0"/>
              <w:divBdr>
                <w:top w:val="none" w:sz="0" w:space="0" w:color="auto"/>
                <w:left w:val="none" w:sz="0" w:space="0" w:color="auto"/>
                <w:bottom w:val="none" w:sz="0" w:space="0" w:color="auto"/>
                <w:right w:val="none" w:sz="0" w:space="0" w:color="auto"/>
              </w:divBdr>
            </w:div>
          </w:divsChild>
        </w:div>
        <w:div w:id="544608285">
          <w:marLeft w:val="0"/>
          <w:marRight w:val="0"/>
          <w:marTop w:val="0"/>
          <w:marBottom w:val="0"/>
          <w:divBdr>
            <w:top w:val="none" w:sz="0" w:space="0" w:color="auto"/>
            <w:left w:val="none" w:sz="0" w:space="0" w:color="auto"/>
            <w:bottom w:val="none" w:sz="0" w:space="0" w:color="auto"/>
            <w:right w:val="none" w:sz="0" w:space="0" w:color="auto"/>
          </w:divBdr>
          <w:divsChild>
            <w:div w:id="2044016184">
              <w:marLeft w:val="0"/>
              <w:marRight w:val="0"/>
              <w:marTop w:val="0"/>
              <w:marBottom w:val="0"/>
              <w:divBdr>
                <w:top w:val="none" w:sz="0" w:space="0" w:color="auto"/>
                <w:left w:val="none" w:sz="0" w:space="0" w:color="auto"/>
                <w:bottom w:val="none" w:sz="0" w:space="0" w:color="auto"/>
                <w:right w:val="none" w:sz="0" w:space="0" w:color="auto"/>
              </w:divBdr>
            </w:div>
          </w:divsChild>
        </w:div>
        <w:div w:id="550118077">
          <w:marLeft w:val="0"/>
          <w:marRight w:val="0"/>
          <w:marTop w:val="0"/>
          <w:marBottom w:val="0"/>
          <w:divBdr>
            <w:top w:val="none" w:sz="0" w:space="0" w:color="auto"/>
            <w:left w:val="none" w:sz="0" w:space="0" w:color="auto"/>
            <w:bottom w:val="none" w:sz="0" w:space="0" w:color="auto"/>
            <w:right w:val="none" w:sz="0" w:space="0" w:color="auto"/>
          </w:divBdr>
          <w:divsChild>
            <w:div w:id="783034652">
              <w:marLeft w:val="0"/>
              <w:marRight w:val="0"/>
              <w:marTop w:val="0"/>
              <w:marBottom w:val="0"/>
              <w:divBdr>
                <w:top w:val="none" w:sz="0" w:space="0" w:color="auto"/>
                <w:left w:val="none" w:sz="0" w:space="0" w:color="auto"/>
                <w:bottom w:val="none" w:sz="0" w:space="0" w:color="auto"/>
                <w:right w:val="none" w:sz="0" w:space="0" w:color="auto"/>
              </w:divBdr>
            </w:div>
          </w:divsChild>
        </w:div>
        <w:div w:id="591547581">
          <w:marLeft w:val="0"/>
          <w:marRight w:val="0"/>
          <w:marTop w:val="0"/>
          <w:marBottom w:val="0"/>
          <w:divBdr>
            <w:top w:val="none" w:sz="0" w:space="0" w:color="auto"/>
            <w:left w:val="none" w:sz="0" w:space="0" w:color="auto"/>
            <w:bottom w:val="none" w:sz="0" w:space="0" w:color="auto"/>
            <w:right w:val="none" w:sz="0" w:space="0" w:color="auto"/>
          </w:divBdr>
          <w:divsChild>
            <w:div w:id="2041588550">
              <w:marLeft w:val="0"/>
              <w:marRight w:val="0"/>
              <w:marTop w:val="0"/>
              <w:marBottom w:val="0"/>
              <w:divBdr>
                <w:top w:val="none" w:sz="0" w:space="0" w:color="auto"/>
                <w:left w:val="none" w:sz="0" w:space="0" w:color="auto"/>
                <w:bottom w:val="none" w:sz="0" w:space="0" w:color="auto"/>
                <w:right w:val="none" w:sz="0" w:space="0" w:color="auto"/>
              </w:divBdr>
            </w:div>
          </w:divsChild>
        </w:div>
        <w:div w:id="654530941">
          <w:marLeft w:val="0"/>
          <w:marRight w:val="0"/>
          <w:marTop w:val="0"/>
          <w:marBottom w:val="0"/>
          <w:divBdr>
            <w:top w:val="none" w:sz="0" w:space="0" w:color="auto"/>
            <w:left w:val="none" w:sz="0" w:space="0" w:color="auto"/>
            <w:bottom w:val="none" w:sz="0" w:space="0" w:color="auto"/>
            <w:right w:val="none" w:sz="0" w:space="0" w:color="auto"/>
          </w:divBdr>
          <w:divsChild>
            <w:div w:id="1347554943">
              <w:marLeft w:val="0"/>
              <w:marRight w:val="0"/>
              <w:marTop w:val="0"/>
              <w:marBottom w:val="0"/>
              <w:divBdr>
                <w:top w:val="none" w:sz="0" w:space="0" w:color="auto"/>
                <w:left w:val="none" w:sz="0" w:space="0" w:color="auto"/>
                <w:bottom w:val="none" w:sz="0" w:space="0" w:color="auto"/>
                <w:right w:val="none" w:sz="0" w:space="0" w:color="auto"/>
              </w:divBdr>
            </w:div>
          </w:divsChild>
        </w:div>
        <w:div w:id="655187931">
          <w:marLeft w:val="0"/>
          <w:marRight w:val="0"/>
          <w:marTop w:val="0"/>
          <w:marBottom w:val="0"/>
          <w:divBdr>
            <w:top w:val="none" w:sz="0" w:space="0" w:color="auto"/>
            <w:left w:val="none" w:sz="0" w:space="0" w:color="auto"/>
            <w:bottom w:val="none" w:sz="0" w:space="0" w:color="auto"/>
            <w:right w:val="none" w:sz="0" w:space="0" w:color="auto"/>
          </w:divBdr>
          <w:divsChild>
            <w:div w:id="1735346202">
              <w:marLeft w:val="0"/>
              <w:marRight w:val="0"/>
              <w:marTop w:val="0"/>
              <w:marBottom w:val="0"/>
              <w:divBdr>
                <w:top w:val="none" w:sz="0" w:space="0" w:color="auto"/>
                <w:left w:val="none" w:sz="0" w:space="0" w:color="auto"/>
                <w:bottom w:val="none" w:sz="0" w:space="0" w:color="auto"/>
                <w:right w:val="none" w:sz="0" w:space="0" w:color="auto"/>
              </w:divBdr>
            </w:div>
          </w:divsChild>
        </w:div>
        <w:div w:id="695234977">
          <w:marLeft w:val="0"/>
          <w:marRight w:val="0"/>
          <w:marTop w:val="0"/>
          <w:marBottom w:val="0"/>
          <w:divBdr>
            <w:top w:val="none" w:sz="0" w:space="0" w:color="auto"/>
            <w:left w:val="none" w:sz="0" w:space="0" w:color="auto"/>
            <w:bottom w:val="none" w:sz="0" w:space="0" w:color="auto"/>
            <w:right w:val="none" w:sz="0" w:space="0" w:color="auto"/>
          </w:divBdr>
          <w:divsChild>
            <w:div w:id="1027029324">
              <w:marLeft w:val="0"/>
              <w:marRight w:val="0"/>
              <w:marTop w:val="0"/>
              <w:marBottom w:val="0"/>
              <w:divBdr>
                <w:top w:val="none" w:sz="0" w:space="0" w:color="auto"/>
                <w:left w:val="none" w:sz="0" w:space="0" w:color="auto"/>
                <w:bottom w:val="none" w:sz="0" w:space="0" w:color="auto"/>
                <w:right w:val="none" w:sz="0" w:space="0" w:color="auto"/>
              </w:divBdr>
            </w:div>
          </w:divsChild>
        </w:div>
        <w:div w:id="697388907">
          <w:marLeft w:val="0"/>
          <w:marRight w:val="0"/>
          <w:marTop w:val="0"/>
          <w:marBottom w:val="0"/>
          <w:divBdr>
            <w:top w:val="none" w:sz="0" w:space="0" w:color="auto"/>
            <w:left w:val="none" w:sz="0" w:space="0" w:color="auto"/>
            <w:bottom w:val="none" w:sz="0" w:space="0" w:color="auto"/>
            <w:right w:val="none" w:sz="0" w:space="0" w:color="auto"/>
          </w:divBdr>
          <w:divsChild>
            <w:div w:id="441073199">
              <w:marLeft w:val="0"/>
              <w:marRight w:val="0"/>
              <w:marTop w:val="0"/>
              <w:marBottom w:val="0"/>
              <w:divBdr>
                <w:top w:val="none" w:sz="0" w:space="0" w:color="auto"/>
                <w:left w:val="none" w:sz="0" w:space="0" w:color="auto"/>
                <w:bottom w:val="none" w:sz="0" w:space="0" w:color="auto"/>
                <w:right w:val="none" w:sz="0" w:space="0" w:color="auto"/>
              </w:divBdr>
            </w:div>
          </w:divsChild>
        </w:div>
        <w:div w:id="763457511">
          <w:marLeft w:val="0"/>
          <w:marRight w:val="0"/>
          <w:marTop w:val="0"/>
          <w:marBottom w:val="0"/>
          <w:divBdr>
            <w:top w:val="none" w:sz="0" w:space="0" w:color="auto"/>
            <w:left w:val="none" w:sz="0" w:space="0" w:color="auto"/>
            <w:bottom w:val="none" w:sz="0" w:space="0" w:color="auto"/>
            <w:right w:val="none" w:sz="0" w:space="0" w:color="auto"/>
          </w:divBdr>
          <w:divsChild>
            <w:div w:id="551698808">
              <w:marLeft w:val="0"/>
              <w:marRight w:val="0"/>
              <w:marTop w:val="0"/>
              <w:marBottom w:val="0"/>
              <w:divBdr>
                <w:top w:val="none" w:sz="0" w:space="0" w:color="auto"/>
                <w:left w:val="none" w:sz="0" w:space="0" w:color="auto"/>
                <w:bottom w:val="none" w:sz="0" w:space="0" w:color="auto"/>
                <w:right w:val="none" w:sz="0" w:space="0" w:color="auto"/>
              </w:divBdr>
            </w:div>
          </w:divsChild>
        </w:div>
        <w:div w:id="787893056">
          <w:marLeft w:val="0"/>
          <w:marRight w:val="0"/>
          <w:marTop w:val="0"/>
          <w:marBottom w:val="0"/>
          <w:divBdr>
            <w:top w:val="none" w:sz="0" w:space="0" w:color="auto"/>
            <w:left w:val="none" w:sz="0" w:space="0" w:color="auto"/>
            <w:bottom w:val="none" w:sz="0" w:space="0" w:color="auto"/>
            <w:right w:val="none" w:sz="0" w:space="0" w:color="auto"/>
          </w:divBdr>
          <w:divsChild>
            <w:div w:id="1036078754">
              <w:marLeft w:val="0"/>
              <w:marRight w:val="0"/>
              <w:marTop w:val="0"/>
              <w:marBottom w:val="0"/>
              <w:divBdr>
                <w:top w:val="none" w:sz="0" w:space="0" w:color="auto"/>
                <w:left w:val="none" w:sz="0" w:space="0" w:color="auto"/>
                <w:bottom w:val="none" w:sz="0" w:space="0" w:color="auto"/>
                <w:right w:val="none" w:sz="0" w:space="0" w:color="auto"/>
              </w:divBdr>
            </w:div>
          </w:divsChild>
        </w:div>
        <w:div w:id="795176296">
          <w:marLeft w:val="0"/>
          <w:marRight w:val="0"/>
          <w:marTop w:val="0"/>
          <w:marBottom w:val="0"/>
          <w:divBdr>
            <w:top w:val="none" w:sz="0" w:space="0" w:color="auto"/>
            <w:left w:val="none" w:sz="0" w:space="0" w:color="auto"/>
            <w:bottom w:val="none" w:sz="0" w:space="0" w:color="auto"/>
            <w:right w:val="none" w:sz="0" w:space="0" w:color="auto"/>
          </w:divBdr>
          <w:divsChild>
            <w:div w:id="1107968006">
              <w:marLeft w:val="0"/>
              <w:marRight w:val="0"/>
              <w:marTop w:val="0"/>
              <w:marBottom w:val="0"/>
              <w:divBdr>
                <w:top w:val="none" w:sz="0" w:space="0" w:color="auto"/>
                <w:left w:val="none" w:sz="0" w:space="0" w:color="auto"/>
                <w:bottom w:val="none" w:sz="0" w:space="0" w:color="auto"/>
                <w:right w:val="none" w:sz="0" w:space="0" w:color="auto"/>
              </w:divBdr>
            </w:div>
          </w:divsChild>
        </w:div>
        <w:div w:id="807819550">
          <w:marLeft w:val="0"/>
          <w:marRight w:val="0"/>
          <w:marTop w:val="0"/>
          <w:marBottom w:val="0"/>
          <w:divBdr>
            <w:top w:val="none" w:sz="0" w:space="0" w:color="auto"/>
            <w:left w:val="none" w:sz="0" w:space="0" w:color="auto"/>
            <w:bottom w:val="none" w:sz="0" w:space="0" w:color="auto"/>
            <w:right w:val="none" w:sz="0" w:space="0" w:color="auto"/>
          </w:divBdr>
          <w:divsChild>
            <w:div w:id="1429230269">
              <w:marLeft w:val="0"/>
              <w:marRight w:val="0"/>
              <w:marTop w:val="0"/>
              <w:marBottom w:val="0"/>
              <w:divBdr>
                <w:top w:val="none" w:sz="0" w:space="0" w:color="auto"/>
                <w:left w:val="none" w:sz="0" w:space="0" w:color="auto"/>
                <w:bottom w:val="none" w:sz="0" w:space="0" w:color="auto"/>
                <w:right w:val="none" w:sz="0" w:space="0" w:color="auto"/>
              </w:divBdr>
            </w:div>
          </w:divsChild>
        </w:div>
        <w:div w:id="853763593">
          <w:marLeft w:val="0"/>
          <w:marRight w:val="0"/>
          <w:marTop w:val="0"/>
          <w:marBottom w:val="0"/>
          <w:divBdr>
            <w:top w:val="none" w:sz="0" w:space="0" w:color="auto"/>
            <w:left w:val="none" w:sz="0" w:space="0" w:color="auto"/>
            <w:bottom w:val="none" w:sz="0" w:space="0" w:color="auto"/>
            <w:right w:val="none" w:sz="0" w:space="0" w:color="auto"/>
          </w:divBdr>
          <w:divsChild>
            <w:div w:id="33577881">
              <w:marLeft w:val="0"/>
              <w:marRight w:val="0"/>
              <w:marTop w:val="0"/>
              <w:marBottom w:val="0"/>
              <w:divBdr>
                <w:top w:val="none" w:sz="0" w:space="0" w:color="auto"/>
                <w:left w:val="none" w:sz="0" w:space="0" w:color="auto"/>
                <w:bottom w:val="none" w:sz="0" w:space="0" w:color="auto"/>
                <w:right w:val="none" w:sz="0" w:space="0" w:color="auto"/>
              </w:divBdr>
            </w:div>
          </w:divsChild>
        </w:div>
        <w:div w:id="883297908">
          <w:marLeft w:val="0"/>
          <w:marRight w:val="0"/>
          <w:marTop w:val="0"/>
          <w:marBottom w:val="0"/>
          <w:divBdr>
            <w:top w:val="none" w:sz="0" w:space="0" w:color="auto"/>
            <w:left w:val="none" w:sz="0" w:space="0" w:color="auto"/>
            <w:bottom w:val="none" w:sz="0" w:space="0" w:color="auto"/>
            <w:right w:val="none" w:sz="0" w:space="0" w:color="auto"/>
          </w:divBdr>
          <w:divsChild>
            <w:div w:id="1410424586">
              <w:marLeft w:val="0"/>
              <w:marRight w:val="0"/>
              <w:marTop w:val="0"/>
              <w:marBottom w:val="0"/>
              <w:divBdr>
                <w:top w:val="none" w:sz="0" w:space="0" w:color="auto"/>
                <w:left w:val="none" w:sz="0" w:space="0" w:color="auto"/>
                <w:bottom w:val="none" w:sz="0" w:space="0" w:color="auto"/>
                <w:right w:val="none" w:sz="0" w:space="0" w:color="auto"/>
              </w:divBdr>
            </w:div>
          </w:divsChild>
        </w:div>
        <w:div w:id="884289198">
          <w:marLeft w:val="0"/>
          <w:marRight w:val="0"/>
          <w:marTop w:val="0"/>
          <w:marBottom w:val="0"/>
          <w:divBdr>
            <w:top w:val="none" w:sz="0" w:space="0" w:color="auto"/>
            <w:left w:val="none" w:sz="0" w:space="0" w:color="auto"/>
            <w:bottom w:val="none" w:sz="0" w:space="0" w:color="auto"/>
            <w:right w:val="none" w:sz="0" w:space="0" w:color="auto"/>
          </w:divBdr>
          <w:divsChild>
            <w:div w:id="2057780089">
              <w:marLeft w:val="0"/>
              <w:marRight w:val="0"/>
              <w:marTop w:val="0"/>
              <w:marBottom w:val="0"/>
              <w:divBdr>
                <w:top w:val="none" w:sz="0" w:space="0" w:color="auto"/>
                <w:left w:val="none" w:sz="0" w:space="0" w:color="auto"/>
                <w:bottom w:val="none" w:sz="0" w:space="0" w:color="auto"/>
                <w:right w:val="none" w:sz="0" w:space="0" w:color="auto"/>
              </w:divBdr>
            </w:div>
          </w:divsChild>
        </w:div>
        <w:div w:id="925652532">
          <w:marLeft w:val="0"/>
          <w:marRight w:val="0"/>
          <w:marTop w:val="0"/>
          <w:marBottom w:val="0"/>
          <w:divBdr>
            <w:top w:val="none" w:sz="0" w:space="0" w:color="auto"/>
            <w:left w:val="none" w:sz="0" w:space="0" w:color="auto"/>
            <w:bottom w:val="none" w:sz="0" w:space="0" w:color="auto"/>
            <w:right w:val="none" w:sz="0" w:space="0" w:color="auto"/>
          </w:divBdr>
          <w:divsChild>
            <w:div w:id="1327903265">
              <w:marLeft w:val="0"/>
              <w:marRight w:val="0"/>
              <w:marTop w:val="0"/>
              <w:marBottom w:val="0"/>
              <w:divBdr>
                <w:top w:val="none" w:sz="0" w:space="0" w:color="auto"/>
                <w:left w:val="none" w:sz="0" w:space="0" w:color="auto"/>
                <w:bottom w:val="none" w:sz="0" w:space="0" w:color="auto"/>
                <w:right w:val="none" w:sz="0" w:space="0" w:color="auto"/>
              </w:divBdr>
            </w:div>
          </w:divsChild>
        </w:div>
        <w:div w:id="926692730">
          <w:marLeft w:val="0"/>
          <w:marRight w:val="0"/>
          <w:marTop w:val="0"/>
          <w:marBottom w:val="0"/>
          <w:divBdr>
            <w:top w:val="none" w:sz="0" w:space="0" w:color="auto"/>
            <w:left w:val="none" w:sz="0" w:space="0" w:color="auto"/>
            <w:bottom w:val="none" w:sz="0" w:space="0" w:color="auto"/>
            <w:right w:val="none" w:sz="0" w:space="0" w:color="auto"/>
          </w:divBdr>
          <w:divsChild>
            <w:div w:id="338197951">
              <w:marLeft w:val="0"/>
              <w:marRight w:val="0"/>
              <w:marTop w:val="0"/>
              <w:marBottom w:val="0"/>
              <w:divBdr>
                <w:top w:val="none" w:sz="0" w:space="0" w:color="auto"/>
                <w:left w:val="none" w:sz="0" w:space="0" w:color="auto"/>
                <w:bottom w:val="none" w:sz="0" w:space="0" w:color="auto"/>
                <w:right w:val="none" w:sz="0" w:space="0" w:color="auto"/>
              </w:divBdr>
            </w:div>
          </w:divsChild>
        </w:div>
        <w:div w:id="932056264">
          <w:marLeft w:val="0"/>
          <w:marRight w:val="0"/>
          <w:marTop w:val="0"/>
          <w:marBottom w:val="0"/>
          <w:divBdr>
            <w:top w:val="none" w:sz="0" w:space="0" w:color="auto"/>
            <w:left w:val="none" w:sz="0" w:space="0" w:color="auto"/>
            <w:bottom w:val="none" w:sz="0" w:space="0" w:color="auto"/>
            <w:right w:val="none" w:sz="0" w:space="0" w:color="auto"/>
          </w:divBdr>
          <w:divsChild>
            <w:div w:id="1709526563">
              <w:marLeft w:val="0"/>
              <w:marRight w:val="0"/>
              <w:marTop w:val="0"/>
              <w:marBottom w:val="0"/>
              <w:divBdr>
                <w:top w:val="none" w:sz="0" w:space="0" w:color="auto"/>
                <w:left w:val="none" w:sz="0" w:space="0" w:color="auto"/>
                <w:bottom w:val="none" w:sz="0" w:space="0" w:color="auto"/>
                <w:right w:val="none" w:sz="0" w:space="0" w:color="auto"/>
              </w:divBdr>
            </w:div>
          </w:divsChild>
        </w:div>
        <w:div w:id="948004502">
          <w:marLeft w:val="0"/>
          <w:marRight w:val="0"/>
          <w:marTop w:val="0"/>
          <w:marBottom w:val="0"/>
          <w:divBdr>
            <w:top w:val="none" w:sz="0" w:space="0" w:color="auto"/>
            <w:left w:val="none" w:sz="0" w:space="0" w:color="auto"/>
            <w:bottom w:val="none" w:sz="0" w:space="0" w:color="auto"/>
            <w:right w:val="none" w:sz="0" w:space="0" w:color="auto"/>
          </w:divBdr>
          <w:divsChild>
            <w:div w:id="855466799">
              <w:marLeft w:val="0"/>
              <w:marRight w:val="0"/>
              <w:marTop w:val="0"/>
              <w:marBottom w:val="0"/>
              <w:divBdr>
                <w:top w:val="none" w:sz="0" w:space="0" w:color="auto"/>
                <w:left w:val="none" w:sz="0" w:space="0" w:color="auto"/>
                <w:bottom w:val="none" w:sz="0" w:space="0" w:color="auto"/>
                <w:right w:val="none" w:sz="0" w:space="0" w:color="auto"/>
              </w:divBdr>
            </w:div>
          </w:divsChild>
        </w:div>
        <w:div w:id="975836406">
          <w:marLeft w:val="0"/>
          <w:marRight w:val="0"/>
          <w:marTop w:val="0"/>
          <w:marBottom w:val="0"/>
          <w:divBdr>
            <w:top w:val="none" w:sz="0" w:space="0" w:color="auto"/>
            <w:left w:val="none" w:sz="0" w:space="0" w:color="auto"/>
            <w:bottom w:val="none" w:sz="0" w:space="0" w:color="auto"/>
            <w:right w:val="none" w:sz="0" w:space="0" w:color="auto"/>
          </w:divBdr>
          <w:divsChild>
            <w:div w:id="643586463">
              <w:marLeft w:val="0"/>
              <w:marRight w:val="0"/>
              <w:marTop w:val="0"/>
              <w:marBottom w:val="0"/>
              <w:divBdr>
                <w:top w:val="none" w:sz="0" w:space="0" w:color="auto"/>
                <w:left w:val="none" w:sz="0" w:space="0" w:color="auto"/>
                <w:bottom w:val="none" w:sz="0" w:space="0" w:color="auto"/>
                <w:right w:val="none" w:sz="0" w:space="0" w:color="auto"/>
              </w:divBdr>
            </w:div>
          </w:divsChild>
        </w:div>
        <w:div w:id="1002509200">
          <w:marLeft w:val="0"/>
          <w:marRight w:val="0"/>
          <w:marTop w:val="0"/>
          <w:marBottom w:val="0"/>
          <w:divBdr>
            <w:top w:val="none" w:sz="0" w:space="0" w:color="auto"/>
            <w:left w:val="none" w:sz="0" w:space="0" w:color="auto"/>
            <w:bottom w:val="none" w:sz="0" w:space="0" w:color="auto"/>
            <w:right w:val="none" w:sz="0" w:space="0" w:color="auto"/>
          </w:divBdr>
          <w:divsChild>
            <w:div w:id="1597204225">
              <w:marLeft w:val="0"/>
              <w:marRight w:val="0"/>
              <w:marTop w:val="0"/>
              <w:marBottom w:val="0"/>
              <w:divBdr>
                <w:top w:val="none" w:sz="0" w:space="0" w:color="auto"/>
                <w:left w:val="none" w:sz="0" w:space="0" w:color="auto"/>
                <w:bottom w:val="none" w:sz="0" w:space="0" w:color="auto"/>
                <w:right w:val="none" w:sz="0" w:space="0" w:color="auto"/>
              </w:divBdr>
            </w:div>
          </w:divsChild>
        </w:div>
        <w:div w:id="1009988682">
          <w:marLeft w:val="0"/>
          <w:marRight w:val="0"/>
          <w:marTop w:val="0"/>
          <w:marBottom w:val="0"/>
          <w:divBdr>
            <w:top w:val="none" w:sz="0" w:space="0" w:color="auto"/>
            <w:left w:val="none" w:sz="0" w:space="0" w:color="auto"/>
            <w:bottom w:val="none" w:sz="0" w:space="0" w:color="auto"/>
            <w:right w:val="none" w:sz="0" w:space="0" w:color="auto"/>
          </w:divBdr>
          <w:divsChild>
            <w:div w:id="1673071635">
              <w:marLeft w:val="0"/>
              <w:marRight w:val="0"/>
              <w:marTop w:val="0"/>
              <w:marBottom w:val="0"/>
              <w:divBdr>
                <w:top w:val="none" w:sz="0" w:space="0" w:color="auto"/>
                <w:left w:val="none" w:sz="0" w:space="0" w:color="auto"/>
                <w:bottom w:val="none" w:sz="0" w:space="0" w:color="auto"/>
                <w:right w:val="none" w:sz="0" w:space="0" w:color="auto"/>
              </w:divBdr>
            </w:div>
          </w:divsChild>
        </w:div>
        <w:div w:id="1037773679">
          <w:marLeft w:val="0"/>
          <w:marRight w:val="0"/>
          <w:marTop w:val="0"/>
          <w:marBottom w:val="0"/>
          <w:divBdr>
            <w:top w:val="none" w:sz="0" w:space="0" w:color="auto"/>
            <w:left w:val="none" w:sz="0" w:space="0" w:color="auto"/>
            <w:bottom w:val="none" w:sz="0" w:space="0" w:color="auto"/>
            <w:right w:val="none" w:sz="0" w:space="0" w:color="auto"/>
          </w:divBdr>
          <w:divsChild>
            <w:div w:id="926695587">
              <w:marLeft w:val="0"/>
              <w:marRight w:val="0"/>
              <w:marTop w:val="0"/>
              <w:marBottom w:val="0"/>
              <w:divBdr>
                <w:top w:val="none" w:sz="0" w:space="0" w:color="auto"/>
                <w:left w:val="none" w:sz="0" w:space="0" w:color="auto"/>
                <w:bottom w:val="none" w:sz="0" w:space="0" w:color="auto"/>
                <w:right w:val="none" w:sz="0" w:space="0" w:color="auto"/>
              </w:divBdr>
            </w:div>
          </w:divsChild>
        </w:div>
        <w:div w:id="1071662189">
          <w:marLeft w:val="0"/>
          <w:marRight w:val="0"/>
          <w:marTop w:val="0"/>
          <w:marBottom w:val="0"/>
          <w:divBdr>
            <w:top w:val="none" w:sz="0" w:space="0" w:color="auto"/>
            <w:left w:val="none" w:sz="0" w:space="0" w:color="auto"/>
            <w:bottom w:val="none" w:sz="0" w:space="0" w:color="auto"/>
            <w:right w:val="none" w:sz="0" w:space="0" w:color="auto"/>
          </w:divBdr>
          <w:divsChild>
            <w:div w:id="220288208">
              <w:marLeft w:val="0"/>
              <w:marRight w:val="0"/>
              <w:marTop w:val="0"/>
              <w:marBottom w:val="0"/>
              <w:divBdr>
                <w:top w:val="none" w:sz="0" w:space="0" w:color="auto"/>
                <w:left w:val="none" w:sz="0" w:space="0" w:color="auto"/>
                <w:bottom w:val="none" w:sz="0" w:space="0" w:color="auto"/>
                <w:right w:val="none" w:sz="0" w:space="0" w:color="auto"/>
              </w:divBdr>
            </w:div>
          </w:divsChild>
        </w:div>
        <w:div w:id="1085608540">
          <w:marLeft w:val="0"/>
          <w:marRight w:val="0"/>
          <w:marTop w:val="0"/>
          <w:marBottom w:val="0"/>
          <w:divBdr>
            <w:top w:val="none" w:sz="0" w:space="0" w:color="auto"/>
            <w:left w:val="none" w:sz="0" w:space="0" w:color="auto"/>
            <w:bottom w:val="none" w:sz="0" w:space="0" w:color="auto"/>
            <w:right w:val="none" w:sz="0" w:space="0" w:color="auto"/>
          </w:divBdr>
          <w:divsChild>
            <w:div w:id="895358075">
              <w:marLeft w:val="0"/>
              <w:marRight w:val="0"/>
              <w:marTop w:val="0"/>
              <w:marBottom w:val="0"/>
              <w:divBdr>
                <w:top w:val="none" w:sz="0" w:space="0" w:color="auto"/>
                <w:left w:val="none" w:sz="0" w:space="0" w:color="auto"/>
                <w:bottom w:val="none" w:sz="0" w:space="0" w:color="auto"/>
                <w:right w:val="none" w:sz="0" w:space="0" w:color="auto"/>
              </w:divBdr>
            </w:div>
          </w:divsChild>
        </w:div>
        <w:div w:id="1170680064">
          <w:marLeft w:val="0"/>
          <w:marRight w:val="0"/>
          <w:marTop w:val="0"/>
          <w:marBottom w:val="0"/>
          <w:divBdr>
            <w:top w:val="none" w:sz="0" w:space="0" w:color="auto"/>
            <w:left w:val="none" w:sz="0" w:space="0" w:color="auto"/>
            <w:bottom w:val="none" w:sz="0" w:space="0" w:color="auto"/>
            <w:right w:val="none" w:sz="0" w:space="0" w:color="auto"/>
          </w:divBdr>
          <w:divsChild>
            <w:div w:id="986710251">
              <w:marLeft w:val="0"/>
              <w:marRight w:val="0"/>
              <w:marTop w:val="0"/>
              <w:marBottom w:val="0"/>
              <w:divBdr>
                <w:top w:val="none" w:sz="0" w:space="0" w:color="auto"/>
                <w:left w:val="none" w:sz="0" w:space="0" w:color="auto"/>
                <w:bottom w:val="none" w:sz="0" w:space="0" w:color="auto"/>
                <w:right w:val="none" w:sz="0" w:space="0" w:color="auto"/>
              </w:divBdr>
            </w:div>
          </w:divsChild>
        </w:div>
        <w:div w:id="1177842167">
          <w:marLeft w:val="0"/>
          <w:marRight w:val="0"/>
          <w:marTop w:val="0"/>
          <w:marBottom w:val="0"/>
          <w:divBdr>
            <w:top w:val="none" w:sz="0" w:space="0" w:color="auto"/>
            <w:left w:val="none" w:sz="0" w:space="0" w:color="auto"/>
            <w:bottom w:val="none" w:sz="0" w:space="0" w:color="auto"/>
            <w:right w:val="none" w:sz="0" w:space="0" w:color="auto"/>
          </w:divBdr>
          <w:divsChild>
            <w:div w:id="1714963045">
              <w:marLeft w:val="0"/>
              <w:marRight w:val="0"/>
              <w:marTop w:val="0"/>
              <w:marBottom w:val="0"/>
              <w:divBdr>
                <w:top w:val="none" w:sz="0" w:space="0" w:color="auto"/>
                <w:left w:val="none" w:sz="0" w:space="0" w:color="auto"/>
                <w:bottom w:val="none" w:sz="0" w:space="0" w:color="auto"/>
                <w:right w:val="none" w:sz="0" w:space="0" w:color="auto"/>
              </w:divBdr>
            </w:div>
          </w:divsChild>
        </w:div>
        <w:div w:id="1178691561">
          <w:marLeft w:val="0"/>
          <w:marRight w:val="0"/>
          <w:marTop w:val="0"/>
          <w:marBottom w:val="0"/>
          <w:divBdr>
            <w:top w:val="none" w:sz="0" w:space="0" w:color="auto"/>
            <w:left w:val="none" w:sz="0" w:space="0" w:color="auto"/>
            <w:bottom w:val="none" w:sz="0" w:space="0" w:color="auto"/>
            <w:right w:val="none" w:sz="0" w:space="0" w:color="auto"/>
          </w:divBdr>
          <w:divsChild>
            <w:div w:id="936789929">
              <w:marLeft w:val="0"/>
              <w:marRight w:val="0"/>
              <w:marTop w:val="0"/>
              <w:marBottom w:val="0"/>
              <w:divBdr>
                <w:top w:val="none" w:sz="0" w:space="0" w:color="auto"/>
                <w:left w:val="none" w:sz="0" w:space="0" w:color="auto"/>
                <w:bottom w:val="none" w:sz="0" w:space="0" w:color="auto"/>
                <w:right w:val="none" w:sz="0" w:space="0" w:color="auto"/>
              </w:divBdr>
            </w:div>
          </w:divsChild>
        </w:div>
        <w:div w:id="1246109725">
          <w:marLeft w:val="0"/>
          <w:marRight w:val="0"/>
          <w:marTop w:val="0"/>
          <w:marBottom w:val="0"/>
          <w:divBdr>
            <w:top w:val="none" w:sz="0" w:space="0" w:color="auto"/>
            <w:left w:val="none" w:sz="0" w:space="0" w:color="auto"/>
            <w:bottom w:val="none" w:sz="0" w:space="0" w:color="auto"/>
            <w:right w:val="none" w:sz="0" w:space="0" w:color="auto"/>
          </w:divBdr>
          <w:divsChild>
            <w:div w:id="207256253">
              <w:marLeft w:val="0"/>
              <w:marRight w:val="0"/>
              <w:marTop w:val="0"/>
              <w:marBottom w:val="0"/>
              <w:divBdr>
                <w:top w:val="none" w:sz="0" w:space="0" w:color="auto"/>
                <w:left w:val="none" w:sz="0" w:space="0" w:color="auto"/>
                <w:bottom w:val="none" w:sz="0" w:space="0" w:color="auto"/>
                <w:right w:val="none" w:sz="0" w:space="0" w:color="auto"/>
              </w:divBdr>
            </w:div>
          </w:divsChild>
        </w:div>
        <w:div w:id="1273901203">
          <w:marLeft w:val="0"/>
          <w:marRight w:val="0"/>
          <w:marTop w:val="0"/>
          <w:marBottom w:val="0"/>
          <w:divBdr>
            <w:top w:val="none" w:sz="0" w:space="0" w:color="auto"/>
            <w:left w:val="none" w:sz="0" w:space="0" w:color="auto"/>
            <w:bottom w:val="none" w:sz="0" w:space="0" w:color="auto"/>
            <w:right w:val="none" w:sz="0" w:space="0" w:color="auto"/>
          </w:divBdr>
          <w:divsChild>
            <w:div w:id="162136239">
              <w:marLeft w:val="0"/>
              <w:marRight w:val="0"/>
              <w:marTop w:val="0"/>
              <w:marBottom w:val="0"/>
              <w:divBdr>
                <w:top w:val="none" w:sz="0" w:space="0" w:color="auto"/>
                <w:left w:val="none" w:sz="0" w:space="0" w:color="auto"/>
                <w:bottom w:val="none" w:sz="0" w:space="0" w:color="auto"/>
                <w:right w:val="none" w:sz="0" w:space="0" w:color="auto"/>
              </w:divBdr>
            </w:div>
          </w:divsChild>
        </w:div>
        <w:div w:id="1319190618">
          <w:marLeft w:val="0"/>
          <w:marRight w:val="0"/>
          <w:marTop w:val="0"/>
          <w:marBottom w:val="0"/>
          <w:divBdr>
            <w:top w:val="none" w:sz="0" w:space="0" w:color="auto"/>
            <w:left w:val="none" w:sz="0" w:space="0" w:color="auto"/>
            <w:bottom w:val="none" w:sz="0" w:space="0" w:color="auto"/>
            <w:right w:val="none" w:sz="0" w:space="0" w:color="auto"/>
          </w:divBdr>
          <w:divsChild>
            <w:div w:id="296497721">
              <w:marLeft w:val="0"/>
              <w:marRight w:val="0"/>
              <w:marTop w:val="0"/>
              <w:marBottom w:val="0"/>
              <w:divBdr>
                <w:top w:val="none" w:sz="0" w:space="0" w:color="auto"/>
                <w:left w:val="none" w:sz="0" w:space="0" w:color="auto"/>
                <w:bottom w:val="none" w:sz="0" w:space="0" w:color="auto"/>
                <w:right w:val="none" w:sz="0" w:space="0" w:color="auto"/>
              </w:divBdr>
            </w:div>
          </w:divsChild>
        </w:div>
        <w:div w:id="1394087801">
          <w:marLeft w:val="0"/>
          <w:marRight w:val="0"/>
          <w:marTop w:val="0"/>
          <w:marBottom w:val="0"/>
          <w:divBdr>
            <w:top w:val="none" w:sz="0" w:space="0" w:color="auto"/>
            <w:left w:val="none" w:sz="0" w:space="0" w:color="auto"/>
            <w:bottom w:val="none" w:sz="0" w:space="0" w:color="auto"/>
            <w:right w:val="none" w:sz="0" w:space="0" w:color="auto"/>
          </w:divBdr>
          <w:divsChild>
            <w:div w:id="346370684">
              <w:marLeft w:val="0"/>
              <w:marRight w:val="0"/>
              <w:marTop w:val="0"/>
              <w:marBottom w:val="0"/>
              <w:divBdr>
                <w:top w:val="none" w:sz="0" w:space="0" w:color="auto"/>
                <w:left w:val="none" w:sz="0" w:space="0" w:color="auto"/>
                <w:bottom w:val="none" w:sz="0" w:space="0" w:color="auto"/>
                <w:right w:val="none" w:sz="0" w:space="0" w:color="auto"/>
              </w:divBdr>
            </w:div>
          </w:divsChild>
        </w:div>
        <w:div w:id="1400783337">
          <w:marLeft w:val="0"/>
          <w:marRight w:val="0"/>
          <w:marTop w:val="0"/>
          <w:marBottom w:val="0"/>
          <w:divBdr>
            <w:top w:val="none" w:sz="0" w:space="0" w:color="auto"/>
            <w:left w:val="none" w:sz="0" w:space="0" w:color="auto"/>
            <w:bottom w:val="none" w:sz="0" w:space="0" w:color="auto"/>
            <w:right w:val="none" w:sz="0" w:space="0" w:color="auto"/>
          </w:divBdr>
          <w:divsChild>
            <w:div w:id="1772386541">
              <w:marLeft w:val="0"/>
              <w:marRight w:val="0"/>
              <w:marTop w:val="0"/>
              <w:marBottom w:val="0"/>
              <w:divBdr>
                <w:top w:val="none" w:sz="0" w:space="0" w:color="auto"/>
                <w:left w:val="none" w:sz="0" w:space="0" w:color="auto"/>
                <w:bottom w:val="none" w:sz="0" w:space="0" w:color="auto"/>
                <w:right w:val="none" w:sz="0" w:space="0" w:color="auto"/>
              </w:divBdr>
            </w:div>
          </w:divsChild>
        </w:div>
        <w:div w:id="1415663440">
          <w:marLeft w:val="0"/>
          <w:marRight w:val="0"/>
          <w:marTop w:val="0"/>
          <w:marBottom w:val="0"/>
          <w:divBdr>
            <w:top w:val="none" w:sz="0" w:space="0" w:color="auto"/>
            <w:left w:val="none" w:sz="0" w:space="0" w:color="auto"/>
            <w:bottom w:val="none" w:sz="0" w:space="0" w:color="auto"/>
            <w:right w:val="none" w:sz="0" w:space="0" w:color="auto"/>
          </w:divBdr>
          <w:divsChild>
            <w:div w:id="390347869">
              <w:marLeft w:val="0"/>
              <w:marRight w:val="0"/>
              <w:marTop w:val="0"/>
              <w:marBottom w:val="0"/>
              <w:divBdr>
                <w:top w:val="none" w:sz="0" w:space="0" w:color="auto"/>
                <w:left w:val="none" w:sz="0" w:space="0" w:color="auto"/>
                <w:bottom w:val="none" w:sz="0" w:space="0" w:color="auto"/>
                <w:right w:val="none" w:sz="0" w:space="0" w:color="auto"/>
              </w:divBdr>
            </w:div>
          </w:divsChild>
        </w:div>
        <w:div w:id="1421221927">
          <w:marLeft w:val="0"/>
          <w:marRight w:val="0"/>
          <w:marTop w:val="0"/>
          <w:marBottom w:val="0"/>
          <w:divBdr>
            <w:top w:val="none" w:sz="0" w:space="0" w:color="auto"/>
            <w:left w:val="none" w:sz="0" w:space="0" w:color="auto"/>
            <w:bottom w:val="none" w:sz="0" w:space="0" w:color="auto"/>
            <w:right w:val="none" w:sz="0" w:space="0" w:color="auto"/>
          </w:divBdr>
          <w:divsChild>
            <w:div w:id="1701736401">
              <w:marLeft w:val="0"/>
              <w:marRight w:val="0"/>
              <w:marTop w:val="0"/>
              <w:marBottom w:val="0"/>
              <w:divBdr>
                <w:top w:val="none" w:sz="0" w:space="0" w:color="auto"/>
                <w:left w:val="none" w:sz="0" w:space="0" w:color="auto"/>
                <w:bottom w:val="none" w:sz="0" w:space="0" w:color="auto"/>
                <w:right w:val="none" w:sz="0" w:space="0" w:color="auto"/>
              </w:divBdr>
            </w:div>
          </w:divsChild>
        </w:div>
        <w:div w:id="1450274780">
          <w:marLeft w:val="0"/>
          <w:marRight w:val="0"/>
          <w:marTop w:val="0"/>
          <w:marBottom w:val="0"/>
          <w:divBdr>
            <w:top w:val="none" w:sz="0" w:space="0" w:color="auto"/>
            <w:left w:val="none" w:sz="0" w:space="0" w:color="auto"/>
            <w:bottom w:val="none" w:sz="0" w:space="0" w:color="auto"/>
            <w:right w:val="none" w:sz="0" w:space="0" w:color="auto"/>
          </w:divBdr>
          <w:divsChild>
            <w:div w:id="440103793">
              <w:marLeft w:val="0"/>
              <w:marRight w:val="0"/>
              <w:marTop w:val="0"/>
              <w:marBottom w:val="0"/>
              <w:divBdr>
                <w:top w:val="none" w:sz="0" w:space="0" w:color="auto"/>
                <w:left w:val="none" w:sz="0" w:space="0" w:color="auto"/>
                <w:bottom w:val="none" w:sz="0" w:space="0" w:color="auto"/>
                <w:right w:val="none" w:sz="0" w:space="0" w:color="auto"/>
              </w:divBdr>
            </w:div>
          </w:divsChild>
        </w:div>
        <w:div w:id="1503935932">
          <w:marLeft w:val="0"/>
          <w:marRight w:val="0"/>
          <w:marTop w:val="0"/>
          <w:marBottom w:val="0"/>
          <w:divBdr>
            <w:top w:val="none" w:sz="0" w:space="0" w:color="auto"/>
            <w:left w:val="none" w:sz="0" w:space="0" w:color="auto"/>
            <w:bottom w:val="none" w:sz="0" w:space="0" w:color="auto"/>
            <w:right w:val="none" w:sz="0" w:space="0" w:color="auto"/>
          </w:divBdr>
          <w:divsChild>
            <w:div w:id="1298414218">
              <w:marLeft w:val="0"/>
              <w:marRight w:val="0"/>
              <w:marTop w:val="0"/>
              <w:marBottom w:val="0"/>
              <w:divBdr>
                <w:top w:val="none" w:sz="0" w:space="0" w:color="auto"/>
                <w:left w:val="none" w:sz="0" w:space="0" w:color="auto"/>
                <w:bottom w:val="none" w:sz="0" w:space="0" w:color="auto"/>
                <w:right w:val="none" w:sz="0" w:space="0" w:color="auto"/>
              </w:divBdr>
            </w:div>
          </w:divsChild>
        </w:div>
        <w:div w:id="1520192069">
          <w:marLeft w:val="0"/>
          <w:marRight w:val="0"/>
          <w:marTop w:val="0"/>
          <w:marBottom w:val="0"/>
          <w:divBdr>
            <w:top w:val="none" w:sz="0" w:space="0" w:color="auto"/>
            <w:left w:val="none" w:sz="0" w:space="0" w:color="auto"/>
            <w:bottom w:val="none" w:sz="0" w:space="0" w:color="auto"/>
            <w:right w:val="none" w:sz="0" w:space="0" w:color="auto"/>
          </w:divBdr>
          <w:divsChild>
            <w:div w:id="920916248">
              <w:marLeft w:val="0"/>
              <w:marRight w:val="0"/>
              <w:marTop w:val="0"/>
              <w:marBottom w:val="0"/>
              <w:divBdr>
                <w:top w:val="none" w:sz="0" w:space="0" w:color="auto"/>
                <w:left w:val="none" w:sz="0" w:space="0" w:color="auto"/>
                <w:bottom w:val="none" w:sz="0" w:space="0" w:color="auto"/>
                <w:right w:val="none" w:sz="0" w:space="0" w:color="auto"/>
              </w:divBdr>
            </w:div>
          </w:divsChild>
        </w:div>
        <w:div w:id="1521358282">
          <w:marLeft w:val="0"/>
          <w:marRight w:val="0"/>
          <w:marTop w:val="0"/>
          <w:marBottom w:val="0"/>
          <w:divBdr>
            <w:top w:val="none" w:sz="0" w:space="0" w:color="auto"/>
            <w:left w:val="none" w:sz="0" w:space="0" w:color="auto"/>
            <w:bottom w:val="none" w:sz="0" w:space="0" w:color="auto"/>
            <w:right w:val="none" w:sz="0" w:space="0" w:color="auto"/>
          </w:divBdr>
          <w:divsChild>
            <w:div w:id="1899238851">
              <w:marLeft w:val="0"/>
              <w:marRight w:val="0"/>
              <w:marTop w:val="0"/>
              <w:marBottom w:val="0"/>
              <w:divBdr>
                <w:top w:val="none" w:sz="0" w:space="0" w:color="auto"/>
                <w:left w:val="none" w:sz="0" w:space="0" w:color="auto"/>
                <w:bottom w:val="none" w:sz="0" w:space="0" w:color="auto"/>
                <w:right w:val="none" w:sz="0" w:space="0" w:color="auto"/>
              </w:divBdr>
            </w:div>
          </w:divsChild>
        </w:div>
        <w:div w:id="1557542182">
          <w:marLeft w:val="0"/>
          <w:marRight w:val="0"/>
          <w:marTop w:val="0"/>
          <w:marBottom w:val="0"/>
          <w:divBdr>
            <w:top w:val="none" w:sz="0" w:space="0" w:color="auto"/>
            <w:left w:val="none" w:sz="0" w:space="0" w:color="auto"/>
            <w:bottom w:val="none" w:sz="0" w:space="0" w:color="auto"/>
            <w:right w:val="none" w:sz="0" w:space="0" w:color="auto"/>
          </w:divBdr>
          <w:divsChild>
            <w:div w:id="1981884471">
              <w:marLeft w:val="0"/>
              <w:marRight w:val="0"/>
              <w:marTop w:val="0"/>
              <w:marBottom w:val="0"/>
              <w:divBdr>
                <w:top w:val="none" w:sz="0" w:space="0" w:color="auto"/>
                <w:left w:val="none" w:sz="0" w:space="0" w:color="auto"/>
                <w:bottom w:val="none" w:sz="0" w:space="0" w:color="auto"/>
                <w:right w:val="none" w:sz="0" w:space="0" w:color="auto"/>
              </w:divBdr>
            </w:div>
          </w:divsChild>
        </w:div>
        <w:div w:id="1569487671">
          <w:marLeft w:val="0"/>
          <w:marRight w:val="0"/>
          <w:marTop w:val="0"/>
          <w:marBottom w:val="0"/>
          <w:divBdr>
            <w:top w:val="none" w:sz="0" w:space="0" w:color="auto"/>
            <w:left w:val="none" w:sz="0" w:space="0" w:color="auto"/>
            <w:bottom w:val="none" w:sz="0" w:space="0" w:color="auto"/>
            <w:right w:val="none" w:sz="0" w:space="0" w:color="auto"/>
          </w:divBdr>
          <w:divsChild>
            <w:div w:id="216475156">
              <w:marLeft w:val="0"/>
              <w:marRight w:val="0"/>
              <w:marTop w:val="0"/>
              <w:marBottom w:val="0"/>
              <w:divBdr>
                <w:top w:val="none" w:sz="0" w:space="0" w:color="auto"/>
                <w:left w:val="none" w:sz="0" w:space="0" w:color="auto"/>
                <w:bottom w:val="none" w:sz="0" w:space="0" w:color="auto"/>
                <w:right w:val="none" w:sz="0" w:space="0" w:color="auto"/>
              </w:divBdr>
            </w:div>
          </w:divsChild>
        </w:div>
        <w:div w:id="1638948834">
          <w:marLeft w:val="0"/>
          <w:marRight w:val="0"/>
          <w:marTop w:val="0"/>
          <w:marBottom w:val="0"/>
          <w:divBdr>
            <w:top w:val="none" w:sz="0" w:space="0" w:color="auto"/>
            <w:left w:val="none" w:sz="0" w:space="0" w:color="auto"/>
            <w:bottom w:val="none" w:sz="0" w:space="0" w:color="auto"/>
            <w:right w:val="none" w:sz="0" w:space="0" w:color="auto"/>
          </w:divBdr>
          <w:divsChild>
            <w:div w:id="1935435572">
              <w:marLeft w:val="0"/>
              <w:marRight w:val="0"/>
              <w:marTop w:val="0"/>
              <w:marBottom w:val="0"/>
              <w:divBdr>
                <w:top w:val="none" w:sz="0" w:space="0" w:color="auto"/>
                <w:left w:val="none" w:sz="0" w:space="0" w:color="auto"/>
                <w:bottom w:val="none" w:sz="0" w:space="0" w:color="auto"/>
                <w:right w:val="none" w:sz="0" w:space="0" w:color="auto"/>
              </w:divBdr>
            </w:div>
          </w:divsChild>
        </w:div>
        <w:div w:id="1695376348">
          <w:marLeft w:val="0"/>
          <w:marRight w:val="0"/>
          <w:marTop w:val="0"/>
          <w:marBottom w:val="0"/>
          <w:divBdr>
            <w:top w:val="none" w:sz="0" w:space="0" w:color="auto"/>
            <w:left w:val="none" w:sz="0" w:space="0" w:color="auto"/>
            <w:bottom w:val="none" w:sz="0" w:space="0" w:color="auto"/>
            <w:right w:val="none" w:sz="0" w:space="0" w:color="auto"/>
          </w:divBdr>
          <w:divsChild>
            <w:div w:id="981888764">
              <w:marLeft w:val="0"/>
              <w:marRight w:val="0"/>
              <w:marTop w:val="0"/>
              <w:marBottom w:val="0"/>
              <w:divBdr>
                <w:top w:val="none" w:sz="0" w:space="0" w:color="auto"/>
                <w:left w:val="none" w:sz="0" w:space="0" w:color="auto"/>
                <w:bottom w:val="none" w:sz="0" w:space="0" w:color="auto"/>
                <w:right w:val="none" w:sz="0" w:space="0" w:color="auto"/>
              </w:divBdr>
            </w:div>
          </w:divsChild>
        </w:div>
        <w:div w:id="1696811763">
          <w:marLeft w:val="0"/>
          <w:marRight w:val="0"/>
          <w:marTop w:val="0"/>
          <w:marBottom w:val="0"/>
          <w:divBdr>
            <w:top w:val="none" w:sz="0" w:space="0" w:color="auto"/>
            <w:left w:val="none" w:sz="0" w:space="0" w:color="auto"/>
            <w:bottom w:val="none" w:sz="0" w:space="0" w:color="auto"/>
            <w:right w:val="none" w:sz="0" w:space="0" w:color="auto"/>
          </w:divBdr>
          <w:divsChild>
            <w:div w:id="616567862">
              <w:marLeft w:val="0"/>
              <w:marRight w:val="0"/>
              <w:marTop w:val="0"/>
              <w:marBottom w:val="0"/>
              <w:divBdr>
                <w:top w:val="none" w:sz="0" w:space="0" w:color="auto"/>
                <w:left w:val="none" w:sz="0" w:space="0" w:color="auto"/>
                <w:bottom w:val="none" w:sz="0" w:space="0" w:color="auto"/>
                <w:right w:val="none" w:sz="0" w:space="0" w:color="auto"/>
              </w:divBdr>
            </w:div>
          </w:divsChild>
        </w:div>
        <w:div w:id="1749493906">
          <w:marLeft w:val="0"/>
          <w:marRight w:val="0"/>
          <w:marTop w:val="0"/>
          <w:marBottom w:val="0"/>
          <w:divBdr>
            <w:top w:val="none" w:sz="0" w:space="0" w:color="auto"/>
            <w:left w:val="none" w:sz="0" w:space="0" w:color="auto"/>
            <w:bottom w:val="none" w:sz="0" w:space="0" w:color="auto"/>
            <w:right w:val="none" w:sz="0" w:space="0" w:color="auto"/>
          </w:divBdr>
          <w:divsChild>
            <w:div w:id="1654286723">
              <w:marLeft w:val="0"/>
              <w:marRight w:val="0"/>
              <w:marTop w:val="0"/>
              <w:marBottom w:val="0"/>
              <w:divBdr>
                <w:top w:val="none" w:sz="0" w:space="0" w:color="auto"/>
                <w:left w:val="none" w:sz="0" w:space="0" w:color="auto"/>
                <w:bottom w:val="none" w:sz="0" w:space="0" w:color="auto"/>
                <w:right w:val="none" w:sz="0" w:space="0" w:color="auto"/>
              </w:divBdr>
            </w:div>
          </w:divsChild>
        </w:div>
        <w:div w:id="1790852506">
          <w:marLeft w:val="0"/>
          <w:marRight w:val="0"/>
          <w:marTop w:val="0"/>
          <w:marBottom w:val="0"/>
          <w:divBdr>
            <w:top w:val="none" w:sz="0" w:space="0" w:color="auto"/>
            <w:left w:val="none" w:sz="0" w:space="0" w:color="auto"/>
            <w:bottom w:val="none" w:sz="0" w:space="0" w:color="auto"/>
            <w:right w:val="none" w:sz="0" w:space="0" w:color="auto"/>
          </w:divBdr>
          <w:divsChild>
            <w:div w:id="1771270598">
              <w:marLeft w:val="0"/>
              <w:marRight w:val="0"/>
              <w:marTop w:val="0"/>
              <w:marBottom w:val="0"/>
              <w:divBdr>
                <w:top w:val="none" w:sz="0" w:space="0" w:color="auto"/>
                <w:left w:val="none" w:sz="0" w:space="0" w:color="auto"/>
                <w:bottom w:val="none" w:sz="0" w:space="0" w:color="auto"/>
                <w:right w:val="none" w:sz="0" w:space="0" w:color="auto"/>
              </w:divBdr>
            </w:div>
          </w:divsChild>
        </w:div>
        <w:div w:id="1814331266">
          <w:marLeft w:val="0"/>
          <w:marRight w:val="0"/>
          <w:marTop w:val="0"/>
          <w:marBottom w:val="0"/>
          <w:divBdr>
            <w:top w:val="none" w:sz="0" w:space="0" w:color="auto"/>
            <w:left w:val="none" w:sz="0" w:space="0" w:color="auto"/>
            <w:bottom w:val="none" w:sz="0" w:space="0" w:color="auto"/>
            <w:right w:val="none" w:sz="0" w:space="0" w:color="auto"/>
          </w:divBdr>
          <w:divsChild>
            <w:div w:id="75245447">
              <w:marLeft w:val="0"/>
              <w:marRight w:val="0"/>
              <w:marTop w:val="0"/>
              <w:marBottom w:val="0"/>
              <w:divBdr>
                <w:top w:val="none" w:sz="0" w:space="0" w:color="auto"/>
                <w:left w:val="none" w:sz="0" w:space="0" w:color="auto"/>
                <w:bottom w:val="none" w:sz="0" w:space="0" w:color="auto"/>
                <w:right w:val="none" w:sz="0" w:space="0" w:color="auto"/>
              </w:divBdr>
            </w:div>
          </w:divsChild>
        </w:div>
        <w:div w:id="1845899616">
          <w:marLeft w:val="0"/>
          <w:marRight w:val="0"/>
          <w:marTop w:val="0"/>
          <w:marBottom w:val="0"/>
          <w:divBdr>
            <w:top w:val="none" w:sz="0" w:space="0" w:color="auto"/>
            <w:left w:val="none" w:sz="0" w:space="0" w:color="auto"/>
            <w:bottom w:val="none" w:sz="0" w:space="0" w:color="auto"/>
            <w:right w:val="none" w:sz="0" w:space="0" w:color="auto"/>
          </w:divBdr>
          <w:divsChild>
            <w:div w:id="2078937816">
              <w:marLeft w:val="0"/>
              <w:marRight w:val="0"/>
              <w:marTop w:val="0"/>
              <w:marBottom w:val="0"/>
              <w:divBdr>
                <w:top w:val="none" w:sz="0" w:space="0" w:color="auto"/>
                <w:left w:val="none" w:sz="0" w:space="0" w:color="auto"/>
                <w:bottom w:val="none" w:sz="0" w:space="0" w:color="auto"/>
                <w:right w:val="none" w:sz="0" w:space="0" w:color="auto"/>
              </w:divBdr>
            </w:div>
          </w:divsChild>
        </w:div>
        <w:div w:id="1863472917">
          <w:marLeft w:val="0"/>
          <w:marRight w:val="0"/>
          <w:marTop w:val="0"/>
          <w:marBottom w:val="0"/>
          <w:divBdr>
            <w:top w:val="none" w:sz="0" w:space="0" w:color="auto"/>
            <w:left w:val="none" w:sz="0" w:space="0" w:color="auto"/>
            <w:bottom w:val="none" w:sz="0" w:space="0" w:color="auto"/>
            <w:right w:val="none" w:sz="0" w:space="0" w:color="auto"/>
          </w:divBdr>
          <w:divsChild>
            <w:div w:id="1352956349">
              <w:marLeft w:val="0"/>
              <w:marRight w:val="0"/>
              <w:marTop w:val="0"/>
              <w:marBottom w:val="0"/>
              <w:divBdr>
                <w:top w:val="none" w:sz="0" w:space="0" w:color="auto"/>
                <w:left w:val="none" w:sz="0" w:space="0" w:color="auto"/>
                <w:bottom w:val="none" w:sz="0" w:space="0" w:color="auto"/>
                <w:right w:val="none" w:sz="0" w:space="0" w:color="auto"/>
              </w:divBdr>
            </w:div>
          </w:divsChild>
        </w:div>
        <w:div w:id="1954164487">
          <w:marLeft w:val="0"/>
          <w:marRight w:val="0"/>
          <w:marTop w:val="0"/>
          <w:marBottom w:val="0"/>
          <w:divBdr>
            <w:top w:val="none" w:sz="0" w:space="0" w:color="auto"/>
            <w:left w:val="none" w:sz="0" w:space="0" w:color="auto"/>
            <w:bottom w:val="none" w:sz="0" w:space="0" w:color="auto"/>
            <w:right w:val="none" w:sz="0" w:space="0" w:color="auto"/>
          </w:divBdr>
          <w:divsChild>
            <w:div w:id="1487164532">
              <w:marLeft w:val="0"/>
              <w:marRight w:val="0"/>
              <w:marTop w:val="0"/>
              <w:marBottom w:val="0"/>
              <w:divBdr>
                <w:top w:val="none" w:sz="0" w:space="0" w:color="auto"/>
                <w:left w:val="none" w:sz="0" w:space="0" w:color="auto"/>
                <w:bottom w:val="none" w:sz="0" w:space="0" w:color="auto"/>
                <w:right w:val="none" w:sz="0" w:space="0" w:color="auto"/>
              </w:divBdr>
            </w:div>
          </w:divsChild>
        </w:div>
        <w:div w:id="2009866333">
          <w:marLeft w:val="0"/>
          <w:marRight w:val="0"/>
          <w:marTop w:val="0"/>
          <w:marBottom w:val="0"/>
          <w:divBdr>
            <w:top w:val="none" w:sz="0" w:space="0" w:color="auto"/>
            <w:left w:val="none" w:sz="0" w:space="0" w:color="auto"/>
            <w:bottom w:val="none" w:sz="0" w:space="0" w:color="auto"/>
            <w:right w:val="none" w:sz="0" w:space="0" w:color="auto"/>
          </w:divBdr>
          <w:divsChild>
            <w:div w:id="1358115730">
              <w:marLeft w:val="0"/>
              <w:marRight w:val="0"/>
              <w:marTop w:val="0"/>
              <w:marBottom w:val="0"/>
              <w:divBdr>
                <w:top w:val="none" w:sz="0" w:space="0" w:color="auto"/>
                <w:left w:val="none" w:sz="0" w:space="0" w:color="auto"/>
                <w:bottom w:val="none" w:sz="0" w:space="0" w:color="auto"/>
                <w:right w:val="none" w:sz="0" w:space="0" w:color="auto"/>
              </w:divBdr>
            </w:div>
          </w:divsChild>
        </w:div>
        <w:div w:id="2038388638">
          <w:marLeft w:val="0"/>
          <w:marRight w:val="0"/>
          <w:marTop w:val="0"/>
          <w:marBottom w:val="0"/>
          <w:divBdr>
            <w:top w:val="none" w:sz="0" w:space="0" w:color="auto"/>
            <w:left w:val="none" w:sz="0" w:space="0" w:color="auto"/>
            <w:bottom w:val="none" w:sz="0" w:space="0" w:color="auto"/>
            <w:right w:val="none" w:sz="0" w:space="0" w:color="auto"/>
          </w:divBdr>
          <w:divsChild>
            <w:div w:id="436602463">
              <w:marLeft w:val="0"/>
              <w:marRight w:val="0"/>
              <w:marTop w:val="0"/>
              <w:marBottom w:val="0"/>
              <w:divBdr>
                <w:top w:val="none" w:sz="0" w:space="0" w:color="auto"/>
                <w:left w:val="none" w:sz="0" w:space="0" w:color="auto"/>
                <w:bottom w:val="none" w:sz="0" w:space="0" w:color="auto"/>
                <w:right w:val="none" w:sz="0" w:space="0" w:color="auto"/>
              </w:divBdr>
            </w:div>
          </w:divsChild>
        </w:div>
        <w:div w:id="2042515664">
          <w:marLeft w:val="0"/>
          <w:marRight w:val="0"/>
          <w:marTop w:val="0"/>
          <w:marBottom w:val="0"/>
          <w:divBdr>
            <w:top w:val="none" w:sz="0" w:space="0" w:color="auto"/>
            <w:left w:val="none" w:sz="0" w:space="0" w:color="auto"/>
            <w:bottom w:val="none" w:sz="0" w:space="0" w:color="auto"/>
            <w:right w:val="none" w:sz="0" w:space="0" w:color="auto"/>
          </w:divBdr>
          <w:divsChild>
            <w:div w:id="429399062">
              <w:marLeft w:val="0"/>
              <w:marRight w:val="0"/>
              <w:marTop w:val="0"/>
              <w:marBottom w:val="0"/>
              <w:divBdr>
                <w:top w:val="none" w:sz="0" w:space="0" w:color="auto"/>
                <w:left w:val="none" w:sz="0" w:space="0" w:color="auto"/>
                <w:bottom w:val="none" w:sz="0" w:space="0" w:color="auto"/>
                <w:right w:val="none" w:sz="0" w:space="0" w:color="auto"/>
              </w:divBdr>
            </w:div>
          </w:divsChild>
        </w:div>
        <w:div w:id="2103141459">
          <w:marLeft w:val="0"/>
          <w:marRight w:val="0"/>
          <w:marTop w:val="0"/>
          <w:marBottom w:val="0"/>
          <w:divBdr>
            <w:top w:val="none" w:sz="0" w:space="0" w:color="auto"/>
            <w:left w:val="none" w:sz="0" w:space="0" w:color="auto"/>
            <w:bottom w:val="none" w:sz="0" w:space="0" w:color="auto"/>
            <w:right w:val="none" w:sz="0" w:space="0" w:color="auto"/>
          </w:divBdr>
          <w:divsChild>
            <w:div w:id="1474367272">
              <w:marLeft w:val="0"/>
              <w:marRight w:val="0"/>
              <w:marTop w:val="0"/>
              <w:marBottom w:val="0"/>
              <w:divBdr>
                <w:top w:val="none" w:sz="0" w:space="0" w:color="auto"/>
                <w:left w:val="none" w:sz="0" w:space="0" w:color="auto"/>
                <w:bottom w:val="none" w:sz="0" w:space="0" w:color="auto"/>
                <w:right w:val="none" w:sz="0" w:space="0" w:color="auto"/>
              </w:divBdr>
            </w:div>
          </w:divsChild>
        </w:div>
        <w:div w:id="2142574487">
          <w:marLeft w:val="0"/>
          <w:marRight w:val="0"/>
          <w:marTop w:val="0"/>
          <w:marBottom w:val="0"/>
          <w:divBdr>
            <w:top w:val="none" w:sz="0" w:space="0" w:color="auto"/>
            <w:left w:val="none" w:sz="0" w:space="0" w:color="auto"/>
            <w:bottom w:val="none" w:sz="0" w:space="0" w:color="auto"/>
            <w:right w:val="none" w:sz="0" w:space="0" w:color="auto"/>
          </w:divBdr>
          <w:divsChild>
            <w:div w:id="292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69590">
      <w:bodyDiv w:val="1"/>
      <w:marLeft w:val="0"/>
      <w:marRight w:val="0"/>
      <w:marTop w:val="0"/>
      <w:marBottom w:val="0"/>
      <w:divBdr>
        <w:top w:val="none" w:sz="0" w:space="0" w:color="auto"/>
        <w:left w:val="none" w:sz="0" w:space="0" w:color="auto"/>
        <w:bottom w:val="none" w:sz="0" w:space="0" w:color="auto"/>
        <w:right w:val="none" w:sz="0" w:space="0" w:color="auto"/>
      </w:divBdr>
    </w:div>
    <w:div w:id="2050952938">
      <w:bodyDiv w:val="1"/>
      <w:marLeft w:val="0"/>
      <w:marRight w:val="0"/>
      <w:marTop w:val="0"/>
      <w:marBottom w:val="0"/>
      <w:divBdr>
        <w:top w:val="none" w:sz="0" w:space="0" w:color="auto"/>
        <w:left w:val="none" w:sz="0" w:space="0" w:color="auto"/>
        <w:bottom w:val="none" w:sz="0" w:space="0" w:color="auto"/>
        <w:right w:val="none" w:sz="0" w:space="0" w:color="auto"/>
      </w:divBdr>
    </w:div>
    <w:div w:id="2052458007">
      <w:bodyDiv w:val="1"/>
      <w:marLeft w:val="0"/>
      <w:marRight w:val="0"/>
      <w:marTop w:val="0"/>
      <w:marBottom w:val="0"/>
      <w:divBdr>
        <w:top w:val="none" w:sz="0" w:space="0" w:color="auto"/>
        <w:left w:val="none" w:sz="0" w:space="0" w:color="auto"/>
        <w:bottom w:val="none" w:sz="0" w:space="0" w:color="auto"/>
        <w:right w:val="none" w:sz="0" w:space="0" w:color="auto"/>
      </w:divBdr>
    </w:div>
    <w:div w:id="2056269722">
      <w:bodyDiv w:val="1"/>
      <w:marLeft w:val="0"/>
      <w:marRight w:val="0"/>
      <w:marTop w:val="0"/>
      <w:marBottom w:val="0"/>
      <w:divBdr>
        <w:top w:val="none" w:sz="0" w:space="0" w:color="auto"/>
        <w:left w:val="none" w:sz="0" w:space="0" w:color="auto"/>
        <w:bottom w:val="none" w:sz="0" w:space="0" w:color="auto"/>
        <w:right w:val="none" w:sz="0" w:space="0" w:color="auto"/>
      </w:divBdr>
    </w:div>
    <w:div w:id="2056541302">
      <w:bodyDiv w:val="1"/>
      <w:marLeft w:val="0"/>
      <w:marRight w:val="0"/>
      <w:marTop w:val="0"/>
      <w:marBottom w:val="0"/>
      <w:divBdr>
        <w:top w:val="none" w:sz="0" w:space="0" w:color="auto"/>
        <w:left w:val="none" w:sz="0" w:space="0" w:color="auto"/>
        <w:bottom w:val="none" w:sz="0" w:space="0" w:color="auto"/>
        <w:right w:val="none" w:sz="0" w:space="0" w:color="auto"/>
      </w:divBdr>
    </w:div>
    <w:div w:id="2060156410">
      <w:bodyDiv w:val="1"/>
      <w:marLeft w:val="0"/>
      <w:marRight w:val="0"/>
      <w:marTop w:val="0"/>
      <w:marBottom w:val="0"/>
      <w:divBdr>
        <w:top w:val="none" w:sz="0" w:space="0" w:color="auto"/>
        <w:left w:val="none" w:sz="0" w:space="0" w:color="auto"/>
        <w:bottom w:val="none" w:sz="0" w:space="0" w:color="auto"/>
        <w:right w:val="none" w:sz="0" w:space="0" w:color="auto"/>
      </w:divBdr>
    </w:div>
    <w:div w:id="2063866291">
      <w:bodyDiv w:val="1"/>
      <w:marLeft w:val="0"/>
      <w:marRight w:val="0"/>
      <w:marTop w:val="0"/>
      <w:marBottom w:val="0"/>
      <w:divBdr>
        <w:top w:val="none" w:sz="0" w:space="0" w:color="auto"/>
        <w:left w:val="none" w:sz="0" w:space="0" w:color="auto"/>
        <w:bottom w:val="none" w:sz="0" w:space="0" w:color="auto"/>
        <w:right w:val="none" w:sz="0" w:space="0" w:color="auto"/>
      </w:divBdr>
    </w:div>
    <w:div w:id="2065984610">
      <w:bodyDiv w:val="1"/>
      <w:marLeft w:val="0"/>
      <w:marRight w:val="0"/>
      <w:marTop w:val="0"/>
      <w:marBottom w:val="0"/>
      <w:divBdr>
        <w:top w:val="none" w:sz="0" w:space="0" w:color="auto"/>
        <w:left w:val="none" w:sz="0" w:space="0" w:color="auto"/>
        <w:bottom w:val="none" w:sz="0" w:space="0" w:color="auto"/>
        <w:right w:val="none" w:sz="0" w:space="0" w:color="auto"/>
      </w:divBdr>
      <w:divsChild>
        <w:div w:id="568156981">
          <w:marLeft w:val="0"/>
          <w:marRight w:val="0"/>
          <w:marTop w:val="0"/>
          <w:marBottom w:val="0"/>
          <w:divBdr>
            <w:top w:val="none" w:sz="0" w:space="0" w:color="auto"/>
            <w:left w:val="none" w:sz="0" w:space="0" w:color="auto"/>
            <w:bottom w:val="none" w:sz="0" w:space="0" w:color="auto"/>
            <w:right w:val="none" w:sz="0" w:space="0" w:color="auto"/>
          </w:divBdr>
          <w:divsChild>
            <w:div w:id="1943804877">
              <w:marLeft w:val="0"/>
              <w:marRight w:val="0"/>
              <w:marTop w:val="0"/>
              <w:marBottom w:val="0"/>
              <w:divBdr>
                <w:top w:val="none" w:sz="0" w:space="0" w:color="auto"/>
                <w:left w:val="none" w:sz="0" w:space="0" w:color="auto"/>
                <w:bottom w:val="none" w:sz="0" w:space="0" w:color="auto"/>
                <w:right w:val="none" w:sz="0" w:space="0" w:color="auto"/>
              </w:divBdr>
              <w:divsChild>
                <w:div w:id="1743679379">
                  <w:marLeft w:val="0"/>
                  <w:marRight w:val="0"/>
                  <w:marTop w:val="0"/>
                  <w:marBottom w:val="0"/>
                  <w:divBdr>
                    <w:top w:val="none" w:sz="0" w:space="0" w:color="auto"/>
                    <w:left w:val="none" w:sz="0" w:space="0" w:color="auto"/>
                    <w:bottom w:val="none" w:sz="0" w:space="0" w:color="auto"/>
                    <w:right w:val="none" w:sz="0" w:space="0" w:color="auto"/>
                  </w:divBdr>
                  <w:divsChild>
                    <w:div w:id="12257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464172">
      <w:bodyDiv w:val="1"/>
      <w:marLeft w:val="0"/>
      <w:marRight w:val="0"/>
      <w:marTop w:val="0"/>
      <w:marBottom w:val="0"/>
      <w:divBdr>
        <w:top w:val="none" w:sz="0" w:space="0" w:color="auto"/>
        <w:left w:val="none" w:sz="0" w:space="0" w:color="auto"/>
        <w:bottom w:val="none" w:sz="0" w:space="0" w:color="auto"/>
        <w:right w:val="none" w:sz="0" w:space="0" w:color="auto"/>
      </w:divBdr>
    </w:div>
    <w:div w:id="2081823900">
      <w:bodyDiv w:val="1"/>
      <w:marLeft w:val="0"/>
      <w:marRight w:val="0"/>
      <w:marTop w:val="0"/>
      <w:marBottom w:val="0"/>
      <w:divBdr>
        <w:top w:val="none" w:sz="0" w:space="0" w:color="auto"/>
        <w:left w:val="none" w:sz="0" w:space="0" w:color="auto"/>
        <w:bottom w:val="none" w:sz="0" w:space="0" w:color="auto"/>
        <w:right w:val="none" w:sz="0" w:space="0" w:color="auto"/>
      </w:divBdr>
    </w:div>
    <w:div w:id="2085029836">
      <w:bodyDiv w:val="1"/>
      <w:marLeft w:val="0"/>
      <w:marRight w:val="0"/>
      <w:marTop w:val="0"/>
      <w:marBottom w:val="0"/>
      <w:divBdr>
        <w:top w:val="none" w:sz="0" w:space="0" w:color="auto"/>
        <w:left w:val="none" w:sz="0" w:space="0" w:color="auto"/>
        <w:bottom w:val="none" w:sz="0" w:space="0" w:color="auto"/>
        <w:right w:val="none" w:sz="0" w:space="0" w:color="auto"/>
      </w:divBdr>
    </w:div>
    <w:div w:id="2089227546">
      <w:bodyDiv w:val="1"/>
      <w:marLeft w:val="0"/>
      <w:marRight w:val="0"/>
      <w:marTop w:val="0"/>
      <w:marBottom w:val="0"/>
      <w:divBdr>
        <w:top w:val="none" w:sz="0" w:space="0" w:color="auto"/>
        <w:left w:val="none" w:sz="0" w:space="0" w:color="auto"/>
        <w:bottom w:val="none" w:sz="0" w:space="0" w:color="auto"/>
        <w:right w:val="none" w:sz="0" w:space="0" w:color="auto"/>
      </w:divBdr>
    </w:div>
    <w:div w:id="2093039165">
      <w:bodyDiv w:val="1"/>
      <w:marLeft w:val="0"/>
      <w:marRight w:val="0"/>
      <w:marTop w:val="0"/>
      <w:marBottom w:val="0"/>
      <w:divBdr>
        <w:top w:val="none" w:sz="0" w:space="0" w:color="auto"/>
        <w:left w:val="none" w:sz="0" w:space="0" w:color="auto"/>
        <w:bottom w:val="none" w:sz="0" w:space="0" w:color="auto"/>
        <w:right w:val="none" w:sz="0" w:space="0" w:color="auto"/>
      </w:divBdr>
    </w:div>
    <w:div w:id="2100907940">
      <w:bodyDiv w:val="1"/>
      <w:marLeft w:val="0"/>
      <w:marRight w:val="0"/>
      <w:marTop w:val="0"/>
      <w:marBottom w:val="0"/>
      <w:divBdr>
        <w:top w:val="none" w:sz="0" w:space="0" w:color="auto"/>
        <w:left w:val="none" w:sz="0" w:space="0" w:color="auto"/>
        <w:bottom w:val="none" w:sz="0" w:space="0" w:color="auto"/>
        <w:right w:val="none" w:sz="0" w:space="0" w:color="auto"/>
      </w:divBdr>
    </w:div>
    <w:div w:id="2103799601">
      <w:bodyDiv w:val="1"/>
      <w:marLeft w:val="0"/>
      <w:marRight w:val="0"/>
      <w:marTop w:val="0"/>
      <w:marBottom w:val="0"/>
      <w:divBdr>
        <w:top w:val="none" w:sz="0" w:space="0" w:color="auto"/>
        <w:left w:val="none" w:sz="0" w:space="0" w:color="auto"/>
        <w:bottom w:val="none" w:sz="0" w:space="0" w:color="auto"/>
        <w:right w:val="none" w:sz="0" w:space="0" w:color="auto"/>
      </w:divBdr>
    </w:div>
    <w:div w:id="2105417922">
      <w:bodyDiv w:val="1"/>
      <w:marLeft w:val="0"/>
      <w:marRight w:val="0"/>
      <w:marTop w:val="0"/>
      <w:marBottom w:val="0"/>
      <w:divBdr>
        <w:top w:val="none" w:sz="0" w:space="0" w:color="auto"/>
        <w:left w:val="none" w:sz="0" w:space="0" w:color="auto"/>
        <w:bottom w:val="none" w:sz="0" w:space="0" w:color="auto"/>
        <w:right w:val="none" w:sz="0" w:space="0" w:color="auto"/>
      </w:divBdr>
    </w:div>
    <w:div w:id="2111390836">
      <w:bodyDiv w:val="1"/>
      <w:marLeft w:val="0"/>
      <w:marRight w:val="0"/>
      <w:marTop w:val="0"/>
      <w:marBottom w:val="0"/>
      <w:divBdr>
        <w:top w:val="none" w:sz="0" w:space="0" w:color="auto"/>
        <w:left w:val="none" w:sz="0" w:space="0" w:color="auto"/>
        <w:bottom w:val="none" w:sz="0" w:space="0" w:color="auto"/>
        <w:right w:val="none" w:sz="0" w:space="0" w:color="auto"/>
      </w:divBdr>
      <w:divsChild>
        <w:div w:id="2444240">
          <w:marLeft w:val="0"/>
          <w:marRight w:val="0"/>
          <w:marTop w:val="0"/>
          <w:marBottom w:val="0"/>
          <w:divBdr>
            <w:top w:val="none" w:sz="0" w:space="0" w:color="auto"/>
            <w:left w:val="none" w:sz="0" w:space="0" w:color="auto"/>
            <w:bottom w:val="none" w:sz="0" w:space="0" w:color="auto"/>
            <w:right w:val="none" w:sz="0" w:space="0" w:color="auto"/>
          </w:divBdr>
          <w:divsChild>
            <w:div w:id="454180798">
              <w:marLeft w:val="0"/>
              <w:marRight w:val="0"/>
              <w:marTop w:val="0"/>
              <w:marBottom w:val="180"/>
              <w:divBdr>
                <w:top w:val="none" w:sz="0" w:space="0" w:color="auto"/>
                <w:left w:val="none" w:sz="0" w:space="0" w:color="auto"/>
                <w:bottom w:val="none" w:sz="0" w:space="0" w:color="auto"/>
                <w:right w:val="none" w:sz="0" w:space="0" w:color="auto"/>
              </w:divBdr>
              <w:divsChild>
                <w:div w:id="4943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92580">
      <w:bodyDiv w:val="1"/>
      <w:marLeft w:val="0"/>
      <w:marRight w:val="0"/>
      <w:marTop w:val="0"/>
      <w:marBottom w:val="0"/>
      <w:divBdr>
        <w:top w:val="none" w:sz="0" w:space="0" w:color="auto"/>
        <w:left w:val="none" w:sz="0" w:space="0" w:color="auto"/>
        <w:bottom w:val="none" w:sz="0" w:space="0" w:color="auto"/>
        <w:right w:val="none" w:sz="0" w:space="0" w:color="auto"/>
      </w:divBdr>
    </w:div>
    <w:div w:id="2129470899">
      <w:bodyDiv w:val="1"/>
      <w:marLeft w:val="0"/>
      <w:marRight w:val="0"/>
      <w:marTop w:val="0"/>
      <w:marBottom w:val="0"/>
      <w:divBdr>
        <w:top w:val="none" w:sz="0" w:space="0" w:color="auto"/>
        <w:left w:val="none" w:sz="0" w:space="0" w:color="auto"/>
        <w:bottom w:val="none" w:sz="0" w:space="0" w:color="auto"/>
        <w:right w:val="none" w:sz="0" w:space="0" w:color="auto"/>
      </w:divBdr>
    </w:div>
    <w:div w:id="21467729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relyOnVML/>
  <w:allowPNG/>
</w:webSettings>
</file>

<file path=word/_rels/document.xml.rels><?xml version="1.0" encoding="UTF-8" standalone="yes" ?><Relationships xmlns="http://schemas.openxmlformats.org/package/2006/relationships"><Relationship Id="rId117" Target="media/image76.jpeg" Type="http://schemas.openxmlformats.org/officeDocument/2006/relationships/image"/><Relationship Id="rId21" Target="media/image6.jpeg" Type="http://schemas.openxmlformats.org/officeDocument/2006/relationships/image"/><Relationship Id="rId42" Target="media/image21.jpeg" Type="http://schemas.openxmlformats.org/officeDocument/2006/relationships/image"/><Relationship Id="rId63" Target="media/image39.jpeg" Type="http://schemas.openxmlformats.org/officeDocument/2006/relationships/image"/><Relationship Id="rId84" Target="media/image47.png" Type="http://schemas.openxmlformats.org/officeDocument/2006/relationships/image"/><Relationship Id="rId16" Target="footer1.xml" Type="http://schemas.openxmlformats.org/officeDocument/2006/relationships/footer"/><Relationship Id="rId107" Target="media/image69.jpeg" Type="http://schemas.openxmlformats.org/officeDocument/2006/relationships/image"/><Relationship Id="rId11" Target="media/image1.jpeg" Type="http://schemas.openxmlformats.org/officeDocument/2006/relationships/image"/><Relationship Id="rId32" Target="media/image17.jpeg" Type="http://schemas.openxmlformats.org/officeDocument/2006/relationships/image"/><Relationship Id="rId37" Target="header5.xml" Type="http://schemas.openxmlformats.org/officeDocument/2006/relationships/header"/><Relationship Id="rId53" Target="media/image31.jpg" Type="http://schemas.openxmlformats.org/officeDocument/2006/relationships/image"/><Relationship Id="rId58" Target="media/image35.jpeg" Type="http://schemas.openxmlformats.org/officeDocument/2006/relationships/image"/><Relationship Id="rId74" Target="media/image46.jpeg" Type="http://schemas.openxmlformats.org/officeDocument/2006/relationships/image"/><Relationship Id="rId79" Target="footer11.xml" Type="http://schemas.openxmlformats.org/officeDocument/2006/relationships/footer"/><Relationship Id="rId102" Target="media/image64.jpeg" Type="http://schemas.openxmlformats.org/officeDocument/2006/relationships/image"/><Relationship Id="rId123" Target="media/image82.jpeg" Type="http://schemas.openxmlformats.org/officeDocument/2006/relationships/image"/><Relationship Id="rId128" Target="header16.xml" Type="http://schemas.openxmlformats.org/officeDocument/2006/relationships/header"/><Relationship Id="rId5" Target="numbering.xml" Type="http://schemas.openxmlformats.org/officeDocument/2006/relationships/numbering"/><Relationship Id="rId90" Target="media/image52.jpeg" Type="http://schemas.openxmlformats.org/officeDocument/2006/relationships/image"/><Relationship Id="rId95" Target="media/image57.jpeg" Type="http://schemas.openxmlformats.org/officeDocument/2006/relationships/image"/><Relationship Id="rId22" Target="media/image7.jpeg" Type="http://schemas.openxmlformats.org/officeDocument/2006/relationships/image"/><Relationship Id="rId27" Target="media/image12.jpg" Type="http://schemas.openxmlformats.org/officeDocument/2006/relationships/image"/><Relationship Id="rId43" Target="media/image22.jpeg" Type="http://schemas.openxmlformats.org/officeDocument/2006/relationships/image"/><Relationship Id="rId48" Target="media/image27.jpeg" Type="http://schemas.openxmlformats.org/officeDocument/2006/relationships/image"/><Relationship Id="rId64" Target="media/image40.jpeg" Type="http://schemas.openxmlformats.org/officeDocument/2006/relationships/image"/><Relationship Id="rId69" Target="media/image45.jpeg" Type="http://schemas.openxmlformats.org/officeDocument/2006/relationships/image"/><Relationship Id="rId113" Target="footer15.xml" Type="http://schemas.openxmlformats.org/officeDocument/2006/relationships/footer"/><Relationship Id="rId118" Target="media/image77.jpeg" Type="http://schemas.openxmlformats.org/officeDocument/2006/relationships/image"/><Relationship Id="rId80" Target="header12.xml" Type="http://schemas.openxmlformats.org/officeDocument/2006/relationships/header"/><Relationship Id="rId85" Target="media/image48.png" Type="http://schemas.openxmlformats.org/officeDocument/2006/relationships/image"/><Relationship Id="rId12" Target="media/image2.jpeg" Type="http://schemas.openxmlformats.org/officeDocument/2006/relationships/image"/><Relationship Id="rId17" Target="header2.xml" Type="http://schemas.openxmlformats.org/officeDocument/2006/relationships/header"/><Relationship Id="rId33" Target="media/image18.jpeg" Type="http://schemas.openxmlformats.org/officeDocument/2006/relationships/image"/><Relationship Id="rId38" Target="footer5.xml" Type="http://schemas.openxmlformats.org/officeDocument/2006/relationships/footer"/><Relationship Id="rId59" Target="media/image36.jpeg" Type="http://schemas.openxmlformats.org/officeDocument/2006/relationships/image"/><Relationship Id="rId103" Target="media/image65.jpeg" Type="http://schemas.openxmlformats.org/officeDocument/2006/relationships/image"/><Relationship Id="rId108" Target="media/image70.jpeg" Type="http://schemas.openxmlformats.org/officeDocument/2006/relationships/image"/><Relationship Id="rId124" Target="media/image83.jpeg" Type="http://schemas.openxmlformats.org/officeDocument/2006/relationships/image"/><Relationship Id="rId129" Target="footer16.xml" Type="http://schemas.openxmlformats.org/officeDocument/2006/relationships/footer"/><Relationship Id="rId54" Target="https://www.mgm.gov.tr" TargetMode="External" Type="http://schemas.openxmlformats.org/officeDocument/2006/relationships/hyperlink"/><Relationship Id="rId70" Target="header8.xml" Type="http://schemas.openxmlformats.org/officeDocument/2006/relationships/header"/><Relationship Id="rId75" Target="header10.xml" Type="http://schemas.openxmlformats.org/officeDocument/2006/relationships/header"/><Relationship Id="rId91" Target="media/image53.jpeg" Type="http://schemas.openxmlformats.org/officeDocument/2006/relationships/image"/><Relationship Id="rId96" Target="media/image58.jpeg" Type="http://schemas.openxmlformats.org/officeDocument/2006/relationships/image"/><Relationship Id="rId1" Target="../customXml/item1.xml" Type="http://schemas.openxmlformats.org/officeDocument/2006/relationships/customXml"/><Relationship Id="rId6" Target="styles.xml" Type="http://schemas.openxmlformats.org/officeDocument/2006/relationships/styles"/><Relationship Id="rId23" Target="media/image8.jpeg" Type="http://schemas.openxmlformats.org/officeDocument/2006/relationships/image"/><Relationship Id="rId28" Target="media/image13.jpeg" Type="http://schemas.openxmlformats.org/officeDocument/2006/relationships/image"/><Relationship Id="rId49" Target="media/image28.jpeg" Type="http://schemas.openxmlformats.org/officeDocument/2006/relationships/image"/><Relationship Id="rId114" Target="media/image73.jpeg" Type="http://schemas.openxmlformats.org/officeDocument/2006/relationships/image"/><Relationship Id="rId119" Target="media/image78.jpeg" Type="http://schemas.openxmlformats.org/officeDocument/2006/relationships/image"/><Relationship Id="rId44" Target="media/image23.jpeg" Type="http://schemas.openxmlformats.org/officeDocument/2006/relationships/image"/><Relationship Id="rId60" Target="header7.xml" Type="http://schemas.openxmlformats.org/officeDocument/2006/relationships/header"/><Relationship Id="rId65" Target="media/image41.jpeg" Type="http://schemas.openxmlformats.org/officeDocument/2006/relationships/image"/><Relationship Id="rId81" Target="footer12.xml" Type="http://schemas.openxmlformats.org/officeDocument/2006/relationships/footer"/><Relationship Id="rId86" Target="footer14.xml" Type="http://schemas.openxmlformats.org/officeDocument/2006/relationships/footer"/><Relationship Id="rId130" Target="header17.xml" Type="http://schemas.openxmlformats.org/officeDocument/2006/relationships/header"/><Relationship Id="rId13" Target="header1.xml" Type="http://schemas.openxmlformats.org/officeDocument/2006/relationships/header"/><Relationship Id="rId18" Target="footer2.xml" Type="http://schemas.openxmlformats.org/officeDocument/2006/relationships/footer"/><Relationship Id="rId39" Target="header6.xml" Type="http://schemas.openxmlformats.org/officeDocument/2006/relationships/header"/><Relationship Id="rId109" Target="header14.xml" Type="http://schemas.openxmlformats.org/officeDocument/2006/relationships/header"/><Relationship Id="rId34" Target="media/image19.jpeg" Type="http://schemas.openxmlformats.org/officeDocument/2006/relationships/image"/><Relationship Id="rId50" Target="media/image29.jpg" Type="http://schemas.openxmlformats.org/officeDocument/2006/relationships/image"/><Relationship Id="rId55" Target="media/image32.jpg" Type="http://schemas.openxmlformats.org/officeDocument/2006/relationships/image"/><Relationship Id="rId76" Target="footer9.xml" Type="http://schemas.openxmlformats.org/officeDocument/2006/relationships/footer"/><Relationship Id="rId97" Target="media/image59.jpeg" Type="http://schemas.openxmlformats.org/officeDocument/2006/relationships/image"/><Relationship Id="rId104" Target="media/image66.jpeg" Type="http://schemas.openxmlformats.org/officeDocument/2006/relationships/image"/><Relationship Id="rId120" Target="media/image79.jpeg" Type="http://schemas.openxmlformats.org/officeDocument/2006/relationships/image"/><Relationship Id="rId125" Target="media/image84.jpeg" Type="http://schemas.openxmlformats.org/officeDocument/2006/relationships/image"/><Relationship Id="rId7" Target="settings.xml" Type="http://schemas.openxmlformats.org/officeDocument/2006/relationships/settings"/><Relationship Id="rId71" Target="footer7.xml" Type="http://schemas.openxmlformats.org/officeDocument/2006/relationships/footer"/><Relationship Id="rId92" Target="media/image54.jpeg" Type="http://schemas.openxmlformats.org/officeDocument/2006/relationships/image"/><Relationship Id="rId2" Target="../customXml/item2.xml" Type="http://schemas.openxmlformats.org/officeDocument/2006/relationships/customXml"/><Relationship Id="rId29" Target="media/image14.jpeg" Type="http://schemas.openxmlformats.org/officeDocument/2006/relationships/image"/><Relationship Id="rId24" Target="media/image9.jpeg" Type="http://schemas.openxmlformats.org/officeDocument/2006/relationships/image"/><Relationship Id="rId40" Target="footer6.xml" Type="http://schemas.openxmlformats.org/officeDocument/2006/relationships/footer"/><Relationship Id="rId45" Target="media/image24.jpeg" Type="http://schemas.openxmlformats.org/officeDocument/2006/relationships/image"/><Relationship Id="rId66" Target="media/image42.jpeg" Type="http://schemas.openxmlformats.org/officeDocument/2006/relationships/image"/><Relationship Id="rId87" Target="media/image49.jpeg" Type="http://schemas.openxmlformats.org/officeDocument/2006/relationships/image"/><Relationship Id="rId110" Target="media/image71.jpeg" Type="http://schemas.openxmlformats.org/officeDocument/2006/relationships/image"/><Relationship Id="rId115" Target="media/image74.jpeg" Type="http://schemas.openxmlformats.org/officeDocument/2006/relationships/image"/><Relationship Id="rId131" Target="fontTable.xml" Type="http://schemas.openxmlformats.org/officeDocument/2006/relationships/fontTable"/><Relationship Id="rId61" Target="media/image37.jpeg" Type="http://schemas.openxmlformats.org/officeDocument/2006/relationships/image"/><Relationship Id="rId82" Target="header13.xml" Type="http://schemas.openxmlformats.org/officeDocument/2006/relationships/header"/><Relationship Id="rId19" Target="header3.xml" Type="http://schemas.openxmlformats.org/officeDocument/2006/relationships/header"/><Relationship Id="rId14" Target="media/image3.png" Type="http://schemas.openxmlformats.org/officeDocument/2006/relationships/image"/><Relationship Id="rId30" Target="media/image15.jpeg" Type="http://schemas.openxmlformats.org/officeDocument/2006/relationships/image"/><Relationship Id="rId35" Target="header4.xml" Type="http://schemas.openxmlformats.org/officeDocument/2006/relationships/header"/><Relationship Id="rId56" Target="media/image33.jpeg" Type="http://schemas.openxmlformats.org/officeDocument/2006/relationships/image"/><Relationship Id="rId77" Target="header11.xml" Type="http://schemas.openxmlformats.org/officeDocument/2006/relationships/header"/><Relationship Id="rId100" Target="media/image62.jpeg" Type="http://schemas.openxmlformats.org/officeDocument/2006/relationships/image"/><Relationship Id="rId105" Target="media/image67.jpeg" Type="http://schemas.openxmlformats.org/officeDocument/2006/relationships/image"/><Relationship Id="rId126" Target="media/image85.jpeg" Type="http://schemas.openxmlformats.org/officeDocument/2006/relationships/image"/><Relationship Id="rId8" Target="webSettings.xml" Type="http://schemas.openxmlformats.org/officeDocument/2006/relationships/webSettings"/><Relationship Id="rId51" Target="http://www.havaizleme.gov.tr" TargetMode="External" Type="http://schemas.openxmlformats.org/officeDocument/2006/relationships/hyperlink"/><Relationship Id="rId72" Target="header9.xml" Type="http://schemas.openxmlformats.org/officeDocument/2006/relationships/header"/><Relationship Id="rId93" Target="media/image55.jpeg" Type="http://schemas.openxmlformats.org/officeDocument/2006/relationships/image"/><Relationship Id="rId98" Target="media/image60.jpeg" Type="http://schemas.openxmlformats.org/officeDocument/2006/relationships/image"/><Relationship Id="rId121" Target="media/image80.jpeg" Type="http://schemas.openxmlformats.org/officeDocument/2006/relationships/image"/><Relationship Id="rId3" Target="../customXml/item3.xml" Type="http://schemas.openxmlformats.org/officeDocument/2006/relationships/customXml"/><Relationship Id="rId25" Target="media/image10.jpeg" Type="http://schemas.openxmlformats.org/officeDocument/2006/relationships/image"/><Relationship Id="rId46" Target="media/image25.jpeg" Type="http://schemas.openxmlformats.org/officeDocument/2006/relationships/image"/><Relationship Id="rId67" Target="media/image43.jpeg" Type="http://schemas.openxmlformats.org/officeDocument/2006/relationships/image"/><Relationship Id="rId116" Target="media/image75.jpeg" Type="http://schemas.openxmlformats.org/officeDocument/2006/relationships/image"/><Relationship Id="rId20" Target="footer3.xml" Type="http://schemas.openxmlformats.org/officeDocument/2006/relationships/footer"/><Relationship Id="rId41" Target="media/image20.jpeg" Type="http://schemas.openxmlformats.org/officeDocument/2006/relationships/image"/><Relationship Id="rId62" Target="media/image38.jpeg" Type="http://schemas.openxmlformats.org/officeDocument/2006/relationships/image"/><Relationship Id="rId83" Target="footer13.xml" Type="http://schemas.openxmlformats.org/officeDocument/2006/relationships/footer"/><Relationship Id="rId88" Target="media/image50.jpeg" Type="http://schemas.openxmlformats.org/officeDocument/2006/relationships/image"/><Relationship Id="rId111" Target="media/image72.jpeg" Type="http://schemas.openxmlformats.org/officeDocument/2006/relationships/image"/><Relationship Id="rId132" Target="glossary/document.xml" Type="http://schemas.openxmlformats.org/officeDocument/2006/relationships/glossaryDocument"/><Relationship Id="rId15" Target="media/image4.jpeg" Type="http://schemas.openxmlformats.org/officeDocument/2006/relationships/image"/><Relationship Id="rId36" Target="footer4.xml" Type="http://schemas.openxmlformats.org/officeDocument/2006/relationships/footer"/><Relationship Id="rId57" Target="media/image34.jpeg" Type="http://schemas.openxmlformats.org/officeDocument/2006/relationships/image"/><Relationship Id="rId106" Target="media/image68.jpeg" Type="http://schemas.openxmlformats.org/officeDocument/2006/relationships/image"/><Relationship Id="rId127" Target="media/image86.jpeg" Type="http://schemas.openxmlformats.org/officeDocument/2006/relationships/image"/><Relationship Id="rId10" Target="endnotes.xml" Type="http://schemas.openxmlformats.org/officeDocument/2006/relationships/endnotes"/><Relationship Id="rId31" Target="media/image16.jpeg" Type="http://schemas.openxmlformats.org/officeDocument/2006/relationships/image"/><Relationship Id="rId52" Target="media/image30.jpeg" Type="http://schemas.openxmlformats.org/officeDocument/2006/relationships/image"/><Relationship Id="rId73" Target="footer8.xml" Type="http://schemas.openxmlformats.org/officeDocument/2006/relationships/footer"/><Relationship Id="rId78" Target="footer10.xml" Type="http://schemas.openxmlformats.org/officeDocument/2006/relationships/footer"/><Relationship Id="rId94" Target="media/image56.jpeg" Type="http://schemas.openxmlformats.org/officeDocument/2006/relationships/image"/><Relationship Id="rId99" Target="media/image61.jpeg" Type="http://schemas.openxmlformats.org/officeDocument/2006/relationships/image"/><Relationship Id="rId101" Target="media/image63.jpeg" Type="http://schemas.openxmlformats.org/officeDocument/2006/relationships/image"/><Relationship Id="rId122" Target="media/image81.jpeg" Type="http://schemas.openxmlformats.org/officeDocument/2006/relationships/image"/><Relationship Id="rId4" Target="../customXml/item4.xml" Type="http://schemas.openxmlformats.org/officeDocument/2006/relationships/customXml"/><Relationship Id="rId9" Target="footnotes.xml" Type="http://schemas.openxmlformats.org/officeDocument/2006/relationships/footnotes"/><Relationship Id="rId26" Target="media/image11.jpeg" Type="http://schemas.openxmlformats.org/officeDocument/2006/relationships/image"/><Relationship Id="rId47" Target="media/image26.jpeg" Type="http://schemas.openxmlformats.org/officeDocument/2006/relationships/image"/><Relationship Id="rId68" Target="media/image44.jpeg" Type="http://schemas.openxmlformats.org/officeDocument/2006/relationships/image"/><Relationship Id="rId89" Target="media/image51.jpeg" Type="http://schemas.openxmlformats.org/officeDocument/2006/relationships/image"/><Relationship Id="rId112" Target="header15.xml" Type="http://schemas.openxmlformats.org/officeDocument/2006/relationships/header"/><Relationship Id="rId133" Target="theme/theme1.xml" Type="http://schemas.openxmlformats.org/officeDocument/2006/relationships/theme"/></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7E7621A1-367E-4B1C-8B8B-859D74112F55}"/>
      </w:docPartPr>
      <w:docPartBody>
        <w:p w:rsidR="00115309" w:rsidRDefault="0011530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TUR">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15309"/>
    <w:rsid w:val="00012CF1"/>
    <w:rsid w:val="00016E54"/>
    <w:rsid w:val="00023EEA"/>
    <w:rsid w:val="000949EC"/>
    <w:rsid w:val="000D4545"/>
    <w:rsid w:val="00115309"/>
    <w:rsid w:val="001314CB"/>
    <w:rsid w:val="001B36E1"/>
    <w:rsid w:val="00207E7F"/>
    <w:rsid w:val="00220774"/>
    <w:rsid w:val="00221387"/>
    <w:rsid w:val="002375C4"/>
    <w:rsid w:val="00273CCD"/>
    <w:rsid w:val="002A1E3C"/>
    <w:rsid w:val="00442247"/>
    <w:rsid w:val="00466273"/>
    <w:rsid w:val="0047722E"/>
    <w:rsid w:val="004C07BB"/>
    <w:rsid w:val="00525A7A"/>
    <w:rsid w:val="00540481"/>
    <w:rsid w:val="006657F2"/>
    <w:rsid w:val="006B4851"/>
    <w:rsid w:val="007438F4"/>
    <w:rsid w:val="0081657D"/>
    <w:rsid w:val="008C60E1"/>
    <w:rsid w:val="008C6EA3"/>
    <w:rsid w:val="00A86A48"/>
    <w:rsid w:val="00BD1574"/>
    <w:rsid w:val="00D65B86"/>
    <w:rsid w:val="00DD49BC"/>
    <w:rsid w:val="00DE3DCA"/>
    <w:rsid w:val="00E5292B"/>
    <w:rsid w:val="00E9483E"/>
    <w:rsid w:val="00F11A50"/>
    <w:rsid w:val="00F17CAD"/>
    <w:rsid w:val="00F318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4"/>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ffd3e8-ce5e-4de2-bce5-de39d9980e41" xsi:nil="true"/>
    <lcf76f155ced4ddcb4097134ff3c332f xmlns="3166394e-0d36-452f-b573-655e7378bea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7BBBB60014012147A315EFEC6EF06F64" ma:contentTypeVersion="17" ma:contentTypeDescription="Yeni belge oluşturun." ma:contentTypeScope="" ma:versionID="7950792ff74e0b0a7feafe1e1e074766">
  <xsd:schema xmlns:xsd="http://www.w3.org/2001/XMLSchema" xmlns:xs="http://www.w3.org/2001/XMLSchema" xmlns:p="http://schemas.microsoft.com/office/2006/metadata/properties" xmlns:ns2="3166394e-0d36-452f-b573-655e7378beab" xmlns:ns3="b8ffd3e8-ce5e-4de2-bce5-de39d9980e41" targetNamespace="http://schemas.microsoft.com/office/2006/metadata/properties" ma:root="true" ma:fieldsID="c15872da3e7e65af03811216b0ce891c" ns2:_="" ns3:_="">
    <xsd:import namespace="3166394e-0d36-452f-b573-655e7378beab"/>
    <xsd:import namespace="b8ffd3e8-ce5e-4de2-bce5-de39d9980e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6394e-0d36-452f-b573-655e7378b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Resim Etiketleri" ma:readOnly="false" ma:fieldId="{5cf76f15-5ced-4ddc-b409-7134ff3c332f}" ma:taxonomyMulti="true" ma:sspId="583a14fa-5320-40c1-ba21-15c57bdd75f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ffd3e8-ce5e-4de2-bce5-de39d9980e41" elementFormDefault="qualified">
    <xsd:import namespace="http://schemas.microsoft.com/office/2006/documentManagement/types"/>
    <xsd:import namespace="http://schemas.microsoft.com/office/infopath/2007/PartnerControls"/>
    <xsd:element name="TaxCatchAll" ma:index="20" nillable="true" ma:displayName="Tüm Sınıflandırmayı Yakala Sütunu" ma:hidden="true" ma:list="{2bf9fdf6-78bb-4966-b14a-f4f9af842797}" ma:internalName="TaxCatchAll" ma:showField="CatchAllData" ma:web="b8ffd3e8-ce5e-4de2-bce5-de39d9980e4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Ayrıntıları ile Paylaşıld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IFC20</b:Tag>
    <b:SourceType>InternetSite</b:SourceType>
    <b:Guid>{16882190-0C34-4122-A57B-F91E49884B54}</b:Guid>
    <b:Year>2020</b:Year>
    <b:Author>
      <b:Author>
        <b:Corporate>Interim Advice for IFC Clients on Safe Stakeholder Engagement in the Context of COVID-19</b:Corporate>
      </b:Author>
    </b:Author>
    <b:Month>May</b:Month>
    <b:URL>https://www.ifc.org/wps/wcm/connect/30258731-0e7d-4cb2-863c-a6fb4c6d0d95/Tip+Sheet_Interim+Advice_StakeholderEngagement_COVID19_May2020.pdf?MOD=AJPERES&amp;CVID=n9s.b9a</b:URL>
    <b:RefOrder>6</b:RefOrder>
  </b:Source>
  <b:Source>
    <b:Tag>Şen18</b:Tag>
    <b:SourceType>Report</b:SourceType>
    <b:Guid>{6072E177-F17C-47F5-8357-DB762BB3B601}</b:Guid>
    <b:LCID>en-GB</b:LCID>
    <b:Author>
      <b:Author>
        <b:Corporate>Şen Engineering, The Geological-Geotechnical Survey Report of the Project Area</b:Corporate>
      </b:Author>
    </b:Author>
    <b:Title>The Geological-Geotechnical Survey Report of the Project Area</b:Title>
    <b:Year>2018</b:Year>
    <b:City>Tarsus</b:City>
    <b:RefOrder>2</b:RefOrder>
  </b:Source>
  <b:Source>
    <b:Tag>Opt22</b:Tag>
    <b:SourceType>Report</b:SourceType>
    <b:Guid>{81CC75C7-CABB-4D9B-9C36-F97DC0AD1D70}</b:Guid>
    <b:Author>
      <b:Author>
        <b:Corporate>Optimal Project Management, The Feasibility Report of the Project</b:Corporate>
      </b:Author>
    </b:Author>
    <b:Title>The Feasibility Report of the Project</b:Title>
    <b:Year>2022</b:Year>
    <b:City>İstanbul</b:City>
    <b:LCID>en-GB</b:LCID>
    <b:RefOrder>7</b:RefOrder>
  </b:Source>
  <b:Source>
    <b:Tag>Mer21</b:Tag>
    <b:SourceType>InternetSite</b:SourceType>
    <b:Guid>{6740D784-E76D-B749-9ACF-732E7E4B759B}</b:Guid>
    <b:LCID>en-US</b:LCID>
    <b:Author>
      <b:Author>
        <b:Corporate>Mersin Governorate</b:Corporate>
      </b:Author>
    </b:Author>
    <b:URL>http://www.mersin.gov.tr/nufus-ve-dagilim</b:URL>
    <b:Year>2021</b:Year>
    <b:RefOrder>3</b:RefOrder>
  </b:Source>
  <b:Source>
    <b:Tag>The17</b:Tag>
    <b:SourceType>InternetSite</b:SourceType>
    <b:Guid>{D1908BBE-B823-1C40-A139-D256606CF9F3}</b:Guid>
    <b:LCID>en-US</b:LCID>
    <b:Author>
      <b:Author>
        <b:Corporate>The Ministry of Industry and Technology</b:Corporate>
      </b:Author>
    </b:Author>
    <b:Title>Socio-economic Development Ranking of Provinces and Regions SEGE-2017</b:Title>
    <b:URL>https://www.sanayi.gov.tr/merkez-birimi/b94224510b7b/sege/il-sege-raporlari</b:URL>
    <b:Year>2017</b:Year>
    <b:RefOrder>4</b:RefOrder>
  </b:Source>
  <b:Source>
    <b:Tag>Tar</b:Tag>
    <b:SourceType>InternetSite</b:SourceType>
    <b:Guid>{DB0E8315-79D5-0A49-8F13-DF81B238FA5C}</b:Guid>
    <b:LCID>en-US</b:LCID>
    <b:Author>
      <b:Author>
        <b:Corporate>Tarsus Municipality</b:Corporate>
      </b:Author>
    </b:Author>
    <b:URL>https://www.tarsus.bel.tr/tr/tarsus/ekonomisi.aspx</b:URL>
    <b:RefOrder>5</b:RefOrder>
  </b:Source>
  <b:Source>
    <b:Tag>Bur22</b:Tag>
    <b:SourceType>Report</b:SourceType>
    <b:Guid>{9B0D97F0-DE71-4E21-9B1C-93B4AA677DF9}</b:Guid>
    <b:LCID>en-GB</b:LCID>
    <b:Author>
      <b:Author>
        <b:Corporate>Burced Engineering Service Co.Ltd.,The EIA Report of the OIZ</b:Corporate>
      </b:Author>
    </b:Author>
    <b:Title>The EIA Report of the Mersin Tarsus Agricultural Product Processing Specialized Organized Industrial Zone</b:Title>
    <b:Year>2022</b:Year>
    <b:City>Bursa</b:City>
    <b:RefOrder>1</b:RefOrder>
  </b:Source>
</b:Sources>
</file>

<file path=customXml/itemProps1.xml><?xml version="1.0" encoding="utf-8"?>
<ds:datastoreItem xmlns:ds="http://schemas.openxmlformats.org/officeDocument/2006/customXml" ds:itemID="{3A3FE770-709B-45BC-A9C3-05EEC781B997}">
  <ds:schemaRefs>
    <ds:schemaRef ds:uri="http://schemas.microsoft.com/office/2006/metadata/properties"/>
    <ds:schemaRef ds:uri="http://schemas.microsoft.com/office/infopath/2007/PartnerControls"/>
    <ds:schemaRef ds:uri="b8ffd3e8-ce5e-4de2-bce5-de39d9980e41"/>
    <ds:schemaRef ds:uri="3166394e-0d36-452f-b573-655e7378beab"/>
  </ds:schemaRefs>
</ds:datastoreItem>
</file>

<file path=customXml/itemProps2.xml><?xml version="1.0" encoding="utf-8"?>
<ds:datastoreItem xmlns:ds="http://schemas.openxmlformats.org/officeDocument/2006/customXml" ds:itemID="{7DE42A72-6C7A-4E27-9939-8613330D65D4}">
  <ds:schemaRefs>
    <ds:schemaRef ds:uri="http://schemas.microsoft.com/sharepoint/v3/contenttype/forms"/>
  </ds:schemaRefs>
</ds:datastoreItem>
</file>

<file path=customXml/itemProps3.xml><?xml version="1.0" encoding="utf-8"?>
<ds:datastoreItem xmlns:ds="http://schemas.openxmlformats.org/officeDocument/2006/customXml" ds:itemID="{FFBF784A-945D-409F-BDE9-E5B6B9803098}"/>
</file>

<file path=customXml/itemProps4.xml><?xml version="1.0" encoding="utf-8"?>
<ds:datastoreItem xmlns:ds="http://schemas.openxmlformats.org/officeDocument/2006/customXml" ds:itemID="{E660D2B6-2AE8-4DC4-9BD5-0343800F7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240</Pages>
  <Words>68596</Words>
  <Characters>390999</Characters>
  <Application>Microsoft Office Word</Application>
  <DocSecurity>0</DocSecurity>
  <Lines>3258</Lines>
  <Paragraphs>917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458678</CharactersWithSpaces>
  <SharedDoc>false</SharedDoc>
  <HLinks>
    <vt:vector size="1206" baseType="variant">
      <vt:variant>
        <vt:i4>3276837</vt:i4>
      </vt:variant>
      <vt:variant>
        <vt:i4>1553</vt:i4>
      </vt:variant>
      <vt:variant>
        <vt:i4>0</vt:i4>
      </vt:variant>
      <vt:variant>
        <vt:i4>5</vt:i4>
      </vt:variant>
      <vt:variant>
        <vt:lpwstr>https://www.mgm.gov.tr/</vt:lpwstr>
      </vt:variant>
      <vt:variant>
        <vt:lpwstr/>
      </vt:variant>
      <vt:variant>
        <vt:i4>4194383</vt:i4>
      </vt:variant>
      <vt:variant>
        <vt:i4>1499</vt:i4>
      </vt:variant>
      <vt:variant>
        <vt:i4>0</vt:i4>
      </vt:variant>
      <vt:variant>
        <vt:i4>5</vt:i4>
      </vt:variant>
      <vt:variant>
        <vt:lpwstr>http://www.havaizleme.gov.tr/</vt:lpwstr>
      </vt:variant>
      <vt:variant>
        <vt:lpwstr/>
      </vt:variant>
      <vt:variant>
        <vt:i4>1703985</vt:i4>
      </vt:variant>
      <vt:variant>
        <vt:i4>1193</vt:i4>
      </vt:variant>
      <vt:variant>
        <vt:i4>0</vt:i4>
      </vt:variant>
      <vt:variant>
        <vt:i4>5</vt:i4>
      </vt:variant>
      <vt:variant>
        <vt:lpwstr/>
      </vt:variant>
      <vt:variant>
        <vt:lpwstr>_Toc141445580</vt:lpwstr>
      </vt:variant>
      <vt:variant>
        <vt:i4>1376305</vt:i4>
      </vt:variant>
      <vt:variant>
        <vt:i4>1187</vt:i4>
      </vt:variant>
      <vt:variant>
        <vt:i4>0</vt:i4>
      </vt:variant>
      <vt:variant>
        <vt:i4>5</vt:i4>
      </vt:variant>
      <vt:variant>
        <vt:lpwstr/>
      </vt:variant>
      <vt:variant>
        <vt:lpwstr>_Toc141445579</vt:lpwstr>
      </vt:variant>
      <vt:variant>
        <vt:i4>1376305</vt:i4>
      </vt:variant>
      <vt:variant>
        <vt:i4>1181</vt:i4>
      </vt:variant>
      <vt:variant>
        <vt:i4>0</vt:i4>
      </vt:variant>
      <vt:variant>
        <vt:i4>5</vt:i4>
      </vt:variant>
      <vt:variant>
        <vt:lpwstr/>
      </vt:variant>
      <vt:variant>
        <vt:lpwstr>_Toc141445578</vt:lpwstr>
      </vt:variant>
      <vt:variant>
        <vt:i4>1376305</vt:i4>
      </vt:variant>
      <vt:variant>
        <vt:i4>1175</vt:i4>
      </vt:variant>
      <vt:variant>
        <vt:i4>0</vt:i4>
      </vt:variant>
      <vt:variant>
        <vt:i4>5</vt:i4>
      </vt:variant>
      <vt:variant>
        <vt:lpwstr/>
      </vt:variant>
      <vt:variant>
        <vt:lpwstr>_Toc141445577</vt:lpwstr>
      </vt:variant>
      <vt:variant>
        <vt:i4>1376305</vt:i4>
      </vt:variant>
      <vt:variant>
        <vt:i4>1169</vt:i4>
      </vt:variant>
      <vt:variant>
        <vt:i4>0</vt:i4>
      </vt:variant>
      <vt:variant>
        <vt:i4>5</vt:i4>
      </vt:variant>
      <vt:variant>
        <vt:lpwstr/>
      </vt:variant>
      <vt:variant>
        <vt:lpwstr>_Toc141445576</vt:lpwstr>
      </vt:variant>
      <vt:variant>
        <vt:i4>1376305</vt:i4>
      </vt:variant>
      <vt:variant>
        <vt:i4>1163</vt:i4>
      </vt:variant>
      <vt:variant>
        <vt:i4>0</vt:i4>
      </vt:variant>
      <vt:variant>
        <vt:i4>5</vt:i4>
      </vt:variant>
      <vt:variant>
        <vt:lpwstr/>
      </vt:variant>
      <vt:variant>
        <vt:lpwstr>_Toc141445575</vt:lpwstr>
      </vt:variant>
      <vt:variant>
        <vt:i4>1376305</vt:i4>
      </vt:variant>
      <vt:variant>
        <vt:i4>1157</vt:i4>
      </vt:variant>
      <vt:variant>
        <vt:i4>0</vt:i4>
      </vt:variant>
      <vt:variant>
        <vt:i4>5</vt:i4>
      </vt:variant>
      <vt:variant>
        <vt:lpwstr/>
      </vt:variant>
      <vt:variant>
        <vt:lpwstr>_Toc141445574</vt:lpwstr>
      </vt:variant>
      <vt:variant>
        <vt:i4>1376305</vt:i4>
      </vt:variant>
      <vt:variant>
        <vt:i4>1151</vt:i4>
      </vt:variant>
      <vt:variant>
        <vt:i4>0</vt:i4>
      </vt:variant>
      <vt:variant>
        <vt:i4>5</vt:i4>
      </vt:variant>
      <vt:variant>
        <vt:lpwstr/>
      </vt:variant>
      <vt:variant>
        <vt:lpwstr>_Toc141445573</vt:lpwstr>
      </vt:variant>
      <vt:variant>
        <vt:i4>1376305</vt:i4>
      </vt:variant>
      <vt:variant>
        <vt:i4>1145</vt:i4>
      </vt:variant>
      <vt:variant>
        <vt:i4>0</vt:i4>
      </vt:variant>
      <vt:variant>
        <vt:i4>5</vt:i4>
      </vt:variant>
      <vt:variant>
        <vt:lpwstr/>
      </vt:variant>
      <vt:variant>
        <vt:lpwstr>_Toc141445572</vt:lpwstr>
      </vt:variant>
      <vt:variant>
        <vt:i4>1376305</vt:i4>
      </vt:variant>
      <vt:variant>
        <vt:i4>1139</vt:i4>
      </vt:variant>
      <vt:variant>
        <vt:i4>0</vt:i4>
      </vt:variant>
      <vt:variant>
        <vt:i4>5</vt:i4>
      </vt:variant>
      <vt:variant>
        <vt:lpwstr/>
      </vt:variant>
      <vt:variant>
        <vt:lpwstr>_Toc141445571</vt:lpwstr>
      </vt:variant>
      <vt:variant>
        <vt:i4>1376305</vt:i4>
      </vt:variant>
      <vt:variant>
        <vt:i4>1133</vt:i4>
      </vt:variant>
      <vt:variant>
        <vt:i4>0</vt:i4>
      </vt:variant>
      <vt:variant>
        <vt:i4>5</vt:i4>
      </vt:variant>
      <vt:variant>
        <vt:lpwstr/>
      </vt:variant>
      <vt:variant>
        <vt:lpwstr>_Toc141445570</vt:lpwstr>
      </vt:variant>
      <vt:variant>
        <vt:i4>1310769</vt:i4>
      </vt:variant>
      <vt:variant>
        <vt:i4>1127</vt:i4>
      </vt:variant>
      <vt:variant>
        <vt:i4>0</vt:i4>
      </vt:variant>
      <vt:variant>
        <vt:i4>5</vt:i4>
      </vt:variant>
      <vt:variant>
        <vt:lpwstr/>
      </vt:variant>
      <vt:variant>
        <vt:lpwstr>_Toc141445569</vt:lpwstr>
      </vt:variant>
      <vt:variant>
        <vt:i4>1310769</vt:i4>
      </vt:variant>
      <vt:variant>
        <vt:i4>1121</vt:i4>
      </vt:variant>
      <vt:variant>
        <vt:i4>0</vt:i4>
      </vt:variant>
      <vt:variant>
        <vt:i4>5</vt:i4>
      </vt:variant>
      <vt:variant>
        <vt:lpwstr/>
      </vt:variant>
      <vt:variant>
        <vt:lpwstr>_Toc141445568</vt:lpwstr>
      </vt:variant>
      <vt:variant>
        <vt:i4>1310769</vt:i4>
      </vt:variant>
      <vt:variant>
        <vt:i4>1115</vt:i4>
      </vt:variant>
      <vt:variant>
        <vt:i4>0</vt:i4>
      </vt:variant>
      <vt:variant>
        <vt:i4>5</vt:i4>
      </vt:variant>
      <vt:variant>
        <vt:lpwstr/>
      </vt:variant>
      <vt:variant>
        <vt:lpwstr>_Toc141445567</vt:lpwstr>
      </vt:variant>
      <vt:variant>
        <vt:i4>1310769</vt:i4>
      </vt:variant>
      <vt:variant>
        <vt:i4>1109</vt:i4>
      </vt:variant>
      <vt:variant>
        <vt:i4>0</vt:i4>
      </vt:variant>
      <vt:variant>
        <vt:i4>5</vt:i4>
      </vt:variant>
      <vt:variant>
        <vt:lpwstr/>
      </vt:variant>
      <vt:variant>
        <vt:lpwstr>_Toc141445566</vt:lpwstr>
      </vt:variant>
      <vt:variant>
        <vt:i4>1310769</vt:i4>
      </vt:variant>
      <vt:variant>
        <vt:i4>1103</vt:i4>
      </vt:variant>
      <vt:variant>
        <vt:i4>0</vt:i4>
      </vt:variant>
      <vt:variant>
        <vt:i4>5</vt:i4>
      </vt:variant>
      <vt:variant>
        <vt:lpwstr/>
      </vt:variant>
      <vt:variant>
        <vt:lpwstr>_Toc141445565</vt:lpwstr>
      </vt:variant>
      <vt:variant>
        <vt:i4>1310769</vt:i4>
      </vt:variant>
      <vt:variant>
        <vt:i4>1097</vt:i4>
      </vt:variant>
      <vt:variant>
        <vt:i4>0</vt:i4>
      </vt:variant>
      <vt:variant>
        <vt:i4>5</vt:i4>
      </vt:variant>
      <vt:variant>
        <vt:lpwstr/>
      </vt:variant>
      <vt:variant>
        <vt:lpwstr>_Toc141445564</vt:lpwstr>
      </vt:variant>
      <vt:variant>
        <vt:i4>1310769</vt:i4>
      </vt:variant>
      <vt:variant>
        <vt:i4>1091</vt:i4>
      </vt:variant>
      <vt:variant>
        <vt:i4>0</vt:i4>
      </vt:variant>
      <vt:variant>
        <vt:i4>5</vt:i4>
      </vt:variant>
      <vt:variant>
        <vt:lpwstr/>
      </vt:variant>
      <vt:variant>
        <vt:lpwstr>_Toc141445563</vt:lpwstr>
      </vt:variant>
      <vt:variant>
        <vt:i4>1310769</vt:i4>
      </vt:variant>
      <vt:variant>
        <vt:i4>1085</vt:i4>
      </vt:variant>
      <vt:variant>
        <vt:i4>0</vt:i4>
      </vt:variant>
      <vt:variant>
        <vt:i4>5</vt:i4>
      </vt:variant>
      <vt:variant>
        <vt:lpwstr/>
      </vt:variant>
      <vt:variant>
        <vt:lpwstr>_Toc141445562</vt:lpwstr>
      </vt:variant>
      <vt:variant>
        <vt:i4>1310769</vt:i4>
      </vt:variant>
      <vt:variant>
        <vt:i4>1079</vt:i4>
      </vt:variant>
      <vt:variant>
        <vt:i4>0</vt:i4>
      </vt:variant>
      <vt:variant>
        <vt:i4>5</vt:i4>
      </vt:variant>
      <vt:variant>
        <vt:lpwstr/>
      </vt:variant>
      <vt:variant>
        <vt:lpwstr>_Toc141445561</vt:lpwstr>
      </vt:variant>
      <vt:variant>
        <vt:i4>1310769</vt:i4>
      </vt:variant>
      <vt:variant>
        <vt:i4>1073</vt:i4>
      </vt:variant>
      <vt:variant>
        <vt:i4>0</vt:i4>
      </vt:variant>
      <vt:variant>
        <vt:i4>5</vt:i4>
      </vt:variant>
      <vt:variant>
        <vt:lpwstr/>
      </vt:variant>
      <vt:variant>
        <vt:lpwstr>_Toc141445560</vt:lpwstr>
      </vt:variant>
      <vt:variant>
        <vt:i4>1507377</vt:i4>
      </vt:variant>
      <vt:variant>
        <vt:i4>1067</vt:i4>
      </vt:variant>
      <vt:variant>
        <vt:i4>0</vt:i4>
      </vt:variant>
      <vt:variant>
        <vt:i4>5</vt:i4>
      </vt:variant>
      <vt:variant>
        <vt:lpwstr/>
      </vt:variant>
      <vt:variant>
        <vt:lpwstr>_Toc141445559</vt:lpwstr>
      </vt:variant>
      <vt:variant>
        <vt:i4>1507377</vt:i4>
      </vt:variant>
      <vt:variant>
        <vt:i4>1061</vt:i4>
      </vt:variant>
      <vt:variant>
        <vt:i4>0</vt:i4>
      </vt:variant>
      <vt:variant>
        <vt:i4>5</vt:i4>
      </vt:variant>
      <vt:variant>
        <vt:lpwstr/>
      </vt:variant>
      <vt:variant>
        <vt:lpwstr>_Toc141445558</vt:lpwstr>
      </vt:variant>
      <vt:variant>
        <vt:i4>1507377</vt:i4>
      </vt:variant>
      <vt:variant>
        <vt:i4>1055</vt:i4>
      </vt:variant>
      <vt:variant>
        <vt:i4>0</vt:i4>
      </vt:variant>
      <vt:variant>
        <vt:i4>5</vt:i4>
      </vt:variant>
      <vt:variant>
        <vt:lpwstr/>
      </vt:variant>
      <vt:variant>
        <vt:lpwstr>_Toc141445557</vt:lpwstr>
      </vt:variant>
      <vt:variant>
        <vt:i4>1507377</vt:i4>
      </vt:variant>
      <vt:variant>
        <vt:i4>1049</vt:i4>
      </vt:variant>
      <vt:variant>
        <vt:i4>0</vt:i4>
      </vt:variant>
      <vt:variant>
        <vt:i4>5</vt:i4>
      </vt:variant>
      <vt:variant>
        <vt:lpwstr/>
      </vt:variant>
      <vt:variant>
        <vt:lpwstr>_Toc141445556</vt:lpwstr>
      </vt:variant>
      <vt:variant>
        <vt:i4>1507377</vt:i4>
      </vt:variant>
      <vt:variant>
        <vt:i4>1043</vt:i4>
      </vt:variant>
      <vt:variant>
        <vt:i4>0</vt:i4>
      </vt:variant>
      <vt:variant>
        <vt:i4>5</vt:i4>
      </vt:variant>
      <vt:variant>
        <vt:lpwstr/>
      </vt:variant>
      <vt:variant>
        <vt:lpwstr>_Toc141445555</vt:lpwstr>
      </vt:variant>
      <vt:variant>
        <vt:i4>1507377</vt:i4>
      </vt:variant>
      <vt:variant>
        <vt:i4>1037</vt:i4>
      </vt:variant>
      <vt:variant>
        <vt:i4>0</vt:i4>
      </vt:variant>
      <vt:variant>
        <vt:i4>5</vt:i4>
      </vt:variant>
      <vt:variant>
        <vt:lpwstr/>
      </vt:variant>
      <vt:variant>
        <vt:lpwstr>_Toc141445554</vt:lpwstr>
      </vt:variant>
      <vt:variant>
        <vt:i4>1507377</vt:i4>
      </vt:variant>
      <vt:variant>
        <vt:i4>1031</vt:i4>
      </vt:variant>
      <vt:variant>
        <vt:i4>0</vt:i4>
      </vt:variant>
      <vt:variant>
        <vt:i4>5</vt:i4>
      </vt:variant>
      <vt:variant>
        <vt:lpwstr/>
      </vt:variant>
      <vt:variant>
        <vt:lpwstr>_Toc141445553</vt:lpwstr>
      </vt:variant>
      <vt:variant>
        <vt:i4>1507377</vt:i4>
      </vt:variant>
      <vt:variant>
        <vt:i4>1025</vt:i4>
      </vt:variant>
      <vt:variant>
        <vt:i4>0</vt:i4>
      </vt:variant>
      <vt:variant>
        <vt:i4>5</vt:i4>
      </vt:variant>
      <vt:variant>
        <vt:lpwstr/>
      </vt:variant>
      <vt:variant>
        <vt:lpwstr>_Toc141445552</vt:lpwstr>
      </vt:variant>
      <vt:variant>
        <vt:i4>1507377</vt:i4>
      </vt:variant>
      <vt:variant>
        <vt:i4>1019</vt:i4>
      </vt:variant>
      <vt:variant>
        <vt:i4>0</vt:i4>
      </vt:variant>
      <vt:variant>
        <vt:i4>5</vt:i4>
      </vt:variant>
      <vt:variant>
        <vt:lpwstr/>
      </vt:variant>
      <vt:variant>
        <vt:lpwstr>_Toc141445551</vt:lpwstr>
      </vt:variant>
      <vt:variant>
        <vt:i4>1507377</vt:i4>
      </vt:variant>
      <vt:variant>
        <vt:i4>1013</vt:i4>
      </vt:variant>
      <vt:variant>
        <vt:i4>0</vt:i4>
      </vt:variant>
      <vt:variant>
        <vt:i4>5</vt:i4>
      </vt:variant>
      <vt:variant>
        <vt:lpwstr/>
      </vt:variant>
      <vt:variant>
        <vt:lpwstr>_Toc141445550</vt:lpwstr>
      </vt:variant>
      <vt:variant>
        <vt:i4>1441841</vt:i4>
      </vt:variant>
      <vt:variant>
        <vt:i4>1007</vt:i4>
      </vt:variant>
      <vt:variant>
        <vt:i4>0</vt:i4>
      </vt:variant>
      <vt:variant>
        <vt:i4>5</vt:i4>
      </vt:variant>
      <vt:variant>
        <vt:lpwstr/>
      </vt:variant>
      <vt:variant>
        <vt:lpwstr>_Toc141445549</vt:lpwstr>
      </vt:variant>
      <vt:variant>
        <vt:i4>1441841</vt:i4>
      </vt:variant>
      <vt:variant>
        <vt:i4>1001</vt:i4>
      </vt:variant>
      <vt:variant>
        <vt:i4>0</vt:i4>
      </vt:variant>
      <vt:variant>
        <vt:i4>5</vt:i4>
      </vt:variant>
      <vt:variant>
        <vt:lpwstr/>
      </vt:variant>
      <vt:variant>
        <vt:lpwstr>_Toc141445548</vt:lpwstr>
      </vt:variant>
      <vt:variant>
        <vt:i4>1441841</vt:i4>
      </vt:variant>
      <vt:variant>
        <vt:i4>995</vt:i4>
      </vt:variant>
      <vt:variant>
        <vt:i4>0</vt:i4>
      </vt:variant>
      <vt:variant>
        <vt:i4>5</vt:i4>
      </vt:variant>
      <vt:variant>
        <vt:lpwstr/>
      </vt:variant>
      <vt:variant>
        <vt:lpwstr>_Toc141445547</vt:lpwstr>
      </vt:variant>
      <vt:variant>
        <vt:i4>1441841</vt:i4>
      </vt:variant>
      <vt:variant>
        <vt:i4>989</vt:i4>
      </vt:variant>
      <vt:variant>
        <vt:i4>0</vt:i4>
      </vt:variant>
      <vt:variant>
        <vt:i4>5</vt:i4>
      </vt:variant>
      <vt:variant>
        <vt:lpwstr/>
      </vt:variant>
      <vt:variant>
        <vt:lpwstr>_Toc141445546</vt:lpwstr>
      </vt:variant>
      <vt:variant>
        <vt:i4>1441841</vt:i4>
      </vt:variant>
      <vt:variant>
        <vt:i4>980</vt:i4>
      </vt:variant>
      <vt:variant>
        <vt:i4>0</vt:i4>
      </vt:variant>
      <vt:variant>
        <vt:i4>5</vt:i4>
      </vt:variant>
      <vt:variant>
        <vt:lpwstr/>
      </vt:variant>
      <vt:variant>
        <vt:lpwstr>_Toc141445545</vt:lpwstr>
      </vt:variant>
      <vt:variant>
        <vt:i4>1441841</vt:i4>
      </vt:variant>
      <vt:variant>
        <vt:i4>974</vt:i4>
      </vt:variant>
      <vt:variant>
        <vt:i4>0</vt:i4>
      </vt:variant>
      <vt:variant>
        <vt:i4>5</vt:i4>
      </vt:variant>
      <vt:variant>
        <vt:lpwstr/>
      </vt:variant>
      <vt:variant>
        <vt:lpwstr>_Toc141445544</vt:lpwstr>
      </vt:variant>
      <vt:variant>
        <vt:i4>1441841</vt:i4>
      </vt:variant>
      <vt:variant>
        <vt:i4>968</vt:i4>
      </vt:variant>
      <vt:variant>
        <vt:i4>0</vt:i4>
      </vt:variant>
      <vt:variant>
        <vt:i4>5</vt:i4>
      </vt:variant>
      <vt:variant>
        <vt:lpwstr/>
      </vt:variant>
      <vt:variant>
        <vt:lpwstr>_Toc141445543</vt:lpwstr>
      </vt:variant>
      <vt:variant>
        <vt:i4>1441841</vt:i4>
      </vt:variant>
      <vt:variant>
        <vt:i4>962</vt:i4>
      </vt:variant>
      <vt:variant>
        <vt:i4>0</vt:i4>
      </vt:variant>
      <vt:variant>
        <vt:i4>5</vt:i4>
      </vt:variant>
      <vt:variant>
        <vt:lpwstr/>
      </vt:variant>
      <vt:variant>
        <vt:lpwstr>_Toc141445542</vt:lpwstr>
      </vt:variant>
      <vt:variant>
        <vt:i4>1441841</vt:i4>
      </vt:variant>
      <vt:variant>
        <vt:i4>956</vt:i4>
      </vt:variant>
      <vt:variant>
        <vt:i4>0</vt:i4>
      </vt:variant>
      <vt:variant>
        <vt:i4>5</vt:i4>
      </vt:variant>
      <vt:variant>
        <vt:lpwstr/>
      </vt:variant>
      <vt:variant>
        <vt:lpwstr>_Toc141445541</vt:lpwstr>
      </vt:variant>
      <vt:variant>
        <vt:i4>1441841</vt:i4>
      </vt:variant>
      <vt:variant>
        <vt:i4>950</vt:i4>
      </vt:variant>
      <vt:variant>
        <vt:i4>0</vt:i4>
      </vt:variant>
      <vt:variant>
        <vt:i4>5</vt:i4>
      </vt:variant>
      <vt:variant>
        <vt:lpwstr/>
      </vt:variant>
      <vt:variant>
        <vt:lpwstr>_Toc141445540</vt:lpwstr>
      </vt:variant>
      <vt:variant>
        <vt:i4>1114161</vt:i4>
      </vt:variant>
      <vt:variant>
        <vt:i4>944</vt:i4>
      </vt:variant>
      <vt:variant>
        <vt:i4>0</vt:i4>
      </vt:variant>
      <vt:variant>
        <vt:i4>5</vt:i4>
      </vt:variant>
      <vt:variant>
        <vt:lpwstr/>
      </vt:variant>
      <vt:variant>
        <vt:lpwstr>_Toc141445539</vt:lpwstr>
      </vt:variant>
      <vt:variant>
        <vt:i4>1114161</vt:i4>
      </vt:variant>
      <vt:variant>
        <vt:i4>938</vt:i4>
      </vt:variant>
      <vt:variant>
        <vt:i4>0</vt:i4>
      </vt:variant>
      <vt:variant>
        <vt:i4>5</vt:i4>
      </vt:variant>
      <vt:variant>
        <vt:lpwstr/>
      </vt:variant>
      <vt:variant>
        <vt:lpwstr>_Toc141445538</vt:lpwstr>
      </vt:variant>
      <vt:variant>
        <vt:i4>1114161</vt:i4>
      </vt:variant>
      <vt:variant>
        <vt:i4>932</vt:i4>
      </vt:variant>
      <vt:variant>
        <vt:i4>0</vt:i4>
      </vt:variant>
      <vt:variant>
        <vt:i4>5</vt:i4>
      </vt:variant>
      <vt:variant>
        <vt:lpwstr/>
      </vt:variant>
      <vt:variant>
        <vt:lpwstr>_Toc141445537</vt:lpwstr>
      </vt:variant>
      <vt:variant>
        <vt:i4>1114161</vt:i4>
      </vt:variant>
      <vt:variant>
        <vt:i4>926</vt:i4>
      </vt:variant>
      <vt:variant>
        <vt:i4>0</vt:i4>
      </vt:variant>
      <vt:variant>
        <vt:i4>5</vt:i4>
      </vt:variant>
      <vt:variant>
        <vt:lpwstr/>
      </vt:variant>
      <vt:variant>
        <vt:lpwstr>_Toc141445536</vt:lpwstr>
      </vt:variant>
      <vt:variant>
        <vt:i4>1114161</vt:i4>
      </vt:variant>
      <vt:variant>
        <vt:i4>920</vt:i4>
      </vt:variant>
      <vt:variant>
        <vt:i4>0</vt:i4>
      </vt:variant>
      <vt:variant>
        <vt:i4>5</vt:i4>
      </vt:variant>
      <vt:variant>
        <vt:lpwstr/>
      </vt:variant>
      <vt:variant>
        <vt:lpwstr>_Toc141445535</vt:lpwstr>
      </vt:variant>
      <vt:variant>
        <vt:i4>1114161</vt:i4>
      </vt:variant>
      <vt:variant>
        <vt:i4>914</vt:i4>
      </vt:variant>
      <vt:variant>
        <vt:i4>0</vt:i4>
      </vt:variant>
      <vt:variant>
        <vt:i4>5</vt:i4>
      </vt:variant>
      <vt:variant>
        <vt:lpwstr/>
      </vt:variant>
      <vt:variant>
        <vt:lpwstr>_Toc141445534</vt:lpwstr>
      </vt:variant>
      <vt:variant>
        <vt:i4>1114161</vt:i4>
      </vt:variant>
      <vt:variant>
        <vt:i4>908</vt:i4>
      </vt:variant>
      <vt:variant>
        <vt:i4>0</vt:i4>
      </vt:variant>
      <vt:variant>
        <vt:i4>5</vt:i4>
      </vt:variant>
      <vt:variant>
        <vt:lpwstr/>
      </vt:variant>
      <vt:variant>
        <vt:lpwstr>_Toc141445533</vt:lpwstr>
      </vt:variant>
      <vt:variant>
        <vt:i4>1114161</vt:i4>
      </vt:variant>
      <vt:variant>
        <vt:i4>902</vt:i4>
      </vt:variant>
      <vt:variant>
        <vt:i4>0</vt:i4>
      </vt:variant>
      <vt:variant>
        <vt:i4>5</vt:i4>
      </vt:variant>
      <vt:variant>
        <vt:lpwstr/>
      </vt:variant>
      <vt:variant>
        <vt:lpwstr>_Toc141445532</vt:lpwstr>
      </vt:variant>
      <vt:variant>
        <vt:i4>1114161</vt:i4>
      </vt:variant>
      <vt:variant>
        <vt:i4>896</vt:i4>
      </vt:variant>
      <vt:variant>
        <vt:i4>0</vt:i4>
      </vt:variant>
      <vt:variant>
        <vt:i4>5</vt:i4>
      </vt:variant>
      <vt:variant>
        <vt:lpwstr/>
      </vt:variant>
      <vt:variant>
        <vt:lpwstr>_Toc141445531</vt:lpwstr>
      </vt:variant>
      <vt:variant>
        <vt:i4>1114161</vt:i4>
      </vt:variant>
      <vt:variant>
        <vt:i4>890</vt:i4>
      </vt:variant>
      <vt:variant>
        <vt:i4>0</vt:i4>
      </vt:variant>
      <vt:variant>
        <vt:i4>5</vt:i4>
      </vt:variant>
      <vt:variant>
        <vt:lpwstr/>
      </vt:variant>
      <vt:variant>
        <vt:lpwstr>_Toc141445530</vt:lpwstr>
      </vt:variant>
      <vt:variant>
        <vt:i4>1048625</vt:i4>
      </vt:variant>
      <vt:variant>
        <vt:i4>884</vt:i4>
      </vt:variant>
      <vt:variant>
        <vt:i4>0</vt:i4>
      </vt:variant>
      <vt:variant>
        <vt:i4>5</vt:i4>
      </vt:variant>
      <vt:variant>
        <vt:lpwstr/>
      </vt:variant>
      <vt:variant>
        <vt:lpwstr>_Toc141445529</vt:lpwstr>
      </vt:variant>
      <vt:variant>
        <vt:i4>1048625</vt:i4>
      </vt:variant>
      <vt:variant>
        <vt:i4>878</vt:i4>
      </vt:variant>
      <vt:variant>
        <vt:i4>0</vt:i4>
      </vt:variant>
      <vt:variant>
        <vt:i4>5</vt:i4>
      </vt:variant>
      <vt:variant>
        <vt:lpwstr/>
      </vt:variant>
      <vt:variant>
        <vt:lpwstr>_Toc141445528</vt:lpwstr>
      </vt:variant>
      <vt:variant>
        <vt:i4>1048625</vt:i4>
      </vt:variant>
      <vt:variant>
        <vt:i4>872</vt:i4>
      </vt:variant>
      <vt:variant>
        <vt:i4>0</vt:i4>
      </vt:variant>
      <vt:variant>
        <vt:i4>5</vt:i4>
      </vt:variant>
      <vt:variant>
        <vt:lpwstr/>
      </vt:variant>
      <vt:variant>
        <vt:lpwstr>_Toc141445527</vt:lpwstr>
      </vt:variant>
      <vt:variant>
        <vt:i4>1048625</vt:i4>
      </vt:variant>
      <vt:variant>
        <vt:i4>866</vt:i4>
      </vt:variant>
      <vt:variant>
        <vt:i4>0</vt:i4>
      </vt:variant>
      <vt:variant>
        <vt:i4>5</vt:i4>
      </vt:variant>
      <vt:variant>
        <vt:lpwstr/>
      </vt:variant>
      <vt:variant>
        <vt:lpwstr>_Toc141445526</vt:lpwstr>
      </vt:variant>
      <vt:variant>
        <vt:i4>1048625</vt:i4>
      </vt:variant>
      <vt:variant>
        <vt:i4>860</vt:i4>
      </vt:variant>
      <vt:variant>
        <vt:i4>0</vt:i4>
      </vt:variant>
      <vt:variant>
        <vt:i4>5</vt:i4>
      </vt:variant>
      <vt:variant>
        <vt:lpwstr/>
      </vt:variant>
      <vt:variant>
        <vt:lpwstr>_Toc141445525</vt:lpwstr>
      </vt:variant>
      <vt:variant>
        <vt:i4>1048625</vt:i4>
      </vt:variant>
      <vt:variant>
        <vt:i4>854</vt:i4>
      </vt:variant>
      <vt:variant>
        <vt:i4>0</vt:i4>
      </vt:variant>
      <vt:variant>
        <vt:i4>5</vt:i4>
      </vt:variant>
      <vt:variant>
        <vt:lpwstr/>
      </vt:variant>
      <vt:variant>
        <vt:lpwstr>_Toc141445524</vt:lpwstr>
      </vt:variant>
      <vt:variant>
        <vt:i4>1048625</vt:i4>
      </vt:variant>
      <vt:variant>
        <vt:i4>848</vt:i4>
      </vt:variant>
      <vt:variant>
        <vt:i4>0</vt:i4>
      </vt:variant>
      <vt:variant>
        <vt:i4>5</vt:i4>
      </vt:variant>
      <vt:variant>
        <vt:lpwstr/>
      </vt:variant>
      <vt:variant>
        <vt:lpwstr>_Toc141445523</vt:lpwstr>
      </vt:variant>
      <vt:variant>
        <vt:i4>1048625</vt:i4>
      </vt:variant>
      <vt:variant>
        <vt:i4>842</vt:i4>
      </vt:variant>
      <vt:variant>
        <vt:i4>0</vt:i4>
      </vt:variant>
      <vt:variant>
        <vt:i4>5</vt:i4>
      </vt:variant>
      <vt:variant>
        <vt:lpwstr/>
      </vt:variant>
      <vt:variant>
        <vt:lpwstr>_Toc141445522</vt:lpwstr>
      </vt:variant>
      <vt:variant>
        <vt:i4>1048625</vt:i4>
      </vt:variant>
      <vt:variant>
        <vt:i4>836</vt:i4>
      </vt:variant>
      <vt:variant>
        <vt:i4>0</vt:i4>
      </vt:variant>
      <vt:variant>
        <vt:i4>5</vt:i4>
      </vt:variant>
      <vt:variant>
        <vt:lpwstr/>
      </vt:variant>
      <vt:variant>
        <vt:lpwstr>_Toc141445521</vt:lpwstr>
      </vt:variant>
      <vt:variant>
        <vt:i4>1048625</vt:i4>
      </vt:variant>
      <vt:variant>
        <vt:i4>830</vt:i4>
      </vt:variant>
      <vt:variant>
        <vt:i4>0</vt:i4>
      </vt:variant>
      <vt:variant>
        <vt:i4>5</vt:i4>
      </vt:variant>
      <vt:variant>
        <vt:lpwstr/>
      </vt:variant>
      <vt:variant>
        <vt:lpwstr>_Toc141445520</vt:lpwstr>
      </vt:variant>
      <vt:variant>
        <vt:i4>1245233</vt:i4>
      </vt:variant>
      <vt:variant>
        <vt:i4>824</vt:i4>
      </vt:variant>
      <vt:variant>
        <vt:i4>0</vt:i4>
      </vt:variant>
      <vt:variant>
        <vt:i4>5</vt:i4>
      </vt:variant>
      <vt:variant>
        <vt:lpwstr/>
      </vt:variant>
      <vt:variant>
        <vt:lpwstr>_Toc141445519</vt:lpwstr>
      </vt:variant>
      <vt:variant>
        <vt:i4>1245233</vt:i4>
      </vt:variant>
      <vt:variant>
        <vt:i4>818</vt:i4>
      </vt:variant>
      <vt:variant>
        <vt:i4>0</vt:i4>
      </vt:variant>
      <vt:variant>
        <vt:i4>5</vt:i4>
      </vt:variant>
      <vt:variant>
        <vt:lpwstr/>
      </vt:variant>
      <vt:variant>
        <vt:lpwstr>_Toc141445518</vt:lpwstr>
      </vt:variant>
      <vt:variant>
        <vt:i4>1245233</vt:i4>
      </vt:variant>
      <vt:variant>
        <vt:i4>812</vt:i4>
      </vt:variant>
      <vt:variant>
        <vt:i4>0</vt:i4>
      </vt:variant>
      <vt:variant>
        <vt:i4>5</vt:i4>
      </vt:variant>
      <vt:variant>
        <vt:lpwstr/>
      </vt:variant>
      <vt:variant>
        <vt:lpwstr>_Toc141445517</vt:lpwstr>
      </vt:variant>
      <vt:variant>
        <vt:i4>1245233</vt:i4>
      </vt:variant>
      <vt:variant>
        <vt:i4>806</vt:i4>
      </vt:variant>
      <vt:variant>
        <vt:i4>0</vt:i4>
      </vt:variant>
      <vt:variant>
        <vt:i4>5</vt:i4>
      </vt:variant>
      <vt:variant>
        <vt:lpwstr/>
      </vt:variant>
      <vt:variant>
        <vt:lpwstr>_Toc141445516</vt:lpwstr>
      </vt:variant>
      <vt:variant>
        <vt:i4>1245233</vt:i4>
      </vt:variant>
      <vt:variant>
        <vt:i4>800</vt:i4>
      </vt:variant>
      <vt:variant>
        <vt:i4>0</vt:i4>
      </vt:variant>
      <vt:variant>
        <vt:i4>5</vt:i4>
      </vt:variant>
      <vt:variant>
        <vt:lpwstr/>
      </vt:variant>
      <vt:variant>
        <vt:lpwstr>_Toc141445515</vt:lpwstr>
      </vt:variant>
      <vt:variant>
        <vt:i4>1245233</vt:i4>
      </vt:variant>
      <vt:variant>
        <vt:i4>794</vt:i4>
      </vt:variant>
      <vt:variant>
        <vt:i4>0</vt:i4>
      </vt:variant>
      <vt:variant>
        <vt:i4>5</vt:i4>
      </vt:variant>
      <vt:variant>
        <vt:lpwstr/>
      </vt:variant>
      <vt:variant>
        <vt:lpwstr>_Toc141445514</vt:lpwstr>
      </vt:variant>
      <vt:variant>
        <vt:i4>1245233</vt:i4>
      </vt:variant>
      <vt:variant>
        <vt:i4>788</vt:i4>
      </vt:variant>
      <vt:variant>
        <vt:i4>0</vt:i4>
      </vt:variant>
      <vt:variant>
        <vt:i4>5</vt:i4>
      </vt:variant>
      <vt:variant>
        <vt:lpwstr/>
      </vt:variant>
      <vt:variant>
        <vt:lpwstr>_Toc141445513</vt:lpwstr>
      </vt:variant>
      <vt:variant>
        <vt:i4>1245233</vt:i4>
      </vt:variant>
      <vt:variant>
        <vt:i4>782</vt:i4>
      </vt:variant>
      <vt:variant>
        <vt:i4>0</vt:i4>
      </vt:variant>
      <vt:variant>
        <vt:i4>5</vt:i4>
      </vt:variant>
      <vt:variant>
        <vt:lpwstr/>
      </vt:variant>
      <vt:variant>
        <vt:lpwstr>_Toc141445512</vt:lpwstr>
      </vt:variant>
      <vt:variant>
        <vt:i4>1245233</vt:i4>
      </vt:variant>
      <vt:variant>
        <vt:i4>776</vt:i4>
      </vt:variant>
      <vt:variant>
        <vt:i4>0</vt:i4>
      </vt:variant>
      <vt:variant>
        <vt:i4>5</vt:i4>
      </vt:variant>
      <vt:variant>
        <vt:lpwstr/>
      </vt:variant>
      <vt:variant>
        <vt:lpwstr>_Toc141445511</vt:lpwstr>
      </vt:variant>
      <vt:variant>
        <vt:i4>1245233</vt:i4>
      </vt:variant>
      <vt:variant>
        <vt:i4>770</vt:i4>
      </vt:variant>
      <vt:variant>
        <vt:i4>0</vt:i4>
      </vt:variant>
      <vt:variant>
        <vt:i4>5</vt:i4>
      </vt:variant>
      <vt:variant>
        <vt:lpwstr/>
      </vt:variant>
      <vt:variant>
        <vt:lpwstr>_Toc141445510</vt:lpwstr>
      </vt:variant>
      <vt:variant>
        <vt:i4>1179697</vt:i4>
      </vt:variant>
      <vt:variant>
        <vt:i4>764</vt:i4>
      </vt:variant>
      <vt:variant>
        <vt:i4>0</vt:i4>
      </vt:variant>
      <vt:variant>
        <vt:i4>5</vt:i4>
      </vt:variant>
      <vt:variant>
        <vt:lpwstr/>
      </vt:variant>
      <vt:variant>
        <vt:lpwstr>_Toc141445509</vt:lpwstr>
      </vt:variant>
      <vt:variant>
        <vt:i4>1179697</vt:i4>
      </vt:variant>
      <vt:variant>
        <vt:i4>758</vt:i4>
      </vt:variant>
      <vt:variant>
        <vt:i4>0</vt:i4>
      </vt:variant>
      <vt:variant>
        <vt:i4>5</vt:i4>
      </vt:variant>
      <vt:variant>
        <vt:lpwstr/>
      </vt:variant>
      <vt:variant>
        <vt:lpwstr>_Toc141445508</vt:lpwstr>
      </vt:variant>
      <vt:variant>
        <vt:i4>1179697</vt:i4>
      </vt:variant>
      <vt:variant>
        <vt:i4>752</vt:i4>
      </vt:variant>
      <vt:variant>
        <vt:i4>0</vt:i4>
      </vt:variant>
      <vt:variant>
        <vt:i4>5</vt:i4>
      </vt:variant>
      <vt:variant>
        <vt:lpwstr/>
      </vt:variant>
      <vt:variant>
        <vt:lpwstr>_Toc141445507</vt:lpwstr>
      </vt:variant>
      <vt:variant>
        <vt:i4>1179697</vt:i4>
      </vt:variant>
      <vt:variant>
        <vt:i4>746</vt:i4>
      </vt:variant>
      <vt:variant>
        <vt:i4>0</vt:i4>
      </vt:variant>
      <vt:variant>
        <vt:i4>5</vt:i4>
      </vt:variant>
      <vt:variant>
        <vt:lpwstr/>
      </vt:variant>
      <vt:variant>
        <vt:lpwstr>_Toc141445506</vt:lpwstr>
      </vt:variant>
      <vt:variant>
        <vt:i4>1179697</vt:i4>
      </vt:variant>
      <vt:variant>
        <vt:i4>740</vt:i4>
      </vt:variant>
      <vt:variant>
        <vt:i4>0</vt:i4>
      </vt:variant>
      <vt:variant>
        <vt:i4>5</vt:i4>
      </vt:variant>
      <vt:variant>
        <vt:lpwstr/>
      </vt:variant>
      <vt:variant>
        <vt:lpwstr>_Toc141445505</vt:lpwstr>
      </vt:variant>
      <vt:variant>
        <vt:i4>1179697</vt:i4>
      </vt:variant>
      <vt:variant>
        <vt:i4>734</vt:i4>
      </vt:variant>
      <vt:variant>
        <vt:i4>0</vt:i4>
      </vt:variant>
      <vt:variant>
        <vt:i4>5</vt:i4>
      </vt:variant>
      <vt:variant>
        <vt:lpwstr/>
      </vt:variant>
      <vt:variant>
        <vt:lpwstr>_Toc141445504</vt:lpwstr>
      </vt:variant>
      <vt:variant>
        <vt:i4>1179697</vt:i4>
      </vt:variant>
      <vt:variant>
        <vt:i4>728</vt:i4>
      </vt:variant>
      <vt:variant>
        <vt:i4>0</vt:i4>
      </vt:variant>
      <vt:variant>
        <vt:i4>5</vt:i4>
      </vt:variant>
      <vt:variant>
        <vt:lpwstr/>
      </vt:variant>
      <vt:variant>
        <vt:lpwstr>_Toc141445503</vt:lpwstr>
      </vt:variant>
      <vt:variant>
        <vt:i4>1179697</vt:i4>
      </vt:variant>
      <vt:variant>
        <vt:i4>722</vt:i4>
      </vt:variant>
      <vt:variant>
        <vt:i4>0</vt:i4>
      </vt:variant>
      <vt:variant>
        <vt:i4>5</vt:i4>
      </vt:variant>
      <vt:variant>
        <vt:lpwstr/>
      </vt:variant>
      <vt:variant>
        <vt:lpwstr>_Toc141445502</vt:lpwstr>
      </vt:variant>
      <vt:variant>
        <vt:i4>1179697</vt:i4>
      </vt:variant>
      <vt:variant>
        <vt:i4>716</vt:i4>
      </vt:variant>
      <vt:variant>
        <vt:i4>0</vt:i4>
      </vt:variant>
      <vt:variant>
        <vt:i4>5</vt:i4>
      </vt:variant>
      <vt:variant>
        <vt:lpwstr/>
      </vt:variant>
      <vt:variant>
        <vt:lpwstr>_Toc141445501</vt:lpwstr>
      </vt:variant>
      <vt:variant>
        <vt:i4>1179697</vt:i4>
      </vt:variant>
      <vt:variant>
        <vt:i4>710</vt:i4>
      </vt:variant>
      <vt:variant>
        <vt:i4>0</vt:i4>
      </vt:variant>
      <vt:variant>
        <vt:i4>5</vt:i4>
      </vt:variant>
      <vt:variant>
        <vt:lpwstr/>
      </vt:variant>
      <vt:variant>
        <vt:lpwstr>_Toc141445500</vt:lpwstr>
      </vt:variant>
      <vt:variant>
        <vt:i4>1769520</vt:i4>
      </vt:variant>
      <vt:variant>
        <vt:i4>704</vt:i4>
      </vt:variant>
      <vt:variant>
        <vt:i4>0</vt:i4>
      </vt:variant>
      <vt:variant>
        <vt:i4>5</vt:i4>
      </vt:variant>
      <vt:variant>
        <vt:lpwstr/>
      </vt:variant>
      <vt:variant>
        <vt:lpwstr>_Toc141445499</vt:lpwstr>
      </vt:variant>
      <vt:variant>
        <vt:i4>1769520</vt:i4>
      </vt:variant>
      <vt:variant>
        <vt:i4>698</vt:i4>
      </vt:variant>
      <vt:variant>
        <vt:i4>0</vt:i4>
      </vt:variant>
      <vt:variant>
        <vt:i4>5</vt:i4>
      </vt:variant>
      <vt:variant>
        <vt:lpwstr/>
      </vt:variant>
      <vt:variant>
        <vt:lpwstr>_Toc141445498</vt:lpwstr>
      </vt:variant>
      <vt:variant>
        <vt:i4>1769520</vt:i4>
      </vt:variant>
      <vt:variant>
        <vt:i4>692</vt:i4>
      </vt:variant>
      <vt:variant>
        <vt:i4>0</vt:i4>
      </vt:variant>
      <vt:variant>
        <vt:i4>5</vt:i4>
      </vt:variant>
      <vt:variant>
        <vt:lpwstr/>
      </vt:variant>
      <vt:variant>
        <vt:lpwstr>_Toc141445497</vt:lpwstr>
      </vt:variant>
      <vt:variant>
        <vt:i4>1769520</vt:i4>
      </vt:variant>
      <vt:variant>
        <vt:i4>686</vt:i4>
      </vt:variant>
      <vt:variant>
        <vt:i4>0</vt:i4>
      </vt:variant>
      <vt:variant>
        <vt:i4>5</vt:i4>
      </vt:variant>
      <vt:variant>
        <vt:lpwstr/>
      </vt:variant>
      <vt:variant>
        <vt:lpwstr>_Toc141445496</vt:lpwstr>
      </vt:variant>
      <vt:variant>
        <vt:i4>1769520</vt:i4>
      </vt:variant>
      <vt:variant>
        <vt:i4>680</vt:i4>
      </vt:variant>
      <vt:variant>
        <vt:i4>0</vt:i4>
      </vt:variant>
      <vt:variant>
        <vt:i4>5</vt:i4>
      </vt:variant>
      <vt:variant>
        <vt:lpwstr/>
      </vt:variant>
      <vt:variant>
        <vt:lpwstr>_Toc141445495</vt:lpwstr>
      </vt:variant>
      <vt:variant>
        <vt:i4>1769520</vt:i4>
      </vt:variant>
      <vt:variant>
        <vt:i4>674</vt:i4>
      </vt:variant>
      <vt:variant>
        <vt:i4>0</vt:i4>
      </vt:variant>
      <vt:variant>
        <vt:i4>5</vt:i4>
      </vt:variant>
      <vt:variant>
        <vt:lpwstr/>
      </vt:variant>
      <vt:variant>
        <vt:lpwstr>_Toc141445494</vt:lpwstr>
      </vt:variant>
      <vt:variant>
        <vt:i4>1769520</vt:i4>
      </vt:variant>
      <vt:variant>
        <vt:i4>668</vt:i4>
      </vt:variant>
      <vt:variant>
        <vt:i4>0</vt:i4>
      </vt:variant>
      <vt:variant>
        <vt:i4>5</vt:i4>
      </vt:variant>
      <vt:variant>
        <vt:lpwstr/>
      </vt:variant>
      <vt:variant>
        <vt:lpwstr>_Toc141445493</vt:lpwstr>
      </vt:variant>
      <vt:variant>
        <vt:i4>1769520</vt:i4>
      </vt:variant>
      <vt:variant>
        <vt:i4>662</vt:i4>
      </vt:variant>
      <vt:variant>
        <vt:i4>0</vt:i4>
      </vt:variant>
      <vt:variant>
        <vt:i4>5</vt:i4>
      </vt:variant>
      <vt:variant>
        <vt:lpwstr/>
      </vt:variant>
      <vt:variant>
        <vt:lpwstr>_Toc141445492</vt:lpwstr>
      </vt:variant>
      <vt:variant>
        <vt:i4>1769520</vt:i4>
      </vt:variant>
      <vt:variant>
        <vt:i4>656</vt:i4>
      </vt:variant>
      <vt:variant>
        <vt:i4>0</vt:i4>
      </vt:variant>
      <vt:variant>
        <vt:i4>5</vt:i4>
      </vt:variant>
      <vt:variant>
        <vt:lpwstr/>
      </vt:variant>
      <vt:variant>
        <vt:lpwstr>_Toc141445491</vt:lpwstr>
      </vt:variant>
      <vt:variant>
        <vt:i4>1769520</vt:i4>
      </vt:variant>
      <vt:variant>
        <vt:i4>650</vt:i4>
      </vt:variant>
      <vt:variant>
        <vt:i4>0</vt:i4>
      </vt:variant>
      <vt:variant>
        <vt:i4>5</vt:i4>
      </vt:variant>
      <vt:variant>
        <vt:lpwstr/>
      </vt:variant>
      <vt:variant>
        <vt:lpwstr>_Toc141445490</vt:lpwstr>
      </vt:variant>
      <vt:variant>
        <vt:i4>1703984</vt:i4>
      </vt:variant>
      <vt:variant>
        <vt:i4>641</vt:i4>
      </vt:variant>
      <vt:variant>
        <vt:i4>0</vt:i4>
      </vt:variant>
      <vt:variant>
        <vt:i4>5</vt:i4>
      </vt:variant>
      <vt:variant>
        <vt:lpwstr/>
      </vt:variant>
      <vt:variant>
        <vt:lpwstr>_Toc141445489</vt:lpwstr>
      </vt:variant>
      <vt:variant>
        <vt:i4>1703984</vt:i4>
      </vt:variant>
      <vt:variant>
        <vt:i4>635</vt:i4>
      </vt:variant>
      <vt:variant>
        <vt:i4>0</vt:i4>
      </vt:variant>
      <vt:variant>
        <vt:i4>5</vt:i4>
      </vt:variant>
      <vt:variant>
        <vt:lpwstr/>
      </vt:variant>
      <vt:variant>
        <vt:lpwstr>_Toc141445488</vt:lpwstr>
      </vt:variant>
      <vt:variant>
        <vt:i4>1703984</vt:i4>
      </vt:variant>
      <vt:variant>
        <vt:i4>629</vt:i4>
      </vt:variant>
      <vt:variant>
        <vt:i4>0</vt:i4>
      </vt:variant>
      <vt:variant>
        <vt:i4>5</vt:i4>
      </vt:variant>
      <vt:variant>
        <vt:lpwstr/>
      </vt:variant>
      <vt:variant>
        <vt:lpwstr>_Toc141445487</vt:lpwstr>
      </vt:variant>
      <vt:variant>
        <vt:i4>1703984</vt:i4>
      </vt:variant>
      <vt:variant>
        <vt:i4>623</vt:i4>
      </vt:variant>
      <vt:variant>
        <vt:i4>0</vt:i4>
      </vt:variant>
      <vt:variant>
        <vt:i4>5</vt:i4>
      </vt:variant>
      <vt:variant>
        <vt:lpwstr/>
      </vt:variant>
      <vt:variant>
        <vt:lpwstr>_Toc141445486</vt:lpwstr>
      </vt:variant>
      <vt:variant>
        <vt:i4>1703984</vt:i4>
      </vt:variant>
      <vt:variant>
        <vt:i4>617</vt:i4>
      </vt:variant>
      <vt:variant>
        <vt:i4>0</vt:i4>
      </vt:variant>
      <vt:variant>
        <vt:i4>5</vt:i4>
      </vt:variant>
      <vt:variant>
        <vt:lpwstr/>
      </vt:variant>
      <vt:variant>
        <vt:lpwstr>_Toc141445485</vt:lpwstr>
      </vt:variant>
      <vt:variant>
        <vt:i4>1703984</vt:i4>
      </vt:variant>
      <vt:variant>
        <vt:i4>611</vt:i4>
      </vt:variant>
      <vt:variant>
        <vt:i4>0</vt:i4>
      </vt:variant>
      <vt:variant>
        <vt:i4>5</vt:i4>
      </vt:variant>
      <vt:variant>
        <vt:lpwstr/>
      </vt:variant>
      <vt:variant>
        <vt:lpwstr>_Toc141445484</vt:lpwstr>
      </vt:variant>
      <vt:variant>
        <vt:i4>1703984</vt:i4>
      </vt:variant>
      <vt:variant>
        <vt:i4>605</vt:i4>
      </vt:variant>
      <vt:variant>
        <vt:i4>0</vt:i4>
      </vt:variant>
      <vt:variant>
        <vt:i4>5</vt:i4>
      </vt:variant>
      <vt:variant>
        <vt:lpwstr/>
      </vt:variant>
      <vt:variant>
        <vt:lpwstr>_Toc141445483</vt:lpwstr>
      </vt:variant>
      <vt:variant>
        <vt:i4>1703984</vt:i4>
      </vt:variant>
      <vt:variant>
        <vt:i4>599</vt:i4>
      </vt:variant>
      <vt:variant>
        <vt:i4>0</vt:i4>
      </vt:variant>
      <vt:variant>
        <vt:i4>5</vt:i4>
      </vt:variant>
      <vt:variant>
        <vt:lpwstr/>
      </vt:variant>
      <vt:variant>
        <vt:lpwstr>_Toc141445482</vt:lpwstr>
      </vt:variant>
      <vt:variant>
        <vt:i4>1703984</vt:i4>
      </vt:variant>
      <vt:variant>
        <vt:i4>593</vt:i4>
      </vt:variant>
      <vt:variant>
        <vt:i4>0</vt:i4>
      </vt:variant>
      <vt:variant>
        <vt:i4>5</vt:i4>
      </vt:variant>
      <vt:variant>
        <vt:lpwstr/>
      </vt:variant>
      <vt:variant>
        <vt:lpwstr>_Toc141445481</vt:lpwstr>
      </vt:variant>
      <vt:variant>
        <vt:i4>1703984</vt:i4>
      </vt:variant>
      <vt:variant>
        <vt:i4>587</vt:i4>
      </vt:variant>
      <vt:variant>
        <vt:i4>0</vt:i4>
      </vt:variant>
      <vt:variant>
        <vt:i4>5</vt:i4>
      </vt:variant>
      <vt:variant>
        <vt:lpwstr/>
      </vt:variant>
      <vt:variant>
        <vt:lpwstr>_Toc141445480</vt:lpwstr>
      </vt:variant>
      <vt:variant>
        <vt:i4>1376304</vt:i4>
      </vt:variant>
      <vt:variant>
        <vt:i4>581</vt:i4>
      </vt:variant>
      <vt:variant>
        <vt:i4>0</vt:i4>
      </vt:variant>
      <vt:variant>
        <vt:i4>5</vt:i4>
      </vt:variant>
      <vt:variant>
        <vt:lpwstr/>
      </vt:variant>
      <vt:variant>
        <vt:lpwstr>_Toc141445479</vt:lpwstr>
      </vt:variant>
      <vt:variant>
        <vt:i4>1376304</vt:i4>
      </vt:variant>
      <vt:variant>
        <vt:i4>575</vt:i4>
      </vt:variant>
      <vt:variant>
        <vt:i4>0</vt:i4>
      </vt:variant>
      <vt:variant>
        <vt:i4>5</vt:i4>
      </vt:variant>
      <vt:variant>
        <vt:lpwstr/>
      </vt:variant>
      <vt:variant>
        <vt:lpwstr>_Toc141445478</vt:lpwstr>
      </vt:variant>
      <vt:variant>
        <vt:i4>1376304</vt:i4>
      </vt:variant>
      <vt:variant>
        <vt:i4>569</vt:i4>
      </vt:variant>
      <vt:variant>
        <vt:i4>0</vt:i4>
      </vt:variant>
      <vt:variant>
        <vt:i4>5</vt:i4>
      </vt:variant>
      <vt:variant>
        <vt:lpwstr/>
      </vt:variant>
      <vt:variant>
        <vt:lpwstr>_Toc141445477</vt:lpwstr>
      </vt:variant>
      <vt:variant>
        <vt:i4>1376304</vt:i4>
      </vt:variant>
      <vt:variant>
        <vt:i4>563</vt:i4>
      </vt:variant>
      <vt:variant>
        <vt:i4>0</vt:i4>
      </vt:variant>
      <vt:variant>
        <vt:i4>5</vt:i4>
      </vt:variant>
      <vt:variant>
        <vt:lpwstr/>
      </vt:variant>
      <vt:variant>
        <vt:lpwstr>_Toc141445476</vt:lpwstr>
      </vt:variant>
      <vt:variant>
        <vt:i4>1376304</vt:i4>
      </vt:variant>
      <vt:variant>
        <vt:i4>557</vt:i4>
      </vt:variant>
      <vt:variant>
        <vt:i4>0</vt:i4>
      </vt:variant>
      <vt:variant>
        <vt:i4>5</vt:i4>
      </vt:variant>
      <vt:variant>
        <vt:lpwstr/>
      </vt:variant>
      <vt:variant>
        <vt:lpwstr>_Toc141445475</vt:lpwstr>
      </vt:variant>
      <vt:variant>
        <vt:i4>1376304</vt:i4>
      </vt:variant>
      <vt:variant>
        <vt:i4>551</vt:i4>
      </vt:variant>
      <vt:variant>
        <vt:i4>0</vt:i4>
      </vt:variant>
      <vt:variant>
        <vt:i4>5</vt:i4>
      </vt:variant>
      <vt:variant>
        <vt:lpwstr/>
      </vt:variant>
      <vt:variant>
        <vt:lpwstr>_Toc141445474</vt:lpwstr>
      </vt:variant>
      <vt:variant>
        <vt:i4>1376304</vt:i4>
      </vt:variant>
      <vt:variant>
        <vt:i4>545</vt:i4>
      </vt:variant>
      <vt:variant>
        <vt:i4>0</vt:i4>
      </vt:variant>
      <vt:variant>
        <vt:i4>5</vt:i4>
      </vt:variant>
      <vt:variant>
        <vt:lpwstr/>
      </vt:variant>
      <vt:variant>
        <vt:lpwstr>_Toc141445473</vt:lpwstr>
      </vt:variant>
      <vt:variant>
        <vt:i4>1376304</vt:i4>
      </vt:variant>
      <vt:variant>
        <vt:i4>539</vt:i4>
      </vt:variant>
      <vt:variant>
        <vt:i4>0</vt:i4>
      </vt:variant>
      <vt:variant>
        <vt:i4>5</vt:i4>
      </vt:variant>
      <vt:variant>
        <vt:lpwstr/>
      </vt:variant>
      <vt:variant>
        <vt:lpwstr>_Toc141445472</vt:lpwstr>
      </vt:variant>
      <vt:variant>
        <vt:i4>1376304</vt:i4>
      </vt:variant>
      <vt:variant>
        <vt:i4>533</vt:i4>
      </vt:variant>
      <vt:variant>
        <vt:i4>0</vt:i4>
      </vt:variant>
      <vt:variant>
        <vt:i4>5</vt:i4>
      </vt:variant>
      <vt:variant>
        <vt:lpwstr/>
      </vt:variant>
      <vt:variant>
        <vt:lpwstr>_Toc141445471</vt:lpwstr>
      </vt:variant>
      <vt:variant>
        <vt:i4>1376304</vt:i4>
      </vt:variant>
      <vt:variant>
        <vt:i4>527</vt:i4>
      </vt:variant>
      <vt:variant>
        <vt:i4>0</vt:i4>
      </vt:variant>
      <vt:variant>
        <vt:i4>5</vt:i4>
      </vt:variant>
      <vt:variant>
        <vt:lpwstr/>
      </vt:variant>
      <vt:variant>
        <vt:lpwstr>_Toc141445470</vt:lpwstr>
      </vt:variant>
      <vt:variant>
        <vt:i4>1310768</vt:i4>
      </vt:variant>
      <vt:variant>
        <vt:i4>521</vt:i4>
      </vt:variant>
      <vt:variant>
        <vt:i4>0</vt:i4>
      </vt:variant>
      <vt:variant>
        <vt:i4>5</vt:i4>
      </vt:variant>
      <vt:variant>
        <vt:lpwstr/>
      </vt:variant>
      <vt:variant>
        <vt:lpwstr>_Toc141445469</vt:lpwstr>
      </vt:variant>
      <vt:variant>
        <vt:i4>1310768</vt:i4>
      </vt:variant>
      <vt:variant>
        <vt:i4>515</vt:i4>
      </vt:variant>
      <vt:variant>
        <vt:i4>0</vt:i4>
      </vt:variant>
      <vt:variant>
        <vt:i4>5</vt:i4>
      </vt:variant>
      <vt:variant>
        <vt:lpwstr/>
      </vt:variant>
      <vt:variant>
        <vt:lpwstr>_Toc141445468</vt:lpwstr>
      </vt:variant>
      <vt:variant>
        <vt:i4>1310768</vt:i4>
      </vt:variant>
      <vt:variant>
        <vt:i4>509</vt:i4>
      </vt:variant>
      <vt:variant>
        <vt:i4>0</vt:i4>
      </vt:variant>
      <vt:variant>
        <vt:i4>5</vt:i4>
      </vt:variant>
      <vt:variant>
        <vt:lpwstr/>
      </vt:variant>
      <vt:variant>
        <vt:lpwstr>_Toc141445467</vt:lpwstr>
      </vt:variant>
      <vt:variant>
        <vt:i4>1310768</vt:i4>
      </vt:variant>
      <vt:variant>
        <vt:i4>503</vt:i4>
      </vt:variant>
      <vt:variant>
        <vt:i4>0</vt:i4>
      </vt:variant>
      <vt:variant>
        <vt:i4>5</vt:i4>
      </vt:variant>
      <vt:variant>
        <vt:lpwstr/>
      </vt:variant>
      <vt:variant>
        <vt:lpwstr>_Toc141445466</vt:lpwstr>
      </vt:variant>
      <vt:variant>
        <vt:i4>1310768</vt:i4>
      </vt:variant>
      <vt:variant>
        <vt:i4>497</vt:i4>
      </vt:variant>
      <vt:variant>
        <vt:i4>0</vt:i4>
      </vt:variant>
      <vt:variant>
        <vt:i4>5</vt:i4>
      </vt:variant>
      <vt:variant>
        <vt:lpwstr/>
      </vt:variant>
      <vt:variant>
        <vt:lpwstr>_Toc141445465</vt:lpwstr>
      </vt:variant>
      <vt:variant>
        <vt:i4>1310768</vt:i4>
      </vt:variant>
      <vt:variant>
        <vt:i4>491</vt:i4>
      </vt:variant>
      <vt:variant>
        <vt:i4>0</vt:i4>
      </vt:variant>
      <vt:variant>
        <vt:i4>5</vt:i4>
      </vt:variant>
      <vt:variant>
        <vt:lpwstr/>
      </vt:variant>
      <vt:variant>
        <vt:lpwstr>_Toc141445464</vt:lpwstr>
      </vt:variant>
      <vt:variant>
        <vt:i4>1310768</vt:i4>
      </vt:variant>
      <vt:variant>
        <vt:i4>485</vt:i4>
      </vt:variant>
      <vt:variant>
        <vt:i4>0</vt:i4>
      </vt:variant>
      <vt:variant>
        <vt:i4>5</vt:i4>
      </vt:variant>
      <vt:variant>
        <vt:lpwstr/>
      </vt:variant>
      <vt:variant>
        <vt:lpwstr>_Toc141445463</vt:lpwstr>
      </vt:variant>
      <vt:variant>
        <vt:i4>1310768</vt:i4>
      </vt:variant>
      <vt:variant>
        <vt:i4>479</vt:i4>
      </vt:variant>
      <vt:variant>
        <vt:i4>0</vt:i4>
      </vt:variant>
      <vt:variant>
        <vt:i4>5</vt:i4>
      </vt:variant>
      <vt:variant>
        <vt:lpwstr/>
      </vt:variant>
      <vt:variant>
        <vt:lpwstr>_Toc141445462</vt:lpwstr>
      </vt:variant>
      <vt:variant>
        <vt:i4>1310768</vt:i4>
      </vt:variant>
      <vt:variant>
        <vt:i4>473</vt:i4>
      </vt:variant>
      <vt:variant>
        <vt:i4>0</vt:i4>
      </vt:variant>
      <vt:variant>
        <vt:i4>5</vt:i4>
      </vt:variant>
      <vt:variant>
        <vt:lpwstr/>
      </vt:variant>
      <vt:variant>
        <vt:lpwstr>_Toc141445461</vt:lpwstr>
      </vt:variant>
      <vt:variant>
        <vt:i4>1310768</vt:i4>
      </vt:variant>
      <vt:variant>
        <vt:i4>467</vt:i4>
      </vt:variant>
      <vt:variant>
        <vt:i4>0</vt:i4>
      </vt:variant>
      <vt:variant>
        <vt:i4>5</vt:i4>
      </vt:variant>
      <vt:variant>
        <vt:lpwstr/>
      </vt:variant>
      <vt:variant>
        <vt:lpwstr>_Toc141445460</vt:lpwstr>
      </vt:variant>
      <vt:variant>
        <vt:i4>1507376</vt:i4>
      </vt:variant>
      <vt:variant>
        <vt:i4>461</vt:i4>
      </vt:variant>
      <vt:variant>
        <vt:i4>0</vt:i4>
      </vt:variant>
      <vt:variant>
        <vt:i4>5</vt:i4>
      </vt:variant>
      <vt:variant>
        <vt:lpwstr/>
      </vt:variant>
      <vt:variant>
        <vt:lpwstr>_Toc141445459</vt:lpwstr>
      </vt:variant>
      <vt:variant>
        <vt:i4>1507376</vt:i4>
      </vt:variant>
      <vt:variant>
        <vt:i4>455</vt:i4>
      </vt:variant>
      <vt:variant>
        <vt:i4>0</vt:i4>
      </vt:variant>
      <vt:variant>
        <vt:i4>5</vt:i4>
      </vt:variant>
      <vt:variant>
        <vt:lpwstr/>
      </vt:variant>
      <vt:variant>
        <vt:lpwstr>_Toc141445458</vt:lpwstr>
      </vt:variant>
      <vt:variant>
        <vt:i4>1507376</vt:i4>
      </vt:variant>
      <vt:variant>
        <vt:i4>449</vt:i4>
      </vt:variant>
      <vt:variant>
        <vt:i4>0</vt:i4>
      </vt:variant>
      <vt:variant>
        <vt:i4>5</vt:i4>
      </vt:variant>
      <vt:variant>
        <vt:lpwstr/>
      </vt:variant>
      <vt:variant>
        <vt:lpwstr>_Toc141445457</vt:lpwstr>
      </vt:variant>
      <vt:variant>
        <vt:i4>1507376</vt:i4>
      </vt:variant>
      <vt:variant>
        <vt:i4>443</vt:i4>
      </vt:variant>
      <vt:variant>
        <vt:i4>0</vt:i4>
      </vt:variant>
      <vt:variant>
        <vt:i4>5</vt:i4>
      </vt:variant>
      <vt:variant>
        <vt:lpwstr/>
      </vt:variant>
      <vt:variant>
        <vt:lpwstr>_Toc141445456</vt:lpwstr>
      </vt:variant>
      <vt:variant>
        <vt:i4>1507376</vt:i4>
      </vt:variant>
      <vt:variant>
        <vt:i4>437</vt:i4>
      </vt:variant>
      <vt:variant>
        <vt:i4>0</vt:i4>
      </vt:variant>
      <vt:variant>
        <vt:i4>5</vt:i4>
      </vt:variant>
      <vt:variant>
        <vt:lpwstr/>
      </vt:variant>
      <vt:variant>
        <vt:lpwstr>_Toc141445455</vt:lpwstr>
      </vt:variant>
      <vt:variant>
        <vt:i4>1507376</vt:i4>
      </vt:variant>
      <vt:variant>
        <vt:i4>431</vt:i4>
      </vt:variant>
      <vt:variant>
        <vt:i4>0</vt:i4>
      </vt:variant>
      <vt:variant>
        <vt:i4>5</vt:i4>
      </vt:variant>
      <vt:variant>
        <vt:lpwstr/>
      </vt:variant>
      <vt:variant>
        <vt:lpwstr>_Toc141445454</vt:lpwstr>
      </vt:variant>
      <vt:variant>
        <vt:i4>1507376</vt:i4>
      </vt:variant>
      <vt:variant>
        <vt:i4>425</vt:i4>
      </vt:variant>
      <vt:variant>
        <vt:i4>0</vt:i4>
      </vt:variant>
      <vt:variant>
        <vt:i4>5</vt:i4>
      </vt:variant>
      <vt:variant>
        <vt:lpwstr/>
      </vt:variant>
      <vt:variant>
        <vt:lpwstr>_Toc141445453</vt:lpwstr>
      </vt:variant>
      <vt:variant>
        <vt:i4>1507376</vt:i4>
      </vt:variant>
      <vt:variant>
        <vt:i4>419</vt:i4>
      </vt:variant>
      <vt:variant>
        <vt:i4>0</vt:i4>
      </vt:variant>
      <vt:variant>
        <vt:i4>5</vt:i4>
      </vt:variant>
      <vt:variant>
        <vt:lpwstr/>
      </vt:variant>
      <vt:variant>
        <vt:lpwstr>_Toc141445452</vt:lpwstr>
      </vt:variant>
      <vt:variant>
        <vt:i4>1507376</vt:i4>
      </vt:variant>
      <vt:variant>
        <vt:i4>413</vt:i4>
      </vt:variant>
      <vt:variant>
        <vt:i4>0</vt:i4>
      </vt:variant>
      <vt:variant>
        <vt:i4>5</vt:i4>
      </vt:variant>
      <vt:variant>
        <vt:lpwstr/>
      </vt:variant>
      <vt:variant>
        <vt:lpwstr>_Toc141445451</vt:lpwstr>
      </vt:variant>
      <vt:variant>
        <vt:i4>1507376</vt:i4>
      </vt:variant>
      <vt:variant>
        <vt:i4>407</vt:i4>
      </vt:variant>
      <vt:variant>
        <vt:i4>0</vt:i4>
      </vt:variant>
      <vt:variant>
        <vt:i4>5</vt:i4>
      </vt:variant>
      <vt:variant>
        <vt:lpwstr/>
      </vt:variant>
      <vt:variant>
        <vt:lpwstr>_Toc141445450</vt:lpwstr>
      </vt:variant>
      <vt:variant>
        <vt:i4>1441840</vt:i4>
      </vt:variant>
      <vt:variant>
        <vt:i4>401</vt:i4>
      </vt:variant>
      <vt:variant>
        <vt:i4>0</vt:i4>
      </vt:variant>
      <vt:variant>
        <vt:i4>5</vt:i4>
      </vt:variant>
      <vt:variant>
        <vt:lpwstr/>
      </vt:variant>
      <vt:variant>
        <vt:lpwstr>_Toc141445449</vt:lpwstr>
      </vt:variant>
      <vt:variant>
        <vt:i4>1441840</vt:i4>
      </vt:variant>
      <vt:variant>
        <vt:i4>395</vt:i4>
      </vt:variant>
      <vt:variant>
        <vt:i4>0</vt:i4>
      </vt:variant>
      <vt:variant>
        <vt:i4>5</vt:i4>
      </vt:variant>
      <vt:variant>
        <vt:lpwstr/>
      </vt:variant>
      <vt:variant>
        <vt:lpwstr>_Toc141445448</vt:lpwstr>
      </vt:variant>
      <vt:variant>
        <vt:i4>1441840</vt:i4>
      </vt:variant>
      <vt:variant>
        <vt:i4>389</vt:i4>
      </vt:variant>
      <vt:variant>
        <vt:i4>0</vt:i4>
      </vt:variant>
      <vt:variant>
        <vt:i4>5</vt:i4>
      </vt:variant>
      <vt:variant>
        <vt:lpwstr/>
      </vt:variant>
      <vt:variant>
        <vt:lpwstr>_Toc141445447</vt:lpwstr>
      </vt:variant>
      <vt:variant>
        <vt:i4>1441840</vt:i4>
      </vt:variant>
      <vt:variant>
        <vt:i4>383</vt:i4>
      </vt:variant>
      <vt:variant>
        <vt:i4>0</vt:i4>
      </vt:variant>
      <vt:variant>
        <vt:i4>5</vt:i4>
      </vt:variant>
      <vt:variant>
        <vt:lpwstr/>
      </vt:variant>
      <vt:variant>
        <vt:lpwstr>_Toc141445446</vt:lpwstr>
      </vt:variant>
      <vt:variant>
        <vt:i4>1441840</vt:i4>
      </vt:variant>
      <vt:variant>
        <vt:i4>377</vt:i4>
      </vt:variant>
      <vt:variant>
        <vt:i4>0</vt:i4>
      </vt:variant>
      <vt:variant>
        <vt:i4>5</vt:i4>
      </vt:variant>
      <vt:variant>
        <vt:lpwstr/>
      </vt:variant>
      <vt:variant>
        <vt:lpwstr>_Toc141445445</vt:lpwstr>
      </vt:variant>
      <vt:variant>
        <vt:i4>1441840</vt:i4>
      </vt:variant>
      <vt:variant>
        <vt:i4>371</vt:i4>
      </vt:variant>
      <vt:variant>
        <vt:i4>0</vt:i4>
      </vt:variant>
      <vt:variant>
        <vt:i4>5</vt:i4>
      </vt:variant>
      <vt:variant>
        <vt:lpwstr/>
      </vt:variant>
      <vt:variant>
        <vt:lpwstr>_Toc141445444</vt:lpwstr>
      </vt:variant>
      <vt:variant>
        <vt:i4>1441840</vt:i4>
      </vt:variant>
      <vt:variant>
        <vt:i4>365</vt:i4>
      </vt:variant>
      <vt:variant>
        <vt:i4>0</vt:i4>
      </vt:variant>
      <vt:variant>
        <vt:i4>5</vt:i4>
      </vt:variant>
      <vt:variant>
        <vt:lpwstr/>
      </vt:variant>
      <vt:variant>
        <vt:lpwstr>_Toc141445443</vt:lpwstr>
      </vt:variant>
      <vt:variant>
        <vt:i4>1441840</vt:i4>
      </vt:variant>
      <vt:variant>
        <vt:i4>359</vt:i4>
      </vt:variant>
      <vt:variant>
        <vt:i4>0</vt:i4>
      </vt:variant>
      <vt:variant>
        <vt:i4>5</vt:i4>
      </vt:variant>
      <vt:variant>
        <vt:lpwstr/>
      </vt:variant>
      <vt:variant>
        <vt:lpwstr>_Toc141445442</vt:lpwstr>
      </vt:variant>
      <vt:variant>
        <vt:i4>1441840</vt:i4>
      </vt:variant>
      <vt:variant>
        <vt:i4>353</vt:i4>
      </vt:variant>
      <vt:variant>
        <vt:i4>0</vt:i4>
      </vt:variant>
      <vt:variant>
        <vt:i4>5</vt:i4>
      </vt:variant>
      <vt:variant>
        <vt:lpwstr/>
      </vt:variant>
      <vt:variant>
        <vt:lpwstr>_Toc141445441</vt:lpwstr>
      </vt:variant>
      <vt:variant>
        <vt:i4>1441840</vt:i4>
      </vt:variant>
      <vt:variant>
        <vt:i4>347</vt:i4>
      </vt:variant>
      <vt:variant>
        <vt:i4>0</vt:i4>
      </vt:variant>
      <vt:variant>
        <vt:i4>5</vt:i4>
      </vt:variant>
      <vt:variant>
        <vt:lpwstr/>
      </vt:variant>
      <vt:variant>
        <vt:lpwstr>_Toc141445440</vt:lpwstr>
      </vt:variant>
      <vt:variant>
        <vt:i4>1114160</vt:i4>
      </vt:variant>
      <vt:variant>
        <vt:i4>341</vt:i4>
      </vt:variant>
      <vt:variant>
        <vt:i4>0</vt:i4>
      </vt:variant>
      <vt:variant>
        <vt:i4>5</vt:i4>
      </vt:variant>
      <vt:variant>
        <vt:lpwstr/>
      </vt:variant>
      <vt:variant>
        <vt:lpwstr>_Toc141445439</vt:lpwstr>
      </vt:variant>
      <vt:variant>
        <vt:i4>1114160</vt:i4>
      </vt:variant>
      <vt:variant>
        <vt:i4>335</vt:i4>
      </vt:variant>
      <vt:variant>
        <vt:i4>0</vt:i4>
      </vt:variant>
      <vt:variant>
        <vt:i4>5</vt:i4>
      </vt:variant>
      <vt:variant>
        <vt:lpwstr/>
      </vt:variant>
      <vt:variant>
        <vt:lpwstr>_Toc141445438</vt:lpwstr>
      </vt:variant>
      <vt:variant>
        <vt:i4>1114160</vt:i4>
      </vt:variant>
      <vt:variant>
        <vt:i4>329</vt:i4>
      </vt:variant>
      <vt:variant>
        <vt:i4>0</vt:i4>
      </vt:variant>
      <vt:variant>
        <vt:i4>5</vt:i4>
      </vt:variant>
      <vt:variant>
        <vt:lpwstr/>
      </vt:variant>
      <vt:variant>
        <vt:lpwstr>_Toc141445437</vt:lpwstr>
      </vt:variant>
      <vt:variant>
        <vt:i4>1114160</vt:i4>
      </vt:variant>
      <vt:variant>
        <vt:i4>323</vt:i4>
      </vt:variant>
      <vt:variant>
        <vt:i4>0</vt:i4>
      </vt:variant>
      <vt:variant>
        <vt:i4>5</vt:i4>
      </vt:variant>
      <vt:variant>
        <vt:lpwstr/>
      </vt:variant>
      <vt:variant>
        <vt:lpwstr>_Toc141445436</vt:lpwstr>
      </vt:variant>
      <vt:variant>
        <vt:i4>1114160</vt:i4>
      </vt:variant>
      <vt:variant>
        <vt:i4>317</vt:i4>
      </vt:variant>
      <vt:variant>
        <vt:i4>0</vt:i4>
      </vt:variant>
      <vt:variant>
        <vt:i4>5</vt:i4>
      </vt:variant>
      <vt:variant>
        <vt:lpwstr/>
      </vt:variant>
      <vt:variant>
        <vt:lpwstr>_Toc141445435</vt:lpwstr>
      </vt:variant>
      <vt:variant>
        <vt:i4>1114160</vt:i4>
      </vt:variant>
      <vt:variant>
        <vt:i4>311</vt:i4>
      </vt:variant>
      <vt:variant>
        <vt:i4>0</vt:i4>
      </vt:variant>
      <vt:variant>
        <vt:i4>5</vt:i4>
      </vt:variant>
      <vt:variant>
        <vt:lpwstr/>
      </vt:variant>
      <vt:variant>
        <vt:lpwstr>_Toc141445434</vt:lpwstr>
      </vt:variant>
      <vt:variant>
        <vt:i4>1114160</vt:i4>
      </vt:variant>
      <vt:variant>
        <vt:i4>305</vt:i4>
      </vt:variant>
      <vt:variant>
        <vt:i4>0</vt:i4>
      </vt:variant>
      <vt:variant>
        <vt:i4>5</vt:i4>
      </vt:variant>
      <vt:variant>
        <vt:lpwstr/>
      </vt:variant>
      <vt:variant>
        <vt:lpwstr>_Toc141445433</vt:lpwstr>
      </vt:variant>
      <vt:variant>
        <vt:i4>1114160</vt:i4>
      </vt:variant>
      <vt:variant>
        <vt:i4>299</vt:i4>
      </vt:variant>
      <vt:variant>
        <vt:i4>0</vt:i4>
      </vt:variant>
      <vt:variant>
        <vt:i4>5</vt:i4>
      </vt:variant>
      <vt:variant>
        <vt:lpwstr/>
      </vt:variant>
      <vt:variant>
        <vt:lpwstr>_Toc141445432</vt:lpwstr>
      </vt:variant>
      <vt:variant>
        <vt:i4>1114160</vt:i4>
      </vt:variant>
      <vt:variant>
        <vt:i4>293</vt:i4>
      </vt:variant>
      <vt:variant>
        <vt:i4>0</vt:i4>
      </vt:variant>
      <vt:variant>
        <vt:i4>5</vt:i4>
      </vt:variant>
      <vt:variant>
        <vt:lpwstr/>
      </vt:variant>
      <vt:variant>
        <vt:lpwstr>_Toc141445431</vt:lpwstr>
      </vt:variant>
      <vt:variant>
        <vt:i4>1114160</vt:i4>
      </vt:variant>
      <vt:variant>
        <vt:i4>287</vt:i4>
      </vt:variant>
      <vt:variant>
        <vt:i4>0</vt:i4>
      </vt:variant>
      <vt:variant>
        <vt:i4>5</vt:i4>
      </vt:variant>
      <vt:variant>
        <vt:lpwstr/>
      </vt:variant>
      <vt:variant>
        <vt:lpwstr>_Toc141445430</vt:lpwstr>
      </vt:variant>
      <vt:variant>
        <vt:i4>1048624</vt:i4>
      </vt:variant>
      <vt:variant>
        <vt:i4>281</vt:i4>
      </vt:variant>
      <vt:variant>
        <vt:i4>0</vt:i4>
      </vt:variant>
      <vt:variant>
        <vt:i4>5</vt:i4>
      </vt:variant>
      <vt:variant>
        <vt:lpwstr/>
      </vt:variant>
      <vt:variant>
        <vt:lpwstr>_Toc141445429</vt:lpwstr>
      </vt:variant>
      <vt:variant>
        <vt:i4>1048624</vt:i4>
      </vt:variant>
      <vt:variant>
        <vt:i4>275</vt:i4>
      </vt:variant>
      <vt:variant>
        <vt:i4>0</vt:i4>
      </vt:variant>
      <vt:variant>
        <vt:i4>5</vt:i4>
      </vt:variant>
      <vt:variant>
        <vt:lpwstr/>
      </vt:variant>
      <vt:variant>
        <vt:lpwstr>_Toc141445428</vt:lpwstr>
      </vt:variant>
      <vt:variant>
        <vt:i4>1048624</vt:i4>
      </vt:variant>
      <vt:variant>
        <vt:i4>269</vt:i4>
      </vt:variant>
      <vt:variant>
        <vt:i4>0</vt:i4>
      </vt:variant>
      <vt:variant>
        <vt:i4>5</vt:i4>
      </vt:variant>
      <vt:variant>
        <vt:lpwstr/>
      </vt:variant>
      <vt:variant>
        <vt:lpwstr>_Toc141445427</vt:lpwstr>
      </vt:variant>
      <vt:variant>
        <vt:i4>1048624</vt:i4>
      </vt:variant>
      <vt:variant>
        <vt:i4>263</vt:i4>
      </vt:variant>
      <vt:variant>
        <vt:i4>0</vt:i4>
      </vt:variant>
      <vt:variant>
        <vt:i4>5</vt:i4>
      </vt:variant>
      <vt:variant>
        <vt:lpwstr/>
      </vt:variant>
      <vt:variant>
        <vt:lpwstr>_Toc141445426</vt:lpwstr>
      </vt:variant>
      <vt:variant>
        <vt:i4>1048624</vt:i4>
      </vt:variant>
      <vt:variant>
        <vt:i4>257</vt:i4>
      </vt:variant>
      <vt:variant>
        <vt:i4>0</vt:i4>
      </vt:variant>
      <vt:variant>
        <vt:i4>5</vt:i4>
      </vt:variant>
      <vt:variant>
        <vt:lpwstr/>
      </vt:variant>
      <vt:variant>
        <vt:lpwstr>_Toc141445425</vt:lpwstr>
      </vt:variant>
      <vt:variant>
        <vt:i4>1048624</vt:i4>
      </vt:variant>
      <vt:variant>
        <vt:i4>251</vt:i4>
      </vt:variant>
      <vt:variant>
        <vt:i4>0</vt:i4>
      </vt:variant>
      <vt:variant>
        <vt:i4>5</vt:i4>
      </vt:variant>
      <vt:variant>
        <vt:lpwstr/>
      </vt:variant>
      <vt:variant>
        <vt:lpwstr>_Toc141445424</vt:lpwstr>
      </vt:variant>
      <vt:variant>
        <vt:i4>1048624</vt:i4>
      </vt:variant>
      <vt:variant>
        <vt:i4>245</vt:i4>
      </vt:variant>
      <vt:variant>
        <vt:i4>0</vt:i4>
      </vt:variant>
      <vt:variant>
        <vt:i4>5</vt:i4>
      </vt:variant>
      <vt:variant>
        <vt:lpwstr/>
      </vt:variant>
      <vt:variant>
        <vt:lpwstr>_Toc141445423</vt:lpwstr>
      </vt:variant>
      <vt:variant>
        <vt:i4>1048624</vt:i4>
      </vt:variant>
      <vt:variant>
        <vt:i4>239</vt:i4>
      </vt:variant>
      <vt:variant>
        <vt:i4>0</vt:i4>
      </vt:variant>
      <vt:variant>
        <vt:i4>5</vt:i4>
      </vt:variant>
      <vt:variant>
        <vt:lpwstr/>
      </vt:variant>
      <vt:variant>
        <vt:lpwstr>_Toc141445422</vt:lpwstr>
      </vt:variant>
      <vt:variant>
        <vt:i4>1048624</vt:i4>
      </vt:variant>
      <vt:variant>
        <vt:i4>233</vt:i4>
      </vt:variant>
      <vt:variant>
        <vt:i4>0</vt:i4>
      </vt:variant>
      <vt:variant>
        <vt:i4>5</vt:i4>
      </vt:variant>
      <vt:variant>
        <vt:lpwstr/>
      </vt:variant>
      <vt:variant>
        <vt:lpwstr>_Toc141445421</vt:lpwstr>
      </vt:variant>
      <vt:variant>
        <vt:i4>1048624</vt:i4>
      </vt:variant>
      <vt:variant>
        <vt:i4>227</vt:i4>
      </vt:variant>
      <vt:variant>
        <vt:i4>0</vt:i4>
      </vt:variant>
      <vt:variant>
        <vt:i4>5</vt:i4>
      </vt:variant>
      <vt:variant>
        <vt:lpwstr/>
      </vt:variant>
      <vt:variant>
        <vt:lpwstr>_Toc141445420</vt:lpwstr>
      </vt:variant>
      <vt:variant>
        <vt:i4>1245232</vt:i4>
      </vt:variant>
      <vt:variant>
        <vt:i4>221</vt:i4>
      </vt:variant>
      <vt:variant>
        <vt:i4>0</vt:i4>
      </vt:variant>
      <vt:variant>
        <vt:i4>5</vt:i4>
      </vt:variant>
      <vt:variant>
        <vt:lpwstr/>
      </vt:variant>
      <vt:variant>
        <vt:lpwstr>_Toc141445419</vt:lpwstr>
      </vt:variant>
      <vt:variant>
        <vt:i4>1245232</vt:i4>
      </vt:variant>
      <vt:variant>
        <vt:i4>215</vt:i4>
      </vt:variant>
      <vt:variant>
        <vt:i4>0</vt:i4>
      </vt:variant>
      <vt:variant>
        <vt:i4>5</vt:i4>
      </vt:variant>
      <vt:variant>
        <vt:lpwstr/>
      </vt:variant>
      <vt:variant>
        <vt:lpwstr>_Toc141445418</vt:lpwstr>
      </vt:variant>
      <vt:variant>
        <vt:i4>1245232</vt:i4>
      </vt:variant>
      <vt:variant>
        <vt:i4>209</vt:i4>
      </vt:variant>
      <vt:variant>
        <vt:i4>0</vt:i4>
      </vt:variant>
      <vt:variant>
        <vt:i4>5</vt:i4>
      </vt:variant>
      <vt:variant>
        <vt:lpwstr/>
      </vt:variant>
      <vt:variant>
        <vt:lpwstr>_Toc141445417</vt:lpwstr>
      </vt:variant>
      <vt:variant>
        <vt:i4>1245232</vt:i4>
      </vt:variant>
      <vt:variant>
        <vt:i4>203</vt:i4>
      </vt:variant>
      <vt:variant>
        <vt:i4>0</vt:i4>
      </vt:variant>
      <vt:variant>
        <vt:i4>5</vt:i4>
      </vt:variant>
      <vt:variant>
        <vt:lpwstr/>
      </vt:variant>
      <vt:variant>
        <vt:lpwstr>_Toc141445416</vt:lpwstr>
      </vt:variant>
      <vt:variant>
        <vt:i4>1245232</vt:i4>
      </vt:variant>
      <vt:variant>
        <vt:i4>197</vt:i4>
      </vt:variant>
      <vt:variant>
        <vt:i4>0</vt:i4>
      </vt:variant>
      <vt:variant>
        <vt:i4>5</vt:i4>
      </vt:variant>
      <vt:variant>
        <vt:lpwstr/>
      </vt:variant>
      <vt:variant>
        <vt:lpwstr>_Toc141445415</vt:lpwstr>
      </vt:variant>
      <vt:variant>
        <vt:i4>1245232</vt:i4>
      </vt:variant>
      <vt:variant>
        <vt:i4>191</vt:i4>
      </vt:variant>
      <vt:variant>
        <vt:i4>0</vt:i4>
      </vt:variant>
      <vt:variant>
        <vt:i4>5</vt:i4>
      </vt:variant>
      <vt:variant>
        <vt:lpwstr/>
      </vt:variant>
      <vt:variant>
        <vt:lpwstr>_Toc141445414</vt:lpwstr>
      </vt:variant>
      <vt:variant>
        <vt:i4>1245232</vt:i4>
      </vt:variant>
      <vt:variant>
        <vt:i4>185</vt:i4>
      </vt:variant>
      <vt:variant>
        <vt:i4>0</vt:i4>
      </vt:variant>
      <vt:variant>
        <vt:i4>5</vt:i4>
      </vt:variant>
      <vt:variant>
        <vt:lpwstr/>
      </vt:variant>
      <vt:variant>
        <vt:lpwstr>_Toc141445413</vt:lpwstr>
      </vt:variant>
      <vt:variant>
        <vt:i4>1245232</vt:i4>
      </vt:variant>
      <vt:variant>
        <vt:i4>179</vt:i4>
      </vt:variant>
      <vt:variant>
        <vt:i4>0</vt:i4>
      </vt:variant>
      <vt:variant>
        <vt:i4>5</vt:i4>
      </vt:variant>
      <vt:variant>
        <vt:lpwstr/>
      </vt:variant>
      <vt:variant>
        <vt:lpwstr>_Toc141445412</vt:lpwstr>
      </vt:variant>
      <vt:variant>
        <vt:i4>1245232</vt:i4>
      </vt:variant>
      <vt:variant>
        <vt:i4>173</vt:i4>
      </vt:variant>
      <vt:variant>
        <vt:i4>0</vt:i4>
      </vt:variant>
      <vt:variant>
        <vt:i4>5</vt:i4>
      </vt:variant>
      <vt:variant>
        <vt:lpwstr/>
      </vt:variant>
      <vt:variant>
        <vt:lpwstr>_Toc141445411</vt:lpwstr>
      </vt:variant>
      <vt:variant>
        <vt:i4>1245232</vt:i4>
      </vt:variant>
      <vt:variant>
        <vt:i4>167</vt:i4>
      </vt:variant>
      <vt:variant>
        <vt:i4>0</vt:i4>
      </vt:variant>
      <vt:variant>
        <vt:i4>5</vt:i4>
      </vt:variant>
      <vt:variant>
        <vt:lpwstr/>
      </vt:variant>
      <vt:variant>
        <vt:lpwstr>_Toc141445410</vt:lpwstr>
      </vt:variant>
      <vt:variant>
        <vt:i4>1179696</vt:i4>
      </vt:variant>
      <vt:variant>
        <vt:i4>161</vt:i4>
      </vt:variant>
      <vt:variant>
        <vt:i4>0</vt:i4>
      </vt:variant>
      <vt:variant>
        <vt:i4>5</vt:i4>
      </vt:variant>
      <vt:variant>
        <vt:lpwstr/>
      </vt:variant>
      <vt:variant>
        <vt:lpwstr>_Toc141445409</vt:lpwstr>
      </vt:variant>
      <vt:variant>
        <vt:i4>1179696</vt:i4>
      </vt:variant>
      <vt:variant>
        <vt:i4>155</vt:i4>
      </vt:variant>
      <vt:variant>
        <vt:i4>0</vt:i4>
      </vt:variant>
      <vt:variant>
        <vt:i4>5</vt:i4>
      </vt:variant>
      <vt:variant>
        <vt:lpwstr/>
      </vt:variant>
      <vt:variant>
        <vt:lpwstr>_Toc141445408</vt:lpwstr>
      </vt:variant>
      <vt:variant>
        <vt:i4>1179696</vt:i4>
      </vt:variant>
      <vt:variant>
        <vt:i4>149</vt:i4>
      </vt:variant>
      <vt:variant>
        <vt:i4>0</vt:i4>
      </vt:variant>
      <vt:variant>
        <vt:i4>5</vt:i4>
      </vt:variant>
      <vt:variant>
        <vt:lpwstr/>
      </vt:variant>
      <vt:variant>
        <vt:lpwstr>_Toc141445407</vt:lpwstr>
      </vt:variant>
      <vt:variant>
        <vt:i4>1179696</vt:i4>
      </vt:variant>
      <vt:variant>
        <vt:i4>143</vt:i4>
      </vt:variant>
      <vt:variant>
        <vt:i4>0</vt:i4>
      </vt:variant>
      <vt:variant>
        <vt:i4>5</vt:i4>
      </vt:variant>
      <vt:variant>
        <vt:lpwstr/>
      </vt:variant>
      <vt:variant>
        <vt:lpwstr>_Toc141445406</vt:lpwstr>
      </vt:variant>
      <vt:variant>
        <vt:i4>1179696</vt:i4>
      </vt:variant>
      <vt:variant>
        <vt:i4>137</vt:i4>
      </vt:variant>
      <vt:variant>
        <vt:i4>0</vt:i4>
      </vt:variant>
      <vt:variant>
        <vt:i4>5</vt:i4>
      </vt:variant>
      <vt:variant>
        <vt:lpwstr/>
      </vt:variant>
      <vt:variant>
        <vt:lpwstr>_Toc141445405</vt:lpwstr>
      </vt:variant>
      <vt:variant>
        <vt:i4>1179696</vt:i4>
      </vt:variant>
      <vt:variant>
        <vt:i4>131</vt:i4>
      </vt:variant>
      <vt:variant>
        <vt:i4>0</vt:i4>
      </vt:variant>
      <vt:variant>
        <vt:i4>5</vt:i4>
      </vt:variant>
      <vt:variant>
        <vt:lpwstr/>
      </vt:variant>
      <vt:variant>
        <vt:lpwstr>_Toc141445404</vt:lpwstr>
      </vt:variant>
      <vt:variant>
        <vt:i4>1179696</vt:i4>
      </vt:variant>
      <vt:variant>
        <vt:i4>125</vt:i4>
      </vt:variant>
      <vt:variant>
        <vt:i4>0</vt:i4>
      </vt:variant>
      <vt:variant>
        <vt:i4>5</vt:i4>
      </vt:variant>
      <vt:variant>
        <vt:lpwstr/>
      </vt:variant>
      <vt:variant>
        <vt:lpwstr>_Toc141445403</vt:lpwstr>
      </vt:variant>
      <vt:variant>
        <vt:i4>1179696</vt:i4>
      </vt:variant>
      <vt:variant>
        <vt:i4>119</vt:i4>
      </vt:variant>
      <vt:variant>
        <vt:i4>0</vt:i4>
      </vt:variant>
      <vt:variant>
        <vt:i4>5</vt:i4>
      </vt:variant>
      <vt:variant>
        <vt:lpwstr/>
      </vt:variant>
      <vt:variant>
        <vt:lpwstr>_Toc141445402</vt:lpwstr>
      </vt:variant>
      <vt:variant>
        <vt:i4>1179696</vt:i4>
      </vt:variant>
      <vt:variant>
        <vt:i4>113</vt:i4>
      </vt:variant>
      <vt:variant>
        <vt:i4>0</vt:i4>
      </vt:variant>
      <vt:variant>
        <vt:i4>5</vt:i4>
      </vt:variant>
      <vt:variant>
        <vt:lpwstr/>
      </vt:variant>
      <vt:variant>
        <vt:lpwstr>_Toc141445401</vt:lpwstr>
      </vt:variant>
      <vt:variant>
        <vt:i4>1179696</vt:i4>
      </vt:variant>
      <vt:variant>
        <vt:i4>107</vt:i4>
      </vt:variant>
      <vt:variant>
        <vt:i4>0</vt:i4>
      </vt:variant>
      <vt:variant>
        <vt:i4>5</vt:i4>
      </vt:variant>
      <vt:variant>
        <vt:lpwstr/>
      </vt:variant>
      <vt:variant>
        <vt:lpwstr>_Toc141445400</vt:lpwstr>
      </vt:variant>
      <vt:variant>
        <vt:i4>1769527</vt:i4>
      </vt:variant>
      <vt:variant>
        <vt:i4>101</vt:i4>
      </vt:variant>
      <vt:variant>
        <vt:i4>0</vt:i4>
      </vt:variant>
      <vt:variant>
        <vt:i4>5</vt:i4>
      </vt:variant>
      <vt:variant>
        <vt:lpwstr/>
      </vt:variant>
      <vt:variant>
        <vt:lpwstr>_Toc141445399</vt:lpwstr>
      </vt:variant>
      <vt:variant>
        <vt:i4>1769527</vt:i4>
      </vt:variant>
      <vt:variant>
        <vt:i4>95</vt:i4>
      </vt:variant>
      <vt:variant>
        <vt:i4>0</vt:i4>
      </vt:variant>
      <vt:variant>
        <vt:i4>5</vt:i4>
      </vt:variant>
      <vt:variant>
        <vt:lpwstr/>
      </vt:variant>
      <vt:variant>
        <vt:lpwstr>_Toc141445398</vt:lpwstr>
      </vt:variant>
      <vt:variant>
        <vt:i4>1769527</vt:i4>
      </vt:variant>
      <vt:variant>
        <vt:i4>89</vt:i4>
      </vt:variant>
      <vt:variant>
        <vt:i4>0</vt:i4>
      </vt:variant>
      <vt:variant>
        <vt:i4>5</vt:i4>
      </vt:variant>
      <vt:variant>
        <vt:lpwstr/>
      </vt:variant>
      <vt:variant>
        <vt:lpwstr>_Toc141445397</vt:lpwstr>
      </vt:variant>
      <vt:variant>
        <vt:i4>1769527</vt:i4>
      </vt:variant>
      <vt:variant>
        <vt:i4>83</vt:i4>
      </vt:variant>
      <vt:variant>
        <vt:i4>0</vt:i4>
      </vt:variant>
      <vt:variant>
        <vt:i4>5</vt:i4>
      </vt:variant>
      <vt:variant>
        <vt:lpwstr/>
      </vt:variant>
      <vt:variant>
        <vt:lpwstr>_Toc141445396</vt:lpwstr>
      </vt:variant>
      <vt:variant>
        <vt:i4>1769527</vt:i4>
      </vt:variant>
      <vt:variant>
        <vt:i4>77</vt:i4>
      </vt:variant>
      <vt:variant>
        <vt:i4>0</vt:i4>
      </vt:variant>
      <vt:variant>
        <vt:i4>5</vt:i4>
      </vt:variant>
      <vt:variant>
        <vt:lpwstr/>
      </vt:variant>
      <vt:variant>
        <vt:lpwstr>_Toc141445395</vt:lpwstr>
      </vt:variant>
      <vt:variant>
        <vt:i4>1769527</vt:i4>
      </vt:variant>
      <vt:variant>
        <vt:i4>71</vt:i4>
      </vt:variant>
      <vt:variant>
        <vt:i4>0</vt:i4>
      </vt:variant>
      <vt:variant>
        <vt:i4>5</vt:i4>
      </vt:variant>
      <vt:variant>
        <vt:lpwstr/>
      </vt:variant>
      <vt:variant>
        <vt:lpwstr>_Toc141445394</vt:lpwstr>
      </vt:variant>
      <vt:variant>
        <vt:i4>1769527</vt:i4>
      </vt:variant>
      <vt:variant>
        <vt:i4>65</vt:i4>
      </vt:variant>
      <vt:variant>
        <vt:i4>0</vt:i4>
      </vt:variant>
      <vt:variant>
        <vt:i4>5</vt:i4>
      </vt:variant>
      <vt:variant>
        <vt:lpwstr/>
      </vt:variant>
      <vt:variant>
        <vt:lpwstr>_Toc141445393</vt:lpwstr>
      </vt:variant>
      <vt:variant>
        <vt:i4>1769527</vt:i4>
      </vt:variant>
      <vt:variant>
        <vt:i4>59</vt:i4>
      </vt:variant>
      <vt:variant>
        <vt:i4>0</vt:i4>
      </vt:variant>
      <vt:variant>
        <vt:i4>5</vt:i4>
      </vt:variant>
      <vt:variant>
        <vt:lpwstr/>
      </vt:variant>
      <vt:variant>
        <vt:lpwstr>_Toc141445392</vt:lpwstr>
      </vt:variant>
      <vt:variant>
        <vt:i4>1769527</vt:i4>
      </vt:variant>
      <vt:variant>
        <vt:i4>53</vt:i4>
      </vt:variant>
      <vt:variant>
        <vt:i4>0</vt:i4>
      </vt:variant>
      <vt:variant>
        <vt:i4>5</vt:i4>
      </vt:variant>
      <vt:variant>
        <vt:lpwstr/>
      </vt:variant>
      <vt:variant>
        <vt:lpwstr>_Toc141445391</vt:lpwstr>
      </vt:variant>
      <vt:variant>
        <vt:i4>1769527</vt:i4>
      </vt:variant>
      <vt:variant>
        <vt:i4>47</vt:i4>
      </vt:variant>
      <vt:variant>
        <vt:i4>0</vt:i4>
      </vt:variant>
      <vt:variant>
        <vt:i4>5</vt:i4>
      </vt:variant>
      <vt:variant>
        <vt:lpwstr/>
      </vt:variant>
      <vt:variant>
        <vt:lpwstr>_Toc141445390</vt:lpwstr>
      </vt:variant>
      <vt:variant>
        <vt:i4>1703991</vt:i4>
      </vt:variant>
      <vt:variant>
        <vt:i4>41</vt:i4>
      </vt:variant>
      <vt:variant>
        <vt:i4>0</vt:i4>
      </vt:variant>
      <vt:variant>
        <vt:i4>5</vt:i4>
      </vt:variant>
      <vt:variant>
        <vt:lpwstr/>
      </vt:variant>
      <vt:variant>
        <vt:lpwstr>_Toc141445389</vt:lpwstr>
      </vt:variant>
      <vt:variant>
        <vt:i4>1703991</vt:i4>
      </vt:variant>
      <vt:variant>
        <vt:i4>35</vt:i4>
      </vt:variant>
      <vt:variant>
        <vt:i4>0</vt:i4>
      </vt:variant>
      <vt:variant>
        <vt:i4>5</vt:i4>
      </vt:variant>
      <vt:variant>
        <vt:lpwstr/>
      </vt:variant>
      <vt:variant>
        <vt:lpwstr>_Toc141445388</vt:lpwstr>
      </vt:variant>
      <vt:variant>
        <vt:i4>1703991</vt:i4>
      </vt:variant>
      <vt:variant>
        <vt:i4>29</vt:i4>
      </vt:variant>
      <vt:variant>
        <vt:i4>0</vt:i4>
      </vt:variant>
      <vt:variant>
        <vt:i4>5</vt:i4>
      </vt:variant>
      <vt:variant>
        <vt:lpwstr/>
      </vt:variant>
      <vt:variant>
        <vt:lpwstr>_Toc141445387</vt:lpwstr>
      </vt:variant>
      <vt:variant>
        <vt:i4>1703991</vt:i4>
      </vt:variant>
      <vt:variant>
        <vt:i4>23</vt:i4>
      </vt:variant>
      <vt:variant>
        <vt:i4>0</vt:i4>
      </vt:variant>
      <vt:variant>
        <vt:i4>5</vt:i4>
      </vt:variant>
      <vt:variant>
        <vt:lpwstr/>
      </vt:variant>
      <vt:variant>
        <vt:lpwstr>_Toc141445386</vt:lpwstr>
      </vt:variant>
      <vt:variant>
        <vt:i4>1703991</vt:i4>
      </vt:variant>
      <vt:variant>
        <vt:i4>20</vt:i4>
      </vt:variant>
      <vt:variant>
        <vt:i4>0</vt:i4>
      </vt:variant>
      <vt:variant>
        <vt:i4>5</vt:i4>
      </vt:variant>
      <vt:variant>
        <vt:lpwstr/>
      </vt:variant>
      <vt:variant>
        <vt:lpwstr>_Toc141445385</vt:lpwstr>
      </vt:variant>
      <vt:variant>
        <vt:i4>1703991</vt:i4>
      </vt:variant>
      <vt:variant>
        <vt:i4>14</vt:i4>
      </vt:variant>
      <vt:variant>
        <vt:i4>0</vt:i4>
      </vt:variant>
      <vt:variant>
        <vt:i4>5</vt:i4>
      </vt:variant>
      <vt:variant>
        <vt:lpwstr/>
      </vt:variant>
      <vt:variant>
        <vt:lpwstr>_Toc141445384</vt:lpwstr>
      </vt:variant>
      <vt:variant>
        <vt:i4>1703991</vt:i4>
      </vt:variant>
      <vt:variant>
        <vt:i4>8</vt:i4>
      </vt:variant>
      <vt:variant>
        <vt:i4>0</vt:i4>
      </vt:variant>
      <vt:variant>
        <vt:i4>5</vt:i4>
      </vt:variant>
      <vt:variant>
        <vt:lpwstr/>
      </vt:variant>
      <vt:variant>
        <vt:lpwstr>_Toc141445383</vt:lpwstr>
      </vt:variant>
      <vt:variant>
        <vt:i4>1703991</vt:i4>
      </vt:variant>
      <vt:variant>
        <vt:i4>2</vt:i4>
      </vt:variant>
      <vt:variant>
        <vt:i4>0</vt:i4>
      </vt:variant>
      <vt:variant>
        <vt:i4>5</vt:i4>
      </vt:variant>
      <vt:variant>
        <vt:lpwstr/>
      </vt:variant>
      <vt:variant>
        <vt:lpwstr>_Toc141445382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 Özen</dc:creator>
  <cp:keywords/>
  <cp:lastModifiedBy>Onur Ali Taskin</cp:lastModifiedBy>
  <cp:revision>1541</cp:revision>
  <cp:lastPrinted>2022-04-09T00:32:00Z</cp:lastPrinted>
  <dcterms:created xsi:type="dcterms:W3CDTF">2023-07-27T08:31:00Z</dcterms:created>
  <dcterms:modified xsi:type="dcterms:W3CDTF">2023-07-31T13:13:00Z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0x0101007BBBB60014012147A315EFEC6EF06F64</vt:lpwstr>
  </property>
  <property fmtid="{D5CDD505-2E9C-101B-9397-08002B2CF9AE}" name="GrammarlyDocumentId" pid="3">
    <vt:lpwstr>a2ae93ccbd5526bdb6dd4462a024f171f7f2f32b9a2a30da3a84b592f53b8d99</vt:lpwstr>
  </property>
  <property fmtid="{D5CDD505-2E9C-101B-9397-08002B2CF9AE}" name="MediaServiceImageTags" pid="4">
    <vt:lpwstr/>
  </property>
  <property fmtid="{D5CDD505-2E9C-101B-9397-08002B2CF9AE}" name="NXPowerLiteLastOptimized" pid="5">
    <vt:lpwstr>8305567</vt:lpwstr>
  </property>
  <property fmtid="{D5CDD505-2E9C-101B-9397-08002B2CF9AE}" name="NXPowerLiteSettings" pid="6">
    <vt:lpwstr>C7000400038000</vt:lpwstr>
  </property>
  <property fmtid="{D5CDD505-2E9C-101B-9397-08002B2CF9AE}" name="NXPowerLiteVersion" pid="7">
    <vt:lpwstr>S10.0.0</vt:lpwstr>
  </property>
</Properties>
</file>